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EC1A9" w14:textId="15D96197" w:rsidR="00F45C56" w:rsidRPr="00A638EC" w:rsidRDefault="00C91E15" w:rsidP="00F45C56">
      <w:pPr>
        <w:spacing w:line="360" w:lineRule="auto"/>
        <w:jc w:val="both"/>
        <w:rPr>
          <w:rFonts w:ascii="Times New Roman" w:hAnsi="Times New Roman" w:cs="Times New Roman"/>
          <w:b/>
          <w:sz w:val="24"/>
        </w:rPr>
      </w:pPr>
      <w:r w:rsidRPr="00A638EC">
        <w:rPr>
          <w:rFonts w:ascii="Times New Roman" w:hAnsi="Times New Roman" w:cs="Times New Roman"/>
          <w:b/>
          <w:sz w:val="24"/>
        </w:rPr>
        <w:t xml:space="preserve">Service Quality and Customer Satisfaction in Interest-Free Banking: An Empirical Study </w:t>
      </w:r>
      <w:proofErr w:type="gramStart"/>
      <w:r w:rsidRPr="00A638EC">
        <w:rPr>
          <w:rFonts w:ascii="Times New Roman" w:hAnsi="Times New Roman" w:cs="Times New Roman"/>
          <w:b/>
          <w:sz w:val="24"/>
        </w:rPr>
        <w:t>Of</w:t>
      </w:r>
      <w:proofErr w:type="gramEnd"/>
      <w:r w:rsidRPr="00A638EC">
        <w:rPr>
          <w:rFonts w:ascii="Times New Roman" w:hAnsi="Times New Roman" w:cs="Times New Roman"/>
          <w:b/>
          <w:sz w:val="24"/>
        </w:rPr>
        <w:t xml:space="preserve"> Commercial Bank Of Ethiopia In </w:t>
      </w:r>
      <w:proofErr w:type="spellStart"/>
      <w:r w:rsidRPr="00A638EC">
        <w:rPr>
          <w:rFonts w:ascii="Times New Roman" w:hAnsi="Times New Roman" w:cs="Times New Roman"/>
          <w:b/>
          <w:sz w:val="24"/>
        </w:rPr>
        <w:t>Yabello</w:t>
      </w:r>
      <w:proofErr w:type="spellEnd"/>
      <w:r w:rsidRPr="00A638EC">
        <w:rPr>
          <w:rFonts w:ascii="Times New Roman" w:hAnsi="Times New Roman" w:cs="Times New Roman"/>
          <w:b/>
          <w:sz w:val="24"/>
        </w:rPr>
        <w:t xml:space="preserve"> Town</w:t>
      </w:r>
      <w:bookmarkStart w:id="0" w:name="_GoBack"/>
      <w:bookmarkEnd w:id="0"/>
    </w:p>
    <w:p w14:paraId="1E94AB2C" w14:textId="6D745B18" w:rsidR="0072654B" w:rsidRDefault="00300005" w:rsidP="00A638EC">
      <w:pPr>
        <w:spacing w:line="360" w:lineRule="auto"/>
        <w:jc w:val="both"/>
        <w:rPr>
          <w:rFonts w:ascii="Times New Roman" w:hAnsi="Times New Roman" w:cs="Times New Roman"/>
          <w:b/>
          <w:sz w:val="24"/>
          <w:lang w:val="en-GB"/>
        </w:rPr>
      </w:pPr>
      <w:r w:rsidRPr="00300005">
        <w:rPr>
          <w:rFonts w:ascii="Times New Roman" w:hAnsi="Times New Roman" w:cs="Times New Roman"/>
          <w:b/>
          <w:sz w:val="24"/>
          <w:lang w:val="en-GB"/>
        </w:rPr>
        <w:t>Original Research Article</w:t>
      </w:r>
    </w:p>
    <w:p w14:paraId="05CD2771" w14:textId="2A9B4E93" w:rsidR="00F74615" w:rsidRPr="00F74615" w:rsidRDefault="00F74615" w:rsidP="00F74615">
      <w:pPr>
        <w:spacing w:line="276" w:lineRule="auto"/>
        <w:jc w:val="both"/>
        <w:rPr>
          <w:rFonts w:ascii="Times New Roman" w:hAnsi="Times New Roman" w:cs="Times New Roman"/>
          <w:b/>
          <w:sz w:val="24"/>
        </w:rPr>
      </w:pPr>
      <w:r>
        <w:rPr>
          <w:rFonts w:ascii="Times New Roman" w:hAnsi="Times New Roman" w:cs="Times New Roman"/>
          <w:b/>
          <w:sz w:val="24"/>
          <w:lang w:val="en-GB"/>
        </w:rPr>
        <w:t>  </w:t>
      </w:r>
      <w:r w:rsidR="0093169B" w:rsidRPr="00A638EC">
        <w:rPr>
          <w:rFonts w:ascii="Times New Roman" w:hAnsi="Times New Roman" w:cs="Times New Roman"/>
          <w:b/>
          <w:sz w:val="24"/>
          <w:lang w:val="en-GB"/>
        </w:rPr>
        <w:t xml:space="preserve">    </w:t>
      </w:r>
      <w:r w:rsidRPr="00F74615">
        <w:rPr>
          <w:rFonts w:ascii="Times New Roman" w:hAnsi="Times New Roman" w:cs="Times New Roman"/>
          <w:sz w:val="24"/>
        </w:rPr>
        <w:t>Abstract</w:t>
      </w:r>
    </w:p>
    <w:p w14:paraId="194BB13A" w14:textId="7F9460EE" w:rsidR="002D7414" w:rsidRPr="002D7414" w:rsidRDefault="002D7414" w:rsidP="002D7414">
      <w:pPr>
        <w:spacing w:line="360" w:lineRule="auto"/>
        <w:jc w:val="both"/>
        <w:rPr>
          <w:rFonts w:ascii="Times New Roman" w:hAnsi="Times New Roman" w:cs="Times New Roman"/>
          <w:sz w:val="24"/>
        </w:rPr>
      </w:pPr>
      <w:r w:rsidRPr="002D7414">
        <w:rPr>
          <w:rFonts w:ascii="Times New Roman" w:hAnsi="Times New Roman" w:cs="Times New Roman"/>
          <w:sz w:val="24"/>
        </w:rPr>
        <w:t xml:space="preserve">Interest-free banking has expanded rapidly in Ethiopia, yet limited empirical evidence exists regarding service quality and customer satisfaction in underserved markets. This study examines how service quality dimensions affect customer satisfaction with IFB services at Commercial Bank of Ethiopia branches in </w:t>
      </w:r>
      <w:proofErr w:type="spellStart"/>
      <w:r w:rsidRPr="002D7414">
        <w:rPr>
          <w:rFonts w:ascii="Times New Roman" w:hAnsi="Times New Roman" w:cs="Times New Roman"/>
          <w:sz w:val="24"/>
        </w:rPr>
        <w:t>Yabello</w:t>
      </w:r>
      <w:proofErr w:type="spellEnd"/>
      <w:r w:rsidRPr="002D7414">
        <w:rPr>
          <w:rFonts w:ascii="Times New Roman" w:hAnsi="Times New Roman" w:cs="Times New Roman"/>
          <w:sz w:val="24"/>
        </w:rPr>
        <w:t xml:space="preserve"> town, employing a cross-sectional survey design with descriptive and explanatory approaches. Primary data collected through a structured quest</w:t>
      </w:r>
      <w:r>
        <w:rPr>
          <w:rFonts w:ascii="Times New Roman" w:hAnsi="Times New Roman" w:cs="Times New Roman"/>
          <w:sz w:val="24"/>
        </w:rPr>
        <w:t xml:space="preserve">ionnaire from 379 </w:t>
      </w:r>
      <w:r w:rsidR="002D7D13" w:rsidRPr="002D7D13">
        <w:rPr>
          <w:rFonts w:ascii="Times New Roman" w:hAnsi="Times New Roman" w:cs="Times New Roman"/>
          <w:sz w:val="24"/>
        </w:rPr>
        <w:t>Interest-free banking</w:t>
      </w:r>
      <w:r>
        <w:rPr>
          <w:rFonts w:ascii="Times New Roman" w:hAnsi="Times New Roman" w:cs="Times New Roman"/>
          <w:sz w:val="24"/>
        </w:rPr>
        <w:t xml:space="preserve"> customers </w:t>
      </w:r>
      <w:r w:rsidRPr="002D7414">
        <w:rPr>
          <w:rFonts w:ascii="Times New Roman" w:hAnsi="Times New Roman" w:cs="Times New Roman"/>
          <w:sz w:val="24"/>
        </w:rPr>
        <w:t>selected via convenience sampling from 7,346 active accoun</w:t>
      </w:r>
      <w:r>
        <w:rPr>
          <w:rFonts w:ascii="Times New Roman" w:hAnsi="Times New Roman" w:cs="Times New Roman"/>
          <w:sz w:val="24"/>
        </w:rPr>
        <w:t xml:space="preserve">t holders across three branches </w:t>
      </w:r>
      <w:r w:rsidRPr="002D7414">
        <w:rPr>
          <w:rFonts w:ascii="Times New Roman" w:hAnsi="Times New Roman" w:cs="Times New Roman"/>
          <w:sz w:val="24"/>
        </w:rPr>
        <w:t xml:space="preserve">were analyzed using descriptive statistics, Spearman's rank correlation, and ordinal logistic regression after establishing instrument reliability through Cronbach's alpha testing. The majority of respondents expressed dissatisfaction with current </w:t>
      </w:r>
      <w:r w:rsidR="002D7D13" w:rsidRPr="002D7D13">
        <w:rPr>
          <w:rFonts w:ascii="Times New Roman" w:hAnsi="Times New Roman" w:cs="Times New Roman"/>
          <w:sz w:val="24"/>
        </w:rPr>
        <w:t>Interest-free banking</w:t>
      </w:r>
      <w:r w:rsidRPr="002D7414">
        <w:rPr>
          <w:rFonts w:ascii="Times New Roman" w:hAnsi="Times New Roman" w:cs="Times New Roman"/>
          <w:sz w:val="24"/>
        </w:rPr>
        <w:t xml:space="preserve"> service</w:t>
      </w:r>
      <w:r>
        <w:rPr>
          <w:rFonts w:ascii="Times New Roman" w:hAnsi="Times New Roman" w:cs="Times New Roman"/>
          <w:sz w:val="24"/>
        </w:rPr>
        <w:t xml:space="preserve"> quality, though six dimensions </w:t>
      </w:r>
      <w:r w:rsidRPr="002D7414">
        <w:rPr>
          <w:rFonts w:ascii="Times New Roman" w:hAnsi="Times New Roman" w:cs="Times New Roman"/>
          <w:sz w:val="24"/>
        </w:rPr>
        <w:t>reliability, assurance, Sharia compliance, responsiveness, empathy, and accessib</w:t>
      </w:r>
      <w:r>
        <w:rPr>
          <w:rFonts w:ascii="Times New Roman" w:hAnsi="Times New Roman" w:cs="Times New Roman"/>
          <w:sz w:val="24"/>
        </w:rPr>
        <w:t xml:space="preserve">ility </w:t>
      </w:r>
      <w:r w:rsidRPr="002D7414">
        <w:rPr>
          <w:rFonts w:ascii="Times New Roman" w:hAnsi="Times New Roman" w:cs="Times New Roman"/>
          <w:sz w:val="24"/>
        </w:rPr>
        <w:t xml:space="preserve">demonstrated statistically significant positive associations with customer satisfaction; accessibility emerged as the strongest predictor, reliability showed the weakest significant effect, and tangibility did not significantly influence satisfaction, suggesting customers prioritize functional service attributes over physical facilities in this context. These findings indicate that </w:t>
      </w:r>
      <w:r w:rsidR="002D7D13" w:rsidRPr="002D7D13">
        <w:rPr>
          <w:rFonts w:ascii="Times New Roman" w:hAnsi="Times New Roman" w:cs="Times New Roman"/>
          <w:sz w:val="24"/>
        </w:rPr>
        <w:t>Commercial Bank of Ethiopia</w:t>
      </w:r>
      <w:r w:rsidRPr="002D7414">
        <w:rPr>
          <w:rFonts w:ascii="Times New Roman" w:hAnsi="Times New Roman" w:cs="Times New Roman"/>
          <w:sz w:val="24"/>
        </w:rPr>
        <w:t xml:space="preserve"> should prioritize service accessibility and Sharia compliance to enhance customer retention, implementing regular feedback mechanisms and structured quality control systems to align service delivery with customer expectations, thereby contributing context-specific evidence on </w:t>
      </w:r>
      <w:r w:rsidR="002D7D13" w:rsidRPr="002D7D13">
        <w:rPr>
          <w:rFonts w:ascii="Times New Roman" w:hAnsi="Times New Roman" w:cs="Times New Roman"/>
          <w:sz w:val="24"/>
        </w:rPr>
        <w:t xml:space="preserve">Interest-free banking </w:t>
      </w:r>
      <w:r w:rsidRPr="002D7414">
        <w:rPr>
          <w:rFonts w:ascii="Times New Roman" w:hAnsi="Times New Roman" w:cs="Times New Roman"/>
          <w:sz w:val="24"/>
        </w:rPr>
        <w:t>service quality in emerging Ethiopian markets where accessibility functions as a critical satisfaction driver distinct from urban or developed banking contexts.</w:t>
      </w:r>
    </w:p>
    <w:p w14:paraId="3A498BA5" w14:textId="07DAB871" w:rsidR="00F74615" w:rsidRPr="00F74615" w:rsidRDefault="00F74615" w:rsidP="00F74615">
      <w:pPr>
        <w:spacing w:line="276" w:lineRule="auto"/>
        <w:jc w:val="both"/>
        <w:rPr>
          <w:rFonts w:ascii="Times New Roman" w:hAnsi="Times New Roman" w:cs="Times New Roman"/>
          <w:sz w:val="24"/>
        </w:rPr>
      </w:pPr>
      <w:r w:rsidRPr="00F74615">
        <w:rPr>
          <w:rFonts w:ascii="Times New Roman" w:hAnsi="Times New Roman" w:cs="Times New Roman"/>
          <w:sz w:val="24"/>
        </w:rPr>
        <w:t>Keywords: Interest-free banking, service quality, customer satisfaction, accessibility, Ethiopia</w:t>
      </w:r>
    </w:p>
    <w:p w14:paraId="4D7F512B" w14:textId="77777777" w:rsidR="00F74615" w:rsidRDefault="00F74615" w:rsidP="00F74615">
      <w:pPr>
        <w:spacing w:line="276" w:lineRule="auto"/>
        <w:jc w:val="both"/>
        <w:rPr>
          <w:rFonts w:ascii="Times New Roman" w:hAnsi="Times New Roman" w:cs="Times New Roman"/>
          <w:sz w:val="24"/>
        </w:rPr>
      </w:pPr>
    </w:p>
    <w:p w14:paraId="2FC7150D" w14:textId="77777777" w:rsidR="00F74615" w:rsidRDefault="00F74615" w:rsidP="00F74615">
      <w:pPr>
        <w:spacing w:line="276" w:lineRule="auto"/>
        <w:jc w:val="both"/>
        <w:rPr>
          <w:rFonts w:ascii="Times New Roman" w:hAnsi="Times New Roman" w:cs="Times New Roman"/>
          <w:sz w:val="24"/>
        </w:rPr>
      </w:pPr>
    </w:p>
    <w:p w14:paraId="037F68C5" w14:textId="77777777" w:rsidR="00F74615" w:rsidRPr="00F74615" w:rsidRDefault="00F74615" w:rsidP="00F74615">
      <w:pPr>
        <w:spacing w:line="276" w:lineRule="auto"/>
        <w:jc w:val="both"/>
        <w:rPr>
          <w:rFonts w:ascii="Times New Roman" w:hAnsi="Times New Roman" w:cs="Times New Roman"/>
          <w:sz w:val="24"/>
        </w:rPr>
      </w:pPr>
    </w:p>
    <w:p w14:paraId="488D84D2" w14:textId="77777777" w:rsidR="00F45C56" w:rsidRPr="00A638EC" w:rsidRDefault="00F45C56" w:rsidP="00F45C56">
      <w:pPr>
        <w:pStyle w:val="ListParagraph"/>
        <w:spacing w:line="360" w:lineRule="auto"/>
        <w:jc w:val="both"/>
        <w:rPr>
          <w:rFonts w:ascii="Times New Roman" w:hAnsi="Times New Roman" w:cs="Times New Roman"/>
          <w:sz w:val="24"/>
        </w:rPr>
      </w:pPr>
    </w:p>
    <w:p w14:paraId="782D4095" w14:textId="77777777" w:rsidR="00926B2B" w:rsidRPr="00A638EC" w:rsidRDefault="00F45C56" w:rsidP="00F45C56">
      <w:pPr>
        <w:pStyle w:val="ListParagraph"/>
        <w:numPr>
          <w:ilvl w:val="0"/>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lastRenderedPageBreak/>
        <w:t xml:space="preserve">Introduction </w:t>
      </w:r>
    </w:p>
    <w:p w14:paraId="72FD3350" w14:textId="08A93957" w:rsidR="00930F19" w:rsidRPr="00A638EC" w:rsidRDefault="00300005" w:rsidP="00930F19">
      <w:pPr>
        <w:spacing w:line="360" w:lineRule="auto"/>
        <w:jc w:val="both"/>
        <w:rPr>
          <w:rFonts w:ascii="Times New Roman" w:hAnsi="Times New Roman" w:cs="Times New Roman"/>
          <w:sz w:val="24"/>
        </w:rPr>
      </w:pPr>
      <w:r w:rsidRPr="00300005">
        <w:rPr>
          <w:rFonts w:ascii="Times New Roman" w:hAnsi="Times New Roman" w:cs="Times New Roman"/>
          <w:sz w:val="24"/>
        </w:rPr>
        <w:t>Interest-Free Banking (IFB), also known as Sharia-compliant finance, is an alternative banking system that operates according to Islamic principles, with core tenets that prohibit the payment and receipt of interest (</w:t>
      </w:r>
      <w:proofErr w:type="spellStart"/>
      <w:r w:rsidRPr="00300005">
        <w:rPr>
          <w:rFonts w:ascii="Times New Roman" w:hAnsi="Times New Roman" w:cs="Times New Roman"/>
          <w:sz w:val="24"/>
        </w:rPr>
        <w:t>riba</w:t>
      </w:r>
      <w:proofErr w:type="spellEnd"/>
      <w:r w:rsidRPr="00300005">
        <w:rPr>
          <w:rFonts w:ascii="Times New Roman" w:hAnsi="Times New Roman" w:cs="Times New Roman"/>
          <w:sz w:val="24"/>
        </w:rPr>
        <w:t>) and require that profits, risks, and losses be shared fairly between parties. Additionally, IFB institutions must avoid investments in prohibited sectors such as alcohol, gambling, and pornography (</w:t>
      </w:r>
      <w:proofErr w:type="spellStart"/>
      <w:r w:rsidRPr="00300005">
        <w:rPr>
          <w:rFonts w:ascii="Times New Roman" w:hAnsi="Times New Roman" w:cs="Times New Roman"/>
          <w:sz w:val="24"/>
        </w:rPr>
        <w:t>Okumus</w:t>
      </w:r>
      <w:proofErr w:type="spellEnd"/>
      <w:r w:rsidRPr="00300005">
        <w:rPr>
          <w:rFonts w:ascii="Times New Roman" w:hAnsi="Times New Roman" w:cs="Times New Roman"/>
          <w:sz w:val="24"/>
        </w:rPr>
        <w:t xml:space="preserve"> et al., 2013). In Ethiopia, the journey of IFB began in 2008 when the National Bank of Ethiopia (NBE) issued Proclamation No. 592/2008, allowing conventional banks to mobilize non-interest-bearing deposits. This led to the formal launch of IFB services at window level by banks such as Oromia Bank and the Commercial Bank of Ethiopia (CBE) in 2013. A significant milestone was reached with Proclamation No. 1159/2019, which permitted the establishment of full-fledged interest-free banks, spurred by a government pledge in 2019. Consequently, while all conventional banks now offer IFB services through dedicated windows, full-fledged Islamic banks have also begun operations (Bekele, 2018). This evolution reflects Ethiopia's growing commitment to expanding financial inclusion by accommodating the banking needs of its Muslim population and those seeking ethical alternatives to conventional interest-based banking.</w:t>
      </w:r>
      <w:r>
        <w:rPr>
          <w:rFonts w:ascii="Times New Roman" w:hAnsi="Times New Roman" w:cs="Times New Roman"/>
          <w:sz w:val="24"/>
        </w:rPr>
        <w:t xml:space="preserve"> </w:t>
      </w:r>
      <w:r w:rsidR="00930F19" w:rsidRPr="00A638EC">
        <w:rPr>
          <w:rFonts w:ascii="Times New Roman" w:hAnsi="Times New Roman" w:cs="Times New Roman"/>
          <w:sz w:val="24"/>
        </w:rPr>
        <w:t xml:space="preserve">Despite this growth, the body of research on IFB service quality and its impact on customer satisfaction in Ethiopia remains limited. This gap is particularly noticeable in emerging towns. As a banker in the study area, the researcher observed a high level of customer dissatisfaction with IFB services at CBE branches in </w:t>
      </w:r>
      <w:proofErr w:type="spellStart"/>
      <w:r w:rsidR="00930F19" w:rsidRPr="00A638EC">
        <w:rPr>
          <w:rFonts w:ascii="Times New Roman" w:hAnsi="Times New Roman" w:cs="Times New Roman"/>
          <w:sz w:val="24"/>
        </w:rPr>
        <w:t>Yabello</w:t>
      </w:r>
      <w:proofErr w:type="spellEnd"/>
      <w:r w:rsidR="00930F19" w:rsidRPr="00A638EC">
        <w:rPr>
          <w:rFonts w:ascii="Times New Roman" w:hAnsi="Times New Roman" w:cs="Times New Roman"/>
          <w:sz w:val="24"/>
        </w:rPr>
        <w:t xml:space="preserve"> town. This practical observation, combined with the lack of recent, localized studies, motivated this research.</w:t>
      </w:r>
    </w:p>
    <w:p w14:paraId="6D5DE6D3" w14:textId="5F643B43" w:rsidR="00300005" w:rsidRPr="00300005" w:rsidRDefault="00300005" w:rsidP="00300005">
      <w:pPr>
        <w:spacing w:line="360" w:lineRule="auto"/>
        <w:jc w:val="both"/>
        <w:rPr>
          <w:rFonts w:ascii="Times New Roman" w:hAnsi="Times New Roman" w:cs="Times New Roman"/>
          <w:sz w:val="24"/>
        </w:rPr>
      </w:pPr>
      <w:r w:rsidRPr="00300005">
        <w:rPr>
          <w:rFonts w:ascii="Times New Roman" w:hAnsi="Times New Roman" w:cs="Times New Roman"/>
          <w:sz w:val="24"/>
        </w:rPr>
        <w:t>Delivering high-quality service is crucial for the survival and success of any bank, particularly in a competitive environment characterized by undifferentiated products (Hamdani, 2017). Customer dissatisfaction, often stemming from a gap between expected and received service quality, remains a primary reason for customer defection (</w:t>
      </w:r>
      <w:r>
        <w:rPr>
          <w:rFonts w:ascii="Times New Roman" w:hAnsi="Times New Roman" w:cs="Times New Roman"/>
          <w:sz w:val="24"/>
        </w:rPr>
        <w:t xml:space="preserve">Iqbal &amp; </w:t>
      </w:r>
      <w:proofErr w:type="spellStart"/>
      <w:r>
        <w:rPr>
          <w:rFonts w:ascii="Times New Roman" w:hAnsi="Times New Roman" w:cs="Times New Roman"/>
          <w:sz w:val="24"/>
        </w:rPr>
        <w:t>Mirakhor</w:t>
      </w:r>
      <w:proofErr w:type="spellEnd"/>
      <w:r>
        <w:rPr>
          <w:rFonts w:ascii="Times New Roman" w:hAnsi="Times New Roman" w:cs="Times New Roman"/>
          <w:sz w:val="24"/>
        </w:rPr>
        <w:t>, 2011</w:t>
      </w:r>
      <w:r w:rsidRPr="00300005">
        <w:rPr>
          <w:rFonts w:ascii="Times New Roman" w:hAnsi="Times New Roman" w:cs="Times New Roman"/>
          <w:sz w:val="24"/>
        </w:rPr>
        <w:t>). The introduction and success of Interest-Free Banking (IFB) face unique challenges, including misconceptions among non-Muslim populations, a lack of awareness, and negative perceptions that frame IFB as exclusively for Muslims (Iqbal &amp; Molyneux, 2005). In Ethiopia, specific hurdles such as an evolving legal framework, a shortage of skilled profession</w:t>
      </w:r>
      <w:r>
        <w:rPr>
          <w:rFonts w:ascii="Times New Roman" w:hAnsi="Times New Roman" w:cs="Times New Roman"/>
          <w:sz w:val="24"/>
        </w:rPr>
        <w:t xml:space="preserve">als, and operational weaknesses </w:t>
      </w:r>
      <w:r w:rsidRPr="00300005">
        <w:rPr>
          <w:rFonts w:ascii="Times New Roman" w:hAnsi="Times New Roman" w:cs="Times New Roman"/>
          <w:sz w:val="24"/>
        </w:rPr>
        <w:t>including understaffed IFB windows and emplo</w:t>
      </w:r>
      <w:r>
        <w:rPr>
          <w:rFonts w:ascii="Times New Roman" w:hAnsi="Times New Roman" w:cs="Times New Roman"/>
          <w:sz w:val="24"/>
        </w:rPr>
        <w:t xml:space="preserve">yees' limited product knowledge </w:t>
      </w:r>
      <w:r w:rsidRPr="00300005">
        <w:rPr>
          <w:rFonts w:ascii="Times New Roman" w:hAnsi="Times New Roman" w:cs="Times New Roman"/>
          <w:sz w:val="24"/>
        </w:rPr>
        <w:t>further hinder service delivery and contribute to customer dissatisfaction (</w:t>
      </w:r>
      <w:proofErr w:type="spellStart"/>
      <w:r w:rsidRPr="00300005">
        <w:rPr>
          <w:rFonts w:ascii="Times New Roman" w:hAnsi="Times New Roman" w:cs="Times New Roman"/>
          <w:sz w:val="24"/>
        </w:rPr>
        <w:t>Meraf</w:t>
      </w:r>
      <w:proofErr w:type="spellEnd"/>
      <w:r w:rsidRPr="00300005">
        <w:rPr>
          <w:rFonts w:ascii="Times New Roman" w:hAnsi="Times New Roman" w:cs="Times New Roman"/>
          <w:sz w:val="24"/>
        </w:rPr>
        <w:t xml:space="preserve">, 2018). Given these challenges, the general objective </w:t>
      </w:r>
      <w:r w:rsidRPr="00300005">
        <w:rPr>
          <w:rFonts w:ascii="Times New Roman" w:hAnsi="Times New Roman" w:cs="Times New Roman"/>
          <w:sz w:val="24"/>
        </w:rPr>
        <w:lastRenderedPageBreak/>
        <w:t xml:space="preserve">of this study is to examine the effect of Interest-Free Banking (IFB) service quality on customer satisfaction at Commercial Bank of Ethiopia (CBE) branches in </w:t>
      </w:r>
      <w:proofErr w:type="spellStart"/>
      <w:r w:rsidRPr="00300005">
        <w:rPr>
          <w:rFonts w:ascii="Times New Roman" w:hAnsi="Times New Roman" w:cs="Times New Roman"/>
          <w:sz w:val="24"/>
        </w:rPr>
        <w:t>Yabello</w:t>
      </w:r>
      <w:proofErr w:type="spellEnd"/>
      <w:r w:rsidRPr="00300005">
        <w:rPr>
          <w:rFonts w:ascii="Times New Roman" w:hAnsi="Times New Roman" w:cs="Times New Roman"/>
          <w:sz w:val="24"/>
        </w:rPr>
        <w:t xml:space="preserve"> town.</w:t>
      </w:r>
    </w:p>
    <w:p w14:paraId="6AEB3084" w14:textId="60ECE44D" w:rsidR="00F45C56" w:rsidRPr="00300005" w:rsidRDefault="00EF43AE" w:rsidP="00300005">
      <w:pPr>
        <w:pStyle w:val="ListParagraph"/>
        <w:numPr>
          <w:ilvl w:val="0"/>
          <w:numId w:val="1"/>
        </w:numPr>
        <w:spacing w:line="360" w:lineRule="auto"/>
        <w:jc w:val="both"/>
        <w:rPr>
          <w:rFonts w:ascii="Times New Roman" w:hAnsi="Times New Roman" w:cs="Times New Roman"/>
          <w:b/>
          <w:sz w:val="24"/>
        </w:rPr>
      </w:pPr>
      <w:r>
        <w:rPr>
          <w:rFonts w:ascii="Times New Roman" w:hAnsi="Times New Roman" w:cs="Times New Roman"/>
          <w:b/>
          <w:sz w:val="24"/>
        </w:rPr>
        <w:t xml:space="preserve">Literature Reviews </w:t>
      </w:r>
    </w:p>
    <w:p w14:paraId="5BB1360E" w14:textId="77777777" w:rsidR="00930F19" w:rsidRPr="00300005" w:rsidRDefault="0050357C" w:rsidP="00930F19">
      <w:pPr>
        <w:pStyle w:val="ListParagraph"/>
        <w:numPr>
          <w:ilvl w:val="1"/>
          <w:numId w:val="1"/>
        </w:numPr>
        <w:spacing w:line="360" w:lineRule="auto"/>
        <w:jc w:val="both"/>
        <w:rPr>
          <w:rFonts w:ascii="Times New Roman" w:hAnsi="Times New Roman" w:cs="Times New Roman"/>
          <w:b/>
          <w:sz w:val="24"/>
        </w:rPr>
      </w:pPr>
      <w:r w:rsidRPr="00300005">
        <w:rPr>
          <w:rFonts w:ascii="Times New Roman" w:hAnsi="Times New Roman" w:cs="Times New Roman"/>
          <w:b/>
          <w:sz w:val="24"/>
        </w:rPr>
        <w:t>Introduction</w:t>
      </w:r>
    </w:p>
    <w:p w14:paraId="3873ABE6" w14:textId="0D552002" w:rsidR="0050357C" w:rsidRPr="00A638EC" w:rsidRDefault="002D7414" w:rsidP="0050357C">
      <w:pPr>
        <w:spacing w:line="360" w:lineRule="auto"/>
        <w:jc w:val="both"/>
        <w:rPr>
          <w:rFonts w:ascii="Times New Roman" w:hAnsi="Times New Roman" w:cs="Times New Roman"/>
          <w:sz w:val="24"/>
        </w:rPr>
      </w:pPr>
      <w:r w:rsidRPr="002D7414">
        <w:rPr>
          <w:rFonts w:ascii="Times New Roman" w:hAnsi="Times New Roman" w:cs="Times New Roman"/>
          <w:sz w:val="24"/>
        </w:rPr>
        <w:t>This section reviews relevant literature on Interest-Free Banking (IFB) and service quality. It is organized into three subsections: theoretical literature, empirical studies, and conceptual framework. The review covers key variables including service quality dimensions, customer satisfaction, and the unique characteristics of IFB service delive</w:t>
      </w:r>
      <w:r w:rsidR="00220F87">
        <w:rPr>
          <w:rFonts w:ascii="Times New Roman" w:hAnsi="Times New Roman" w:cs="Times New Roman"/>
          <w:sz w:val="24"/>
        </w:rPr>
        <w:t xml:space="preserve">r. </w:t>
      </w:r>
    </w:p>
    <w:p w14:paraId="48967736" w14:textId="77777777" w:rsidR="00930F19" w:rsidRPr="00300005" w:rsidRDefault="00930F19" w:rsidP="00930F19">
      <w:pPr>
        <w:pStyle w:val="ListParagraph"/>
        <w:numPr>
          <w:ilvl w:val="1"/>
          <w:numId w:val="1"/>
        </w:numPr>
        <w:spacing w:line="360" w:lineRule="auto"/>
        <w:jc w:val="both"/>
        <w:rPr>
          <w:rFonts w:ascii="Times New Roman" w:hAnsi="Times New Roman" w:cs="Times New Roman"/>
          <w:b/>
          <w:sz w:val="24"/>
        </w:rPr>
      </w:pPr>
      <w:r w:rsidRPr="00300005">
        <w:rPr>
          <w:rFonts w:ascii="Times New Roman" w:hAnsi="Times New Roman" w:cs="Times New Roman"/>
          <w:b/>
          <w:sz w:val="24"/>
        </w:rPr>
        <w:t>Theoretical Literature Review</w:t>
      </w:r>
    </w:p>
    <w:p w14:paraId="5D4BD713" w14:textId="4C1A6FEF" w:rsidR="00220F87" w:rsidRPr="00220F87" w:rsidRDefault="00220F87" w:rsidP="00220F87">
      <w:pPr>
        <w:spacing w:line="360" w:lineRule="auto"/>
        <w:jc w:val="both"/>
        <w:rPr>
          <w:rFonts w:ascii="Times New Roman" w:hAnsi="Times New Roman" w:cs="Times New Roman"/>
          <w:sz w:val="24"/>
        </w:rPr>
      </w:pPr>
      <w:r w:rsidRPr="00220F87">
        <w:rPr>
          <w:rFonts w:ascii="Times New Roman" w:hAnsi="Times New Roman" w:cs="Times New Roman"/>
          <w:sz w:val="24"/>
        </w:rPr>
        <w:t>Service quality has been extensively studied in marketing and banking literature, with the most widely accepted framework being the SERVQUAL model developed by Parasuraman, Zeithaml, and Berry (1988). This model conceptualizes service quality as the gap between customer expectations and perceptions of actual service performance across five key dimensions: tangibles (physical facilities and appearance of personnel), reliability (ability to perform promised service dependably), responsiveness (willingness to help customers promptly), assurance (knowledge and courtesy of employees inspiring trust), and empathy (caring, individualized attention). The SERVQUAL model posits that customers evaluate service quality by comparin</w:t>
      </w:r>
      <w:r>
        <w:rPr>
          <w:rFonts w:ascii="Times New Roman" w:hAnsi="Times New Roman" w:cs="Times New Roman"/>
          <w:sz w:val="24"/>
        </w:rPr>
        <w:t xml:space="preserve">g expectations with perceptions </w:t>
      </w:r>
      <w:r w:rsidRPr="00220F87">
        <w:rPr>
          <w:rFonts w:ascii="Times New Roman" w:hAnsi="Times New Roman" w:cs="Times New Roman"/>
          <w:sz w:val="24"/>
        </w:rPr>
        <w:t>when perceptions meet or exceed expectations, customers perceive high service quality; when perceptions fall short, they perceive poor service quality (Parasuraman et al., 1988). This framework has been widely applied in banking contexts, including Islamic banking (Hamdani, 2017;</w:t>
      </w:r>
      <w:r>
        <w:rPr>
          <w:rFonts w:ascii="Times New Roman" w:hAnsi="Times New Roman" w:cs="Times New Roman"/>
          <w:sz w:val="24"/>
        </w:rPr>
        <w:t xml:space="preserve"> Othman &amp; Owen, 2001).</w:t>
      </w:r>
    </w:p>
    <w:p w14:paraId="6CF433A8" w14:textId="7E6BDB11" w:rsidR="00220F87" w:rsidRPr="00220F87" w:rsidRDefault="00220F87" w:rsidP="00220F87">
      <w:pPr>
        <w:spacing w:line="360" w:lineRule="auto"/>
        <w:jc w:val="both"/>
        <w:rPr>
          <w:rFonts w:ascii="Times New Roman" w:hAnsi="Times New Roman" w:cs="Times New Roman"/>
          <w:sz w:val="24"/>
        </w:rPr>
      </w:pPr>
      <w:r w:rsidRPr="00220F87">
        <w:rPr>
          <w:rFonts w:ascii="Times New Roman" w:hAnsi="Times New Roman" w:cs="Times New Roman"/>
          <w:sz w:val="24"/>
        </w:rPr>
        <w:t>Customer satisfaction, a central concept in service marketing, is explained by Oliver's (1997) Expectancy-Disconfirmation Theory, which holds that satisfaction results from the comparison between pre-consumption expectations and post-consumption perceived performance. Positive disconfirmation occurs when performance exceeds expectations, leading to satisfaction, while negative disconfirmation occurs when performance falls short, leading to dissatisfaction. Kotler and Keller (2016) further define customer satisfaction as the extent to which a product's perceived performance matches or exceeds buyer expectations, influenced in banking contexts by service quality, product features, convenience, and staff competence (</w:t>
      </w:r>
      <w:proofErr w:type="spellStart"/>
      <w:r w:rsidRPr="00220F87">
        <w:rPr>
          <w:rFonts w:ascii="Times New Roman" w:hAnsi="Times New Roman" w:cs="Times New Roman"/>
          <w:sz w:val="24"/>
        </w:rPr>
        <w:t>Zeithaml</w:t>
      </w:r>
      <w:proofErr w:type="spellEnd"/>
      <w:r w:rsidRPr="00220F87">
        <w:rPr>
          <w:rFonts w:ascii="Times New Roman" w:hAnsi="Times New Roman" w:cs="Times New Roman"/>
          <w:sz w:val="24"/>
        </w:rPr>
        <w:t xml:space="preserve">, </w:t>
      </w:r>
      <w:proofErr w:type="spellStart"/>
      <w:r w:rsidRPr="00220F87">
        <w:rPr>
          <w:rFonts w:ascii="Times New Roman" w:hAnsi="Times New Roman" w:cs="Times New Roman"/>
          <w:sz w:val="24"/>
        </w:rPr>
        <w:t>Bitner</w:t>
      </w:r>
      <w:proofErr w:type="spellEnd"/>
      <w:r w:rsidRPr="00220F87">
        <w:rPr>
          <w:rFonts w:ascii="Times New Roman" w:hAnsi="Times New Roman" w:cs="Times New Roman"/>
          <w:sz w:val="24"/>
        </w:rPr>
        <w:t xml:space="preserve">, &amp; </w:t>
      </w:r>
      <w:proofErr w:type="spellStart"/>
      <w:r w:rsidRPr="00220F87">
        <w:rPr>
          <w:rFonts w:ascii="Times New Roman" w:hAnsi="Times New Roman" w:cs="Times New Roman"/>
          <w:sz w:val="24"/>
        </w:rPr>
        <w:t>Gremler</w:t>
      </w:r>
      <w:proofErr w:type="spellEnd"/>
      <w:r w:rsidRPr="00220F87">
        <w:rPr>
          <w:rFonts w:ascii="Times New Roman" w:hAnsi="Times New Roman" w:cs="Times New Roman"/>
          <w:sz w:val="24"/>
        </w:rPr>
        <w:t xml:space="preserve">, 2018). </w:t>
      </w:r>
      <w:r w:rsidRPr="00220F87">
        <w:rPr>
          <w:rFonts w:ascii="Times New Roman" w:hAnsi="Times New Roman" w:cs="Times New Roman"/>
          <w:sz w:val="24"/>
        </w:rPr>
        <w:lastRenderedPageBreak/>
        <w:t>A substantial body of research confirms that service quality is a key antecedent of customer satisfaction, with studies finding that dimensions such as reliability, tangibility, responsiveness, and assurance positively correlate with satisfa</w:t>
      </w:r>
      <w:r>
        <w:rPr>
          <w:rFonts w:ascii="Times New Roman" w:hAnsi="Times New Roman" w:cs="Times New Roman"/>
          <w:sz w:val="24"/>
        </w:rPr>
        <w:t xml:space="preserve">ction </w:t>
      </w:r>
      <w:r w:rsidRPr="00220F87">
        <w:rPr>
          <w:rFonts w:ascii="Times New Roman" w:hAnsi="Times New Roman" w:cs="Times New Roman"/>
          <w:sz w:val="24"/>
        </w:rPr>
        <w:t>as service quality improves, the probability of customer satisfaction increases (</w:t>
      </w:r>
      <w:proofErr w:type="spellStart"/>
      <w:r w:rsidRPr="00220F87">
        <w:rPr>
          <w:rFonts w:ascii="Times New Roman" w:hAnsi="Times New Roman" w:cs="Times New Roman"/>
          <w:sz w:val="24"/>
        </w:rPr>
        <w:t>Khattak</w:t>
      </w:r>
      <w:proofErr w:type="spellEnd"/>
      <w:r>
        <w:rPr>
          <w:rFonts w:ascii="Times New Roman" w:hAnsi="Times New Roman" w:cs="Times New Roman"/>
          <w:sz w:val="24"/>
        </w:rPr>
        <w:t xml:space="preserve"> &amp; </w:t>
      </w:r>
      <w:proofErr w:type="spellStart"/>
      <w:r>
        <w:rPr>
          <w:rFonts w:ascii="Times New Roman" w:hAnsi="Times New Roman" w:cs="Times New Roman"/>
          <w:sz w:val="24"/>
        </w:rPr>
        <w:t>Rehman</w:t>
      </w:r>
      <w:proofErr w:type="spellEnd"/>
      <w:r>
        <w:rPr>
          <w:rFonts w:ascii="Times New Roman" w:hAnsi="Times New Roman" w:cs="Times New Roman"/>
          <w:sz w:val="24"/>
        </w:rPr>
        <w:t xml:space="preserve">, 2010; </w:t>
      </w:r>
      <w:proofErr w:type="spellStart"/>
      <w:r>
        <w:rPr>
          <w:rFonts w:ascii="Times New Roman" w:hAnsi="Times New Roman" w:cs="Times New Roman"/>
          <w:sz w:val="24"/>
        </w:rPr>
        <w:t>Shanka</w:t>
      </w:r>
      <w:proofErr w:type="spellEnd"/>
      <w:r>
        <w:rPr>
          <w:rFonts w:ascii="Times New Roman" w:hAnsi="Times New Roman" w:cs="Times New Roman"/>
          <w:sz w:val="24"/>
        </w:rPr>
        <w:t>, 2012).</w:t>
      </w:r>
    </w:p>
    <w:p w14:paraId="031C8988" w14:textId="4A267100" w:rsidR="00220F87" w:rsidRPr="00220F87" w:rsidRDefault="00220F87" w:rsidP="00220F87">
      <w:pPr>
        <w:spacing w:line="360" w:lineRule="auto"/>
        <w:jc w:val="both"/>
        <w:rPr>
          <w:rFonts w:ascii="Times New Roman" w:hAnsi="Times New Roman" w:cs="Times New Roman"/>
          <w:sz w:val="24"/>
        </w:rPr>
      </w:pPr>
      <w:r w:rsidRPr="00220F87">
        <w:rPr>
          <w:rFonts w:ascii="Times New Roman" w:hAnsi="Times New Roman" w:cs="Times New Roman"/>
          <w:sz w:val="24"/>
        </w:rPr>
        <w:t>Interest-Free Banking (IFB), also known as Islamic banking or Sharia-compliant banking, operates on principles derived from Islamic law (Sharia). The National Bank of Ethiopia (2011) defines IFB as banking that mobilizes and advances funds consistent with Sharia principles, avoiding interest-based transactions, while the Organization of Islamic Cooperation adds that IFB institutions must explicitly commit to Sharia in their statutes and prohibit interest in all operations. The foundational tenets of IFB include the prohibition of interest (</w:t>
      </w:r>
      <w:proofErr w:type="spellStart"/>
      <w:r w:rsidRPr="00220F87">
        <w:rPr>
          <w:rFonts w:ascii="Times New Roman" w:hAnsi="Times New Roman" w:cs="Times New Roman"/>
          <w:sz w:val="24"/>
        </w:rPr>
        <w:t>riba</w:t>
      </w:r>
      <w:proofErr w:type="spellEnd"/>
      <w:r w:rsidRPr="00220F87">
        <w:rPr>
          <w:rFonts w:ascii="Times New Roman" w:hAnsi="Times New Roman" w:cs="Times New Roman"/>
          <w:sz w:val="24"/>
        </w:rPr>
        <w:t>), profit and loss sharing, asset-backed financing, prohibition of excessive uncertainty (</w:t>
      </w:r>
      <w:proofErr w:type="spellStart"/>
      <w:r w:rsidRPr="00220F87">
        <w:rPr>
          <w:rFonts w:ascii="Times New Roman" w:hAnsi="Times New Roman" w:cs="Times New Roman"/>
          <w:sz w:val="24"/>
        </w:rPr>
        <w:t>gharar</w:t>
      </w:r>
      <w:proofErr w:type="spellEnd"/>
      <w:r w:rsidRPr="00220F87">
        <w:rPr>
          <w:rFonts w:ascii="Times New Roman" w:hAnsi="Times New Roman" w:cs="Times New Roman"/>
          <w:sz w:val="24"/>
        </w:rPr>
        <w:t>), and prohibition of investments in haram sectors such as alcohol and gambling (Iqbal &amp; Molyneux, 2005). According to Iqbal and Molyneux (2005), IFB is not merely a religious alternative but a distinct banking model emphasizing ethical finance, risk-sharing, and social justice, with success depending not only on religious compliance but also on delivering high-quality service th</w:t>
      </w:r>
      <w:r>
        <w:rPr>
          <w:rFonts w:ascii="Times New Roman" w:hAnsi="Times New Roman" w:cs="Times New Roman"/>
          <w:sz w:val="24"/>
        </w:rPr>
        <w:t>at meets customer expectations.</w:t>
      </w:r>
    </w:p>
    <w:p w14:paraId="1B35A811" w14:textId="2E5A3DB9" w:rsidR="00220F87" w:rsidRPr="00220F87" w:rsidRDefault="00220F87" w:rsidP="00220F87">
      <w:pPr>
        <w:spacing w:line="360" w:lineRule="auto"/>
        <w:jc w:val="both"/>
        <w:rPr>
          <w:rFonts w:ascii="Times New Roman" w:hAnsi="Times New Roman" w:cs="Times New Roman"/>
          <w:sz w:val="24"/>
        </w:rPr>
      </w:pPr>
      <w:r w:rsidRPr="00220F87">
        <w:rPr>
          <w:rFonts w:ascii="Times New Roman" w:hAnsi="Times New Roman" w:cs="Times New Roman"/>
          <w:sz w:val="24"/>
        </w:rPr>
        <w:t xml:space="preserve">While interest-free finance has historical roots dating back centuries, the modern contemporary experiment began in 1963 with the </w:t>
      </w:r>
      <w:proofErr w:type="spellStart"/>
      <w:r w:rsidRPr="00220F87">
        <w:rPr>
          <w:rFonts w:ascii="Times New Roman" w:hAnsi="Times New Roman" w:cs="Times New Roman"/>
          <w:sz w:val="24"/>
        </w:rPr>
        <w:t>Mit-Ghamr</w:t>
      </w:r>
      <w:proofErr w:type="spellEnd"/>
      <w:r w:rsidRPr="00220F87">
        <w:rPr>
          <w:rFonts w:ascii="Times New Roman" w:hAnsi="Times New Roman" w:cs="Times New Roman"/>
          <w:sz w:val="24"/>
        </w:rPr>
        <w:t xml:space="preserve"> Islamic Saving Bank in Egypt. Today, over 450 IFB institutions operate globally, managing assets exceeding one trillion US dollars (Abdu, 2019). In Ethiopia, IFB began in 2008 when the National Bank of Ethiopia issued Proclamation No. 592/2008, allowing conventional banks to mobilize non-interest-bearing deposits, followed by Directive No. SBB/51/2011 which authorized banks to offer IFB through dedicated windows. Oromia Bank launched the first IFB services in 2013, with the Commercial Bank of Ethiopia (CBE) following the same year. A significant milestone came with Proclamation No. 1159/2019, permitting full-fledged Islamic banks, leading to the establishment of dedicated Islamic financial institutions (Bekele, 2018). CBE specifically launched its IFB service on October 28, 2013, across 23 branches in Addis Ababa and ma</w:t>
      </w:r>
      <w:r w:rsidR="00EF43AE">
        <w:rPr>
          <w:rFonts w:ascii="Times New Roman" w:hAnsi="Times New Roman" w:cs="Times New Roman"/>
          <w:sz w:val="24"/>
        </w:rPr>
        <w:t>jor regional towns (CBE, 2013).</w:t>
      </w:r>
    </w:p>
    <w:p w14:paraId="0976F233" w14:textId="42A557B9" w:rsidR="00220F87" w:rsidRPr="00220F87" w:rsidRDefault="00220F87" w:rsidP="00220F87">
      <w:pPr>
        <w:spacing w:line="360" w:lineRule="auto"/>
        <w:jc w:val="both"/>
        <w:rPr>
          <w:rFonts w:ascii="Times New Roman" w:hAnsi="Times New Roman" w:cs="Times New Roman"/>
          <w:sz w:val="24"/>
        </w:rPr>
      </w:pPr>
      <w:r w:rsidRPr="00220F87">
        <w:rPr>
          <w:rFonts w:ascii="Times New Roman" w:hAnsi="Times New Roman" w:cs="Times New Roman"/>
          <w:sz w:val="24"/>
        </w:rPr>
        <w:t xml:space="preserve">Three main models exist for delivering IFB services: the window level (a dedicated counter within a conventional branch), the branch level (a fully dedicated branch offering only Sharia-compliant products), and the full-fledged bank level (an independent bank operating entirely on Islamic </w:t>
      </w:r>
      <w:r w:rsidRPr="00220F87">
        <w:rPr>
          <w:rFonts w:ascii="Times New Roman" w:hAnsi="Times New Roman" w:cs="Times New Roman"/>
          <w:sz w:val="24"/>
        </w:rPr>
        <w:lastRenderedPageBreak/>
        <w:t xml:space="preserve">principles). According to CBE's 2020/21 annual report, the bank offers six main IFB products and services: deposit and investment services (including </w:t>
      </w:r>
      <w:proofErr w:type="spellStart"/>
      <w:r w:rsidRPr="00220F87">
        <w:rPr>
          <w:rFonts w:ascii="Times New Roman" w:hAnsi="Times New Roman" w:cs="Times New Roman"/>
          <w:sz w:val="24"/>
        </w:rPr>
        <w:t>Wadiah</w:t>
      </w:r>
      <w:proofErr w:type="spellEnd"/>
      <w:r w:rsidRPr="00220F87">
        <w:rPr>
          <w:rFonts w:ascii="Times New Roman" w:hAnsi="Times New Roman" w:cs="Times New Roman"/>
          <w:sz w:val="24"/>
        </w:rPr>
        <w:t xml:space="preserve">, </w:t>
      </w:r>
      <w:proofErr w:type="spellStart"/>
      <w:r w:rsidRPr="00220F87">
        <w:rPr>
          <w:rFonts w:ascii="Times New Roman" w:hAnsi="Times New Roman" w:cs="Times New Roman"/>
          <w:sz w:val="24"/>
        </w:rPr>
        <w:t>Qard</w:t>
      </w:r>
      <w:proofErr w:type="spellEnd"/>
      <w:r w:rsidRPr="00220F87">
        <w:rPr>
          <w:rFonts w:ascii="Times New Roman" w:hAnsi="Times New Roman" w:cs="Times New Roman"/>
          <w:sz w:val="24"/>
        </w:rPr>
        <w:t xml:space="preserve">, and </w:t>
      </w:r>
      <w:proofErr w:type="spellStart"/>
      <w:r w:rsidRPr="00220F87">
        <w:rPr>
          <w:rFonts w:ascii="Times New Roman" w:hAnsi="Times New Roman" w:cs="Times New Roman"/>
          <w:sz w:val="24"/>
        </w:rPr>
        <w:t>Mudharabah</w:t>
      </w:r>
      <w:proofErr w:type="spellEnd"/>
      <w:r w:rsidRPr="00220F87">
        <w:rPr>
          <w:rFonts w:ascii="Times New Roman" w:hAnsi="Times New Roman" w:cs="Times New Roman"/>
          <w:sz w:val="24"/>
        </w:rPr>
        <w:t xml:space="preserve">), financing services (including </w:t>
      </w:r>
      <w:proofErr w:type="spellStart"/>
      <w:r w:rsidRPr="00220F87">
        <w:rPr>
          <w:rFonts w:ascii="Times New Roman" w:hAnsi="Times New Roman" w:cs="Times New Roman"/>
          <w:sz w:val="24"/>
        </w:rPr>
        <w:t>Murabahah</w:t>
      </w:r>
      <w:proofErr w:type="spellEnd"/>
      <w:r w:rsidRPr="00220F87">
        <w:rPr>
          <w:rFonts w:ascii="Times New Roman" w:hAnsi="Times New Roman" w:cs="Times New Roman"/>
          <w:sz w:val="24"/>
        </w:rPr>
        <w:t xml:space="preserve">, </w:t>
      </w:r>
      <w:proofErr w:type="spellStart"/>
      <w:r w:rsidRPr="00220F87">
        <w:rPr>
          <w:rFonts w:ascii="Times New Roman" w:hAnsi="Times New Roman" w:cs="Times New Roman"/>
          <w:sz w:val="24"/>
        </w:rPr>
        <w:t>Ijarah</w:t>
      </w:r>
      <w:proofErr w:type="spellEnd"/>
      <w:r w:rsidRPr="00220F87">
        <w:rPr>
          <w:rFonts w:ascii="Times New Roman" w:hAnsi="Times New Roman" w:cs="Times New Roman"/>
          <w:sz w:val="24"/>
        </w:rPr>
        <w:t>, and Salam), and other services such as letter of guarantee (Kefala), trade services, money transfer (</w:t>
      </w:r>
      <w:proofErr w:type="spellStart"/>
      <w:r w:rsidRPr="00220F87">
        <w:rPr>
          <w:rFonts w:ascii="Times New Roman" w:hAnsi="Times New Roman" w:cs="Times New Roman"/>
          <w:sz w:val="24"/>
        </w:rPr>
        <w:t>Haw</w:t>
      </w:r>
      <w:r>
        <w:rPr>
          <w:rFonts w:ascii="Times New Roman" w:hAnsi="Times New Roman" w:cs="Times New Roman"/>
          <w:sz w:val="24"/>
        </w:rPr>
        <w:t>allah</w:t>
      </w:r>
      <w:proofErr w:type="spellEnd"/>
      <w:r>
        <w:rPr>
          <w:rFonts w:ascii="Times New Roman" w:hAnsi="Times New Roman" w:cs="Times New Roman"/>
          <w:sz w:val="24"/>
        </w:rPr>
        <w:t>), and foreign exchange.</w:t>
      </w:r>
    </w:p>
    <w:p w14:paraId="060CCBF2" w14:textId="1FE4CBB3" w:rsidR="00220F87" w:rsidRDefault="00220F87" w:rsidP="00220F87">
      <w:pPr>
        <w:spacing w:line="360" w:lineRule="auto"/>
        <w:jc w:val="both"/>
        <w:rPr>
          <w:rFonts w:ascii="Times New Roman" w:hAnsi="Times New Roman" w:cs="Times New Roman"/>
          <w:sz w:val="24"/>
        </w:rPr>
      </w:pPr>
      <w:r w:rsidRPr="00220F87">
        <w:rPr>
          <w:rFonts w:ascii="Times New Roman" w:hAnsi="Times New Roman" w:cs="Times New Roman"/>
          <w:sz w:val="24"/>
        </w:rPr>
        <w:t>Recognizing the unique characteristics of IFB, Othman and Owen (2001) developed the CARTER model, an adapted SERVQUAL framework for Islamic banking that adds compliance with Sharia principles as a distinct and critical dimension alongside assurance, reliability, tangibles, empathy, and responsiveness, thereby distinguishing IFB service quality from conventional banking (Othman &amp; Owen, 2001; Hamdani, 2017). This integrated framework is particularly relevant for assessing service quality in IFB contexts, as it acknowledges that customers evaluate both conventional service dimensions and religious compliance when forming satisfaction judgments. In summary, the theoretical literature e</w:t>
      </w:r>
      <w:r>
        <w:rPr>
          <w:rFonts w:ascii="Times New Roman" w:hAnsi="Times New Roman" w:cs="Times New Roman"/>
          <w:sz w:val="24"/>
        </w:rPr>
        <w:t xml:space="preserve">stablishes that service quality </w:t>
      </w:r>
      <w:r w:rsidRPr="00220F87">
        <w:rPr>
          <w:rFonts w:ascii="Times New Roman" w:hAnsi="Times New Roman" w:cs="Times New Roman"/>
          <w:sz w:val="24"/>
        </w:rPr>
        <w:t>conceptualized through the SERVQUAL and CARTER</w:t>
      </w:r>
      <w:r>
        <w:rPr>
          <w:rFonts w:ascii="Times New Roman" w:hAnsi="Times New Roman" w:cs="Times New Roman"/>
          <w:sz w:val="24"/>
        </w:rPr>
        <w:t xml:space="preserve"> dimensions </w:t>
      </w:r>
      <w:r w:rsidRPr="00220F87">
        <w:rPr>
          <w:rFonts w:ascii="Times New Roman" w:hAnsi="Times New Roman" w:cs="Times New Roman"/>
          <w:sz w:val="24"/>
        </w:rPr>
        <w:t>is a key determinant of customer satisfaction, and that IFB operates under distinct principles that shape customer expectations and service delivery requirements.</w:t>
      </w:r>
    </w:p>
    <w:p w14:paraId="448BE6A8" w14:textId="77777777" w:rsidR="00220F87" w:rsidRDefault="00220F87" w:rsidP="00220F87">
      <w:pPr>
        <w:spacing w:line="360" w:lineRule="auto"/>
        <w:jc w:val="both"/>
        <w:rPr>
          <w:rFonts w:ascii="Times New Roman" w:hAnsi="Times New Roman" w:cs="Times New Roman"/>
          <w:sz w:val="24"/>
        </w:rPr>
      </w:pPr>
    </w:p>
    <w:p w14:paraId="6C500139" w14:textId="77777777" w:rsidR="00DA6B4E" w:rsidRPr="00300005" w:rsidRDefault="00DA6B4E" w:rsidP="00DA6B4E">
      <w:pPr>
        <w:pStyle w:val="ListParagraph"/>
        <w:numPr>
          <w:ilvl w:val="1"/>
          <w:numId w:val="1"/>
        </w:numPr>
        <w:spacing w:line="360" w:lineRule="auto"/>
        <w:jc w:val="both"/>
        <w:rPr>
          <w:rFonts w:ascii="Times New Roman" w:hAnsi="Times New Roman" w:cs="Times New Roman"/>
          <w:b/>
          <w:sz w:val="24"/>
        </w:rPr>
      </w:pPr>
      <w:r w:rsidRPr="00300005">
        <w:rPr>
          <w:rFonts w:ascii="Times New Roman" w:hAnsi="Times New Roman" w:cs="Times New Roman"/>
          <w:b/>
          <w:sz w:val="24"/>
        </w:rPr>
        <w:t>Review of Empirical Studies</w:t>
      </w:r>
    </w:p>
    <w:p w14:paraId="700ACFD3" w14:textId="30FF2EEA" w:rsidR="00EF43AE" w:rsidRPr="00EF43AE" w:rsidRDefault="00EF43AE" w:rsidP="00EF43AE">
      <w:pPr>
        <w:spacing w:line="360" w:lineRule="auto"/>
        <w:jc w:val="both"/>
        <w:rPr>
          <w:rFonts w:ascii="Times New Roman" w:hAnsi="Times New Roman" w:cs="Times New Roman"/>
          <w:sz w:val="24"/>
        </w:rPr>
      </w:pPr>
      <w:r w:rsidRPr="00EF43AE">
        <w:rPr>
          <w:rFonts w:ascii="Times New Roman" w:hAnsi="Times New Roman" w:cs="Times New Roman"/>
          <w:sz w:val="24"/>
        </w:rPr>
        <w:t xml:space="preserve">Several international and local studies have examined the relationship between Interest-Free Banking (IFB) and customer satisfaction, yielding insights that inform the present research across international, national, and regional contexts. At the international level, Hamdani (2017) found that customer satisfaction in Islamic banking is crucial for building loyalty in Pakistan, recommending that banks prioritize profitability and corporate image to strengthen customer relationships, while </w:t>
      </w:r>
      <w:proofErr w:type="spellStart"/>
      <w:r w:rsidRPr="00EF43AE">
        <w:rPr>
          <w:rFonts w:ascii="Times New Roman" w:hAnsi="Times New Roman" w:cs="Times New Roman"/>
          <w:sz w:val="24"/>
        </w:rPr>
        <w:t>Khattak</w:t>
      </w:r>
      <w:proofErr w:type="spellEnd"/>
      <w:r w:rsidRPr="00EF43AE">
        <w:rPr>
          <w:rFonts w:ascii="Times New Roman" w:hAnsi="Times New Roman" w:cs="Times New Roman"/>
          <w:sz w:val="24"/>
        </w:rPr>
        <w:t xml:space="preserve"> and </w:t>
      </w:r>
      <w:proofErr w:type="spellStart"/>
      <w:r w:rsidRPr="00EF43AE">
        <w:rPr>
          <w:rFonts w:ascii="Times New Roman" w:hAnsi="Times New Roman" w:cs="Times New Roman"/>
          <w:sz w:val="24"/>
        </w:rPr>
        <w:t>Rehman</w:t>
      </w:r>
      <w:proofErr w:type="spellEnd"/>
      <w:r w:rsidRPr="00EF43AE">
        <w:rPr>
          <w:rFonts w:ascii="Times New Roman" w:hAnsi="Times New Roman" w:cs="Times New Roman"/>
          <w:sz w:val="24"/>
        </w:rPr>
        <w:t xml:space="preserve"> (2010) demonstrated that customer awareness and satisfaction were generally positive though requiring improved marketing strategies to convert latent satisfaction into sustained loyalty. In Turkey, </w:t>
      </w:r>
      <w:proofErr w:type="spellStart"/>
      <w:r w:rsidRPr="00EF43AE">
        <w:rPr>
          <w:rFonts w:ascii="Times New Roman" w:hAnsi="Times New Roman" w:cs="Times New Roman"/>
          <w:sz w:val="24"/>
        </w:rPr>
        <w:t>Okumus</w:t>
      </w:r>
      <w:proofErr w:type="spellEnd"/>
      <w:r w:rsidRPr="00EF43AE">
        <w:rPr>
          <w:rFonts w:ascii="Times New Roman" w:hAnsi="Times New Roman" w:cs="Times New Roman"/>
          <w:sz w:val="24"/>
        </w:rPr>
        <w:t xml:space="preserve"> and </w:t>
      </w:r>
      <w:proofErr w:type="spellStart"/>
      <w:r w:rsidRPr="00EF43AE">
        <w:rPr>
          <w:rFonts w:ascii="Times New Roman" w:hAnsi="Times New Roman" w:cs="Times New Roman"/>
          <w:sz w:val="24"/>
        </w:rPr>
        <w:t>Genc</w:t>
      </w:r>
      <w:proofErr w:type="spellEnd"/>
      <w:r w:rsidRPr="00EF43AE">
        <w:rPr>
          <w:rFonts w:ascii="Times New Roman" w:hAnsi="Times New Roman" w:cs="Times New Roman"/>
          <w:sz w:val="24"/>
        </w:rPr>
        <w:t xml:space="preserve"> (2013) reported lower satisfaction levels attributed to limited branch networks and high service fees, yet identified religious motivation as the pr</w:t>
      </w:r>
      <w:r>
        <w:rPr>
          <w:rFonts w:ascii="Times New Roman" w:hAnsi="Times New Roman" w:cs="Times New Roman"/>
          <w:sz w:val="24"/>
        </w:rPr>
        <w:t xml:space="preserve">imary driver for bank selection </w:t>
      </w:r>
      <w:r w:rsidRPr="00EF43AE">
        <w:rPr>
          <w:rFonts w:ascii="Times New Roman" w:hAnsi="Times New Roman" w:cs="Times New Roman"/>
          <w:sz w:val="24"/>
        </w:rPr>
        <w:t xml:space="preserve">a finding that aligns with Iqbal and Molyneux (2005), who established that service quality and Sharia compliance constitute fundamental drivers of customer satisfaction, with religious motivation consistently serving as a primary factor in bank selection decisions. </w:t>
      </w:r>
      <w:proofErr w:type="spellStart"/>
      <w:r w:rsidRPr="00EF43AE">
        <w:rPr>
          <w:rFonts w:ascii="Times New Roman" w:hAnsi="Times New Roman" w:cs="Times New Roman"/>
          <w:sz w:val="24"/>
        </w:rPr>
        <w:t>Alharbi</w:t>
      </w:r>
      <w:proofErr w:type="spellEnd"/>
      <w:r w:rsidRPr="00EF43AE">
        <w:rPr>
          <w:rFonts w:ascii="Times New Roman" w:hAnsi="Times New Roman" w:cs="Times New Roman"/>
          <w:sz w:val="24"/>
        </w:rPr>
        <w:t xml:space="preserve"> (2016) further notes that global Islamic banking </w:t>
      </w:r>
      <w:r w:rsidRPr="00EF43AE">
        <w:rPr>
          <w:rFonts w:ascii="Times New Roman" w:hAnsi="Times New Roman" w:cs="Times New Roman"/>
          <w:sz w:val="24"/>
        </w:rPr>
        <w:lastRenderedPageBreak/>
        <w:t>development has increasingly emphasized compliance with Islamic principles as a core service quality dimension distinguishing Islamic from conventional banking paradigms.</w:t>
      </w:r>
    </w:p>
    <w:p w14:paraId="69D3B6BA" w14:textId="77777777" w:rsidR="00EF43AE" w:rsidRPr="00EF43AE" w:rsidRDefault="00EF43AE" w:rsidP="00EF43AE">
      <w:pPr>
        <w:spacing w:line="360" w:lineRule="auto"/>
        <w:jc w:val="both"/>
        <w:rPr>
          <w:rFonts w:ascii="Times New Roman" w:hAnsi="Times New Roman" w:cs="Times New Roman"/>
          <w:sz w:val="24"/>
        </w:rPr>
      </w:pPr>
      <w:r w:rsidRPr="00EF43AE">
        <w:rPr>
          <w:rFonts w:ascii="Times New Roman" w:hAnsi="Times New Roman" w:cs="Times New Roman"/>
          <w:sz w:val="24"/>
        </w:rPr>
        <w:t xml:space="preserve">Within Ethiopia, </w:t>
      </w:r>
      <w:proofErr w:type="spellStart"/>
      <w:r w:rsidRPr="00EF43AE">
        <w:rPr>
          <w:rFonts w:ascii="Times New Roman" w:hAnsi="Times New Roman" w:cs="Times New Roman"/>
          <w:sz w:val="24"/>
        </w:rPr>
        <w:t>Meraf</w:t>
      </w:r>
      <w:proofErr w:type="spellEnd"/>
      <w:r w:rsidRPr="00EF43AE">
        <w:rPr>
          <w:rFonts w:ascii="Times New Roman" w:hAnsi="Times New Roman" w:cs="Times New Roman"/>
          <w:sz w:val="24"/>
        </w:rPr>
        <w:t xml:space="preserve"> (2018) examined service quality effects at the Commercial Bank of Ethiopia (CBE), finding that service quality dimensions significantly influenced satisfaction outcomes; Bekele (2018) investigated adoption factors at United Bank, demonstrating that Sharia compliance, relative advantage, and accessibility maintained significant positive relationships with IFB adoption; and </w:t>
      </w:r>
      <w:proofErr w:type="spellStart"/>
      <w:r w:rsidRPr="00EF43AE">
        <w:rPr>
          <w:rFonts w:ascii="Times New Roman" w:hAnsi="Times New Roman" w:cs="Times New Roman"/>
          <w:sz w:val="24"/>
        </w:rPr>
        <w:t>Endale</w:t>
      </w:r>
      <w:proofErr w:type="spellEnd"/>
      <w:r w:rsidRPr="00EF43AE">
        <w:rPr>
          <w:rFonts w:ascii="Times New Roman" w:hAnsi="Times New Roman" w:cs="Times New Roman"/>
          <w:sz w:val="24"/>
        </w:rPr>
        <w:t xml:space="preserve"> (2015) assessed customer perceptions at CBE, finding that service quality, staff quality, branch location, and religion significantly influenced customer choice decisions. At the regional level in Oromia, Abdu (2019) identified awareness and accessibility as critical challenges in IFB expansion, while </w:t>
      </w:r>
      <w:proofErr w:type="spellStart"/>
      <w:r w:rsidRPr="00EF43AE">
        <w:rPr>
          <w:rFonts w:ascii="Times New Roman" w:hAnsi="Times New Roman" w:cs="Times New Roman"/>
          <w:sz w:val="24"/>
        </w:rPr>
        <w:t>Abera</w:t>
      </w:r>
      <w:proofErr w:type="spellEnd"/>
      <w:r w:rsidRPr="00EF43AE">
        <w:rPr>
          <w:rFonts w:ascii="Times New Roman" w:hAnsi="Times New Roman" w:cs="Times New Roman"/>
          <w:sz w:val="24"/>
        </w:rPr>
        <w:t xml:space="preserve"> (2017) highlighted the dual importance of customer satisfaction and awareness in driving IFB adoption, underscoring that institutional capacity and geographic accessibility moderate the relationship between service quality and customer outcomes in rural and underserved areas.</w:t>
      </w:r>
    </w:p>
    <w:p w14:paraId="38E92446" w14:textId="3D7D335D" w:rsidR="00EF43AE" w:rsidRDefault="00EF43AE" w:rsidP="00EF43AE">
      <w:pPr>
        <w:spacing w:line="360" w:lineRule="auto"/>
        <w:jc w:val="both"/>
        <w:rPr>
          <w:rFonts w:ascii="Times New Roman" w:hAnsi="Times New Roman" w:cs="Times New Roman"/>
          <w:sz w:val="24"/>
        </w:rPr>
      </w:pPr>
      <w:r w:rsidRPr="00EF43AE">
        <w:rPr>
          <w:rFonts w:ascii="Times New Roman" w:hAnsi="Times New Roman" w:cs="Times New Roman"/>
          <w:sz w:val="24"/>
        </w:rPr>
        <w:t>Synthesizing these empirical patterns, several key insights emerge: religious motivation consistently appears as a primary driver for IFB selection across diverse contexts, often compensating for functional service limitati</w:t>
      </w:r>
      <w:r>
        <w:rPr>
          <w:rFonts w:ascii="Times New Roman" w:hAnsi="Times New Roman" w:cs="Times New Roman"/>
          <w:sz w:val="24"/>
        </w:rPr>
        <w:t xml:space="preserve">ons; service quality dimensions </w:t>
      </w:r>
      <w:r w:rsidRPr="00EF43AE">
        <w:rPr>
          <w:rFonts w:ascii="Times New Roman" w:hAnsi="Times New Roman" w:cs="Times New Roman"/>
          <w:sz w:val="24"/>
        </w:rPr>
        <w:t>particularly Sharia compliance, accessibility, st</w:t>
      </w:r>
      <w:r>
        <w:rPr>
          <w:rFonts w:ascii="Times New Roman" w:hAnsi="Times New Roman" w:cs="Times New Roman"/>
          <w:sz w:val="24"/>
        </w:rPr>
        <w:t xml:space="preserve">aff competence, and reliability </w:t>
      </w:r>
      <w:r w:rsidRPr="00EF43AE">
        <w:rPr>
          <w:rFonts w:ascii="Times New Roman" w:hAnsi="Times New Roman" w:cs="Times New Roman"/>
          <w:sz w:val="24"/>
        </w:rPr>
        <w:t xml:space="preserve">demonstrate significant positive relationships with both customer satisfaction and adoption; and IFB customer satisfaction is multidimensional, incorporating both functional service attributes and affective religious commitments. Collectively, these empirical findings establish that IFB customer satisfaction is shaped by the interplay of functional service quality, institutional accessibility, and customer awareness, all moderated by the distinctive role of religious motivation, providing a robust foundation for examining the effect of IFB service quality on customer satisfaction at Commercial Bank of Ethiopia branches in </w:t>
      </w:r>
      <w:proofErr w:type="spellStart"/>
      <w:r w:rsidRPr="00EF43AE">
        <w:rPr>
          <w:rFonts w:ascii="Times New Roman" w:hAnsi="Times New Roman" w:cs="Times New Roman"/>
          <w:sz w:val="24"/>
        </w:rPr>
        <w:t>Yabello</w:t>
      </w:r>
      <w:proofErr w:type="spellEnd"/>
      <w:r w:rsidRPr="00EF43AE">
        <w:rPr>
          <w:rFonts w:ascii="Times New Roman" w:hAnsi="Times New Roman" w:cs="Times New Roman"/>
          <w:sz w:val="24"/>
        </w:rPr>
        <w:t xml:space="preserve"> town.</w:t>
      </w:r>
    </w:p>
    <w:p w14:paraId="4C5B18A3" w14:textId="77777777" w:rsidR="00DA6B4E" w:rsidRPr="00A638EC" w:rsidRDefault="00DA6B4E" w:rsidP="00DA6B4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Conceptual Framework of the Study</w:t>
      </w:r>
    </w:p>
    <w:p w14:paraId="5DCD06B2" w14:textId="77777777" w:rsidR="00DA6B4E" w:rsidRPr="00A638EC" w:rsidRDefault="00DA6B4E" w:rsidP="00DA6B4E">
      <w:pPr>
        <w:spacing w:after="200" w:line="360" w:lineRule="auto"/>
        <w:jc w:val="both"/>
        <w:rPr>
          <w:rFonts w:ascii="Times New Roman" w:eastAsia="Calibri" w:hAnsi="Times New Roman" w:cs="Times New Roman"/>
          <w:color w:val="000000"/>
          <w:sz w:val="24"/>
          <w:szCs w:val="24"/>
        </w:rPr>
      </w:pPr>
      <w:r w:rsidRPr="00A638EC">
        <w:rPr>
          <w:rFonts w:ascii="Times New Roman" w:hAnsi="Times New Roman" w:cs="Times New Roman"/>
          <w:sz w:val="24"/>
        </w:rPr>
        <w:t xml:space="preserve">  </w:t>
      </w:r>
      <w:r w:rsidRPr="00A638EC">
        <w:rPr>
          <w:rFonts w:ascii="Times New Roman" w:eastAsia="Calibri" w:hAnsi="Times New Roman" w:cs="Times New Roman"/>
          <w:color w:val="000000"/>
          <w:sz w:val="24"/>
          <w:szCs w:val="24"/>
        </w:rPr>
        <w:t xml:space="preserve">The conceptualization of current study was attempted to find out the relationship between </w:t>
      </w:r>
      <w:r w:rsidRPr="00A638EC">
        <w:rPr>
          <w:rFonts w:ascii="Times New Roman" w:eastAsia="Calibri" w:hAnsi="Times New Roman" w:cs="Times New Roman"/>
          <w:sz w:val="24"/>
          <w:szCs w:val="24"/>
        </w:rPr>
        <w:t>Interest Free Banking</w:t>
      </w:r>
      <w:r w:rsidRPr="00A638EC">
        <w:rPr>
          <w:rFonts w:ascii="Times New Roman" w:eastAsia="Calibri" w:hAnsi="Times New Roman" w:cs="Times New Roman"/>
          <w:color w:val="000000"/>
          <w:sz w:val="24"/>
          <w:szCs w:val="24"/>
        </w:rPr>
        <w:t xml:space="preserve"> Service Quality- the independent variable and Customers’ Satisfaction-dependent variable. As explained above in theoretical as well as empirical literature, service quality has an effect on customers’ satisfaction. Thus, in current study customers’ satisfaction is taken as dependent variable which is supposed to be affected by Interest Free Banking service quality </w:t>
      </w:r>
      <w:r w:rsidRPr="00A638EC">
        <w:rPr>
          <w:rFonts w:ascii="Times New Roman" w:eastAsia="Calibri" w:hAnsi="Times New Roman" w:cs="Times New Roman"/>
          <w:color w:val="000000"/>
          <w:sz w:val="24"/>
          <w:szCs w:val="24"/>
        </w:rPr>
        <w:lastRenderedPageBreak/>
        <w:t>dimensions i.e. compliance, reliability, responsiveness, assurance, tangibility, accessibility, and empathy as independent variables. Therefore, in line with the objective and hypotheses of study, and literatures’ reviewed; the researcher had developed the following conceptual framework for current study and diagrammatically depicted as follows:</w:t>
      </w:r>
    </w:p>
    <w:p w14:paraId="1D86C092" w14:textId="77777777" w:rsidR="00DA6B4E" w:rsidRPr="00A638EC" w:rsidRDefault="00DA6B4E" w:rsidP="00DA6B4E">
      <w:pPr>
        <w:spacing w:line="360" w:lineRule="auto"/>
        <w:rPr>
          <w:rFonts w:ascii="Times New Roman" w:eastAsia="Calibri" w:hAnsi="Times New Roman" w:cs="Times New Roman"/>
          <w:b/>
          <w:sz w:val="32"/>
          <w:szCs w:val="24"/>
        </w:rPr>
      </w:pPr>
      <w:r w:rsidRPr="00A638EC">
        <w:rPr>
          <w:rFonts w:ascii="Times New Roman" w:eastAsia="Calibri" w:hAnsi="Times New Roman" w:cs="Times New Roman"/>
          <w:noProof/>
          <w:sz w:val="28"/>
          <w:szCs w:val="24"/>
        </w:rPr>
        <mc:AlternateContent>
          <mc:Choice Requires="wps">
            <w:drawing>
              <wp:anchor distT="0" distB="0" distL="114300" distR="114300" simplePos="0" relativeHeight="251659264" behindDoc="0" locked="0" layoutInCell="1" allowOverlap="1" wp14:anchorId="054085A5" wp14:editId="1753CEE7">
                <wp:simplePos x="0" y="0"/>
                <wp:positionH relativeFrom="column">
                  <wp:posOffset>303530</wp:posOffset>
                </wp:positionH>
                <wp:positionV relativeFrom="paragraph">
                  <wp:posOffset>353060</wp:posOffset>
                </wp:positionV>
                <wp:extent cx="1752600" cy="525780"/>
                <wp:effectExtent l="0" t="0" r="19050" b="26670"/>
                <wp:wrapNone/>
                <wp:docPr id="550" name="Rectangle 550"/>
                <wp:cNvGraphicFramePr/>
                <a:graphic xmlns:a="http://schemas.openxmlformats.org/drawingml/2006/main">
                  <a:graphicData uri="http://schemas.microsoft.com/office/word/2010/wordprocessingShape">
                    <wps:wsp>
                      <wps:cNvSpPr/>
                      <wps:spPr>
                        <a:xfrm>
                          <a:off x="0" y="0"/>
                          <a:ext cx="1752600" cy="525780"/>
                        </a:xfrm>
                        <a:prstGeom prst="rect">
                          <a:avLst/>
                        </a:prstGeom>
                        <a:noFill/>
                        <a:ln w="25400" cap="flat" cmpd="sng" algn="ctr">
                          <a:solidFill>
                            <a:srgbClr val="C00000"/>
                          </a:solidFill>
                          <a:prstDash val="solid"/>
                        </a:ln>
                        <a:effectLst/>
                      </wps:spPr>
                      <wps:txbx>
                        <w:txbxContent>
                          <w:p w14:paraId="675B4FEC" w14:textId="77777777" w:rsidR="00300005" w:rsidRPr="00DA6B4E" w:rsidRDefault="00300005" w:rsidP="00DA6B4E">
                            <w:pPr>
                              <w:pStyle w:val="ListParagraph"/>
                              <w:numPr>
                                <w:ilvl w:val="0"/>
                                <w:numId w:val="2"/>
                              </w:numPr>
                              <w:spacing w:line="360" w:lineRule="auto"/>
                              <w:jc w:val="both"/>
                              <w:rPr>
                                <w:rFonts w:ascii="Times New Roman" w:hAnsi="Times New Roman" w:cs="Times New Roman"/>
                                <w:b/>
                                <w:color w:val="000000"/>
                                <w:sz w:val="24"/>
                                <w:szCs w:val="24"/>
                              </w:rPr>
                            </w:pPr>
                            <w:r w:rsidRPr="00DA6B4E">
                              <w:rPr>
                                <w:rFonts w:ascii="Times New Roman" w:hAnsi="Times New Roman" w:cs="Times New Roman"/>
                                <w:b/>
                                <w:color w:val="000000"/>
                                <w:sz w:val="24"/>
                                <w:szCs w:val="24"/>
                              </w:rPr>
                              <w:t>Compliance with sharia laws</w:t>
                            </w:r>
                          </w:p>
                          <w:p w14:paraId="3515F25E" w14:textId="77777777" w:rsidR="00300005" w:rsidRDefault="00300005"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4085A5" id="Rectangle 550" o:spid="_x0000_s1026" style="position:absolute;margin-left:23.9pt;margin-top:27.8pt;width:138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" filled="f" strokecolor="#c00000" strokeweight="2pt">
                <v:textbox>
                  <w:txbxContent>
                    <w:p w14:paraId="675B4FEC" w14:textId="77777777" w:rsidR="00300005" w:rsidRPr="00DA6B4E" w:rsidRDefault="00300005" w:rsidP="00DA6B4E">
                      <w:pPr>
                        <w:pStyle w:val="ListParagraph"/>
                        <w:numPr>
                          <w:ilvl w:val="0"/>
                          <w:numId w:val="2"/>
                        </w:numPr>
                        <w:spacing w:line="360" w:lineRule="auto"/>
                        <w:jc w:val="both"/>
                        <w:rPr>
                          <w:rFonts w:ascii="Times New Roman" w:hAnsi="Times New Roman" w:cs="Times New Roman"/>
                          <w:b/>
                          <w:color w:val="000000"/>
                          <w:sz w:val="24"/>
                          <w:szCs w:val="24"/>
                        </w:rPr>
                      </w:pPr>
                      <w:r w:rsidRPr="00DA6B4E">
                        <w:rPr>
                          <w:rFonts w:ascii="Times New Roman" w:hAnsi="Times New Roman" w:cs="Times New Roman"/>
                          <w:b/>
                          <w:color w:val="000000"/>
                          <w:sz w:val="24"/>
                          <w:szCs w:val="24"/>
                        </w:rPr>
                        <w:t>Compliance with sharia laws</w:t>
                      </w:r>
                    </w:p>
                    <w:p w14:paraId="3515F25E" w14:textId="77777777" w:rsidR="00300005" w:rsidRDefault="00300005" w:rsidP="00DA6B4E">
                      <w:pPr>
                        <w:jc w:val="center"/>
                      </w:pPr>
                    </w:p>
                  </w:txbxContent>
                </v:textbox>
              </v:rect>
            </w:pict>
          </mc:Fallback>
        </mc:AlternateContent>
      </w:r>
      <w:r w:rsidRPr="00A638EC">
        <w:rPr>
          <w:rFonts w:ascii="Times New Roman" w:eastAsia="Calibri" w:hAnsi="Times New Roman" w:cs="Times New Roman"/>
          <w:sz w:val="28"/>
          <w:szCs w:val="24"/>
        </w:rPr>
        <w:t xml:space="preserve">       </w:t>
      </w:r>
      <w:r w:rsidRPr="00A638EC">
        <w:rPr>
          <w:rFonts w:ascii="Times New Roman" w:eastAsia="Calibri" w:hAnsi="Times New Roman" w:cs="Times New Roman"/>
          <w:b/>
          <w:sz w:val="32"/>
          <w:szCs w:val="24"/>
        </w:rPr>
        <w:t xml:space="preserve">Independent Variables </w:t>
      </w:r>
    </w:p>
    <w:p w14:paraId="559655B6" w14:textId="77777777" w:rsidR="00DA6B4E" w:rsidRPr="00A638EC" w:rsidRDefault="00DA6B4E" w:rsidP="00DA6B4E">
      <w:pPr>
        <w:spacing w:line="360" w:lineRule="auto"/>
        <w:jc w:val="right"/>
        <w:rPr>
          <w:rFonts w:ascii="Times New Roman" w:eastAsia="Calibri" w:hAnsi="Times New Roman" w:cs="Times New Roman"/>
          <w:b/>
          <w:sz w:val="24"/>
          <w:szCs w:val="24"/>
        </w:rPr>
      </w:pPr>
      <w:r w:rsidRPr="00A638EC">
        <w:rPr>
          <w:rFonts w:ascii="Times New Roman" w:eastAsia="Calibri" w:hAnsi="Times New Roman" w:cs="Times New Roman"/>
          <w:i/>
          <w:noProof/>
          <w:sz w:val="40"/>
          <w:szCs w:val="40"/>
        </w:rPr>
        <mc:AlternateContent>
          <mc:Choice Requires="wps">
            <w:drawing>
              <wp:anchor distT="0" distB="0" distL="114300" distR="114300" simplePos="0" relativeHeight="251671552" behindDoc="0" locked="0" layoutInCell="1" allowOverlap="1" wp14:anchorId="05354418" wp14:editId="67820DD4">
                <wp:simplePos x="0" y="0"/>
                <wp:positionH relativeFrom="column">
                  <wp:posOffset>2056130</wp:posOffset>
                </wp:positionH>
                <wp:positionV relativeFrom="paragraph">
                  <wp:posOffset>175260</wp:posOffset>
                </wp:positionV>
                <wp:extent cx="2552700" cy="1303020"/>
                <wp:effectExtent l="0" t="0" r="57150" b="68580"/>
                <wp:wrapNone/>
                <wp:docPr id="555" name="Straight Arrow Connector 555"/>
                <wp:cNvGraphicFramePr/>
                <a:graphic xmlns:a="http://schemas.openxmlformats.org/drawingml/2006/main">
                  <a:graphicData uri="http://schemas.microsoft.com/office/word/2010/wordprocessingShape">
                    <wps:wsp>
                      <wps:cNvCnPr/>
                      <wps:spPr>
                        <a:xfrm>
                          <a:off x="0" y="0"/>
                          <a:ext cx="2552700" cy="13030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B892CF" id="_x0000_t32" coordsize="21600,21600" o:spt="32" o:oned="t" path="m,l21600,21600e" filled="f">
                <v:path arrowok="t" fillok="f" o:connecttype="none"/>
                <o:lock v:ext="edit" shapetype="t"/>
              </v:shapetype>
              <v:shape id="Straight Arrow Connector 555" o:spid="_x0000_s1026" type="#_x0000_t32" style="position:absolute;margin-left:161.9pt;margin-top:13.8pt;width:201pt;height:10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" strokecolor="windowText">
                <v:stroke endarrow="open"/>
              </v:shape>
            </w:pict>
          </mc:Fallback>
        </mc:AlternateContent>
      </w:r>
      <w:r w:rsidRPr="00A638EC">
        <w:rPr>
          <w:rFonts w:ascii="Times New Roman" w:eastAsia="Calibri" w:hAnsi="Times New Roman" w:cs="Times New Roman"/>
          <w:sz w:val="24"/>
          <w:szCs w:val="24"/>
        </w:rPr>
        <w:t xml:space="preserve">                                                                                                      </w:t>
      </w:r>
      <w:r w:rsidRPr="00A638EC">
        <w:rPr>
          <w:rFonts w:ascii="Times New Roman" w:eastAsia="Calibri" w:hAnsi="Times New Roman" w:cs="Times New Roman"/>
          <w:b/>
          <w:sz w:val="32"/>
          <w:szCs w:val="24"/>
        </w:rPr>
        <w:t>Dependent Variable</w:t>
      </w:r>
    </w:p>
    <w:bookmarkStart w:id="1" w:name="_Toc104238118"/>
    <w:bookmarkStart w:id="2" w:name="_Toc104238483"/>
    <w:bookmarkStart w:id="3" w:name="_Toc104239841"/>
    <w:bookmarkStart w:id="4" w:name="_Toc104238119"/>
    <w:bookmarkStart w:id="5" w:name="_Toc104238484"/>
    <w:bookmarkStart w:id="6" w:name="_Toc104239842"/>
    <w:p w14:paraId="03631B8F" w14:textId="77777777" w:rsidR="00DA6B4E" w:rsidRPr="00A638EC" w:rsidRDefault="00DA6B4E" w:rsidP="00DA6B4E">
      <w:pPr>
        <w:spacing w:line="360" w:lineRule="auto"/>
        <w:jc w:val="both"/>
        <w:rPr>
          <w:rFonts w:ascii="Times New Roman" w:eastAsia="Calibri" w:hAnsi="Times New Roman" w:cs="Times New Roman"/>
          <w:sz w:val="24"/>
          <w:szCs w:val="24"/>
        </w:rPr>
      </w:pPr>
      <w:r w:rsidRPr="00A638EC">
        <w:rPr>
          <w:rFonts w:ascii="Times New Roman" w:eastAsia="Calibri" w:hAnsi="Times New Roman" w:cs="Times New Roman"/>
          <w:i/>
          <w:noProof/>
          <w:sz w:val="144"/>
          <w:szCs w:val="144"/>
        </w:rPr>
        <mc:AlternateContent>
          <mc:Choice Requires="wps">
            <w:drawing>
              <wp:anchor distT="0" distB="0" distL="114300" distR="114300" simplePos="0" relativeHeight="251670528" behindDoc="0" locked="0" layoutInCell="1" allowOverlap="1" wp14:anchorId="0359784D" wp14:editId="1A68E63C">
                <wp:simplePos x="0" y="0"/>
                <wp:positionH relativeFrom="column">
                  <wp:posOffset>2056130</wp:posOffset>
                </wp:positionH>
                <wp:positionV relativeFrom="paragraph">
                  <wp:posOffset>195580</wp:posOffset>
                </wp:positionV>
                <wp:extent cx="2552700" cy="830580"/>
                <wp:effectExtent l="0" t="0" r="76200" b="83820"/>
                <wp:wrapNone/>
                <wp:docPr id="561" name="Straight Arrow Connector 561"/>
                <wp:cNvGraphicFramePr/>
                <a:graphic xmlns:a="http://schemas.openxmlformats.org/drawingml/2006/main">
                  <a:graphicData uri="http://schemas.microsoft.com/office/word/2010/wordprocessingShape">
                    <wps:wsp>
                      <wps:cNvCnPr/>
                      <wps:spPr>
                        <a:xfrm>
                          <a:off x="0" y="0"/>
                          <a:ext cx="2552700" cy="83058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6D5E17" id="Straight Arrow Connector 561" o:spid="_x0000_s1026" type="#_x0000_t32" style="position:absolute;margin-left:161.9pt;margin-top:15.4pt;width:201pt;height:6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" strokecolor="windowText">
                <v:stroke endarrow="open"/>
              </v:shape>
            </w:pict>
          </mc:Fallback>
        </mc:AlternateContent>
      </w:r>
      <w:r w:rsidRPr="00A638EC">
        <w:rPr>
          <w:rFonts w:ascii="Times New Roman" w:eastAsia="Calibri" w:hAnsi="Times New Roman" w:cs="Times New Roman"/>
          <w:i/>
          <w:noProof/>
          <w:szCs w:val="24"/>
        </w:rPr>
        <mc:AlternateContent>
          <mc:Choice Requires="wps">
            <w:drawing>
              <wp:anchor distT="0" distB="0" distL="114300" distR="114300" simplePos="0" relativeHeight="251666432" behindDoc="0" locked="0" layoutInCell="1" allowOverlap="1" wp14:anchorId="4555517B" wp14:editId="7523B2AC">
                <wp:simplePos x="0" y="0"/>
                <wp:positionH relativeFrom="column">
                  <wp:posOffset>4608830</wp:posOffset>
                </wp:positionH>
                <wp:positionV relativeFrom="paragraph">
                  <wp:posOffset>80010</wp:posOffset>
                </wp:positionV>
                <wp:extent cx="1866900" cy="1653540"/>
                <wp:effectExtent l="0" t="0" r="19050" b="22860"/>
                <wp:wrapNone/>
                <wp:docPr id="558" name="Oval 558"/>
                <wp:cNvGraphicFramePr/>
                <a:graphic xmlns:a="http://schemas.openxmlformats.org/drawingml/2006/main">
                  <a:graphicData uri="http://schemas.microsoft.com/office/word/2010/wordprocessingShape">
                    <wps:wsp>
                      <wps:cNvSpPr/>
                      <wps:spPr>
                        <a:xfrm>
                          <a:off x="0" y="0"/>
                          <a:ext cx="1866900" cy="1653540"/>
                        </a:xfrm>
                        <a:prstGeom prst="ellipse">
                          <a:avLst/>
                        </a:prstGeom>
                        <a:solidFill>
                          <a:srgbClr val="FFC000"/>
                        </a:solidFill>
                        <a:ln w="25400" cap="flat" cmpd="sng" algn="ctr">
                          <a:solidFill>
                            <a:srgbClr val="00B0F0"/>
                          </a:solidFill>
                          <a:prstDash val="solid"/>
                        </a:ln>
                        <a:effectLst/>
                      </wps:spPr>
                      <wps:txbx>
                        <w:txbxContent>
                          <w:p w14:paraId="618045EB" w14:textId="77777777" w:rsidR="00300005" w:rsidRPr="00C306AF" w:rsidRDefault="00300005" w:rsidP="00DA6B4E">
                            <w:pPr>
                              <w:jc w:val="center"/>
                              <w:rPr>
                                <w:rFonts w:ascii="Times New Roman" w:hAnsi="Times New Roman" w:cs="Times New Roman"/>
                                <w:b/>
                                <w:sz w:val="32"/>
                              </w:rPr>
                            </w:pPr>
                            <w:r>
                              <w:rPr>
                                <w:rFonts w:ascii="Times New Roman" w:hAnsi="Times New Roman" w:cs="Times New Roman"/>
                                <w:b/>
                                <w:sz w:val="32"/>
                              </w:rPr>
                              <w:t>Customers’ S</w:t>
                            </w:r>
                            <w:r w:rsidRPr="00C306AF">
                              <w:rPr>
                                <w:rFonts w:ascii="Times New Roman" w:hAnsi="Times New Roman" w:cs="Times New Roman"/>
                                <w:b/>
                                <w:sz w:val="32"/>
                              </w:rPr>
                              <w:t>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555517B" id="Oval 558" o:spid="_x0000_s1027" style="position:absolute;left:0;text-align:left;margin-left:362.9pt;margin-top:6.3pt;width:147pt;height:13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" fillcolor="#ffc000" strokecolor="#00b0f0" strokeweight="2pt">
                <v:textbox>
                  <w:txbxContent>
                    <w:p w14:paraId="618045EB" w14:textId="77777777" w:rsidR="00300005" w:rsidRPr="00C306AF" w:rsidRDefault="00300005" w:rsidP="00DA6B4E">
                      <w:pPr>
                        <w:jc w:val="center"/>
                        <w:rPr>
                          <w:rFonts w:ascii="Times New Roman" w:hAnsi="Times New Roman" w:cs="Times New Roman"/>
                          <w:b/>
                          <w:sz w:val="32"/>
                        </w:rPr>
                      </w:pPr>
                      <w:r>
                        <w:rPr>
                          <w:rFonts w:ascii="Times New Roman" w:hAnsi="Times New Roman" w:cs="Times New Roman"/>
                          <w:b/>
                          <w:sz w:val="32"/>
                        </w:rPr>
                        <w:t>Customers’ S</w:t>
                      </w:r>
                      <w:r w:rsidRPr="00C306AF">
                        <w:rPr>
                          <w:rFonts w:ascii="Times New Roman" w:hAnsi="Times New Roman" w:cs="Times New Roman"/>
                          <w:b/>
                          <w:sz w:val="32"/>
                        </w:rPr>
                        <w:t>atisfaction</w:t>
                      </w:r>
                    </w:p>
                  </w:txbxContent>
                </v:textbox>
              </v:oval>
            </w:pict>
          </mc:Fallback>
        </mc:AlternateContent>
      </w:r>
      <w:r w:rsidRPr="00A638EC">
        <w:rPr>
          <w:rFonts w:ascii="Times New Roman" w:eastAsia="Calibri" w:hAnsi="Times New Roman" w:cs="Times New Roman"/>
          <w:i/>
          <w:noProof/>
          <w:sz w:val="28"/>
          <w:szCs w:val="24"/>
        </w:rPr>
        <mc:AlternateContent>
          <mc:Choice Requires="wps">
            <w:drawing>
              <wp:anchor distT="0" distB="0" distL="114300" distR="114300" simplePos="0" relativeHeight="251660288" behindDoc="0" locked="0" layoutInCell="1" allowOverlap="1" wp14:anchorId="758A6C43" wp14:editId="5A68493D">
                <wp:simplePos x="0" y="0"/>
                <wp:positionH relativeFrom="column">
                  <wp:posOffset>303530</wp:posOffset>
                </wp:positionH>
                <wp:positionV relativeFrom="paragraph">
                  <wp:posOffset>81280</wp:posOffset>
                </wp:positionV>
                <wp:extent cx="1752600" cy="281940"/>
                <wp:effectExtent l="0" t="0" r="19050" b="22860"/>
                <wp:wrapNone/>
                <wp:docPr id="553" name="Rectangle 553"/>
                <wp:cNvGraphicFramePr/>
                <a:graphic xmlns:a="http://schemas.openxmlformats.org/drawingml/2006/main">
                  <a:graphicData uri="http://schemas.microsoft.com/office/word/2010/wordprocessingShape">
                    <wps:wsp>
                      <wps:cNvSpPr/>
                      <wps:spPr>
                        <a:xfrm>
                          <a:off x="0" y="0"/>
                          <a:ext cx="1752600" cy="281940"/>
                        </a:xfrm>
                        <a:prstGeom prst="rect">
                          <a:avLst/>
                        </a:prstGeom>
                        <a:noFill/>
                        <a:ln w="25400" cap="flat" cmpd="sng" algn="ctr">
                          <a:solidFill>
                            <a:srgbClr val="C00000"/>
                          </a:solidFill>
                          <a:prstDash val="solid"/>
                        </a:ln>
                        <a:effectLst/>
                      </wps:spPr>
                      <wps:txbx>
                        <w:txbxContent>
                          <w:p w14:paraId="5DD17415" w14:textId="77777777" w:rsidR="00300005" w:rsidRPr="00F814EA" w:rsidRDefault="00300005" w:rsidP="00DA6B4E">
                            <w:pPr>
                              <w:pStyle w:val="ListParagraph"/>
                              <w:numPr>
                                <w:ilvl w:val="0"/>
                                <w:numId w:val="3"/>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Reliability</w:t>
                            </w:r>
                          </w:p>
                          <w:p w14:paraId="475F415D" w14:textId="77777777" w:rsidR="00300005" w:rsidRDefault="00300005"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8A6C43" id="Rectangle 553" o:spid="_x0000_s1028" style="position:absolute;left:0;text-align:left;margin-left:23.9pt;margin-top:6.4pt;width:138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" filled="f" strokecolor="#c00000" strokeweight="2pt">
                <v:textbox>
                  <w:txbxContent>
                    <w:p w14:paraId="5DD17415" w14:textId="77777777" w:rsidR="00300005" w:rsidRPr="00F814EA" w:rsidRDefault="00300005" w:rsidP="00DA6B4E">
                      <w:pPr>
                        <w:pStyle w:val="ListParagraph"/>
                        <w:numPr>
                          <w:ilvl w:val="0"/>
                          <w:numId w:val="3"/>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Reliability</w:t>
                      </w:r>
                    </w:p>
                    <w:p w14:paraId="475F415D" w14:textId="77777777" w:rsidR="00300005" w:rsidRDefault="00300005" w:rsidP="00DA6B4E">
                      <w:pPr>
                        <w:jc w:val="center"/>
                      </w:pPr>
                    </w:p>
                  </w:txbxContent>
                </v:textbox>
              </v:rect>
            </w:pict>
          </mc:Fallback>
        </mc:AlternateContent>
      </w:r>
      <w:bookmarkEnd w:id="1"/>
      <w:bookmarkEnd w:id="2"/>
      <w:bookmarkEnd w:id="3"/>
      <w:bookmarkEnd w:id="4"/>
      <w:bookmarkEnd w:id="5"/>
      <w:bookmarkEnd w:id="6"/>
    </w:p>
    <w:p w14:paraId="0C24FAC5" w14:textId="77777777" w:rsidR="00DA6B4E" w:rsidRPr="00A638EC" w:rsidRDefault="00DA6B4E" w:rsidP="00DA6B4E">
      <w:pPr>
        <w:spacing w:line="360" w:lineRule="auto"/>
        <w:jc w:val="both"/>
        <w:rPr>
          <w:rFonts w:ascii="Times New Roman" w:eastAsia="Calibri" w:hAnsi="Times New Roman" w:cs="Times New Roman"/>
          <w:sz w:val="24"/>
          <w:szCs w:val="24"/>
        </w:rPr>
      </w:pPr>
      <w:r w:rsidRPr="00A638EC">
        <w:rPr>
          <w:rFonts w:ascii="Times New Roman" w:eastAsia="Calibri" w:hAnsi="Times New Roman" w:cs="Times New Roman"/>
          <w:noProof/>
          <w:sz w:val="144"/>
          <w:szCs w:val="144"/>
        </w:rPr>
        <mc:AlternateContent>
          <mc:Choice Requires="wps">
            <w:drawing>
              <wp:anchor distT="0" distB="0" distL="114300" distR="114300" simplePos="0" relativeHeight="251669504" behindDoc="0" locked="0" layoutInCell="1" allowOverlap="1" wp14:anchorId="2A8E0F07" wp14:editId="26E347DA">
                <wp:simplePos x="0" y="0"/>
                <wp:positionH relativeFrom="column">
                  <wp:posOffset>2056130</wp:posOffset>
                </wp:positionH>
                <wp:positionV relativeFrom="paragraph">
                  <wp:posOffset>273050</wp:posOffset>
                </wp:positionV>
                <wp:extent cx="2552700" cy="388620"/>
                <wp:effectExtent l="0" t="0" r="57150" b="87630"/>
                <wp:wrapNone/>
                <wp:docPr id="562" name="Straight Arrow Connector 562"/>
                <wp:cNvGraphicFramePr/>
                <a:graphic xmlns:a="http://schemas.openxmlformats.org/drawingml/2006/main">
                  <a:graphicData uri="http://schemas.microsoft.com/office/word/2010/wordprocessingShape">
                    <wps:wsp>
                      <wps:cNvCnPr/>
                      <wps:spPr>
                        <a:xfrm>
                          <a:off x="0" y="0"/>
                          <a:ext cx="2552700" cy="3886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C75F11" id="Straight Arrow Connector 562" o:spid="_x0000_s1026" type="#_x0000_t32" style="position:absolute;margin-left:161.9pt;margin-top:21.5pt;width:201pt;height:3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" strokecolor="windowText">
                <v:stroke endarrow="open"/>
              </v:shape>
            </w:pict>
          </mc:Fallback>
        </mc:AlternateContent>
      </w:r>
      <w:r w:rsidRPr="00A638EC">
        <w:rPr>
          <w:rFonts w:ascii="Times New Roman" w:eastAsia="Calibri" w:hAnsi="Times New Roman" w:cs="Times New Roman"/>
          <w:i/>
          <w:noProof/>
          <w:szCs w:val="24"/>
        </w:rPr>
        <mc:AlternateContent>
          <mc:Choice Requires="wps">
            <w:drawing>
              <wp:anchor distT="0" distB="0" distL="114300" distR="114300" simplePos="0" relativeHeight="251661312" behindDoc="0" locked="0" layoutInCell="1" allowOverlap="1" wp14:anchorId="78483488" wp14:editId="05144A68">
                <wp:simplePos x="0" y="0"/>
                <wp:positionH relativeFrom="column">
                  <wp:posOffset>303530</wp:posOffset>
                </wp:positionH>
                <wp:positionV relativeFrom="paragraph">
                  <wp:posOffset>120650</wp:posOffset>
                </wp:positionV>
                <wp:extent cx="1752600" cy="312420"/>
                <wp:effectExtent l="0" t="0" r="19050" b="11430"/>
                <wp:wrapNone/>
                <wp:docPr id="554" name="Rectangle 554"/>
                <wp:cNvGraphicFramePr/>
                <a:graphic xmlns:a="http://schemas.openxmlformats.org/drawingml/2006/main">
                  <a:graphicData uri="http://schemas.microsoft.com/office/word/2010/wordprocessingShape">
                    <wps:wsp>
                      <wps:cNvSpPr/>
                      <wps:spPr>
                        <a:xfrm>
                          <a:off x="0" y="0"/>
                          <a:ext cx="1752600" cy="312420"/>
                        </a:xfrm>
                        <a:prstGeom prst="rect">
                          <a:avLst/>
                        </a:prstGeom>
                        <a:noFill/>
                        <a:ln w="25400" cap="flat" cmpd="sng" algn="ctr">
                          <a:solidFill>
                            <a:srgbClr val="C00000"/>
                          </a:solidFill>
                          <a:prstDash val="solid"/>
                        </a:ln>
                        <a:effectLst/>
                      </wps:spPr>
                      <wps:txbx>
                        <w:txbxContent>
                          <w:p w14:paraId="4AFE0878" w14:textId="77777777" w:rsidR="00300005" w:rsidRPr="00F814EA" w:rsidRDefault="00300005" w:rsidP="00DA6B4E">
                            <w:pPr>
                              <w:pStyle w:val="ListParagraph"/>
                              <w:numPr>
                                <w:ilvl w:val="0"/>
                                <w:numId w:val="4"/>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Tangibility</w:t>
                            </w:r>
                          </w:p>
                          <w:p w14:paraId="0E97ADDA" w14:textId="77777777" w:rsidR="00300005" w:rsidRDefault="00300005"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483488" id="Rectangle 554" o:spid="_x0000_s1029" style="position:absolute;left:0;text-align:left;margin-left:23.9pt;margin-top:9.5pt;width:138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" filled="f" strokecolor="#c00000" strokeweight="2pt">
                <v:textbox>
                  <w:txbxContent>
                    <w:p w14:paraId="4AFE0878" w14:textId="77777777" w:rsidR="00300005" w:rsidRPr="00F814EA" w:rsidRDefault="00300005" w:rsidP="00DA6B4E">
                      <w:pPr>
                        <w:pStyle w:val="ListParagraph"/>
                        <w:numPr>
                          <w:ilvl w:val="0"/>
                          <w:numId w:val="4"/>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Tangibility</w:t>
                      </w:r>
                    </w:p>
                    <w:p w14:paraId="0E97ADDA" w14:textId="77777777" w:rsidR="00300005" w:rsidRDefault="00300005" w:rsidP="00DA6B4E">
                      <w:pPr>
                        <w:jc w:val="center"/>
                      </w:pPr>
                    </w:p>
                  </w:txbxContent>
                </v:textbox>
              </v:rect>
            </w:pict>
          </mc:Fallback>
        </mc:AlternateContent>
      </w:r>
    </w:p>
    <w:bookmarkStart w:id="7" w:name="_Toc104238117"/>
    <w:bookmarkStart w:id="8" w:name="_Toc104238482"/>
    <w:bookmarkStart w:id="9" w:name="_Toc104239840"/>
    <w:p w14:paraId="01B5056D" w14:textId="77777777" w:rsidR="00DA6B4E" w:rsidRPr="00A638EC" w:rsidRDefault="00DA6B4E" w:rsidP="00DA6B4E">
      <w:pPr>
        <w:spacing w:after="200" w:line="240" w:lineRule="auto"/>
        <w:jc w:val="center"/>
        <w:rPr>
          <w:rFonts w:ascii="Times New Roman" w:eastAsia="Calibri" w:hAnsi="Times New Roman" w:cs="Times New Roman"/>
          <w:i/>
          <w:iCs/>
          <w:sz w:val="18"/>
          <w:szCs w:val="18"/>
        </w:rPr>
      </w:pPr>
      <w:r w:rsidRPr="00A638EC">
        <w:rPr>
          <w:rFonts w:ascii="Times New Roman" w:eastAsia="Calibri" w:hAnsi="Times New Roman" w:cs="Times New Roman"/>
          <w:iCs/>
          <w:noProof/>
          <w:sz w:val="18"/>
          <w:szCs w:val="24"/>
        </w:rPr>
        <mc:AlternateContent>
          <mc:Choice Requires="wps">
            <w:drawing>
              <wp:anchor distT="0" distB="0" distL="114300" distR="114300" simplePos="0" relativeHeight="251662336" behindDoc="0" locked="0" layoutInCell="1" allowOverlap="1" wp14:anchorId="76773B24" wp14:editId="5724B93B">
                <wp:simplePos x="0" y="0"/>
                <wp:positionH relativeFrom="column">
                  <wp:posOffset>303530</wp:posOffset>
                </wp:positionH>
                <wp:positionV relativeFrom="paragraph">
                  <wp:posOffset>187960</wp:posOffset>
                </wp:positionV>
                <wp:extent cx="1752600" cy="289560"/>
                <wp:effectExtent l="0" t="0" r="19050" b="15240"/>
                <wp:wrapNone/>
                <wp:docPr id="556" name="Rectangle 556"/>
                <wp:cNvGraphicFramePr/>
                <a:graphic xmlns:a="http://schemas.openxmlformats.org/drawingml/2006/main">
                  <a:graphicData uri="http://schemas.microsoft.com/office/word/2010/wordprocessingShape">
                    <wps:wsp>
                      <wps:cNvSpPr/>
                      <wps:spPr>
                        <a:xfrm>
                          <a:off x="0" y="0"/>
                          <a:ext cx="1752600" cy="289560"/>
                        </a:xfrm>
                        <a:prstGeom prst="rect">
                          <a:avLst/>
                        </a:prstGeom>
                        <a:noFill/>
                        <a:ln w="25400" cap="flat" cmpd="sng" algn="ctr">
                          <a:solidFill>
                            <a:srgbClr val="C00000"/>
                          </a:solidFill>
                          <a:prstDash val="solid"/>
                        </a:ln>
                        <a:effectLst/>
                      </wps:spPr>
                      <wps:txbx>
                        <w:txbxContent>
                          <w:p w14:paraId="396E32C5" w14:textId="77777777" w:rsidR="00300005" w:rsidRPr="00F814EA" w:rsidRDefault="00300005" w:rsidP="00DA6B4E">
                            <w:pPr>
                              <w:pStyle w:val="ListParagraph"/>
                              <w:numPr>
                                <w:ilvl w:val="0"/>
                                <w:numId w:val="5"/>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Assurance</w:t>
                            </w:r>
                          </w:p>
                          <w:p w14:paraId="539E7CAB" w14:textId="77777777" w:rsidR="00300005" w:rsidRDefault="00300005"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773B24" id="Rectangle 556" o:spid="_x0000_s1030" style="position:absolute;left:0;text-align:left;margin-left:23.9pt;margin-top:14.8pt;width:138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" filled="f" strokecolor="#c00000" strokeweight="2pt">
                <v:textbox>
                  <w:txbxContent>
                    <w:p w14:paraId="396E32C5" w14:textId="77777777" w:rsidR="00300005" w:rsidRPr="00F814EA" w:rsidRDefault="00300005" w:rsidP="00DA6B4E">
                      <w:pPr>
                        <w:pStyle w:val="ListParagraph"/>
                        <w:numPr>
                          <w:ilvl w:val="0"/>
                          <w:numId w:val="5"/>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Assurance</w:t>
                      </w:r>
                    </w:p>
                    <w:p w14:paraId="539E7CAB" w14:textId="77777777" w:rsidR="00300005" w:rsidRDefault="00300005" w:rsidP="00DA6B4E">
                      <w:pPr>
                        <w:jc w:val="center"/>
                      </w:pPr>
                    </w:p>
                  </w:txbxContent>
                </v:textbox>
              </v:rect>
            </w:pict>
          </mc:Fallback>
        </mc:AlternateContent>
      </w:r>
      <w:r w:rsidRPr="00A638EC">
        <w:rPr>
          <w:rFonts w:ascii="Times New Roman" w:eastAsia="Calibri" w:hAnsi="Times New Roman" w:cs="Times New Roman"/>
          <w:i/>
          <w:iCs/>
          <w:sz w:val="18"/>
          <w:szCs w:val="18"/>
        </w:rPr>
        <w:t xml:space="preserve">  </w:t>
      </w:r>
    </w:p>
    <w:bookmarkStart w:id="10" w:name="_Toc104238120"/>
    <w:bookmarkStart w:id="11" w:name="_Toc104238485"/>
    <w:bookmarkStart w:id="12" w:name="_Toc104239843"/>
    <w:bookmarkStart w:id="13" w:name="_Toc104238121"/>
    <w:bookmarkStart w:id="14" w:name="_Toc104238486"/>
    <w:bookmarkStart w:id="15" w:name="_Toc104239844"/>
    <w:p w14:paraId="189DE05F" w14:textId="77777777" w:rsidR="00DA6B4E" w:rsidRPr="00A638EC" w:rsidRDefault="00DA6B4E" w:rsidP="00DA6B4E">
      <w:pPr>
        <w:spacing w:after="200" w:line="240" w:lineRule="auto"/>
        <w:jc w:val="center"/>
        <w:rPr>
          <w:rFonts w:ascii="Times New Roman" w:eastAsia="Calibri" w:hAnsi="Times New Roman" w:cs="Times New Roman"/>
          <w:i/>
          <w:iCs/>
          <w:sz w:val="18"/>
          <w:szCs w:val="18"/>
        </w:rPr>
      </w:pPr>
      <w:r w:rsidRPr="00A638EC">
        <w:rPr>
          <w:rFonts w:ascii="Times New Roman" w:eastAsia="Calibri" w:hAnsi="Times New Roman" w:cs="Times New Roman"/>
          <w:iCs/>
          <w:noProof/>
          <w:sz w:val="144"/>
          <w:szCs w:val="144"/>
        </w:rPr>
        <mc:AlternateContent>
          <mc:Choice Requires="wps">
            <w:drawing>
              <wp:anchor distT="0" distB="0" distL="114300" distR="114300" simplePos="0" relativeHeight="251668480" behindDoc="0" locked="0" layoutInCell="1" allowOverlap="1" wp14:anchorId="36E2EEAA" wp14:editId="3AEACE9E">
                <wp:simplePos x="0" y="0"/>
                <wp:positionH relativeFrom="column">
                  <wp:posOffset>2056130</wp:posOffset>
                </wp:positionH>
                <wp:positionV relativeFrom="paragraph">
                  <wp:posOffset>31115</wp:posOffset>
                </wp:positionV>
                <wp:extent cx="2552700" cy="45720"/>
                <wp:effectExtent l="0" t="76200" r="19050" b="68580"/>
                <wp:wrapNone/>
                <wp:docPr id="559" name="Straight Arrow Connector 559"/>
                <wp:cNvGraphicFramePr/>
                <a:graphic xmlns:a="http://schemas.openxmlformats.org/drawingml/2006/main">
                  <a:graphicData uri="http://schemas.microsoft.com/office/word/2010/wordprocessingShape">
                    <wps:wsp>
                      <wps:cNvCnPr/>
                      <wps:spPr>
                        <a:xfrm flipV="1">
                          <a:off x="0" y="0"/>
                          <a:ext cx="2552700" cy="457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F50647" id="Straight Arrow Connector 559" o:spid="_x0000_s1026" type="#_x0000_t32" style="position:absolute;margin-left:161.9pt;margin-top:2.45pt;width:201pt;height:3.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" strokecolor="windowText">
                <v:stroke endarrow="open"/>
              </v:shape>
            </w:pict>
          </mc:Fallback>
        </mc:AlternateContent>
      </w:r>
      <w:r w:rsidRPr="00A638EC">
        <w:rPr>
          <w:rFonts w:ascii="Times New Roman" w:eastAsia="Calibri" w:hAnsi="Times New Roman" w:cs="Times New Roman"/>
          <w:i/>
          <w:iCs/>
          <w:noProof/>
          <w:sz w:val="144"/>
          <w:szCs w:val="144"/>
        </w:rPr>
        <mc:AlternateContent>
          <mc:Choice Requires="wps">
            <w:drawing>
              <wp:anchor distT="0" distB="0" distL="114300" distR="114300" simplePos="0" relativeHeight="251667456" behindDoc="0" locked="0" layoutInCell="1" allowOverlap="1" wp14:anchorId="5D055B96" wp14:editId="319781AE">
                <wp:simplePos x="0" y="0"/>
                <wp:positionH relativeFrom="column">
                  <wp:posOffset>2056130</wp:posOffset>
                </wp:positionH>
                <wp:positionV relativeFrom="paragraph">
                  <wp:posOffset>38735</wp:posOffset>
                </wp:positionV>
                <wp:extent cx="2552700" cy="1310640"/>
                <wp:effectExtent l="0" t="38100" r="57150" b="22860"/>
                <wp:wrapNone/>
                <wp:docPr id="563" name="Straight Arrow Connector 563"/>
                <wp:cNvGraphicFramePr/>
                <a:graphic xmlns:a="http://schemas.openxmlformats.org/drawingml/2006/main">
                  <a:graphicData uri="http://schemas.microsoft.com/office/word/2010/wordprocessingShape">
                    <wps:wsp>
                      <wps:cNvCnPr/>
                      <wps:spPr>
                        <a:xfrm flipV="1">
                          <a:off x="0" y="0"/>
                          <a:ext cx="2552700" cy="131064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DA5C28" id="Straight Arrow Connector 563" o:spid="_x0000_s1026" type="#_x0000_t32" style="position:absolute;margin-left:161.9pt;margin-top:3.05pt;width:201pt;height:103.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" strokecolor="windowText">
                <v:stroke endarrow="open"/>
              </v:shape>
            </w:pict>
          </mc:Fallback>
        </mc:AlternateContent>
      </w:r>
      <w:r w:rsidRPr="00A638EC">
        <w:rPr>
          <w:rFonts w:ascii="Times New Roman" w:eastAsia="Calibri" w:hAnsi="Times New Roman" w:cs="Times New Roman"/>
          <w:i/>
          <w:iCs/>
          <w:noProof/>
          <w:sz w:val="144"/>
          <w:szCs w:val="144"/>
        </w:rPr>
        <mc:AlternateContent>
          <mc:Choice Requires="wps">
            <w:drawing>
              <wp:anchor distT="0" distB="0" distL="114300" distR="114300" simplePos="0" relativeHeight="251672576" behindDoc="0" locked="0" layoutInCell="1" allowOverlap="1" wp14:anchorId="1C56B12D" wp14:editId="44D7D155">
                <wp:simplePos x="0" y="0"/>
                <wp:positionH relativeFrom="column">
                  <wp:posOffset>2056130</wp:posOffset>
                </wp:positionH>
                <wp:positionV relativeFrom="paragraph">
                  <wp:posOffset>31115</wp:posOffset>
                </wp:positionV>
                <wp:extent cx="2552700" cy="853440"/>
                <wp:effectExtent l="0" t="57150" r="0" b="22860"/>
                <wp:wrapNone/>
                <wp:docPr id="8" name="Straight Arrow Connector 8"/>
                <wp:cNvGraphicFramePr/>
                <a:graphic xmlns:a="http://schemas.openxmlformats.org/drawingml/2006/main">
                  <a:graphicData uri="http://schemas.microsoft.com/office/word/2010/wordprocessingShape">
                    <wps:wsp>
                      <wps:cNvCnPr/>
                      <wps:spPr>
                        <a:xfrm flipV="1">
                          <a:off x="0" y="0"/>
                          <a:ext cx="2552700" cy="85344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3C736B" id="Straight Arrow Connector 8" o:spid="_x0000_s1026" type="#_x0000_t32" style="position:absolute;margin-left:161.9pt;margin-top:2.45pt;width:201pt;height:67.2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" strokecolor="windowText">
                <v:stroke endarrow="open"/>
              </v:shape>
            </w:pict>
          </mc:Fallback>
        </mc:AlternateContent>
      </w:r>
      <w:r w:rsidRPr="00A638EC">
        <w:rPr>
          <w:rFonts w:ascii="Times New Roman" w:eastAsia="Calibri" w:hAnsi="Times New Roman" w:cs="Times New Roman"/>
          <w:i/>
          <w:iCs/>
          <w:noProof/>
          <w:sz w:val="144"/>
          <w:szCs w:val="144"/>
        </w:rPr>
        <mc:AlternateContent>
          <mc:Choice Requires="wps">
            <w:drawing>
              <wp:anchor distT="0" distB="0" distL="114300" distR="114300" simplePos="0" relativeHeight="251673600" behindDoc="0" locked="0" layoutInCell="1" allowOverlap="1" wp14:anchorId="26867662" wp14:editId="0F78528A">
                <wp:simplePos x="0" y="0"/>
                <wp:positionH relativeFrom="column">
                  <wp:posOffset>2056130</wp:posOffset>
                </wp:positionH>
                <wp:positionV relativeFrom="paragraph">
                  <wp:posOffset>31115</wp:posOffset>
                </wp:positionV>
                <wp:extent cx="2552700" cy="457200"/>
                <wp:effectExtent l="0" t="76200" r="76200" b="19050"/>
                <wp:wrapNone/>
                <wp:docPr id="9" name="Straight Arrow Connector 9"/>
                <wp:cNvGraphicFramePr/>
                <a:graphic xmlns:a="http://schemas.openxmlformats.org/drawingml/2006/main">
                  <a:graphicData uri="http://schemas.microsoft.com/office/word/2010/wordprocessingShape">
                    <wps:wsp>
                      <wps:cNvCnPr/>
                      <wps:spPr>
                        <a:xfrm flipV="1">
                          <a:off x="0" y="0"/>
                          <a:ext cx="2552700" cy="4572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0E099D" id="Straight Arrow Connector 9" o:spid="_x0000_s1026" type="#_x0000_t32" style="position:absolute;margin-left:161.9pt;margin-top:2.45pt;width:201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" strokecolor="windowText">
                <v:stroke endarrow="open"/>
              </v:shape>
            </w:pict>
          </mc:Fallback>
        </mc:AlternateContent>
      </w:r>
      <w:bookmarkEnd w:id="10"/>
      <w:bookmarkEnd w:id="11"/>
      <w:bookmarkEnd w:id="12"/>
      <w:bookmarkEnd w:id="13"/>
      <w:bookmarkEnd w:id="14"/>
      <w:bookmarkEnd w:id="15"/>
    </w:p>
    <w:p w14:paraId="7BB551B6" w14:textId="77777777" w:rsidR="00DA6B4E" w:rsidRPr="00A638EC" w:rsidRDefault="00DA6B4E" w:rsidP="00DA6B4E">
      <w:pPr>
        <w:spacing w:after="200" w:line="240" w:lineRule="auto"/>
        <w:jc w:val="center"/>
        <w:rPr>
          <w:rFonts w:ascii="Times New Roman" w:eastAsia="Calibri" w:hAnsi="Times New Roman" w:cs="Times New Roman"/>
          <w:i/>
          <w:iCs/>
          <w:sz w:val="18"/>
          <w:szCs w:val="18"/>
        </w:rPr>
      </w:pPr>
      <w:r w:rsidRPr="00A638EC">
        <w:rPr>
          <w:rFonts w:ascii="Times New Roman" w:eastAsia="Calibri" w:hAnsi="Times New Roman" w:cs="Times New Roman"/>
          <w:iCs/>
          <w:noProof/>
          <w:sz w:val="18"/>
          <w:szCs w:val="24"/>
        </w:rPr>
        <mc:AlternateContent>
          <mc:Choice Requires="wps">
            <w:drawing>
              <wp:anchor distT="0" distB="0" distL="114300" distR="114300" simplePos="0" relativeHeight="251663360" behindDoc="0" locked="0" layoutInCell="1" allowOverlap="1" wp14:anchorId="16032FCF" wp14:editId="134DCA1B">
                <wp:simplePos x="0" y="0"/>
                <wp:positionH relativeFrom="column">
                  <wp:posOffset>303530</wp:posOffset>
                </wp:positionH>
                <wp:positionV relativeFrom="paragraph">
                  <wp:posOffset>76200</wp:posOffset>
                </wp:positionV>
                <wp:extent cx="1752600" cy="289560"/>
                <wp:effectExtent l="0" t="0" r="19050" b="15240"/>
                <wp:wrapNone/>
                <wp:docPr id="560" name="Rectangle 560"/>
                <wp:cNvGraphicFramePr/>
                <a:graphic xmlns:a="http://schemas.openxmlformats.org/drawingml/2006/main">
                  <a:graphicData uri="http://schemas.microsoft.com/office/word/2010/wordprocessingShape">
                    <wps:wsp>
                      <wps:cNvSpPr/>
                      <wps:spPr>
                        <a:xfrm>
                          <a:off x="0" y="0"/>
                          <a:ext cx="1752600" cy="289560"/>
                        </a:xfrm>
                        <a:prstGeom prst="rect">
                          <a:avLst/>
                        </a:prstGeom>
                        <a:noFill/>
                        <a:ln w="25400" cap="flat" cmpd="sng" algn="ctr">
                          <a:solidFill>
                            <a:srgbClr val="C00000"/>
                          </a:solidFill>
                          <a:prstDash val="solid"/>
                        </a:ln>
                        <a:effectLst/>
                      </wps:spPr>
                      <wps:txbx>
                        <w:txbxContent>
                          <w:p w14:paraId="5A95E61E" w14:textId="77777777" w:rsidR="00300005" w:rsidRPr="00F814EA" w:rsidRDefault="00300005" w:rsidP="00DA6B4E">
                            <w:pPr>
                              <w:pStyle w:val="ListParagraph"/>
                              <w:numPr>
                                <w:ilvl w:val="0"/>
                                <w:numId w:val="6"/>
                              </w:numPr>
                              <w:spacing w:line="360" w:lineRule="auto"/>
                              <w:rPr>
                                <w:rFonts w:ascii="Times New Roman" w:hAnsi="Times New Roman" w:cs="Times New Roman"/>
                                <w:sz w:val="24"/>
                                <w:szCs w:val="24"/>
                              </w:rPr>
                            </w:pPr>
                            <w:r w:rsidRPr="00F814EA">
                              <w:rPr>
                                <w:rFonts w:ascii="Times New Roman" w:hAnsi="Times New Roman" w:cs="Times New Roman"/>
                                <w:b/>
                                <w:sz w:val="24"/>
                                <w:szCs w:val="24"/>
                              </w:rPr>
                              <w:t>Responsiveness</w:t>
                            </w:r>
                          </w:p>
                          <w:p w14:paraId="43A9E82A" w14:textId="77777777" w:rsidR="00300005" w:rsidRDefault="00300005"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032FCF" id="Rectangle 560" o:spid="_x0000_s1031" style="position:absolute;left:0;text-align:left;margin-left:23.9pt;margin-top:6pt;width:138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" filled="f" strokecolor="#c00000" strokeweight="2pt">
                <v:textbox>
                  <w:txbxContent>
                    <w:p w14:paraId="5A95E61E" w14:textId="77777777" w:rsidR="00300005" w:rsidRPr="00F814EA" w:rsidRDefault="00300005" w:rsidP="00DA6B4E">
                      <w:pPr>
                        <w:pStyle w:val="ListParagraph"/>
                        <w:numPr>
                          <w:ilvl w:val="0"/>
                          <w:numId w:val="6"/>
                        </w:numPr>
                        <w:spacing w:line="360" w:lineRule="auto"/>
                        <w:rPr>
                          <w:rFonts w:ascii="Times New Roman" w:hAnsi="Times New Roman" w:cs="Times New Roman"/>
                          <w:sz w:val="24"/>
                          <w:szCs w:val="24"/>
                        </w:rPr>
                      </w:pPr>
                      <w:r w:rsidRPr="00F814EA">
                        <w:rPr>
                          <w:rFonts w:ascii="Times New Roman" w:hAnsi="Times New Roman" w:cs="Times New Roman"/>
                          <w:b/>
                          <w:sz w:val="24"/>
                          <w:szCs w:val="24"/>
                        </w:rPr>
                        <w:t>Responsiveness</w:t>
                      </w:r>
                    </w:p>
                    <w:p w14:paraId="43A9E82A" w14:textId="77777777" w:rsidR="00300005" w:rsidRDefault="00300005" w:rsidP="00DA6B4E">
                      <w:pPr>
                        <w:jc w:val="center"/>
                      </w:pPr>
                    </w:p>
                  </w:txbxContent>
                </v:textbox>
              </v:rect>
            </w:pict>
          </mc:Fallback>
        </mc:AlternateContent>
      </w:r>
    </w:p>
    <w:p w14:paraId="760CA29C" w14:textId="77777777" w:rsidR="00DA6B4E" w:rsidRPr="00A638EC" w:rsidRDefault="00DA6B4E" w:rsidP="00DA6B4E">
      <w:pPr>
        <w:spacing w:after="200" w:line="240" w:lineRule="auto"/>
        <w:jc w:val="center"/>
        <w:rPr>
          <w:rFonts w:ascii="Times New Roman" w:eastAsia="Calibri" w:hAnsi="Times New Roman" w:cs="Times New Roman"/>
          <w:i/>
          <w:iCs/>
          <w:sz w:val="18"/>
          <w:szCs w:val="18"/>
        </w:rPr>
      </w:pPr>
      <w:r w:rsidRPr="00A638EC">
        <w:rPr>
          <w:rFonts w:ascii="Times New Roman" w:eastAsia="Calibri" w:hAnsi="Times New Roman" w:cs="Times New Roman"/>
          <w:iCs/>
          <w:noProof/>
          <w:sz w:val="18"/>
          <w:szCs w:val="24"/>
        </w:rPr>
        <mc:AlternateContent>
          <mc:Choice Requires="wps">
            <w:drawing>
              <wp:anchor distT="0" distB="0" distL="114300" distR="114300" simplePos="0" relativeHeight="251664384" behindDoc="0" locked="0" layoutInCell="1" allowOverlap="1" wp14:anchorId="2A4F203D" wp14:editId="38948101">
                <wp:simplePos x="0" y="0"/>
                <wp:positionH relativeFrom="column">
                  <wp:posOffset>303530</wp:posOffset>
                </wp:positionH>
                <wp:positionV relativeFrom="paragraph">
                  <wp:posOffset>245110</wp:posOffset>
                </wp:positionV>
                <wp:extent cx="1752600" cy="289560"/>
                <wp:effectExtent l="0" t="0" r="19050" b="15240"/>
                <wp:wrapNone/>
                <wp:docPr id="564" name="Rectangle 564"/>
                <wp:cNvGraphicFramePr/>
                <a:graphic xmlns:a="http://schemas.openxmlformats.org/drawingml/2006/main">
                  <a:graphicData uri="http://schemas.microsoft.com/office/word/2010/wordprocessingShape">
                    <wps:wsp>
                      <wps:cNvSpPr/>
                      <wps:spPr>
                        <a:xfrm>
                          <a:off x="0" y="0"/>
                          <a:ext cx="1752600" cy="289560"/>
                        </a:xfrm>
                        <a:prstGeom prst="rect">
                          <a:avLst/>
                        </a:prstGeom>
                        <a:noFill/>
                        <a:ln w="25400" cap="flat" cmpd="sng" algn="ctr">
                          <a:solidFill>
                            <a:srgbClr val="C00000"/>
                          </a:solidFill>
                          <a:prstDash val="solid"/>
                        </a:ln>
                        <a:effectLst/>
                      </wps:spPr>
                      <wps:txbx>
                        <w:txbxContent>
                          <w:p w14:paraId="7043947C" w14:textId="77777777" w:rsidR="00300005" w:rsidRPr="00F814EA" w:rsidRDefault="00300005" w:rsidP="00DA6B4E">
                            <w:pPr>
                              <w:pStyle w:val="ListParagraph"/>
                              <w:numPr>
                                <w:ilvl w:val="0"/>
                                <w:numId w:val="7"/>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Empathy</w:t>
                            </w:r>
                          </w:p>
                          <w:p w14:paraId="6BA45593" w14:textId="77777777" w:rsidR="00300005" w:rsidRDefault="00300005"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4F203D" id="Rectangle 564" o:spid="_x0000_s1032" style="position:absolute;left:0;text-align:left;margin-left:23.9pt;margin-top:19.3pt;width:138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" filled="f" strokecolor="#c00000" strokeweight="2pt">
                <v:textbox>
                  <w:txbxContent>
                    <w:p w14:paraId="7043947C" w14:textId="77777777" w:rsidR="00300005" w:rsidRPr="00F814EA" w:rsidRDefault="00300005" w:rsidP="00DA6B4E">
                      <w:pPr>
                        <w:pStyle w:val="ListParagraph"/>
                        <w:numPr>
                          <w:ilvl w:val="0"/>
                          <w:numId w:val="7"/>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Empathy</w:t>
                      </w:r>
                    </w:p>
                    <w:p w14:paraId="6BA45593" w14:textId="77777777" w:rsidR="00300005" w:rsidRDefault="00300005" w:rsidP="00DA6B4E">
                      <w:pPr>
                        <w:jc w:val="center"/>
                      </w:pPr>
                    </w:p>
                  </w:txbxContent>
                </v:textbox>
              </v:rect>
            </w:pict>
          </mc:Fallback>
        </mc:AlternateContent>
      </w:r>
    </w:p>
    <w:p w14:paraId="5DC71F4D" w14:textId="77777777" w:rsidR="00DA6B4E" w:rsidRPr="00A638EC" w:rsidRDefault="00DA6B4E" w:rsidP="00DA6B4E">
      <w:pPr>
        <w:spacing w:after="200" w:line="240" w:lineRule="auto"/>
        <w:jc w:val="center"/>
        <w:rPr>
          <w:rFonts w:ascii="Times New Roman" w:eastAsia="Calibri" w:hAnsi="Times New Roman" w:cs="Times New Roman"/>
          <w:i/>
          <w:iCs/>
          <w:sz w:val="18"/>
          <w:szCs w:val="18"/>
        </w:rPr>
      </w:pPr>
    </w:p>
    <w:p w14:paraId="3B08A4B7" w14:textId="77777777" w:rsidR="00DA6B4E" w:rsidRPr="00A638EC" w:rsidRDefault="00DA6B4E" w:rsidP="00DA6B4E">
      <w:pPr>
        <w:spacing w:after="200" w:line="240" w:lineRule="auto"/>
        <w:jc w:val="center"/>
        <w:rPr>
          <w:rFonts w:ascii="Times New Roman" w:eastAsia="Calibri" w:hAnsi="Times New Roman" w:cs="Times New Roman"/>
          <w:i/>
          <w:iCs/>
          <w:color w:val="000000"/>
          <w:sz w:val="18"/>
          <w:szCs w:val="18"/>
        </w:rPr>
      </w:pPr>
      <w:r w:rsidRPr="00A638EC">
        <w:rPr>
          <w:rFonts w:ascii="Times New Roman" w:eastAsia="Calibri" w:hAnsi="Times New Roman" w:cs="Times New Roman"/>
          <w:iCs/>
          <w:noProof/>
          <w:color w:val="1F497D"/>
          <w:sz w:val="18"/>
          <w:szCs w:val="24"/>
        </w:rPr>
        <mc:AlternateContent>
          <mc:Choice Requires="wps">
            <w:drawing>
              <wp:anchor distT="0" distB="0" distL="114300" distR="114300" simplePos="0" relativeHeight="251665408" behindDoc="0" locked="0" layoutInCell="1" allowOverlap="1" wp14:anchorId="3425C9B9" wp14:editId="28B88730">
                <wp:simplePos x="0" y="0"/>
                <wp:positionH relativeFrom="column">
                  <wp:posOffset>303530</wp:posOffset>
                </wp:positionH>
                <wp:positionV relativeFrom="paragraph">
                  <wp:posOffset>170815</wp:posOffset>
                </wp:positionV>
                <wp:extent cx="1752600" cy="289560"/>
                <wp:effectExtent l="0" t="0" r="19050" b="15240"/>
                <wp:wrapNone/>
                <wp:docPr id="565" name="Rectangle 565"/>
                <wp:cNvGraphicFramePr/>
                <a:graphic xmlns:a="http://schemas.openxmlformats.org/drawingml/2006/main">
                  <a:graphicData uri="http://schemas.microsoft.com/office/word/2010/wordprocessingShape">
                    <wps:wsp>
                      <wps:cNvSpPr/>
                      <wps:spPr>
                        <a:xfrm>
                          <a:off x="0" y="0"/>
                          <a:ext cx="1752600" cy="289560"/>
                        </a:xfrm>
                        <a:prstGeom prst="rect">
                          <a:avLst/>
                        </a:prstGeom>
                        <a:noFill/>
                        <a:ln w="25400" cap="flat" cmpd="sng" algn="ctr">
                          <a:solidFill>
                            <a:srgbClr val="C00000"/>
                          </a:solidFill>
                          <a:prstDash val="solid"/>
                        </a:ln>
                        <a:effectLst/>
                      </wps:spPr>
                      <wps:txbx>
                        <w:txbxContent>
                          <w:p w14:paraId="6B0E5B4C" w14:textId="77777777" w:rsidR="00300005" w:rsidRPr="00F814EA" w:rsidRDefault="00300005" w:rsidP="00DA6B4E">
                            <w:pPr>
                              <w:pStyle w:val="ListParagraph"/>
                              <w:numPr>
                                <w:ilvl w:val="0"/>
                                <w:numId w:val="8"/>
                              </w:numPr>
                              <w:spacing w:line="360" w:lineRule="auto"/>
                              <w:rPr>
                                <w:rFonts w:ascii="Times New Roman" w:hAnsi="Times New Roman" w:cs="Times New Roman"/>
                                <w:b/>
                                <w:szCs w:val="24"/>
                              </w:rPr>
                            </w:pPr>
                            <w:r w:rsidRPr="00F814EA">
                              <w:rPr>
                                <w:rFonts w:ascii="Times New Roman" w:hAnsi="Times New Roman" w:cs="Times New Roman"/>
                                <w:b/>
                                <w:sz w:val="24"/>
                                <w:szCs w:val="24"/>
                              </w:rPr>
                              <w:t>Accessibility</w:t>
                            </w:r>
                            <w:r w:rsidRPr="00F814EA">
                              <w:rPr>
                                <w:rFonts w:ascii="Times New Roman" w:hAnsi="Times New Roman" w:cs="Times New Roman"/>
                                <w:b/>
                                <w:szCs w:val="24"/>
                              </w:rPr>
                              <w:t xml:space="preserve"> </w:t>
                            </w:r>
                          </w:p>
                          <w:p w14:paraId="20D15392" w14:textId="77777777" w:rsidR="00300005" w:rsidRDefault="00300005"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25C9B9" id="Rectangle 565" o:spid="_x0000_s1033" style="position:absolute;left:0;text-align:left;margin-left:23.9pt;margin-top:13.45pt;width:138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" filled="f" strokecolor="#c00000" strokeweight="2pt">
                <v:textbox>
                  <w:txbxContent>
                    <w:p w14:paraId="6B0E5B4C" w14:textId="77777777" w:rsidR="00300005" w:rsidRPr="00F814EA" w:rsidRDefault="00300005" w:rsidP="00DA6B4E">
                      <w:pPr>
                        <w:pStyle w:val="ListParagraph"/>
                        <w:numPr>
                          <w:ilvl w:val="0"/>
                          <w:numId w:val="8"/>
                        </w:numPr>
                        <w:spacing w:line="360" w:lineRule="auto"/>
                        <w:rPr>
                          <w:rFonts w:ascii="Times New Roman" w:hAnsi="Times New Roman" w:cs="Times New Roman"/>
                          <w:b/>
                          <w:szCs w:val="24"/>
                        </w:rPr>
                      </w:pPr>
                      <w:r w:rsidRPr="00F814EA">
                        <w:rPr>
                          <w:rFonts w:ascii="Times New Roman" w:hAnsi="Times New Roman" w:cs="Times New Roman"/>
                          <w:b/>
                          <w:sz w:val="24"/>
                          <w:szCs w:val="24"/>
                        </w:rPr>
                        <w:t>Accessibility</w:t>
                      </w:r>
                      <w:r w:rsidRPr="00F814EA">
                        <w:rPr>
                          <w:rFonts w:ascii="Times New Roman" w:hAnsi="Times New Roman" w:cs="Times New Roman"/>
                          <w:b/>
                          <w:szCs w:val="24"/>
                        </w:rPr>
                        <w:t xml:space="preserve"> </w:t>
                      </w:r>
                    </w:p>
                    <w:p w14:paraId="20D15392" w14:textId="77777777" w:rsidR="00300005" w:rsidRDefault="00300005" w:rsidP="00DA6B4E">
                      <w:pPr>
                        <w:jc w:val="center"/>
                      </w:pPr>
                    </w:p>
                  </w:txbxContent>
                </v:textbox>
              </v:rect>
            </w:pict>
          </mc:Fallback>
        </mc:AlternateContent>
      </w:r>
    </w:p>
    <w:p w14:paraId="55A3CEDB" w14:textId="77777777" w:rsidR="00DA6B4E" w:rsidRPr="00A638EC" w:rsidRDefault="00DA6B4E" w:rsidP="00DA6B4E">
      <w:pPr>
        <w:spacing w:after="200" w:line="240" w:lineRule="auto"/>
        <w:jc w:val="center"/>
        <w:rPr>
          <w:rFonts w:ascii="Times New Roman" w:eastAsia="Calibri" w:hAnsi="Times New Roman" w:cs="Times New Roman"/>
          <w:i/>
          <w:iCs/>
          <w:color w:val="000000"/>
          <w:sz w:val="18"/>
          <w:szCs w:val="18"/>
        </w:rPr>
      </w:pPr>
    </w:p>
    <w:p w14:paraId="08438140" w14:textId="77777777" w:rsidR="00DA6B4E" w:rsidRPr="00A638EC" w:rsidRDefault="00DA6B4E" w:rsidP="00DA6B4E">
      <w:pPr>
        <w:spacing w:after="200" w:line="240" w:lineRule="auto"/>
        <w:jc w:val="center"/>
        <w:rPr>
          <w:rFonts w:ascii="Times New Roman" w:eastAsia="Calibri" w:hAnsi="Times New Roman" w:cs="Times New Roman"/>
          <w:i/>
          <w:iCs/>
          <w:color w:val="000000"/>
          <w:sz w:val="18"/>
          <w:szCs w:val="18"/>
        </w:rPr>
      </w:pPr>
      <w:r w:rsidRPr="00A638EC">
        <w:rPr>
          <w:rFonts w:ascii="Times New Roman" w:eastAsia="Calibri" w:hAnsi="Times New Roman" w:cs="Times New Roman"/>
          <w:i/>
          <w:iCs/>
          <w:color w:val="000000"/>
          <w:sz w:val="18"/>
          <w:szCs w:val="18"/>
        </w:rPr>
        <w:t xml:space="preserve">    </w:t>
      </w:r>
    </w:p>
    <w:p w14:paraId="20C237FD" w14:textId="77777777" w:rsidR="00DA6B4E" w:rsidRPr="00A638EC" w:rsidRDefault="00DA6B4E" w:rsidP="00DA6B4E">
      <w:pPr>
        <w:spacing w:after="200" w:line="240" w:lineRule="auto"/>
        <w:jc w:val="center"/>
        <w:rPr>
          <w:rFonts w:ascii="Times New Roman" w:eastAsia="Calibri" w:hAnsi="Times New Roman" w:cs="Times New Roman"/>
          <w:i/>
          <w:iCs/>
          <w:color w:val="000000"/>
          <w:sz w:val="18"/>
          <w:szCs w:val="18"/>
        </w:rPr>
      </w:pPr>
      <w:r w:rsidRPr="00A638EC">
        <w:rPr>
          <w:rFonts w:ascii="Times New Roman" w:eastAsia="Calibri" w:hAnsi="Times New Roman" w:cs="Times New Roman"/>
          <w:i/>
          <w:iCs/>
          <w:color w:val="000000"/>
          <w:sz w:val="18"/>
          <w:szCs w:val="18"/>
        </w:rPr>
        <w:t xml:space="preserve">  </w:t>
      </w:r>
      <w:bookmarkStart w:id="16" w:name="_Toc106452863"/>
      <w:r w:rsidRPr="00A638EC">
        <w:rPr>
          <w:rFonts w:ascii="Times New Roman" w:eastAsia="Calibri" w:hAnsi="Times New Roman" w:cs="Times New Roman"/>
          <w:iCs/>
          <w:color w:val="1F497D"/>
          <w:sz w:val="24"/>
          <w:szCs w:val="18"/>
        </w:rPr>
        <w:t xml:space="preserve">Figure </w:t>
      </w:r>
      <w:r w:rsidRPr="00A638EC">
        <w:rPr>
          <w:rFonts w:ascii="Times New Roman" w:eastAsia="Calibri" w:hAnsi="Times New Roman" w:cs="Times New Roman"/>
          <w:iCs/>
          <w:color w:val="1F497D"/>
          <w:sz w:val="24"/>
          <w:szCs w:val="18"/>
        </w:rPr>
        <w:fldChar w:fldCharType="begin"/>
      </w:r>
      <w:r w:rsidRPr="00A638EC">
        <w:rPr>
          <w:rFonts w:ascii="Times New Roman" w:eastAsia="Calibri" w:hAnsi="Times New Roman" w:cs="Times New Roman"/>
          <w:iCs/>
          <w:color w:val="1F497D"/>
          <w:sz w:val="24"/>
          <w:szCs w:val="18"/>
        </w:rPr>
        <w:instrText xml:space="preserve"> SEQ Figure \* ARABIC </w:instrText>
      </w:r>
      <w:r w:rsidRPr="00A638EC">
        <w:rPr>
          <w:rFonts w:ascii="Times New Roman" w:eastAsia="Calibri" w:hAnsi="Times New Roman" w:cs="Times New Roman"/>
          <w:iCs/>
          <w:color w:val="1F497D"/>
          <w:sz w:val="24"/>
          <w:szCs w:val="18"/>
        </w:rPr>
        <w:fldChar w:fldCharType="separate"/>
      </w:r>
      <w:r w:rsidRPr="00A638EC">
        <w:rPr>
          <w:rFonts w:ascii="Times New Roman" w:eastAsia="Calibri" w:hAnsi="Times New Roman" w:cs="Times New Roman"/>
          <w:iCs/>
          <w:noProof/>
          <w:color w:val="1F497D"/>
          <w:sz w:val="24"/>
          <w:szCs w:val="18"/>
        </w:rPr>
        <w:t>1</w:t>
      </w:r>
      <w:r w:rsidRPr="00A638EC">
        <w:rPr>
          <w:rFonts w:ascii="Times New Roman" w:eastAsia="Calibri" w:hAnsi="Times New Roman" w:cs="Times New Roman"/>
          <w:iCs/>
          <w:color w:val="1F497D"/>
          <w:sz w:val="24"/>
          <w:szCs w:val="18"/>
        </w:rPr>
        <w:fldChar w:fldCharType="end"/>
      </w:r>
      <w:r w:rsidRPr="00A638EC">
        <w:rPr>
          <w:rFonts w:ascii="Times New Roman" w:eastAsia="Calibri" w:hAnsi="Times New Roman" w:cs="Times New Roman"/>
          <w:iCs/>
          <w:color w:val="1F497D"/>
          <w:sz w:val="24"/>
          <w:szCs w:val="18"/>
        </w:rPr>
        <w:t>: Conceptual Framework of the Study</w:t>
      </w:r>
      <w:bookmarkEnd w:id="16"/>
    </w:p>
    <w:p w14:paraId="55EAA02D" w14:textId="77777777" w:rsidR="00DA6B4E" w:rsidRPr="00A638EC" w:rsidRDefault="00DA6B4E" w:rsidP="00DA6B4E">
      <w:pPr>
        <w:spacing w:line="240" w:lineRule="auto"/>
        <w:jc w:val="center"/>
        <w:rPr>
          <w:rFonts w:ascii="Times New Roman" w:eastAsia="Calibri" w:hAnsi="Times New Roman" w:cs="Times New Roman"/>
          <w:sz w:val="28"/>
          <w:szCs w:val="24"/>
        </w:rPr>
      </w:pPr>
      <w:r w:rsidRPr="00A638EC">
        <w:rPr>
          <w:rFonts w:ascii="Times New Roman" w:eastAsia="Calibri" w:hAnsi="Times New Roman" w:cs="Times New Roman"/>
          <w:color w:val="000000"/>
          <w:sz w:val="28"/>
          <w:szCs w:val="24"/>
        </w:rPr>
        <w:t>Source:</w:t>
      </w:r>
      <w:r w:rsidRPr="00A638EC">
        <w:rPr>
          <w:rFonts w:ascii="Times New Roman" w:eastAsia="Calibri" w:hAnsi="Times New Roman" w:cs="Times New Roman"/>
          <w:b/>
          <w:color w:val="000000"/>
          <w:sz w:val="28"/>
          <w:szCs w:val="24"/>
        </w:rPr>
        <w:t xml:space="preserve"> </w:t>
      </w:r>
      <w:r w:rsidRPr="00A638EC">
        <w:rPr>
          <w:rFonts w:ascii="Times New Roman" w:eastAsia="Calibri" w:hAnsi="Times New Roman" w:cs="Times New Roman"/>
          <w:sz w:val="28"/>
          <w:szCs w:val="24"/>
        </w:rPr>
        <w:t>Developed by researchers</w:t>
      </w:r>
    </w:p>
    <w:bookmarkEnd w:id="7"/>
    <w:bookmarkEnd w:id="8"/>
    <w:bookmarkEnd w:id="9"/>
    <w:p w14:paraId="250FD230" w14:textId="77777777" w:rsidR="00DA6B4E" w:rsidRPr="00A638EC" w:rsidRDefault="00DA6B4E" w:rsidP="00DA6B4E">
      <w:pPr>
        <w:pStyle w:val="ListParagraph"/>
        <w:spacing w:line="360" w:lineRule="auto"/>
        <w:ind w:left="1080"/>
        <w:jc w:val="both"/>
        <w:rPr>
          <w:rFonts w:ascii="Times New Roman" w:hAnsi="Times New Roman" w:cs="Times New Roman"/>
          <w:sz w:val="24"/>
        </w:rPr>
      </w:pPr>
    </w:p>
    <w:p w14:paraId="6AFF4E3B" w14:textId="77777777" w:rsidR="00F45C56" w:rsidRPr="00A638EC" w:rsidRDefault="00F45C56" w:rsidP="00F45C56">
      <w:pPr>
        <w:pStyle w:val="ListParagraph"/>
        <w:numPr>
          <w:ilvl w:val="0"/>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Methodology</w:t>
      </w:r>
    </w:p>
    <w:p w14:paraId="5F69229F" w14:textId="77777777" w:rsidR="00DA6B4E" w:rsidRPr="00A638EC" w:rsidRDefault="00CD2867" w:rsidP="00CD2867">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Research Design and Approach</w:t>
      </w:r>
    </w:p>
    <w:p w14:paraId="1C295943" w14:textId="45761437" w:rsidR="009B56D8" w:rsidRDefault="009B56D8" w:rsidP="00A1222E">
      <w:pPr>
        <w:spacing w:line="360" w:lineRule="auto"/>
        <w:jc w:val="both"/>
        <w:rPr>
          <w:rFonts w:ascii="Times New Roman" w:hAnsi="Times New Roman" w:cs="Times New Roman"/>
          <w:sz w:val="24"/>
        </w:rPr>
      </w:pPr>
      <w:r w:rsidRPr="009B56D8">
        <w:rPr>
          <w:rFonts w:ascii="Times New Roman" w:hAnsi="Times New Roman" w:cs="Times New Roman"/>
          <w:sz w:val="24"/>
        </w:rPr>
        <w:t xml:space="preserve">This study employed a combination of descriptive and explanatory (causal) research designs, with a mixed-methods approach and a cross-sectional survey design. A research design serves as a blueprint for conducting a study, guiding the collection, measurement, and analysis of data (Kothari, 2004). The descriptive design was specifically used to describe customer satisfaction levels and demographic characteristics of respondents, while the explanatory design was used to examine the cause-and-effect relationship between IFB service quality dimensions (independent variables) and customer satisfaction (dependent variable) (Sekaran &amp; </w:t>
      </w:r>
      <w:proofErr w:type="spellStart"/>
      <w:r w:rsidRPr="009B56D8">
        <w:rPr>
          <w:rFonts w:ascii="Times New Roman" w:hAnsi="Times New Roman" w:cs="Times New Roman"/>
          <w:sz w:val="24"/>
        </w:rPr>
        <w:t>Bougie</w:t>
      </w:r>
      <w:proofErr w:type="spellEnd"/>
      <w:r w:rsidRPr="009B56D8">
        <w:rPr>
          <w:rFonts w:ascii="Times New Roman" w:hAnsi="Times New Roman" w:cs="Times New Roman"/>
          <w:sz w:val="24"/>
        </w:rPr>
        <w:t xml:space="preserve">, 2016; </w:t>
      </w:r>
      <w:proofErr w:type="spellStart"/>
      <w:r w:rsidRPr="009B56D8">
        <w:rPr>
          <w:rFonts w:ascii="Times New Roman" w:hAnsi="Times New Roman" w:cs="Times New Roman"/>
          <w:sz w:val="24"/>
        </w:rPr>
        <w:t>Zikmund</w:t>
      </w:r>
      <w:proofErr w:type="spellEnd"/>
      <w:r w:rsidRPr="009B56D8">
        <w:rPr>
          <w:rFonts w:ascii="Times New Roman" w:hAnsi="Times New Roman" w:cs="Times New Roman"/>
          <w:sz w:val="24"/>
        </w:rPr>
        <w:t xml:space="preserve"> et </w:t>
      </w:r>
      <w:r w:rsidRPr="009B56D8">
        <w:rPr>
          <w:rFonts w:ascii="Times New Roman" w:hAnsi="Times New Roman" w:cs="Times New Roman"/>
          <w:sz w:val="24"/>
        </w:rPr>
        <w:lastRenderedPageBreak/>
        <w:t>al., 2013). A mixed-methods approach, combining both quantitative and qualitative approaches, was adopted to enable the collection of both types of data simultaneously, leverage the strengths of each method, and gain a richer understanding of how IFB service quality affects customer satisfaction from multiple perspectives (Creswell &amp; Creswell, 2018). Finally, a cross-sectional survey design was appropriate for this study because data were collected at a single point in time from sampled respondents, providing a snapshot of the current situation in the study area.</w:t>
      </w:r>
    </w:p>
    <w:p w14:paraId="4F48EAED" w14:textId="77777777" w:rsidR="00CD2867" w:rsidRPr="00A638EC" w:rsidRDefault="00CD2867" w:rsidP="00CD2867">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Target Population and Sampling Techniques</w:t>
      </w:r>
    </w:p>
    <w:p w14:paraId="3B6969FA" w14:textId="77777777" w:rsidR="00CD2867" w:rsidRPr="00A638EC" w:rsidRDefault="00CD2867" w:rsidP="00CD2867">
      <w:pPr>
        <w:spacing w:line="360" w:lineRule="auto"/>
        <w:jc w:val="both"/>
        <w:rPr>
          <w:rFonts w:ascii="Times New Roman" w:hAnsi="Times New Roman" w:cs="Times New Roman"/>
          <w:sz w:val="24"/>
        </w:rPr>
      </w:pPr>
      <w:r w:rsidRPr="00A638EC">
        <w:rPr>
          <w:rFonts w:ascii="Times New Roman" w:hAnsi="Times New Roman" w:cs="Times New Roman"/>
          <w:sz w:val="24"/>
        </w:rPr>
        <w:t xml:space="preserve">The target population for this study comprised all active IFB customers of Commercial Bank of Ethiopia branches in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town, which according to branch records as of October 14, 2025, included a combined total of 7,346 active customers across the three operating branches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Gumi-</w:t>
      </w:r>
      <w:proofErr w:type="spellStart"/>
      <w:r w:rsidRPr="00A638EC">
        <w:rPr>
          <w:rFonts w:ascii="Times New Roman" w:hAnsi="Times New Roman" w:cs="Times New Roman"/>
          <w:sz w:val="24"/>
        </w:rPr>
        <w:t>Gayo</w:t>
      </w:r>
      <w:proofErr w:type="spellEnd"/>
      <w:r w:rsidRPr="00A638EC">
        <w:rPr>
          <w:rFonts w:ascii="Times New Roman" w:hAnsi="Times New Roman" w:cs="Times New Roman"/>
          <w:sz w:val="24"/>
        </w:rPr>
        <w:t xml:space="preserve">, and </w:t>
      </w:r>
      <w:proofErr w:type="spellStart"/>
      <w:r w:rsidRPr="00A638EC">
        <w:rPr>
          <w:rFonts w:ascii="Times New Roman" w:hAnsi="Times New Roman" w:cs="Times New Roman"/>
          <w:sz w:val="24"/>
        </w:rPr>
        <w:t>Shaleka</w:t>
      </w:r>
      <w:proofErr w:type="spellEnd"/>
      <w:r w:rsidRPr="00A638EC">
        <w:rPr>
          <w:rFonts w:ascii="Times New Roman" w:hAnsi="Times New Roman" w:cs="Times New Roman"/>
          <w:sz w:val="24"/>
        </w:rPr>
        <w:t xml:space="preserve"> </w:t>
      </w:r>
      <w:proofErr w:type="spellStart"/>
      <w:r w:rsidRPr="00A638EC">
        <w:rPr>
          <w:rFonts w:ascii="Times New Roman" w:hAnsi="Times New Roman" w:cs="Times New Roman"/>
          <w:sz w:val="24"/>
        </w:rPr>
        <w:t>Jatani</w:t>
      </w:r>
      <w:proofErr w:type="spellEnd"/>
      <w:r w:rsidRPr="00A638EC">
        <w:rPr>
          <w:rFonts w:ascii="Times New Roman" w:hAnsi="Times New Roman" w:cs="Times New Roman"/>
          <w:sz w:val="24"/>
        </w:rPr>
        <w:t>. A two-stage sampling procedure was followed to select both branches and respondents. First, a census survey was used to select all three CBE branches in the town, as their small number justified inclusion of the entire population and ensured equal representation of each branch in the study. Second, due to the large customer population, time constraints, and cost considerations, convenience sampling a non-probability technique was employed to select respondents who were readily available and willing to participate during the data collection period, making it possible to gather the required information efficiently within the available timeframe.</w:t>
      </w:r>
      <w:r w:rsidRPr="00A638EC">
        <w:t xml:space="preserve"> </w:t>
      </w:r>
      <w:r w:rsidRPr="00A638EC">
        <w:rPr>
          <w:rFonts w:ascii="Times New Roman" w:hAnsi="Times New Roman" w:cs="Times New Roman"/>
          <w:sz w:val="24"/>
        </w:rPr>
        <w:t>The sample size was calculated using Yamane's (1967) formula at a 95% confidence level and 5% margin of error:</w:t>
      </w:r>
    </w:p>
    <w:p w14:paraId="56137A87" w14:textId="77777777" w:rsidR="00A1222E" w:rsidRPr="00A638EC" w:rsidRDefault="00A1222E" w:rsidP="00A1222E">
      <w:pPr>
        <w:spacing w:after="200" w:line="360" w:lineRule="auto"/>
        <w:jc w:val="both"/>
        <w:rPr>
          <w:rFonts w:ascii="Times New Roman" w:eastAsia="Calibri" w:hAnsi="Times New Roman" w:cs="Times New Roman"/>
          <w:color w:val="000000"/>
          <w:sz w:val="36"/>
          <w:szCs w:val="24"/>
        </w:rPr>
      </w:pPr>
      <m:oMath>
        <m:r>
          <m:rPr>
            <m:sty m:val="p"/>
          </m:rPr>
          <w:rPr>
            <w:rFonts w:ascii="Cambria Math" w:eastAsia="CambriaMath" w:hAnsi="Cambria Math" w:cs="Times New Roman"/>
            <w:color w:val="000000"/>
            <w:sz w:val="36"/>
            <w:szCs w:val="24"/>
            <w:vertAlign w:val="superscript"/>
          </w:rPr>
          <m:t>n</m:t>
        </m:r>
        <m:r>
          <m:rPr>
            <m:sty m:val="p"/>
          </m:rPr>
          <w:rPr>
            <w:rFonts w:ascii="Cambria Math" w:eastAsia="CambriaMath" w:hAnsi="Cambria Math" w:cs="Times New Roman"/>
            <w:color w:val="000000"/>
            <w:sz w:val="36"/>
            <w:szCs w:val="24"/>
          </w:rPr>
          <m:t>=</m:t>
        </m:r>
        <m:f>
          <m:fPr>
            <m:ctrlPr>
              <w:rPr>
                <w:rFonts w:ascii="Cambria Math" w:eastAsia="CambriaMath" w:hAnsi="Cambria Math" w:cs="Times New Roman"/>
                <w:color w:val="000000"/>
                <w:sz w:val="36"/>
                <w:szCs w:val="24"/>
              </w:rPr>
            </m:ctrlPr>
          </m:fPr>
          <m:num>
            <m:r>
              <m:rPr>
                <m:sty m:val="p"/>
              </m:rPr>
              <w:rPr>
                <w:rFonts w:ascii="Cambria Math" w:eastAsia="CambriaMath" w:hAnsi="Cambria Math" w:cs="Times New Roman"/>
                <w:color w:val="000000"/>
                <w:sz w:val="36"/>
                <w:szCs w:val="24"/>
              </w:rPr>
              <m:t>N</m:t>
            </m:r>
          </m:num>
          <m:den>
            <m:r>
              <m:rPr>
                <m:sty m:val="p"/>
              </m:rPr>
              <w:rPr>
                <w:rFonts w:ascii="Cambria Math" w:eastAsia="CambriaMath" w:hAnsi="Cambria Math" w:cs="Times New Roman"/>
                <w:color w:val="000000"/>
                <w:sz w:val="36"/>
                <w:szCs w:val="24"/>
              </w:rPr>
              <m:t>1+N</m:t>
            </m:r>
            <m:sSup>
              <m:sSupPr>
                <m:ctrlPr>
                  <w:rPr>
                    <w:rFonts w:ascii="Cambria Math" w:eastAsia="CambriaMath" w:hAnsi="Cambria Math" w:cs="Times New Roman"/>
                    <w:color w:val="000000"/>
                    <w:sz w:val="36"/>
                    <w:szCs w:val="24"/>
                  </w:rPr>
                </m:ctrlPr>
              </m:sSupPr>
              <m:e>
                <m:d>
                  <m:dPr>
                    <m:ctrlPr>
                      <w:rPr>
                        <w:rFonts w:ascii="Cambria Math" w:eastAsia="CambriaMath" w:hAnsi="Cambria Math" w:cs="Times New Roman"/>
                        <w:color w:val="000000"/>
                        <w:sz w:val="36"/>
                        <w:szCs w:val="24"/>
                      </w:rPr>
                    </m:ctrlPr>
                  </m:dPr>
                  <m:e>
                    <m:r>
                      <w:rPr>
                        <w:rFonts w:ascii="Cambria Math" w:eastAsia="CambriaMath" w:hAnsi="Cambria Math" w:cs="Times New Roman"/>
                        <w:color w:val="000000"/>
                        <w:sz w:val="36"/>
                        <w:szCs w:val="24"/>
                      </w:rPr>
                      <m:t>e</m:t>
                    </m:r>
                  </m:e>
                </m:d>
              </m:e>
              <m:sup>
                <m:r>
                  <m:rPr>
                    <m:sty m:val="p"/>
                  </m:rPr>
                  <w:rPr>
                    <w:rFonts w:ascii="Cambria Math" w:eastAsia="CambriaMath" w:hAnsi="Cambria Math" w:cs="Times New Roman"/>
                    <w:color w:val="000000"/>
                    <w:sz w:val="36"/>
                    <w:szCs w:val="24"/>
                  </w:rPr>
                  <m:t>2</m:t>
                </m:r>
              </m:sup>
            </m:sSup>
          </m:den>
        </m:f>
      </m:oMath>
      <w:r w:rsidRPr="00A638EC">
        <w:rPr>
          <w:rFonts w:ascii="Times New Roman" w:eastAsia="Calibri" w:hAnsi="Times New Roman" w:cs="Times New Roman"/>
          <w:color w:val="000000"/>
          <w:sz w:val="36"/>
          <w:szCs w:val="24"/>
        </w:rPr>
        <w:t xml:space="preserve"> </w:t>
      </w:r>
      <m:oMath>
        <m:r>
          <w:rPr>
            <w:rFonts w:ascii="Cambria Math" w:eastAsia="Calibri" w:hAnsi="Cambria Math" w:cs="Times New Roman"/>
            <w:color w:val="000000"/>
            <w:sz w:val="32"/>
            <w:szCs w:val="24"/>
          </w:rPr>
          <m:t xml:space="preserve">  </m:t>
        </m:r>
        <m:r>
          <m:rPr>
            <m:sty m:val="p"/>
          </m:rPr>
          <w:rPr>
            <w:rFonts w:ascii="Cambria Math" w:eastAsia="CambriaMath" w:hAnsi="Cambria Math" w:cs="Times New Roman"/>
            <w:color w:val="000000"/>
            <w:sz w:val="32"/>
            <w:szCs w:val="24"/>
          </w:rPr>
          <m:t xml:space="preserve">=  </m:t>
        </m:r>
        <m:f>
          <m:fPr>
            <m:ctrlPr>
              <w:rPr>
                <w:rFonts w:ascii="Cambria Math" w:eastAsia="CambriaMath" w:hAnsi="Cambria Math" w:cs="Times New Roman"/>
                <w:color w:val="000000"/>
                <w:sz w:val="32"/>
                <w:szCs w:val="24"/>
              </w:rPr>
            </m:ctrlPr>
          </m:fPr>
          <m:num>
            <m:r>
              <m:rPr>
                <m:sty m:val="p"/>
              </m:rPr>
              <w:rPr>
                <w:rFonts w:ascii="Cambria Math" w:eastAsia="CambriaMath" w:hAnsi="Cambria Math" w:cs="Times New Roman"/>
                <w:color w:val="000000"/>
                <w:sz w:val="32"/>
                <w:szCs w:val="24"/>
              </w:rPr>
              <m:t>7,346</m:t>
            </m:r>
          </m:num>
          <m:den>
            <m:r>
              <m:rPr>
                <m:sty m:val="p"/>
              </m:rPr>
              <w:rPr>
                <w:rFonts w:ascii="Cambria Math" w:eastAsia="CambriaMath" w:hAnsi="Cambria Math" w:cs="Times New Roman"/>
                <w:color w:val="000000"/>
                <w:sz w:val="32"/>
                <w:szCs w:val="24"/>
              </w:rPr>
              <m:t>1+7,346</m:t>
            </m:r>
            <m:sSup>
              <m:sSupPr>
                <m:ctrlPr>
                  <w:rPr>
                    <w:rFonts w:ascii="Cambria Math" w:eastAsia="CambriaMath" w:hAnsi="Cambria Math" w:cs="Times New Roman"/>
                    <w:color w:val="000000"/>
                    <w:sz w:val="32"/>
                    <w:szCs w:val="24"/>
                  </w:rPr>
                </m:ctrlPr>
              </m:sSupPr>
              <m:e>
                <m:d>
                  <m:dPr>
                    <m:ctrlPr>
                      <w:rPr>
                        <w:rFonts w:ascii="Cambria Math" w:eastAsia="CambriaMath" w:hAnsi="Cambria Math" w:cs="Times New Roman"/>
                        <w:color w:val="000000"/>
                        <w:sz w:val="32"/>
                        <w:szCs w:val="24"/>
                      </w:rPr>
                    </m:ctrlPr>
                  </m:dPr>
                  <m:e>
                    <m:r>
                      <m:rPr>
                        <m:sty m:val="p"/>
                      </m:rPr>
                      <w:rPr>
                        <w:rFonts w:ascii="Cambria Math" w:eastAsia="CambriaMath" w:hAnsi="Cambria Math" w:cs="Times New Roman"/>
                        <w:color w:val="000000"/>
                        <w:sz w:val="32"/>
                        <w:szCs w:val="24"/>
                      </w:rPr>
                      <m:t>0.05</m:t>
                    </m:r>
                  </m:e>
                </m:d>
              </m:e>
              <m:sup>
                <m:r>
                  <m:rPr>
                    <m:sty m:val="p"/>
                  </m:rPr>
                  <w:rPr>
                    <w:rFonts w:ascii="Cambria Math" w:eastAsia="CambriaMath" w:hAnsi="Cambria Math" w:cs="Times New Roman"/>
                    <w:color w:val="000000"/>
                    <w:sz w:val="32"/>
                    <w:szCs w:val="24"/>
                  </w:rPr>
                  <m:t>2</m:t>
                </m:r>
              </m:sup>
            </m:sSup>
          </m:den>
        </m:f>
        <m:r>
          <m:rPr>
            <m:sty m:val="p"/>
          </m:rPr>
          <w:rPr>
            <w:rFonts w:ascii="Cambria Math" w:eastAsia="CambriaMath" w:hAnsi="Cambria Math" w:cs="Times New Roman"/>
            <w:color w:val="000000"/>
            <w:sz w:val="32"/>
            <w:szCs w:val="24"/>
          </w:rPr>
          <m:t xml:space="preserve"> =  </m:t>
        </m:r>
        <m:f>
          <m:fPr>
            <m:ctrlPr>
              <w:rPr>
                <w:rFonts w:ascii="Cambria Math" w:eastAsia="CambriaMath" w:hAnsi="Cambria Math" w:cs="Times New Roman"/>
                <w:color w:val="000000"/>
                <w:sz w:val="32"/>
                <w:szCs w:val="24"/>
              </w:rPr>
            </m:ctrlPr>
          </m:fPr>
          <m:num>
            <m:r>
              <m:rPr>
                <m:sty m:val="p"/>
              </m:rPr>
              <w:rPr>
                <w:rFonts w:ascii="Cambria Math" w:eastAsia="CambriaMath" w:hAnsi="Cambria Math" w:cs="Times New Roman"/>
                <w:color w:val="000000"/>
                <w:sz w:val="32"/>
                <w:szCs w:val="24"/>
              </w:rPr>
              <m:t>7,346</m:t>
            </m:r>
          </m:num>
          <m:den>
            <m:r>
              <m:rPr>
                <m:sty m:val="p"/>
              </m:rPr>
              <w:rPr>
                <w:rFonts w:ascii="Cambria Math" w:eastAsia="CambriaMath" w:hAnsi="Cambria Math" w:cs="Times New Roman"/>
                <w:color w:val="000000"/>
                <w:sz w:val="32"/>
                <w:szCs w:val="24"/>
              </w:rPr>
              <m:t>19.365</m:t>
            </m:r>
          </m:den>
        </m:f>
        <m:r>
          <m:rPr>
            <m:sty m:val="p"/>
          </m:rPr>
          <w:rPr>
            <w:rFonts w:ascii="Cambria Math" w:eastAsia="CambriaMath" w:hAnsi="Cambria Math" w:cs="Times New Roman"/>
            <w:color w:val="000000"/>
            <w:sz w:val="32"/>
            <w:szCs w:val="24"/>
            <w:u w:val="double"/>
          </w:rPr>
          <m:t xml:space="preserve">         </m:t>
        </m:r>
        <m:r>
          <m:rPr>
            <m:sty m:val="p"/>
          </m:rPr>
          <w:rPr>
            <w:rFonts w:ascii="Cambria Math" w:eastAsia="Calibri" w:hAnsi="Cambria Math" w:cs="Times New Roman"/>
            <w:color w:val="000000"/>
            <w:sz w:val="24"/>
          </w:rPr>
          <m:t>≈</m:t>
        </m:r>
        <m:r>
          <m:rPr>
            <m:sty m:val="p"/>
          </m:rPr>
          <w:rPr>
            <w:rFonts w:ascii="Cambria Math" w:eastAsia="CambriaMath" w:hAnsi="Cambria Math" w:cs="Times New Roman"/>
            <w:color w:val="000000"/>
            <w:sz w:val="32"/>
            <w:szCs w:val="24"/>
          </w:rPr>
          <m:t>379</m:t>
        </m:r>
      </m:oMath>
    </w:p>
    <w:p w14:paraId="44507DA9" w14:textId="77777777" w:rsidR="00A1222E" w:rsidRPr="00A638EC" w:rsidRDefault="00A1222E" w:rsidP="00A1222E">
      <w:pPr>
        <w:spacing w:after="200" w:line="360" w:lineRule="auto"/>
        <w:jc w:val="both"/>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 xml:space="preserve">Where: N refers </w:t>
      </w:r>
      <w:r w:rsidRPr="00A638EC">
        <w:rPr>
          <w:rFonts w:ascii="Times New Roman" w:eastAsia="TimesNewRomanPSMT" w:hAnsi="Times New Roman" w:cs="Times New Roman"/>
          <w:color w:val="000000"/>
          <w:sz w:val="24"/>
          <w:szCs w:val="24"/>
        </w:rPr>
        <w:t>population</w:t>
      </w:r>
      <w:r w:rsidRPr="00A638EC">
        <w:rPr>
          <w:rFonts w:ascii="Times New Roman" w:eastAsia="Calibri" w:hAnsi="Times New Roman" w:cs="Times New Roman"/>
          <w:color w:val="000000"/>
          <w:sz w:val="24"/>
          <w:szCs w:val="24"/>
        </w:rPr>
        <w:t xml:space="preserve"> size, n is</w:t>
      </w:r>
      <w:r w:rsidRPr="00A638EC">
        <w:rPr>
          <w:rFonts w:ascii="Times New Roman" w:eastAsia="TimesNewRomanPSMT" w:hAnsi="Times New Roman" w:cs="Times New Roman"/>
          <w:color w:val="000000"/>
          <w:sz w:val="24"/>
          <w:szCs w:val="24"/>
        </w:rPr>
        <w:t xml:space="preserve"> a </w:t>
      </w:r>
      <w:r w:rsidRPr="00A638EC">
        <w:rPr>
          <w:rFonts w:ascii="Times New Roman" w:eastAsia="Calibri" w:hAnsi="Times New Roman" w:cs="Times New Roman"/>
          <w:color w:val="000000"/>
          <w:sz w:val="24"/>
          <w:szCs w:val="24"/>
        </w:rPr>
        <w:t>sample</w:t>
      </w:r>
      <w:r w:rsidRPr="00A638EC">
        <w:rPr>
          <w:rFonts w:ascii="Times New Roman" w:eastAsia="TimesNewRomanPSMT" w:hAnsi="Times New Roman" w:cs="Times New Roman"/>
          <w:color w:val="000000"/>
          <w:sz w:val="24"/>
          <w:szCs w:val="24"/>
        </w:rPr>
        <w:t xml:space="preserve"> size, and </w:t>
      </w:r>
      <w:r w:rsidRPr="00A638EC">
        <w:rPr>
          <w:rFonts w:ascii="Times New Roman" w:eastAsia="Calibri" w:hAnsi="Times New Roman" w:cs="Times New Roman"/>
          <w:i/>
          <w:color w:val="000000"/>
          <w:sz w:val="24"/>
          <w:szCs w:val="24"/>
        </w:rPr>
        <w:t xml:space="preserve">e </w:t>
      </w:r>
      <w:r w:rsidRPr="00A638EC">
        <w:rPr>
          <w:rFonts w:ascii="Times New Roman" w:eastAsia="Calibri" w:hAnsi="Times New Roman" w:cs="Times New Roman"/>
          <w:color w:val="000000"/>
          <w:sz w:val="24"/>
          <w:szCs w:val="24"/>
        </w:rPr>
        <w:t>is the level of precision or sampling error which is usually fixed at 5%.</w:t>
      </w:r>
    </w:p>
    <w:p w14:paraId="5EF19675" w14:textId="77777777" w:rsidR="00A1222E" w:rsidRPr="00A638EC" w:rsidRDefault="00A1222E" w:rsidP="00A1222E">
      <w:pPr>
        <w:spacing w:after="200" w:line="360" w:lineRule="auto"/>
        <w:jc w:val="both"/>
        <w:rPr>
          <w:rFonts w:ascii="Times New Roman" w:eastAsia="Calibri" w:hAnsi="Times New Roman" w:cs="Times New Roman"/>
          <w:color w:val="000000"/>
          <w:sz w:val="24"/>
        </w:rPr>
      </w:pPr>
      <w:r w:rsidRPr="00A638EC">
        <w:rPr>
          <w:rFonts w:ascii="Times New Roman" w:eastAsia="Calibri" w:hAnsi="Times New Roman" w:cs="Times New Roman"/>
          <w:color w:val="000000"/>
          <w:sz w:val="24"/>
        </w:rPr>
        <w:t>Again, the calculated sample size was allotted to each branch according to the proportion of population size i.e. number of customers’ found in respective branches; to insure the equal representation of respondents in the study. Therefore, the calculated sample size was proportional allotted to the selected branches as follows:</w:t>
      </w:r>
    </w:p>
    <w:p w14:paraId="7525ED14" w14:textId="77777777" w:rsidR="00A1222E" w:rsidRPr="00A638EC" w:rsidRDefault="00A1222E" w:rsidP="00A1222E">
      <w:pPr>
        <w:spacing w:after="200" w:line="240" w:lineRule="auto"/>
        <w:jc w:val="center"/>
        <w:rPr>
          <w:rFonts w:ascii="Times New Roman" w:eastAsia="Calibri" w:hAnsi="Times New Roman" w:cs="Times New Roman"/>
          <w:iCs/>
          <w:color w:val="1F497D"/>
          <w:sz w:val="24"/>
          <w:szCs w:val="18"/>
        </w:rPr>
      </w:pPr>
      <w:bookmarkStart w:id="17" w:name="_Toc106452846"/>
      <w:r w:rsidRPr="00A638EC">
        <w:rPr>
          <w:rFonts w:ascii="Times New Roman" w:eastAsia="Calibri" w:hAnsi="Times New Roman" w:cs="Times New Roman"/>
          <w:iCs/>
          <w:color w:val="1F497D"/>
          <w:sz w:val="24"/>
          <w:szCs w:val="18"/>
        </w:rPr>
        <w:t xml:space="preserve">Table </w:t>
      </w:r>
      <w:r w:rsidRPr="00A638EC">
        <w:rPr>
          <w:rFonts w:ascii="Times New Roman" w:eastAsia="Calibri" w:hAnsi="Times New Roman" w:cs="Times New Roman"/>
          <w:iCs/>
          <w:color w:val="1F497D"/>
          <w:sz w:val="24"/>
          <w:szCs w:val="18"/>
        </w:rPr>
        <w:fldChar w:fldCharType="begin"/>
      </w:r>
      <w:r w:rsidRPr="00A638EC">
        <w:rPr>
          <w:rFonts w:ascii="Times New Roman" w:eastAsia="Calibri" w:hAnsi="Times New Roman" w:cs="Times New Roman"/>
          <w:iCs/>
          <w:color w:val="1F497D"/>
          <w:sz w:val="24"/>
          <w:szCs w:val="18"/>
        </w:rPr>
        <w:instrText xml:space="preserve"> SEQ Table \* ARABIC </w:instrText>
      </w:r>
      <w:r w:rsidRPr="00A638EC">
        <w:rPr>
          <w:rFonts w:ascii="Times New Roman" w:eastAsia="Calibri" w:hAnsi="Times New Roman" w:cs="Times New Roman"/>
          <w:iCs/>
          <w:color w:val="1F497D"/>
          <w:sz w:val="24"/>
          <w:szCs w:val="18"/>
        </w:rPr>
        <w:fldChar w:fldCharType="separate"/>
      </w:r>
      <w:r w:rsidRPr="00A638EC">
        <w:rPr>
          <w:rFonts w:ascii="Times New Roman" w:eastAsia="Calibri" w:hAnsi="Times New Roman" w:cs="Times New Roman"/>
          <w:iCs/>
          <w:noProof/>
          <w:color w:val="1F497D"/>
          <w:sz w:val="24"/>
          <w:szCs w:val="18"/>
        </w:rPr>
        <w:t>1</w:t>
      </w:r>
      <w:r w:rsidRPr="00A638EC">
        <w:rPr>
          <w:rFonts w:ascii="Times New Roman" w:eastAsia="Calibri" w:hAnsi="Times New Roman" w:cs="Times New Roman"/>
          <w:iCs/>
          <w:color w:val="1F497D"/>
          <w:sz w:val="24"/>
          <w:szCs w:val="18"/>
        </w:rPr>
        <w:fldChar w:fldCharType="end"/>
      </w:r>
      <w:r w:rsidRPr="00A638EC">
        <w:rPr>
          <w:rFonts w:ascii="Times New Roman" w:eastAsia="Calibri" w:hAnsi="Times New Roman" w:cs="Times New Roman"/>
          <w:iCs/>
          <w:color w:val="1F497D"/>
          <w:sz w:val="24"/>
          <w:szCs w:val="18"/>
        </w:rPr>
        <w:t>: The sample size taken from each respective branch</w:t>
      </w:r>
      <w:bookmarkEnd w:id="17"/>
    </w:p>
    <w:tbl>
      <w:tblPr>
        <w:tblStyle w:val="TableGrid"/>
        <w:tblW w:w="1022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236"/>
        <w:gridCol w:w="2763"/>
        <w:gridCol w:w="1994"/>
        <w:gridCol w:w="142"/>
        <w:gridCol w:w="236"/>
        <w:gridCol w:w="3720"/>
        <w:gridCol w:w="236"/>
      </w:tblGrid>
      <w:tr w:rsidR="00A1222E" w:rsidRPr="00A638EC" w14:paraId="30F5FB72" w14:textId="77777777" w:rsidTr="00315258">
        <w:trPr>
          <w:trHeight w:val="490"/>
        </w:trPr>
        <w:tc>
          <w:tcPr>
            <w:tcW w:w="900" w:type="dxa"/>
            <w:tcBorders>
              <w:top w:val="single" w:sz="12" w:space="0" w:color="00B050"/>
              <w:left w:val="single" w:sz="12" w:space="0" w:color="00B050"/>
              <w:bottom w:val="single" w:sz="12" w:space="0" w:color="00B050"/>
            </w:tcBorders>
          </w:tcPr>
          <w:p w14:paraId="4B050BA8"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lastRenderedPageBreak/>
              <w:t>S. N</w:t>
            </w:r>
            <w:r w:rsidRPr="00A638EC">
              <w:rPr>
                <w:rFonts w:ascii="Times New Roman" w:hAnsi="Times New Roman" w:cs="Times New Roman"/>
                <w:color w:val="000000"/>
                <w:sz w:val="24"/>
                <w:szCs w:val="24"/>
                <w:u w:val="single"/>
              </w:rPr>
              <w:t>o</w:t>
            </w:r>
          </w:p>
        </w:tc>
        <w:tc>
          <w:tcPr>
            <w:tcW w:w="236" w:type="dxa"/>
            <w:tcBorders>
              <w:top w:val="single" w:sz="12" w:space="0" w:color="00B050"/>
              <w:left w:val="single" w:sz="4" w:space="0" w:color="auto"/>
              <w:bottom w:val="single" w:sz="12" w:space="0" w:color="00B050"/>
            </w:tcBorders>
          </w:tcPr>
          <w:p w14:paraId="1B9CFB62" w14:textId="77777777" w:rsidR="00A1222E" w:rsidRPr="00A638EC" w:rsidRDefault="00A1222E" w:rsidP="00A1222E">
            <w:pPr>
              <w:spacing w:after="200"/>
              <w:jc w:val="center"/>
              <w:rPr>
                <w:rFonts w:ascii="Times New Roman" w:hAnsi="Times New Roman" w:cs="Times New Roman"/>
                <w:color w:val="000000"/>
                <w:sz w:val="24"/>
                <w:szCs w:val="24"/>
              </w:rPr>
            </w:pPr>
          </w:p>
        </w:tc>
        <w:tc>
          <w:tcPr>
            <w:tcW w:w="2763" w:type="dxa"/>
            <w:tcBorders>
              <w:top w:val="single" w:sz="12" w:space="0" w:color="00B050"/>
              <w:bottom w:val="single" w:sz="12" w:space="0" w:color="00B050"/>
              <w:right w:val="single" w:sz="6" w:space="0" w:color="00B050"/>
            </w:tcBorders>
          </w:tcPr>
          <w:p w14:paraId="70649FC9" w14:textId="77777777" w:rsidR="00A1222E" w:rsidRPr="00A638EC" w:rsidRDefault="00A1222E" w:rsidP="00A1222E">
            <w:pPr>
              <w:spacing w:after="200"/>
              <w:rPr>
                <w:rFonts w:ascii="Times New Roman" w:hAnsi="Times New Roman" w:cs="Times New Roman"/>
                <w:color w:val="000000"/>
                <w:sz w:val="24"/>
                <w:szCs w:val="24"/>
              </w:rPr>
            </w:pPr>
            <w:r w:rsidRPr="00A638EC">
              <w:rPr>
                <w:rFonts w:ascii="Times New Roman" w:hAnsi="Times New Roman" w:cs="Times New Roman"/>
                <w:color w:val="000000"/>
                <w:sz w:val="24"/>
                <w:szCs w:val="24"/>
              </w:rPr>
              <w:t>Name of Branch</w:t>
            </w:r>
          </w:p>
        </w:tc>
        <w:tc>
          <w:tcPr>
            <w:tcW w:w="2136" w:type="dxa"/>
            <w:gridSpan w:val="2"/>
            <w:tcBorders>
              <w:top w:val="single" w:sz="12" w:space="0" w:color="00B050"/>
              <w:left w:val="single" w:sz="6" w:space="0" w:color="00B050"/>
              <w:bottom w:val="single" w:sz="12" w:space="0" w:color="00B050"/>
            </w:tcBorders>
          </w:tcPr>
          <w:p w14:paraId="5F52E345"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Population Size</w:t>
            </w:r>
          </w:p>
        </w:tc>
        <w:tc>
          <w:tcPr>
            <w:tcW w:w="236" w:type="dxa"/>
            <w:tcBorders>
              <w:top w:val="single" w:sz="12" w:space="0" w:color="00B050"/>
              <w:bottom w:val="single" w:sz="12" w:space="0" w:color="00B050"/>
              <w:right w:val="single" w:sz="4" w:space="0" w:color="auto"/>
            </w:tcBorders>
          </w:tcPr>
          <w:p w14:paraId="09E5B4A6" w14:textId="77777777" w:rsidR="00A1222E" w:rsidRPr="00A638EC" w:rsidRDefault="00A1222E" w:rsidP="00A1222E">
            <w:pPr>
              <w:spacing w:after="200"/>
              <w:jc w:val="center"/>
              <w:rPr>
                <w:rFonts w:ascii="Times New Roman" w:hAnsi="Times New Roman" w:cs="Times New Roman"/>
                <w:color w:val="000000"/>
                <w:sz w:val="24"/>
                <w:szCs w:val="24"/>
              </w:rPr>
            </w:pPr>
          </w:p>
        </w:tc>
        <w:tc>
          <w:tcPr>
            <w:tcW w:w="3956" w:type="dxa"/>
            <w:gridSpan w:val="2"/>
            <w:tcBorders>
              <w:top w:val="single" w:sz="12" w:space="0" w:color="00B050"/>
              <w:left w:val="single" w:sz="4" w:space="0" w:color="auto"/>
              <w:bottom w:val="single" w:sz="12" w:space="0" w:color="00B050"/>
              <w:right w:val="single" w:sz="12" w:space="0" w:color="00B050"/>
            </w:tcBorders>
          </w:tcPr>
          <w:p w14:paraId="4C4FEAF8"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 xml:space="preserve">Sample Size </w:t>
            </w:r>
          </w:p>
        </w:tc>
      </w:tr>
      <w:tr w:rsidR="00A1222E" w:rsidRPr="00A638EC" w14:paraId="7BE0D9D9" w14:textId="77777777" w:rsidTr="00315258">
        <w:trPr>
          <w:trHeight w:val="595"/>
        </w:trPr>
        <w:tc>
          <w:tcPr>
            <w:tcW w:w="900" w:type="dxa"/>
            <w:tcBorders>
              <w:top w:val="single" w:sz="12" w:space="0" w:color="00B050"/>
              <w:left w:val="single" w:sz="12" w:space="0" w:color="00B050"/>
              <w:bottom w:val="single" w:sz="4" w:space="0" w:color="auto"/>
            </w:tcBorders>
          </w:tcPr>
          <w:p w14:paraId="67BC0599"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1.</w:t>
            </w:r>
          </w:p>
        </w:tc>
        <w:tc>
          <w:tcPr>
            <w:tcW w:w="236" w:type="dxa"/>
            <w:tcBorders>
              <w:top w:val="single" w:sz="12" w:space="0" w:color="00B050"/>
              <w:left w:val="single" w:sz="4" w:space="0" w:color="auto"/>
              <w:bottom w:val="single" w:sz="4" w:space="0" w:color="auto"/>
            </w:tcBorders>
          </w:tcPr>
          <w:p w14:paraId="332FBFD6" w14:textId="77777777" w:rsidR="00A1222E" w:rsidRPr="00A638EC" w:rsidRDefault="00A1222E" w:rsidP="00A1222E">
            <w:pPr>
              <w:spacing w:after="200"/>
              <w:jc w:val="center"/>
              <w:rPr>
                <w:rFonts w:ascii="Times New Roman" w:hAnsi="Times New Roman" w:cs="Times New Roman"/>
                <w:color w:val="000000"/>
                <w:sz w:val="24"/>
                <w:szCs w:val="24"/>
              </w:rPr>
            </w:pPr>
          </w:p>
        </w:tc>
        <w:tc>
          <w:tcPr>
            <w:tcW w:w="2763" w:type="dxa"/>
            <w:tcBorders>
              <w:top w:val="single" w:sz="12" w:space="0" w:color="00B050"/>
              <w:bottom w:val="single" w:sz="4" w:space="0" w:color="auto"/>
              <w:right w:val="single" w:sz="6" w:space="0" w:color="00B050"/>
            </w:tcBorders>
          </w:tcPr>
          <w:p w14:paraId="49DF34E1" w14:textId="77777777" w:rsidR="00A1222E" w:rsidRPr="00A638EC" w:rsidRDefault="00A1222E" w:rsidP="00A1222E">
            <w:pPr>
              <w:spacing w:after="200"/>
              <w:rPr>
                <w:rFonts w:ascii="Times New Roman" w:hAnsi="Times New Roman" w:cs="Times New Roman"/>
                <w:color w:val="000000"/>
                <w:sz w:val="24"/>
                <w:szCs w:val="24"/>
              </w:rPr>
            </w:pPr>
            <w:proofErr w:type="spellStart"/>
            <w:r w:rsidRPr="00A638EC">
              <w:rPr>
                <w:rFonts w:ascii="Times New Roman" w:hAnsi="Times New Roman" w:cs="Times New Roman"/>
                <w:color w:val="000000"/>
                <w:sz w:val="24"/>
                <w:szCs w:val="24"/>
              </w:rPr>
              <w:t>Yabello</w:t>
            </w:r>
            <w:proofErr w:type="spellEnd"/>
            <w:r w:rsidRPr="00A638EC">
              <w:rPr>
                <w:rFonts w:ascii="Times New Roman" w:hAnsi="Times New Roman" w:cs="Times New Roman"/>
                <w:color w:val="000000"/>
                <w:sz w:val="24"/>
                <w:szCs w:val="24"/>
              </w:rPr>
              <w:t xml:space="preserve"> Branch</w:t>
            </w:r>
          </w:p>
        </w:tc>
        <w:tc>
          <w:tcPr>
            <w:tcW w:w="2136" w:type="dxa"/>
            <w:gridSpan w:val="2"/>
            <w:tcBorders>
              <w:top w:val="single" w:sz="12" w:space="0" w:color="00B050"/>
              <w:left w:val="single" w:sz="6" w:space="0" w:color="00B050"/>
              <w:bottom w:val="single" w:sz="4" w:space="0" w:color="auto"/>
            </w:tcBorders>
          </w:tcPr>
          <w:p w14:paraId="12FC882A"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3,156</w:t>
            </w:r>
          </w:p>
        </w:tc>
        <w:tc>
          <w:tcPr>
            <w:tcW w:w="236" w:type="dxa"/>
            <w:tcBorders>
              <w:top w:val="single" w:sz="12" w:space="0" w:color="00B050"/>
              <w:bottom w:val="single" w:sz="4" w:space="0" w:color="auto"/>
              <w:right w:val="single" w:sz="4" w:space="0" w:color="auto"/>
            </w:tcBorders>
          </w:tcPr>
          <w:p w14:paraId="7D00605C" w14:textId="77777777" w:rsidR="00A1222E" w:rsidRPr="00A638EC" w:rsidRDefault="00A1222E" w:rsidP="00A1222E">
            <w:pPr>
              <w:spacing w:after="200"/>
              <w:jc w:val="center"/>
              <w:rPr>
                <w:rFonts w:ascii="Times New Roman" w:hAnsi="Times New Roman" w:cs="Times New Roman"/>
                <w:color w:val="000000"/>
                <w:sz w:val="24"/>
                <w:szCs w:val="24"/>
              </w:rPr>
            </w:pPr>
          </w:p>
        </w:tc>
        <w:tc>
          <w:tcPr>
            <w:tcW w:w="3956" w:type="dxa"/>
            <w:gridSpan w:val="2"/>
            <w:tcBorders>
              <w:top w:val="single" w:sz="12" w:space="0" w:color="00B050"/>
              <w:left w:val="single" w:sz="4" w:space="0" w:color="auto"/>
              <w:bottom w:val="single" w:sz="4" w:space="0" w:color="auto"/>
              <w:right w:val="single" w:sz="12" w:space="0" w:color="00B050"/>
            </w:tcBorders>
          </w:tcPr>
          <w:p w14:paraId="127DB6F7"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eastAsia="TimesNewRomanPSMT" w:hAnsi="Times New Roman" w:cs="Times New Roman"/>
                <w:color w:val="000000"/>
                <w:sz w:val="24"/>
                <w:szCs w:val="24"/>
              </w:rPr>
              <w:t xml:space="preserve">379*( </w:t>
            </w:r>
            <m:oMath>
              <m:f>
                <m:fPr>
                  <m:ctrlPr>
                    <w:rPr>
                      <w:rFonts w:ascii="Cambria Math" w:eastAsia="CambriaMath" w:hAnsi="Cambria Math" w:cs="Times New Roman"/>
                      <w:color w:val="000000"/>
                      <w:sz w:val="28"/>
                      <w:szCs w:val="24"/>
                    </w:rPr>
                  </m:ctrlPr>
                </m:fPr>
                <m:num>
                  <m:r>
                    <m:rPr>
                      <m:sty m:val="p"/>
                    </m:rPr>
                    <w:rPr>
                      <w:rFonts w:ascii="Cambria Math" w:eastAsia="TimesNewRomanPSMT" w:hAnsi="Cambria Math" w:cs="Times New Roman"/>
                      <w:color w:val="000000"/>
                      <w:sz w:val="28"/>
                      <w:szCs w:val="24"/>
                    </w:rPr>
                    <m:t>3,156</m:t>
                  </m:r>
                </m:num>
                <m:den>
                  <m:r>
                    <m:rPr>
                      <m:sty m:val="p"/>
                    </m:rPr>
                    <w:rPr>
                      <w:rFonts w:ascii="Cambria Math" w:eastAsia="CambriaMath" w:hAnsi="Cambria Math" w:cs="Times New Roman"/>
                      <w:color w:val="000000"/>
                      <w:sz w:val="28"/>
                      <w:szCs w:val="24"/>
                    </w:rPr>
                    <m:t>7,346</m:t>
                  </m:r>
                </m:den>
              </m:f>
            </m:oMath>
            <w:r w:rsidRPr="00A638EC">
              <w:rPr>
                <w:rFonts w:ascii="Times New Roman" w:eastAsia="TimesNewRomanPSMT" w:hAnsi="Times New Roman" w:cs="Times New Roman"/>
                <w:color w:val="000000"/>
                <w:sz w:val="28"/>
                <w:szCs w:val="24"/>
              </w:rPr>
              <w:t xml:space="preserve">)    </w:t>
            </w:r>
            <m:oMath>
              <m:r>
                <m:rPr>
                  <m:sty m:val="p"/>
                </m:rPr>
                <w:rPr>
                  <w:rFonts w:ascii="Cambria Math" w:hAnsi="Cambria Math" w:cs="Times New Roman"/>
                  <w:color w:val="000000"/>
                  <w:sz w:val="24"/>
                </w:rPr>
                <m:t>≈</m:t>
              </m:r>
            </m:oMath>
            <w:r w:rsidRPr="00A638EC">
              <w:rPr>
                <w:rFonts w:ascii="Times New Roman" w:eastAsia="TimesNewRomanPSMT" w:hAnsi="Times New Roman" w:cs="Times New Roman"/>
                <w:color w:val="000000"/>
                <w:sz w:val="24"/>
                <w:szCs w:val="24"/>
              </w:rPr>
              <w:t>163</w:t>
            </w:r>
          </w:p>
        </w:tc>
      </w:tr>
      <w:tr w:rsidR="00A1222E" w:rsidRPr="00A638EC" w14:paraId="0DA6924A" w14:textId="77777777" w:rsidTr="00315258">
        <w:trPr>
          <w:trHeight w:val="571"/>
        </w:trPr>
        <w:tc>
          <w:tcPr>
            <w:tcW w:w="900" w:type="dxa"/>
            <w:tcBorders>
              <w:left w:val="single" w:sz="12" w:space="0" w:color="00B050"/>
              <w:bottom w:val="single" w:sz="4" w:space="0" w:color="auto"/>
            </w:tcBorders>
          </w:tcPr>
          <w:p w14:paraId="7C125BE7"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2.</w:t>
            </w:r>
          </w:p>
        </w:tc>
        <w:tc>
          <w:tcPr>
            <w:tcW w:w="236" w:type="dxa"/>
            <w:tcBorders>
              <w:left w:val="single" w:sz="4" w:space="0" w:color="auto"/>
              <w:bottom w:val="single" w:sz="4" w:space="0" w:color="auto"/>
            </w:tcBorders>
          </w:tcPr>
          <w:p w14:paraId="675CB9B5" w14:textId="77777777" w:rsidR="00A1222E" w:rsidRPr="00A638EC" w:rsidRDefault="00A1222E" w:rsidP="00A1222E">
            <w:pPr>
              <w:spacing w:after="200"/>
              <w:jc w:val="center"/>
              <w:rPr>
                <w:rFonts w:ascii="Times New Roman" w:hAnsi="Times New Roman" w:cs="Times New Roman"/>
                <w:color w:val="000000"/>
                <w:sz w:val="24"/>
                <w:szCs w:val="24"/>
              </w:rPr>
            </w:pPr>
          </w:p>
        </w:tc>
        <w:tc>
          <w:tcPr>
            <w:tcW w:w="2763" w:type="dxa"/>
            <w:tcBorders>
              <w:bottom w:val="single" w:sz="4" w:space="0" w:color="auto"/>
              <w:right w:val="single" w:sz="6" w:space="0" w:color="00B050"/>
            </w:tcBorders>
          </w:tcPr>
          <w:p w14:paraId="6B4D3A48" w14:textId="77777777" w:rsidR="00A1222E" w:rsidRPr="00A638EC" w:rsidRDefault="00A1222E" w:rsidP="00A1222E">
            <w:pPr>
              <w:spacing w:after="200"/>
              <w:rPr>
                <w:rFonts w:ascii="Times New Roman" w:hAnsi="Times New Roman" w:cs="Times New Roman"/>
                <w:color w:val="000000"/>
                <w:sz w:val="24"/>
                <w:szCs w:val="24"/>
              </w:rPr>
            </w:pPr>
            <w:r w:rsidRPr="00A638EC">
              <w:rPr>
                <w:rFonts w:ascii="Times New Roman" w:hAnsi="Times New Roman" w:cs="Times New Roman"/>
                <w:color w:val="000000"/>
                <w:sz w:val="24"/>
                <w:szCs w:val="24"/>
              </w:rPr>
              <w:t>Gumi-</w:t>
            </w:r>
            <w:proofErr w:type="spellStart"/>
            <w:r w:rsidRPr="00A638EC">
              <w:rPr>
                <w:rFonts w:ascii="Times New Roman" w:hAnsi="Times New Roman" w:cs="Times New Roman"/>
                <w:color w:val="000000"/>
                <w:sz w:val="24"/>
                <w:szCs w:val="24"/>
              </w:rPr>
              <w:t>Gayo</w:t>
            </w:r>
            <w:proofErr w:type="spellEnd"/>
            <w:r w:rsidRPr="00A638EC">
              <w:rPr>
                <w:rFonts w:ascii="Times New Roman" w:hAnsi="Times New Roman" w:cs="Times New Roman"/>
                <w:color w:val="000000"/>
                <w:sz w:val="24"/>
                <w:szCs w:val="24"/>
              </w:rPr>
              <w:t xml:space="preserve"> Branch</w:t>
            </w:r>
          </w:p>
        </w:tc>
        <w:tc>
          <w:tcPr>
            <w:tcW w:w="2136" w:type="dxa"/>
            <w:gridSpan w:val="2"/>
            <w:tcBorders>
              <w:left w:val="single" w:sz="6" w:space="0" w:color="00B050"/>
              <w:bottom w:val="single" w:sz="4" w:space="0" w:color="auto"/>
            </w:tcBorders>
          </w:tcPr>
          <w:p w14:paraId="0CC1BAB8"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2,367</w:t>
            </w:r>
          </w:p>
        </w:tc>
        <w:tc>
          <w:tcPr>
            <w:tcW w:w="236" w:type="dxa"/>
            <w:tcBorders>
              <w:bottom w:val="single" w:sz="4" w:space="0" w:color="auto"/>
              <w:right w:val="single" w:sz="4" w:space="0" w:color="auto"/>
            </w:tcBorders>
          </w:tcPr>
          <w:p w14:paraId="7F24E14F" w14:textId="77777777" w:rsidR="00A1222E" w:rsidRPr="00A638EC" w:rsidRDefault="00A1222E" w:rsidP="00A1222E">
            <w:pPr>
              <w:spacing w:after="200"/>
              <w:jc w:val="center"/>
              <w:rPr>
                <w:rFonts w:ascii="Times New Roman" w:hAnsi="Times New Roman" w:cs="Times New Roman"/>
                <w:color w:val="000000"/>
                <w:sz w:val="24"/>
                <w:szCs w:val="24"/>
              </w:rPr>
            </w:pPr>
          </w:p>
        </w:tc>
        <w:tc>
          <w:tcPr>
            <w:tcW w:w="3956" w:type="dxa"/>
            <w:gridSpan w:val="2"/>
            <w:tcBorders>
              <w:left w:val="single" w:sz="4" w:space="0" w:color="auto"/>
              <w:bottom w:val="single" w:sz="4" w:space="0" w:color="auto"/>
              <w:right w:val="single" w:sz="12" w:space="0" w:color="00B050"/>
            </w:tcBorders>
          </w:tcPr>
          <w:p w14:paraId="44E483F1"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eastAsia="TimesNewRomanPSMT" w:hAnsi="Times New Roman" w:cs="Times New Roman"/>
                <w:color w:val="000000"/>
                <w:sz w:val="24"/>
                <w:szCs w:val="24"/>
              </w:rPr>
              <w:t xml:space="preserve">379* ( </w:t>
            </w:r>
            <m:oMath>
              <m:f>
                <m:fPr>
                  <m:ctrlPr>
                    <w:rPr>
                      <w:rFonts w:ascii="Cambria Math" w:eastAsia="CambriaMath" w:hAnsi="Cambria Math" w:cs="Times New Roman"/>
                      <w:color w:val="000000"/>
                      <w:sz w:val="28"/>
                      <w:szCs w:val="24"/>
                    </w:rPr>
                  </m:ctrlPr>
                </m:fPr>
                <m:num>
                  <m:r>
                    <m:rPr>
                      <m:sty m:val="p"/>
                    </m:rPr>
                    <w:rPr>
                      <w:rFonts w:ascii="Cambria Math" w:eastAsia="TimesNewRomanPSMT" w:hAnsi="Cambria Math" w:cs="Times New Roman"/>
                      <w:color w:val="000000"/>
                      <w:sz w:val="28"/>
                      <w:szCs w:val="24"/>
                    </w:rPr>
                    <m:t>2,367</m:t>
                  </m:r>
                </m:num>
                <m:den>
                  <m:r>
                    <m:rPr>
                      <m:sty m:val="p"/>
                    </m:rPr>
                    <w:rPr>
                      <w:rFonts w:ascii="Cambria Math" w:eastAsia="CambriaMath" w:hAnsi="Cambria Math" w:cs="Times New Roman"/>
                      <w:color w:val="000000"/>
                      <w:sz w:val="28"/>
                      <w:szCs w:val="24"/>
                    </w:rPr>
                    <m:t>7,346</m:t>
                  </m:r>
                </m:den>
              </m:f>
            </m:oMath>
            <w:r w:rsidRPr="00A638EC">
              <w:rPr>
                <w:rFonts w:ascii="Times New Roman" w:eastAsia="TimesNewRomanPSMT" w:hAnsi="Times New Roman" w:cs="Times New Roman"/>
                <w:color w:val="000000"/>
                <w:sz w:val="24"/>
                <w:szCs w:val="24"/>
              </w:rPr>
              <w:t xml:space="preserve">)    </w:t>
            </w:r>
            <m:oMath>
              <m:r>
                <m:rPr>
                  <m:sty m:val="p"/>
                </m:rPr>
                <w:rPr>
                  <w:rFonts w:ascii="Cambria Math" w:hAnsi="Cambria Math" w:cs="Times New Roman"/>
                  <w:color w:val="000000"/>
                  <w:sz w:val="24"/>
                </w:rPr>
                <m:t>≈</m:t>
              </m:r>
            </m:oMath>
            <w:r w:rsidRPr="00A638EC">
              <w:rPr>
                <w:rFonts w:ascii="Times New Roman" w:eastAsia="TimesNewRomanPSMT" w:hAnsi="Times New Roman" w:cs="Times New Roman"/>
                <w:color w:val="000000"/>
                <w:sz w:val="24"/>
                <w:szCs w:val="24"/>
              </w:rPr>
              <w:t>122</w:t>
            </w:r>
          </w:p>
        </w:tc>
      </w:tr>
      <w:tr w:rsidR="00A1222E" w:rsidRPr="00A638EC" w14:paraId="4203215F" w14:textId="77777777" w:rsidTr="00315258">
        <w:trPr>
          <w:trHeight w:val="691"/>
        </w:trPr>
        <w:tc>
          <w:tcPr>
            <w:tcW w:w="900" w:type="dxa"/>
            <w:tcBorders>
              <w:left w:val="single" w:sz="12" w:space="0" w:color="00B050"/>
              <w:bottom w:val="single" w:sz="4" w:space="0" w:color="auto"/>
            </w:tcBorders>
          </w:tcPr>
          <w:p w14:paraId="4A46DD46"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3.</w:t>
            </w:r>
          </w:p>
        </w:tc>
        <w:tc>
          <w:tcPr>
            <w:tcW w:w="236" w:type="dxa"/>
            <w:tcBorders>
              <w:left w:val="single" w:sz="4" w:space="0" w:color="auto"/>
              <w:bottom w:val="single" w:sz="4" w:space="0" w:color="auto"/>
            </w:tcBorders>
          </w:tcPr>
          <w:p w14:paraId="1BA3AFB5" w14:textId="77777777" w:rsidR="00A1222E" w:rsidRPr="00A638EC" w:rsidRDefault="00A1222E" w:rsidP="00A1222E">
            <w:pPr>
              <w:spacing w:after="200"/>
              <w:jc w:val="center"/>
              <w:rPr>
                <w:rFonts w:ascii="Times New Roman" w:hAnsi="Times New Roman" w:cs="Times New Roman"/>
                <w:color w:val="000000"/>
                <w:sz w:val="24"/>
                <w:szCs w:val="24"/>
              </w:rPr>
            </w:pPr>
          </w:p>
        </w:tc>
        <w:tc>
          <w:tcPr>
            <w:tcW w:w="2763" w:type="dxa"/>
            <w:tcBorders>
              <w:bottom w:val="single" w:sz="4" w:space="0" w:color="auto"/>
              <w:right w:val="single" w:sz="6" w:space="0" w:color="00B050"/>
            </w:tcBorders>
          </w:tcPr>
          <w:p w14:paraId="71986E18" w14:textId="77777777" w:rsidR="00A1222E" w:rsidRPr="00A638EC" w:rsidRDefault="00A1222E" w:rsidP="00A1222E">
            <w:pPr>
              <w:spacing w:after="200"/>
              <w:rPr>
                <w:rFonts w:ascii="Times New Roman" w:hAnsi="Times New Roman" w:cs="Times New Roman"/>
                <w:color w:val="000000"/>
                <w:sz w:val="24"/>
                <w:szCs w:val="24"/>
              </w:rPr>
            </w:pPr>
            <w:proofErr w:type="spellStart"/>
            <w:r w:rsidRPr="00A638EC">
              <w:rPr>
                <w:rFonts w:ascii="Times New Roman" w:hAnsi="Times New Roman" w:cs="Times New Roman"/>
                <w:color w:val="000000"/>
                <w:sz w:val="24"/>
                <w:szCs w:val="24"/>
              </w:rPr>
              <w:t>Shaleka</w:t>
            </w:r>
            <w:proofErr w:type="spellEnd"/>
            <w:r w:rsidRPr="00A638EC">
              <w:rPr>
                <w:rFonts w:ascii="Times New Roman" w:hAnsi="Times New Roman" w:cs="Times New Roman"/>
                <w:color w:val="000000"/>
                <w:sz w:val="24"/>
                <w:szCs w:val="24"/>
              </w:rPr>
              <w:t xml:space="preserve"> </w:t>
            </w:r>
            <w:proofErr w:type="spellStart"/>
            <w:r w:rsidRPr="00A638EC">
              <w:rPr>
                <w:rFonts w:ascii="Times New Roman" w:hAnsi="Times New Roman" w:cs="Times New Roman"/>
                <w:color w:val="000000"/>
                <w:sz w:val="24"/>
                <w:szCs w:val="24"/>
              </w:rPr>
              <w:t>Jatani</w:t>
            </w:r>
            <w:proofErr w:type="spellEnd"/>
            <w:r w:rsidRPr="00A638EC">
              <w:rPr>
                <w:rFonts w:ascii="Times New Roman" w:hAnsi="Times New Roman" w:cs="Times New Roman"/>
                <w:color w:val="000000"/>
                <w:sz w:val="24"/>
                <w:szCs w:val="24"/>
              </w:rPr>
              <w:t xml:space="preserve"> Branch</w:t>
            </w:r>
          </w:p>
        </w:tc>
        <w:tc>
          <w:tcPr>
            <w:tcW w:w="2136" w:type="dxa"/>
            <w:gridSpan w:val="2"/>
            <w:tcBorders>
              <w:left w:val="single" w:sz="6" w:space="0" w:color="00B050"/>
              <w:bottom w:val="single" w:sz="4" w:space="0" w:color="auto"/>
            </w:tcBorders>
          </w:tcPr>
          <w:p w14:paraId="7FC48986"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1,823</w:t>
            </w:r>
          </w:p>
        </w:tc>
        <w:tc>
          <w:tcPr>
            <w:tcW w:w="236" w:type="dxa"/>
            <w:tcBorders>
              <w:bottom w:val="single" w:sz="4" w:space="0" w:color="auto"/>
              <w:right w:val="single" w:sz="4" w:space="0" w:color="auto"/>
            </w:tcBorders>
          </w:tcPr>
          <w:p w14:paraId="31DCCECB" w14:textId="77777777" w:rsidR="00A1222E" w:rsidRPr="00A638EC" w:rsidRDefault="00A1222E" w:rsidP="00A1222E">
            <w:pPr>
              <w:spacing w:after="200"/>
              <w:jc w:val="center"/>
              <w:rPr>
                <w:rFonts w:ascii="Times New Roman" w:hAnsi="Times New Roman" w:cs="Times New Roman"/>
                <w:color w:val="000000"/>
                <w:sz w:val="24"/>
                <w:szCs w:val="24"/>
              </w:rPr>
            </w:pPr>
          </w:p>
        </w:tc>
        <w:tc>
          <w:tcPr>
            <w:tcW w:w="3956" w:type="dxa"/>
            <w:gridSpan w:val="2"/>
            <w:tcBorders>
              <w:left w:val="single" w:sz="4" w:space="0" w:color="auto"/>
              <w:bottom w:val="single" w:sz="4" w:space="0" w:color="auto"/>
              <w:right w:val="single" w:sz="12" w:space="0" w:color="00B050"/>
            </w:tcBorders>
          </w:tcPr>
          <w:p w14:paraId="7EF617FC"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eastAsia="TimesNewRomanPSMT" w:hAnsi="Times New Roman" w:cs="Times New Roman"/>
                <w:color w:val="000000"/>
                <w:sz w:val="24"/>
                <w:szCs w:val="24"/>
              </w:rPr>
              <w:t xml:space="preserve">379* ( </w:t>
            </w:r>
            <m:oMath>
              <m:f>
                <m:fPr>
                  <m:ctrlPr>
                    <w:rPr>
                      <w:rFonts w:ascii="Cambria Math" w:eastAsia="CambriaMath" w:hAnsi="Cambria Math" w:cs="Times New Roman"/>
                      <w:color w:val="000000"/>
                      <w:sz w:val="28"/>
                      <w:szCs w:val="24"/>
                    </w:rPr>
                  </m:ctrlPr>
                </m:fPr>
                <m:num>
                  <m:r>
                    <m:rPr>
                      <m:sty m:val="p"/>
                    </m:rPr>
                    <w:rPr>
                      <w:rFonts w:ascii="Cambria Math" w:eastAsia="TimesNewRomanPSMT" w:hAnsi="Cambria Math" w:cs="Times New Roman"/>
                      <w:color w:val="000000"/>
                      <w:sz w:val="28"/>
                      <w:szCs w:val="24"/>
                    </w:rPr>
                    <m:t>1,823</m:t>
                  </m:r>
                </m:num>
                <m:den>
                  <m:r>
                    <m:rPr>
                      <m:sty m:val="p"/>
                    </m:rPr>
                    <w:rPr>
                      <w:rFonts w:ascii="Cambria Math" w:eastAsia="CambriaMath" w:hAnsi="Cambria Math" w:cs="Times New Roman"/>
                      <w:color w:val="000000"/>
                      <w:sz w:val="28"/>
                      <w:szCs w:val="24"/>
                    </w:rPr>
                    <m:t>7,346</m:t>
                  </m:r>
                </m:den>
              </m:f>
            </m:oMath>
            <w:r w:rsidRPr="00A638EC">
              <w:rPr>
                <w:rFonts w:ascii="Times New Roman" w:eastAsia="TimesNewRomanPSMT" w:hAnsi="Times New Roman" w:cs="Times New Roman"/>
                <w:color w:val="000000"/>
                <w:sz w:val="24"/>
                <w:szCs w:val="24"/>
              </w:rPr>
              <w:t xml:space="preserve">)    </w:t>
            </w:r>
            <m:oMath>
              <m:r>
                <m:rPr>
                  <m:sty m:val="p"/>
                </m:rPr>
                <w:rPr>
                  <w:rFonts w:ascii="Cambria Math" w:hAnsi="Cambria Math" w:cs="Times New Roman"/>
                  <w:color w:val="000000"/>
                  <w:sz w:val="24"/>
                </w:rPr>
                <m:t>≈</m:t>
              </m:r>
            </m:oMath>
            <w:r w:rsidRPr="00A638EC">
              <w:rPr>
                <w:rFonts w:ascii="Times New Roman" w:eastAsia="TimesNewRomanPSMT" w:hAnsi="Times New Roman" w:cs="Times New Roman"/>
                <w:color w:val="000000"/>
                <w:sz w:val="24"/>
                <w:szCs w:val="24"/>
              </w:rPr>
              <w:t>94</w:t>
            </w:r>
          </w:p>
        </w:tc>
      </w:tr>
      <w:tr w:rsidR="00A1222E" w:rsidRPr="00A638EC" w14:paraId="013968DE" w14:textId="77777777" w:rsidTr="00A1222E">
        <w:trPr>
          <w:trHeight w:val="287"/>
        </w:trPr>
        <w:tc>
          <w:tcPr>
            <w:tcW w:w="3899" w:type="dxa"/>
            <w:gridSpan w:val="3"/>
            <w:tcBorders>
              <w:top w:val="single" w:sz="4" w:space="0" w:color="auto"/>
              <w:left w:val="single" w:sz="12" w:space="0" w:color="00B050"/>
              <w:bottom w:val="single" w:sz="12" w:space="0" w:color="00B050"/>
              <w:right w:val="single" w:sz="6" w:space="0" w:color="00B050"/>
            </w:tcBorders>
          </w:tcPr>
          <w:p w14:paraId="0D24190C" w14:textId="77777777" w:rsidR="00A1222E" w:rsidRPr="00A638EC" w:rsidRDefault="00A1222E" w:rsidP="00A1222E">
            <w:pPr>
              <w:spacing w:after="200"/>
              <w:rPr>
                <w:rFonts w:ascii="Times New Roman" w:hAnsi="Times New Roman" w:cs="Times New Roman"/>
                <w:color w:val="000000"/>
                <w:sz w:val="24"/>
                <w:szCs w:val="24"/>
              </w:rPr>
            </w:pPr>
          </w:p>
          <w:p w14:paraId="3CE1AB8A"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Total</w:t>
            </w:r>
          </w:p>
        </w:tc>
        <w:tc>
          <w:tcPr>
            <w:tcW w:w="1994" w:type="dxa"/>
            <w:tcBorders>
              <w:top w:val="single" w:sz="4" w:space="0" w:color="auto"/>
              <w:left w:val="single" w:sz="6" w:space="0" w:color="00B050"/>
              <w:bottom w:val="single" w:sz="12" w:space="0" w:color="00B050"/>
            </w:tcBorders>
          </w:tcPr>
          <w:p w14:paraId="387EA03B" w14:textId="77777777" w:rsidR="00A1222E" w:rsidRPr="00A638EC" w:rsidRDefault="00A1222E" w:rsidP="00A1222E">
            <w:pPr>
              <w:spacing w:after="200"/>
              <w:rPr>
                <w:rFonts w:ascii="Times New Roman" w:hAnsi="Times New Roman" w:cs="Times New Roman"/>
                <w:color w:val="000000"/>
                <w:sz w:val="24"/>
                <w:szCs w:val="24"/>
              </w:rPr>
            </w:pPr>
          </w:p>
          <w:p w14:paraId="6CD5BBC4"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7,346</w:t>
            </w:r>
          </w:p>
        </w:tc>
        <w:tc>
          <w:tcPr>
            <w:tcW w:w="378" w:type="dxa"/>
            <w:gridSpan w:val="2"/>
            <w:tcBorders>
              <w:top w:val="single" w:sz="4" w:space="0" w:color="auto"/>
              <w:bottom w:val="single" w:sz="12" w:space="0" w:color="00B050"/>
              <w:right w:val="single" w:sz="4" w:space="0" w:color="auto"/>
            </w:tcBorders>
          </w:tcPr>
          <w:p w14:paraId="5E914137" w14:textId="77777777" w:rsidR="00A1222E" w:rsidRPr="00A638EC" w:rsidRDefault="00A1222E" w:rsidP="00A1222E">
            <w:pPr>
              <w:spacing w:after="200"/>
              <w:rPr>
                <w:rFonts w:ascii="Times New Roman" w:hAnsi="Times New Roman" w:cs="Times New Roman"/>
                <w:color w:val="000000"/>
                <w:sz w:val="24"/>
                <w:szCs w:val="24"/>
              </w:rPr>
            </w:pPr>
          </w:p>
        </w:tc>
        <w:tc>
          <w:tcPr>
            <w:tcW w:w="3720" w:type="dxa"/>
            <w:tcBorders>
              <w:top w:val="single" w:sz="4" w:space="0" w:color="auto"/>
              <w:left w:val="single" w:sz="4" w:space="0" w:color="auto"/>
              <w:bottom w:val="single" w:sz="12" w:space="0" w:color="00B050"/>
            </w:tcBorders>
          </w:tcPr>
          <w:p w14:paraId="057FD44B" w14:textId="77777777" w:rsidR="00A1222E" w:rsidRPr="00A638EC" w:rsidRDefault="00A1222E" w:rsidP="00A1222E">
            <w:pPr>
              <w:spacing w:after="200"/>
              <w:rPr>
                <w:rFonts w:ascii="Times New Roman" w:hAnsi="Times New Roman" w:cs="Times New Roman"/>
                <w:color w:val="000000"/>
                <w:sz w:val="24"/>
                <w:szCs w:val="24"/>
              </w:rPr>
            </w:pPr>
          </w:p>
          <w:p w14:paraId="13FFF7A6"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379</w:t>
            </w:r>
          </w:p>
        </w:tc>
        <w:tc>
          <w:tcPr>
            <w:tcW w:w="236" w:type="dxa"/>
            <w:tcBorders>
              <w:top w:val="single" w:sz="4" w:space="0" w:color="auto"/>
              <w:bottom w:val="single" w:sz="12" w:space="0" w:color="00B050"/>
              <w:right w:val="single" w:sz="12" w:space="0" w:color="00B050"/>
            </w:tcBorders>
          </w:tcPr>
          <w:p w14:paraId="5DCC49D5" w14:textId="77777777" w:rsidR="00A1222E" w:rsidRPr="00A638EC" w:rsidRDefault="00A1222E" w:rsidP="00A1222E">
            <w:pPr>
              <w:spacing w:after="200"/>
              <w:rPr>
                <w:b/>
                <w:bCs/>
              </w:rPr>
            </w:pPr>
          </w:p>
        </w:tc>
      </w:tr>
    </w:tbl>
    <w:p w14:paraId="1278C320" w14:textId="77777777" w:rsidR="00CD2867" w:rsidRPr="00A638EC" w:rsidRDefault="00A1222E" w:rsidP="00A1222E">
      <w:pPr>
        <w:spacing w:after="200" w:line="360" w:lineRule="auto"/>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Source: Calculated by the researchers, based on data taken from branches’ IFB Department.</w:t>
      </w:r>
    </w:p>
    <w:p w14:paraId="3DE25820" w14:textId="77777777" w:rsidR="00DA6B4E" w:rsidRPr="00A638EC" w:rsidRDefault="00CD2867" w:rsidP="00DA6B4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Data and method of Analysis</w:t>
      </w:r>
    </w:p>
    <w:p w14:paraId="1F06EFD1" w14:textId="1AFC0F0E" w:rsidR="00123A9E" w:rsidRPr="00123A9E" w:rsidRDefault="00123A9E" w:rsidP="00123A9E">
      <w:pPr>
        <w:spacing w:line="360" w:lineRule="auto"/>
        <w:jc w:val="both"/>
        <w:rPr>
          <w:rFonts w:ascii="Times New Roman" w:hAnsi="Times New Roman" w:cs="Times New Roman"/>
          <w:sz w:val="24"/>
        </w:rPr>
      </w:pPr>
      <w:r w:rsidRPr="00123A9E">
        <w:rPr>
          <w:rFonts w:ascii="Times New Roman" w:hAnsi="Times New Roman" w:cs="Times New Roman"/>
          <w:sz w:val="24"/>
        </w:rPr>
        <w:t xml:space="preserve">Primary data served as the main source of information for this study, collected directly from sampled IFB customers of CBE branches in </w:t>
      </w:r>
      <w:proofErr w:type="spellStart"/>
      <w:r w:rsidRPr="00123A9E">
        <w:rPr>
          <w:rFonts w:ascii="Times New Roman" w:hAnsi="Times New Roman" w:cs="Times New Roman"/>
          <w:sz w:val="24"/>
        </w:rPr>
        <w:t>Yabello</w:t>
      </w:r>
      <w:proofErr w:type="spellEnd"/>
      <w:r w:rsidRPr="00123A9E">
        <w:rPr>
          <w:rFonts w:ascii="Times New Roman" w:hAnsi="Times New Roman" w:cs="Times New Roman"/>
          <w:sz w:val="24"/>
        </w:rPr>
        <w:t xml:space="preserve"> town using a structured questionnaire with a five-point Likert scale. The questionnaire, adapted from previous studies by </w:t>
      </w:r>
      <w:proofErr w:type="spellStart"/>
      <w:r w:rsidRPr="00123A9E">
        <w:rPr>
          <w:rFonts w:ascii="Times New Roman" w:hAnsi="Times New Roman" w:cs="Times New Roman"/>
          <w:sz w:val="24"/>
        </w:rPr>
        <w:t>Meraf</w:t>
      </w:r>
      <w:proofErr w:type="spellEnd"/>
      <w:r w:rsidRPr="00123A9E">
        <w:rPr>
          <w:rFonts w:ascii="Times New Roman" w:hAnsi="Times New Roman" w:cs="Times New Roman"/>
          <w:sz w:val="24"/>
        </w:rPr>
        <w:t xml:space="preserve"> (2018) with modifications to suit the current study, consisted of four sections covering demographic characteristics and service quality dimensions, and was chosen for its efficiency in terms of time and cost. After collection, the data were summarized, coded, and analyzed using SPSS Version 25, employing both descriptive and inferential statistical techniques. Descriptive s</w:t>
      </w:r>
      <w:r>
        <w:rPr>
          <w:rFonts w:ascii="Times New Roman" w:hAnsi="Times New Roman" w:cs="Times New Roman"/>
          <w:sz w:val="24"/>
        </w:rPr>
        <w:t xml:space="preserve">tatistics </w:t>
      </w:r>
      <w:r w:rsidRPr="00123A9E">
        <w:rPr>
          <w:rFonts w:ascii="Times New Roman" w:hAnsi="Times New Roman" w:cs="Times New Roman"/>
          <w:sz w:val="24"/>
        </w:rPr>
        <w:t>specifica</w:t>
      </w:r>
      <w:r>
        <w:rPr>
          <w:rFonts w:ascii="Times New Roman" w:hAnsi="Times New Roman" w:cs="Times New Roman"/>
          <w:sz w:val="24"/>
        </w:rPr>
        <w:t xml:space="preserve">lly frequencies and percentages </w:t>
      </w:r>
      <w:r w:rsidRPr="00123A9E">
        <w:rPr>
          <w:rFonts w:ascii="Times New Roman" w:hAnsi="Times New Roman" w:cs="Times New Roman"/>
          <w:sz w:val="24"/>
        </w:rPr>
        <w:t>were used to analyze and present respondents' demographic characteristics and their reported satisfaction levels.</w:t>
      </w:r>
    </w:p>
    <w:p w14:paraId="75279695" w14:textId="682AE643" w:rsidR="00123A9E" w:rsidRDefault="00123A9E" w:rsidP="00123A9E">
      <w:pPr>
        <w:spacing w:line="360" w:lineRule="auto"/>
        <w:jc w:val="both"/>
        <w:rPr>
          <w:rFonts w:ascii="Times New Roman" w:hAnsi="Times New Roman" w:cs="Times New Roman"/>
          <w:sz w:val="24"/>
        </w:rPr>
      </w:pPr>
      <w:r w:rsidRPr="00123A9E">
        <w:rPr>
          <w:rFonts w:ascii="Times New Roman" w:hAnsi="Times New Roman" w:cs="Times New Roman"/>
          <w:sz w:val="24"/>
        </w:rPr>
        <w:t>For inferential analysis, three techniques were employed: Spearman's rank correlation coefficient to examine the relationship between each of the seven independent variables and customer satisfaction, as the data were ordinal in nature (Sekaran &amp; Bougie, 2016); ordinal logistic regression to test the proposed hypotheses and examine the effect of the independent variables on customer satisfaction, which is an ordinal categorical variable; and Pseudo R-square to determine the proportion of variance in customer satisfaction explained by the independent variables (Stevens, 2001).</w:t>
      </w:r>
    </w:p>
    <w:p w14:paraId="68A7C085" w14:textId="77777777" w:rsidR="00A1222E" w:rsidRPr="00A638EC" w:rsidRDefault="00A1222E" w:rsidP="00A1222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Model Specification and Study Variables</w:t>
      </w:r>
    </w:p>
    <w:p w14:paraId="06919DBD" w14:textId="77777777" w:rsidR="00A1222E" w:rsidRPr="00A638EC" w:rsidRDefault="00A1222E" w:rsidP="00A1222E">
      <w:pPr>
        <w:pStyle w:val="ListParagraph"/>
        <w:spacing w:line="360" w:lineRule="auto"/>
        <w:ind w:left="1080"/>
        <w:jc w:val="both"/>
        <w:rPr>
          <w:rFonts w:ascii="Times New Roman" w:hAnsi="Times New Roman" w:cs="Times New Roman"/>
          <w:b/>
          <w:sz w:val="24"/>
        </w:rPr>
      </w:pPr>
      <w:r w:rsidRPr="00A638EC">
        <w:rPr>
          <w:rFonts w:ascii="Times New Roman" w:hAnsi="Times New Roman" w:cs="Times New Roman"/>
          <w:b/>
          <w:sz w:val="24"/>
        </w:rPr>
        <w:t>Model Specification</w:t>
      </w:r>
    </w:p>
    <w:p w14:paraId="1B5D12F6" w14:textId="77777777" w:rsidR="00A1222E" w:rsidRPr="00A638EC" w:rsidRDefault="00A1222E" w:rsidP="00A1222E">
      <w:pPr>
        <w:spacing w:line="360" w:lineRule="auto"/>
        <w:jc w:val="both"/>
        <w:rPr>
          <w:rFonts w:ascii="Times New Roman" w:hAnsi="Times New Roman" w:cs="Times New Roman"/>
          <w:sz w:val="24"/>
        </w:rPr>
      </w:pPr>
      <w:r w:rsidRPr="00A638EC">
        <w:rPr>
          <w:rFonts w:ascii="Times New Roman" w:hAnsi="Times New Roman" w:cs="Times New Roman"/>
          <w:sz w:val="24"/>
        </w:rPr>
        <w:lastRenderedPageBreak/>
        <w:t>Given that the dependent variable (customer satisfaction) is ordinal in nature measured on a Likert scale an ordinal logistic regression model was deemed the most appropriate analytical technique (Stevens, 2001). The model is specified as follows:</w:t>
      </w:r>
    </w:p>
    <w:p w14:paraId="5CAD1CCA" w14:textId="77777777" w:rsidR="00A1222E" w:rsidRPr="00A638EC" w:rsidRDefault="00A1222E" w:rsidP="00A1222E">
      <w:pPr>
        <w:spacing w:after="200" w:line="360" w:lineRule="auto"/>
        <w:jc w:val="both"/>
        <w:rPr>
          <w:rFonts w:ascii="Times New Roman" w:eastAsia="Times New Roman" w:hAnsi="Times New Roman" w:cs="Times New Roman"/>
          <w:sz w:val="28"/>
          <w:szCs w:val="24"/>
        </w:rPr>
      </w:pPr>
      <w:r w:rsidRPr="00A638EC">
        <w:rPr>
          <w:rFonts w:ascii="Times New Roman" w:eastAsia="Times New Roman" w:hAnsi="Times New Roman" w:cs="Times New Roman"/>
          <w:i/>
          <w:color w:val="000000"/>
          <w:sz w:val="40"/>
          <w:szCs w:val="24"/>
        </w:rPr>
        <w:t>log</w:t>
      </w:r>
      <w:r w:rsidRPr="00A638EC">
        <w:rPr>
          <w:rFonts w:ascii="Times New Roman" w:eastAsia="Times New Roman" w:hAnsi="Times New Roman" w:cs="Times New Roman"/>
          <w:b/>
          <w:color w:val="000000"/>
          <w:sz w:val="48"/>
          <w:szCs w:val="24"/>
        </w:rPr>
        <w:t xml:space="preserve"> </w:t>
      </w:r>
      <w:r w:rsidRPr="00A638EC">
        <w:rPr>
          <w:rFonts w:ascii="Times New Roman" w:eastAsia="Times New Roman" w:hAnsi="Times New Roman" w:cs="Times New Roman"/>
          <w:color w:val="000000"/>
          <w:sz w:val="48"/>
          <w:szCs w:val="24"/>
        </w:rPr>
        <w:t>(</w:t>
      </w:r>
      <w:r w:rsidRPr="00A638EC">
        <w:rPr>
          <w:rFonts w:ascii="Calibri" w:eastAsia="Calibri" w:hAnsi="Calibri" w:cs="SimSun"/>
        </w:rPr>
        <w:t xml:space="preserve"> </w:t>
      </w:r>
      <m:oMath>
        <m:f>
          <m:fPr>
            <m:ctrlPr>
              <w:rPr>
                <w:rFonts w:ascii="Cambria Math" w:eastAsia="CambriaMath" w:hAnsi="Cambria Math" w:cs="Times New Roman"/>
                <w:i/>
                <w:color w:val="000000"/>
                <w:sz w:val="36"/>
                <w:szCs w:val="32"/>
              </w:rPr>
            </m:ctrlPr>
          </m:fPr>
          <m:num>
            <m:r>
              <w:rPr>
                <w:rFonts w:ascii="Cambria Math" w:eastAsia="Times New Roman" w:hAnsi="Cambria Math" w:cs="Times New Roman"/>
                <w:color w:val="000000"/>
                <w:sz w:val="36"/>
                <w:szCs w:val="32"/>
              </w:rPr>
              <m:t>P</m:t>
            </m:r>
            <m:r>
              <w:rPr>
                <w:rFonts w:ascii="Cambria Math" w:eastAsia="Times New Roman" w:hAnsi="Cambria Math" w:cs="Times New Roman"/>
                <w:color w:val="000000"/>
                <w:sz w:val="36"/>
                <w:szCs w:val="32"/>
                <w:vertAlign w:val="subscript"/>
              </w:rPr>
              <m:t>i</m:t>
            </m:r>
          </m:num>
          <m:den>
            <m:r>
              <w:rPr>
                <w:rFonts w:ascii="Cambria Math" w:eastAsia="Times New Roman" w:hAnsi="Cambria Math" w:cs="Times New Roman"/>
                <w:color w:val="000000"/>
                <w:sz w:val="36"/>
                <w:szCs w:val="32"/>
              </w:rPr>
              <m:t>1-P</m:t>
            </m:r>
            <m:r>
              <w:rPr>
                <w:rFonts w:ascii="Cambria Math" w:eastAsia="Times New Roman" w:hAnsi="Cambria Math" w:cs="Times New Roman"/>
                <w:color w:val="000000"/>
                <w:sz w:val="36"/>
                <w:szCs w:val="32"/>
                <w:vertAlign w:val="subscript"/>
              </w:rPr>
              <m:t>i</m:t>
            </m:r>
          </m:den>
        </m:f>
      </m:oMath>
      <w:r w:rsidRPr="00A638EC">
        <w:rPr>
          <w:rFonts w:ascii="Times New Roman" w:eastAsia="Calibri" w:hAnsi="Times New Roman" w:cs="Times New Roman"/>
          <w:color w:val="000000"/>
          <w:sz w:val="48"/>
          <w:szCs w:val="32"/>
        </w:rPr>
        <w:t>)</w:t>
      </w:r>
      <w:r w:rsidRPr="00A638EC">
        <w:rPr>
          <w:rFonts w:ascii="Times New Roman" w:eastAsia="Times New Roman" w:hAnsi="Times New Roman" w:cs="Times New Roman"/>
          <w:color w:val="000000"/>
          <w:szCs w:val="24"/>
        </w:rPr>
        <w:t xml:space="preserve"> </w:t>
      </w:r>
      <w:r w:rsidRPr="00A638EC">
        <w:rPr>
          <w:rFonts w:ascii="Times New Roman" w:eastAsia="Times New Roman" w:hAnsi="Times New Roman" w:cs="Times New Roman"/>
          <w:color w:val="000000"/>
          <w:sz w:val="24"/>
          <w:szCs w:val="24"/>
        </w:rPr>
        <w:t xml:space="preserve">= </w:t>
      </w:r>
      <w:r w:rsidRPr="00A638EC">
        <w:rPr>
          <w:rFonts w:ascii="Times New Roman" w:eastAsia="Calibri" w:hAnsi="Times New Roman" w:cs="Times New Roman"/>
          <w:sz w:val="24"/>
        </w:rPr>
        <w:t>β</w:t>
      </w:r>
      <w:r w:rsidRPr="00A638EC">
        <w:rPr>
          <w:rFonts w:ascii="Times New Roman" w:eastAsia="Calibri" w:hAnsi="Times New Roman" w:cs="Times New Roman"/>
          <w:sz w:val="24"/>
          <w:vertAlign w:val="subscript"/>
        </w:rPr>
        <w:t>0</w:t>
      </w:r>
      <w:r w:rsidRPr="00A638EC">
        <w:rPr>
          <w:rFonts w:ascii="Times New Roman" w:eastAsia="Times New Roman" w:hAnsi="Times New Roman" w:cs="Times New Roman"/>
          <w:color w:val="000000"/>
          <w:sz w:val="24"/>
          <w:szCs w:val="24"/>
        </w:rPr>
        <w:t>+ β</w:t>
      </w:r>
      <w:r w:rsidRPr="00A638EC">
        <w:rPr>
          <w:rFonts w:ascii="Times New Roman" w:eastAsia="Times New Roman" w:hAnsi="Times New Roman" w:cs="Times New Roman"/>
          <w:color w:val="000000"/>
          <w:sz w:val="24"/>
          <w:szCs w:val="24"/>
          <w:vertAlign w:val="subscript"/>
        </w:rPr>
        <w:t>1</w:t>
      </w:r>
      <w:r w:rsidRPr="00A638EC">
        <w:rPr>
          <w:rFonts w:ascii="Times New Roman" w:eastAsia="Times New Roman" w:hAnsi="Times New Roman" w:cs="Times New Roman"/>
          <w:color w:val="000000"/>
          <w:sz w:val="24"/>
          <w:szCs w:val="24"/>
        </w:rPr>
        <w:t>TGB + β</w:t>
      </w:r>
      <w:r w:rsidRPr="00A638EC">
        <w:rPr>
          <w:rFonts w:ascii="Times New Roman" w:eastAsia="Times New Roman" w:hAnsi="Times New Roman" w:cs="Times New Roman"/>
          <w:color w:val="000000"/>
          <w:sz w:val="24"/>
          <w:szCs w:val="24"/>
          <w:vertAlign w:val="subscript"/>
        </w:rPr>
        <w:t>2</w:t>
      </w:r>
      <w:r w:rsidRPr="00A638EC">
        <w:rPr>
          <w:rFonts w:ascii="Times New Roman" w:eastAsia="Times New Roman" w:hAnsi="Times New Roman" w:cs="Times New Roman"/>
          <w:color w:val="000000"/>
          <w:sz w:val="24"/>
          <w:szCs w:val="24"/>
        </w:rPr>
        <w:t xml:space="preserve"> RLB + β</w:t>
      </w:r>
      <w:r w:rsidRPr="00A638EC">
        <w:rPr>
          <w:rFonts w:ascii="Times New Roman" w:eastAsia="Times New Roman" w:hAnsi="Times New Roman" w:cs="Times New Roman"/>
          <w:color w:val="000000"/>
          <w:sz w:val="24"/>
          <w:szCs w:val="24"/>
          <w:vertAlign w:val="subscript"/>
        </w:rPr>
        <w:t>3</w:t>
      </w:r>
      <w:r w:rsidRPr="00A638EC">
        <w:rPr>
          <w:rFonts w:ascii="Times New Roman" w:eastAsia="Times New Roman" w:hAnsi="Times New Roman" w:cs="Times New Roman"/>
          <w:color w:val="000000"/>
          <w:sz w:val="24"/>
          <w:szCs w:val="24"/>
        </w:rPr>
        <w:t>RSP + β</w:t>
      </w:r>
      <w:r w:rsidRPr="00A638EC">
        <w:rPr>
          <w:rFonts w:ascii="Times New Roman" w:eastAsia="Times New Roman" w:hAnsi="Times New Roman" w:cs="Times New Roman"/>
          <w:color w:val="000000"/>
          <w:sz w:val="24"/>
          <w:szCs w:val="24"/>
          <w:vertAlign w:val="subscript"/>
        </w:rPr>
        <w:t>4</w:t>
      </w:r>
      <w:r w:rsidRPr="00A638EC">
        <w:rPr>
          <w:rFonts w:ascii="Times New Roman" w:eastAsia="Times New Roman" w:hAnsi="Times New Roman" w:cs="Times New Roman"/>
          <w:color w:val="000000"/>
          <w:sz w:val="24"/>
          <w:szCs w:val="24"/>
        </w:rPr>
        <w:t>ASR +β</w:t>
      </w:r>
      <w:r w:rsidRPr="00A638EC">
        <w:rPr>
          <w:rFonts w:ascii="Times New Roman" w:eastAsia="Times New Roman" w:hAnsi="Times New Roman" w:cs="Times New Roman"/>
          <w:color w:val="000000"/>
          <w:sz w:val="24"/>
          <w:szCs w:val="24"/>
          <w:vertAlign w:val="subscript"/>
        </w:rPr>
        <w:t>5</w:t>
      </w:r>
      <w:r w:rsidRPr="00A638EC">
        <w:rPr>
          <w:rFonts w:ascii="Times New Roman" w:eastAsia="Times New Roman" w:hAnsi="Times New Roman" w:cs="Times New Roman"/>
          <w:color w:val="000000"/>
          <w:sz w:val="24"/>
          <w:szCs w:val="24"/>
        </w:rPr>
        <w:t>COMP+β</w:t>
      </w:r>
      <w:r w:rsidRPr="00A638EC">
        <w:rPr>
          <w:rFonts w:ascii="Times New Roman" w:eastAsia="Times New Roman" w:hAnsi="Times New Roman" w:cs="Times New Roman"/>
          <w:color w:val="000000"/>
          <w:sz w:val="24"/>
          <w:szCs w:val="24"/>
          <w:vertAlign w:val="subscript"/>
        </w:rPr>
        <w:t>6</w:t>
      </w:r>
      <w:r w:rsidRPr="00A638EC">
        <w:rPr>
          <w:rFonts w:ascii="Times New Roman" w:eastAsia="Times New Roman" w:hAnsi="Times New Roman" w:cs="Times New Roman"/>
          <w:color w:val="000000"/>
          <w:sz w:val="24"/>
          <w:szCs w:val="24"/>
        </w:rPr>
        <w:t>ACSB+Β</w:t>
      </w:r>
      <w:r w:rsidRPr="00A638EC">
        <w:rPr>
          <w:rFonts w:ascii="Times New Roman" w:eastAsia="Times New Roman" w:hAnsi="Times New Roman" w:cs="Times New Roman"/>
          <w:color w:val="000000"/>
          <w:sz w:val="24"/>
          <w:szCs w:val="24"/>
          <w:vertAlign w:val="subscript"/>
        </w:rPr>
        <w:t>7</w:t>
      </w:r>
      <w:r w:rsidRPr="00A638EC">
        <w:rPr>
          <w:rFonts w:ascii="Times New Roman" w:eastAsia="Times New Roman" w:hAnsi="Times New Roman" w:cs="Times New Roman"/>
          <w:color w:val="000000"/>
          <w:sz w:val="24"/>
          <w:szCs w:val="24"/>
        </w:rPr>
        <w:t>EMP+</w:t>
      </w:r>
      <w:r w:rsidRPr="00A638EC">
        <w:rPr>
          <w:rFonts w:ascii="Times New Roman" w:eastAsia="Calibri" w:hAnsi="Times New Roman" w:cs="Times New Roman"/>
          <w:sz w:val="32"/>
        </w:rPr>
        <w:t xml:space="preserve"> </w:t>
      </w:r>
      <w:proofErr w:type="spellStart"/>
      <w:r w:rsidRPr="00A638EC">
        <w:rPr>
          <w:rFonts w:ascii="Times New Roman" w:eastAsia="Calibri" w:hAnsi="Times New Roman" w:cs="Times New Roman"/>
          <w:sz w:val="32"/>
        </w:rPr>
        <w:t>ε</w:t>
      </w:r>
      <w:r w:rsidRPr="00A638EC">
        <w:rPr>
          <w:rFonts w:ascii="Times New Roman" w:eastAsia="Calibri" w:hAnsi="Times New Roman" w:cs="Times New Roman"/>
          <w:sz w:val="24"/>
          <w:vertAlign w:val="subscript"/>
        </w:rPr>
        <w:t>i</w:t>
      </w:r>
      <w:proofErr w:type="spellEnd"/>
    </w:p>
    <w:p w14:paraId="78365EC6" w14:textId="77777777" w:rsidR="00A1222E" w:rsidRPr="00A638EC" w:rsidRDefault="00A1222E" w:rsidP="00A1222E">
      <w:pPr>
        <w:spacing w:after="200"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Where: </w:t>
      </w:r>
    </w:p>
    <w:p w14:paraId="58DED9A0" w14:textId="77777777" w:rsidR="00A1222E" w:rsidRPr="00A638EC" w:rsidRDefault="00A1222E" w:rsidP="00A1222E">
      <w:pPr>
        <w:spacing w:after="200" w:line="360" w:lineRule="auto"/>
        <w:rPr>
          <w:rFonts w:ascii="Times New Roman" w:eastAsia="Times New Roman" w:hAnsi="Times New Roman" w:cs="Times New Roman"/>
          <w:sz w:val="28"/>
          <w:szCs w:val="24"/>
        </w:rPr>
      </w:pPr>
      <w:r w:rsidRPr="00A638EC">
        <w:rPr>
          <w:rFonts w:ascii="Times New Roman" w:eastAsia="Calibri" w:hAnsi="Times New Roman" w:cs="Times New Roman"/>
          <w:sz w:val="24"/>
        </w:rPr>
        <w:t xml:space="preserve">The quantity to the left of the equal sign is called a </w:t>
      </w:r>
      <w:r w:rsidRPr="00A638EC">
        <w:rPr>
          <w:rFonts w:ascii="Times New Roman" w:eastAsia="Calibri" w:hAnsi="Times New Roman" w:cs="Times New Roman"/>
          <w:b/>
          <w:sz w:val="24"/>
        </w:rPr>
        <w:t>logit</w:t>
      </w:r>
      <w:r w:rsidRPr="00A638EC">
        <w:rPr>
          <w:rFonts w:ascii="Times New Roman" w:eastAsia="Calibri" w:hAnsi="Times New Roman" w:cs="Times New Roman"/>
          <w:sz w:val="24"/>
        </w:rPr>
        <w:t>. It’s the log of the odds that an event occurs.</w:t>
      </w:r>
    </w:p>
    <w:p w14:paraId="784FA72A" w14:textId="77777777" w:rsidR="00A1222E" w:rsidRPr="00A638EC" w:rsidRDefault="00A1222E" w:rsidP="00A1222E">
      <w:pPr>
        <w:spacing w:after="200"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 </w:t>
      </w:r>
      <w:r w:rsidRPr="00A638EC">
        <w:rPr>
          <w:rFonts w:ascii="Times New Roman" w:eastAsia="Times New Roman" w:hAnsi="Times New Roman" w:cs="Times New Roman"/>
          <w:color w:val="000000"/>
          <w:sz w:val="24"/>
          <w:szCs w:val="24"/>
        </w:rPr>
        <w:t>Pi</w:t>
      </w:r>
      <w:r w:rsidRPr="00A638EC">
        <w:rPr>
          <w:rFonts w:ascii="Times New Roman" w:eastAsia="Times New Roman" w:hAnsi="Times New Roman" w:cs="Times New Roman"/>
          <w:sz w:val="24"/>
          <w:szCs w:val="24"/>
        </w:rPr>
        <w:t xml:space="preserve"> - is the predicted probability of an outcome i.e. Customers’ satisfaction (Dependent variable).</w:t>
      </w:r>
    </w:p>
    <w:p w14:paraId="22CCE082" w14:textId="77777777" w:rsidR="00A1222E" w:rsidRPr="00A638EC" w:rsidRDefault="00A1222E" w:rsidP="00A1222E">
      <w:pPr>
        <w:spacing w:after="200"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TGB= Tangibility, RLB= Reliability, RSP= Responsiveness, ASR= Assurance, COMP=Compliance with sharia laws, ACSB=Accessibility, and EMP= Empathy. They are explanatory (Independent) variables. </w:t>
      </w:r>
    </w:p>
    <w:p w14:paraId="28CDA495" w14:textId="77777777" w:rsidR="00A1222E" w:rsidRPr="00A638EC" w:rsidRDefault="00A1222E" w:rsidP="00A1222E">
      <w:pPr>
        <w:spacing w:after="200" w:line="360" w:lineRule="auto"/>
        <w:jc w:val="both"/>
        <w:rPr>
          <w:rFonts w:ascii="Times New Roman" w:eastAsia="Times New Roman" w:hAnsi="Times New Roman" w:cs="Times New Roman"/>
          <w:sz w:val="24"/>
          <w:szCs w:val="24"/>
        </w:rPr>
      </w:pPr>
      <w:r w:rsidRPr="00A638EC">
        <w:rPr>
          <w:rFonts w:ascii="Times New Roman" w:eastAsia="Calibri" w:hAnsi="Times New Roman" w:cs="Times New Roman"/>
          <w:sz w:val="24"/>
        </w:rPr>
        <w:t>β</w:t>
      </w:r>
      <w:r w:rsidRPr="00A638EC">
        <w:rPr>
          <w:rFonts w:ascii="Times New Roman" w:eastAsia="Calibri" w:hAnsi="Times New Roman" w:cs="Times New Roman"/>
          <w:sz w:val="24"/>
          <w:vertAlign w:val="subscript"/>
        </w:rPr>
        <w:t>0</w:t>
      </w:r>
      <w:r w:rsidRPr="00A638EC">
        <w:rPr>
          <w:rFonts w:ascii="Times New Roman" w:eastAsia="Times New Roman" w:hAnsi="Times New Roman" w:cs="Times New Roman"/>
          <w:b/>
          <w:sz w:val="24"/>
          <w:szCs w:val="24"/>
          <w:vertAlign w:val="subscript"/>
        </w:rPr>
        <w:t xml:space="preserve"> </w:t>
      </w:r>
      <w:r w:rsidRPr="00A638EC">
        <w:rPr>
          <w:rFonts w:ascii="Times New Roman" w:eastAsia="Times New Roman" w:hAnsi="Times New Roman" w:cs="Times New Roman"/>
          <w:sz w:val="24"/>
          <w:szCs w:val="24"/>
        </w:rPr>
        <w:t>- is the threshold (constant term) for an outcome of P</w:t>
      </w:r>
      <w:r w:rsidRPr="00A638EC">
        <w:rPr>
          <w:rFonts w:ascii="Times New Roman" w:eastAsia="Times New Roman" w:hAnsi="Times New Roman" w:cs="Times New Roman"/>
          <w:sz w:val="24"/>
          <w:szCs w:val="24"/>
          <w:vertAlign w:val="subscript"/>
        </w:rPr>
        <w:t>i.</w:t>
      </w:r>
    </w:p>
    <w:p w14:paraId="742FBB4C" w14:textId="77777777" w:rsidR="00A1222E" w:rsidRPr="00A638EC" w:rsidRDefault="00A1222E" w:rsidP="00A1222E">
      <w:pPr>
        <w:spacing w:after="200" w:line="360" w:lineRule="auto"/>
        <w:jc w:val="both"/>
        <w:rPr>
          <w:rFonts w:ascii="Times New Roman" w:eastAsia="Times New Roman" w:hAnsi="Times New Roman" w:cs="Times New Roman"/>
          <w:color w:val="000000"/>
          <w:sz w:val="24"/>
          <w:szCs w:val="24"/>
        </w:rPr>
      </w:pPr>
      <w:r w:rsidRPr="00A638EC">
        <w:rPr>
          <w:rFonts w:ascii="Times New Roman" w:eastAsia="Times New Roman" w:hAnsi="Times New Roman" w:cs="Times New Roman"/>
          <w:color w:val="000000"/>
          <w:sz w:val="24"/>
          <w:szCs w:val="24"/>
        </w:rPr>
        <w:t>β</w:t>
      </w:r>
      <w:r w:rsidRPr="00A638EC">
        <w:rPr>
          <w:rFonts w:ascii="Times New Roman" w:eastAsia="Times New Roman" w:hAnsi="Times New Roman" w:cs="Times New Roman"/>
          <w:color w:val="000000"/>
          <w:sz w:val="24"/>
          <w:szCs w:val="24"/>
          <w:vertAlign w:val="subscript"/>
        </w:rPr>
        <w:t>1,</w:t>
      </w:r>
      <w:r w:rsidRPr="00A638EC">
        <w:rPr>
          <w:rFonts w:ascii="Times New Roman" w:eastAsia="Times New Roman" w:hAnsi="Times New Roman" w:cs="Times New Roman"/>
          <w:color w:val="000000"/>
          <w:sz w:val="24"/>
          <w:szCs w:val="24"/>
        </w:rPr>
        <w:t xml:space="preserve"> β</w:t>
      </w:r>
      <w:r w:rsidRPr="00A638EC">
        <w:rPr>
          <w:rFonts w:ascii="Times New Roman" w:eastAsia="Times New Roman" w:hAnsi="Times New Roman" w:cs="Times New Roman"/>
          <w:color w:val="000000"/>
          <w:sz w:val="24"/>
          <w:szCs w:val="24"/>
          <w:vertAlign w:val="subscript"/>
        </w:rPr>
        <w:t>2</w:t>
      </w:r>
      <w:r w:rsidRPr="00A638EC">
        <w:rPr>
          <w:rFonts w:ascii="Times New Roman" w:eastAsia="Times New Roman" w:hAnsi="Times New Roman" w:cs="Times New Roman"/>
          <w:color w:val="000000"/>
          <w:sz w:val="24"/>
          <w:szCs w:val="24"/>
        </w:rPr>
        <w:t>, β</w:t>
      </w:r>
      <w:r w:rsidRPr="00A638EC">
        <w:rPr>
          <w:rFonts w:ascii="Times New Roman" w:eastAsia="Times New Roman" w:hAnsi="Times New Roman" w:cs="Times New Roman"/>
          <w:color w:val="000000"/>
          <w:sz w:val="24"/>
          <w:szCs w:val="24"/>
          <w:vertAlign w:val="subscript"/>
        </w:rPr>
        <w:t>3</w:t>
      </w:r>
      <w:r w:rsidRPr="00A638EC">
        <w:rPr>
          <w:rFonts w:ascii="Times New Roman" w:eastAsia="Times New Roman" w:hAnsi="Times New Roman" w:cs="Times New Roman"/>
          <w:color w:val="000000"/>
          <w:sz w:val="24"/>
          <w:szCs w:val="24"/>
        </w:rPr>
        <w:t>, β</w:t>
      </w:r>
      <w:r w:rsidRPr="00A638EC">
        <w:rPr>
          <w:rFonts w:ascii="Times New Roman" w:eastAsia="Times New Roman" w:hAnsi="Times New Roman" w:cs="Times New Roman"/>
          <w:color w:val="000000"/>
          <w:sz w:val="24"/>
          <w:szCs w:val="24"/>
          <w:vertAlign w:val="subscript"/>
        </w:rPr>
        <w:t>4</w:t>
      </w:r>
      <w:r w:rsidRPr="00A638EC">
        <w:rPr>
          <w:rFonts w:ascii="Times New Roman" w:eastAsia="Times New Roman" w:hAnsi="Times New Roman" w:cs="Times New Roman"/>
          <w:color w:val="000000"/>
          <w:sz w:val="24"/>
          <w:szCs w:val="24"/>
        </w:rPr>
        <w:t>, β</w:t>
      </w:r>
      <w:r w:rsidRPr="00A638EC">
        <w:rPr>
          <w:rFonts w:ascii="Times New Roman" w:eastAsia="Times New Roman" w:hAnsi="Times New Roman" w:cs="Times New Roman"/>
          <w:color w:val="000000"/>
          <w:sz w:val="24"/>
          <w:szCs w:val="24"/>
          <w:vertAlign w:val="subscript"/>
        </w:rPr>
        <w:t>5</w:t>
      </w:r>
      <w:r w:rsidRPr="00A638EC">
        <w:rPr>
          <w:rFonts w:ascii="Times New Roman" w:eastAsia="Times New Roman" w:hAnsi="Times New Roman" w:cs="Times New Roman"/>
          <w:color w:val="000000"/>
          <w:sz w:val="24"/>
          <w:szCs w:val="24"/>
        </w:rPr>
        <w:t>, β</w:t>
      </w:r>
      <w:r w:rsidRPr="00A638EC">
        <w:rPr>
          <w:rFonts w:ascii="Times New Roman" w:eastAsia="Times New Roman" w:hAnsi="Times New Roman" w:cs="Times New Roman"/>
          <w:color w:val="000000"/>
          <w:sz w:val="24"/>
          <w:szCs w:val="24"/>
          <w:vertAlign w:val="subscript"/>
        </w:rPr>
        <w:t xml:space="preserve">6, </w:t>
      </w:r>
      <w:r w:rsidRPr="00A638EC">
        <w:rPr>
          <w:rFonts w:ascii="Times New Roman" w:eastAsia="Times New Roman" w:hAnsi="Times New Roman" w:cs="Times New Roman"/>
          <w:color w:val="000000"/>
          <w:sz w:val="24"/>
          <w:szCs w:val="24"/>
        </w:rPr>
        <w:t>and β</w:t>
      </w:r>
      <w:r w:rsidRPr="00A638EC">
        <w:rPr>
          <w:rFonts w:ascii="Times New Roman" w:eastAsia="Times New Roman" w:hAnsi="Times New Roman" w:cs="Times New Roman"/>
          <w:color w:val="000000"/>
          <w:sz w:val="24"/>
          <w:szCs w:val="24"/>
          <w:vertAlign w:val="subscript"/>
        </w:rPr>
        <w:t>7</w:t>
      </w:r>
      <w:r w:rsidRPr="00A638EC">
        <w:rPr>
          <w:rFonts w:ascii="Times New Roman" w:eastAsia="Times New Roman" w:hAnsi="Times New Roman" w:cs="Times New Roman"/>
          <w:color w:val="000000"/>
          <w:sz w:val="24"/>
          <w:szCs w:val="24"/>
        </w:rPr>
        <w:t xml:space="preserve"> are the unknown parameters to be estimated by means of the maximum likelihood method. They are used to measure the change in the value of dependent variable per unit change in respective independent variables and </w:t>
      </w:r>
      <w:proofErr w:type="spellStart"/>
      <w:r w:rsidRPr="00A638EC">
        <w:rPr>
          <w:rFonts w:ascii="Times New Roman" w:eastAsia="Calibri" w:hAnsi="Times New Roman" w:cs="Times New Roman"/>
          <w:color w:val="000000"/>
          <w:sz w:val="28"/>
          <w:szCs w:val="24"/>
        </w:rPr>
        <w:t>ε</w:t>
      </w:r>
      <w:r w:rsidRPr="00A638EC">
        <w:rPr>
          <w:rFonts w:ascii="Times New Roman" w:eastAsia="Calibri" w:hAnsi="Times New Roman" w:cs="Times New Roman"/>
          <w:color w:val="000000"/>
          <w:sz w:val="28"/>
          <w:szCs w:val="24"/>
          <w:vertAlign w:val="subscript"/>
        </w:rPr>
        <w:t>i</w:t>
      </w:r>
      <w:proofErr w:type="spellEnd"/>
      <w:r w:rsidRPr="00A638EC">
        <w:rPr>
          <w:rFonts w:ascii="Times New Roman" w:eastAsia="Times New Roman" w:hAnsi="Times New Roman" w:cs="Times New Roman"/>
          <w:color w:val="000000"/>
          <w:sz w:val="24"/>
          <w:szCs w:val="24"/>
          <w:vertAlign w:val="subscript"/>
        </w:rPr>
        <w:t xml:space="preserve"> </w:t>
      </w:r>
      <w:r w:rsidRPr="00A638EC">
        <w:rPr>
          <w:rFonts w:ascii="Times New Roman" w:eastAsia="Times New Roman" w:hAnsi="Times New Roman" w:cs="Times New Roman"/>
          <w:color w:val="000000"/>
          <w:sz w:val="24"/>
          <w:szCs w:val="24"/>
        </w:rPr>
        <w:t>is an error term of the regression model.</w:t>
      </w:r>
    </w:p>
    <w:p w14:paraId="66314446" w14:textId="77777777" w:rsidR="00A1222E" w:rsidRPr="00A638EC" w:rsidRDefault="00A1222E" w:rsidP="00A1222E">
      <w:pPr>
        <w:spacing w:line="360" w:lineRule="auto"/>
        <w:jc w:val="both"/>
        <w:rPr>
          <w:rFonts w:ascii="Times New Roman" w:hAnsi="Times New Roman" w:cs="Times New Roman"/>
          <w:b/>
          <w:sz w:val="24"/>
        </w:rPr>
      </w:pPr>
      <w:r w:rsidRPr="00A638EC">
        <w:rPr>
          <w:rFonts w:ascii="Times New Roman" w:hAnsi="Times New Roman" w:cs="Times New Roman"/>
          <w:b/>
          <w:sz w:val="24"/>
        </w:rPr>
        <w:t>Study Variables</w:t>
      </w:r>
    </w:p>
    <w:p w14:paraId="1B57B6E2" w14:textId="15DBC181" w:rsidR="00123A9E" w:rsidRDefault="00123A9E" w:rsidP="00A1222E">
      <w:pPr>
        <w:spacing w:line="360" w:lineRule="auto"/>
        <w:jc w:val="both"/>
        <w:rPr>
          <w:rFonts w:ascii="Times New Roman" w:hAnsi="Times New Roman" w:cs="Times New Roman"/>
          <w:sz w:val="24"/>
        </w:rPr>
      </w:pPr>
      <w:r w:rsidRPr="00123A9E">
        <w:rPr>
          <w:rFonts w:ascii="Times New Roman" w:hAnsi="Times New Roman" w:cs="Times New Roman"/>
          <w:sz w:val="24"/>
        </w:rPr>
        <w:t xml:space="preserve">This study examined one dependent variable and seven independent variables. The dependent variable was customer satisfaction, defined as the overall evaluation by IFB customers of whether services met their expectations (Cronin &amp; Taylor, 1992; Parasuraman et al., 1985). The independent variables comprised seven service quality dimensions: compliance with Sharia law, referring to the bank's adherence to Islamic principles in service delivery (Iqbal &amp; </w:t>
      </w:r>
      <w:proofErr w:type="spellStart"/>
      <w:r w:rsidRPr="00123A9E">
        <w:rPr>
          <w:rFonts w:ascii="Times New Roman" w:hAnsi="Times New Roman" w:cs="Times New Roman"/>
          <w:sz w:val="24"/>
        </w:rPr>
        <w:t>Mirakhor</w:t>
      </w:r>
      <w:proofErr w:type="spellEnd"/>
      <w:r w:rsidRPr="00123A9E">
        <w:rPr>
          <w:rFonts w:ascii="Times New Roman" w:hAnsi="Times New Roman" w:cs="Times New Roman"/>
          <w:sz w:val="24"/>
        </w:rPr>
        <w:t>, 2011; Iqbal &amp; Molyneux, 2005); reliability, or the ability to perform promised services dependably and accurately (</w:t>
      </w:r>
      <w:proofErr w:type="spellStart"/>
      <w:r w:rsidRPr="00123A9E">
        <w:rPr>
          <w:rFonts w:ascii="Times New Roman" w:hAnsi="Times New Roman" w:cs="Times New Roman"/>
          <w:sz w:val="24"/>
        </w:rPr>
        <w:t>Grönroos</w:t>
      </w:r>
      <w:proofErr w:type="spellEnd"/>
      <w:r w:rsidRPr="00123A9E">
        <w:rPr>
          <w:rFonts w:ascii="Times New Roman" w:hAnsi="Times New Roman" w:cs="Times New Roman"/>
          <w:sz w:val="24"/>
        </w:rPr>
        <w:t xml:space="preserve">, 1984; </w:t>
      </w:r>
      <w:proofErr w:type="spellStart"/>
      <w:r w:rsidRPr="00123A9E">
        <w:rPr>
          <w:rFonts w:ascii="Times New Roman" w:hAnsi="Times New Roman" w:cs="Times New Roman"/>
          <w:sz w:val="24"/>
        </w:rPr>
        <w:t>Parasuraman</w:t>
      </w:r>
      <w:proofErr w:type="spellEnd"/>
      <w:r w:rsidRPr="00123A9E">
        <w:rPr>
          <w:rFonts w:ascii="Times New Roman" w:hAnsi="Times New Roman" w:cs="Times New Roman"/>
          <w:sz w:val="24"/>
        </w:rPr>
        <w:t xml:space="preserve"> et al., 1985); assurance, encompassing employee knowledge, courtesy, and ability to inspire trust (Parasuraman et al., 1985); tangibility, covering physical facilities, equipment, and staff appearance (Parasuraman et al., 1985); responsiveness, meaning the willingness to help customers and provide prompt service (</w:t>
      </w:r>
      <w:proofErr w:type="spellStart"/>
      <w:r w:rsidRPr="00123A9E">
        <w:rPr>
          <w:rFonts w:ascii="Times New Roman" w:hAnsi="Times New Roman" w:cs="Times New Roman"/>
          <w:sz w:val="24"/>
        </w:rPr>
        <w:t>Shanka</w:t>
      </w:r>
      <w:proofErr w:type="spellEnd"/>
      <w:r w:rsidRPr="00123A9E">
        <w:rPr>
          <w:rFonts w:ascii="Times New Roman" w:hAnsi="Times New Roman" w:cs="Times New Roman"/>
          <w:sz w:val="24"/>
        </w:rPr>
        <w:t xml:space="preserve">, 2012; </w:t>
      </w:r>
      <w:proofErr w:type="spellStart"/>
      <w:r w:rsidRPr="00123A9E">
        <w:rPr>
          <w:rFonts w:ascii="Times New Roman" w:hAnsi="Times New Roman" w:cs="Times New Roman"/>
          <w:sz w:val="24"/>
        </w:rPr>
        <w:lastRenderedPageBreak/>
        <w:t>Parasuraman</w:t>
      </w:r>
      <w:proofErr w:type="spellEnd"/>
      <w:r w:rsidRPr="00123A9E">
        <w:rPr>
          <w:rFonts w:ascii="Times New Roman" w:hAnsi="Times New Roman" w:cs="Times New Roman"/>
          <w:sz w:val="24"/>
        </w:rPr>
        <w:t xml:space="preserve"> et al., 1985); empathy, or the provision of caring, individualized attention (Parasuraman et al., 1985); and accessibility, which includes branch network, convenient location, and ATM availability (</w:t>
      </w:r>
      <w:proofErr w:type="spellStart"/>
      <w:r w:rsidRPr="00123A9E">
        <w:rPr>
          <w:rFonts w:ascii="Times New Roman" w:hAnsi="Times New Roman" w:cs="Times New Roman"/>
          <w:sz w:val="24"/>
        </w:rPr>
        <w:t>Khattak</w:t>
      </w:r>
      <w:proofErr w:type="spellEnd"/>
      <w:r w:rsidRPr="00123A9E">
        <w:rPr>
          <w:rFonts w:ascii="Times New Roman" w:hAnsi="Times New Roman" w:cs="Times New Roman"/>
          <w:sz w:val="24"/>
        </w:rPr>
        <w:t xml:space="preserve"> &amp; </w:t>
      </w:r>
      <w:proofErr w:type="spellStart"/>
      <w:r w:rsidRPr="00123A9E">
        <w:rPr>
          <w:rFonts w:ascii="Times New Roman" w:hAnsi="Times New Roman" w:cs="Times New Roman"/>
          <w:sz w:val="24"/>
        </w:rPr>
        <w:t>Rehman</w:t>
      </w:r>
      <w:proofErr w:type="spellEnd"/>
      <w:r w:rsidRPr="00123A9E">
        <w:rPr>
          <w:rFonts w:ascii="Times New Roman" w:hAnsi="Times New Roman" w:cs="Times New Roman"/>
          <w:sz w:val="24"/>
        </w:rPr>
        <w:t xml:space="preserve">, 2010; </w:t>
      </w:r>
      <w:proofErr w:type="spellStart"/>
      <w:r w:rsidRPr="00123A9E">
        <w:rPr>
          <w:rFonts w:ascii="Times New Roman" w:hAnsi="Times New Roman" w:cs="Times New Roman"/>
          <w:sz w:val="24"/>
        </w:rPr>
        <w:t>Okumus</w:t>
      </w:r>
      <w:proofErr w:type="spellEnd"/>
      <w:r w:rsidRPr="00123A9E">
        <w:rPr>
          <w:rFonts w:ascii="Times New Roman" w:hAnsi="Times New Roman" w:cs="Times New Roman"/>
          <w:sz w:val="24"/>
        </w:rPr>
        <w:t xml:space="preserve"> &amp; </w:t>
      </w:r>
      <w:proofErr w:type="spellStart"/>
      <w:r w:rsidRPr="00123A9E">
        <w:rPr>
          <w:rFonts w:ascii="Times New Roman" w:hAnsi="Times New Roman" w:cs="Times New Roman"/>
          <w:sz w:val="24"/>
        </w:rPr>
        <w:t>Genc</w:t>
      </w:r>
      <w:proofErr w:type="spellEnd"/>
      <w:r w:rsidRPr="00123A9E">
        <w:rPr>
          <w:rFonts w:ascii="Times New Roman" w:hAnsi="Times New Roman" w:cs="Times New Roman"/>
          <w:sz w:val="24"/>
        </w:rPr>
        <w:t>, 2013).</w:t>
      </w:r>
    </w:p>
    <w:p w14:paraId="4488C345" w14:textId="77777777" w:rsidR="00A1222E" w:rsidRPr="00A638EC" w:rsidRDefault="00A1222E" w:rsidP="00A1222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Reliability and Validity</w:t>
      </w:r>
    </w:p>
    <w:p w14:paraId="4DB7FC37" w14:textId="70503885" w:rsidR="00A1222E" w:rsidRPr="00A638EC" w:rsidRDefault="00A1222E" w:rsidP="00A1222E">
      <w:pPr>
        <w:spacing w:line="360" w:lineRule="auto"/>
        <w:jc w:val="both"/>
        <w:rPr>
          <w:rFonts w:ascii="Times New Roman" w:hAnsi="Times New Roman" w:cs="Times New Roman"/>
          <w:sz w:val="24"/>
        </w:rPr>
      </w:pPr>
      <w:r w:rsidRPr="00A638EC">
        <w:rPr>
          <w:rFonts w:ascii="Times New Roman" w:hAnsi="Times New Roman" w:cs="Times New Roman"/>
          <w:sz w:val="24"/>
        </w:rPr>
        <w:t xml:space="preserve">Reliability Test: Reliability refers to the internal consistency of questionnaire items and was assessed using Cronbach's alpha coefficient (Cronbach, 1946). The overall Cronbach's alpha value for this study was .946, well above the minimum acceptable threshold of .70, indicating excellent </w:t>
      </w:r>
      <w:proofErr w:type="spellStart"/>
      <w:r w:rsidRPr="00A638EC">
        <w:rPr>
          <w:rFonts w:ascii="Times New Roman" w:hAnsi="Times New Roman" w:cs="Times New Roman"/>
          <w:sz w:val="24"/>
        </w:rPr>
        <w:t>reliability.Validity</w:t>
      </w:r>
      <w:proofErr w:type="spellEnd"/>
      <w:r w:rsidRPr="00A638EC">
        <w:rPr>
          <w:rFonts w:ascii="Times New Roman" w:hAnsi="Times New Roman" w:cs="Times New Roman"/>
          <w:sz w:val="24"/>
        </w:rPr>
        <w:t xml:space="preserve"> Test: Validity refers to the extent to which an instrument measu</w:t>
      </w:r>
      <w:r w:rsidR="00123A9E">
        <w:rPr>
          <w:rFonts w:ascii="Times New Roman" w:hAnsi="Times New Roman" w:cs="Times New Roman"/>
          <w:sz w:val="24"/>
        </w:rPr>
        <w:t xml:space="preserve">res what it intends to measure. </w:t>
      </w:r>
      <w:r w:rsidRPr="00A638EC">
        <w:rPr>
          <w:rFonts w:ascii="Times New Roman" w:hAnsi="Times New Roman" w:cs="Times New Roman"/>
          <w:sz w:val="24"/>
        </w:rPr>
        <w:t>Content validity was ensured by having the questionnaires reviewed by the researcher's advisor before distribution to respondents.</w:t>
      </w:r>
    </w:p>
    <w:p w14:paraId="2653B521" w14:textId="77777777" w:rsidR="00A1222E" w:rsidRPr="00A638EC" w:rsidRDefault="00A1222E" w:rsidP="00A1222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Ethical Considerations</w:t>
      </w:r>
    </w:p>
    <w:p w14:paraId="74588315" w14:textId="77777777" w:rsidR="00A1222E" w:rsidRPr="00A638EC" w:rsidRDefault="00A1222E" w:rsidP="00A1222E">
      <w:pPr>
        <w:spacing w:line="360" w:lineRule="auto"/>
        <w:jc w:val="both"/>
        <w:rPr>
          <w:rFonts w:ascii="Times New Roman" w:hAnsi="Times New Roman" w:cs="Times New Roman"/>
          <w:sz w:val="24"/>
        </w:rPr>
      </w:pPr>
      <w:r w:rsidRPr="00A638EC">
        <w:rPr>
          <w:rFonts w:ascii="Times New Roman" w:hAnsi="Times New Roman" w:cs="Times New Roman"/>
          <w:sz w:val="24"/>
        </w:rPr>
        <w:t xml:space="preserve">Ethical clearance for this study was obtained from </w:t>
      </w:r>
      <w:proofErr w:type="spellStart"/>
      <w:r w:rsidRPr="00A638EC">
        <w:rPr>
          <w:rFonts w:ascii="Times New Roman" w:hAnsi="Times New Roman" w:cs="Times New Roman"/>
          <w:sz w:val="24"/>
        </w:rPr>
        <w:t>Bule</w:t>
      </w:r>
      <w:proofErr w:type="spellEnd"/>
      <w:r w:rsidRPr="00A638EC">
        <w:rPr>
          <w:rFonts w:ascii="Times New Roman" w:hAnsi="Times New Roman" w:cs="Times New Roman"/>
          <w:sz w:val="24"/>
        </w:rPr>
        <w:t xml:space="preserve"> Hora University, College of Business and Economics, Department of Accounting and Finance, and the following ethical principles were observed throughout the research process. Regarding voluntary participation and confidentiality, respondents were informed that their participation was entirely voluntary and that their responses would remain confidential; accordingly, names were not required on questionnaires to ensure anonymity. With respect to objective analysis and reporting, all data were analyzed and reported objectively, without manipulation or bias, to maintain the integrity of the findings. Finally, proper attribution was given by appropriately citing all sources used in this study to avoid any form of plagiarism.</w:t>
      </w:r>
    </w:p>
    <w:p w14:paraId="02A9C381" w14:textId="77777777" w:rsidR="00315258" w:rsidRPr="00A638EC" w:rsidRDefault="00315258" w:rsidP="00315258">
      <w:pPr>
        <w:spacing w:before="100" w:beforeAutospacing="1" w:after="100" w:afterAutospacing="1" w:line="240" w:lineRule="auto"/>
        <w:outlineLvl w:val="1"/>
        <w:rPr>
          <w:rFonts w:ascii="Times New Roman" w:eastAsia="Times New Roman" w:hAnsi="Times New Roman" w:cs="Times New Roman"/>
          <w:b/>
          <w:bCs/>
          <w:sz w:val="28"/>
          <w:szCs w:val="28"/>
        </w:rPr>
      </w:pPr>
      <w:r w:rsidRPr="00A638EC">
        <w:rPr>
          <w:rFonts w:ascii="Times New Roman" w:hAnsi="Times New Roman" w:cs="Times New Roman"/>
          <w:sz w:val="24"/>
        </w:rPr>
        <w:t xml:space="preserve">   </w:t>
      </w:r>
      <w:r w:rsidRPr="00A638EC">
        <w:rPr>
          <w:rFonts w:ascii="Times New Roman" w:eastAsia="Times New Roman" w:hAnsi="Times New Roman" w:cs="Times New Roman"/>
          <w:b/>
          <w:bCs/>
          <w:sz w:val="28"/>
          <w:szCs w:val="28"/>
        </w:rPr>
        <w:t>4.  RESULTS AND DISCUSSION</w:t>
      </w:r>
    </w:p>
    <w:p w14:paraId="45BDDD8A"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4.1. Introduction</w:t>
      </w:r>
    </w:p>
    <w:p w14:paraId="1FE8E163"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This chapter presents the survey results and discussion of findings in relation to the research questions, objectives, and hypotheses outlined in Chapter One. The primary data collected from Interest-Free Banking customers of CBE branches in </w:t>
      </w:r>
      <w:proofErr w:type="spellStart"/>
      <w:r w:rsidRPr="00A638EC">
        <w:rPr>
          <w:rFonts w:ascii="Times New Roman" w:eastAsia="Times New Roman" w:hAnsi="Times New Roman" w:cs="Times New Roman"/>
          <w:sz w:val="24"/>
          <w:szCs w:val="24"/>
        </w:rPr>
        <w:t>Yabello</w:t>
      </w:r>
      <w:proofErr w:type="spellEnd"/>
      <w:r w:rsidRPr="00A638EC">
        <w:rPr>
          <w:rFonts w:ascii="Times New Roman" w:eastAsia="Times New Roman" w:hAnsi="Times New Roman" w:cs="Times New Roman"/>
          <w:sz w:val="24"/>
          <w:szCs w:val="24"/>
        </w:rPr>
        <w:t xml:space="preserve"> town using a structured five-point Likert scale questionnaire were coded and analyzed using SPSS Version 25. The results are presented in two sections: descriptive statistics and inferential statistics, followed by a discussion of the findings in relation to previous studies.</w:t>
      </w:r>
    </w:p>
    <w:p w14:paraId="441B4CCF"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lastRenderedPageBreak/>
        <w:t>4.2. Response Rate</w:t>
      </w:r>
    </w:p>
    <w:p w14:paraId="665E83BA"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A total of 379 questionnaires were distributed to sampled Interest-Free Banking customers across three CBE branches in </w:t>
      </w:r>
      <w:proofErr w:type="spellStart"/>
      <w:r w:rsidRPr="00A638EC">
        <w:rPr>
          <w:rFonts w:ascii="Times New Roman" w:eastAsia="Times New Roman" w:hAnsi="Times New Roman" w:cs="Times New Roman"/>
          <w:sz w:val="24"/>
          <w:szCs w:val="24"/>
        </w:rPr>
        <w:t>Yabello</w:t>
      </w:r>
      <w:proofErr w:type="spellEnd"/>
      <w:r w:rsidRPr="00A638EC">
        <w:rPr>
          <w:rFonts w:ascii="Times New Roman" w:eastAsia="Times New Roman" w:hAnsi="Times New Roman" w:cs="Times New Roman"/>
          <w:sz w:val="24"/>
          <w:szCs w:val="24"/>
        </w:rPr>
        <w:t xml:space="preserve"> town. Of these, 351 valid and completely filled questionnaires were returned, yielding a response rate of 92.61%, which is considered excellent for survey-based research.</w:t>
      </w:r>
    </w:p>
    <w:p w14:paraId="52F0714D"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4.3. Reliability Test</w:t>
      </w:r>
    </w:p>
    <w:p w14:paraId="6D37850A"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Cronbach's alpha coefficient was employed to assess the internal consistency of the Likert-scale items used in the questionnaire. As shown in Table 2, all variables exceeded the minimum acceptable threshold of 0.70, with the overall scale reliability at 0.946, indicating excellent internal consistency.</w:t>
      </w:r>
    </w:p>
    <w:p w14:paraId="05F7CA52"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2: Reliability Analysis Results</w:t>
      </w:r>
    </w:p>
    <w:tbl>
      <w:tblPr>
        <w:tblW w:w="84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3"/>
        <w:gridCol w:w="2733"/>
        <w:gridCol w:w="2570"/>
      </w:tblGrid>
      <w:tr w:rsidR="00315258" w:rsidRPr="00A638EC" w14:paraId="09C2B662" w14:textId="77777777" w:rsidTr="00315258">
        <w:trPr>
          <w:trHeight w:val="253"/>
          <w:tblHeader/>
          <w:tblCellSpacing w:w="15" w:type="dxa"/>
        </w:trPr>
        <w:tc>
          <w:tcPr>
            <w:tcW w:w="0" w:type="auto"/>
            <w:vAlign w:val="center"/>
            <w:hideMark/>
          </w:tcPr>
          <w:p w14:paraId="0E195EA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Variable</w:t>
            </w:r>
          </w:p>
        </w:tc>
        <w:tc>
          <w:tcPr>
            <w:tcW w:w="0" w:type="auto"/>
            <w:vAlign w:val="center"/>
            <w:hideMark/>
          </w:tcPr>
          <w:p w14:paraId="7E518668"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Cronbach's Alpha</w:t>
            </w:r>
          </w:p>
        </w:tc>
        <w:tc>
          <w:tcPr>
            <w:tcW w:w="0" w:type="auto"/>
            <w:vAlign w:val="center"/>
            <w:hideMark/>
          </w:tcPr>
          <w:p w14:paraId="189E3E24"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Number of Items</w:t>
            </w:r>
          </w:p>
        </w:tc>
      </w:tr>
      <w:tr w:rsidR="00315258" w:rsidRPr="00A638EC" w14:paraId="0A8E69F9" w14:textId="77777777" w:rsidTr="00315258">
        <w:trPr>
          <w:trHeight w:val="268"/>
          <w:tblCellSpacing w:w="15" w:type="dxa"/>
        </w:trPr>
        <w:tc>
          <w:tcPr>
            <w:tcW w:w="0" w:type="auto"/>
            <w:vAlign w:val="center"/>
            <w:hideMark/>
          </w:tcPr>
          <w:p w14:paraId="0DDB962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Reliability</w:t>
            </w:r>
          </w:p>
        </w:tc>
        <w:tc>
          <w:tcPr>
            <w:tcW w:w="0" w:type="auto"/>
            <w:vAlign w:val="center"/>
            <w:hideMark/>
          </w:tcPr>
          <w:p w14:paraId="3C1B699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0.719</w:t>
            </w:r>
          </w:p>
        </w:tc>
        <w:tc>
          <w:tcPr>
            <w:tcW w:w="0" w:type="auto"/>
            <w:vAlign w:val="center"/>
            <w:hideMark/>
          </w:tcPr>
          <w:p w14:paraId="02AEE4D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0CA44AA0" w14:textId="77777777" w:rsidTr="00315258">
        <w:trPr>
          <w:trHeight w:val="268"/>
          <w:tblCellSpacing w:w="15" w:type="dxa"/>
        </w:trPr>
        <w:tc>
          <w:tcPr>
            <w:tcW w:w="0" w:type="auto"/>
            <w:vAlign w:val="center"/>
            <w:hideMark/>
          </w:tcPr>
          <w:p w14:paraId="148422B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Tangibility</w:t>
            </w:r>
          </w:p>
        </w:tc>
        <w:tc>
          <w:tcPr>
            <w:tcW w:w="0" w:type="auto"/>
            <w:vAlign w:val="center"/>
            <w:hideMark/>
          </w:tcPr>
          <w:p w14:paraId="2C34AC3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0.850</w:t>
            </w:r>
          </w:p>
        </w:tc>
        <w:tc>
          <w:tcPr>
            <w:tcW w:w="0" w:type="auto"/>
            <w:vAlign w:val="center"/>
            <w:hideMark/>
          </w:tcPr>
          <w:p w14:paraId="7BBFEAE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72535175" w14:textId="77777777" w:rsidTr="00315258">
        <w:trPr>
          <w:trHeight w:val="268"/>
          <w:tblCellSpacing w:w="15" w:type="dxa"/>
        </w:trPr>
        <w:tc>
          <w:tcPr>
            <w:tcW w:w="0" w:type="auto"/>
            <w:vAlign w:val="center"/>
            <w:hideMark/>
          </w:tcPr>
          <w:p w14:paraId="15CF80C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Assurance</w:t>
            </w:r>
          </w:p>
        </w:tc>
        <w:tc>
          <w:tcPr>
            <w:tcW w:w="0" w:type="auto"/>
            <w:vAlign w:val="center"/>
            <w:hideMark/>
          </w:tcPr>
          <w:p w14:paraId="548BB23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0.784</w:t>
            </w:r>
          </w:p>
        </w:tc>
        <w:tc>
          <w:tcPr>
            <w:tcW w:w="0" w:type="auto"/>
            <w:vAlign w:val="center"/>
            <w:hideMark/>
          </w:tcPr>
          <w:p w14:paraId="0E41187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086E31A9" w14:textId="77777777" w:rsidTr="00315258">
        <w:trPr>
          <w:trHeight w:val="253"/>
          <w:tblCellSpacing w:w="15" w:type="dxa"/>
        </w:trPr>
        <w:tc>
          <w:tcPr>
            <w:tcW w:w="0" w:type="auto"/>
            <w:vAlign w:val="center"/>
            <w:hideMark/>
          </w:tcPr>
          <w:p w14:paraId="0168EE5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Compliance</w:t>
            </w:r>
          </w:p>
        </w:tc>
        <w:tc>
          <w:tcPr>
            <w:tcW w:w="0" w:type="auto"/>
            <w:vAlign w:val="center"/>
            <w:hideMark/>
          </w:tcPr>
          <w:p w14:paraId="318D3F2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0.794</w:t>
            </w:r>
          </w:p>
        </w:tc>
        <w:tc>
          <w:tcPr>
            <w:tcW w:w="0" w:type="auto"/>
            <w:vAlign w:val="center"/>
            <w:hideMark/>
          </w:tcPr>
          <w:p w14:paraId="12BD6F9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6B64E115" w14:textId="77777777" w:rsidTr="00315258">
        <w:trPr>
          <w:trHeight w:val="268"/>
          <w:tblCellSpacing w:w="15" w:type="dxa"/>
        </w:trPr>
        <w:tc>
          <w:tcPr>
            <w:tcW w:w="0" w:type="auto"/>
            <w:vAlign w:val="center"/>
            <w:hideMark/>
          </w:tcPr>
          <w:p w14:paraId="0673D4A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Responsiveness</w:t>
            </w:r>
          </w:p>
        </w:tc>
        <w:tc>
          <w:tcPr>
            <w:tcW w:w="0" w:type="auto"/>
            <w:vAlign w:val="center"/>
            <w:hideMark/>
          </w:tcPr>
          <w:p w14:paraId="24B2125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0.733</w:t>
            </w:r>
          </w:p>
        </w:tc>
        <w:tc>
          <w:tcPr>
            <w:tcW w:w="0" w:type="auto"/>
            <w:vAlign w:val="center"/>
            <w:hideMark/>
          </w:tcPr>
          <w:p w14:paraId="5E75E1D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38A9F36D" w14:textId="77777777" w:rsidTr="00315258">
        <w:trPr>
          <w:trHeight w:val="268"/>
          <w:tblCellSpacing w:w="15" w:type="dxa"/>
        </w:trPr>
        <w:tc>
          <w:tcPr>
            <w:tcW w:w="0" w:type="auto"/>
            <w:vAlign w:val="center"/>
            <w:hideMark/>
          </w:tcPr>
          <w:p w14:paraId="181BD62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Empathy</w:t>
            </w:r>
          </w:p>
        </w:tc>
        <w:tc>
          <w:tcPr>
            <w:tcW w:w="0" w:type="auto"/>
            <w:vAlign w:val="center"/>
            <w:hideMark/>
          </w:tcPr>
          <w:p w14:paraId="7EF40D0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0.881</w:t>
            </w:r>
          </w:p>
        </w:tc>
        <w:tc>
          <w:tcPr>
            <w:tcW w:w="0" w:type="auto"/>
            <w:vAlign w:val="center"/>
            <w:hideMark/>
          </w:tcPr>
          <w:p w14:paraId="73A5BF5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701D9ADD" w14:textId="77777777" w:rsidTr="00315258">
        <w:trPr>
          <w:trHeight w:val="268"/>
          <w:tblCellSpacing w:w="15" w:type="dxa"/>
        </w:trPr>
        <w:tc>
          <w:tcPr>
            <w:tcW w:w="0" w:type="auto"/>
            <w:vAlign w:val="center"/>
            <w:hideMark/>
          </w:tcPr>
          <w:p w14:paraId="6AEC647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Accessibility</w:t>
            </w:r>
          </w:p>
        </w:tc>
        <w:tc>
          <w:tcPr>
            <w:tcW w:w="0" w:type="auto"/>
            <w:vAlign w:val="center"/>
            <w:hideMark/>
          </w:tcPr>
          <w:p w14:paraId="09D6976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0.899</w:t>
            </w:r>
          </w:p>
        </w:tc>
        <w:tc>
          <w:tcPr>
            <w:tcW w:w="0" w:type="auto"/>
            <w:vAlign w:val="center"/>
            <w:hideMark/>
          </w:tcPr>
          <w:p w14:paraId="087AF53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604346C0" w14:textId="77777777" w:rsidTr="00315258">
        <w:trPr>
          <w:trHeight w:val="253"/>
          <w:tblCellSpacing w:w="15" w:type="dxa"/>
        </w:trPr>
        <w:tc>
          <w:tcPr>
            <w:tcW w:w="0" w:type="auto"/>
            <w:vAlign w:val="center"/>
            <w:hideMark/>
          </w:tcPr>
          <w:p w14:paraId="3ACAFB5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Customer Satisfaction</w:t>
            </w:r>
          </w:p>
        </w:tc>
        <w:tc>
          <w:tcPr>
            <w:tcW w:w="0" w:type="auto"/>
            <w:vAlign w:val="center"/>
            <w:hideMark/>
          </w:tcPr>
          <w:p w14:paraId="1819C1A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0.761</w:t>
            </w:r>
          </w:p>
        </w:tc>
        <w:tc>
          <w:tcPr>
            <w:tcW w:w="0" w:type="auto"/>
            <w:vAlign w:val="center"/>
            <w:hideMark/>
          </w:tcPr>
          <w:p w14:paraId="2F2602B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65FF5E7F" w14:textId="77777777" w:rsidTr="00315258">
        <w:trPr>
          <w:trHeight w:val="268"/>
          <w:tblCellSpacing w:w="15" w:type="dxa"/>
        </w:trPr>
        <w:tc>
          <w:tcPr>
            <w:tcW w:w="0" w:type="auto"/>
            <w:vAlign w:val="center"/>
            <w:hideMark/>
          </w:tcPr>
          <w:p w14:paraId="0FFE21E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Overall Scale</w:t>
            </w:r>
          </w:p>
        </w:tc>
        <w:tc>
          <w:tcPr>
            <w:tcW w:w="0" w:type="auto"/>
            <w:vAlign w:val="center"/>
            <w:hideMark/>
          </w:tcPr>
          <w:p w14:paraId="2367287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0.946</w:t>
            </w:r>
          </w:p>
        </w:tc>
        <w:tc>
          <w:tcPr>
            <w:tcW w:w="0" w:type="auto"/>
            <w:vAlign w:val="center"/>
            <w:hideMark/>
          </w:tcPr>
          <w:p w14:paraId="4788CBC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40</w:t>
            </w:r>
          </w:p>
        </w:tc>
      </w:tr>
    </w:tbl>
    <w:p w14:paraId="10D924FA" w14:textId="77777777" w:rsidR="00315258" w:rsidRPr="00A638EC" w:rsidRDefault="00315258" w:rsidP="00315258">
      <w:pPr>
        <w:spacing w:after="0" w:line="240" w:lineRule="auto"/>
        <w:rPr>
          <w:rFonts w:ascii="Times New Roman" w:eastAsia="Times New Roman" w:hAnsi="Times New Roman" w:cs="Times New Roman"/>
          <w:sz w:val="24"/>
          <w:szCs w:val="24"/>
        </w:rPr>
      </w:pPr>
    </w:p>
    <w:p w14:paraId="756C417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551775D9"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4.4. Descriptive Statistics</w:t>
      </w:r>
    </w:p>
    <w:p w14:paraId="0010F1F5"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4.4.1. Demographic Profile of Respondents</w:t>
      </w:r>
    </w:p>
    <w:p w14:paraId="251EFB9A"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3: Demographic Characteristics of Respondents (n=351)</w:t>
      </w:r>
    </w:p>
    <w:tbl>
      <w:tblPr>
        <w:tblW w:w="87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4"/>
        <w:gridCol w:w="3179"/>
        <w:gridCol w:w="1636"/>
        <w:gridCol w:w="1706"/>
      </w:tblGrid>
      <w:tr w:rsidR="00315258" w:rsidRPr="00A638EC" w14:paraId="4F98CAA2" w14:textId="77777777" w:rsidTr="00315258">
        <w:trPr>
          <w:trHeight w:val="250"/>
          <w:tblHeader/>
          <w:tblCellSpacing w:w="15" w:type="dxa"/>
        </w:trPr>
        <w:tc>
          <w:tcPr>
            <w:tcW w:w="0" w:type="auto"/>
            <w:vAlign w:val="center"/>
            <w:hideMark/>
          </w:tcPr>
          <w:p w14:paraId="30A7143F"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Variable</w:t>
            </w:r>
          </w:p>
        </w:tc>
        <w:tc>
          <w:tcPr>
            <w:tcW w:w="0" w:type="auto"/>
            <w:vAlign w:val="center"/>
            <w:hideMark/>
          </w:tcPr>
          <w:p w14:paraId="14C07913"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Category</w:t>
            </w:r>
          </w:p>
        </w:tc>
        <w:tc>
          <w:tcPr>
            <w:tcW w:w="0" w:type="auto"/>
            <w:vAlign w:val="center"/>
            <w:hideMark/>
          </w:tcPr>
          <w:p w14:paraId="36F18C9E"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Frequency</w:t>
            </w:r>
          </w:p>
        </w:tc>
        <w:tc>
          <w:tcPr>
            <w:tcW w:w="0" w:type="auto"/>
            <w:vAlign w:val="center"/>
            <w:hideMark/>
          </w:tcPr>
          <w:p w14:paraId="6BAC6482"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Percentage</w:t>
            </w:r>
          </w:p>
        </w:tc>
      </w:tr>
      <w:tr w:rsidR="00315258" w:rsidRPr="00A638EC" w14:paraId="1DFFC312" w14:textId="77777777" w:rsidTr="00315258">
        <w:trPr>
          <w:trHeight w:val="265"/>
          <w:tblCellSpacing w:w="15" w:type="dxa"/>
        </w:trPr>
        <w:tc>
          <w:tcPr>
            <w:tcW w:w="0" w:type="auto"/>
            <w:vMerge w:val="restart"/>
            <w:vAlign w:val="center"/>
            <w:hideMark/>
          </w:tcPr>
          <w:p w14:paraId="33A288F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Gender</w:t>
            </w:r>
          </w:p>
        </w:tc>
        <w:tc>
          <w:tcPr>
            <w:tcW w:w="0" w:type="auto"/>
            <w:vAlign w:val="center"/>
            <w:hideMark/>
          </w:tcPr>
          <w:p w14:paraId="7D6E071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Male</w:t>
            </w:r>
          </w:p>
        </w:tc>
        <w:tc>
          <w:tcPr>
            <w:tcW w:w="0" w:type="auto"/>
            <w:vAlign w:val="center"/>
            <w:hideMark/>
          </w:tcPr>
          <w:p w14:paraId="011395A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249</w:t>
            </w:r>
          </w:p>
        </w:tc>
        <w:tc>
          <w:tcPr>
            <w:tcW w:w="0" w:type="auto"/>
            <w:vAlign w:val="center"/>
            <w:hideMark/>
          </w:tcPr>
          <w:p w14:paraId="6761622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70.9%</w:t>
            </w:r>
          </w:p>
        </w:tc>
      </w:tr>
      <w:tr w:rsidR="00315258" w:rsidRPr="00A638EC" w14:paraId="110736B1" w14:textId="77777777" w:rsidTr="00315258">
        <w:trPr>
          <w:trHeight w:val="265"/>
          <w:tblCellSpacing w:w="15" w:type="dxa"/>
        </w:trPr>
        <w:tc>
          <w:tcPr>
            <w:tcW w:w="0" w:type="auto"/>
            <w:vMerge/>
            <w:vAlign w:val="center"/>
            <w:hideMark/>
          </w:tcPr>
          <w:p w14:paraId="77EB585C"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AA9C4E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Female</w:t>
            </w:r>
          </w:p>
        </w:tc>
        <w:tc>
          <w:tcPr>
            <w:tcW w:w="0" w:type="auto"/>
            <w:vAlign w:val="center"/>
            <w:hideMark/>
          </w:tcPr>
          <w:p w14:paraId="7DF4632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102</w:t>
            </w:r>
          </w:p>
        </w:tc>
        <w:tc>
          <w:tcPr>
            <w:tcW w:w="0" w:type="auto"/>
            <w:vAlign w:val="center"/>
            <w:hideMark/>
          </w:tcPr>
          <w:p w14:paraId="238DC69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29.1%</w:t>
            </w:r>
          </w:p>
        </w:tc>
      </w:tr>
      <w:tr w:rsidR="00315258" w:rsidRPr="00A638EC" w14:paraId="2AA03BE4" w14:textId="77777777" w:rsidTr="00315258">
        <w:trPr>
          <w:trHeight w:val="265"/>
          <w:tblCellSpacing w:w="15" w:type="dxa"/>
        </w:trPr>
        <w:tc>
          <w:tcPr>
            <w:tcW w:w="0" w:type="auto"/>
            <w:vMerge w:val="restart"/>
            <w:vAlign w:val="center"/>
            <w:hideMark/>
          </w:tcPr>
          <w:p w14:paraId="5CC9D68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lastRenderedPageBreak/>
              <w:t>Age</w:t>
            </w:r>
          </w:p>
        </w:tc>
        <w:tc>
          <w:tcPr>
            <w:tcW w:w="0" w:type="auto"/>
            <w:vAlign w:val="center"/>
            <w:hideMark/>
          </w:tcPr>
          <w:p w14:paraId="4636E12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18-25 years</w:t>
            </w:r>
          </w:p>
        </w:tc>
        <w:tc>
          <w:tcPr>
            <w:tcW w:w="0" w:type="auto"/>
            <w:vAlign w:val="center"/>
            <w:hideMark/>
          </w:tcPr>
          <w:p w14:paraId="4268DAF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20</w:t>
            </w:r>
          </w:p>
        </w:tc>
        <w:tc>
          <w:tcPr>
            <w:tcW w:w="0" w:type="auto"/>
            <w:vAlign w:val="center"/>
            <w:hideMark/>
          </w:tcPr>
          <w:p w14:paraId="4BA5970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5.7%</w:t>
            </w:r>
          </w:p>
        </w:tc>
      </w:tr>
      <w:tr w:rsidR="00315258" w:rsidRPr="00A638EC" w14:paraId="5CFF44C3" w14:textId="77777777" w:rsidTr="00315258">
        <w:trPr>
          <w:trHeight w:val="250"/>
          <w:tblCellSpacing w:w="15" w:type="dxa"/>
        </w:trPr>
        <w:tc>
          <w:tcPr>
            <w:tcW w:w="0" w:type="auto"/>
            <w:vMerge/>
            <w:vAlign w:val="center"/>
            <w:hideMark/>
          </w:tcPr>
          <w:p w14:paraId="60266AD3"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3CDD080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26-30 years</w:t>
            </w:r>
          </w:p>
        </w:tc>
        <w:tc>
          <w:tcPr>
            <w:tcW w:w="0" w:type="auto"/>
            <w:vAlign w:val="center"/>
            <w:hideMark/>
          </w:tcPr>
          <w:p w14:paraId="068ACE0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54</w:t>
            </w:r>
          </w:p>
        </w:tc>
        <w:tc>
          <w:tcPr>
            <w:tcW w:w="0" w:type="auto"/>
            <w:vAlign w:val="center"/>
            <w:hideMark/>
          </w:tcPr>
          <w:p w14:paraId="160F1E0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15.4%</w:t>
            </w:r>
          </w:p>
        </w:tc>
      </w:tr>
      <w:tr w:rsidR="00315258" w:rsidRPr="00A638EC" w14:paraId="39E0D6D1" w14:textId="77777777" w:rsidTr="00315258">
        <w:trPr>
          <w:trHeight w:val="265"/>
          <w:tblCellSpacing w:w="15" w:type="dxa"/>
        </w:trPr>
        <w:tc>
          <w:tcPr>
            <w:tcW w:w="0" w:type="auto"/>
            <w:vMerge/>
            <w:vAlign w:val="center"/>
            <w:hideMark/>
          </w:tcPr>
          <w:p w14:paraId="47FDC75A"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6DD5B1B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31-40 years</w:t>
            </w:r>
          </w:p>
        </w:tc>
        <w:tc>
          <w:tcPr>
            <w:tcW w:w="0" w:type="auto"/>
            <w:vAlign w:val="center"/>
            <w:hideMark/>
          </w:tcPr>
          <w:p w14:paraId="3A0FBA8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256</w:t>
            </w:r>
          </w:p>
        </w:tc>
        <w:tc>
          <w:tcPr>
            <w:tcW w:w="0" w:type="auto"/>
            <w:vAlign w:val="center"/>
            <w:hideMark/>
          </w:tcPr>
          <w:p w14:paraId="0872DEF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72.9%</w:t>
            </w:r>
          </w:p>
        </w:tc>
      </w:tr>
      <w:tr w:rsidR="00315258" w:rsidRPr="00A638EC" w14:paraId="0796946A" w14:textId="77777777" w:rsidTr="00315258">
        <w:trPr>
          <w:trHeight w:val="265"/>
          <w:tblCellSpacing w:w="15" w:type="dxa"/>
        </w:trPr>
        <w:tc>
          <w:tcPr>
            <w:tcW w:w="0" w:type="auto"/>
            <w:vMerge/>
            <w:vAlign w:val="center"/>
            <w:hideMark/>
          </w:tcPr>
          <w:p w14:paraId="019DDA09"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FC2310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&gt;40 years</w:t>
            </w:r>
          </w:p>
        </w:tc>
        <w:tc>
          <w:tcPr>
            <w:tcW w:w="0" w:type="auto"/>
            <w:vAlign w:val="center"/>
            <w:hideMark/>
          </w:tcPr>
          <w:p w14:paraId="77DFEEB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21</w:t>
            </w:r>
          </w:p>
        </w:tc>
        <w:tc>
          <w:tcPr>
            <w:tcW w:w="0" w:type="auto"/>
            <w:vAlign w:val="center"/>
            <w:hideMark/>
          </w:tcPr>
          <w:p w14:paraId="64D62D5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6.0%</w:t>
            </w:r>
          </w:p>
        </w:tc>
      </w:tr>
      <w:tr w:rsidR="00315258" w:rsidRPr="00A638EC" w14:paraId="444876B5" w14:textId="77777777" w:rsidTr="00315258">
        <w:trPr>
          <w:trHeight w:val="265"/>
          <w:tblCellSpacing w:w="15" w:type="dxa"/>
        </w:trPr>
        <w:tc>
          <w:tcPr>
            <w:tcW w:w="0" w:type="auto"/>
            <w:vMerge w:val="restart"/>
            <w:vAlign w:val="center"/>
            <w:hideMark/>
          </w:tcPr>
          <w:p w14:paraId="36C85B4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Marital Status</w:t>
            </w:r>
          </w:p>
        </w:tc>
        <w:tc>
          <w:tcPr>
            <w:tcW w:w="0" w:type="auto"/>
            <w:vAlign w:val="center"/>
            <w:hideMark/>
          </w:tcPr>
          <w:p w14:paraId="3F61C80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Single</w:t>
            </w:r>
          </w:p>
        </w:tc>
        <w:tc>
          <w:tcPr>
            <w:tcW w:w="0" w:type="auto"/>
            <w:vAlign w:val="center"/>
            <w:hideMark/>
          </w:tcPr>
          <w:p w14:paraId="254347E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85</w:t>
            </w:r>
          </w:p>
        </w:tc>
        <w:tc>
          <w:tcPr>
            <w:tcW w:w="0" w:type="auto"/>
            <w:vAlign w:val="center"/>
            <w:hideMark/>
          </w:tcPr>
          <w:p w14:paraId="212930F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24.2%</w:t>
            </w:r>
          </w:p>
        </w:tc>
      </w:tr>
      <w:tr w:rsidR="00315258" w:rsidRPr="00A638EC" w14:paraId="3BCC78CF" w14:textId="77777777" w:rsidTr="00315258">
        <w:trPr>
          <w:trHeight w:val="250"/>
          <w:tblCellSpacing w:w="15" w:type="dxa"/>
        </w:trPr>
        <w:tc>
          <w:tcPr>
            <w:tcW w:w="0" w:type="auto"/>
            <w:vMerge/>
            <w:vAlign w:val="center"/>
            <w:hideMark/>
          </w:tcPr>
          <w:p w14:paraId="2AFEC4B6"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0ACD547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Married</w:t>
            </w:r>
          </w:p>
        </w:tc>
        <w:tc>
          <w:tcPr>
            <w:tcW w:w="0" w:type="auto"/>
            <w:vAlign w:val="center"/>
            <w:hideMark/>
          </w:tcPr>
          <w:p w14:paraId="022ECEC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252</w:t>
            </w:r>
          </w:p>
        </w:tc>
        <w:tc>
          <w:tcPr>
            <w:tcW w:w="0" w:type="auto"/>
            <w:vAlign w:val="center"/>
            <w:hideMark/>
          </w:tcPr>
          <w:p w14:paraId="58BF3E7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71.8%</w:t>
            </w:r>
          </w:p>
        </w:tc>
      </w:tr>
      <w:tr w:rsidR="00315258" w:rsidRPr="00A638EC" w14:paraId="709FB83E" w14:textId="77777777" w:rsidTr="00315258">
        <w:trPr>
          <w:trHeight w:val="265"/>
          <w:tblCellSpacing w:w="15" w:type="dxa"/>
        </w:trPr>
        <w:tc>
          <w:tcPr>
            <w:tcW w:w="0" w:type="auto"/>
            <w:vMerge/>
            <w:vAlign w:val="center"/>
            <w:hideMark/>
          </w:tcPr>
          <w:p w14:paraId="2E43674E"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6ADEE77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Other</w:t>
            </w:r>
          </w:p>
        </w:tc>
        <w:tc>
          <w:tcPr>
            <w:tcW w:w="0" w:type="auto"/>
            <w:vAlign w:val="center"/>
            <w:hideMark/>
          </w:tcPr>
          <w:p w14:paraId="046288B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14</w:t>
            </w:r>
          </w:p>
        </w:tc>
        <w:tc>
          <w:tcPr>
            <w:tcW w:w="0" w:type="auto"/>
            <w:vAlign w:val="center"/>
            <w:hideMark/>
          </w:tcPr>
          <w:p w14:paraId="5322944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4.0%</w:t>
            </w:r>
          </w:p>
        </w:tc>
      </w:tr>
      <w:tr w:rsidR="00315258" w:rsidRPr="00A638EC" w14:paraId="06BEB915" w14:textId="77777777" w:rsidTr="00315258">
        <w:trPr>
          <w:trHeight w:val="265"/>
          <w:tblCellSpacing w:w="15" w:type="dxa"/>
        </w:trPr>
        <w:tc>
          <w:tcPr>
            <w:tcW w:w="0" w:type="auto"/>
            <w:vMerge w:val="restart"/>
            <w:vAlign w:val="center"/>
            <w:hideMark/>
          </w:tcPr>
          <w:p w14:paraId="3A6C08C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Religion</w:t>
            </w:r>
          </w:p>
        </w:tc>
        <w:tc>
          <w:tcPr>
            <w:tcW w:w="0" w:type="auto"/>
            <w:vAlign w:val="center"/>
            <w:hideMark/>
          </w:tcPr>
          <w:p w14:paraId="5D9A781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Muslim</w:t>
            </w:r>
          </w:p>
        </w:tc>
        <w:tc>
          <w:tcPr>
            <w:tcW w:w="0" w:type="auto"/>
            <w:vAlign w:val="center"/>
            <w:hideMark/>
          </w:tcPr>
          <w:p w14:paraId="09FCE49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278</w:t>
            </w:r>
          </w:p>
        </w:tc>
        <w:tc>
          <w:tcPr>
            <w:tcW w:w="0" w:type="auto"/>
            <w:vAlign w:val="center"/>
            <w:hideMark/>
          </w:tcPr>
          <w:p w14:paraId="45DB3CF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79.2%</w:t>
            </w:r>
          </w:p>
        </w:tc>
      </w:tr>
      <w:tr w:rsidR="00315258" w:rsidRPr="00A638EC" w14:paraId="7E5522AB" w14:textId="77777777" w:rsidTr="00315258">
        <w:trPr>
          <w:trHeight w:val="250"/>
          <w:tblCellSpacing w:w="15" w:type="dxa"/>
        </w:trPr>
        <w:tc>
          <w:tcPr>
            <w:tcW w:w="0" w:type="auto"/>
            <w:vMerge/>
            <w:vAlign w:val="center"/>
            <w:hideMark/>
          </w:tcPr>
          <w:p w14:paraId="5DCF1CF0"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6D9619D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Orthodox</w:t>
            </w:r>
          </w:p>
        </w:tc>
        <w:tc>
          <w:tcPr>
            <w:tcW w:w="0" w:type="auto"/>
            <w:vAlign w:val="center"/>
            <w:hideMark/>
          </w:tcPr>
          <w:p w14:paraId="326B756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38</w:t>
            </w:r>
          </w:p>
        </w:tc>
        <w:tc>
          <w:tcPr>
            <w:tcW w:w="0" w:type="auto"/>
            <w:vAlign w:val="center"/>
            <w:hideMark/>
          </w:tcPr>
          <w:p w14:paraId="5F84A25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10.8%</w:t>
            </w:r>
          </w:p>
        </w:tc>
      </w:tr>
      <w:tr w:rsidR="00315258" w:rsidRPr="00A638EC" w14:paraId="59627659" w14:textId="77777777" w:rsidTr="00315258">
        <w:trPr>
          <w:trHeight w:val="265"/>
          <w:tblCellSpacing w:w="15" w:type="dxa"/>
        </w:trPr>
        <w:tc>
          <w:tcPr>
            <w:tcW w:w="0" w:type="auto"/>
            <w:vMerge/>
            <w:vAlign w:val="center"/>
            <w:hideMark/>
          </w:tcPr>
          <w:p w14:paraId="2320015E"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DE147B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Protestant</w:t>
            </w:r>
          </w:p>
        </w:tc>
        <w:tc>
          <w:tcPr>
            <w:tcW w:w="0" w:type="auto"/>
            <w:vAlign w:val="center"/>
            <w:hideMark/>
          </w:tcPr>
          <w:p w14:paraId="668A20A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22</w:t>
            </w:r>
          </w:p>
        </w:tc>
        <w:tc>
          <w:tcPr>
            <w:tcW w:w="0" w:type="auto"/>
            <w:vAlign w:val="center"/>
            <w:hideMark/>
          </w:tcPr>
          <w:p w14:paraId="5C12D42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6.3%</w:t>
            </w:r>
          </w:p>
        </w:tc>
      </w:tr>
      <w:tr w:rsidR="00315258" w:rsidRPr="00A638EC" w14:paraId="0F3FD1B1" w14:textId="77777777" w:rsidTr="00315258">
        <w:trPr>
          <w:trHeight w:val="265"/>
          <w:tblCellSpacing w:w="15" w:type="dxa"/>
        </w:trPr>
        <w:tc>
          <w:tcPr>
            <w:tcW w:w="0" w:type="auto"/>
            <w:vMerge/>
            <w:vAlign w:val="center"/>
            <w:hideMark/>
          </w:tcPr>
          <w:p w14:paraId="3163106C"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079BBC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Catholic</w:t>
            </w:r>
          </w:p>
        </w:tc>
        <w:tc>
          <w:tcPr>
            <w:tcW w:w="0" w:type="auto"/>
            <w:vAlign w:val="center"/>
            <w:hideMark/>
          </w:tcPr>
          <w:p w14:paraId="1925922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w:t>
            </w:r>
          </w:p>
        </w:tc>
        <w:tc>
          <w:tcPr>
            <w:tcW w:w="0" w:type="auto"/>
            <w:vAlign w:val="center"/>
            <w:hideMark/>
          </w:tcPr>
          <w:p w14:paraId="5164488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3.7%</w:t>
            </w:r>
          </w:p>
        </w:tc>
      </w:tr>
      <w:tr w:rsidR="00315258" w:rsidRPr="00A638EC" w14:paraId="588C566C" w14:textId="77777777" w:rsidTr="00315258">
        <w:trPr>
          <w:trHeight w:val="265"/>
          <w:tblCellSpacing w:w="15" w:type="dxa"/>
        </w:trPr>
        <w:tc>
          <w:tcPr>
            <w:tcW w:w="0" w:type="auto"/>
            <w:vMerge w:val="restart"/>
            <w:vAlign w:val="center"/>
            <w:hideMark/>
          </w:tcPr>
          <w:p w14:paraId="1E5C3AE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Education</w:t>
            </w:r>
          </w:p>
        </w:tc>
        <w:tc>
          <w:tcPr>
            <w:tcW w:w="0" w:type="auto"/>
            <w:vAlign w:val="center"/>
            <w:hideMark/>
          </w:tcPr>
          <w:p w14:paraId="534DAF2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Primary (1-8)</w:t>
            </w:r>
          </w:p>
        </w:tc>
        <w:tc>
          <w:tcPr>
            <w:tcW w:w="0" w:type="auto"/>
            <w:vAlign w:val="center"/>
            <w:hideMark/>
          </w:tcPr>
          <w:p w14:paraId="66462EB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170</w:t>
            </w:r>
          </w:p>
        </w:tc>
        <w:tc>
          <w:tcPr>
            <w:tcW w:w="0" w:type="auto"/>
            <w:vAlign w:val="center"/>
            <w:hideMark/>
          </w:tcPr>
          <w:p w14:paraId="2D7ABC0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48.4%</w:t>
            </w:r>
          </w:p>
        </w:tc>
      </w:tr>
      <w:tr w:rsidR="00315258" w:rsidRPr="00A638EC" w14:paraId="74E647BA" w14:textId="77777777" w:rsidTr="00315258">
        <w:trPr>
          <w:trHeight w:val="250"/>
          <w:tblCellSpacing w:w="15" w:type="dxa"/>
        </w:trPr>
        <w:tc>
          <w:tcPr>
            <w:tcW w:w="0" w:type="auto"/>
            <w:vMerge/>
            <w:vAlign w:val="center"/>
            <w:hideMark/>
          </w:tcPr>
          <w:p w14:paraId="1ADC4D12"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0856B3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Secondary (9-12)</w:t>
            </w:r>
          </w:p>
        </w:tc>
        <w:tc>
          <w:tcPr>
            <w:tcW w:w="0" w:type="auto"/>
            <w:vAlign w:val="center"/>
            <w:hideMark/>
          </w:tcPr>
          <w:p w14:paraId="696F790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128</w:t>
            </w:r>
          </w:p>
        </w:tc>
        <w:tc>
          <w:tcPr>
            <w:tcW w:w="0" w:type="auto"/>
            <w:vAlign w:val="center"/>
            <w:hideMark/>
          </w:tcPr>
          <w:p w14:paraId="7483873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36.5%</w:t>
            </w:r>
          </w:p>
        </w:tc>
      </w:tr>
      <w:tr w:rsidR="00315258" w:rsidRPr="00A638EC" w14:paraId="6B8E5EA1" w14:textId="77777777" w:rsidTr="00315258">
        <w:trPr>
          <w:trHeight w:val="265"/>
          <w:tblCellSpacing w:w="15" w:type="dxa"/>
        </w:trPr>
        <w:tc>
          <w:tcPr>
            <w:tcW w:w="0" w:type="auto"/>
            <w:vMerge/>
            <w:vAlign w:val="center"/>
            <w:hideMark/>
          </w:tcPr>
          <w:p w14:paraId="415A9E2F"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C73556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Diploma</w:t>
            </w:r>
          </w:p>
        </w:tc>
        <w:tc>
          <w:tcPr>
            <w:tcW w:w="0" w:type="auto"/>
            <w:vAlign w:val="center"/>
            <w:hideMark/>
          </w:tcPr>
          <w:p w14:paraId="7FA0329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36</w:t>
            </w:r>
          </w:p>
        </w:tc>
        <w:tc>
          <w:tcPr>
            <w:tcW w:w="0" w:type="auto"/>
            <w:vAlign w:val="center"/>
            <w:hideMark/>
          </w:tcPr>
          <w:p w14:paraId="3FC1094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10.3%</w:t>
            </w:r>
          </w:p>
        </w:tc>
      </w:tr>
      <w:tr w:rsidR="00315258" w:rsidRPr="00A638EC" w14:paraId="46504031" w14:textId="77777777" w:rsidTr="00315258">
        <w:trPr>
          <w:trHeight w:val="265"/>
          <w:tblCellSpacing w:w="15" w:type="dxa"/>
        </w:trPr>
        <w:tc>
          <w:tcPr>
            <w:tcW w:w="0" w:type="auto"/>
            <w:vMerge/>
            <w:vAlign w:val="center"/>
            <w:hideMark/>
          </w:tcPr>
          <w:p w14:paraId="4FD14544"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2A5B286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Degree and above</w:t>
            </w:r>
          </w:p>
        </w:tc>
        <w:tc>
          <w:tcPr>
            <w:tcW w:w="0" w:type="auto"/>
            <w:vAlign w:val="center"/>
            <w:hideMark/>
          </w:tcPr>
          <w:p w14:paraId="062ADEE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17</w:t>
            </w:r>
          </w:p>
        </w:tc>
        <w:tc>
          <w:tcPr>
            <w:tcW w:w="0" w:type="auto"/>
            <w:vAlign w:val="center"/>
            <w:hideMark/>
          </w:tcPr>
          <w:p w14:paraId="35B6F13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4.8%</w:t>
            </w:r>
          </w:p>
        </w:tc>
      </w:tr>
      <w:tr w:rsidR="00315258" w:rsidRPr="00A638EC" w14:paraId="3751C412" w14:textId="77777777" w:rsidTr="00315258">
        <w:trPr>
          <w:trHeight w:val="265"/>
          <w:tblCellSpacing w:w="15" w:type="dxa"/>
        </w:trPr>
        <w:tc>
          <w:tcPr>
            <w:tcW w:w="0" w:type="auto"/>
            <w:vMerge w:val="restart"/>
            <w:vAlign w:val="center"/>
            <w:hideMark/>
          </w:tcPr>
          <w:p w14:paraId="0FBB6BA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Occupation</w:t>
            </w:r>
          </w:p>
        </w:tc>
        <w:tc>
          <w:tcPr>
            <w:tcW w:w="0" w:type="auto"/>
            <w:vAlign w:val="center"/>
            <w:hideMark/>
          </w:tcPr>
          <w:p w14:paraId="241D7C9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Business person</w:t>
            </w:r>
          </w:p>
        </w:tc>
        <w:tc>
          <w:tcPr>
            <w:tcW w:w="0" w:type="auto"/>
            <w:vAlign w:val="center"/>
            <w:hideMark/>
          </w:tcPr>
          <w:p w14:paraId="1A41C36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175</w:t>
            </w:r>
          </w:p>
        </w:tc>
        <w:tc>
          <w:tcPr>
            <w:tcW w:w="0" w:type="auto"/>
            <w:vAlign w:val="center"/>
            <w:hideMark/>
          </w:tcPr>
          <w:p w14:paraId="67F1839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49.9%</w:t>
            </w:r>
          </w:p>
        </w:tc>
      </w:tr>
      <w:tr w:rsidR="00315258" w:rsidRPr="00A638EC" w14:paraId="147A4BB9" w14:textId="77777777" w:rsidTr="00315258">
        <w:trPr>
          <w:trHeight w:val="250"/>
          <w:tblCellSpacing w:w="15" w:type="dxa"/>
        </w:trPr>
        <w:tc>
          <w:tcPr>
            <w:tcW w:w="0" w:type="auto"/>
            <w:vMerge/>
            <w:vAlign w:val="center"/>
            <w:hideMark/>
          </w:tcPr>
          <w:p w14:paraId="56DBB151"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52E54E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Self-employed</w:t>
            </w:r>
          </w:p>
        </w:tc>
        <w:tc>
          <w:tcPr>
            <w:tcW w:w="0" w:type="auto"/>
            <w:vAlign w:val="center"/>
            <w:hideMark/>
          </w:tcPr>
          <w:p w14:paraId="1D7C120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80</w:t>
            </w:r>
          </w:p>
        </w:tc>
        <w:tc>
          <w:tcPr>
            <w:tcW w:w="0" w:type="auto"/>
            <w:vAlign w:val="center"/>
            <w:hideMark/>
          </w:tcPr>
          <w:p w14:paraId="3BCBCCB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22.8%</w:t>
            </w:r>
          </w:p>
        </w:tc>
      </w:tr>
      <w:tr w:rsidR="00315258" w:rsidRPr="00A638EC" w14:paraId="0FFC507C" w14:textId="77777777" w:rsidTr="00315258">
        <w:trPr>
          <w:trHeight w:val="265"/>
          <w:tblCellSpacing w:w="15" w:type="dxa"/>
        </w:trPr>
        <w:tc>
          <w:tcPr>
            <w:tcW w:w="0" w:type="auto"/>
            <w:vMerge/>
            <w:vAlign w:val="center"/>
            <w:hideMark/>
          </w:tcPr>
          <w:p w14:paraId="32B7C29D"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EB1C2A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Government employee</w:t>
            </w:r>
          </w:p>
        </w:tc>
        <w:tc>
          <w:tcPr>
            <w:tcW w:w="0" w:type="auto"/>
            <w:vAlign w:val="center"/>
            <w:hideMark/>
          </w:tcPr>
          <w:p w14:paraId="14861ED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40</w:t>
            </w:r>
          </w:p>
        </w:tc>
        <w:tc>
          <w:tcPr>
            <w:tcW w:w="0" w:type="auto"/>
            <w:vAlign w:val="center"/>
            <w:hideMark/>
          </w:tcPr>
          <w:p w14:paraId="78592C1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11.4%</w:t>
            </w:r>
          </w:p>
        </w:tc>
      </w:tr>
      <w:tr w:rsidR="00315258" w:rsidRPr="00A638EC" w14:paraId="7DDD51F7" w14:textId="77777777" w:rsidTr="00315258">
        <w:trPr>
          <w:trHeight w:val="265"/>
          <w:tblCellSpacing w:w="15" w:type="dxa"/>
        </w:trPr>
        <w:tc>
          <w:tcPr>
            <w:tcW w:w="0" w:type="auto"/>
            <w:vMerge/>
            <w:vAlign w:val="center"/>
            <w:hideMark/>
          </w:tcPr>
          <w:p w14:paraId="5DA86376"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FFC8B7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Student</w:t>
            </w:r>
          </w:p>
        </w:tc>
        <w:tc>
          <w:tcPr>
            <w:tcW w:w="0" w:type="auto"/>
            <w:vAlign w:val="center"/>
            <w:hideMark/>
          </w:tcPr>
          <w:p w14:paraId="367F601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w:t>
            </w:r>
          </w:p>
        </w:tc>
        <w:tc>
          <w:tcPr>
            <w:tcW w:w="0" w:type="auto"/>
            <w:vAlign w:val="center"/>
            <w:hideMark/>
          </w:tcPr>
          <w:p w14:paraId="4F9763D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7.1%</w:t>
            </w:r>
          </w:p>
        </w:tc>
      </w:tr>
      <w:tr w:rsidR="00315258" w:rsidRPr="00A638EC" w14:paraId="597DBB84" w14:textId="77777777" w:rsidTr="00315258">
        <w:trPr>
          <w:trHeight w:val="250"/>
          <w:tblCellSpacing w:w="15" w:type="dxa"/>
        </w:trPr>
        <w:tc>
          <w:tcPr>
            <w:tcW w:w="0" w:type="auto"/>
            <w:vMerge/>
            <w:vAlign w:val="center"/>
            <w:hideMark/>
          </w:tcPr>
          <w:p w14:paraId="2E9E7967"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0A423E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Private employee</w:t>
            </w:r>
          </w:p>
        </w:tc>
        <w:tc>
          <w:tcPr>
            <w:tcW w:w="0" w:type="auto"/>
            <w:vAlign w:val="center"/>
            <w:hideMark/>
          </w:tcPr>
          <w:p w14:paraId="0401692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21</w:t>
            </w:r>
          </w:p>
        </w:tc>
        <w:tc>
          <w:tcPr>
            <w:tcW w:w="0" w:type="auto"/>
            <w:vAlign w:val="center"/>
            <w:hideMark/>
          </w:tcPr>
          <w:p w14:paraId="452C8F2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6.0%</w:t>
            </w:r>
          </w:p>
        </w:tc>
      </w:tr>
      <w:tr w:rsidR="00315258" w:rsidRPr="00A638EC" w14:paraId="1D13A319" w14:textId="77777777" w:rsidTr="00315258">
        <w:trPr>
          <w:trHeight w:val="265"/>
          <w:tblCellSpacing w:w="15" w:type="dxa"/>
        </w:trPr>
        <w:tc>
          <w:tcPr>
            <w:tcW w:w="0" w:type="auto"/>
            <w:vMerge/>
            <w:vAlign w:val="center"/>
            <w:hideMark/>
          </w:tcPr>
          <w:p w14:paraId="478F8EB2"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6962110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NGO employee</w:t>
            </w:r>
          </w:p>
        </w:tc>
        <w:tc>
          <w:tcPr>
            <w:tcW w:w="0" w:type="auto"/>
            <w:vAlign w:val="center"/>
            <w:hideMark/>
          </w:tcPr>
          <w:p w14:paraId="7234865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w:t>
            </w:r>
          </w:p>
        </w:tc>
        <w:tc>
          <w:tcPr>
            <w:tcW w:w="0" w:type="auto"/>
            <w:vAlign w:val="center"/>
            <w:hideMark/>
          </w:tcPr>
          <w:p w14:paraId="6411E1E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2.8%</w:t>
            </w:r>
          </w:p>
        </w:tc>
      </w:tr>
    </w:tbl>
    <w:p w14:paraId="1564C390"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55AF17BE" w14:textId="5D2F23C2" w:rsidR="00315258" w:rsidRPr="00A638EC" w:rsidRDefault="00315258" w:rsidP="00BA508D">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demographic profile reveals that the majority of IFB customers in the study area are male (70.9%), aged between 31-40 years (72.9%), married (71.8%), and Muslim (79.2%). Most respondents have primary level education (48.4%) and are engaged in business (49.9%). These findings align with pr</w:t>
      </w:r>
      <w:r w:rsidR="00123A9E">
        <w:rPr>
          <w:rFonts w:ascii="Times New Roman" w:eastAsia="Times New Roman" w:hAnsi="Times New Roman" w:cs="Times New Roman"/>
          <w:sz w:val="24"/>
          <w:szCs w:val="24"/>
        </w:rPr>
        <w:t xml:space="preserve">evious studies by </w:t>
      </w:r>
      <w:proofErr w:type="spellStart"/>
      <w:r w:rsidR="00123A9E">
        <w:rPr>
          <w:rFonts w:ascii="Times New Roman" w:eastAsia="Times New Roman" w:hAnsi="Times New Roman" w:cs="Times New Roman"/>
          <w:sz w:val="24"/>
          <w:szCs w:val="24"/>
        </w:rPr>
        <w:t>Merafe</w:t>
      </w:r>
      <w:proofErr w:type="spellEnd"/>
      <w:r w:rsidR="00123A9E">
        <w:rPr>
          <w:rFonts w:ascii="Times New Roman" w:eastAsia="Times New Roman" w:hAnsi="Times New Roman" w:cs="Times New Roman"/>
          <w:sz w:val="24"/>
          <w:szCs w:val="24"/>
        </w:rPr>
        <w:t xml:space="preserve"> (2018), </w:t>
      </w:r>
      <w:r w:rsidRPr="00A638EC">
        <w:rPr>
          <w:rFonts w:ascii="Times New Roman" w:eastAsia="Times New Roman" w:hAnsi="Times New Roman" w:cs="Times New Roman"/>
          <w:sz w:val="24"/>
          <w:szCs w:val="24"/>
        </w:rPr>
        <w:t>though the presence of customers from other religious groups indicates growing acceptance of IFB beyond the Muslim community.</w:t>
      </w:r>
    </w:p>
    <w:p w14:paraId="392EC936"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4.4.2. Customer-Bank Relationship</w:t>
      </w:r>
    </w:p>
    <w:p w14:paraId="52E9F9C1"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4: Customer Relationship Characteristics</w:t>
      </w:r>
    </w:p>
    <w:tbl>
      <w:tblPr>
        <w:tblW w:w="10230"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06"/>
        <w:gridCol w:w="1822"/>
        <w:gridCol w:w="1174"/>
        <w:gridCol w:w="1228"/>
      </w:tblGrid>
      <w:tr w:rsidR="00315258" w:rsidRPr="00A638EC" w14:paraId="0952F519" w14:textId="77777777" w:rsidTr="00315258">
        <w:trPr>
          <w:trHeight w:val="259"/>
          <w:tblHeader/>
          <w:tblCellSpacing w:w="15" w:type="dxa"/>
        </w:trPr>
        <w:tc>
          <w:tcPr>
            <w:tcW w:w="5961" w:type="dxa"/>
            <w:vAlign w:val="center"/>
            <w:hideMark/>
          </w:tcPr>
          <w:p w14:paraId="751F327C"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Question</w:t>
            </w:r>
          </w:p>
        </w:tc>
        <w:tc>
          <w:tcPr>
            <w:tcW w:w="0" w:type="auto"/>
            <w:vAlign w:val="center"/>
            <w:hideMark/>
          </w:tcPr>
          <w:p w14:paraId="48E0A2ED"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Response</w:t>
            </w:r>
          </w:p>
        </w:tc>
        <w:tc>
          <w:tcPr>
            <w:tcW w:w="0" w:type="auto"/>
            <w:vAlign w:val="center"/>
            <w:hideMark/>
          </w:tcPr>
          <w:p w14:paraId="6CD73CE1"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Frequency</w:t>
            </w:r>
          </w:p>
        </w:tc>
        <w:tc>
          <w:tcPr>
            <w:tcW w:w="0" w:type="auto"/>
            <w:vAlign w:val="center"/>
            <w:hideMark/>
          </w:tcPr>
          <w:p w14:paraId="18477B54"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Percentage</w:t>
            </w:r>
          </w:p>
        </w:tc>
      </w:tr>
      <w:tr w:rsidR="00315258" w:rsidRPr="00A638EC" w14:paraId="73E56904" w14:textId="77777777" w:rsidTr="00315258">
        <w:trPr>
          <w:trHeight w:val="274"/>
          <w:tblCellSpacing w:w="15" w:type="dxa"/>
        </w:trPr>
        <w:tc>
          <w:tcPr>
            <w:tcW w:w="5961" w:type="dxa"/>
            <w:vMerge w:val="restart"/>
            <w:vAlign w:val="center"/>
            <w:hideMark/>
          </w:tcPr>
          <w:p w14:paraId="4E9180A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Do you have an account in Commercial Bank of Ethiopia before the introduction of Interest Free Banking products?</w:t>
            </w:r>
          </w:p>
        </w:tc>
        <w:tc>
          <w:tcPr>
            <w:tcW w:w="0" w:type="auto"/>
            <w:vAlign w:val="center"/>
            <w:hideMark/>
          </w:tcPr>
          <w:p w14:paraId="3F020FF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Yes</w:t>
            </w:r>
          </w:p>
        </w:tc>
        <w:tc>
          <w:tcPr>
            <w:tcW w:w="0" w:type="auto"/>
            <w:vAlign w:val="center"/>
            <w:hideMark/>
          </w:tcPr>
          <w:p w14:paraId="4D2C3E0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74</w:t>
            </w:r>
          </w:p>
        </w:tc>
        <w:tc>
          <w:tcPr>
            <w:tcW w:w="0" w:type="auto"/>
            <w:vAlign w:val="center"/>
            <w:hideMark/>
          </w:tcPr>
          <w:p w14:paraId="355408E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21.1%</w:t>
            </w:r>
          </w:p>
        </w:tc>
      </w:tr>
      <w:tr w:rsidR="00315258" w:rsidRPr="00A638EC" w14:paraId="67B2C0E6" w14:textId="77777777" w:rsidTr="00315258">
        <w:trPr>
          <w:trHeight w:val="274"/>
          <w:tblCellSpacing w:w="15" w:type="dxa"/>
        </w:trPr>
        <w:tc>
          <w:tcPr>
            <w:tcW w:w="5961" w:type="dxa"/>
            <w:vMerge/>
            <w:vAlign w:val="center"/>
            <w:hideMark/>
          </w:tcPr>
          <w:p w14:paraId="42FAB105"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2665DC5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No</w:t>
            </w:r>
          </w:p>
        </w:tc>
        <w:tc>
          <w:tcPr>
            <w:tcW w:w="0" w:type="auto"/>
            <w:vAlign w:val="center"/>
            <w:hideMark/>
          </w:tcPr>
          <w:p w14:paraId="2CC1DE8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277</w:t>
            </w:r>
          </w:p>
        </w:tc>
        <w:tc>
          <w:tcPr>
            <w:tcW w:w="0" w:type="auto"/>
            <w:vAlign w:val="center"/>
            <w:hideMark/>
          </w:tcPr>
          <w:p w14:paraId="248399D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78.9%</w:t>
            </w:r>
          </w:p>
        </w:tc>
      </w:tr>
      <w:tr w:rsidR="00315258" w:rsidRPr="00A638EC" w14:paraId="7512B3FA" w14:textId="77777777" w:rsidTr="00315258">
        <w:trPr>
          <w:trHeight w:val="274"/>
          <w:tblCellSpacing w:w="15" w:type="dxa"/>
        </w:trPr>
        <w:tc>
          <w:tcPr>
            <w:tcW w:w="5961" w:type="dxa"/>
            <w:vMerge w:val="restart"/>
            <w:vAlign w:val="center"/>
            <w:hideMark/>
          </w:tcPr>
          <w:p w14:paraId="4F9F1CE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For how many years you have been using Interest Free Banking Products and services in Commercial Bank of Ethiopia?</w:t>
            </w:r>
          </w:p>
        </w:tc>
        <w:tc>
          <w:tcPr>
            <w:tcW w:w="0" w:type="auto"/>
            <w:vAlign w:val="center"/>
            <w:hideMark/>
          </w:tcPr>
          <w:p w14:paraId="2625CD7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&lt;1 year</w:t>
            </w:r>
          </w:p>
        </w:tc>
        <w:tc>
          <w:tcPr>
            <w:tcW w:w="0" w:type="auto"/>
            <w:vAlign w:val="center"/>
            <w:hideMark/>
          </w:tcPr>
          <w:p w14:paraId="1347795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87</w:t>
            </w:r>
          </w:p>
        </w:tc>
        <w:tc>
          <w:tcPr>
            <w:tcW w:w="0" w:type="auto"/>
            <w:vAlign w:val="center"/>
            <w:hideMark/>
          </w:tcPr>
          <w:p w14:paraId="3806B9C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24.8%</w:t>
            </w:r>
          </w:p>
        </w:tc>
      </w:tr>
      <w:tr w:rsidR="00315258" w:rsidRPr="00A638EC" w14:paraId="5B6DCC47" w14:textId="77777777" w:rsidTr="00315258">
        <w:trPr>
          <w:trHeight w:val="259"/>
          <w:tblCellSpacing w:w="15" w:type="dxa"/>
        </w:trPr>
        <w:tc>
          <w:tcPr>
            <w:tcW w:w="5961" w:type="dxa"/>
            <w:vMerge/>
            <w:vAlign w:val="center"/>
            <w:hideMark/>
          </w:tcPr>
          <w:p w14:paraId="698F7B19"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07262E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 years</w:t>
            </w:r>
          </w:p>
        </w:tc>
        <w:tc>
          <w:tcPr>
            <w:tcW w:w="0" w:type="auto"/>
            <w:vAlign w:val="center"/>
            <w:hideMark/>
          </w:tcPr>
          <w:p w14:paraId="7F48CBD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184</w:t>
            </w:r>
          </w:p>
        </w:tc>
        <w:tc>
          <w:tcPr>
            <w:tcW w:w="0" w:type="auto"/>
            <w:vAlign w:val="center"/>
            <w:hideMark/>
          </w:tcPr>
          <w:p w14:paraId="26C129D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52.4%</w:t>
            </w:r>
          </w:p>
        </w:tc>
      </w:tr>
      <w:tr w:rsidR="00315258" w:rsidRPr="00A638EC" w14:paraId="02AE9570" w14:textId="77777777" w:rsidTr="00315258">
        <w:trPr>
          <w:trHeight w:val="274"/>
          <w:tblCellSpacing w:w="15" w:type="dxa"/>
        </w:trPr>
        <w:tc>
          <w:tcPr>
            <w:tcW w:w="5961" w:type="dxa"/>
            <w:vMerge/>
            <w:vAlign w:val="center"/>
            <w:hideMark/>
          </w:tcPr>
          <w:p w14:paraId="1E42B715"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00765AB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&gt;5 years</w:t>
            </w:r>
          </w:p>
        </w:tc>
        <w:tc>
          <w:tcPr>
            <w:tcW w:w="0" w:type="auto"/>
            <w:vAlign w:val="center"/>
            <w:hideMark/>
          </w:tcPr>
          <w:p w14:paraId="5782561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80</w:t>
            </w:r>
          </w:p>
        </w:tc>
        <w:tc>
          <w:tcPr>
            <w:tcW w:w="0" w:type="auto"/>
            <w:vAlign w:val="center"/>
            <w:hideMark/>
          </w:tcPr>
          <w:p w14:paraId="3E2DEB7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22.8%</w:t>
            </w:r>
          </w:p>
        </w:tc>
      </w:tr>
      <w:tr w:rsidR="00315258" w:rsidRPr="00A638EC" w14:paraId="754D7432" w14:textId="77777777" w:rsidTr="00315258">
        <w:trPr>
          <w:trHeight w:val="274"/>
          <w:tblCellSpacing w:w="15" w:type="dxa"/>
        </w:trPr>
        <w:tc>
          <w:tcPr>
            <w:tcW w:w="5961" w:type="dxa"/>
            <w:vMerge w:val="restart"/>
            <w:vAlign w:val="center"/>
            <w:hideMark/>
          </w:tcPr>
          <w:p w14:paraId="7EA7AA6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When banking with Commercial Bank of Ethiopia, which window you’re currently using?</w:t>
            </w:r>
          </w:p>
        </w:tc>
        <w:tc>
          <w:tcPr>
            <w:tcW w:w="0" w:type="auto"/>
            <w:vAlign w:val="center"/>
            <w:hideMark/>
          </w:tcPr>
          <w:p w14:paraId="0141EF0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IFB window</w:t>
            </w:r>
          </w:p>
        </w:tc>
        <w:tc>
          <w:tcPr>
            <w:tcW w:w="0" w:type="auto"/>
            <w:vAlign w:val="center"/>
            <w:hideMark/>
          </w:tcPr>
          <w:p w14:paraId="597C428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281</w:t>
            </w:r>
          </w:p>
        </w:tc>
        <w:tc>
          <w:tcPr>
            <w:tcW w:w="0" w:type="auto"/>
            <w:vAlign w:val="center"/>
            <w:hideMark/>
          </w:tcPr>
          <w:p w14:paraId="0F10099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80.1%</w:t>
            </w:r>
          </w:p>
        </w:tc>
      </w:tr>
      <w:tr w:rsidR="00315258" w:rsidRPr="00A638EC" w14:paraId="1CC40EB1" w14:textId="77777777" w:rsidTr="00315258">
        <w:trPr>
          <w:trHeight w:val="274"/>
          <w:tblCellSpacing w:w="15" w:type="dxa"/>
        </w:trPr>
        <w:tc>
          <w:tcPr>
            <w:tcW w:w="5961" w:type="dxa"/>
            <w:vMerge/>
            <w:vAlign w:val="center"/>
            <w:hideMark/>
          </w:tcPr>
          <w:p w14:paraId="376F89CA"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D05EC5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Conventional window</w:t>
            </w:r>
          </w:p>
        </w:tc>
        <w:tc>
          <w:tcPr>
            <w:tcW w:w="0" w:type="auto"/>
            <w:vAlign w:val="center"/>
            <w:hideMark/>
          </w:tcPr>
          <w:p w14:paraId="7747A26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47</w:t>
            </w:r>
          </w:p>
        </w:tc>
        <w:tc>
          <w:tcPr>
            <w:tcW w:w="0" w:type="auto"/>
            <w:vAlign w:val="center"/>
            <w:hideMark/>
          </w:tcPr>
          <w:p w14:paraId="122E7ED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13.4%</w:t>
            </w:r>
          </w:p>
        </w:tc>
      </w:tr>
      <w:tr w:rsidR="00315258" w:rsidRPr="00A638EC" w14:paraId="25B79959" w14:textId="77777777" w:rsidTr="00315258">
        <w:trPr>
          <w:trHeight w:val="259"/>
          <w:tblCellSpacing w:w="15" w:type="dxa"/>
        </w:trPr>
        <w:tc>
          <w:tcPr>
            <w:tcW w:w="5961" w:type="dxa"/>
            <w:vMerge/>
            <w:vAlign w:val="center"/>
            <w:hideMark/>
          </w:tcPr>
          <w:p w14:paraId="28744BF5"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092BD9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Both</w:t>
            </w:r>
          </w:p>
        </w:tc>
        <w:tc>
          <w:tcPr>
            <w:tcW w:w="0" w:type="auto"/>
            <w:vAlign w:val="center"/>
            <w:hideMark/>
          </w:tcPr>
          <w:p w14:paraId="687F02B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23</w:t>
            </w:r>
          </w:p>
        </w:tc>
        <w:tc>
          <w:tcPr>
            <w:tcW w:w="0" w:type="auto"/>
            <w:vAlign w:val="center"/>
            <w:hideMark/>
          </w:tcPr>
          <w:p w14:paraId="6B97482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6.6%</w:t>
            </w:r>
          </w:p>
        </w:tc>
      </w:tr>
      <w:tr w:rsidR="00315258" w:rsidRPr="00A638EC" w14:paraId="6B4AB498" w14:textId="77777777" w:rsidTr="00315258">
        <w:trPr>
          <w:trHeight w:val="274"/>
          <w:tblCellSpacing w:w="15" w:type="dxa"/>
        </w:trPr>
        <w:tc>
          <w:tcPr>
            <w:tcW w:w="5961" w:type="dxa"/>
            <w:vMerge w:val="restart"/>
            <w:vAlign w:val="center"/>
            <w:hideMark/>
          </w:tcPr>
          <w:p w14:paraId="0F82A00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Which type of IFB accounts you have in Commercial Bank of Ethiopia?</w:t>
            </w:r>
          </w:p>
        </w:tc>
        <w:tc>
          <w:tcPr>
            <w:tcW w:w="0" w:type="auto"/>
            <w:vAlign w:val="center"/>
            <w:hideMark/>
          </w:tcPr>
          <w:p w14:paraId="21413ACE" w14:textId="77777777" w:rsidR="00315258" w:rsidRPr="00A638EC" w:rsidRDefault="00315258" w:rsidP="00315258">
            <w:pPr>
              <w:spacing w:after="0" w:line="240" w:lineRule="auto"/>
              <w:rPr>
                <w:rFonts w:ascii="Times New Roman" w:eastAsia="Times New Roman" w:hAnsi="Times New Roman" w:cs="Times New Roman"/>
                <w:sz w:val="24"/>
                <w:szCs w:val="24"/>
              </w:rPr>
            </w:pPr>
            <w:proofErr w:type="spellStart"/>
            <w:r w:rsidRPr="00A638EC">
              <w:rPr>
                <w:rFonts w:ascii="Times New Roman" w:eastAsia="Times New Roman" w:hAnsi="Times New Roman" w:cs="Times New Roman"/>
                <w:sz w:val="24"/>
                <w:szCs w:val="24"/>
              </w:rPr>
              <w:t>Wadiah</w:t>
            </w:r>
            <w:proofErr w:type="spellEnd"/>
            <w:r w:rsidRPr="00A638EC">
              <w:rPr>
                <w:rFonts w:ascii="Times New Roman" w:eastAsia="Times New Roman" w:hAnsi="Times New Roman" w:cs="Times New Roman"/>
                <w:sz w:val="24"/>
                <w:szCs w:val="24"/>
              </w:rPr>
              <w:t xml:space="preserve"> (Savings)</w:t>
            </w:r>
          </w:p>
        </w:tc>
        <w:tc>
          <w:tcPr>
            <w:tcW w:w="0" w:type="auto"/>
            <w:vAlign w:val="center"/>
            <w:hideMark/>
          </w:tcPr>
          <w:p w14:paraId="5E79AEA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190</w:t>
            </w:r>
          </w:p>
        </w:tc>
        <w:tc>
          <w:tcPr>
            <w:tcW w:w="0" w:type="auto"/>
            <w:vAlign w:val="center"/>
            <w:hideMark/>
          </w:tcPr>
          <w:p w14:paraId="7D2E10E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54.1%</w:t>
            </w:r>
          </w:p>
        </w:tc>
      </w:tr>
      <w:tr w:rsidR="00315258" w:rsidRPr="00A638EC" w14:paraId="1C0576AC" w14:textId="77777777" w:rsidTr="00315258">
        <w:trPr>
          <w:trHeight w:val="274"/>
          <w:tblCellSpacing w:w="15" w:type="dxa"/>
        </w:trPr>
        <w:tc>
          <w:tcPr>
            <w:tcW w:w="5961" w:type="dxa"/>
            <w:vMerge/>
            <w:vAlign w:val="center"/>
            <w:hideMark/>
          </w:tcPr>
          <w:p w14:paraId="2BFF2D39"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77769CE0" w14:textId="77777777" w:rsidR="00315258" w:rsidRPr="00A638EC" w:rsidRDefault="00315258" w:rsidP="00315258">
            <w:pPr>
              <w:spacing w:after="0" w:line="240" w:lineRule="auto"/>
              <w:rPr>
                <w:rFonts w:ascii="Times New Roman" w:eastAsia="Times New Roman" w:hAnsi="Times New Roman" w:cs="Times New Roman"/>
                <w:sz w:val="24"/>
                <w:szCs w:val="24"/>
              </w:rPr>
            </w:pPr>
            <w:proofErr w:type="spellStart"/>
            <w:r w:rsidRPr="00A638EC">
              <w:rPr>
                <w:rFonts w:ascii="Times New Roman" w:eastAsia="Times New Roman" w:hAnsi="Times New Roman" w:cs="Times New Roman"/>
                <w:sz w:val="24"/>
                <w:szCs w:val="24"/>
              </w:rPr>
              <w:t>Amanah</w:t>
            </w:r>
            <w:proofErr w:type="spellEnd"/>
            <w:r w:rsidRPr="00A638EC">
              <w:rPr>
                <w:rFonts w:ascii="Times New Roman" w:eastAsia="Times New Roman" w:hAnsi="Times New Roman" w:cs="Times New Roman"/>
                <w:sz w:val="24"/>
                <w:szCs w:val="24"/>
              </w:rPr>
              <w:t xml:space="preserve"> (Current)</w:t>
            </w:r>
          </w:p>
        </w:tc>
        <w:tc>
          <w:tcPr>
            <w:tcW w:w="0" w:type="auto"/>
            <w:vAlign w:val="center"/>
            <w:hideMark/>
          </w:tcPr>
          <w:p w14:paraId="1C6D2DE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96</w:t>
            </w:r>
          </w:p>
        </w:tc>
        <w:tc>
          <w:tcPr>
            <w:tcW w:w="0" w:type="auto"/>
            <w:vAlign w:val="center"/>
            <w:hideMark/>
          </w:tcPr>
          <w:p w14:paraId="2387639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27.4%</w:t>
            </w:r>
          </w:p>
        </w:tc>
      </w:tr>
      <w:tr w:rsidR="00315258" w:rsidRPr="00A638EC" w14:paraId="114439EE" w14:textId="77777777" w:rsidTr="00315258">
        <w:trPr>
          <w:trHeight w:val="259"/>
          <w:tblCellSpacing w:w="15" w:type="dxa"/>
        </w:trPr>
        <w:tc>
          <w:tcPr>
            <w:tcW w:w="5961" w:type="dxa"/>
            <w:vMerge/>
            <w:vAlign w:val="center"/>
            <w:hideMark/>
          </w:tcPr>
          <w:p w14:paraId="18A668E6"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312ECD0" w14:textId="77777777" w:rsidR="00315258" w:rsidRPr="00A638EC" w:rsidRDefault="00315258" w:rsidP="00315258">
            <w:pPr>
              <w:spacing w:after="0" w:line="240" w:lineRule="auto"/>
              <w:rPr>
                <w:rFonts w:ascii="Times New Roman" w:eastAsia="Times New Roman" w:hAnsi="Times New Roman" w:cs="Times New Roman"/>
                <w:sz w:val="24"/>
                <w:szCs w:val="24"/>
              </w:rPr>
            </w:pPr>
            <w:proofErr w:type="spellStart"/>
            <w:r w:rsidRPr="00A638EC">
              <w:rPr>
                <w:rFonts w:ascii="Times New Roman" w:eastAsia="Times New Roman" w:hAnsi="Times New Roman" w:cs="Times New Roman"/>
                <w:sz w:val="24"/>
                <w:szCs w:val="24"/>
              </w:rPr>
              <w:t>Mudarabah</w:t>
            </w:r>
            <w:proofErr w:type="spellEnd"/>
            <w:r w:rsidRPr="00A638EC">
              <w:rPr>
                <w:rFonts w:ascii="Times New Roman" w:eastAsia="Times New Roman" w:hAnsi="Times New Roman" w:cs="Times New Roman"/>
                <w:sz w:val="24"/>
                <w:szCs w:val="24"/>
              </w:rPr>
              <w:t xml:space="preserve"> (PLS)</w:t>
            </w:r>
          </w:p>
        </w:tc>
        <w:tc>
          <w:tcPr>
            <w:tcW w:w="0" w:type="auto"/>
            <w:vAlign w:val="center"/>
            <w:hideMark/>
          </w:tcPr>
          <w:p w14:paraId="4813B65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30</w:t>
            </w:r>
          </w:p>
        </w:tc>
        <w:tc>
          <w:tcPr>
            <w:tcW w:w="0" w:type="auto"/>
            <w:vAlign w:val="center"/>
            <w:hideMark/>
          </w:tcPr>
          <w:p w14:paraId="3745F13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8.5%</w:t>
            </w:r>
          </w:p>
        </w:tc>
      </w:tr>
      <w:tr w:rsidR="00315258" w:rsidRPr="00A638EC" w14:paraId="2B67176C" w14:textId="77777777" w:rsidTr="00315258">
        <w:trPr>
          <w:trHeight w:val="274"/>
          <w:tblCellSpacing w:w="15" w:type="dxa"/>
        </w:trPr>
        <w:tc>
          <w:tcPr>
            <w:tcW w:w="5961" w:type="dxa"/>
            <w:vMerge/>
            <w:vAlign w:val="center"/>
            <w:hideMark/>
          </w:tcPr>
          <w:p w14:paraId="016F1C9B"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EA9222E" w14:textId="77777777" w:rsidR="00315258" w:rsidRPr="00A638EC" w:rsidRDefault="00315258" w:rsidP="00315258">
            <w:pPr>
              <w:spacing w:after="0" w:line="240" w:lineRule="auto"/>
              <w:rPr>
                <w:rFonts w:ascii="Times New Roman" w:eastAsia="Times New Roman" w:hAnsi="Times New Roman" w:cs="Times New Roman"/>
                <w:sz w:val="24"/>
                <w:szCs w:val="24"/>
              </w:rPr>
            </w:pPr>
            <w:proofErr w:type="spellStart"/>
            <w:r w:rsidRPr="00A638EC">
              <w:rPr>
                <w:rFonts w:ascii="Times New Roman" w:eastAsia="Times New Roman" w:hAnsi="Times New Roman" w:cs="Times New Roman"/>
                <w:sz w:val="24"/>
                <w:szCs w:val="24"/>
              </w:rPr>
              <w:t>Mudarabah</w:t>
            </w:r>
            <w:proofErr w:type="spellEnd"/>
            <w:r w:rsidRPr="00A638EC">
              <w:rPr>
                <w:rFonts w:ascii="Times New Roman" w:eastAsia="Times New Roman" w:hAnsi="Times New Roman" w:cs="Times New Roman"/>
                <w:sz w:val="24"/>
                <w:szCs w:val="24"/>
              </w:rPr>
              <w:t xml:space="preserve"> (Fixed)</w:t>
            </w:r>
          </w:p>
        </w:tc>
        <w:tc>
          <w:tcPr>
            <w:tcW w:w="0" w:type="auto"/>
            <w:vAlign w:val="center"/>
            <w:hideMark/>
          </w:tcPr>
          <w:p w14:paraId="5990F73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20</w:t>
            </w:r>
          </w:p>
        </w:tc>
        <w:tc>
          <w:tcPr>
            <w:tcW w:w="0" w:type="auto"/>
            <w:vAlign w:val="center"/>
            <w:hideMark/>
          </w:tcPr>
          <w:p w14:paraId="29688FF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5.7%</w:t>
            </w:r>
          </w:p>
        </w:tc>
      </w:tr>
      <w:tr w:rsidR="00315258" w:rsidRPr="00A638EC" w14:paraId="4BCF765A" w14:textId="77777777" w:rsidTr="00315258">
        <w:trPr>
          <w:trHeight w:val="274"/>
          <w:tblCellSpacing w:w="15" w:type="dxa"/>
        </w:trPr>
        <w:tc>
          <w:tcPr>
            <w:tcW w:w="5961" w:type="dxa"/>
            <w:vMerge/>
            <w:vAlign w:val="center"/>
            <w:hideMark/>
          </w:tcPr>
          <w:p w14:paraId="2CFA6247"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C9901A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Other</w:t>
            </w:r>
          </w:p>
        </w:tc>
        <w:tc>
          <w:tcPr>
            <w:tcW w:w="0" w:type="auto"/>
            <w:vAlign w:val="center"/>
            <w:hideMark/>
          </w:tcPr>
          <w:p w14:paraId="34E2396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15</w:t>
            </w:r>
          </w:p>
        </w:tc>
        <w:tc>
          <w:tcPr>
            <w:tcW w:w="0" w:type="auto"/>
            <w:vAlign w:val="center"/>
            <w:hideMark/>
          </w:tcPr>
          <w:p w14:paraId="65C1831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4.3%</w:t>
            </w:r>
          </w:p>
        </w:tc>
      </w:tr>
    </w:tbl>
    <w:p w14:paraId="70FC48D6"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7788B86E" w14:textId="16284C06"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The results indicate that 78.9% of respondents opened accounts after IFB introduction, with the majority (52.4%) having 2-5 years of experience with IFB services. Most customers (80.1%) primarily use IFB windows, and </w:t>
      </w:r>
      <w:proofErr w:type="spellStart"/>
      <w:r w:rsidRPr="00A638EC">
        <w:rPr>
          <w:rFonts w:ascii="Times New Roman" w:eastAsia="Times New Roman" w:hAnsi="Times New Roman" w:cs="Times New Roman"/>
          <w:sz w:val="24"/>
          <w:szCs w:val="24"/>
        </w:rPr>
        <w:t>Wadiah</w:t>
      </w:r>
      <w:proofErr w:type="spellEnd"/>
      <w:r w:rsidRPr="00A638EC">
        <w:rPr>
          <w:rFonts w:ascii="Times New Roman" w:eastAsia="Times New Roman" w:hAnsi="Times New Roman" w:cs="Times New Roman"/>
          <w:sz w:val="24"/>
          <w:szCs w:val="24"/>
        </w:rPr>
        <w:t xml:space="preserve"> savings accounts are th</w:t>
      </w:r>
      <w:r w:rsidR="00BA508D">
        <w:rPr>
          <w:rFonts w:ascii="Times New Roman" w:eastAsia="Times New Roman" w:hAnsi="Times New Roman" w:cs="Times New Roman"/>
          <w:sz w:val="24"/>
          <w:szCs w:val="24"/>
        </w:rPr>
        <w:t>e most popular product (54.1%).</w:t>
      </w:r>
    </w:p>
    <w:p w14:paraId="531857AF"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4.4.3. Customer Satisfaction Levels</w:t>
      </w:r>
    </w:p>
    <w:p w14:paraId="67E8BB00"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5: Customer Satisfaction Descriptive Statistics</w:t>
      </w:r>
    </w:p>
    <w:tbl>
      <w:tblPr>
        <w:tblW w:w="10340" w:type="dxa"/>
        <w:tblCellSpacing w:w="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57"/>
        <w:gridCol w:w="1218"/>
        <w:gridCol w:w="1344"/>
        <w:gridCol w:w="1218"/>
        <w:gridCol w:w="1344"/>
        <w:gridCol w:w="1359"/>
      </w:tblGrid>
      <w:tr w:rsidR="00315258" w:rsidRPr="00A638EC" w14:paraId="1F22AD2F" w14:textId="77777777" w:rsidTr="00315258">
        <w:trPr>
          <w:trHeight w:val="245"/>
          <w:tblHeader/>
          <w:tblCellSpacing w:w="15" w:type="dxa"/>
        </w:trPr>
        <w:tc>
          <w:tcPr>
            <w:tcW w:w="3812" w:type="dxa"/>
            <w:vAlign w:val="center"/>
            <w:hideMark/>
          </w:tcPr>
          <w:p w14:paraId="665AD473"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Statement</w:t>
            </w:r>
          </w:p>
        </w:tc>
        <w:tc>
          <w:tcPr>
            <w:tcW w:w="0" w:type="auto"/>
            <w:vAlign w:val="center"/>
            <w:hideMark/>
          </w:tcPr>
          <w:p w14:paraId="45953DB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HD</w:t>
            </w:r>
          </w:p>
        </w:tc>
        <w:tc>
          <w:tcPr>
            <w:tcW w:w="0" w:type="auto"/>
            <w:vAlign w:val="center"/>
            <w:hideMark/>
          </w:tcPr>
          <w:p w14:paraId="096E15BD"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w:t>
            </w:r>
          </w:p>
        </w:tc>
        <w:tc>
          <w:tcPr>
            <w:tcW w:w="0" w:type="auto"/>
            <w:vAlign w:val="center"/>
            <w:hideMark/>
          </w:tcPr>
          <w:p w14:paraId="5F44AF3A"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N</w:t>
            </w:r>
          </w:p>
        </w:tc>
        <w:tc>
          <w:tcPr>
            <w:tcW w:w="0" w:type="auto"/>
            <w:vAlign w:val="center"/>
            <w:hideMark/>
          </w:tcPr>
          <w:p w14:paraId="69032D6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w:t>
            </w:r>
          </w:p>
        </w:tc>
        <w:tc>
          <w:tcPr>
            <w:tcW w:w="0" w:type="auto"/>
            <w:vAlign w:val="center"/>
            <w:hideMark/>
          </w:tcPr>
          <w:p w14:paraId="39F24A8C"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HS</w:t>
            </w:r>
          </w:p>
        </w:tc>
      </w:tr>
      <w:tr w:rsidR="00315258" w:rsidRPr="00A638EC" w14:paraId="24549A4A" w14:textId="77777777" w:rsidTr="00315258">
        <w:trPr>
          <w:trHeight w:val="533"/>
          <w:tblCellSpacing w:w="15" w:type="dxa"/>
        </w:trPr>
        <w:tc>
          <w:tcPr>
            <w:tcW w:w="3812" w:type="dxa"/>
            <w:vAlign w:val="center"/>
            <w:hideMark/>
          </w:tcPr>
          <w:p w14:paraId="105AB32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Satisfied with IFB service quality</w:t>
            </w:r>
          </w:p>
        </w:tc>
        <w:tc>
          <w:tcPr>
            <w:tcW w:w="0" w:type="auto"/>
            <w:vAlign w:val="center"/>
            <w:hideMark/>
          </w:tcPr>
          <w:p w14:paraId="02969E4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60 (17.1%)</w:t>
            </w:r>
          </w:p>
        </w:tc>
        <w:tc>
          <w:tcPr>
            <w:tcW w:w="0" w:type="auto"/>
            <w:vAlign w:val="center"/>
            <w:hideMark/>
          </w:tcPr>
          <w:p w14:paraId="6743DB5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216 (61.5%)</w:t>
            </w:r>
          </w:p>
        </w:tc>
        <w:tc>
          <w:tcPr>
            <w:tcW w:w="0" w:type="auto"/>
            <w:vAlign w:val="center"/>
            <w:hideMark/>
          </w:tcPr>
          <w:p w14:paraId="3142A3F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11 (3.1%)</w:t>
            </w:r>
          </w:p>
        </w:tc>
        <w:tc>
          <w:tcPr>
            <w:tcW w:w="0" w:type="auto"/>
            <w:vAlign w:val="center"/>
            <w:hideMark/>
          </w:tcPr>
          <w:p w14:paraId="6499729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56 (16.0%)</w:t>
            </w:r>
          </w:p>
        </w:tc>
        <w:tc>
          <w:tcPr>
            <w:tcW w:w="0" w:type="auto"/>
            <w:vAlign w:val="center"/>
            <w:hideMark/>
          </w:tcPr>
          <w:p w14:paraId="6DCE746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 (2.3%)</w:t>
            </w:r>
          </w:p>
        </w:tc>
      </w:tr>
      <w:tr w:rsidR="00315258" w:rsidRPr="00A638EC" w14:paraId="4D6178C1" w14:textId="77777777" w:rsidTr="00315258">
        <w:trPr>
          <w:trHeight w:val="519"/>
          <w:tblCellSpacing w:w="15" w:type="dxa"/>
        </w:trPr>
        <w:tc>
          <w:tcPr>
            <w:tcW w:w="3812" w:type="dxa"/>
            <w:vAlign w:val="center"/>
            <w:hideMark/>
          </w:tcPr>
          <w:p w14:paraId="5CAFE0E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IFB meets expectations</w:t>
            </w:r>
          </w:p>
        </w:tc>
        <w:tc>
          <w:tcPr>
            <w:tcW w:w="0" w:type="auto"/>
            <w:vAlign w:val="center"/>
            <w:hideMark/>
          </w:tcPr>
          <w:p w14:paraId="6254A7F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33 (9.4%)</w:t>
            </w:r>
          </w:p>
        </w:tc>
        <w:tc>
          <w:tcPr>
            <w:tcW w:w="0" w:type="auto"/>
            <w:vAlign w:val="center"/>
            <w:hideMark/>
          </w:tcPr>
          <w:p w14:paraId="64BD37C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194 (55.3%)</w:t>
            </w:r>
          </w:p>
        </w:tc>
        <w:tc>
          <w:tcPr>
            <w:tcW w:w="0" w:type="auto"/>
            <w:vAlign w:val="center"/>
            <w:hideMark/>
          </w:tcPr>
          <w:p w14:paraId="4A10AC5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31 (8.8%)</w:t>
            </w:r>
          </w:p>
        </w:tc>
        <w:tc>
          <w:tcPr>
            <w:tcW w:w="0" w:type="auto"/>
            <w:vAlign w:val="center"/>
            <w:hideMark/>
          </w:tcPr>
          <w:p w14:paraId="7CB0A5E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80 (22.8%)</w:t>
            </w:r>
          </w:p>
        </w:tc>
        <w:tc>
          <w:tcPr>
            <w:tcW w:w="0" w:type="auto"/>
            <w:vAlign w:val="center"/>
            <w:hideMark/>
          </w:tcPr>
          <w:p w14:paraId="1FD8708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 (3.7%)</w:t>
            </w:r>
          </w:p>
        </w:tc>
      </w:tr>
      <w:tr w:rsidR="00315258" w:rsidRPr="00A638EC" w14:paraId="1EF3405F" w14:textId="77777777" w:rsidTr="00315258">
        <w:trPr>
          <w:trHeight w:val="519"/>
          <w:tblCellSpacing w:w="15" w:type="dxa"/>
        </w:trPr>
        <w:tc>
          <w:tcPr>
            <w:tcW w:w="3812" w:type="dxa"/>
            <w:vAlign w:val="center"/>
            <w:hideMark/>
          </w:tcPr>
          <w:p w14:paraId="2F62672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Satisfied with employee service</w:t>
            </w:r>
          </w:p>
        </w:tc>
        <w:tc>
          <w:tcPr>
            <w:tcW w:w="0" w:type="auto"/>
            <w:vAlign w:val="center"/>
            <w:hideMark/>
          </w:tcPr>
          <w:p w14:paraId="6D1CBB6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91 (25.9%)</w:t>
            </w:r>
          </w:p>
        </w:tc>
        <w:tc>
          <w:tcPr>
            <w:tcW w:w="0" w:type="auto"/>
            <w:vAlign w:val="center"/>
            <w:hideMark/>
          </w:tcPr>
          <w:p w14:paraId="024E560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183 (52.1%)</w:t>
            </w:r>
          </w:p>
        </w:tc>
        <w:tc>
          <w:tcPr>
            <w:tcW w:w="0" w:type="auto"/>
            <w:vAlign w:val="center"/>
            <w:hideMark/>
          </w:tcPr>
          <w:p w14:paraId="12463A4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23 (6.6%)</w:t>
            </w:r>
          </w:p>
        </w:tc>
        <w:tc>
          <w:tcPr>
            <w:tcW w:w="0" w:type="auto"/>
            <w:vAlign w:val="center"/>
            <w:hideMark/>
          </w:tcPr>
          <w:p w14:paraId="2B37A94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44 (12.5%)</w:t>
            </w:r>
          </w:p>
        </w:tc>
        <w:tc>
          <w:tcPr>
            <w:tcW w:w="0" w:type="auto"/>
            <w:vAlign w:val="center"/>
            <w:hideMark/>
          </w:tcPr>
          <w:p w14:paraId="11665C6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 (2.8%)</w:t>
            </w:r>
          </w:p>
        </w:tc>
      </w:tr>
      <w:tr w:rsidR="00315258" w:rsidRPr="00A638EC" w14:paraId="6AF88125" w14:textId="77777777" w:rsidTr="00315258">
        <w:trPr>
          <w:trHeight w:val="519"/>
          <w:tblCellSpacing w:w="15" w:type="dxa"/>
        </w:trPr>
        <w:tc>
          <w:tcPr>
            <w:tcW w:w="3812" w:type="dxa"/>
            <w:vAlign w:val="center"/>
            <w:hideMark/>
          </w:tcPr>
          <w:p w14:paraId="74F9406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Prefer IFB over conventional</w:t>
            </w:r>
          </w:p>
        </w:tc>
        <w:tc>
          <w:tcPr>
            <w:tcW w:w="0" w:type="auto"/>
            <w:vAlign w:val="center"/>
            <w:hideMark/>
          </w:tcPr>
          <w:p w14:paraId="1928524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 (1.7%)</w:t>
            </w:r>
          </w:p>
        </w:tc>
        <w:tc>
          <w:tcPr>
            <w:tcW w:w="0" w:type="auto"/>
            <w:vAlign w:val="center"/>
            <w:hideMark/>
          </w:tcPr>
          <w:p w14:paraId="3AE899A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34 (9.7%)</w:t>
            </w:r>
          </w:p>
        </w:tc>
        <w:tc>
          <w:tcPr>
            <w:tcW w:w="0" w:type="auto"/>
            <w:vAlign w:val="center"/>
            <w:hideMark/>
          </w:tcPr>
          <w:p w14:paraId="085B4FD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 (1.7%)</w:t>
            </w:r>
          </w:p>
        </w:tc>
        <w:tc>
          <w:tcPr>
            <w:tcW w:w="0" w:type="auto"/>
            <w:vAlign w:val="center"/>
            <w:hideMark/>
          </w:tcPr>
          <w:p w14:paraId="3211EEF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204 (58.1%)</w:t>
            </w:r>
          </w:p>
        </w:tc>
        <w:tc>
          <w:tcPr>
            <w:tcW w:w="0" w:type="auto"/>
            <w:vAlign w:val="center"/>
            <w:hideMark/>
          </w:tcPr>
          <w:p w14:paraId="7508BAF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101 (28.8%)</w:t>
            </w:r>
          </w:p>
        </w:tc>
      </w:tr>
      <w:tr w:rsidR="00315258" w:rsidRPr="00A638EC" w14:paraId="0B780422" w14:textId="77777777" w:rsidTr="00315258">
        <w:trPr>
          <w:trHeight w:val="519"/>
          <w:tblCellSpacing w:w="15" w:type="dxa"/>
        </w:trPr>
        <w:tc>
          <w:tcPr>
            <w:tcW w:w="3812" w:type="dxa"/>
            <w:vAlign w:val="center"/>
            <w:hideMark/>
          </w:tcPr>
          <w:p w14:paraId="5A7F614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Overall satisfaction</w:t>
            </w:r>
          </w:p>
        </w:tc>
        <w:tc>
          <w:tcPr>
            <w:tcW w:w="0" w:type="auto"/>
            <w:vAlign w:val="center"/>
            <w:hideMark/>
          </w:tcPr>
          <w:p w14:paraId="63C4A05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70 (19.9%)</w:t>
            </w:r>
          </w:p>
        </w:tc>
        <w:tc>
          <w:tcPr>
            <w:tcW w:w="0" w:type="auto"/>
            <w:vAlign w:val="center"/>
            <w:hideMark/>
          </w:tcPr>
          <w:p w14:paraId="0948DE0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183 (52.1%)</w:t>
            </w:r>
          </w:p>
        </w:tc>
        <w:tc>
          <w:tcPr>
            <w:tcW w:w="0" w:type="auto"/>
            <w:vAlign w:val="center"/>
            <w:hideMark/>
          </w:tcPr>
          <w:p w14:paraId="4B79E4D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35 (10.0%)</w:t>
            </w:r>
          </w:p>
        </w:tc>
        <w:tc>
          <w:tcPr>
            <w:tcW w:w="0" w:type="auto"/>
            <w:vAlign w:val="center"/>
            <w:hideMark/>
          </w:tcPr>
          <w:p w14:paraId="1E4CFE7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53 (15.1%)</w:t>
            </w:r>
          </w:p>
        </w:tc>
        <w:tc>
          <w:tcPr>
            <w:tcW w:w="0" w:type="auto"/>
            <w:vAlign w:val="center"/>
            <w:hideMark/>
          </w:tcPr>
          <w:p w14:paraId="0ACA3C4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 (2.8%)</w:t>
            </w:r>
          </w:p>
        </w:tc>
      </w:tr>
    </w:tbl>
    <w:p w14:paraId="16433BA2"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iCs/>
          <w:sz w:val="24"/>
          <w:szCs w:val="24"/>
        </w:rPr>
      </w:pPr>
      <w:r w:rsidRPr="00A638EC">
        <w:rPr>
          <w:rFonts w:ascii="Times New Roman" w:eastAsia="Times New Roman" w:hAnsi="Times New Roman" w:cs="Times New Roman"/>
          <w:iCs/>
          <w:sz w:val="24"/>
          <w:szCs w:val="24"/>
        </w:rPr>
        <w:lastRenderedPageBreak/>
        <w:t>Source: compiled by researchers from SPSS Version 25 output 2025</w:t>
      </w:r>
    </w:p>
    <w:p w14:paraId="2C5380EE"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iCs/>
          <w:sz w:val="24"/>
          <w:szCs w:val="24"/>
        </w:rPr>
        <w:t>Note: HD=Highly Dissatisfied, D=Dissatisfied, N=Neutral, S=Satisfied, HS=Highly Satisfied</w:t>
      </w:r>
    </w:p>
    <w:p w14:paraId="1A860474"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descriptive results reveal that the majority of respondents (61.5%) are dissatisfied with IFB service quality, and 55.3% feel that IFB services do not meet their expectations. However, 86.9% of customers prefer IFB over conventional banking. Overall, 72.0% of respondents expressed dissatisfaction (combining "Highly Dissatisfied" and "Dissatisfied") with IFB service delivery, indicating a significant gap between customer expectations and actual service performance.</w:t>
      </w:r>
    </w:p>
    <w:p w14:paraId="22658F63"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4.5. Inferential Statistics</w:t>
      </w:r>
    </w:p>
    <w:p w14:paraId="2D3A9A1D"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4.5.1. Diagnostic Tests</w:t>
      </w:r>
    </w:p>
    <w:p w14:paraId="3C371983"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t xml:space="preserve">Before running the ordinal logistic regression model, it was necessary to check its validity through several diagnostic tests. The first assumption requires that the dependent variable be categorical or ordinal in nature, and since customer satisfaction in this study is measured using a five-point Likert scale, this assumption was not violated. </w:t>
      </w:r>
    </w:p>
    <w:p w14:paraId="28DA7B4D"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Multicollinearity Test</w:t>
      </w:r>
    </w:p>
    <w:p w14:paraId="60B9021A" w14:textId="77777777" w:rsidR="00315258"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t>The second assumption requires the absence of multicollinearity among the explanatory variables, which occurs when high inter-correlations exist between independent variables (Gujarati, 2004). As a rule of thumb, multicollinearity is detected using Tolerance and Variance Inflation Factor statistics, where tolerance values below 0.10 and VIF values above ten indicate problematic multicollinearity. Accordingly, both tolerance and VIF statistics were employed in this study to test for collinearity, and the results are presented in the following section.</w:t>
      </w:r>
    </w:p>
    <w:p w14:paraId="22F92E3D" w14:textId="77777777" w:rsidR="00BA508D" w:rsidRDefault="00BA508D"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4C6FAC82" w14:textId="77777777" w:rsidR="00BA508D" w:rsidRDefault="00BA508D"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7339C29A" w14:textId="77777777" w:rsidR="00BA508D" w:rsidRDefault="00BA508D"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09EB83D0" w14:textId="77777777" w:rsidR="00BA508D" w:rsidRPr="00A638EC" w:rsidRDefault="00BA508D"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34928413"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lastRenderedPageBreak/>
        <w:t>Table 6: Multicollinearity Diagnostics</w:t>
      </w:r>
    </w:p>
    <w:tbl>
      <w:tblPr>
        <w:tblW w:w="78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5"/>
        <w:gridCol w:w="2595"/>
        <w:gridCol w:w="1450"/>
      </w:tblGrid>
      <w:tr w:rsidR="00315258" w:rsidRPr="00A638EC" w14:paraId="5AD1B74D" w14:textId="77777777" w:rsidTr="00315258">
        <w:trPr>
          <w:trHeight w:val="211"/>
          <w:tblHeader/>
          <w:tblCellSpacing w:w="15" w:type="dxa"/>
        </w:trPr>
        <w:tc>
          <w:tcPr>
            <w:tcW w:w="0" w:type="auto"/>
            <w:vAlign w:val="center"/>
            <w:hideMark/>
          </w:tcPr>
          <w:p w14:paraId="73E1A491"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Variable</w:t>
            </w:r>
          </w:p>
        </w:tc>
        <w:tc>
          <w:tcPr>
            <w:tcW w:w="0" w:type="auto"/>
            <w:vAlign w:val="center"/>
            <w:hideMark/>
          </w:tcPr>
          <w:p w14:paraId="32733C72"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Tolerance</w:t>
            </w:r>
          </w:p>
        </w:tc>
        <w:tc>
          <w:tcPr>
            <w:tcW w:w="0" w:type="auto"/>
            <w:vAlign w:val="center"/>
            <w:hideMark/>
          </w:tcPr>
          <w:p w14:paraId="09E2BF4E"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VIF</w:t>
            </w:r>
          </w:p>
        </w:tc>
      </w:tr>
      <w:tr w:rsidR="00315258" w:rsidRPr="00A638EC" w14:paraId="12872922" w14:textId="77777777" w:rsidTr="00315258">
        <w:trPr>
          <w:trHeight w:val="223"/>
          <w:tblCellSpacing w:w="15" w:type="dxa"/>
        </w:trPr>
        <w:tc>
          <w:tcPr>
            <w:tcW w:w="0" w:type="auto"/>
            <w:vAlign w:val="center"/>
            <w:hideMark/>
          </w:tcPr>
          <w:p w14:paraId="3A71E60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Reliability</w:t>
            </w:r>
          </w:p>
        </w:tc>
        <w:tc>
          <w:tcPr>
            <w:tcW w:w="0" w:type="auto"/>
            <w:vAlign w:val="center"/>
            <w:hideMark/>
          </w:tcPr>
          <w:p w14:paraId="3E9196D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0.373</w:t>
            </w:r>
          </w:p>
        </w:tc>
        <w:tc>
          <w:tcPr>
            <w:tcW w:w="0" w:type="auto"/>
            <w:vAlign w:val="center"/>
            <w:hideMark/>
          </w:tcPr>
          <w:p w14:paraId="7253C3B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2.683</w:t>
            </w:r>
          </w:p>
        </w:tc>
      </w:tr>
      <w:tr w:rsidR="00315258" w:rsidRPr="00A638EC" w14:paraId="26EA7D17" w14:textId="77777777" w:rsidTr="00315258">
        <w:trPr>
          <w:trHeight w:val="223"/>
          <w:tblCellSpacing w:w="15" w:type="dxa"/>
        </w:trPr>
        <w:tc>
          <w:tcPr>
            <w:tcW w:w="0" w:type="auto"/>
            <w:vAlign w:val="center"/>
            <w:hideMark/>
          </w:tcPr>
          <w:p w14:paraId="6641A9E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Tangibility</w:t>
            </w:r>
          </w:p>
        </w:tc>
        <w:tc>
          <w:tcPr>
            <w:tcW w:w="0" w:type="auto"/>
            <w:vAlign w:val="center"/>
            <w:hideMark/>
          </w:tcPr>
          <w:p w14:paraId="0021129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0.678</w:t>
            </w:r>
          </w:p>
        </w:tc>
        <w:tc>
          <w:tcPr>
            <w:tcW w:w="0" w:type="auto"/>
            <w:vAlign w:val="center"/>
            <w:hideMark/>
          </w:tcPr>
          <w:p w14:paraId="0FD2D96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1.474</w:t>
            </w:r>
          </w:p>
        </w:tc>
      </w:tr>
      <w:tr w:rsidR="00315258" w:rsidRPr="00A638EC" w14:paraId="5B3DA339" w14:textId="77777777" w:rsidTr="00315258">
        <w:trPr>
          <w:trHeight w:val="223"/>
          <w:tblCellSpacing w:w="15" w:type="dxa"/>
        </w:trPr>
        <w:tc>
          <w:tcPr>
            <w:tcW w:w="0" w:type="auto"/>
            <w:vAlign w:val="center"/>
            <w:hideMark/>
          </w:tcPr>
          <w:p w14:paraId="0CCDA03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Assurance</w:t>
            </w:r>
          </w:p>
        </w:tc>
        <w:tc>
          <w:tcPr>
            <w:tcW w:w="0" w:type="auto"/>
            <w:vAlign w:val="center"/>
            <w:hideMark/>
          </w:tcPr>
          <w:p w14:paraId="47877D1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0.524</w:t>
            </w:r>
          </w:p>
        </w:tc>
        <w:tc>
          <w:tcPr>
            <w:tcW w:w="0" w:type="auto"/>
            <w:vAlign w:val="center"/>
            <w:hideMark/>
          </w:tcPr>
          <w:p w14:paraId="33D7073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1.907</w:t>
            </w:r>
          </w:p>
        </w:tc>
      </w:tr>
      <w:tr w:rsidR="00315258" w:rsidRPr="00A638EC" w14:paraId="0F969AD9" w14:textId="77777777" w:rsidTr="00315258">
        <w:trPr>
          <w:trHeight w:val="211"/>
          <w:tblCellSpacing w:w="15" w:type="dxa"/>
        </w:trPr>
        <w:tc>
          <w:tcPr>
            <w:tcW w:w="0" w:type="auto"/>
            <w:vAlign w:val="center"/>
            <w:hideMark/>
          </w:tcPr>
          <w:p w14:paraId="66ABA96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Compliance</w:t>
            </w:r>
          </w:p>
        </w:tc>
        <w:tc>
          <w:tcPr>
            <w:tcW w:w="0" w:type="auto"/>
            <w:vAlign w:val="center"/>
            <w:hideMark/>
          </w:tcPr>
          <w:p w14:paraId="628EE39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0.591</w:t>
            </w:r>
          </w:p>
        </w:tc>
        <w:tc>
          <w:tcPr>
            <w:tcW w:w="0" w:type="auto"/>
            <w:vAlign w:val="center"/>
            <w:hideMark/>
          </w:tcPr>
          <w:p w14:paraId="1EBE8F9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1.693</w:t>
            </w:r>
          </w:p>
        </w:tc>
      </w:tr>
      <w:tr w:rsidR="00315258" w:rsidRPr="00A638EC" w14:paraId="2B581AAA" w14:textId="77777777" w:rsidTr="00315258">
        <w:trPr>
          <w:trHeight w:val="223"/>
          <w:tblCellSpacing w:w="15" w:type="dxa"/>
        </w:trPr>
        <w:tc>
          <w:tcPr>
            <w:tcW w:w="0" w:type="auto"/>
            <w:vAlign w:val="center"/>
            <w:hideMark/>
          </w:tcPr>
          <w:p w14:paraId="1FBF434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Responsiveness</w:t>
            </w:r>
          </w:p>
        </w:tc>
        <w:tc>
          <w:tcPr>
            <w:tcW w:w="0" w:type="auto"/>
            <w:vAlign w:val="center"/>
            <w:hideMark/>
          </w:tcPr>
          <w:p w14:paraId="07841F4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0.495</w:t>
            </w:r>
          </w:p>
        </w:tc>
        <w:tc>
          <w:tcPr>
            <w:tcW w:w="0" w:type="auto"/>
            <w:vAlign w:val="center"/>
            <w:hideMark/>
          </w:tcPr>
          <w:p w14:paraId="72B1D57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2.022</w:t>
            </w:r>
          </w:p>
        </w:tc>
      </w:tr>
      <w:tr w:rsidR="00315258" w:rsidRPr="00A638EC" w14:paraId="67DD467B" w14:textId="77777777" w:rsidTr="00315258">
        <w:trPr>
          <w:trHeight w:val="223"/>
          <w:tblCellSpacing w:w="15" w:type="dxa"/>
        </w:trPr>
        <w:tc>
          <w:tcPr>
            <w:tcW w:w="0" w:type="auto"/>
            <w:vAlign w:val="center"/>
            <w:hideMark/>
          </w:tcPr>
          <w:p w14:paraId="6E03C82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Empathy</w:t>
            </w:r>
          </w:p>
        </w:tc>
        <w:tc>
          <w:tcPr>
            <w:tcW w:w="0" w:type="auto"/>
            <w:vAlign w:val="center"/>
            <w:hideMark/>
          </w:tcPr>
          <w:p w14:paraId="22220BD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0.458</w:t>
            </w:r>
          </w:p>
        </w:tc>
        <w:tc>
          <w:tcPr>
            <w:tcW w:w="0" w:type="auto"/>
            <w:vAlign w:val="center"/>
            <w:hideMark/>
          </w:tcPr>
          <w:p w14:paraId="0F2DB74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2.183</w:t>
            </w:r>
          </w:p>
        </w:tc>
      </w:tr>
      <w:tr w:rsidR="00315258" w:rsidRPr="00A638EC" w14:paraId="4FCE9157" w14:textId="77777777" w:rsidTr="00315258">
        <w:trPr>
          <w:trHeight w:val="211"/>
          <w:tblCellSpacing w:w="15" w:type="dxa"/>
        </w:trPr>
        <w:tc>
          <w:tcPr>
            <w:tcW w:w="0" w:type="auto"/>
            <w:vAlign w:val="center"/>
            <w:hideMark/>
          </w:tcPr>
          <w:p w14:paraId="2EE5CA2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Accessibility</w:t>
            </w:r>
          </w:p>
        </w:tc>
        <w:tc>
          <w:tcPr>
            <w:tcW w:w="0" w:type="auto"/>
            <w:vAlign w:val="center"/>
            <w:hideMark/>
          </w:tcPr>
          <w:p w14:paraId="4089227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0.548</w:t>
            </w:r>
          </w:p>
        </w:tc>
        <w:tc>
          <w:tcPr>
            <w:tcW w:w="0" w:type="auto"/>
            <w:vAlign w:val="center"/>
            <w:hideMark/>
          </w:tcPr>
          <w:p w14:paraId="67FC297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1.825</w:t>
            </w:r>
          </w:p>
        </w:tc>
      </w:tr>
    </w:tbl>
    <w:p w14:paraId="42AAA6C6"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27CCD08C"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All tolerance values exceed 0.10, and all VIF values are below 10, indicating no multicollinearity concerns (Gujarati, 2004).</w:t>
      </w:r>
    </w:p>
    <w:p w14:paraId="776963CC"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Proportional Odds Assumption</w:t>
      </w:r>
    </w:p>
    <w:p w14:paraId="3DE30868" w14:textId="622101AB"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third assumption of ordinal logistic regression is the proportional odds assumption, also known as the test of parallel lines, which requires that the effects of explanatory variables are consistent across different thresholds of the dependent variable meaning each variable exerts the same infl</w:t>
      </w:r>
      <w:r w:rsidR="00F74615">
        <w:rPr>
          <w:rFonts w:ascii="Times New Roman" w:eastAsia="Times New Roman" w:hAnsi="Times New Roman" w:cs="Times New Roman"/>
          <w:sz w:val="24"/>
          <w:szCs w:val="24"/>
        </w:rPr>
        <w:t xml:space="preserve">uence on each cumulative logit. </w:t>
      </w:r>
      <w:r w:rsidRPr="00A638EC">
        <w:rPr>
          <w:rFonts w:ascii="Times New Roman" w:eastAsia="Times New Roman" w:hAnsi="Times New Roman" w:cs="Times New Roman"/>
          <w:sz w:val="24"/>
          <w:szCs w:val="24"/>
        </w:rPr>
        <w:t>This assumption is satisfied when the test of parallel lines yields an insignificant result (p &gt; 0.05), while a significant result (p &lt; 0.05) indicates violation. In this study, the test of parallel lines produced a significance value of 1.000, which is well above the 0.05 threshold, confirming that the proportional odds assumption was not violated. Therefore, the ordinal logistic regression model employed in this</w:t>
      </w:r>
      <w:r w:rsidR="00BA508D">
        <w:rPr>
          <w:rFonts w:ascii="Times New Roman" w:eastAsia="Times New Roman" w:hAnsi="Times New Roman" w:cs="Times New Roman"/>
          <w:sz w:val="24"/>
          <w:szCs w:val="24"/>
        </w:rPr>
        <w:t xml:space="preserve"> study is appropriately fitted.</w:t>
      </w:r>
    </w:p>
    <w:p w14:paraId="49C64530"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 xml:space="preserve">Table 7: Test of Parallel </w:t>
      </w:r>
      <w:proofErr w:type="spellStart"/>
      <w:r w:rsidRPr="00A638EC">
        <w:rPr>
          <w:rFonts w:ascii="Times New Roman" w:eastAsia="Times New Roman" w:hAnsi="Times New Roman" w:cs="Times New Roman"/>
          <w:b/>
          <w:bCs/>
          <w:sz w:val="24"/>
          <w:szCs w:val="24"/>
        </w:rPr>
        <w:t>Lines</w:t>
      </w:r>
      <w:r w:rsidRPr="00A638EC">
        <w:rPr>
          <w:rFonts w:ascii="Times New Roman" w:eastAsia="Times New Roman" w:hAnsi="Times New Roman" w:cs="Times New Roman"/>
          <w:b/>
          <w:bCs/>
          <w:sz w:val="24"/>
          <w:szCs w:val="24"/>
          <w:vertAlign w:val="superscript"/>
        </w:rPr>
        <w:t>a</w:t>
      </w:r>
      <w:proofErr w:type="spellEnd"/>
    </w:p>
    <w:tbl>
      <w:tblPr>
        <w:tblW w:w="707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2"/>
        <w:gridCol w:w="2349"/>
        <w:gridCol w:w="1557"/>
        <w:gridCol w:w="356"/>
        <w:gridCol w:w="773"/>
      </w:tblGrid>
      <w:tr w:rsidR="00315258" w:rsidRPr="00A638EC" w14:paraId="7B0D20C6" w14:textId="77777777" w:rsidTr="00315258">
        <w:trPr>
          <w:trHeight w:val="268"/>
          <w:tblHeader/>
          <w:tblCellSpacing w:w="15" w:type="dxa"/>
        </w:trPr>
        <w:tc>
          <w:tcPr>
            <w:tcW w:w="0" w:type="auto"/>
            <w:vAlign w:val="center"/>
            <w:hideMark/>
          </w:tcPr>
          <w:p w14:paraId="5659203F"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Model</w:t>
            </w:r>
          </w:p>
        </w:tc>
        <w:tc>
          <w:tcPr>
            <w:tcW w:w="0" w:type="auto"/>
            <w:vAlign w:val="center"/>
            <w:hideMark/>
          </w:tcPr>
          <w:p w14:paraId="3436FA9D"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-2 Log Likelihood</w:t>
            </w:r>
          </w:p>
        </w:tc>
        <w:tc>
          <w:tcPr>
            <w:tcW w:w="0" w:type="auto"/>
            <w:vAlign w:val="center"/>
            <w:hideMark/>
          </w:tcPr>
          <w:p w14:paraId="3C3917D3"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Chi-Square</w:t>
            </w:r>
          </w:p>
        </w:tc>
        <w:tc>
          <w:tcPr>
            <w:tcW w:w="0" w:type="auto"/>
            <w:vAlign w:val="center"/>
            <w:hideMark/>
          </w:tcPr>
          <w:p w14:paraId="7553DBB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df</w:t>
            </w:r>
          </w:p>
        </w:tc>
        <w:tc>
          <w:tcPr>
            <w:tcW w:w="0" w:type="auto"/>
            <w:vAlign w:val="center"/>
            <w:hideMark/>
          </w:tcPr>
          <w:p w14:paraId="2D218C39"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r>
      <w:tr w:rsidR="00315258" w:rsidRPr="00A638EC" w14:paraId="1CBC56F3" w14:textId="77777777" w:rsidTr="00315258">
        <w:trPr>
          <w:trHeight w:val="284"/>
          <w:tblCellSpacing w:w="15" w:type="dxa"/>
        </w:trPr>
        <w:tc>
          <w:tcPr>
            <w:tcW w:w="0" w:type="auto"/>
            <w:vAlign w:val="center"/>
            <w:hideMark/>
          </w:tcPr>
          <w:p w14:paraId="41AF435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Null Hypothesis</w:t>
            </w:r>
          </w:p>
        </w:tc>
        <w:tc>
          <w:tcPr>
            <w:tcW w:w="0" w:type="auto"/>
            <w:vAlign w:val="center"/>
            <w:hideMark/>
          </w:tcPr>
          <w:p w14:paraId="7BB8354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30.793</w:t>
            </w:r>
          </w:p>
        </w:tc>
        <w:tc>
          <w:tcPr>
            <w:tcW w:w="0" w:type="auto"/>
            <w:vAlign w:val="center"/>
            <w:hideMark/>
          </w:tcPr>
          <w:p w14:paraId="64E1C81A"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4C67479" w14:textId="77777777" w:rsidR="00315258" w:rsidRPr="00A638EC" w:rsidRDefault="00315258" w:rsidP="00315258">
            <w:pPr>
              <w:spacing w:after="0" w:line="240" w:lineRule="auto"/>
              <w:rPr>
                <w:rFonts w:ascii="Times New Roman" w:eastAsia="Times New Roman" w:hAnsi="Times New Roman" w:cs="Times New Roman"/>
                <w:sz w:val="20"/>
                <w:szCs w:val="20"/>
              </w:rPr>
            </w:pPr>
          </w:p>
        </w:tc>
        <w:tc>
          <w:tcPr>
            <w:tcW w:w="0" w:type="auto"/>
            <w:vAlign w:val="center"/>
            <w:hideMark/>
          </w:tcPr>
          <w:p w14:paraId="0C6F166F" w14:textId="77777777" w:rsidR="00315258" w:rsidRPr="00A638EC" w:rsidRDefault="00315258" w:rsidP="00315258">
            <w:pPr>
              <w:spacing w:after="0" w:line="240" w:lineRule="auto"/>
              <w:rPr>
                <w:rFonts w:ascii="Times New Roman" w:eastAsia="Times New Roman" w:hAnsi="Times New Roman" w:cs="Times New Roman"/>
                <w:sz w:val="20"/>
                <w:szCs w:val="20"/>
              </w:rPr>
            </w:pPr>
          </w:p>
        </w:tc>
      </w:tr>
      <w:tr w:rsidR="00315258" w:rsidRPr="00A638EC" w14:paraId="2E74D642" w14:textId="77777777" w:rsidTr="00315258">
        <w:trPr>
          <w:trHeight w:val="284"/>
          <w:tblCellSpacing w:w="15" w:type="dxa"/>
        </w:trPr>
        <w:tc>
          <w:tcPr>
            <w:tcW w:w="0" w:type="auto"/>
            <w:vAlign w:val="center"/>
            <w:hideMark/>
          </w:tcPr>
          <w:p w14:paraId="00606BB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General</w:t>
            </w:r>
          </w:p>
        </w:tc>
        <w:tc>
          <w:tcPr>
            <w:tcW w:w="0" w:type="auto"/>
            <w:vAlign w:val="center"/>
            <w:hideMark/>
          </w:tcPr>
          <w:p w14:paraId="0E11113E" w14:textId="77777777" w:rsidR="00315258" w:rsidRPr="00A638EC" w:rsidRDefault="00315258" w:rsidP="00315258">
            <w:pPr>
              <w:spacing w:after="0" w:line="240" w:lineRule="auto"/>
              <w:rPr>
                <w:rFonts w:ascii="Times New Roman" w:eastAsia="Times New Roman" w:hAnsi="Times New Roman" w:cs="Times New Roman"/>
                <w:b/>
                <w:sz w:val="24"/>
                <w:szCs w:val="24"/>
              </w:rPr>
            </w:pPr>
            <w:r w:rsidRPr="00A638EC">
              <w:rPr>
                <w:rFonts w:ascii="Times New Roman" w:eastAsia="Times New Roman" w:hAnsi="Times New Roman" w:cs="Times New Roman"/>
                <w:sz w:val="24"/>
                <w:szCs w:val="24"/>
              </w:rPr>
              <w:t>28.906</w:t>
            </w:r>
            <w:r w:rsidRPr="00A638EC">
              <w:rPr>
                <w:rFonts w:ascii="Times New Roman" w:eastAsia="Times New Roman" w:hAnsi="Times New Roman" w:cs="Times New Roman"/>
                <w:b/>
                <w:sz w:val="24"/>
                <w:szCs w:val="24"/>
                <w:vertAlign w:val="superscript"/>
              </w:rPr>
              <w:t>b</w:t>
            </w:r>
          </w:p>
        </w:tc>
        <w:tc>
          <w:tcPr>
            <w:tcW w:w="0" w:type="auto"/>
            <w:vAlign w:val="center"/>
            <w:hideMark/>
          </w:tcPr>
          <w:p w14:paraId="3FCF2F1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0.887</w:t>
            </w:r>
          </w:p>
        </w:tc>
        <w:tc>
          <w:tcPr>
            <w:tcW w:w="0" w:type="auto"/>
            <w:vAlign w:val="center"/>
            <w:hideMark/>
          </w:tcPr>
          <w:p w14:paraId="0A4F97E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2A843F1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1.000</w:t>
            </w:r>
          </w:p>
        </w:tc>
      </w:tr>
    </w:tbl>
    <w:p w14:paraId="534C5C58"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337F88EA"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null hypothesis states that the location parameters (slope coefficients) are the same across response categories.</w:t>
      </w:r>
    </w:p>
    <w:p w14:paraId="3EB456E5"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lastRenderedPageBreak/>
        <w:t>a. Link function: Logit.</w:t>
      </w:r>
    </w:p>
    <w:p w14:paraId="27765986"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b. The log-likelihood value is practically zero. There may be a complete separation in the data. The maximum likelihood estimates do not exist.</w:t>
      </w:r>
    </w:p>
    <w:p w14:paraId="0255245A"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insignificant result (p=1.000 &gt; 0.05) indicates that the proportional odds assumption is satisfied.</w:t>
      </w:r>
    </w:p>
    <w:p w14:paraId="17604CCA"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Goodness-of-Fit</w:t>
      </w:r>
    </w:p>
    <w:p w14:paraId="646EAEC9"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fourth assumption concerns the goodness-of-fit of the model, which was assessed using the Pearson and Deviance statistics. These tests evaluate whether there is a significant difference between the observed and expected values, with insignificant results (p &gt; 0.05) indicating a well-fitting model. As shown in Table 8, both the Pearson (p = 0.971) and Deviance (p = 0.948) tests produced significance values well above the 0.05 threshold. This confirms that the ordinal logistic regression model used in this study fits the data well and is appropriate for examining the effect of IFB service quality on customer satisfaction in the study area.</w:t>
      </w:r>
    </w:p>
    <w:p w14:paraId="053437DB"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8: Goodness-of-Fit Statistics</w:t>
      </w:r>
    </w:p>
    <w:tbl>
      <w:tblPr>
        <w:tblW w:w="75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2879"/>
        <w:gridCol w:w="974"/>
        <w:gridCol w:w="1404"/>
      </w:tblGrid>
      <w:tr w:rsidR="00315258" w:rsidRPr="00A638EC" w14:paraId="268C4374" w14:textId="77777777" w:rsidTr="00315258">
        <w:trPr>
          <w:trHeight w:val="224"/>
          <w:tblHeader/>
          <w:tblCellSpacing w:w="15" w:type="dxa"/>
        </w:trPr>
        <w:tc>
          <w:tcPr>
            <w:tcW w:w="0" w:type="auto"/>
            <w:vAlign w:val="center"/>
            <w:hideMark/>
          </w:tcPr>
          <w:p w14:paraId="3F4F7013"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658B667C"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Chi-Square</w:t>
            </w:r>
          </w:p>
        </w:tc>
        <w:tc>
          <w:tcPr>
            <w:tcW w:w="0" w:type="auto"/>
            <w:vAlign w:val="center"/>
            <w:hideMark/>
          </w:tcPr>
          <w:p w14:paraId="2FE79E3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df</w:t>
            </w:r>
          </w:p>
        </w:tc>
        <w:tc>
          <w:tcPr>
            <w:tcW w:w="0" w:type="auto"/>
            <w:vAlign w:val="center"/>
            <w:hideMark/>
          </w:tcPr>
          <w:p w14:paraId="63AE0896"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r>
      <w:tr w:rsidR="00315258" w:rsidRPr="00A638EC" w14:paraId="7E370FCE" w14:textId="77777777" w:rsidTr="00315258">
        <w:trPr>
          <w:trHeight w:val="237"/>
          <w:tblCellSpacing w:w="15" w:type="dxa"/>
        </w:trPr>
        <w:tc>
          <w:tcPr>
            <w:tcW w:w="0" w:type="auto"/>
            <w:vAlign w:val="center"/>
            <w:hideMark/>
          </w:tcPr>
          <w:p w14:paraId="6E046E4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Pearson</w:t>
            </w:r>
          </w:p>
        </w:tc>
        <w:tc>
          <w:tcPr>
            <w:tcW w:w="0" w:type="auto"/>
            <w:vAlign w:val="center"/>
            <w:hideMark/>
          </w:tcPr>
          <w:p w14:paraId="3B06F83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104.713</w:t>
            </w:r>
          </w:p>
        </w:tc>
        <w:tc>
          <w:tcPr>
            <w:tcW w:w="0" w:type="auto"/>
            <w:vAlign w:val="center"/>
            <w:hideMark/>
          </w:tcPr>
          <w:p w14:paraId="156D948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134</w:t>
            </w:r>
          </w:p>
        </w:tc>
        <w:tc>
          <w:tcPr>
            <w:tcW w:w="0" w:type="auto"/>
            <w:vAlign w:val="center"/>
            <w:hideMark/>
          </w:tcPr>
          <w:p w14:paraId="27E7AF2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0.971</w:t>
            </w:r>
          </w:p>
        </w:tc>
      </w:tr>
      <w:tr w:rsidR="00315258" w:rsidRPr="00A638EC" w14:paraId="6AF88006" w14:textId="77777777" w:rsidTr="00315258">
        <w:trPr>
          <w:trHeight w:val="237"/>
          <w:tblCellSpacing w:w="15" w:type="dxa"/>
        </w:trPr>
        <w:tc>
          <w:tcPr>
            <w:tcW w:w="0" w:type="auto"/>
            <w:vAlign w:val="center"/>
            <w:hideMark/>
          </w:tcPr>
          <w:p w14:paraId="21664B3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Deviance</w:t>
            </w:r>
          </w:p>
        </w:tc>
        <w:tc>
          <w:tcPr>
            <w:tcW w:w="0" w:type="auto"/>
            <w:vAlign w:val="center"/>
            <w:hideMark/>
          </w:tcPr>
          <w:p w14:paraId="6C60871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108.556</w:t>
            </w:r>
          </w:p>
        </w:tc>
        <w:tc>
          <w:tcPr>
            <w:tcW w:w="0" w:type="auto"/>
            <w:vAlign w:val="center"/>
            <w:hideMark/>
          </w:tcPr>
          <w:p w14:paraId="4E2AB4A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134</w:t>
            </w:r>
          </w:p>
        </w:tc>
        <w:tc>
          <w:tcPr>
            <w:tcW w:w="0" w:type="auto"/>
            <w:vAlign w:val="center"/>
            <w:hideMark/>
          </w:tcPr>
          <w:p w14:paraId="5762237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0.948</w:t>
            </w:r>
          </w:p>
        </w:tc>
      </w:tr>
    </w:tbl>
    <w:p w14:paraId="5A544B8E"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6EE37DA5"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Both tests show insignificant results (p&gt;0.05), indicating the model fits the data well.</w:t>
      </w:r>
    </w:p>
    <w:p w14:paraId="285814D6"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p>
    <w:p w14:paraId="56240CD0"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Model Fitting Information</w:t>
      </w:r>
    </w:p>
    <w:p w14:paraId="400C74CF"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The fifth assumption concerns the overall model fit, which assesses whether the selected model with all predictors significantly outperforms a null model with no independent variables. Before examining individual coefficients, an overall test of the proposed null hypotheses was conducted to determine the aggregate statistical significance of the model. This was achieved using the model fitting information based on the -2 log-likelihood Chi-square distribution. A significant Chi-square value (p &lt; 0.05) indicates that the inclusion of predictor variables significantly improves the </w:t>
      </w:r>
      <w:r w:rsidRPr="00A638EC">
        <w:rPr>
          <w:rFonts w:ascii="Times New Roman" w:eastAsia="Times New Roman" w:hAnsi="Times New Roman" w:cs="Times New Roman"/>
          <w:sz w:val="24"/>
          <w:szCs w:val="24"/>
        </w:rPr>
        <w:lastRenderedPageBreak/>
        <w:t>model's ability to predict the outcome variable compared to the intercept-only model. The results of this test are presented in Table 9.</w:t>
      </w:r>
    </w:p>
    <w:p w14:paraId="38E9FC98"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9: Model Fitting Information</w:t>
      </w:r>
    </w:p>
    <w:tbl>
      <w:tblPr>
        <w:tblW w:w="736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1"/>
        <w:gridCol w:w="2511"/>
        <w:gridCol w:w="1664"/>
        <w:gridCol w:w="413"/>
        <w:gridCol w:w="824"/>
      </w:tblGrid>
      <w:tr w:rsidR="00315258" w:rsidRPr="00A638EC" w14:paraId="105EE6F1" w14:textId="77777777" w:rsidTr="00315258">
        <w:trPr>
          <w:trHeight w:val="230"/>
          <w:tblHeader/>
          <w:tblCellSpacing w:w="15" w:type="dxa"/>
        </w:trPr>
        <w:tc>
          <w:tcPr>
            <w:tcW w:w="0" w:type="auto"/>
            <w:vAlign w:val="center"/>
            <w:hideMark/>
          </w:tcPr>
          <w:p w14:paraId="038C336E"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Model</w:t>
            </w:r>
          </w:p>
        </w:tc>
        <w:tc>
          <w:tcPr>
            <w:tcW w:w="0" w:type="auto"/>
            <w:vAlign w:val="center"/>
            <w:hideMark/>
          </w:tcPr>
          <w:p w14:paraId="349DBF21"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-2 Log Likelihood</w:t>
            </w:r>
          </w:p>
        </w:tc>
        <w:tc>
          <w:tcPr>
            <w:tcW w:w="0" w:type="auto"/>
            <w:vAlign w:val="center"/>
            <w:hideMark/>
          </w:tcPr>
          <w:p w14:paraId="22BA295C"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Chi-Square</w:t>
            </w:r>
          </w:p>
        </w:tc>
        <w:tc>
          <w:tcPr>
            <w:tcW w:w="0" w:type="auto"/>
            <w:vAlign w:val="center"/>
            <w:hideMark/>
          </w:tcPr>
          <w:p w14:paraId="5AD17620"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df</w:t>
            </w:r>
          </w:p>
        </w:tc>
        <w:tc>
          <w:tcPr>
            <w:tcW w:w="0" w:type="auto"/>
            <w:vAlign w:val="center"/>
            <w:hideMark/>
          </w:tcPr>
          <w:p w14:paraId="30ADA34F"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r>
      <w:tr w:rsidR="00315258" w:rsidRPr="00A638EC" w14:paraId="4B43CEFD" w14:textId="77777777" w:rsidTr="00315258">
        <w:trPr>
          <w:trHeight w:val="244"/>
          <w:tblCellSpacing w:w="15" w:type="dxa"/>
        </w:trPr>
        <w:tc>
          <w:tcPr>
            <w:tcW w:w="0" w:type="auto"/>
            <w:vAlign w:val="center"/>
            <w:hideMark/>
          </w:tcPr>
          <w:p w14:paraId="23CE6BD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Intercept Only</w:t>
            </w:r>
          </w:p>
        </w:tc>
        <w:tc>
          <w:tcPr>
            <w:tcW w:w="0" w:type="auto"/>
            <w:vAlign w:val="center"/>
            <w:hideMark/>
          </w:tcPr>
          <w:p w14:paraId="410BEB1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322.784</w:t>
            </w:r>
          </w:p>
        </w:tc>
        <w:tc>
          <w:tcPr>
            <w:tcW w:w="0" w:type="auto"/>
            <w:vAlign w:val="center"/>
            <w:hideMark/>
          </w:tcPr>
          <w:p w14:paraId="01470FAD"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E31216A" w14:textId="77777777" w:rsidR="00315258" w:rsidRPr="00A638EC" w:rsidRDefault="00315258" w:rsidP="00315258">
            <w:pPr>
              <w:spacing w:after="0" w:line="240" w:lineRule="auto"/>
              <w:rPr>
                <w:rFonts w:ascii="Times New Roman" w:eastAsia="Times New Roman" w:hAnsi="Times New Roman" w:cs="Times New Roman"/>
                <w:sz w:val="20"/>
                <w:szCs w:val="20"/>
              </w:rPr>
            </w:pPr>
          </w:p>
        </w:tc>
        <w:tc>
          <w:tcPr>
            <w:tcW w:w="0" w:type="auto"/>
            <w:vAlign w:val="center"/>
            <w:hideMark/>
          </w:tcPr>
          <w:p w14:paraId="5DDB9083" w14:textId="77777777" w:rsidR="00315258" w:rsidRPr="00A638EC" w:rsidRDefault="00315258" w:rsidP="00315258">
            <w:pPr>
              <w:spacing w:after="0" w:line="240" w:lineRule="auto"/>
              <w:rPr>
                <w:rFonts w:ascii="Times New Roman" w:eastAsia="Times New Roman" w:hAnsi="Times New Roman" w:cs="Times New Roman"/>
                <w:sz w:val="20"/>
                <w:szCs w:val="20"/>
              </w:rPr>
            </w:pPr>
          </w:p>
        </w:tc>
      </w:tr>
      <w:tr w:rsidR="00315258" w:rsidRPr="00A638EC" w14:paraId="6D6E0EC6" w14:textId="77777777" w:rsidTr="00315258">
        <w:trPr>
          <w:trHeight w:val="244"/>
          <w:tblCellSpacing w:w="15" w:type="dxa"/>
        </w:trPr>
        <w:tc>
          <w:tcPr>
            <w:tcW w:w="0" w:type="auto"/>
            <w:vAlign w:val="center"/>
            <w:hideMark/>
          </w:tcPr>
          <w:p w14:paraId="0368968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Final</w:t>
            </w:r>
          </w:p>
        </w:tc>
        <w:tc>
          <w:tcPr>
            <w:tcW w:w="0" w:type="auto"/>
            <w:vAlign w:val="center"/>
            <w:hideMark/>
          </w:tcPr>
          <w:p w14:paraId="5E6391F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288.600</w:t>
            </w:r>
          </w:p>
        </w:tc>
        <w:tc>
          <w:tcPr>
            <w:tcW w:w="0" w:type="auto"/>
            <w:vAlign w:val="center"/>
            <w:hideMark/>
          </w:tcPr>
          <w:p w14:paraId="2CE43B5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34.183</w:t>
            </w:r>
          </w:p>
        </w:tc>
        <w:tc>
          <w:tcPr>
            <w:tcW w:w="0" w:type="auto"/>
            <w:vAlign w:val="center"/>
            <w:hideMark/>
          </w:tcPr>
          <w:p w14:paraId="4AC4C3A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80</w:t>
            </w:r>
          </w:p>
        </w:tc>
        <w:tc>
          <w:tcPr>
            <w:tcW w:w="0" w:type="auto"/>
            <w:vAlign w:val="center"/>
            <w:hideMark/>
          </w:tcPr>
          <w:p w14:paraId="7991E79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r>
    </w:tbl>
    <w:p w14:paraId="3239C56E"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6D57DE68"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significant Chi-square (p&lt;0.01) indicates that the final model with predictors is significantly better than the intercept-only model.</w:t>
      </w:r>
    </w:p>
    <w:p w14:paraId="5EFC26A1"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4.5.2. Correlation Analysis</w:t>
      </w:r>
    </w:p>
    <w:p w14:paraId="0A62C93B"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t>According to Reimann et al. (2008), correlation coefficient analysis estimates the extent, direction, and strength of the relationship between any pair of variables, with values ranging from -1 to +1 where ±1 indicates a perfect positive or negative relationship, and 0 indicates no relationship. The main objective of correlation analysis is to measure the existence, direction, and level of association between dependent and independent variables. In this study, Spearman's rank correlation coefficient was employed to examine the relationship between IFB service quality dimensions (independent variables) and customer satisfaction (dependent variable). This test was chosen because the dependent variable customer satisfaction is categorical and ordinal in nature, measured on a five-point Likert scale. The results of the Spearman's correlation analysis are presented in the following table.</w:t>
      </w:r>
    </w:p>
    <w:p w14:paraId="0ACE8EA4"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Table 10: Spearman's Rank Correlation Coefficients</w:t>
      </w:r>
    </w:p>
    <w:tbl>
      <w:tblPr>
        <w:tblW w:w="10293" w:type="dxa"/>
        <w:tblInd w:w="-270" w:type="dxa"/>
        <w:tblBorders>
          <w:top w:val="single" w:sz="4" w:space="0" w:color="auto"/>
          <w:bottom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796"/>
        <w:gridCol w:w="1517"/>
        <w:gridCol w:w="916"/>
        <w:gridCol w:w="820"/>
        <w:gridCol w:w="847"/>
        <w:gridCol w:w="886"/>
        <w:gridCol w:w="915"/>
        <w:gridCol w:w="915"/>
        <w:gridCol w:w="762"/>
        <w:gridCol w:w="919"/>
      </w:tblGrid>
      <w:tr w:rsidR="00315258" w:rsidRPr="00A638EC" w14:paraId="6B6C87AC" w14:textId="77777777" w:rsidTr="00315258">
        <w:trPr>
          <w:cantSplit/>
          <w:trHeight w:val="290"/>
        </w:trPr>
        <w:tc>
          <w:tcPr>
            <w:tcW w:w="10293" w:type="dxa"/>
            <w:gridSpan w:val="10"/>
            <w:tcBorders>
              <w:top w:val="single" w:sz="12" w:space="0" w:color="00B050"/>
              <w:left w:val="nil"/>
              <w:bottom w:val="nil"/>
              <w:right w:val="nil"/>
            </w:tcBorders>
            <w:shd w:val="clear" w:color="auto" w:fill="FFFFFF"/>
            <w:vAlign w:val="center"/>
          </w:tcPr>
          <w:p w14:paraId="3142D184" w14:textId="77777777" w:rsidR="00315258" w:rsidRPr="00A638EC" w:rsidRDefault="00315258" w:rsidP="00315258">
            <w:pPr>
              <w:tabs>
                <w:tab w:val="left" w:pos="1530"/>
              </w:tabs>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i/>
                <w:iCs/>
                <w:color w:val="000000"/>
                <w:sz w:val="24"/>
                <w:szCs w:val="24"/>
              </w:rPr>
              <w:t>Correlations</w:t>
            </w:r>
          </w:p>
        </w:tc>
      </w:tr>
      <w:tr w:rsidR="00315258" w:rsidRPr="00A638EC" w14:paraId="698E4B2E" w14:textId="77777777" w:rsidTr="00315258">
        <w:trPr>
          <w:cantSplit/>
          <w:trHeight w:val="169"/>
        </w:trPr>
        <w:tc>
          <w:tcPr>
            <w:tcW w:w="3313" w:type="dxa"/>
            <w:gridSpan w:val="2"/>
            <w:tcBorders>
              <w:top w:val="nil"/>
              <w:left w:val="nil"/>
              <w:bottom w:val="single" w:sz="12" w:space="0" w:color="00B050"/>
            </w:tcBorders>
            <w:shd w:val="clear" w:color="auto" w:fill="FFFFFF"/>
            <w:vAlign w:val="bottom"/>
          </w:tcPr>
          <w:p w14:paraId="3D9DBFB4" w14:textId="77777777" w:rsidR="00315258" w:rsidRPr="00A638EC" w:rsidRDefault="00315258" w:rsidP="00315258">
            <w:pPr>
              <w:autoSpaceDE w:val="0"/>
              <w:autoSpaceDN w:val="0"/>
              <w:adjustRightInd w:val="0"/>
              <w:spacing w:after="0" w:line="240" w:lineRule="auto"/>
              <w:rPr>
                <w:rFonts w:ascii="Times New Roman" w:eastAsia="Calibri" w:hAnsi="Times New Roman" w:cs="Times New Roman"/>
                <w:sz w:val="24"/>
                <w:szCs w:val="24"/>
              </w:rPr>
            </w:pPr>
          </w:p>
        </w:tc>
        <w:tc>
          <w:tcPr>
            <w:tcW w:w="916" w:type="dxa"/>
            <w:tcBorders>
              <w:top w:val="nil"/>
              <w:bottom w:val="single" w:sz="12" w:space="0" w:color="00B050"/>
            </w:tcBorders>
            <w:shd w:val="clear" w:color="auto" w:fill="FFFFFF"/>
            <w:vAlign w:val="bottom"/>
          </w:tcPr>
          <w:p w14:paraId="67D03DB8"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820" w:type="dxa"/>
            <w:tcBorders>
              <w:top w:val="nil"/>
              <w:bottom w:val="single" w:sz="12" w:space="0" w:color="00B050"/>
            </w:tcBorders>
            <w:shd w:val="clear" w:color="auto" w:fill="FFFFFF"/>
            <w:vAlign w:val="bottom"/>
          </w:tcPr>
          <w:p w14:paraId="3ADCBA2C"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2</w:t>
            </w:r>
          </w:p>
        </w:tc>
        <w:tc>
          <w:tcPr>
            <w:tcW w:w="847" w:type="dxa"/>
            <w:tcBorders>
              <w:top w:val="nil"/>
              <w:bottom w:val="single" w:sz="12" w:space="0" w:color="00B050"/>
            </w:tcBorders>
            <w:shd w:val="clear" w:color="auto" w:fill="FFFFFF"/>
            <w:vAlign w:val="bottom"/>
          </w:tcPr>
          <w:p w14:paraId="40DF0D44"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3</w:t>
            </w:r>
          </w:p>
        </w:tc>
        <w:tc>
          <w:tcPr>
            <w:tcW w:w="886" w:type="dxa"/>
            <w:tcBorders>
              <w:top w:val="nil"/>
              <w:bottom w:val="single" w:sz="12" w:space="0" w:color="00B050"/>
            </w:tcBorders>
            <w:shd w:val="clear" w:color="auto" w:fill="FFFFFF"/>
            <w:vAlign w:val="bottom"/>
          </w:tcPr>
          <w:p w14:paraId="480CB707"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4</w:t>
            </w:r>
          </w:p>
        </w:tc>
        <w:tc>
          <w:tcPr>
            <w:tcW w:w="915" w:type="dxa"/>
            <w:tcBorders>
              <w:top w:val="nil"/>
              <w:bottom w:val="single" w:sz="12" w:space="0" w:color="00B050"/>
            </w:tcBorders>
            <w:shd w:val="clear" w:color="auto" w:fill="FFFFFF"/>
            <w:vAlign w:val="bottom"/>
          </w:tcPr>
          <w:p w14:paraId="2AD672C4"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5</w:t>
            </w:r>
          </w:p>
        </w:tc>
        <w:tc>
          <w:tcPr>
            <w:tcW w:w="915" w:type="dxa"/>
            <w:tcBorders>
              <w:top w:val="nil"/>
              <w:bottom w:val="single" w:sz="12" w:space="0" w:color="00B050"/>
            </w:tcBorders>
            <w:shd w:val="clear" w:color="auto" w:fill="FFFFFF"/>
            <w:vAlign w:val="bottom"/>
          </w:tcPr>
          <w:p w14:paraId="7FFDA044"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w:t>
            </w:r>
          </w:p>
        </w:tc>
        <w:tc>
          <w:tcPr>
            <w:tcW w:w="762" w:type="dxa"/>
            <w:tcBorders>
              <w:top w:val="nil"/>
              <w:bottom w:val="single" w:sz="12" w:space="0" w:color="00B050"/>
            </w:tcBorders>
            <w:shd w:val="clear" w:color="auto" w:fill="FFFFFF"/>
            <w:vAlign w:val="bottom"/>
          </w:tcPr>
          <w:p w14:paraId="3FFA5374"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w:t>
            </w:r>
          </w:p>
        </w:tc>
        <w:tc>
          <w:tcPr>
            <w:tcW w:w="919" w:type="dxa"/>
            <w:tcBorders>
              <w:top w:val="nil"/>
              <w:bottom w:val="single" w:sz="12" w:space="0" w:color="00B050"/>
              <w:right w:val="nil"/>
            </w:tcBorders>
            <w:shd w:val="clear" w:color="auto" w:fill="FFFFFF"/>
            <w:vAlign w:val="bottom"/>
          </w:tcPr>
          <w:p w14:paraId="016061A3"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w:t>
            </w:r>
          </w:p>
        </w:tc>
      </w:tr>
      <w:tr w:rsidR="00315258" w:rsidRPr="00A638EC" w14:paraId="4AA57AF0" w14:textId="77777777" w:rsidTr="00315258">
        <w:trPr>
          <w:cantSplit/>
          <w:trHeight w:val="885"/>
        </w:trPr>
        <w:tc>
          <w:tcPr>
            <w:tcW w:w="1796" w:type="dxa"/>
            <w:tcBorders>
              <w:top w:val="single" w:sz="12" w:space="0" w:color="00B050"/>
              <w:left w:val="nil"/>
            </w:tcBorders>
            <w:shd w:val="clear" w:color="auto" w:fill="FFFFFF"/>
          </w:tcPr>
          <w:p w14:paraId="12E720EC" w14:textId="77777777" w:rsidR="00315258" w:rsidRPr="00A638EC" w:rsidRDefault="00315258" w:rsidP="0031525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 Customers’ Satisfaction</w:t>
            </w:r>
          </w:p>
        </w:tc>
        <w:tc>
          <w:tcPr>
            <w:tcW w:w="1517" w:type="dxa"/>
            <w:tcBorders>
              <w:top w:val="single" w:sz="12" w:space="0" w:color="00B050"/>
            </w:tcBorders>
            <w:shd w:val="clear" w:color="auto" w:fill="FFFFFF"/>
          </w:tcPr>
          <w:p w14:paraId="47E6AA51"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 xml:space="preserve"> Correlation</w:t>
            </w:r>
          </w:p>
          <w:p w14:paraId="7720C22F"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p>
          <w:p w14:paraId="3EC68055"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p>
        </w:tc>
        <w:tc>
          <w:tcPr>
            <w:tcW w:w="916" w:type="dxa"/>
            <w:tcBorders>
              <w:top w:val="single" w:sz="12" w:space="0" w:color="00B050"/>
            </w:tcBorders>
            <w:shd w:val="clear" w:color="auto" w:fill="FFFFFF"/>
          </w:tcPr>
          <w:p w14:paraId="60360F13"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820" w:type="dxa"/>
            <w:tcBorders>
              <w:top w:val="single" w:sz="12" w:space="0" w:color="00B050"/>
            </w:tcBorders>
            <w:shd w:val="clear" w:color="auto" w:fill="FFFFFF"/>
          </w:tcPr>
          <w:p w14:paraId="14ED2FB6"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847" w:type="dxa"/>
            <w:tcBorders>
              <w:top w:val="single" w:sz="12" w:space="0" w:color="00B050"/>
            </w:tcBorders>
            <w:shd w:val="clear" w:color="auto" w:fill="FFFFFF"/>
          </w:tcPr>
          <w:p w14:paraId="6A4C0A7E"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886" w:type="dxa"/>
            <w:tcBorders>
              <w:top w:val="single" w:sz="12" w:space="0" w:color="00B050"/>
            </w:tcBorders>
            <w:shd w:val="clear" w:color="auto" w:fill="FFFFFF"/>
          </w:tcPr>
          <w:p w14:paraId="023B7884"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tcBorders>
              <w:top w:val="single" w:sz="12" w:space="0" w:color="00B050"/>
            </w:tcBorders>
            <w:shd w:val="clear" w:color="auto" w:fill="FFFFFF"/>
          </w:tcPr>
          <w:p w14:paraId="3E8B1348"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tcBorders>
              <w:top w:val="single" w:sz="12" w:space="0" w:color="00B050"/>
            </w:tcBorders>
            <w:shd w:val="clear" w:color="auto" w:fill="FFFFFF"/>
          </w:tcPr>
          <w:p w14:paraId="786F74E4"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762" w:type="dxa"/>
            <w:tcBorders>
              <w:top w:val="single" w:sz="12" w:space="0" w:color="00B050"/>
            </w:tcBorders>
            <w:shd w:val="clear" w:color="auto" w:fill="FFFFFF"/>
          </w:tcPr>
          <w:p w14:paraId="66E44776"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top w:val="single" w:sz="12" w:space="0" w:color="00B050"/>
              <w:right w:val="nil"/>
            </w:tcBorders>
            <w:shd w:val="clear" w:color="auto" w:fill="FFFFFF"/>
          </w:tcPr>
          <w:p w14:paraId="5E9664CA"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2987C76E" w14:textId="77777777" w:rsidTr="00315258">
        <w:trPr>
          <w:cantSplit/>
          <w:trHeight w:val="581"/>
        </w:trPr>
        <w:tc>
          <w:tcPr>
            <w:tcW w:w="1796" w:type="dxa"/>
            <w:tcBorders>
              <w:left w:val="nil"/>
            </w:tcBorders>
            <w:shd w:val="clear" w:color="auto" w:fill="FFFFFF"/>
          </w:tcPr>
          <w:p w14:paraId="496A360F"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2. Reliability</w:t>
            </w:r>
          </w:p>
        </w:tc>
        <w:tc>
          <w:tcPr>
            <w:tcW w:w="1517" w:type="dxa"/>
            <w:shd w:val="clear" w:color="auto" w:fill="FFFFFF"/>
          </w:tcPr>
          <w:p w14:paraId="0AA8B45F"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tc>
        <w:tc>
          <w:tcPr>
            <w:tcW w:w="916" w:type="dxa"/>
            <w:shd w:val="clear" w:color="auto" w:fill="FFFFFF"/>
          </w:tcPr>
          <w:p w14:paraId="051C489A"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.718</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2919F63E"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847" w:type="dxa"/>
            <w:shd w:val="clear" w:color="auto" w:fill="FFFFFF"/>
          </w:tcPr>
          <w:p w14:paraId="64086823"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p w14:paraId="318FE8B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886" w:type="dxa"/>
            <w:shd w:val="clear" w:color="auto" w:fill="FFFFFF"/>
          </w:tcPr>
          <w:p w14:paraId="78DFCB28"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shd w:val="clear" w:color="auto" w:fill="FFFFFF"/>
          </w:tcPr>
          <w:p w14:paraId="3C81C873"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shd w:val="clear" w:color="auto" w:fill="FFFFFF"/>
          </w:tcPr>
          <w:p w14:paraId="59F3B4A0"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762" w:type="dxa"/>
            <w:shd w:val="clear" w:color="auto" w:fill="FFFFFF"/>
          </w:tcPr>
          <w:p w14:paraId="75653796"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right w:val="nil"/>
            </w:tcBorders>
            <w:shd w:val="clear" w:color="auto" w:fill="FFFFFF"/>
          </w:tcPr>
          <w:p w14:paraId="4712710D"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38D41561" w14:textId="77777777" w:rsidTr="00315258">
        <w:trPr>
          <w:cantSplit/>
          <w:trHeight w:val="594"/>
        </w:trPr>
        <w:tc>
          <w:tcPr>
            <w:tcW w:w="1796" w:type="dxa"/>
            <w:tcBorders>
              <w:left w:val="nil"/>
            </w:tcBorders>
            <w:shd w:val="clear" w:color="auto" w:fill="FFFFFF"/>
          </w:tcPr>
          <w:p w14:paraId="58FA9A48"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lastRenderedPageBreak/>
              <w:t>3.Tangibility</w:t>
            </w:r>
          </w:p>
        </w:tc>
        <w:tc>
          <w:tcPr>
            <w:tcW w:w="1517" w:type="dxa"/>
            <w:shd w:val="clear" w:color="auto" w:fill="FFFFFF"/>
          </w:tcPr>
          <w:p w14:paraId="20FD9566"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p w14:paraId="3B592A58"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p>
        </w:tc>
        <w:tc>
          <w:tcPr>
            <w:tcW w:w="916" w:type="dxa"/>
            <w:shd w:val="clear" w:color="auto" w:fill="FFFFFF"/>
          </w:tcPr>
          <w:p w14:paraId="66BA45F6"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.659</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131ADFF6"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.829</w:t>
            </w:r>
            <w:r w:rsidRPr="00A638EC">
              <w:rPr>
                <w:rFonts w:ascii="Times New Roman" w:eastAsia="Calibri" w:hAnsi="Times New Roman" w:cs="Times New Roman"/>
                <w:color w:val="000000"/>
                <w:sz w:val="24"/>
                <w:szCs w:val="24"/>
                <w:vertAlign w:val="superscript"/>
              </w:rPr>
              <w:t>**</w:t>
            </w:r>
          </w:p>
        </w:tc>
        <w:tc>
          <w:tcPr>
            <w:tcW w:w="847" w:type="dxa"/>
            <w:shd w:val="clear" w:color="auto" w:fill="FFFFFF"/>
          </w:tcPr>
          <w:p w14:paraId="090EA1EF"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886" w:type="dxa"/>
            <w:shd w:val="clear" w:color="auto" w:fill="FFFFFF"/>
          </w:tcPr>
          <w:p w14:paraId="1166FED5"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shd w:val="clear" w:color="auto" w:fill="FFFFFF"/>
          </w:tcPr>
          <w:p w14:paraId="374ADCEA"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shd w:val="clear" w:color="auto" w:fill="FFFFFF"/>
          </w:tcPr>
          <w:p w14:paraId="4E09C4F0"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762" w:type="dxa"/>
            <w:shd w:val="clear" w:color="auto" w:fill="FFFFFF"/>
          </w:tcPr>
          <w:p w14:paraId="67D5136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right w:val="nil"/>
            </w:tcBorders>
            <w:shd w:val="clear" w:color="auto" w:fill="FFFFFF"/>
          </w:tcPr>
          <w:p w14:paraId="74569662"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18BAE714" w14:textId="77777777" w:rsidTr="00315258">
        <w:trPr>
          <w:cantSplit/>
          <w:trHeight w:val="594"/>
        </w:trPr>
        <w:tc>
          <w:tcPr>
            <w:tcW w:w="1796" w:type="dxa"/>
            <w:tcBorders>
              <w:left w:val="nil"/>
            </w:tcBorders>
            <w:shd w:val="clear" w:color="auto" w:fill="FFFFFF"/>
          </w:tcPr>
          <w:p w14:paraId="3B44F3BE"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4.Assurance</w:t>
            </w:r>
          </w:p>
        </w:tc>
        <w:tc>
          <w:tcPr>
            <w:tcW w:w="1517" w:type="dxa"/>
            <w:shd w:val="clear" w:color="auto" w:fill="FFFFFF"/>
          </w:tcPr>
          <w:p w14:paraId="5F47A121"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tc>
        <w:tc>
          <w:tcPr>
            <w:tcW w:w="916" w:type="dxa"/>
            <w:shd w:val="clear" w:color="auto" w:fill="FFFFFF"/>
          </w:tcPr>
          <w:p w14:paraId="59FD586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.729</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6735A3C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.868</w:t>
            </w:r>
            <w:r w:rsidRPr="00A638EC">
              <w:rPr>
                <w:rFonts w:ascii="Times New Roman" w:eastAsia="Calibri" w:hAnsi="Times New Roman" w:cs="Times New Roman"/>
                <w:color w:val="000000"/>
                <w:sz w:val="24"/>
                <w:szCs w:val="24"/>
                <w:vertAlign w:val="superscript"/>
              </w:rPr>
              <w:t>**</w:t>
            </w:r>
          </w:p>
        </w:tc>
        <w:tc>
          <w:tcPr>
            <w:tcW w:w="847" w:type="dxa"/>
            <w:shd w:val="clear" w:color="auto" w:fill="FFFFFF"/>
          </w:tcPr>
          <w:p w14:paraId="0FD94897"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.732</w:t>
            </w:r>
            <w:r w:rsidRPr="00A638EC">
              <w:rPr>
                <w:rFonts w:ascii="Times New Roman" w:eastAsia="Calibri" w:hAnsi="Times New Roman" w:cs="Times New Roman"/>
                <w:color w:val="000000"/>
                <w:sz w:val="24"/>
                <w:szCs w:val="24"/>
                <w:vertAlign w:val="superscript"/>
              </w:rPr>
              <w:t>**</w:t>
            </w:r>
          </w:p>
        </w:tc>
        <w:tc>
          <w:tcPr>
            <w:tcW w:w="886" w:type="dxa"/>
            <w:shd w:val="clear" w:color="auto" w:fill="FFFFFF"/>
          </w:tcPr>
          <w:p w14:paraId="1DC271EB"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915" w:type="dxa"/>
            <w:shd w:val="clear" w:color="auto" w:fill="FFFFFF"/>
          </w:tcPr>
          <w:p w14:paraId="47990C87"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p w14:paraId="55826DCF"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shd w:val="clear" w:color="auto" w:fill="FFFFFF"/>
          </w:tcPr>
          <w:p w14:paraId="07BB8514"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762" w:type="dxa"/>
            <w:shd w:val="clear" w:color="auto" w:fill="FFFFFF"/>
          </w:tcPr>
          <w:p w14:paraId="3FED12CD"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right w:val="nil"/>
            </w:tcBorders>
            <w:shd w:val="clear" w:color="auto" w:fill="FFFFFF"/>
          </w:tcPr>
          <w:p w14:paraId="04F727B4"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52A6BA1C" w14:textId="77777777" w:rsidTr="00315258">
        <w:trPr>
          <w:cantSplit/>
          <w:trHeight w:val="581"/>
        </w:trPr>
        <w:tc>
          <w:tcPr>
            <w:tcW w:w="1796" w:type="dxa"/>
            <w:tcBorders>
              <w:left w:val="nil"/>
            </w:tcBorders>
            <w:shd w:val="clear" w:color="auto" w:fill="FFFFFF"/>
          </w:tcPr>
          <w:p w14:paraId="553FB711"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5.Compliance</w:t>
            </w:r>
          </w:p>
        </w:tc>
        <w:tc>
          <w:tcPr>
            <w:tcW w:w="1517" w:type="dxa"/>
            <w:shd w:val="clear" w:color="auto" w:fill="FFFFFF"/>
          </w:tcPr>
          <w:p w14:paraId="085EE7FD"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tc>
        <w:tc>
          <w:tcPr>
            <w:tcW w:w="916" w:type="dxa"/>
            <w:shd w:val="clear" w:color="auto" w:fill="FFFFFF"/>
          </w:tcPr>
          <w:p w14:paraId="3BF67C1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.296</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7A03A4D8"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.610</w:t>
            </w:r>
            <w:r w:rsidRPr="00A638EC">
              <w:rPr>
                <w:rFonts w:ascii="Times New Roman" w:eastAsia="Calibri" w:hAnsi="Times New Roman" w:cs="Times New Roman"/>
                <w:color w:val="000000"/>
                <w:sz w:val="24"/>
                <w:szCs w:val="24"/>
                <w:vertAlign w:val="superscript"/>
              </w:rPr>
              <w:t>**</w:t>
            </w:r>
          </w:p>
        </w:tc>
        <w:tc>
          <w:tcPr>
            <w:tcW w:w="847" w:type="dxa"/>
            <w:shd w:val="clear" w:color="auto" w:fill="FFFFFF"/>
          </w:tcPr>
          <w:p w14:paraId="78D7E388"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.819</w:t>
            </w:r>
            <w:r w:rsidRPr="00A638EC">
              <w:rPr>
                <w:rFonts w:ascii="Times New Roman" w:eastAsia="Calibri" w:hAnsi="Times New Roman" w:cs="Times New Roman"/>
                <w:color w:val="000000"/>
                <w:sz w:val="24"/>
                <w:szCs w:val="24"/>
                <w:vertAlign w:val="superscript"/>
              </w:rPr>
              <w:t>**</w:t>
            </w:r>
          </w:p>
        </w:tc>
        <w:tc>
          <w:tcPr>
            <w:tcW w:w="886" w:type="dxa"/>
            <w:shd w:val="clear" w:color="auto" w:fill="FFFFFF"/>
          </w:tcPr>
          <w:p w14:paraId="0D40DC5C"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.440</w:t>
            </w:r>
            <w:r w:rsidRPr="00A638EC">
              <w:rPr>
                <w:rFonts w:ascii="Times New Roman" w:eastAsia="Calibri" w:hAnsi="Times New Roman" w:cs="Times New Roman"/>
                <w:color w:val="000000"/>
                <w:sz w:val="24"/>
                <w:szCs w:val="24"/>
                <w:vertAlign w:val="superscript"/>
              </w:rPr>
              <w:t>**</w:t>
            </w:r>
          </w:p>
        </w:tc>
        <w:tc>
          <w:tcPr>
            <w:tcW w:w="915" w:type="dxa"/>
            <w:shd w:val="clear" w:color="auto" w:fill="FFFFFF"/>
          </w:tcPr>
          <w:p w14:paraId="0C5263F5"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915" w:type="dxa"/>
            <w:shd w:val="clear" w:color="auto" w:fill="FFFFFF"/>
          </w:tcPr>
          <w:p w14:paraId="4FD159C3"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p w14:paraId="2D6D6AAD"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762" w:type="dxa"/>
            <w:shd w:val="clear" w:color="auto" w:fill="FFFFFF"/>
          </w:tcPr>
          <w:p w14:paraId="59A24AB5"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right w:val="nil"/>
            </w:tcBorders>
            <w:shd w:val="clear" w:color="auto" w:fill="FFFFFF"/>
          </w:tcPr>
          <w:p w14:paraId="4218F61E"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1613FEF2" w14:textId="77777777" w:rsidTr="00315258">
        <w:trPr>
          <w:cantSplit/>
          <w:trHeight w:val="594"/>
        </w:trPr>
        <w:tc>
          <w:tcPr>
            <w:tcW w:w="1796" w:type="dxa"/>
            <w:tcBorders>
              <w:left w:val="nil"/>
            </w:tcBorders>
            <w:shd w:val="clear" w:color="auto" w:fill="FFFFFF"/>
          </w:tcPr>
          <w:p w14:paraId="613E9C83"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6.Responsiveness</w:t>
            </w:r>
          </w:p>
        </w:tc>
        <w:tc>
          <w:tcPr>
            <w:tcW w:w="1517" w:type="dxa"/>
            <w:shd w:val="clear" w:color="auto" w:fill="FFFFFF"/>
          </w:tcPr>
          <w:p w14:paraId="3A072D59"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tc>
        <w:tc>
          <w:tcPr>
            <w:tcW w:w="916" w:type="dxa"/>
            <w:shd w:val="clear" w:color="auto" w:fill="FFFFFF"/>
          </w:tcPr>
          <w:p w14:paraId="40638E6B"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.740</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465B659A"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.837</w:t>
            </w:r>
            <w:r w:rsidRPr="00A638EC">
              <w:rPr>
                <w:rFonts w:ascii="Times New Roman" w:eastAsia="Calibri" w:hAnsi="Times New Roman" w:cs="Times New Roman"/>
                <w:color w:val="000000"/>
                <w:sz w:val="24"/>
                <w:szCs w:val="24"/>
                <w:vertAlign w:val="superscript"/>
              </w:rPr>
              <w:t>**</w:t>
            </w:r>
          </w:p>
        </w:tc>
        <w:tc>
          <w:tcPr>
            <w:tcW w:w="847" w:type="dxa"/>
            <w:shd w:val="clear" w:color="auto" w:fill="FFFFFF"/>
          </w:tcPr>
          <w:p w14:paraId="3B55B0C5"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.814</w:t>
            </w:r>
            <w:r w:rsidRPr="00A638EC">
              <w:rPr>
                <w:rFonts w:ascii="Times New Roman" w:eastAsia="Calibri" w:hAnsi="Times New Roman" w:cs="Times New Roman"/>
                <w:color w:val="000000"/>
                <w:sz w:val="24"/>
                <w:szCs w:val="24"/>
                <w:vertAlign w:val="superscript"/>
              </w:rPr>
              <w:t>**</w:t>
            </w:r>
          </w:p>
        </w:tc>
        <w:tc>
          <w:tcPr>
            <w:tcW w:w="886" w:type="dxa"/>
            <w:shd w:val="clear" w:color="auto" w:fill="FFFFFF"/>
          </w:tcPr>
          <w:p w14:paraId="616B37A7"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.714</w:t>
            </w:r>
            <w:r w:rsidRPr="00A638EC">
              <w:rPr>
                <w:rFonts w:ascii="Times New Roman" w:eastAsia="Calibri" w:hAnsi="Times New Roman" w:cs="Times New Roman"/>
                <w:color w:val="000000"/>
                <w:sz w:val="24"/>
                <w:szCs w:val="24"/>
                <w:vertAlign w:val="superscript"/>
              </w:rPr>
              <w:t>**</w:t>
            </w:r>
          </w:p>
        </w:tc>
        <w:tc>
          <w:tcPr>
            <w:tcW w:w="915" w:type="dxa"/>
            <w:shd w:val="clear" w:color="auto" w:fill="FFFFFF"/>
          </w:tcPr>
          <w:p w14:paraId="6942E372"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.568</w:t>
            </w:r>
            <w:r w:rsidRPr="00A638EC">
              <w:rPr>
                <w:rFonts w:ascii="Times New Roman" w:eastAsia="Calibri" w:hAnsi="Times New Roman" w:cs="Times New Roman"/>
                <w:color w:val="000000"/>
                <w:sz w:val="24"/>
                <w:szCs w:val="24"/>
                <w:vertAlign w:val="superscript"/>
              </w:rPr>
              <w:t>**</w:t>
            </w:r>
          </w:p>
        </w:tc>
        <w:tc>
          <w:tcPr>
            <w:tcW w:w="915" w:type="dxa"/>
            <w:shd w:val="clear" w:color="auto" w:fill="FFFFFF"/>
          </w:tcPr>
          <w:p w14:paraId="461C8E31"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762" w:type="dxa"/>
            <w:shd w:val="clear" w:color="auto" w:fill="FFFFFF"/>
          </w:tcPr>
          <w:p w14:paraId="5087B85B"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right w:val="nil"/>
            </w:tcBorders>
            <w:shd w:val="clear" w:color="auto" w:fill="FFFFFF"/>
          </w:tcPr>
          <w:p w14:paraId="01B84AA3"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7CE7F61D" w14:textId="77777777" w:rsidTr="00315258">
        <w:trPr>
          <w:cantSplit/>
          <w:trHeight w:val="594"/>
        </w:trPr>
        <w:tc>
          <w:tcPr>
            <w:tcW w:w="1796" w:type="dxa"/>
            <w:tcBorders>
              <w:left w:val="nil"/>
            </w:tcBorders>
            <w:shd w:val="clear" w:color="auto" w:fill="FFFFFF"/>
          </w:tcPr>
          <w:p w14:paraId="18285872"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7.Empathy</w:t>
            </w:r>
          </w:p>
        </w:tc>
        <w:tc>
          <w:tcPr>
            <w:tcW w:w="1517" w:type="dxa"/>
            <w:shd w:val="clear" w:color="auto" w:fill="FFFFFF"/>
          </w:tcPr>
          <w:p w14:paraId="5ED5BF51"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tc>
        <w:tc>
          <w:tcPr>
            <w:tcW w:w="916" w:type="dxa"/>
            <w:shd w:val="clear" w:color="auto" w:fill="FFFFFF"/>
          </w:tcPr>
          <w:p w14:paraId="49195F37"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.640</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6D66A42F"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.854</w:t>
            </w:r>
            <w:r w:rsidRPr="00A638EC">
              <w:rPr>
                <w:rFonts w:ascii="Times New Roman" w:eastAsia="Calibri" w:hAnsi="Times New Roman" w:cs="Times New Roman"/>
                <w:color w:val="000000"/>
                <w:sz w:val="24"/>
                <w:szCs w:val="24"/>
                <w:vertAlign w:val="superscript"/>
              </w:rPr>
              <w:t>**</w:t>
            </w:r>
          </w:p>
        </w:tc>
        <w:tc>
          <w:tcPr>
            <w:tcW w:w="847" w:type="dxa"/>
            <w:shd w:val="clear" w:color="auto" w:fill="FFFFFF"/>
          </w:tcPr>
          <w:p w14:paraId="15B58BCC"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.841</w:t>
            </w:r>
            <w:r w:rsidRPr="00A638EC">
              <w:rPr>
                <w:rFonts w:ascii="Times New Roman" w:eastAsia="Calibri" w:hAnsi="Times New Roman" w:cs="Times New Roman"/>
                <w:color w:val="000000"/>
                <w:sz w:val="24"/>
                <w:szCs w:val="24"/>
                <w:vertAlign w:val="superscript"/>
              </w:rPr>
              <w:t>**</w:t>
            </w:r>
          </w:p>
        </w:tc>
        <w:tc>
          <w:tcPr>
            <w:tcW w:w="886" w:type="dxa"/>
            <w:shd w:val="clear" w:color="auto" w:fill="FFFFFF"/>
          </w:tcPr>
          <w:p w14:paraId="70C0DA2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.766</w:t>
            </w:r>
            <w:r w:rsidRPr="00A638EC">
              <w:rPr>
                <w:rFonts w:ascii="Times New Roman" w:eastAsia="Calibri" w:hAnsi="Times New Roman" w:cs="Times New Roman"/>
                <w:color w:val="000000"/>
                <w:sz w:val="24"/>
                <w:szCs w:val="24"/>
                <w:vertAlign w:val="superscript"/>
              </w:rPr>
              <w:t>**</w:t>
            </w:r>
          </w:p>
        </w:tc>
        <w:tc>
          <w:tcPr>
            <w:tcW w:w="915" w:type="dxa"/>
            <w:shd w:val="clear" w:color="auto" w:fill="FFFFFF"/>
          </w:tcPr>
          <w:p w14:paraId="317E5AEB"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.651</w:t>
            </w:r>
            <w:r w:rsidRPr="00A638EC">
              <w:rPr>
                <w:rFonts w:ascii="Times New Roman" w:eastAsia="Calibri" w:hAnsi="Times New Roman" w:cs="Times New Roman"/>
                <w:color w:val="000000"/>
                <w:sz w:val="24"/>
                <w:szCs w:val="24"/>
                <w:vertAlign w:val="superscript"/>
              </w:rPr>
              <w:t>**</w:t>
            </w:r>
          </w:p>
        </w:tc>
        <w:tc>
          <w:tcPr>
            <w:tcW w:w="915" w:type="dxa"/>
            <w:shd w:val="clear" w:color="auto" w:fill="FFFFFF"/>
          </w:tcPr>
          <w:p w14:paraId="5772C54F"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.812</w:t>
            </w:r>
            <w:r w:rsidRPr="00A638EC">
              <w:rPr>
                <w:rFonts w:ascii="Times New Roman" w:eastAsia="Calibri" w:hAnsi="Times New Roman" w:cs="Times New Roman"/>
                <w:color w:val="000000"/>
                <w:sz w:val="24"/>
                <w:szCs w:val="24"/>
                <w:vertAlign w:val="superscript"/>
              </w:rPr>
              <w:t>**</w:t>
            </w:r>
          </w:p>
        </w:tc>
        <w:tc>
          <w:tcPr>
            <w:tcW w:w="762" w:type="dxa"/>
            <w:shd w:val="clear" w:color="auto" w:fill="FFFFFF"/>
          </w:tcPr>
          <w:p w14:paraId="69083CAA"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919" w:type="dxa"/>
            <w:tcBorders>
              <w:right w:val="nil"/>
            </w:tcBorders>
            <w:shd w:val="clear" w:color="auto" w:fill="FFFFFF"/>
          </w:tcPr>
          <w:p w14:paraId="7C0C4535"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p w14:paraId="7DC80154"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5D26DFD2" w14:textId="77777777" w:rsidTr="00315258">
        <w:trPr>
          <w:cantSplit/>
          <w:trHeight w:val="581"/>
        </w:trPr>
        <w:tc>
          <w:tcPr>
            <w:tcW w:w="1796" w:type="dxa"/>
            <w:tcBorders>
              <w:left w:val="nil"/>
              <w:bottom w:val="single" w:sz="12" w:space="0" w:color="00B050"/>
            </w:tcBorders>
            <w:shd w:val="clear" w:color="auto" w:fill="FFFFFF"/>
          </w:tcPr>
          <w:p w14:paraId="69D9A773"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8.Accessibility</w:t>
            </w:r>
          </w:p>
        </w:tc>
        <w:tc>
          <w:tcPr>
            <w:tcW w:w="1517" w:type="dxa"/>
            <w:tcBorders>
              <w:bottom w:val="single" w:sz="12" w:space="0" w:color="00B050"/>
            </w:tcBorders>
            <w:shd w:val="clear" w:color="auto" w:fill="FFFFFF"/>
          </w:tcPr>
          <w:p w14:paraId="5DF9DCCA"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p w14:paraId="55980E71"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p>
        </w:tc>
        <w:tc>
          <w:tcPr>
            <w:tcW w:w="916" w:type="dxa"/>
            <w:tcBorders>
              <w:bottom w:val="single" w:sz="12" w:space="0" w:color="00B050"/>
            </w:tcBorders>
            <w:shd w:val="clear" w:color="auto" w:fill="FFFFFF"/>
          </w:tcPr>
          <w:p w14:paraId="456EF5D1"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.468</w:t>
            </w:r>
            <w:r w:rsidRPr="00A638EC">
              <w:rPr>
                <w:rFonts w:ascii="Times New Roman" w:eastAsia="Calibri" w:hAnsi="Times New Roman" w:cs="Times New Roman"/>
                <w:color w:val="000000"/>
                <w:sz w:val="24"/>
                <w:szCs w:val="24"/>
                <w:vertAlign w:val="superscript"/>
              </w:rPr>
              <w:t>**</w:t>
            </w:r>
          </w:p>
        </w:tc>
        <w:tc>
          <w:tcPr>
            <w:tcW w:w="820" w:type="dxa"/>
            <w:tcBorders>
              <w:bottom w:val="single" w:sz="12" w:space="0" w:color="00B050"/>
            </w:tcBorders>
            <w:shd w:val="clear" w:color="auto" w:fill="FFFFFF"/>
          </w:tcPr>
          <w:p w14:paraId="4CD93AED"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.739</w:t>
            </w:r>
            <w:r w:rsidRPr="00A638EC">
              <w:rPr>
                <w:rFonts w:ascii="Times New Roman" w:eastAsia="Calibri" w:hAnsi="Times New Roman" w:cs="Times New Roman"/>
                <w:color w:val="000000"/>
                <w:sz w:val="24"/>
                <w:szCs w:val="24"/>
                <w:vertAlign w:val="superscript"/>
              </w:rPr>
              <w:t>**</w:t>
            </w:r>
          </w:p>
        </w:tc>
        <w:tc>
          <w:tcPr>
            <w:tcW w:w="847" w:type="dxa"/>
            <w:tcBorders>
              <w:bottom w:val="single" w:sz="12" w:space="0" w:color="00B050"/>
            </w:tcBorders>
            <w:shd w:val="clear" w:color="auto" w:fill="FFFFFF"/>
          </w:tcPr>
          <w:p w14:paraId="44B6746F"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.775</w:t>
            </w:r>
            <w:r w:rsidRPr="00A638EC">
              <w:rPr>
                <w:rFonts w:ascii="Times New Roman" w:eastAsia="Calibri" w:hAnsi="Times New Roman" w:cs="Times New Roman"/>
                <w:color w:val="000000"/>
                <w:sz w:val="24"/>
                <w:szCs w:val="24"/>
                <w:vertAlign w:val="superscript"/>
              </w:rPr>
              <w:t>**</w:t>
            </w:r>
          </w:p>
        </w:tc>
        <w:tc>
          <w:tcPr>
            <w:tcW w:w="886" w:type="dxa"/>
            <w:tcBorders>
              <w:bottom w:val="single" w:sz="12" w:space="0" w:color="00B050"/>
            </w:tcBorders>
            <w:shd w:val="clear" w:color="auto" w:fill="FFFFFF"/>
          </w:tcPr>
          <w:p w14:paraId="269D941A"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.663</w:t>
            </w:r>
            <w:r w:rsidRPr="00A638EC">
              <w:rPr>
                <w:rFonts w:ascii="Times New Roman" w:eastAsia="Calibri" w:hAnsi="Times New Roman" w:cs="Times New Roman"/>
                <w:color w:val="000000"/>
                <w:sz w:val="24"/>
                <w:szCs w:val="24"/>
                <w:vertAlign w:val="superscript"/>
              </w:rPr>
              <w:t>**</w:t>
            </w:r>
          </w:p>
        </w:tc>
        <w:tc>
          <w:tcPr>
            <w:tcW w:w="915" w:type="dxa"/>
            <w:tcBorders>
              <w:bottom w:val="single" w:sz="12" w:space="0" w:color="00B050"/>
            </w:tcBorders>
            <w:shd w:val="clear" w:color="auto" w:fill="FFFFFF"/>
          </w:tcPr>
          <w:p w14:paraId="064771C1"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.665</w:t>
            </w:r>
            <w:r w:rsidRPr="00A638EC">
              <w:rPr>
                <w:rFonts w:ascii="Times New Roman" w:eastAsia="Calibri" w:hAnsi="Times New Roman" w:cs="Times New Roman"/>
                <w:color w:val="000000"/>
                <w:sz w:val="24"/>
                <w:szCs w:val="24"/>
                <w:vertAlign w:val="superscript"/>
              </w:rPr>
              <w:t>**</w:t>
            </w:r>
          </w:p>
        </w:tc>
        <w:tc>
          <w:tcPr>
            <w:tcW w:w="915" w:type="dxa"/>
            <w:tcBorders>
              <w:bottom w:val="single" w:sz="12" w:space="0" w:color="00B050"/>
            </w:tcBorders>
            <w:shd w:val="clear" w:color="auto" w:fill="FFFFFF"/>
          </w:tcPr>
          <w:p w14:paraId="7DE3B773"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.690</w:t>
            </w:r>
            <w:r w:rsidRPr="00A638EC">
              <w:rPr>
                <w:rFonts w:ascii="Times New Roman" w:eastAsia="Calibri" w:hAnsi="Times New Roman" w:cs="Times New Roman"/>
                <w:color w:val="000000"/>
                <w:sz w:val="24"/>
                <w:szCs w:val="24"/>
                <w:vertAlign w:val="superscript"/>
              </w:rPr>
              <w:t>**</w:t>
            </w:r>
          </w:p>
        </w:tc>
        <w:tc>
          <w:tcPr>
            <w:tcW w:w="762" w:type="dxa"/>
            <w:tcBorders>
              <w:bottom w:val="single" w:sz="12" w:space="0" w:color="00B050"/>
            </w:tcBorders>
            <w:shd w:val="clear" w:color="auto" w:fill="FFFFFF"/>
          </w:tcPr>
          <w:p w14:paraId="2401BBC7"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.874</w:t>
            </w:r>
            <w:r w:rsidRPr="00A638EC">
              <w:rPr>
                <w:rFonts w:ascii="Times New Roman" w:eastAsia="Calibri" w:hAnsi="Times New Roman" w:cs="Times New Roman"/>
                <w:color w:val="000000"/>
                <w:sz w:val="24"/>
                <w:szCs w:val="24"/>
                <w:vertAlign w:val="superscript"/>
              </w:rPr>
              <w:t>**</w:t>
            </w:r>
          </w:p>
        </w:tc>
        <w:tc>
          <w:tcPr>
            <w:tcW w:w="919" w:type="dxa"/>
            <w:tcBorders>
              <w:bottom w:val="single" w:sz="12" w:space="0" w:color="00B050"/>
              <w:right w:val="nil"/>
            </w:tcBorders>
            <w:shd w:val="clear" w:color="auto" w:fill="FFFFFF"/>
          </w:tcPr>
          <w:p w14:paraId="718D84A7"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r>
      <w:tr w:rsidR="00315258" w:rsidRPr="00A638EC" w14:paraId="0BAB148B" w14:textId="77777777" w:rsidTr="00315258">
        <w:trPr>
          <w:cantSplit/>
          <w:trHeight w:val="387"/>
        </w:trPr>
        <w:tc>
          <w:tcPr>
            <w:tcW w:w="10293" w:type="dxa"/>
            <w:gridSpan w:val="10"/>
            <w:tcBorders>
              <w:top w:val="single" w:sz="12" w:space="0" w:color="00B050"/>
              <w:left w:val="nil"/>
              <w:bottom w:val="nil"/>
              <w:right w:val="nil"/>
            </w:tcBorders>
            <w:shd w:val="clear" w:color="auto" w:fill="FFFFFF"/>
          </w:tcPr>
          <w:p w14:paraId="37655D85" w14:textId="77777777" w:rsidR="00315258" w:rsidRPr="00A638EC" w:rsidRDefault="00315258" w:rsidP="00315258">
            <w:pPr>
              <w:autoSpaceDE w:val="0"/>
              <w:autoSpaceDN w:val="0"/>
              <w:adjustRightInd w:val="0"/>
              <w:spacing w:after="0" w:line="360" w:lineRule="auto"/>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 Correlation is significant at 0.01 levels (2-tailed).</w:t>
            </w:r>
          </w:p>
          <w:p w14:paraId="46C1962D" w14:textId="77777777" w:rsidR="00315258" w:rsidRPr="00A638EC" w:rsidRDefault="00315258" w:rsidP="00315258">
            <w:pPr>
              <w:autoSpaceDE w:val="0"/>
              <w:autoSpaceDN w:val="0"/>
              <w:adjustRightInd w:val="0"/>
              <w:spacing w:after="0" w:line="360" w:lineRule="auto"/>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Source: compiled by researchers from SPSS Version 25 output 2025</w:t>
            </w:r>
          </w:p>
        </w:tc>
      </w:tr>
    </w:tbl>
    <w:p w14:paraId="3D3FC3F4"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All seven IFB service quality dimensions show positive and statistically significant correlations with customer satisfaction (p&lt;0.01). Responsiveness exhibits the strongest correlation (</w:t>
      </w:r>
      <w:proofErr w:type="spellStart"/>
      <w:r w:rsidRPr="00A638EC">
        <w:rPr>
          <w:rFonts w:ascii="Times New Roman" w:eastAsia="Times New Roman" w:hAnsi="Times New Roman" w:cs="Times New Roman"/>
          <w:sz w:val="24"/>
          <w:szCs w:val="24"/>
        </w:rPr>
        <w:t>rs</w:t>
      </w:r>
      <w:proofErr w:type="spellEnd"/>
      <w:r w:rsidRPr="00A638EC">
        <w:rPr>
          <w:rFonts w:ascii="Times New Roman" w:eastAsia="Times New Roman" w:hAnsi="Times New Roman" w:cs="Times New Roman"/>
          <w:sz w:val="24"/>
          <w:szCs w:val="24"/>
        </w:rPr>
        <w:t>=0.740), while compliance shows the weakest but still significant correlation (</w:t>
      </w:r>
      <w:proofErr w:type="spellStart"/>
      <w:r w:rsidRPr="00A638EC">
        <w:rPr>
          <w:rFonts w:ascii="Times New Roman" w:eastAsia="Times New Roman" w:hAnsi="Times New Roman" w:cs="Times New Roman"/>
          <w:sz w:val="24"/>
          <w:szCs w:val="24"/>
        </w:rPr>
        <w:t>rs</w:t>
      </w:r>
      <w:proofErr w:type="spellEnd"/>
      <w:r w:rsidRPr="00A638EC">
        <w:rPr>
          <w:rFonts w:ascii="Times New Roman" w:eastAsia="Times New Roman" w:hAnsi="Times New Roman" w:cs="Times New Roman"/>
          <w:sz w:val="24"/>
          <w:szCs w:val="24"/>
        </w:rPr>
        <w:t>=0.296).</w:t>
      </w:r>
    </w:p>
    <w:p w14:paraId="524D4EF7"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4.5.3. Pseudo R-Square</w:t>
      </w:r>
    </w:p>
    <w:p w14:paraId="7ADB4613"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t xml:space="preserve">In ordinal logistic regression, the Pseudo R-square is used to assess the coefficient of determination, which indicates the proportion of variation in the response variable that is explained by the independent variables included in the model. Unlike ordinary least squares regression, ordinal logistic regression does not produce a true R-square value; instead, several Pseudo R-square measures such as Cox and Snell, </w:t>
      </w:r>
      <w:proofErr w:type="spellStart"/>
      <w:r w:rsidRPr="00A638EC">
        <w:rPr>
          <w:rFonts w:ascii="Times New Roman" w:eastAsia="Times New Roman" w:hAnsi="Times New Roman" w:cs="Times New Roman"/>
          <w:bCs/>
          <w:sz w:val="24"/>
          <w:szCs w:val="24"/>
        </w:rPr>
        <w:t>Nagelkerke</w:t>
      </w:r>
      <w:proofErr w:type="spellEnd"/>
      <w:r w:rsidRPr="00A638EC">
        <w:rPr>
          <w:rFonts w:ascii="Times New Roman" w:eastAsia="Times New Roman" w:hAnsi="Times New Roman" w:cs="Times New Roman"/>
          <w:bCs/>
          <w:sz w:val="24"/>
          <w:szCs w:val="24"/>
        </w:rPr>
        <w:t>, and McFadden provide approximations of the model's explanatory power. In this study, the Pseudo R-square test was employed to determine how much of the variance in customer satisfaction is accounted for by the seven IFB service quality dimensions. The results of this analysis are presented in the following table.</w:t>
      </w:r>
    </w:p>
    <w:p w14:paraId="491C39C4"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11: Pseudo R-Square Statistics</w:t>
      </w:r>
    </w:p>
    <w:tbl>
      <w:tblPr>
        <w:tblW w:w="6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74"/>
        <w:gridCol w:w="1995"/>
      </w:tblGrid>
      <w:tr w:rsidR="00315258" w:rsidRPr="00A638EC" w14:paraId="5DBF5CED" w14:textId="77777777" w:rsidTr="00315258">
        <w:trPr>
          <w:trHeight w:val="249"/>
          <w:tblHeader/>
          <w:tblCellSpacing w:w="15" w:type="dxa"/>
        </w:trPr>
        <w:tc>
          <w:tcPr>
            <w:tcW w:w="0" w:type="auto"/>
            <w:vAlign w:val="center"/>
            <w:hideMark/>
          </w:tcPr>
          <w:p w14:paraId="5AE0FF93"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Method</w:t>
            </w:r>
          </w:p>
        </w:tc>
        <w:tc>
          <w:tcPr>
            <w:tcW w:w="0" w:type="auto"/>
            <w:vAlign w:val="center"/>
            <w:hideMark/>
          </w:tcPr>
          <w:p w14:paraId="04B98F69"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Value</w:t>
            </w:r>
          </w:p>
        </w:tc>
      </w:tr>
      <w:tr w:rsidR="00315258" w:rsidRPr="00A638EC" w14:paraId="725B914B" w14:textId="77777777" w:rsidTr="00315258">
        <w:trPr>
          <w:trHeight w:val="264"/>
          <w:tblCellSpacing w:w="15" w:type="dxa"/>
        </w:trPr>
        <w:tc>
          <w:tcPr>
            <w:tcW w:w="0" w:type="auto"/>
            <w:vAlign w:val="center"/>
            <w:hideMark/>
          </w:tcPr>
          <w:p w14:paraId="115CC94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Cox and Snell</w:t>
            </w:r>
          </w:p>
        </w:tc>
        <w:tc>
          <w:tcPr>
            <w:tcW w:w="0" w:type="auto"/>
            <w:vAlign w:val="center"/>
            <w:hideMark/>
          </w:tcPr>
          <w:p w14:paraId="2FA1EF0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0.879</w:t>
            </w:r>
          </w:p>
        </w:tc>
      </w:tr>
      <w:tr w:rsidR="00315258" w:rsidRPr="00A638EC" w14:paraId="3A19ADE8" w14:textId="77777777" w:rsidTr="00315258">
        <w:trPr>
          <w:trHeight w:val="264"/>
          <w:tblCellSpacing w:w="15" w:type="dxa"/>
        </w:trPr>
        <w:tc>
          <w:tcPr>
            <w:tcW w:w="0" w:type="auto"/>
            <w:vAlign w:val="center"/>
            <w:hideMark/>
          </w:tcPr>
          <w:p w14:paraId="3DE1DB77" w14:textId="77777777" w:rsidR="00315258" w:rsidRPr="00A638EC" w:rsidRDefault="00315258" w:rsidP="00315258">
            <w:pPr>
              <w:spacing w:after="0" w:line="240" w:lineRule="auto"/>
              <w:rPr>
                <w:rFonts w:ascii="Times New Roman" w:eastAsia="Times New Roman" w:hAnsi="Times New Roman" w:cs="Times New Roman"/>
                <w:sz w:val="24"/>
                <w:szCs w:val="24"/>
              </w:rPr>
            </w:pPr>
            <w:proofErr w:type="spellStart"/>
            <w:r w:rsidRPr="00A638EC">
              <w:rPr>
                <w:rFonts w:ascii="Times New Roman" w:eastAsia="Times New Roman" w:hAnsi="Times New Roman" w:cs="Times New Roman"/>
                <w:sz w:val="24"/>
                <w:szCs w:val="24"/>
              </w:rPr>
              <w:t>Nagelkerke</w:t>
            </w:r>
            <w:proofErr w:type="spellEnd"/>
          </w:p>
        </w:tc>
        <w:tc>
          <w:tcPr>
            <w:tcW w:w="0" w:type="auto"/>
            <w:vAlign w:val="center"/>
            <w:hideMark/>
          </w:tcPr>
          <w:p w14:paraId="1CAD296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0.897</w:t>
            </w:r>
          </w:p>
        </w:tc>
      </w:tr>
      <w:tr w:rsidR="00315258" w:rsidRPr="00A638EC" w14:paraId="1395078E" w14:textId="77777777" w:rsidTr="00315258">
        <w:trPr>
          <w:trHeight w:val="249"/>
          <w:tblCellSpacing w:w="15" w:type="dxa"/>
        </w:trPr>
        <w:tc>
          <w:tcPr>
            <w:tcW w:w="0" w:type="auto"/>
            <w:vAlign w:val="center"/>
            <w:hideMark/>
          </w:tcPr>
          <w:p w14:paraId="0631693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McFadden</w:t>
            </w:r>
          </w:p>
        </w:tc>
        <w:tc>
          <w:tcPr>
            <w:tcW w:w="0" w:type="auto"/>
            <w:vAlign w:val="center"/>
            <w:hideMark/>
          </w:tcPr>
          <w:p w14:paraId="309D09F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0.867</w:t>
            </w:r>
          </w:p>
        </w:tc>
      </w:tr>
    </w:tbl>
    <w:p w14:paraId="574F817D"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lastRenderedPageBreak/>
        <w:t>Source: compiled by researchers from SPSS Version 25 output 2025</w:t>
      </w:r>
    </w:p>
    <w:p w14:paraId="20278D60"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The </w:t>
      </w:r>
      <w:proofErr w:type="spellStart"/>
      <w:r w:rsidRPr="00A638EC">
        <w:rPr>
          <w:rFonts w:ascii="Times New Roman" w:eastAsia="Times New Roman" w:hAnsi="Times New Roman" w:cs="Times New Roman"/>
          <w:sz w:val="24"/>
          <w:szCs w:val="24"/>
        </w:rPr>
        <w:t>Nagelkerke</w:t>
      </w:r>
      <w:proofErr w:type="spellEnd"/>
      <w:r w:rsidRPr="00A638EC">
        <w:rPr>
          <w:rFonts w:ascii="Times New Roman" w:eastAsia="Times New Roman" w:hAnsi="Times New Roman" w:cs="Times New Roman"/>
          <w:sz w:val="24"/>
          <w:szCs w:val="24"/>
        </w:rPr>
        <w:t xml:space="preserve"> R² value of 0.897 indicates that the seven independent variables collectively explain 89.7% of the variance in customer satisfaction, suggesting the model has strong explanatory power.</w:t>
      </w:r>
    </w:p>
    <w:p w14:paraId="2867641C"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4.5.4. Ordinal Logistic Regression Results</w:t>
      </w:r>
    </w:p>
    <w:p w14:paraId="21783D8C" w14:textId="61603372"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t>According to parameter estimates (beta coefficients) indicate the unique contribution of each explanatory variable to the variance in the outcome variable. A large beta coefficient combined with a small significance value (p &lt; 0.05) suggests that the predictor variable makes a statistically significant contribution to the model, whereas a small beta coefficient with a large significance value (p &gt; 0.05) indicates little or no significant contribution. Based on the theoretical and empirical literature reviewed, seven explanatory variables were identified and included in this study. Ordinal logistic regression was conducted to test the proposed null hypotheses and to determine which of the seven IFB service quality dimensions has the dominant effect on customer satisfaction. The beta coefficient values presented in Table 12 show the unique contribution of each explanatory variable to the dependent variable IFB customer satisfaction and are discussed in detail below.</w:t>
      </w:r>
    </w:p>
    <w:p w14:paraId="1CDDE041"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06F0E087"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61E25662" w14:textId="77777777" w:rsidR="00315258"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16F03630" w14:textId="77777777" w:rsidR="002D7D13" w:rsidRDefault="002D7D13"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185B92CD" w14:textId="77777777" w:rsidR="002D7D13" w:rsidRDefault="002D7D13"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0C1B8144" w14:textId="77777777" w:rsidR="002D7D13" w:rsidRDefault="002D7D13"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163AC96D" w14:textId="77777777" w:rsidR="002D7D13" w:rsidRDefault="002D7D13"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684E0528" w14:textId="77777777" w:rsidR="002D7D13" w:rsidRPr="00A638EC" w:rsidRDefault="002D7D13"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4318E869"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lastRenderedPageBreak/>
        <w:t>Table 12: Parameter Estimates</w:t>
      </w:r>
    </w:p>
    <w:tbl>
      <w:tblPr>
        <w:tblW w:w="93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9"/>
        <w:gridCol w:w="1694"/>
        <w:gridCol w:w="1456"/>
        <w:gridCol w:w="937"/>
        <w:gridCol w:w="367"/>
        <w:gridCol w:w="783"/>
        <w:gridCol w:w="2050"/>
      </w:tblGrid>
      <w:tr w:rsidR="00315258" w:rsidRPr="00A638EC" w14:paraId="714DF9D4" w14:textId="77777777" w:rsidTr="00315258">
        <w:trPr>
          <w:trHeight w:val="243"/>
          <w:tblHeader/>
          <w:tblCellSpacing w:w="15" w:type="dxa"/>
        </w:trPr>
        <w:tc>
          <w:tcPr>
            <w:tcW w:w="0" w:type="auto"/>
            <w:vAlign w:val="center"/>
            <w:hideMark/>
          </w:tcPr>
          <w:p w14:paraId="2D98D2D2"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Variable</w:t>
            </w:r>
          </w:p>
        </w:tc>
        <w:tc>
          <w:tcPr>
            <w:tcW w:w="0" w:type="auto"/>
            <w:vAlign w:val="center"/>
            <w:hideMark/>
          </w:tcPr>
          <w:p w14:paraId="5ADC917D"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Estimate (β)</w:t>
            </w:r>
          </w:p>
        </w:tc>
        <w:tc>
          <w:tcPr>
            <w:tcW w:w="0" w:type="auto"/>
            <w:vAlign w:val="center"/>
            <w:hideMark/>
          </w:tcPr>
          <w:p w14:paraId="5AC64206"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Std. Error</w:t>
            </w:r>
          </w:p>
        </w:tc>
        <w:tc>
          <w:tcPr>
            <w:tcW w:w="0" w:type="auto"/>
            <w:vAlign w:val="center"/>
            <w:hideMark/>
          </w:tcPr>
          <w:p w14:paraId="02DFC350"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Wald</w:t>
            </w:r>
          </w:p>
        </w:tc>
        <w:tc>
          <w:tcPr>
            <w:tcW w:w="0" w:type="auto"/>
            <w:vAlign w:val="center"/>
            <w:hideMark/>
          </w:tcPr>
          <w:p w14:paraId="5D549373"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df</w:t>
            </w:r>
          </w:p>
        </w:tc>
        <w:tc>
          <w:tcPr>
            <w:tcW w:w="0" w:type="auto"/>
            <w:vAlign w:val="center"/>
            <w:hideMark/>
          </w:tcPr>
          <w:p w14:paraId="10A9963F"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c>
          <w:tcPr>
            <w:tcW w:w="0" w:type="auto"/>
            <w:vAlign w:val="center"/>
            <w:hideMark/>
          </w:tcPr>
          <w:p w14:paraId="54F5B5D8"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95% CI</w:t>
            </w:r>
          </w:p>
        </w:tc>
      </w:tr>
      <w:tr w:rsidR="00315258" w:rsidRPr="00A638EC" w14:paraId="6DFA8435" w14:textId="77777777" w:rsidTr="00315258">
        <w:trPr>
          <w:trHeight w:val="257"/>
          <w:tblCellSpacing w:w="15" w:type="dxa"/>
        </w:trPr>
        <w:tc>
          <w:tcPr>
            <w:tcW w:w="0" w:type="auto"/>
            <w:gridSpan w:val="7"/>
            <w:vAlign w:val="center"/>
            <w:hideMark/>
          </w:tcPr>
          <w:p w14:paraId="57763C77" w14:textId="77777777" w:rsidR="00315258" w:rsidRPr="00A638EC" w:rsidRDefault="00315258" w:rsidP="00315258">
            <w:pPr>
              <w:spacing w:after="0" w:line="240" w:lineRule="auto"/>
              <w:rPr>
                <w:rFonts w:ascii="Times New Roman" w:eastAsia="Times New Roman" w:hAnsi="Times New Roman" w:cs="Times New Roman"/>
                <w:sz w:val="20"/>
                <w:szCs w:val="20"/>
              </w:rPr>
            </w:pPr>
            <w:r w:rsidRPr="00A638EC">
              <w:rPr>
                <w:rFonts w:ascii="Times New Roman" w:eastAsia="Times New Roman" w:hAnsi="Times New Roman" w:cs="Times New Roman"/>
                <w:b/>
                <w:bCs/>
                <w:sz w:val="24"/>
                <w:szCs w:val="24"/>
              </w:rPr>
              <w:t>Threshold</w:t>
            </w:r>
          </w:p>
        </w:tc>
      </w:tr>
      <w:tr w:rsidR="00315258" w:rsidRPr="00A638EC" w14:paraId="03F0DE15" w14:textId="77777777" w:rsidTr="00315258">
        <w:trPr>
          <w:trHeight w:val="257"/>
          <w:tblCellSpacing w:w="15" w:type="dxa"/>
        </w:trPr>
        <w:tc>
          <w:tcPr>
            <w:tcW w:w="0" w:type="auto"/>
            <w:vAlign w:val="center"/>
            <w:hideMark/>
          </w:tcPr>
          <w:p w14:paraId="3EAEE36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Satisfaction</w:t>
            </w:r>
          </w:p>
        </w:tc>
        <w:tc>
          <w:tcPr>
            <w:tcW w:w="0" w:type="auto"/>
            <w:vAlign w:val="center"/>
            <w:hideMark/>
          </w:tcPr>
          <w:p w14:paraId="5657EEA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-2.509</w:t>
            </w:r>
          </w:p>
        </w:tc>
        <w:tc>
          <w:tcPr>
            <w:tcW w:w="0" w:type="auto"/>
            <w:vAlign w:val="center"/>
            <w:hideMark/>
          </w:tcPr>
          <w:p w14:paraId="066BEBB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0.920</w:t>
            </w:r>
          </w:p>
        </w:tc>
        <w:tc>
          <w:tcPr>
            <w:tcW w:w="0" w:type="auto"/>
            <w:vAlign w:val="center"/>
            <w:hideMark/>
          </w:tcPr>
          <w:p w14:paraId="753DA96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7.444</w:t>
            </w:r>
          </w:p>
        </w:tc>
        <w:tc>
          <w:tcPr>
            <w:tcW w:w="0" w:type="auto"/>
            <w:vAlign w:val="center"/>
            <w:hideMark/>
          </w:tcPr>
          <w:p w14:paraId="5998FF4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5D853FD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0.001</w:t>
            </w:r>
          </w:p>
        </w:tc>
        <w:tc>
          <w:tcPr>
            <w:tcW w:w="0" w:type="auto"/>
            <w:vAlign w:val="center"/>
            <w:hideMark/>
          </w:tcPr>
          <w:p w14:paraId="5BEF3C8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[-4.311, -0.707]</w:t>
            </w:r>
          </w:p>
        </w:tc>
      </w:tr>
      <w:tr w:rsidR="00315258" w:rsidRPr="00A638EC" w14:paraId="5A5A45F8" w14:textId="77777777" w:rsidTr="00315258">
        <w:trPr>
          <w:trHeight w:val="257"/>
          <w:tblCellSpacing w:w="15" w:type="dxa"/>
        </w:trPr>
        <w:tc>
          <w:tcPr>
            <w:tcW w:w="0" w:type="auto"/>
            <w:gridSpan w:val="7"/>
            <w:vAlign w:val="center"/>
            <w:hideMark/>
          </w:tcPr>
          <w:p w14:paraId="4A848E77" w14:textId="77777777" w:rsidR="00315258" w:rsidRPr="00A638EC" w:rsidRDefault="00315258" w:rsidP="00315258">
            <w:pPr>
              <w:spacing w:after="0" w:line="240" w:lineRule="auto"/>
              <w:rPr>
                <w:rFonts w:ascii="Times New Roman" w:eastAsia="Times New Roman" w:hAnsi="Times New Roman" w:cs="Times New Roman"/>
                <w:sz w:val="20"/>
                <w:szCs w:val="20"/>
              </w:rPr>
            </w:pPr>
            <w:r w:rsidRPr="00A638EC">
              <w:rPr>
                <w:rFonts w:ascii="Times New Roman" w:eastAsia="Times New Roman" w:hAnsi="Times New Roman" w:cs="Times New Roman"/>
                <w:b/>
                <w:bCs/>
                <w:sz w:val="24"/>
                <w:szCs w:val="24"/>
              </w:rPr>
              <w:t>Location</w:t>
            </w:r>
          </w:p>
        </w:tc>
      </w:tr>
      <w:tr w:rsidR="00315258" w:rsidRPr="00A638EC" w14:paraId="40B42A52" w14:textId="77777777" w:rsidTr="00315258">
        <w:trPr>
          <w:trHeight w:val="243"/>
          <w:tblCellSpacing w:w="15" w:type="dxa"/>
        </w:trPr>
        <w:tc>
          <w:tcPr>
            <w:tcW w:w="0" w:type="auto"/>
            <w:vAlign w:val="center"/>
            <w:hideMark/>
          </w:tcPr>
          <w:p w14:paraId="543B13A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Reliability</w:t>
            </w:r>
          </w:p>
        </w:tc>
        <w:tc>
          <w:tcPr>
            <w:tcW w:w="0" w:type="auto"/>
            <w:vAlign w:val="center"/>
            <w:hideMark/>
          </w:tcPr>
          <w:p w14:paraId="796E08B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0.121</w:t>
            </w:r>
          </w:p>
        </w:tc>
        <w:tc>
          <w:tcPr>
            <w:tcW w:w="0" w:type="auto"/>
            <w:vAlign w:val="center"/>
            <w:hideMark/>
          </w:tcPr>
          <w:p w14:paraId="0D50676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0.352</w:t>
            </w:r>
          </w:p>
        </w:tc>
        <w:tc>
          <w:tcPr>
            <w:tcW w:w="0" w:type="auto"/>
            <w:vAlign w:val="center"/>
            <w:hideMark/>
          </w:tcPr>
          <w:p w14:paraId="609B08D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0.118</w:t>
            </w:r>
          </w:p>
        </w:tc>
        <w:tc>
          <w:tcPr>
            <w:tcW w:w="0" w:type="auto"/>
            <w:vAlign w:val="center"/>
            <w:hideMark/>
          </w:tcPr>
          <w:p w14:paraId="36AE418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561568D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0.001</w:t>
            </w:r>
          </w:p>
        </w:tc>
        <w:tc>
          <w:tcPr>
            <w:tcW w:w="0" w:type="auto"/>
            <w:vAlign w:val="center"/>
            <w:hideMark/>
          </w:tcPr>
          <w:p w14:paraId="0E6480F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[-0.811, 0.568]</w:t>
            </w:r>
          </w:p>
        </w:tc>
      </w:tr>
      <w:tr w:rsidR="00315258" w:rsidRPr="00A638EC" w14:paraId="4888832E" w14:textId="77777777" w:rsidTr="00315258">
        <w:trPr>
          <w:trHeight w:val="257"/>
          <w:tblCellSpacing w:w="15" w:type="dxa"/>
        </w:trPr>
        <w:tc>
          <w:tcPr>
            <w:tcW w:w="0" w:type="auto"/>
            <w:vAlign w:val="center"/>
            <w:hideMark/>
          </w:tcPr>
          <w:p w14:paraId="5AC8542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Tangibility</w:t>
            </w:r>
          </w:p>
        </w:tc>
        <w:tc>
          <w:tcPr>
            <w:tcW w:w="0" w:type="auto"/>
            <w:vAlign w:val="center"/>
            <w:hideMark/>
          </w:tcPr>
          <w:p w14:paraId="5251E14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0.962</w:t>
            </w:r>
          </w:p>
        </w:tc>
        <w:tc>
          <w:tcPr>
            <w:tcW w:w="0" w:type="auto"/>
            <w:vAlign w:val="center"/>
            <w:hideMark/>
          </w:tcPr>
          <w:p w14:paraId="2A3CD4C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0.293</w:t>
            </w:r>
          </w:p>
        </w:tc>
        <w:tc>
          <w:tcPr>
            <w:tcW w:w="0" w:type="auto"/>
            <w:vAlign w:val="center"/>
            <w:hideMark/>
          </w:tcPr>
          <w:p w14:paraId="7ABB007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10.760</w:t>
            </w:r>
          </w:p>
        </w:tc>
        <w:tc>
          <w:tcPr>
            <w:tcW w:w="0" w:type="auto"/>
            <w:vAlign w:val="center"/>
            <w:hideMark/>
          </w:tcPr>
          <w:p w14:paraId="730F092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22DF620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0.073</w:t>
            </w:r>
          </w:p>
        </w:tc>
        <w:tc>
          <w:tcPr>
            <w:tcW w:w="0" w:type="auto"/>
            <w:vAlign w:val="center"/>
            <w:hideMark/>
          </w:tcPr>
          <w:p w14:paraId="6EBFA0C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[-1.537, -0.387]</w:t>
            </w:r>
          </w:p>
        </w:tc>
      </w:tr>
      <w:tr w:rsidR="00315258" w:rsidRPr="00A638EC" w14:paraId="4A2523C0" w14:textId="77777777" w:rsidTr="00315258">
        <w:trPr>
          <w:trHeight w:val="257"/>
          <w:tblCellSpacing w:w="15" w:type="dxa"/>
        </w:trPr>
        <w:tc>
          <w:tcPr>
            <w:tcW w:w="0" w:type="auto"/>
            <w:vAlign w:val="center"/>
            <w:hideMark/>
          </w:tcPr>
          <w:p w14:paraId="381D6A3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Assurance</w:t>
            </w:r>
          </w:p>
        </w:tc>
        <w:tc>
          <w:tcPr>
            <w:tcW w:w="0" w:type="auto"/>
            <w:vAlign w:val="center"/>
            <w:hideMark/>
          </w:tcPr>
          <w:p w14:paraId="5B81303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1.000</w:t>
            </w:r>
          </w:p>
        </w:tc>
        <w:tc>
          <w:tcPr>
            <w:tcW w:w="0" w:type="auto"/>
            <w:vAlign w:val="center"/>
            <w:hideMark/>
          </w:tcPr>
          <w:p w14:paraId="0622FB6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0.277</w:t>
            </w:r>
          </w:p>
        </w:tc>
        <w:tc>
          <w:tcPr>
            <w:tcW w:w="0" w:type="auto"/>
            <w:vAlign w:val="center"/>
            <w:hideMark/>
          </w:tcPr>
          <w:p w14:paraId="0713875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13.079</w:t>
            </w:r>
          </w:p>
        </w:tc>
        <w:tc>
          <w:tcPr>
            <w:tcW w:w="0" w:type="auto"/>
            <w:vAlign w:val="center"/>
            <w:hideMark/>
          </w:tcPr>
          <w:p w14:paraId="133B13A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5C6DD6B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7CD31DA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[0.458, 1.542]</w:t>
            </w:r>
          </w:p>
        </w:tc>
      </w:tr>
      <w:tr w:rsidR="00315258" w:rsidRPr="00A638EC" w14:paraId="72F21967" w14:textId="77777777" w:rsidTr="00315258">
        <w:trPr>
          <w:trHeight w:val="257"/>
          <w:tblCellSpacing w:w="15" w:type="dxa"/>
        </w:trPr>
        <w:tc>
          <w:tcPr>
            <w:tcW w:w="0" w:type="auto"/>
            <w:vAlign w:val="center"/>
            <w:hideMark/>
          </w:tcPr>
          <w:p w14:paraId="0DD94A4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Compliance</w:t>
            </w:r>
          </w:p>
        </w:tc>
        <w:tc>
          <w:tcPr>
            <w:tcW w:w="0" w:type="auto"/>
            <w:vAlign w:val="center"/>
            <w:hideMark/>
          </w:tcPr>
          <w:p w14:paraId="640445B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0.594</w:t>
            </w:r>
          </w:p>
        </w:tc>
        <w:tc>
          <w:tcPr>
            <w:tcW w:w="0" w:type="auto"/>
            <w:vAlign w:val="center"/>
            <w:hideMark/>
          </w:tcPr>
          <w:p w14:paraId="12F42E5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0.304</w:t>
            </w:r>
          </w:p>
        </w:tc>
        <w:tc>
          <w:tcPr>
            <w:tcW w:w="0" w:type="auto"/>
            <w:vAlign w:val="center"/>
            <w:hideMark/>
          </w:tcPr>
          <w:p w14:paraId="3CA3834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72.735</w:t>
            </w:r>
          </w:p>
        </w:tc>
        <w:tc>
          <w:tcPr>
            <w:tcW w:w="0" w:type="auto"/>
            <w:vAlign w:val="center"/>
            <w:hideMark/>
          </w:tcPr>
          <w:p w14:paraId="67F0C87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1B47262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138F13A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[-3.190, -1.998]</w:t>
            </w:r>
          </w:p>
        </w:tc>
      </w:tr>
      <w:tr w:rsidR="00315258" w:rsidRPr="00A638EC" w14:paraId="5256CE5D" w14:textId="77777777" w:rsidTr="00315258">
        <w:trPr>
          <w:trHeight w:val="243"/>
          <w:tblCellSpacing w:w="15" w:type="dxa"/>
        </w:trPr>
        <w:tc>
          <w:tcPr>
            <w:tcW w:w="0" w:type="auto"/>
            <w:vAlign w:val="center"/>
            <w:hideMark/>
          </w:tcPr>
          <w:p w14:paraId="4CC56A8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Responsiveness</w:t>
            </w:r>
          </w:p>
        </w:tc>
        <w:tc>
          <w:tcPr>
            <w:tcW w:w="0" w:type="auto"/>
            <w:vAlign w:val="center"/>
            <w:hideMark/>
          </w:tcPr>
          <w:p w14:paraId="4C95468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1.684</w:t>
            </w:r>
          </w:p>
        </w:tc>
        <w:tc>
          <w:tcPr>
            <w:tcW w:w="0" w:type="auto"/>
            <w:vAlign w:val="center"/>
            <w:hideMark/>
          </w:tcPr>
          <w:p w14:paraId="15BEFEA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0.377</w:t>
            </w:r>
          </w:p>
        </w:tc>
        <w:tc>
          <w:tcPr>
            <w:tcW w:w="0" w:type="auto"/>
            <w:vAlign w:val="center"/>
            <w:hideMark/>
          </w:tcPr>
          <w:p w14:paraId="5B3B6E0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19.913</w:t>
            </w:r>
          </w:p>
        </w:tc>
        <w:tc>
          <w:tcPr>
            <w:tcW w:w="0" w:type="auto"/>
            <w:vAlign w:val="center"/>
            <w:hideMark/>
          </w:tcPr>
          <w:p w14:paraId="11F9194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1C4C642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39AA38E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[0.945, 2.424]</w:t>
            </w:r>
          </w:p>
        </w:tc>
      </w:tr>
      <w:tr w:rsidR="00315258" w:rsidRPr="00A638EC" w14:paraId="36D25274" w14:textId="77777777" w:rsidTr="00315258">
        <w:trPr>
          <w:trHeight w:val="257"/>
          <w:tblCellSpacing w:w="15" w:type="dxa"/>
        </w:trPr>
        <w:tc>
          <w:tcPr>
            <w:tcW w:w="0" w:type="auto"/>
            <w:vAlign w:val="center"/>
            <w:hideMark/>
          </w:tcPr>
          <w:p w14:paraId="67379FB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Empathy</w:t>
            </w:r>
          </w:p>
        </w:tc>
        <w:tc>
          <w:tcPr>
            <w:tcW w:w="0" w:type="auto"/>
            <w:vAlign w:val="center"/>
            <w:hideMark/>
          </w:tcPr>
          <w:p w14:paraId="5BF66EA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1.026</w:t>
            </w:r>
          </w:p>
        </w:tc>
        <w:tc>
          <w:tcPr>
            <w:tcW w:w="0" w:type="auto"/>
            <w:vAlign w:val="center"/>
            <w:hideMark/>
          </w:tcPr>
          <w:p w14:paraId="18006B6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0.496</w:t>
            </w:r>
          </w:p>
        </w:tc>
        <w:tc>
          <w:tcPr>
            <w:tcW w:w="0" w:type="auto"/>
            <w:vAlign w:val="center"/>
            <w:hideMark/>
          </w:tcPr>
          <w:p w14:paraId="6324A9E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4.267</w:t>
            </w:r>
          </w:p>
        </w:tc>
        <w:tc>
          <w:tcPr>
            <w:tcW w:w="0" w:type="auto"/>
            <w:vAlign w:val="center"/>
            <w:hideMark/>
          </w:tcPr>
          <w:p w14:paraId="1097D7B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2C3A7F0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0.039</w:t>
            </w:r>
          </w:p>
        </w:tc>
        <w:tc>
          <w:tcPr>
            <w:tcW w:w="0" w:type="auto"/>
            <w:vAlign w:val="center"/>
            <w:hideMark/>
          </w:tcPr>
          <w:p w14:paraId="5B285F0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[0.052, 1.999]</w:t>
            </w:r>
          </w:p>
        </w:tc>
      </w:tr>
      <w:tr w:rsidR="00315258" w:rsidRPr="00A638EC" w14:paraId="6092BBA8" w14:textId="77777777" w:rsidTr="00315258">
        <w:trPr>
          <w:trHeight w:val="243"/>
          <w:tblCellSpacing w:w="15" w:type="dxa"/>
        </w:trPr>
        <w:tc>
          <w:tcPr>
            <w:tcW w:w="0" w:type="auto"/>
            <w:vAlign w:val="center"/>
            <w:hideMark/>
          </w:tcPr>
          <w:p w14:paraId="3DB20DD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Accessibility</w:t>
            </w:r>
          </w:p>
        </w:tc>
        <w:tc>
          <w:tcPr>
            <w:tcW w:w="0" w:type="auto"/>
            <w:vAlign w:val="center"/>
            <w:hideMark/>
          </w:tcPr>
          <w:p w14:paraId="72CA124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2.512</w:t>
            </w:r>
          </w:p>
        </w:tc>
        <w:tc>
          <w:tcPr>
            <w:tcW w:w="0" w:type="auto"/>
            <w:vAlign w:val="center"/>
            <w:hideMark/>
          </w:tcPr>
          <w:p w14:paraId="4D2BFC7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0.334</w:t>
            </w:r>
          </w:p>
        </w:tc>
        <w:tc>
          <w:tcPr>
            <w:tcW w:w="0" w:type="auto"/>
            <w:vAlign w:val="center"/>
            <w:hideMark/>
          </w:tcPr>
          <w:p w14:paraId="2B8156F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56.696</w:t>
            </w:r>
          </w:p>
        </w:tc>
        <w:tc>
          <w:tcPr>
            <w:tcW w:w="0" w:type="auto"/>
            <w:vAlign w:val="center"/>
            <w:hideMark/>
          </w:tcPr>
          <w:p w14:paraId="1BF1431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11A8175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7893FE6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[1.858, 3.166]</w:t>
            </w:r>
          </w:p>
        </w:tc>
      </w:tr>
    </w:tbl>
    <w:p w14:paraId="783615F0"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3AF6479B" w14:textId="15321700" w:rsidR="002D7D13" w:rsidRDefault="002D7D13" w:rsidP="002D7D13">
      <w:pPr>
        <w:autoSpaceDE w:val="0"/>
        <w:autoSpaceDN w:val="0"/>
        <w:adjustRightInd w:val="0"/>
        <w:spacing w:after="0" w:line="360" w:lineRule="auto"/>
        <w:jc w:val="both"/>
        <w:rPr>
          <w:rFonts w:ascii="Times New Roman" w:eastAsia="Times New Roman" w:hAnsi="Times New Roman" w:cs="Times New Roman"/>
          <w:sz w:val="24"/>
          <w:szCs w:val="24"/>
        </w:rPr>
      </w:pPr>
      <w:r w:rsidRPr="002D7D13">
        <w:rPr>
          <w:rFonts w:ascii="Times New Roman" w:eastAsia="Times New Roman" w:hAnsi="Times New Roman" w:cs="Times New Roman"/>
          <w:sz w:val="24"/>
          <w:szCs w:val="24"/>
        </w:rPr>
        <w:t>The ordinal logistic regression reveals that six of seven service quality dimensions significantly predict customer satisfaction in Interest-Free Banking, with accessibility and responsiveness emerging as the dominant drivers of positive customer outcomes. Accessibility demonstrates the strongest influence on satisfaction, indicating that convenient branch locations, geographic proximity, and ease of reaching banking services constitute the critical foundation for customer contentment in Ethiopian Islamic banking. Responsiveness follows as the second most important factor, highlighting that prompt service delivery, speedy transaction processing, and minimal waiting times substantially enhance customer perceptions of service quality. Assurance and empathy contribute meaningfully to satisfaction by fostering customer confidence through competent staff and personalized attention, while Sharia compliance and reliability, though statistically significant, exert more modest effects on overall satisfacti</w:t>
      </w:r>
      <w:r>
        <w:rPr>
          <w:rFonts w:ascii="Times New Roman" w:eastAsia="Times New Roman" w:hAnsi="Times New Roman" w:cs="Times New Roman"/>
          <w:sz w:val="24"/>
          <w:szCs w:val="24"/>
        </w:rPr>
        <w:t xml:space="preserve">on levels. Notably, tangibility </w:t>
      </w:r>
      <w:r w:rsidRPr="002D7D13">
        <w:rPr>
          <w:rFonts w:ascii="Times New Roman" w:eastAsia="Times New Roman" w:hAnsi="Times New Roman" w:cs="Times New Roman"/>
          <w:sz w:val="24"/>
          <w:szCs w:val="24"/>
        </w:rPr>
        <w:t>the physical appeara</w:t>
      </w:r>
      <w:r>
        <w:rPr>
          <w:rFonts w:ascii="Times New Roman" w:eastAsia="Times New Roman" w:hAnsi="Times New Roman" w:cs="Times New Roman"/>
          <w:sz w:val="24"/>
          <w:szCs w:val="24"/>
        </w:rPr>
        <w:t xml:space="preserve">nce of facilities and equipment </w:t>
      </w:r>
      <w:r w:rsidRPr="002D7D13">
        <w:rPr>
          <w:rFonts w:ascii="Times New Roman" w:eastAsia="Times New Roman" w:hAnsi="Times New Roman" w:cs="Times New Roman"/>
          <w:sz w:val="24"/>
          <w:szCs w:val="24"/>
        </w:rPr>
        <w:t xml:space="preserve">failed to achieve statistical significance, suggesting that Ethiopian Islamic banking customers prioritize functional service delivery and operational efficiency over aesthetic or material aspects of the banking environment. These findings establish that functional service infrastructure, particularly accessibility and responsiveness, outweighs both affective service elements and tangible facilities in determining customer satisfaction, implying that Islamic banks in Ethiopia should prioritize geographic </w:t>
      </w:r>
      <w:r w:rsidRPr="002D7D13">
        <w:rPr>
          <w:rFonts w:ascii="Times New Roman" w:eastAsia="Times New Roman" w:hAnsi="Times New Roman" w:cs="Times New Roman"/>
          <w:sz w:val="24"/>
          <w:szCs w:val="24"/>
        </w:rPr>
        <w:lastRenderedPageBreak/>
        <w:t>expansion, branch network optimization, and service speed enhancements over investments in physical premises or decorative improvements when seeking to improve customer outcomes.</w:t>
      </w:r>
    </w:p>
    <w:p w14:paraId="38D24551" w14:textId="1525CC1E" w:rsidR="00315258" w:rsidRPr="00A638EC" w:rsidRDefault="00315258" w:rsidP="00315258">
      <w:pPr>
        <w:autoSpaceDE w:val="0"/>
        <w:autoSpaceDN w:val="0"/>
        <w:adjustRightInd w:val="0"/>
        <w:spacing w:after="0" w:line="360" w:lineRule="auto"/>
        <w:rPr>
          <w:rFonts w:ascii="Times New Roman" w:eastAsia="TimesNewRomanPS-BoldMT" w:hAnsi="Times New Roman" w:cs="Times New Roman"/>
          <w:bCs/>
          <w:color w:val="000000"/>
          <w:sz w:val="28"/>
          <w:szCs w:val="24"/>
        </w:rPr>
      </w:pPr>
      <w:proofErr w:type="gramStart"/>
      <w:r w:rsidRPr="00A638EC">
        <w:rPr>
          <w:rFonts w:ascii="Times New Roman" w:eastAsia="Times New Roman" w:hAnsi="Times New Roman" w:cs="Times New Roman"/>
          <w:i/>
          <w:color w:val="000000"/>
          <w:sz w:val="36"/>
          <w:szCs w:val="24"/>
        </w:rPr>
        <w:t>log</w:t>
      </w:r>
      <w:proofErr w:type="gramEnd"/>
      <w:r w:rsidRPr="00A638EC">
        <w:rPr>
          <w:rFonts w:ascii="Times New Roman" w:eastAsia="Times New Roman" w:hAnsi="Times New Roman" w:cs="Times New Roman"/>
          <w:i/>
          <w:color w:val="000000"/>
          <w:sz w:val="32"/>
          <w:szCs w:val="24"/>
        </w:rPr>
        <w:t xml:space="preserve"> </w:t>
      </w:r>
      <w:r w:rsidRPr="00A638EC">
        <w:rPr>
          <w:rFonts w:ascii="Times New Roman" w:eastAsia="Times New Roman" w:hAnsi="Times New Roman" w:cs="Times New Roman"/>
          <w:color w:val="000000"/>
          <w:sz w:val="40"/>
          <w:szCs w:val="24"/>
        </w:rPr>
        <w:t>(</w:t>
      </w:r>
      <w:r w:rsidRPr="00A638EC">
        <w:rPr>
          <w:rFonts w:ascii="Calibri" w:eastAsia="Calibri" w:hAnsi="Calibri" w:cs="SimSun"/>
          <w:color w:val="000000"/>
          <w:sz w:val="18"/>
        </w:rPr>
        <w:t xml:space="preserve"> </w:t>
      </w:r>
      <m:oMath>
        <m:f>
          <m:fPr>
            <m:ctrlPr>
              <w:rPr>
                <w:rFonts w:ascii="Cambria Math" w:eastAsia="CambriaMath" w:hAnsi="Cambria Math" w:cs="Times New Roman"/>
                <w:i/>
                <w:color w:val="000000"/>
                <w:sz w:val="28"/>
                <w:szCs w:val="32"/>
              </w:rPr>
            </m:ctrlPr>
          </m:fPr>
          <m:num>
            <m:r>
              <w:rPr>
                <w:rFonts w:ascii="Cambria Math" w:eastAsia="Times New Roman" w:hAnsi="Cambria Math" w:cs="Times New Roman"/>
                <w:color w:val="000000"/>
                <w:sz w:val="28"/>
                <w:szCs w:val="32"/>
              </w:rPr>
              <m:t>P</m:t>
            </m:r>
            <m:r>
              <w:rPr>
                <w:rFonts w:ascii="Cambria Math" w:eastAsia="Times New Roman" w:hAnsi="Cambria Math" w:cs="Times New Roman"/>
                <w:color w:val="000000"/>
                <w:sz w:val="28"/>
                <w:szCs w:val="32"/>
                <w:vertAlign w:val="subscript"/>
              </w:rPr>
              <m:t>i</m:t>
            </m:r>
          </m:num>
          <m:den>
            <m:r>
              <w:rPr>
                <w:rFonts w:ascii="Cambria Math" w:eastAsia="Times New Roman" w:hAnsi="Cambria Math" w:cs="Times New Roman"/>
                <w:color w:val="000000"/>
                <w:sz w:val="28"/>
                <w:szCs w:val="32"/>
              </w:rPr>
              <m:t>1-P</m:t>
            </m:r>
            <m:r>
              <w:rPr>
                <w:rFonts w:ascii="Cambria Math" w:eastAsia="Times New Roman" w:hAnsi="Cambria Math" w:cs="Times New Roman"/>
                <w:color w:val="000000"/>
                <w:sz w:val="28"/>
                <w:szCs w:val="32"/>
                <w:vertAlign w:val="subscript"/>
              </w:rPr>
              <m:t>i</m:t>
            </m:r>
          </m:den>
        </m:f>
      </m:oMath>
      <w:r w:rsidRPr="00A638EC">
        <w:rPr>
          <w:rFonts w:ascii="Times New Roman" w:eastAsia="Calibri" w:hAnsi="Times New Roman" w:cs="Times New Roman"/>
          <w:color w:val="000000"/>
          <w:sz w:val="40"/>
          <w:szCs w:val="32"/>
        </w:rPr>
        <w:t>)</w:t>
      </w:r>
      <w:r w:rsidRPr="00A638EC">
        <w:rPr>
          <w:rFonts w:ascii="Times New Roman" w:eastAsia="Times New Roman" w:hAnsi="Times New Roman" w:cs="Times New Roman"/>
          <w:color w:val="000000"/>
          <w:sz w:val="18"/>
          <w:szCs w:val="24"/>
        </w:rPr>
        <w:t xml:space="preserve"> </w:t>
      </w:r>
      <w:r w:rsidRPr="00A638EC">
        <w:rPr>
          <w:rFonts w:ascii="Times New Roman" w:eastAsia="Times New Roman" w:hAnsi="Times New Roman" w:cs="Times New Roman"/>
          <w:color w:val="000000"/>
          <w:sz w:val="24"/>
          <w:szCs w:val="24"/>
        </w:rPr>
        <w:t xml:space="preserve"> </w:t>
      </w:r>
      <w:r w:rsidRPr="00A638EC">
        <w:rPr>
          <w:rFonts w:ascii="Times New Roman" w:eastAsia="Times New Roman" w:hAnsi="Times New Roman" w:cs="Times New Roman"/>
          <w:color w:val="000000"/>
          <w:sz w:val="28"/>
          <w:szCs w:val="24"/>
        </w:rPr>
        <w:t xml:space="preserve">= </w:t>
      </w:r>
      <w:r w:rsidRPr="00A638EC">
        <w:rPr>
          <w:rFonts w:ascii="Times New Roman" w:eastAsia="TimesNewRomanPS-BoldMT" w:hAnsi="Times New Roman" w:cs="Times New Roman"/>
          <w:bCs/>
          <w:color w:val="000000"/>
          <w:sz w:val="24"/>
          <w:szCs w:val="24"/>
        </w:rPr>
        <w:t>-2.509 +0.121(RLB) +1.000(ASR) +0.594 (COMP)   + 1.684(RSP) +1.026(EMP) +2.512(ACSB) +</w:t>
      </w:r>
      <w:r w:rsidRPr="00A638EC">
        <w:rPr>
          <w:rFonts w:ascii="Times New Roman" w:eastAsia="Calibri" w:hAnsi="Times New Roman" w:cs="Times New Roman"/>
          <w:sz w:val="32"/>
        </w:rPr>
        <w:t xml:space="preserve"> </w:t>
      </w:r>
      <w:proofErr w:type="spellStart"/>
      <w:r w:rsidRPr="00A638EC">
        <w:rPr>
          <w:rFonts w:ascii="Times New Roman" w:eastAsia="Calibri" w:hAnsi="Times New Roman" w:cs="Times New Roman"/>
          <w:sz w:val="28"/>
        </w:rPr>
        <w:t>ε</w:t>
      </w:r>
      <w:r w:rsidRPr="00A638EC">
        <w:rPr>
          <w:rFonts w:ascii="Times New Roman" w:eastAsia="Calibri" w:hAnsi="Times New Roman" w:cs="Times New Roman"/>
          <w:vertAlign w:val="subscript"/>
        </w:rPr>
        <w:t>i</w:t>
      </w:r>
      <w:proofErr w:type="spellEnd"/>
    </w:p>
    <w:p w14:paraId="75BA177A"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4.5.5. Odds Ratios</w:t>
      </w:r>
    </w:p>
    <w:p w14:paraId="7F23A877"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t>In ordinal logistic regression, the odds ratio measures the effect of each independent variable on the log odds of the dependent variable and is calculated using the formula: Odds Ratio = e^β, where β is the estimated coefficient. An odds ratio less than one indicates that a one-unit increase in the independent variable leads to a decrease in the odds of being in a higher category of the dependent variable. Conversely, an odds ratio greater than one indicates that a one-unit increase in the independent variable leads to an increase in the odds of being in a higher category. An odds ratio equal to one suggests no effect. The odds ratios calculated for this study, based on the parameter estimates from the ordinal logistic regression model, are presented in the following table.</w:t>
      </w:r>
    </w:p>
    <w:p w14:paraId="1602D4E5"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13: Odds Ratios</w:t>
      </w:r>
    </w:p>
    <w:tbl>
      <w:tblPr>
        <w:tblW w:w="85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7"/>
        <w:gridCol w:w="2023"/>
        <w:gridCol w:w="3145"/>
        <w:gridCol w:w="947"/>
      </w:tblGrid>
      <w:tr w:rsidR="00315258" w:rsidRPr="00A638EC" w14:paraId="5229904D" w14:textId="77777777" w:rsidTr="00315258">
        <w:trPr>
          <w:trHeight w:val="261"/>
          <w:tblHeader/>
          <w:tblCellSpacing w:w="15" w:type="dxa"/>
        </w:trPr>
        <w:tc>
          <w:tcPr>
            <w:tcW w:w="0" w:type="auto"/>
            <w:vAlign w:val="center"/>
            <w:hideMark/>
          </w:tcPr>
          <w:p w14:paraId="05AE0BD1"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Variable</w:t>
            </w:r>
          </w:p>
        </w:tc>
        <w:tc>
          <w:tcPr>
            <w:tcW w:w="0" w:type="auto"/>
            <w:vAlign w:val="center"/>
            <w:hideMark/>
          </w:tcPr>
          <w:p w14:paraId="0108145E"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Estimate (β)</w:t>
            </w:r>
          </w:p>
        </w:tc>
        <w:tc>
          <w:tcPr>
            <w:tcW w:w="0" w:type="auto"/>
            <w:vAlign w:val="center"/>
            <w:hideMark/>
          </w:tcPr>
          <w:p w14:paraId="2E01F98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Odds Ratio (Exp β)</w:t>
            </w:r>
          </w:p>
        </w:tc>
        <w:tc>
          <w:tcPr>
            <w:tcW w:w="0" w:type="auto"/>
            <w:vAlign w:val="center"/>
            <w:hideMark/>
          </w:tcPr>
          <w:p w14:paraId="1CCF2776"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r>
      <w:tr w:rsidR="00315258" w:rsidRPr="00A638EC" w14:paraId="45919A2D" w14:textId="77777777" w:rsidTr="00315258">
        <w:trPr>
          <w:trHeight w:val="276"/>
          <w:tblCellSpacing w:w="15" w:type="dxa"/>
        </w:trPr>
        <w:tc>
          <w:tcPr>
            <w:tcW w:w="0" w:type="auto"/>
            <w:vAlign w:val="center"/>
            <w:hideMark/>
          </w:tcPr>
          <w:p w14:paraId="1F91C58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Reliability</w:t>
            </w:r>
          </w:p>
        </w:tc>
        <w:tc>
          <w:tcPr>
            <w:tcW w:w="0" w:type="auto"/>
            <w:vAlign w:val="center"/>
            <w:hideMark/>
          </w:tcPr>
          <w:p w14:paraId="3653D59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0.121</w:t>
            </w:r>
          </w:p>
        </w:tc>
        <w:tc>
          <w:tcPr>
            <w:tcW w:w="0" w:type="auto"/>
            <w:vAlign w:val="center"/>
            <w:hideMark/>
          </w:tcPr>
          <w:p w14:paraId="4936AE6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1.129</w:t>
            </w:r>
          </w:p>
        </w:tc>
        <w:tc>
          <w:tcPr>
            <w:tcW w:w="0" w:type="auto"/>
            <w:vAlign w:val="center"/>
            <w:hideMark/>
          </w:tcPr>
          <w:p w14:paraId="51CD21A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0.001</w:t>
            </w:r>
          </w:p>
        </w:tc>
      </w:tr>
      <w:tr w:rsidR="00315258" w:rsidRPr="00A638EC" w14:paraId="439CFED1" w14:textId="77777777" w:rsidTr="00315258">
        <w:trPr>
          <w:trHeight w:val="276"/>
          <w:tblCellSpacing w:w="15" w:type="dxa"/>
        </w:trPr>
        <w:tc>
          <w:tcPr>
            <w:tcW w:w="0" w:type="auto"/>
            <w:vAlign w:val="center"/>
            <w:hideMark/>
          </w:tcPr>
          <w:p w14:paraId="7DD4904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Assurance</w:t>
            </w:r>
          </w:p>
        </w:tc>
        <w:tc>
          <w:tcPr>
            <w:tcW w:w="0" w:type="auto"/>
            <w:vAlign w:val="center"/>
            <w:hideMark/>
          </w:tcPr>
          <w:p w14:paraId="5EAEFAA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1.000</w:t>
            </w:r>
          </w:p>
        </w:tc>
        <w:tc>
          <w:tcPr>
            <w:tcW w:w="0" w:type="auto"/>
            <w:vAlign w:val="center"/>
            <w:hideMark/>
          </w:tcPr>
          <w:p w14:paraId="79D1FDC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2.718</w:t>
            </w:r>
          </w:p>
        </w:tc>
        <w:tc>
          <w:tcPr>
            <w:tcW w:w="0" w:type="auto"/>
            <w:vAlign w:val="center"/>
            <w:hideMark/>
          </w:tcPr>
          <w:p w14:paraId="0801AED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r>
      <w:tr w:rsidR="00315258" w:rsidRPr="00A638EC" w14:paraId="37B09D40" w14:textId="77777777" w:rsidTr="00315258">
        <w:trPr>
          <w:trHeight w:val="276"/>
          <w:tblCellSpacing w:w="15" w:type="dxa"/>
        </w:trPr>
        <w:tc>
          <w:tcPr>
            <w:tcW w:w="0" w:type="auto"/>
            <w:vAlign w:val="center"/>
            <w:hideMark/>
          </w:tcPr>
          <w:p w14:paraId="78E85EC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Compliance</w:t>
            </w:r>
          </w:p>
        </w:tc>
        <w:tc>
          <w:tcPr>
            <w:tcW w:w="0" w:type="auto"/>
            <w:vAlign w:val="center"/>
            <w:hideMark/>
          </w:tcPr>
          <w:p w14:paraId="0589FE9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0.594</w:t>
            </w:r>
          </w:p>
        </w:tc>
        <w:tc>
          <w:tcPr>
            <w:tcW w:w="0" w:type="auto"/>
            <w:vAlign w:val="center"/>
            <w:hideMark/>
          </w:tcPr>
          <w:p w14:paraId="19F8ED8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1.811</w:t>
            </w:r>
          </w:p>
        </w:tc>
        <w:tc>
          <w:tcPr>
            <w:tcW w:w="0" w:type="auto"/>
            <w:vAlign w:val="center"/>
            <w:hideMark/>
          </w:tcPr>
          <w:p w14:paraId="7DBC30F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r>
      <w:tr w:rsidR="00315258" w:rsidRPr="00A638EC" w14:paraId="770DB164" w14:textId="77777777" w:rsidTr="00315258">
        <w:trPr>
          <w:trHeight w:val="261"/>
          <w:tblCellSpacing w:w="15" w:type="dxa"/>
        </w:trPr>
        <w:tc>
          <w:tcPr>
            <w:tcW w:w="0" w:type="auto"/>
            <w:vAlign w:val="center"/>
            <w:hideMark/>
          </w:tcPr>
          <w:p w14:paraId="0D8D686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Responsiveness</w:t>
            </w:r>
          </w:p>
        </w:tc>
        <w:tc>
          <w:tcPr>
            <w:tcW w:w="0" w:type="auto"/>
            <w:vAlign w:val="center"/>
            <w:hideMark/>
          </w:tcPr>
          <w:p w14:paraId="04EB348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1.684</w:t>
            </w:r>
          </w:p>
        </w:tc>
        <w:tc>
          <w:tcPr>
            <w:tcW w:w="0" w:type="auto"/>
            <w:vAlign w:val="center"/>
            <w:hideMark/>
          </w:tcPr>
          <w:p w14:paraId="4E4BC5B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5.387</w:t>
            </w:r>
          </w:p>
        </w:tc>
        <w:tc>
          <w:tcPr>
            <w:tcW w:w="0" w:type="auto"/>
            <w:vAlign w:val="center"/>
            <w:hideMark/>
          </w:tcPr>
          <w:p w14:paraId="4BEDA63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r>
      <w:tr w:rsidR="00315258" w:rsidRPr="00A638EC" w14:paraId="33E5BA1E" w14:textId="77777777" w:rsidTr="00315258">
        <w:trPr>
          <w:trHeight w:val="276"/>
          <w:tblCellSpacing w:w="15" w:type="dxa"/>
        </w:trPr>
        <w:tc>
          <w:tcPr>
            <w:tcW w:w="0" w:type="auto"/>
            <w:vAlign w:val="center"/>
            <w:hideMark/>
          </w:tcPr>
          <w:p w14:paraId="635B326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Empathy</w:t>
            </w:r>
          </w:p>
        </w:tc>
        <w:tc>
          <w:tcPr>
            <w:tcW w:w="0" w:type="auto"/>
            <w:vAlign w:val="center"/>
            <w:hideMark/>
          </w:tcPr>
          <w:p w14:paraId="3CA8803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1.026</w:t>
            </w:r>
          </w:p>
        </w:tc>
        <w:tc>
          <w:tcPr>
            <w:tcW w:w="0" w:type="auto"/>
            <w:vAlign w:val="center"/>
            <w:hideMark/>
          </w:tcPr>
          <w:p w14:paraId="274AA02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2.789</w:t>
            </w:r>
          </w:p>
        </w:tc>
        <w:tc>
          <w:tcPr>
            <w:tcW w:w="0" w:type="auto"/>
            <w:vAlign w:val="center"/>
            <w:hideMark/>
          </w:tcPr>
          <w:p w14:paraId="74EFF06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0.039</w:t>
            </w:r>
          </w:p>
        </w:tc>
      </w:tr>
      <w:tr w:rsidR="00315258" w:rsidRPr="00A638EC" w14:paraId="649DF8C6" w14:textId="77777777" w:rsidTr="00315258">
        <w:trPr>
          <w:trHeight w:val="261"/>
          <w:tblCellSpacing w:w="15" w:type="dxa"/>
        </w:trPr>
        <w:tc>
          <w:tcPr>
            <w:tcW w:w="0" w:type="auto"/>
            <w:vAlign w:val="center"/>
            <w:hideMark/>
          </w:tcPr>
          <w:p w14:paraId="0F21D49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Accessibility</w:t>
            </w:r>
          </w:p>
        </w:tc>
        <w:tc>
          <w:tcPr>
            <w:tcW w:w="0" w:type="auto"/>
            <w:vAlign w:val="center"/>
            <w:hideMark/>
          </w:tcPr>
          <w:p w14:paraId="1FE44C9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2.512</w:t>
            </w:r>
          </w:p>
        </w:tc>
        <w:tc>
          <w:tcPr>
            <w:tcW w:w="0" w:type="auto"/>
            <w:vAlign w:val="center"/>
            <w:hideMark/>
          </w:tcPr>
          <w:p w14:paraId="145BF4A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12.329</w:t>
            </w:r>
          </w:p>
        </w:tc>
        <w:tc>
          <w:tcPr>
            <w:tcW w:w="0" w:type="auto"/>
            <w:vAlign w:val="center"/>
            <w:hideMark/>
          </w:tcPr>
          <w:p w14:paraId="26C4BD4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r>
    </w:tbl>
    <w:p w14:paraId="1B5DB5AC"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13D1AFA2" w14:textId="77777777" w:rsidR="001736AF" w:rsidRPr="001736AF" w:rsidRDefault="001736AF" w:rsidP="001736AF">
      <w:pPr>
        <w:spacing w:before="100" w:beforeAutospacing="1" w:after="100" w:afterAutospacing="1" w:line="360" w:lineRule="auto"/>
        <w:jc w:val="both"/>
        <w:rPr>
          <w:rFonts w:ascii="Times New Roman" w:eastAsia="Times New Roman" w:hAnsi="Times New Roman" w:cs="Times New Roman"/>
          <w:sz w:val="24"/>
          <w:szCs w:val="24"/>
        </w:rPr>
      </w:pPr>
      <w:r w:rsidRPr="001736AF">
        <w:rPr>
          <w:rFonts w:ascii="Times New Roman" w:eastAsia="Times New Roman" w:hAnsi="Times New Roman" w:cs="Times New Roman"/>
          <w:sz w:val="24"/>
          <w:szCs w:val="24"/>
        </w:rPr>
        <w:t xml:space="preserve">The odds ratio results reveal that accessibility is the most influential determinant of customer satisfaction in Interest-Free Banking, with an odds ratio of 12.329 indicating that a one-unit improvement in accessibility increases the odds of higher customer satisfaction by a factor of 12.33, or 1,133 percent, holding all other service quality dimensions constant. This dominant effect suggests that physical proximity, convenient branch locations, and ease of access represent the </w:t>
      </w:r>
      <w:r w:rsidRPr="001736AF">
        <w:rPr>
          <w:rFonts w:ascii="Times New Roman" w:eastAsia="Times New Roman" w:hAnsi="Times New Roman" w:cs="Times New Roman"/>
          <w:sz w:val="24"/>
          <w:szCs w:val="24"/>
        </w:rPr>
        <w:lastRenderedPageBreak/>
        <w:t xml:space="preserve">critical bottleneck in Ethiopian Islamic banking service delivery, particularly in underserved regional markets like </w:t>
      </w:r>
      <w:proofErr w:type="spellStart"/>
      <w:r w:rsidRPr="001736AF">
        <w:rPr>
          <w:rFonts w:ascii="Times New Roman" w:eastAsia="Times New Roman" w:hAnsi="Times New Roman" w:cs="Times New Roman"/>
          <w:sz w:val="24"/>
          <w:szCs w:val="24"/>
        </w:rPr>
        <w:t>Yabello</w:t>
      </w:r>
      <w:proofErr w:type="spellEnd"/>
      <w:r w:rsidRPr="001736AF">
        <w:rPr>
          <w:rFonts w:ascii="Times New Roman" w:eastAsia="Times New Roman" w:hAnsi="Times New Roman" w:cs="Times New Roman"/>
          <w:sz w:val="24"/>
          <w:szCs w:val="24"/>
        </w:rPr>
        <w:t xml:space="preserve"> where geographic dispersion and infrastructure limitations constrain customer reach. Responsiveness follows as the second strongest predictor with an odds ratio of 5.387, meaning a one-unit increase in service speed and promptness raises the odds of satisfaction by 439 percent, underscoring the importance of timely transaction processing and efficient service delivery in a competitive banking environment where customers compare Islamic and conventional alternatives.</w:t>
      </w:r>
    </w:p>
    <w:p w14:paraId="6E4B9E1C" w14:textId="77777777" w:rsidR="001736AF" w:rsidRPr="001736AF" w:rsidRDefault="001736AF" w:rsidP="001736AF">
      <w:pPr>
        <w:spacing w:before="100" w:beforeAutospacing="1" w:after="100" w:afterAutospacing="1" w:line="360" w:lineRule="auto"/>
        <w:jc w:val="both"/>
        <w:rPr>
          <w:rFonts w:ascii="Times New Roman" w:eastAsia="Times New Roman" w:hAnsi="Times New Roman" w:cs="Times New Roman"/>
          <w:sz w:val="24"/>
          <w:szCs w:val="24"/>
        </w:rPr>
      </w:pPr>
      <w:r w:rsidRPr="001736AF">
        <w:rPr>
          <w:rFonts w:ascii="Times New Roman" w:eastAsia="Times New Roman" w:hAnsi="Times New Roman" w:cs="Times New Roman"/>
          <w:sz w:val="24"/>
          <w:szCs w:val="24"/>
        </w:rPr>
        <w:t>Empathy and assurance demonstrate moderately strong and nearly equivalent effects, with odds ratios of 2.789 and 2.718 respectively, translating to 179 percent and 172 percent increases in the odds of satisfaction for each unit improvement. These findings indicate that personalized attention, understanding of customer needs, and staff competence inspire confidence and trust, yet their impact remains substantially below that of accessibility and responsiveness, suggesting that affective service elements complement but cannot substitute for functional service infrastructure. Sharia compliance, the distinctive value proposition of Islamic banking, exhibits a more modest odds ratio of 1.811, corresponding to an 81 percent increase in satisfaction odds per unit improvement, confirming that while religious adherence motivates initial bank selection, it operates as a threshold or hygiene factor rather than a primary driver of satisfaction variation among existing customers.</w:t>
      </w:r>
    </w:p>
    <w:p w14:paraId="1B991429" w14:textId="65FD8437" w:rsidR="001736AF" w:rsidRDefault="001736AF" w:rsidP="001736AF">
      <w:pPr>
        <w:spacing w:before="100" w:beforeAutospacing="1" w:after="100" w:afterAutospacing="1" w:line="360" w:lineRule="auto"/>
        <w:jc w:val="both"/>
        <w:rPr>
          <w:rFonts w:ascii="Times New Roman" w:eastAsia="Times New Roman" w:hAnsi="Times New Roman" w:cs="Times New Roman"/>
          <w:sz w:val="24"/>
          <w:szCs w:val="24"/>
        </w:rPr>
      </w:pPr>
      <w:r w:rsidRPr="001736AF">
        <w:rPr>
          <w:rFonts w:ascii="Times New Roman" w:eastAsia="Times New Roman" w:hAnsi="Times New Roman" w:cs="Times New Roman"/>
          <w:sz w:val="24"/>
          <w:szCs w:val="24"/>
        </w:rPr>
        <w:t>Reliability, despite being statistically significant at the 0.001 level, shows the weakest effect with an odds ratio of 1.129, or merely a 13 percent increase in satisfaction odds, implying that consistency and dependability, while necessary, are insufficient to differentiate banks in a market where customers prioritize tangible access and speed over procedural regularity. Collectively, these results establish a clear hierarchy of service quality priorities for Islamic banks in Ethiopia: accessibility and responsiveness constitute the essential foundation for customer satisfaction, empathy and assurance provide meaningful but secondary differentiation, and compliance and reliability serve as baseline expectations that must be met but offer limited competitive advantage when enhanced beyond minimum standards.</w:t>
      </w:r>
    </w:p>
    <w:p w14:paraId="6888D0AB"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4.5.6. Hypothesis Testing Summary</w:t>
      </w:r>
    </w:p>
    <w:p w14:paraId="63BA2921"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14: Hypothesis Testing Results</w:t>
      </w:r>
    </w:p>
    <w:tbl>
      <w:tblPr>
        <w:tblW w:w="10348" w:type="dxa"/>
        <w:tblCellSpacing w:w="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0"/>
        <w:gridCol w:w="6107"/>
        <w:gridCol w:w="669"/>
        <w:gridCol w:w="669"/>
        <w:gridCol w:w="1463"/>
      </w:tblGrid>
      <w:tr w:rsidR="00315258" w:rsidRPr="00A638EC" w14:paraId="392EDB9E" w14:textId="77777777" w:rsidTr="00315258">
        <w:trPr>
          <w:trHeight w:val="255"/>
          <w:tblHeader/>
          <w:tblCellSpacing w:w="15" w:type="dxa"/>
        </w:trPr>
        <w:tc>
          <w:tcPr>
            <w:tcW w:w="1395" w:type="dxa"/>
            <w:vAlign w:val="center"/>
            <w:hideMark/>
          </w:tcPr>
          <w:p w14:paraId="77C8BE3D"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lastRenderedPageBreak/>
              <w:t>Hypothesis</w:t>
            </w:r>
          </w:p>
        </w:tc>
        <w:tc>
          <w:tcPr>
            <w:tcW w:w="6077" w:type="dxa"/>
            <w:vAlign w:val="center"/>
            <w:hideMark/>
          </w:tcPr>
          <w:p w14:paraId="6B370F89"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Statement</w:t>
            </w:r>
          </w:p>
        </w:tc>
        <w:tc>
          <w:tcPr>
            <w:tcW w:w="0" w:type="auto"/>
            <w:vAlign w:val="center"/>
            <w:hideMark/>
          </w:tcPr>
          <w:p w14:paraId="3A5BF1D5"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c>
          <w:tcPr>
            <w:tcW w:w="0" w:type="auto"/>
            <w:vAlign w:val="center"/>
            <w:hideMark/>
          </w:tcPr>
          <w:p w14:paraId="745943F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β</w:t>
            </w:r>
          </w:p>
        </w:tc>
        <w:tc>
          <w:tcPr>
            <w:tcW w:w="0" w:type="auto"/>
            <w:vAlign w:val="center"/>
            <w:hideMark/>
          </w:tcPr>
          <w:p w14:paraId="1F91D897"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Decision</w:t>
            </w:r>
          </w:p>
        </w:tc>
      </w:tr>
      <w:tr w:rsidR="00315258" w:rsidRPr="00A638EC" w14:paraId="401C2C0E" w14:textId="77777777" w:rsidTr="00315258">
        <w:trPr>
          <w:trHeight w:val="270"/>
          <w:tblCellSpacing w:w="15" w:type="dxa"/>
        </w:trPr>
        <w:tc>
          <w:tcPr>
            <w:tcW w:w="1395" w:type="dxa"/>
            <w:vAlign w:val="center"/>
            <w:hideMark/>
          </w:tcPr>
          <w:p w14:paraId="55AC102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H01</w:t>
            </w:r>
          </w:p>
        </w:tc>
        <w:tc>
          <w:tcPr>
            <w:tcW w:w="6077" w:type="dxa"/>
            <w:vAlign w:val="center"/>
            <w:hideMark/>
          </w:tcPr>
          <w:p w14:paraId="44F51E4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Reliability has no significant effect on satisfaction</w:t>
            </w:r>
          </w:p>
        </w:tc>
        <w:tc>
          <w:tcPr>
            <w:tcW w:w="0" w:type="auto"/>
            <w:vAlign w:val="center"/>
            <w:hideMark/>
          </w:tcPr>
          <w:p w14:paraId="0A988AA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0.001</w:t>
            </w:r>
          </w:p>
        </w:tc>
        <w:tc>
          <w:tcPr>
            <w:tcW w:w="0" w:type="auto"/>
            <w:vAlign w:val="center"/>
            <w:hideMark/>
          </w:tcPr>
          <w:p w14:paraId="190AF25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0.121</w:t>
            </w:r>
          </w:p>
        </w:tc>
        <w:tc>
          <w:tcPr>
            <w:tcW w:w="0" w:type="auto"/>
            <w:vAlign w:val="center"/>
            <w:hideMark/>
          </w:tcPr>
          <w:p w14:paraId="5400DC9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r w:rsidR="00315258" w:rsidRPr="00A638EC" w14:paraId="47EEA657" w14:textId="77777777" w:rsidTr="00315258">
        <w:trPr>
          <w:trHeight w:val="270"/>
          <w:tblCellSpacing w:w="15" w:type="dxa"/>
        </w:trPr>
        <w:tc>
          <w:tcPr>
            <w:tcW w:w="1395" w:type="dxa"/>
            <w:vAlign w:val="center"/>
            <w:hideMark/>
          </w:tcPr>
          <w:p w14:paraId="13D2F7B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H02</w:t>
            </w:r>
          </w:p>
        </w:tc>
        <w:tc>
          <w:tcPr>
            <w:tcW w:w="6077" w:type="dxa"/>
            <w:vAlign w:val="center"/>
            <w:hideMark/>
          </w:tcPr>
          <w:p w14:paraId="1F751CA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Tangibility has no significant effect on satisfaction</w:t>
            </w:r>
          </w:p>
        </w:tc>
        <w:tc>
          <w:tcPr>
            <w:tcW w:w="0" w:type="auto"/>
            <w:vAlign w:val="center"/>
            <w:hideMark/>
          </w:tcPr>
          <w:p w14:paraId="6AD8832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0.073</w:t>
            </w:r>
          </w:p>
        </w:tc>
        <w:tc>
          <w:tcPr>
            <w:tcW w:w="0" w:type="auto"/>
            <w:vAlign w:val="center"/>
            <w:hideMark/>
          </w:tcPr>
          <w:p w14:paraId="0F2CB5F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0.962</w:t>
            </w:r>
          </w:p>
        </w:tc>
        <w:tc>
          <w:tcPr>
            <w:tcW w:w="0" w:type="auto"/>
            <w:vAlign w:val="center"/>
            <w:hideMark/>
          </w:tcPr>
          <w:p w14:paraId="414D276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Not Rejected</w:t>
            </w:r>
          </w:p>
        </w:tc>
      </w:tr>
      <w:tr w:rsidR="00315258" w:rsidRPr="00A638EC" w14:paraId="20E139A7" w14:textId="77777777" w:rsidTr="00315258">
        <w:trPr>
          <w:trHeight w:val="270"/>
          <w:tblCellSpacing w:w="15" w:type="dxa"/>
        </w:trPr>
        <w:tc>
          <w:tcPr>
            <w:tcW w:w="1395" w:type="dxa"/>
            <w:vAlign w:val="center"/>
            <w:hideMark/>
          </w:tcPr>
          <w:p w14:paraId="2970295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H03</w:t>
            </w:r>
          </w:p>
        </w:tc>
        <w:tc>
          <w:tcPr>
            <w:tcW w:w="6077" w:type="dxa"/>
            <w:vAlign w:val="center"/>
            <w:hideMark/>
          </w:tcPr>
          <w:p w14:paraId="4EEF420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Assurance has no significant effect on satisfaction</w:t>
            </w:r>
          </w:p>
        </w:tc>
        <w:tc>
          <w:tcPr>
            <w:tcW w:w="0" w:type="auto"/>
            <w:vAlign w:val="center"/>
            <w:hideMark/>
          </w:tcPr>
          <w:p w14:paraId="4BC5DD3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00C36CE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1.000</w:t>
            </w:r>
          </w:p>
        </w:tc>
        <w:tc>
          <w:tcPr>
            <w:tcW w:w="0" w:type="auto"/>
            <w:vAlign w:val="center"/>
            <w:hideMark/>
          </w:tcPr>
          <w:p w14:paraId="6436AEE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r w:rsidR="00315258" w:rsidRPr="00A638EC" w14:paraId="357B4D87" w14:textId="77777777" w:rsidTr="00315258">
        <w:trPr>
          <w:trHeight w:val="255"/>
          <w:tblCellSpacing w:w="15" w:type="dxa"/>
        </w:trPr>
        <w:tc>
          <w:tcPr>
            <w:tcW w:w="1395" w:type="dxa"/>
            <w:vAlign w:val="center"/>
            <w:hideMark/>
          </w:tcPr>
          <w:p w14:paraId="7B6D772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H04</w:t>
            </w:r>
          </w:p>
        </w:tc>
        <w:tc>
          <w:tcPr>
            <w:tcW w:w="6077" w:type="dxa"/>
            <w:vAlign w:val="center"/>
            <w:hideMark/>
          </w:tcPr>
          <w:p w14:paraId="3181424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Compliance has no significant effect on satisfaction</w:t>
            </w:r>
          </w:p>
        </w:tc>
        <w:tc>
          <w:tcPr>
            <w:tcW w:w="0" w:type="auto"/>
            <w:vAlign w:val="center"/>
            <w:hideMark/>
          </w:tcPr>
          <w:p w14:paraId="46D8644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768CB4E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0.594</w:t>
            </w:r>
          </w:p>
        </w:tc>
        <w:tc>
          <w:tcPr>
            <w:tcW w:w="0" w:type="auto"/>
            <w:vAlign w:val="center"/>
            <w:hideMark/>
          </w:tcPr>
          <w:p w14:paraId="0F045D4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r w:rsidR="00315258" w:rsidRPr="00A638EC" w14:paraId="13DF9C47" w14:textId="77777777" w:rsidTr="00315258">
        <w:trPr>
          <w:trHeight w:val="270"/>
          <w:tblCellSpacing w:w="15" w:type="dxa"/>
        </w:trPr>
        <w:tc>
          <w:tcPr>
            <w:tcW w:w="1395" w:type="dxa"/>
            <w:vAlign w:val="center"/>
            <w:hideMark/>
          </w:tcPr>
          <w:p w14:paraId="5659FAA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H05</w:t>
            </w:r>
          </w:p>
        </w:tc>
        <w:tc>
          <w:tcPr>
            <w:tcW w:w="6077" w:type="dxa"/>
            <w:vAlign w:val="center"/>
            <w:hideMark/>
          </w:tcPr>
          <w:p w14:paraId="54F0AA0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Responsiveness has no significant effect on satisfaction</w:t>
            </w:r>
          </w:p>
        </w:tc>
        <w:tc>
          <w:tcPr>
            <w:tcW w:w="0" w:type="auto"/>
            <w:vAlign w:val="center"/>
            <w:hideMark/>
          </w:tcPr>
          <w:p w14:paraId="2FB6FF6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1A718CE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1.684</w:t>
            </w:r>
          </w:p>
        </w:tc>
        <w:tc>
          <w:tcPr>
            <w:tcW w:w="0" w:type="auto"/>
            <w:vAlign w:val="center"/>
            <w:hideMark/>
          </w:tcPr>
          <w:p w14:paraId="11375C6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r w:rsidR="00315258" w:rsidRPr="00A638EC" w14:paraId="04D010C7" w14:textId="77777777" w:rsidTr="00315258">
        <w:trPr>
          <w:trHeight w:val="270"/>
          <w:tblCellSpacing w:w="15" w:type="dxa"/>
        </w:trPr>
        <w:tc>
          <w:tcPr>
            <w:tcW w:w="1395" w:type="dxa"/>
            <w:vAlign w:val="center"/>
            <w:hideMark/>
          </w:tcPr>
          <w:p w14:paraId="047B1BA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H06</w:t>
            </w:r>
          </w:p>
        </w:tc>
        <w:tc>
          <w:tcPr>
            <w:tcW w:w="6077" w:type="dxa"/>
            <w:vAlign w:val="center"/>
            <w:hideMark/>
          </w:tcPr>
          <w:p w14:paraId="01DF75B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Empathy has no significant effect on satisfaction</w:t>
            </w:r>
          </w:p>
        </w:tc>
        <w:tc>
          <w:tcPr>
            <w:tcW w:w="0" w:type="auto"/>
            <w:vAlign w:val="center"/>
            <w:hideMark/>
          </w:tcPr>
          <w:p w14:paraId="74B37D8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0.039</w:t>
            </w:r>
          </w:p>
        </w:tc>
        <w:tc>
          <w:tcPr>
            <w:tcW w:w="0" w:type="auto"/>
            <w:vAlign w:val="center"/>
            <w:hideMark/>
          </w:tcPr>
          <w:p w14:paraId="24E305D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1.026</w:t>
            </w:r>
          </w:p>
        </w:tc>
        <w:tc>
          <w:tcPr>
            <w:tcW w:w="0" w:type="auto"/>
            <w:vAlign w:val="center"/>
            <w:hideMark/>
          </w:tcPr>
          <w:p w14:paraId="34643EF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r w:rsidR="00315258" w:rsidRPr="00A638EC" w14:paraId="435BF6D4" w14:textId="77777777" w:rsidTr="00315258">
        <w:trPr>
          <w:trHeight w:val="255"/>
          <w:tblCellSpacing w:w="15" w:type="dxa"/>
        </w:trPr>
        <w:tc>
          <w:tcPr>
            <w:tcW w:w="1395" w:type="dxa"/>
            <w:vAlign w:val="center"/>
            <w:hideMark/>
          </w:tcPr>
          <w:p w14:paraId="3D20589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H07</w:t>
            </w:r>
          </w:p>
        </w:tc>
        <w:tc>
          <w:tcPr>
            <w:tcW w:w="6077" w:type="dxa"/>
            <w:vAlign w:val="center"/>
            <w:hideMark/>
          </w:tcPr>
          <w:p w14:paraId="1CF4735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Accessibility has no significant effect on satisfaction</w:t>
            </w:r>
          </w:p>
        </w:tc>
        <w:tc>
          <w:tcPr>
            <w:tcW w:w="0" w:type="auto"/>
            <w:vAlign w:val="center"/>
            <w:hideMark/>
          </w:tcPr>
          <w:p w14:paraId="68F90D6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3583B82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2.512</w:t>
            </w:r>
          </w:p>
        </w:tc>
        <w:tc>
          <w:tcPr>
            <w:tcW w:w="0" w:type="auto"/>
            <w:vAlign w:val="center"/>
            <w:hideMark/>
          </w:tcPr>
          <w:p w14:paraId="193C8F8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bl>
    <w:p w14:paraId="6BE2ACA4"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p>
    <w:p w14:paraId="720609A2"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4.6. Discussion of Findings</w:t>
      </w:r>
    </w:p>
    <w:p w14:paraId="505B8909" w14:textId="37B5E097" w:rsidR="00F74615" w:rsidRPr="00F74615" w:rsidRDefault="00F74615" w:rsidP="00F74615">
      <w:pPr>
        <w:spacing w:line="360" w:lineRule="auto"/>
        <w:jc w:val="both"/>
        <w:rPr>
          <w:rFonts w:ascii="Times New Roman" w:eastAsia="Times New Roman" w:hAnsi="Times New Roman" w:cs="Times New Roman"/>
          <w:sz w:val="24"/>
          <w:szCs w:val="24"/>
        </w:rPr>
      </w:pPr>
      <w:r w:rsidRPr="00F74615">
        <w:rPr>
          <w:rFonts w:ascii="Times New Roman" w:eastAsia="Times New Roman" w:hAnsi="Times New Roman" w:cs="Times New Roman"/>
          <w:sz w:val="24"/>
          <w:szCs w:val="24"/>
        </w:rPr>
        <w:t xml:space="preserve">The descriptive results reveal that the majority of IFB customers in </w:t>
      </w:r>
      <w:proofErr w:type="spellStart"/>
      <w:r w:rsidRPr="00F74615">
        <w:rPr>
          <w:rFonts w:ascii="Times New Roman" w:eastAsia="Times New Roman" w:hAnsi="Times New Roman" w:cs="Times New Roman"/>
          <w:sz w:val="24"/>
          <w:szCs w:val="24"/>
        </w:rPr>
        <w:t>Yabello</w:t>
      </w:r>
      <w:proofErr w:type="spellEnd"/>
      <w:r w:rsidRPr="00F74615">
        <w:rPr>
          <w:rFonts w:ascii="Times New Roman" w:eastAsia="Times New Roman" w:hAnsi="Times New Roman" w:cs="Times New Roman"/>
          <w:sz w:val="24"/>
          <w:szCs w:val="24"/>
        </w:rPr>
        <w:t xml:space="preserve"> town are dissatisfied with the quality of IFB services provided by CBE, a finding that indicates customers were not sufficiently satisfied with IFB services at CBE, but contradicts </w:t>
      </w:r>
      <w:proofErr w:type="spellStart"/>
      <w:r w:rsidRPr="00F74615">
        <w:rPr>
          <w:rFonts w:ascii="Times New Roman" w:eastAsia="Times New Roman" w:hAnsi="Times New Roman" w:cs="Times New Roman"/>
          <w:sz w:val="24"/>
          <w:szCs w:val="24"/>
        </w:rPr>
        <w:t>Khattak</w:t>
      </w:r>
      <w:proofErr w:type="spellEnd"/>
      <w:r w:rsidRPr="00F74615">
        <w:rPr>
          <w:rFonts w:ascii="Times New Roman" w:eastAsia="Times New Roman" w:hAnsi="Times New Roman" w:cs="Times New Roman"/>
          <w:sz w:val="24"/>
          <w:szCs w:val="24"/>
        </w:rPr>
        <w:t xml:space="preserve"> &amp; </w:t>
      </w:r>
      <w:proofErr w:type="spellStart"/>
      <w:r w:rsidRPr="00F74615">
        <w:rPr>
          <w:rFonts w:ascii="Times New Roman" w:eastAsia="Times New Roman" w:hAnsi="Times New Roman" w:cs="Times New Roman"/>
          <w:sz w:val="24"/>
          <w:szCs w:val="24"/>
        </w:rPr>
        <w:t>Rehman</w:t>
      </w:r>
      <w:proofErr w:type="spellEnd"/>
      <w:r w:rsidRPr="00F74615">
        <w:rPr>
          <w:rFonts w:ascii="Times New Roman" w:eastAsia="Times New Roman" w:hAnsi="Times New Roman" w:cs="Times New Roman"/>
          <w:sz w:val="24"/>
          <w:szCs w:val="24"/>
        </w:rPr>
        <w:t xml:space="preserve"> (2010), who found relatively higher customer awareness and satisfaction with Isla</w:t>
      </w:r>
      <w:r>
        <w:rPr>
          <w:rFonts w:ascii="Times New Roman" w:eastAsia="Times New Roman" w:hAnsi="Times New Roman" w:cs="Times New Roman"/>
          <w:sz w:val="24"/>
          <w:szCs w:val="24"/>
        </w:rPr>
        <w:t xml:space="preserve">mic banking systems in Pakistan </w:t>
      </w:r>
      <w:r w:rsidRPr="00F74615">
        <w:rPr>
          <w:rFonts w:ascii="Times New Roman" w:eastAsia="Times New Roman" w:hAnsi="Times New Roman" w:cs="Times New Roman"/>
          <w:sz w:val="24"/>
          <w:szCs w:val="24"/>
        </w:rPr>
        <w:t>differences that may stem from variations in service delivery standards, regulatory environments, or custome</w:t>
      </w:r>
      <w:r>
        <w:rPr>
          <w:rFonts w:ascii="Times New Roman" w:eastAsia="Times New Roman" w:hAnsi="Times New Roman" w:cs="Times New Roman"/>
          <w:sz w:val="24"/>
          <w:szCs w:val="24"/>
        </w:rPr>
        <w:t xml:space="preserve">r expectations across contexts. </w:t>
      </w:r>
      <w:r w:rsidRPr="00F74615">
        <w:rPr>
          <w:rFonts w:ascii="Times New Roman" w:eastAsia="Times New Roman" w:hAnsi="Times New Roman" w:cs="Times New Roman"/>
          <w:sz w:val="24"/>
          <w:szCs w:val="24"/>
        </w:rPr>
        <w:t xml:space="preserve">The Spearman's rank correlation analysis shows that all seven IFB service quality dimensions are positively and significantly correlated with customer satisfaction, which is consistent with </w:t>
      </w:r>
      <w:proofErr w:type="spellStart"/>
      <w:r w:rsidRPr="00F74615">
        <w:rPr>
          <w:rFonts w:ascii="Times New Roman" w:eastAsia="Times New Roman" w:hAnsi="Times New Roman" w:cs="Times New Roman"/>
          <w:sz w:val="24"/>
          <w:szCs w:val="24"/>
        </w:rPr>
        <w:t>Shanka</w:t>
      </w:r>
      <w:proofErr w:type="spellEnd"/>
      <w:r w:rsidRPr="00F74615">
        <w:rPr>
          <w:rFonts w:ascii="Times New Roman" w:eastAsia="Times New Roman" w:hAnsi="Times New Roman" w:cs="Times New Roman"/>
          <w:sz w:val="24"/>
          <w:szCs w:val="24"/>
        </w:rPr>
        <w:t xml:space="preserve"> (2012) and </w:t>
      </w:r>
      <w:proofErr w:type="spellStart"/>
      <w:r w:rsidRPr="00F74615">
        <w:rPr>
          <w:rFonts w:ascii="Times New Roman" w:eastAsia="Times New Roman" w:hAnsi="Times New Roman" w:cs="Times New Roman"/>
          <w:sz w:val="24"/>
          <w:szCs w:val="24"/>
        </w:rPr>
        <w:t>Abera</w:t>
      </w:r>
      <w:proofErr w:type="spellEnd"/>
      <w:r w:rsidRPr="00F74615">
        <w:rPr>
          <w:rFonts w:ascii="Times New Roman" w:eastAsia="Times New Roman" w:hAnsi="Times New Roman" w:cs="Times New Roman"/>
          <w:sz w:val="24"/>
          <w:szCs w:val="24"/>
        </w:rPr>
        <w:t xml:space="preserve"> (2017), both of whom reported significant positive relationships between service quality dimensions and customer satisfaction in Ethiopian banking contexts. Furthermore, the ordinal logistic regression results demonstrate that six service</w:t>
      </w:r>
      <w:r>
        <w:rPr>
          <w:rFonts w:ascii="Times New Roman" w:eastAsia="Times New Roman" w:hAnsi="Times New Roman" w:cs="Times New Roman"/>
          <w:sz w:val="24"/>
          <w:szCs w:val="24"/>
        </w:rPr>
        <w:t xml:space="preserve"> quality dimensions </w:t>
      </w:r>
      <w:r w:rsidRPr="00F74615">
        <w:rPr>
          <w:rFonts w:ascii="Times New Roman" w:eastAsia="Times New Roman" w:hAnsi="Times New Roman" w:cs="Times New Roman"/>
          <w:sz w:val="24"/>
          <w:szCs w:val="24"/>
        </w:rPr>
        <w:t>reliability, assurance, compliance, responsiven</w:t>
      </w:r>
      <w:r>
        <w:rPr>
          <w:rFonts w:ascii="Times New Roman" w:eastAsia="Times New Roman" w:hAnsi="Times New Roman" w:cs="Times New Roman"/>
          <w:sz w:val="24"/>
          <w:szCs w:val="24"/>
        </w:rPr>
        <w:t xml:space="preserve">ess, empathy, and accessibility </w:t>
      </w:r>
      <w:r w:rsidRPr="00F74615">
        <w:rPr>
          <w:rFonts w:ascii="Times New Roman" w:eastAsia="Times New Roman" w:hAnsi="Times New Roman" w:cs="Times New Roman"/>
          <w:sz w:val="24"/>
          <w:szCs w:val="24"/>
        </w:rPr>
        <w:t>significantly and positively affect customer satisfaction, while tangibility was found to be insignificant.</w:t>
      </w:r>
    </w:p>
    <w:p w14:paraId="31EA8DD1" w14:textId="1988A93B" w:rsidR="00315258" w:rsidRPr="00F74615" w:rsidRDefault="00F74615" w:rsidP="00F74615">
      <w:pPr>
        <w:spacing w:line="360" w:lineRule="auto"/>
        <w:jc w:val="both"/>
        <w:rPr>
          <w:rFonts w:ascii="Times New Roman" w:eastAsia="Times New Roman" w:hAnsi="Times New Roman" w:cs="Times New Roman"/>
          <w:sz w:val="24"/>
          <w:szCs w:val="24"/>
        </w:rPr>
      </w:pPr>
      <w:r w:rsidRPr="00F74615">
        <w:rPr>
          <w:rFonts w:ascii="Times New Roman" w:eastAsia="Times New Roman" w:hAnsi="Times New Roman" w:cs="Times New Roman"/>
          <w:sz w:val="24"/>
          <w:szCs w:val="24"/>
        </w:rPr>
        <w:t xml:space="preserve">Notably, accessibility emerged as the strongest predictor of customer satisfaction, highlighting the importance of convenient branch locations, ATM availability, and service accessibility in the study area; this finding contrasts with </w:t>
      </w:r>
      <w:proofErr w:type="spellStart"/>
      <w:r w:rsidRPr="00F74615">
        <w:rPr>
          <w:rFonts w:ascii="Times New Roman" w:eastAsia="Times New Roman" w:hAnsi="Times New Roman" w:cs="Times New Roman"/>
          <w:sz w:val="24"/>
          <w:szCs w:val="24"/>
        </w:rPr>
        <w:t>Khattak</w:t>
      </w:r>
      <w:proofErr w:type="spellEnd"/>
      <w:r w:rsidRPr="00F74615">
        <w:rPr>
          <w:rFonts w:ascii="Times New Roman" w:eastAsia="Times New Roman" w:hAnsi="Times New Roman" w:cs="Times New Roman"/>
          <w:sz w:val="24"/>
          <w:szCs w:val="24"/>
        </w:rPr>
        <w:t xml:space="preserve"> &amp; </w:t>
      </w:r>
      <w:proofErr w:type="spellStart"/>
      <w:r w:rsidRPr="00F74615">
        <w:rPr>
          <w:rFonts w:ascii="Times New Roman" w:eastAsia="Times New Roman" w:hAnsi="Times New Roman" w:cs="Times New Roman"/>
          <w:sz w:val="24"/>
          <w:szCs w:val="24"/>
        </w:rPr>
        <w:t>Rehman</w:t>
      </w:r>
      <w:proofErr w:type="spellEnd"/>
      <w:r w:rsidRPr="00F74615">
        <w:rPr>
          <w:rFonts w:ascii="Times New Roman" w:eastAsia="Times New Roman" w:hAnsi="Times New Roman" w:cs="Times New Roman"/>
          <w:sz w:val="24"/>
          <w:szCs w:val="24"/>
        </w:rPr>
        <w:t xml:space="preserve"> (2010) and </w:t>
      </w:r>
      <w:proofErr w:type="spellStart"/>
      <w:r w:rsidRPr="00F74615">
        <w:rPr>
          <w:rFonts w:ascii="Times New Roman" w:eastAsia="Times New Roman" w:hAnsi="Times New Roman" w:cs="Times New Roman"/>
          <w:sz w:val="24"/>
          <w:szCs w:val="24"/>
        </w:rPr>
        <w:t>Abera</w:t>
      </w:r>
      <w:proofErr w:type="spellEnd"/>
      <w:r w:rsidRPr="00F74615">
        <w:rPr>
          <w:rFonts w:ascii="Times New Roman" w:eastAsia="Times New Roman" w:hAnsi="Times New Roman" w:cs="Times New Roman"/>
          <w:sz w:val="24"/>
          <w:szCs w:val="24"/>
        </w:rPr>
        <w:t xml:space="preserve"> (2017), who found compliance and awareness to be stronger predictors, suggesting that the unique geographical and infrastructural characteristics of </w:t>
      </w:r>
      <w:proofErr w:type="spellStart"/>
      <w:r w:rsidRPr="00F74615">
        <w:rPr>
          <w:rFonts w:ascii="Times New Roman" w:eastAsia="Times New Roman" w:hAnsi="Times New Roman" w:cs="Times New Roman"/>
          <w:sz w:val="24"/>
          <w:szCs w:val="24"/>
        </w:rPr>
        <w:t>Yabello</w:t>
      </w:r>
      <w:proofErr w:type="spellEnd"/>
      <w:r w:rsidRPr="00F74615">
        <w:rPr>
          <w:rFonts w:ascii="Times New Roman" w:eastAsia="Times New Roman" w:hAnsi="Times New Roman" w:cs="Times New Roman"/>
          <w:sz w:val="24"/>
          <w:szCs w:val="24"/>
        </w:rPr>
        <w:t xml:space="preserve"> town may make accessibility a more pressing concern than in urban centers.</w:t>
      </w:r>
      <w:r>
        <w:rPr>
          <w:rFonts w:ascii="Times New Roman" w:eastAsia="Times New Roman" w:hAnsi="Times New Roman" w:cs="Times New Roman"/>
          <w:sz w:val="24"/>
          <w:szCs w:val="24"/>
        </w:rPr>
        <w:t xml:space="preserve"> </w:t>
      </w:r>
      <w:r w:rsidRPr="00F74615">
        <w:rPr>
          <w:rFonts w:ascii="Times New Roman" w:eastAsia="Times New Roman" w:hAnsi="Times New Roman" w:cs="Times New Roman"/>
          <w:sz w:val="24"/>
          <w:szCs w:val="24"/>
        </w:rPr>
        <w:t xml:space="preserve">Reliability, while significant, had the weakest effect on satisfaction, indicating that customers may take dependable service for granted or that other dimensions are </w:t>
      </w:r>
      <w:r w:rsidRPr="00F74615">
        <w:rPr>
          <w:rFonts w:ascii="Times New Roman" w:eastAsia="Times New Roman" w:hAnsi="Times New Roman" w:cs="Times New Roman"/>
          <w:sz w:val="24"/>
          <w:szCs w:val="24"/>
        </w:rPr>
        <w:lastRenderedPageBreak/>
        <w:t xml:space="preserve">more salient in their evaluation. Finally, the insignificance of tangibility aligns partially with </w:t>
      </w:r>
      <w:proofErr w:type="spellStart"/>
      <w:r w:rsidRPr="00F74615">
        <w:rPr>
          <w:rFonts w:ascii="Times New Roman" w:eastAsia="Times New Roman" w:hAnsi="Times New Roman" w:cs="Times New Roman"/>
          <w:sz w:val="24"/>
          <w:szCs w:val="24"/>
        </w:rPr>
        <w:t>Shanka</w:t>
      </w:r>
      <w:proofErr w:type="spellEnd"/>
      <w:r w:rsidRPr="00F74615">
        <w:rPr>
          <w:rFonts w:ascii="Times New Roman" w:eastAsia="Times New Roman" w:hAnsi="Times New Roman" w:cs="Times New Roman"/>
          <w:sz w:val="24"/>
          <w:szCs w:val="24"/>
        </w:rPr>
        <w:t xml:space="preserve"> (2012), who found physical evidence less critical in Ethiopian banking contexts, but contradicts </w:t>
      </w:r>
      <w:proofErr w:type="spellStart"/>
      <w:r w:rsidRPr="00F74615">
        <w:rPr>
          <w:rFonts w:ascii="Times New Roman" w:eastAsia="Times New Roman" w:hAnsi="Times New Roman" w:cs="Times New Roman"/>
          <w:sz w:val="24"/>
          <w:szCs w:val="24"/>
        </w:rPr>
        <w:t>Abera</w:t>
      </w:r>
      <w:proofErr w:type="spellEnd"/>
      <w:r w:rsidRPr="00F74615">
        <w:rPr>
          <w:rFonts w:ascii="Times New Roman" w:eastAsia="Times New Roman" w:hAnsi="Times New Roman" w:cs="Times New Roman"/>
          <w:sz w:val="24"/>
          <w:szCs w:val="24"/>
        </w:rPr>
        <w:t xml:space="preserve"> (2017), who repo</w:t>
      </w:r>
      <w:r>
        <w:rPr>
          <w:rFonts w:ascii="Times New Roman" w:eastAsia="Times New Roman" w:hAnsi="Times New Roman" w:cs="Times New Roman"/>
          <w:sz w:val="24"/>
          <w:szCs w:val="24"/>
        </w:rPr>
        <w:t xml:space="preserve">rted tangibility as significant </w:t>
      </w:r>
      <w:r w:rsidRPr="00F74615">
        <w:rPr>
          <w:rFonts w:ascii="Times New Roman" w:eastAsia="Times New Roman" w:hAnsi="Times New Roman" w:cs="Times New Roman"/>
          <w:sz w:val="24"/>
          <w:szCs w:val="24"/>
        </w:rPr>
        <w:t xml:space="preserve">a discrepancy that may indicate customers in </w:t>
      </w:r>
      <w:proofErr w:type="spellStart"/>
      <w:r w:rsidRPr="00F74615">
        <w:rPr>
          <w:rFonts w:ascii="Times New Roman" w:eastAsia="Times New Roman" w:hAnsi="Times New Roman" w:cs="Times New Roman"/>
          <w:sz w:val="24"/>
          <w:szCs w:val="24"/>
        </w:rPr>
        <w:t>Yabello</w:t>
      </w:r>
      <w:proofErr w:type="spellEnd"/>
      <w:r w:rsidRPr="00F74615">
        <w:rPr>
          <w:rFonts w:ascii="Times New Roman" w:eastAsia="Times New Roman" w:hAnsi="Times New Roman" w:cs="Times New Roman"/>
          <w:sz w:val="24"/>
          <w:szCs w:val="24"/>
        </w:rPr>
        <w:t xml:space="preserve"> town place less emphasis on physical facilities and staff appearance compared to the functional aspects of service delivery.</w:t>
      </w:r>
    </w:p>
    <w:p w14:paraId="0E4F63B8" w14:textId="77777777" w:rsidR="00F45C56" w:rsidRPr="00A638EC" w:rsidRDefault="00F45C56" w:rsidP="00315258">
      <w:pPr>
        <w:pStyle w:val="ListParagraph"/>
        <w:numPr>
          <w:ilvl w:val="0"/>
          <w:numId w:val="9"/>
        </w:numPr>
        <w:spacing w:line="360" w:lineRule="auto"/>
        <w:jc w:val="both"/>
        <w:rPr>
          <w:rFonts w:ascii="Times New Roman" w:hAnsi="Times New Roman" w:cs="Times New Roman"/>
          <w:b/>
          <w:sz w:val="24"/>
        </w:rPr>
      </w:pPr>
      <w:r w:rsidRPr="00A638EC">
        <w:rPr>
          <w:rFonts w:ascii="Times New Roman" w:hAnsi="Times New Roman" w:cs="Times New Roman"/>
          <w:b/>
          <w:sz w:val="24"/>
        </w:rPr>
        <w:t xml:space="preserve">Conclusion and Recommendation </w:t>
      </w:r>
    </w:p>
    <w:p w14:paraId="16B146B0" w14:textId="77777777" w:rsidR="00315258" w:rsidRPr="00A638EC" w:rsidRDefault="00315258" w:rsidP="00315258">
      <w:pPr>
        <w:pStyle w:val="ListParagraph"/>
        <w:spacing w:line="360" w:lineRule="auto"/>
        <w:ind w:left="1080"/>
        <w:jc w:val="both"/>
        <w:rPr>
          <w:rFonts w:ascii="Times New Roman" w:hAnsi="Times New Roman" w:cs="Times New Roman"/>
          <w:b/>
          <w:sz w:val="24"/>
        </w:rPr>
      </w:pPr>
      <w:r w:rsidRPr="00A638EC">
        <w:rPr>
          <w:rFonts w:ascii="Times New Roman" w:hAnsi="Times New Roman" w:cs="Times New Roman"/>
          <w:b/>
          <w:sz w:val="24"/>
        </w:rPr>
        <w:t>5.1. Summary of Major Findings</w:t>
      </w:r>
    </w:p>
    <w:p w14:paraId="29F1944C" w14:textId="77777777" w:rsidR="00315258" w:rsidRPr="00A638EC" w:rsidRDefault="00315258" w:rsidP="00315258">
      <w:pPr>
        <w:spacing w:line="360" w:lineRule="auto"/>
        <w:jc w:val="both"/>
        <w:rPr>
          <w:rFonts w:ascii="Times New Roman" w:hAnsi="Times New Roman" w:cs="Times New Roman"/>
          <w:sz w:val="24"/>
        </w:rPr>
      </w:pPr>
      <w:r w:rsidRPr="00A638EC">
        <w:rPr>
          <w:rFonts w:ascii="Times New Roman" w:hAnsi="Times New Roman" w:cs="Times New Roman"/>
          <w:sz w:val="24"/>
        </w:rPr>
        <w:t xml:space="preserve">This study examined the effect of Interest-Free Banking service quality on customer satisfaction at Commercial Bank of Ethiopia branches in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town using data collected from 351 active IFB customers through a structured five-point Likert scale questionnaire, analyzed through descriptive statistics, Spearman's rank correlation, and ordinal logistic regression. Regarding demographic characteristics, the majority of respondents were male (70.9%) and followers of the Islamic religion (79.2%). The descriptive analysis revealed that most customers were dissatisfied with IFB service quality, with 52.1% dissatisfied, 19.9% highly dissatisfied, 15.1% satisfied, 10% neutral, and only 2.8% highly satisfied, indicating that the majority of CBE customers in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town are dissatisfied with the bank's IFB service delivery. The Spearman's rank correlation analysis showed that all seven IFB service quality dimensions reliability, tangibility, compliance with Sharia law, assurance, responsiveness, empathy, and accessibility were positively and significantly correlated with customer satisfaction. Finally, the ordinal logistic regression results revealed that out of the seven explanatory variables hypothesized, six reliability, assurance, compliance, responsiveness, empathy, and accessibility were statistically significant and positively affected customer satisfaction at the 95% confidence level, while tangibility was insignificant (p = 0.073). Among the significant variables, accessibility had the strongest positive effect on customer satisfaction, while reliability had the weakest.</w:t>
      </w:r>
    </w:p>
    <w:p w14:paraId="33D2F097" w14:textId="77777777" w:rsidR="00315258" w:rsidRPr="00A638EC" w:rsidRDefault="00315258" w:rsidP="00315258">
      <w:pPr>
        <w:pStyle w:val="ListParagraph"/>
        <w:spacing w:line="360" w:lineRule="auto"/>
        <w:ind w:left="1080"/>
        <w:jc w:val="both"/>
        <w:rPr>
          <w:rFonts w:ascii="Times New Roman" w:hAnsi="Times New Roman" w:cs="Times New Roman"/>
          <w:b/>
          <w:sz w:val="24"/>
        </w:rPr>
      </w:pPr>
      <w:r w:rsidRPr="00A638EC">
        <w:rPr>
          <w:rFonts w:ascii="Times New Roman" w:hAnsi="Times New Roman" w:cs="Times New Roman"/>
          <w:b/>
          <w:sz w:val="24"/>
        </w:rPr>
        <w:t>5.2. Conclusion</w:t>
      </w:r>
    </w:p>
    <w:p w14:paraId="3E64A78C" w14:textId="77777777" w:rsidR="00315258" w:rsidRPr="00A638EC" w:rsidRDefault="00315258" w:rsidP="00315258">
      <w:pPr>
        <w:spacing w:line="360" w:lineRule="auto"/>
        <w:jc w:val="both"/>
        <w:rPr>
          <w:rFonts w:ascii="Times New Roman" w:hAnsi="Times New Roman" w:cs="Times New Roman"/>
          <w:b/>
          <w:sz w:val="24"/>
        </w:rPr>
      </w:pPr>
      <w:r w:rsidRPr="00A638EC">
        <w:rPr>
          <w:rFonts w:ascii="Times New Roman" w:hAnsi="Times New Roman" w:cs="Times New Roman"/>
          <w:sz w:val="24"/>
        </w:rPr>
        <w:t xml:space="preserve">Based on the summary of findings, the following conclusions are drawn. First, from the descriptive statistics, it is concluded that the majority of IFB customers at CBE branches in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town are dissatisfied with the bank's service delivery quality. Second, from the Spearman's correlation analysis, it is concluded that a positive and significant correlation exists between all IFB service quality dimensions and customer satisfaction. Third, from the ordinal logistic regression analysis, </w:t>
      </w:r>
      <w:r w:rsidRPr="00A638EC">
        <w:rPr>
          <w:rFonts w:ascii="Times New Roman" w:hAnsi="Times New Roman" w:cs="Times New Roman"/>
          <w:sz w:val="24"/>
        </w:rPr>
        <w:lastRenderedPageBreak/>
        <w:t xml:space="preserve">it is concluded that six service quality dimensions reliability, assurance, compliance with Sharia law, responsiveness, empathy, and accessibility have a positive and significant effect on customer satisfaction, with accessibility exerting the strongest influence and reliability the weakest, while tangibility has no significant effect. Overall, it is concluded that customer satisfaction at CBE branches in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town is significantly determined by the quality of IFB services provided.</w:t>
      </w:r>
    </w:p>
    <w:p w14:paraId="367C85C5" w14:textId="77777777" w:rsidR="00315258" w:rsidRPr="00A638EC" w:rsidRDefault="00315258" w:rsidP="00315258">
      <w:pPr>
        <w:pStyle w:val="ListParagraph"/>
        <w:numPr>
          <w:ilvl w:val="1"/>
          <w:numId w:val="9"/>
        </w:numPr>
        <w:spacing w:line="360" w:lineRule="auto"/>
        <w:jc w:val="both"/>
        <w:rPr>
          <w:rFonts w:ascii="Times New Roman" w:hAnsi="Times New Roman" w:cs="Times New Roman"/>
          <w:b/>
          <w:sz w:val="24"/>
        </w:rPr>
      </w:pPr>
      <w:r w:rsidRPr="00A638EC">
        <w:rPr>
          <w:rFonts w:ascii="Times New Roman" w:eastAsia="Times New Roman" w:hAnsi="Times New Roman" w:cs="Times New Roman"/>
          <w:b/>
          <w:bCs/>
          <w:sz w:val="28"/>
        </w:rPr>
        <w:t>Recommendation and Policy Implications</w:t>
      </w:r>
    </w:p>
    <w:p w14:paraId="62249D39" w14:textId="77777777" w:rsidR="0038101F" w:rsidRPr="00A638EC" w:rsidRDefault="0038101F" w:rsidP="00F74615">
      <w:pPr>
        <w:keepNext/>
        <w:keepLines/>
        <w:spacing w:before="200" w:after="0" w:line="360" w:lineRule="auto"/>
        <w:jc w:val="both"/>
        <w:outlineLvl w:val="2"/>
        <w:rPr>
          <w:rFonts w:ascii="Times New Roman" w:eastAsia="Calibri" w:hAnsi="Times New Roman" w:cs="Times New Roman"/>
          <w:color w:val="000000"/>
          <w:sz w:val="24"/>
          <w:szCs w:val="24"/>
        </w:rPr>
      </w:pPr>
      <w:bookmarkStart w:id="18" w:name="_Toc106402907"/>
      <w:bookmarkStart w:id="19" w:name="_Toc106452843"/>
      <w:r w:rsidRPr="00A638EC">
        <w:rPr>
          <w:rFonts w:ascii="Times New Roman" w:eastAsia="Calibri" w:hAnsi="Times New Roman" w:cs="Times New Roman"/>
          <w:color w:val="000000"/>
          <w:sz w:val="24"/>
          <w:szCs w:val="24"/>
        </w:rPr>
        <w:lastRenderedPageBreak/>
        <w:t xml:space="preserve">Based on the findings and conclusions of this study, the following recommendations are forwarded to relevant stakeholders. Regarding the overall level of customer satisfaction, the descriptive results revealed that the majority of IFB customers in the study area are dissatisfied with the services provided by the bank. Therefore, the general management of CBE, and particularly the management of its three branches in </w:t>
      </w:r>
      <w:proofErr w:type="spellStart"/>
      <w:r w:rsidRPr="00A638EC">
        <w:rPr>
          <w:rFonts w:ascii="Times New Roman" w:eastAsia="Calibri" w:hAnsi="Times New Roman" w:cs="Times New Roman"/>
          <w:color w:val="000000"/>
          <w:sz w:val="24"/>
          <w:szCs w:val="24"/>
        </w:rPr>
        <w:t>Yabello</w:t>
      </w:r>
      <w:proofErr w:type="spellEnd"/>
      <w:r w:rsidRPr="00A638EC">
        <w:rPr>
          <w:rFonts w:ascii="Times New Roman" w:eastAsia="Calibri" w:hAnsi="Times New Roman" w:cs="Times New Roman"/>
          <w:color w:val="000000"/>
          <w:sz w:val="24"/>
          <w:szCs w:val="24"/>
        </w:rPr>
        <w:t xml:space="preserve"> town, should develop strict IFB service quality control mechanisms to improve customer satisfaction levels. Additionally, bank management should establish a system for continuously collecting and acting upon customer feedback to identify and address dissatisfaction early. For policymakers, it is recommended that the findings of this study be used to design and implement sound policies that enhance customer satisfaction in relation to IFB service delivery quality, ensuring that regulatory frameworks support the growth and improvement of interest-free banking services.</w:t>
      </w:r>
    </w:p>
    <w:p w14:paraId="31B07890" w14:textId="77777777" w:rsidR="0038101F" w:rsidRPr="00A638EC" w:rsidRDefault="0038101F" w:rsidP="00F74615">
      <w:pPr>
        <w:keepNext/>
        <w:keepLines/>
        <w:spacing w:before="200" w:after="0" w:line="360" w:lineRule="auto"/>
        <w:jc w:val="both"/>
        <w:outlineLvl w:val="2"/>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 xml:space="preserve">This study examined the effect of IFB service quality on customer satisfaction using ordinal logistic regression, which represents a methodological strength. However, several limitations should be acknowledged, and these offer opportunities for future research. First, the study was limited in scope, as it was conducted only in three CBE branches in </w:t>
      </w:r>
      <w:proofErr w:type="spellStart"/>
      <w:r w:rsidRPr="00A638EC">
        <w:rPr>
          <w:rFonts w:ascii="Times New Roman" w:eastAsia="Calibri" w:hAnsi="Times New Roman" w:cs="Times New Roman"/>
          <w:color w:val="000000"/>
          <w:sz w:val="24"/>
          <w:szCs w:val="24"/>
        </w:rPr>
        <w:t>Yabello</w:t>
      </w:r>
      <w:proofErr w:type="spellEnd"/>
      <w:r w:rsidRPr="00A638EC">
        <w:rPr>
          <w:rFonts w:ascii="Times New Roman" w:eastAsia="Calibri" w:hAnsi="Times New Roman" w:cs="Times New Roman"/>
          <w:color w:val="000000"/>
          <w:sz w:val="24"/>
          <w:szCs w:val="24"/>
        </w:rPr>
        <w:t xml:space="preserve"> town. Future researchers are advised to replicate this study by including additional branches across different regions to provide a more comprehensive picture of customer satisfaction. Another avenue for future research could involve replicating this study in other countries to determine whether the findings hold across varying geographical and cultural contexts. Second, the seven IFB service quality dimensions examined in this study may not be the only factors affecting customer satisfaction in the banking industry. Future studies should consider incorporating additional variables that may influence satisfaction levels, such as information technology infrastructure, digital banking platforms, and the role of social media in shaping customer perceptions and experiences.</w:t>
      </w:r>
    </w:p>
    <w:p w14:paraId="5A0DF285" w14:textId="77777777" w:rsidR="00315258" w:rsidRPr="00A638EC" w:rsidRDefault="0038101F" w:rsidP="0038101F">
      <w:pPr>
        <w:keepNext/>
        <w:keepLines/>
        <w:spacing w:before="200" w:after="0" w:line="276" w:lineRule="auto"/>
        <w:outlineLvl w:val="2"/>
        <w:rPr>
          <w:rFonts w:ascii="Times New Roman" w:eastAsia="Times New Roman" w:hAnsi="Times New Roman" w:cs="Times New Roman"/>
          <w:b/>
          <w:bCs/>
          <w:color w:val="4F81BD"/>
          <w:sz w:val="28"/>
        </w:rPr>
      </w:pPr>
      <w:r w:rsidRPr="00A638EC">
        <w:rPr>
          <w:rFonts w:ascii="Times New Roman" w:eastAsia="Times New Roman" w:hAnsi="Times New Roman" w:cs="Times New Roman"/>
          <w:b/>
          <w:bCs/>
          <w:color w:val="4F81BD"/>
          <w:sz w:val="28"/>
        </w:rPr>
        <w:t>5.4</w:t>
      </w:r>
      <w:r w:rsidR="00315258" w:rsidRPr="00A638EC">
        <w:rPr>
          <w:rFonts w:ascii="Times New Roman" w:eastAsia="Times New Roman" w:hAnsi="Times New Roman" w:cs="Times New Roman"/>
          <w:b/>
          <w:bCs/>
          <w:color w:val="4F81BD"/>
          <w:sz w:val="28"/>
        </w:rPr>
        <w:t>. Contribution of current study</w:t>
      </w:r>
      <w:bookmarkEnd w:id="18"/>
      <w:bookmarkEnd w:id="19"/>
    </w:p>
    <w:p w14:paraId="641DB9B9" w14:textId="77777777" w:rsidR="00315258" w:rsidRDefault="0038101F" w:rsidP="00315258">
      <w:pPr>
        <w:spacing w:line="360" w:lineRule="auto"/>
        <w:jc w:val="both"/>
        <w:rPr>
          <w:rFonts w:ascii="Times New Roman" w:eastAsia="Calibri" w:hAnsi="Times New Roman" w:cs="Times New Roman"/>
          <w:color w:val="000000"/>
          <w:sz w:val="24"/>
        </w:rPr>
      </w:pPr>
      <w:r w:rsidRPr="00A638EC">
        <w:rPr>
          <w:rFonts w:ascii="Times New Roman" w:eastAsia="Calibri" w:hAnsi="Times New Roman" w:cs="Times New Roman"/>
          <w:color w:val="000000"/>
          <w:sz w:val="24"/>
        </w:rPr>
        <w:t xml:space="preserve">This study makes several contributions to the existing body of knowledge on Interest-Free Banking service quality and customer satisfaction. Theoretically, it addresses a gap in the empirical literature by providing evidence from the Ethiopian context, where research on IFB service quality dimensions and their effect on customer satisfaction has been limited. Conceptually, the study extends the existing conceptual framework by introducing and independently measuring </w:t>
      </w:r>
      <w:r w:rsidRPr="00A638EC">
        <w:rPr>
          <w:rFonts w:ascii="Times New Roman" w:eastAsia="Calibri" w:hAnsi="Times New Roman" w:cs="Times New Roman"/>
          <w:color w:val="000000"/>
          <w:sz w:val="24"/>
        </w:rPr>
        <w:lastRenderedPageBreak/>
        <w:t>"accessibility" as a new IFB service quality dimension, which had not been investigated in previous Ethiopian studies. Methodologically, the application of ordinal logistic regression in this study offers a robust analytical approach that can serve as a basis for measuring customer satisfaction levels not only in the banking industry but also in other service firms seeking to enhance customer satisfaction and firm value.</w:t>
      </w:r>
    </w:p>
    <w:p w14:paraId="6BB2609E" w14:textId="77777777" w:rsidR="00CB3773" w:rsidRPr="003A29C6" w:rsidRDefault="00CB3773" w:rsidP="00CB3773">
      <w:pPr>
        <w:jc w:val="both"/>
        <w:outlineLvl w:val="0"/>
        <w:rPr>
          <w:rFonts w:ascii="Arial" w:hAnsi="Arial" w:cs="Arial"/>
        </w:rPr>
      </w:pPr>
      <w:r w:rsidRPr="003A29C6">
        <w:rPr>
          <w:rFonts w:ascii="Arial" w:hAnsi="Arial" w:cs="Arial"/>
          <w:b/>
          <w:bCs/>
        </w:rPr>
        <w:t>COMPETING INTERESTS DISCLAIMER:</w:t>
      </w:r>
    </w:p>
    <w:p w14:paraId="353186B5" w14:textId="77777777" w:rsidR="00CB3773" w:rsidRPr="002D7D13" w:rsidRDefault="00CB3773" w:rsidP="00CB3773">
      <w:pPr>
        <w:rPr>
          <w:rFonts w:ascii="Times New Roman" w:hAnsi="Times New Roman" w:cs="Times New Roman"/>
        </w:rPr>
      </w:pPr>
      <w:r w:rsidRPr="002D7D13">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809AA97" w14:textId="77777777" w:rsidR="00CB3773" w:rsidRPr="002D7D13" w:rsidRDefault="00CB3773" w:rsidP="00CB3773">
      <w:pPr>
        <w:rPr>
          <w:rFonts w:ascii="Times New Roman" w:hAnsi="Times New Roman" w:cs="Times New Roman"/>
        </w:rPr>
      </w:pPr>
    </w:p>
    <w:p w14:paraId="210C73B2" w14:textId="77777777" w:rsidR="003F09BF" w:rsidRPr="002D7D13" w:rsidRDefault="003F09BF" w:rsidP="003F09BF">
      <w:pPr>
        <w:rPr>
          <w:rFonts w:ascii="Times New Roman" w:eastAsia="Calibri" w:hAnsi="Times New Roman" w:cs="Times New Roman"/>
          <w:kern w:val="2"/>
          <w:highlight w:val="yellow"/>
        </w:rPr>
      </w:pPr>
      <w:bookmarkStart w:id="20" w:name="_Hlk218868534"/>
    </w:p>
    <w:p w14:paraId="75BF2BC8" w14:textId="77777777" w:rsidR="003F09BF" w:rsidRPr="002D7D13" w:rsidRDefault="003F09BF" w:rsidP="003F09BF">
      <w:pPr>
        <w:pStyle w:val="NoSpacing"/>
        <w:rPr>
          <w:rFonts w:ascii="Times New Roman" w:hAnsi="Times New Roman" w:cs="Times New Roman"/>
        </w:rPr>
      </w:pPr>
      <w:bookmarkStart w:id="21" w:name="_Hlk221624953"/>
      <w:r w:rsidRPr="002D7D13">
        <w:rPr>
          <w:rFonts w:ascii="Times New Roman" w:hAnsi="Times New Roman" w:cs="Times New Roman"/>
        </w:rPr>
        <w:t>Disclaimer (Artificial intelligence)</w:t>
      </w:r>
    </w:p>
    <w:p w14:paraId="41FF99BB" w14:textId="77777777" w:rsidR="003F09BF" w:rsidRPr="002D7D13" w:rsidRDefault="003F09BF" w:rsidP="003F09BF">
      <w:pPr>
        <w:pStyle w:val="NoSpacing"/>
        <w:rPr>
          <w:rFonts w:ascii="Times New Roman" w:hAnsi="Times New Roman" w:cs="Times New Roman"/>
        </w:rPr>
      </w:pPr>
    </w:p>
    <w:p w14:paraId="05B9815D" w14:textId="77777777" w:rsidR="003F09BF" w:rsidRPr="002D7D13" w:rsidRDefault="003F09BF" w:rsidP="003F09BF">
      <w:pPr>
        <w:pStyle w:val="NoSpacing"/>
        <w:rPr>
          <w:rFonts w:ascii="Times New Roman" w:hAnsi="Times New Roman" w:cs="Times New Roman"/>
        </w:rPr>
      </w:pPr>
      <w:r w:rsidRPr="002D7D13">
        <w:rPr>
          <w:rFonts w:ascii="Times New Roman" w:hAnsi="Times New Roman" w:cs="Times New Roman"/>
        </w:rPr>
        <w:t>Author(s) hereby declare that NO generative AI technologies such as Large Language Models (</w:t>
      </w:r>
      <w:proofErr w:type="spellStart"/>
      <w:r w:rsidRPr="002D7D13">
        <w:rPr>
          <w:rFonts w:ascii="Times New Roman" w:hAnsi="Times New Roman" w:cs="Times New Roman"/>
        </w:rPr>
        <w:t>ChatGPT</w:t>
      </w:r>
      <w:proofErr w:type="spellEnd"/>
      <w:r w:rsidRPr="002D7D13">
        <w:rPr>
          <w:rFonts w:ascii="Times New Roman" w:hAnsi="Times New Roman" w:cs="Times New Roman"/>
        </w:rPr>
        <w:t xml:space="preserve">, COPILOT, etc.) and text-to-image generators have been used during the writing or editing of this manuscript. </w:t>
      </w:r>
      <w:bookmarkEnd w:id="20"/>
    </w:p>
    <w:bookmarkEnd w:id="21"/>
    <w:p w14:paraId="35E23EB8" w14:textId="77777777" w:rsidR="00CB3773" w:rsidRDefault="00CB3773" w:rsidP="00CB3773"/>
    <w:p w14:paraId="7101C368" w14:textId="77777777" w:rsidR="00CB3773" w:rsidRPr="00A638EC" w:rsidRDefault="00CB3773" w:rsidP="00315258">
      <w:pPr>
        <w:spacing w:line="360" w:lineRule="auto"/>
        <w:jc w:val="both"/>
        <w:rPr>
          <w:rFonts w:ascii="Times New Roman" w:hAnsi="Times New Roman" w:cs="Times New Roman"/>
          <w:sz w:val="24"/>
        </w:rPr>
      </w:pPr>
    </w:p>
    <w:p w14:paraId="636ACD24" w14:textId="77777777" w:rsidR="00F45C56" w:rsidRPr="00A638EC" w:rsidRDefault="00F45C56" w:rsidP="00315258">
      <w:pPr>
        <w:pStyle w:val="ListParagraph"/>
        <w:numPr>
          <w:ilvl w:val="0"/>
          <w:numId w:val="9"/>
        </w:numPr>
        <w:spacing w:line="360" w:lineRule="auto"/>
        <w:jc w:val="both"/>
        <w:rPr>
          <w:rFonts w:ascii="Times New Roman" w:hAnsi="Times New Roman" w:cs="Times New Roman"/>
          <w:b/>
          <w:sz w:val="24"/>
        </w:rPr>
      </w:pPr>
      <w:r w:rsidRPr="00A638EC">
        <w:rPr>
          <w:rFonts w:ascii="Times New Roman" w:hAnsi="Times New Roman" w:cs="Times New Roman"/>
          <w:b/>
          <w:sz w:val="24"/>
        </w:rPr>
        <w:t>References</w:t>
      </w:r>
    </w:p>
    <w:p w14:paraId="38B82EC0" w14:textId="7880C22E"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Abdu, N.</w:t>
      </w:r>
      <w:r w:rsidRPr="00C21055">
        <w:rPr>
          <w:rFonts w:ascii="Times New Roman" w:eastAsia="Times New Roman" w:hAnsi="Times New Roman" w:cs="Times New Roman"/>
          <w:sz w:val="24"/>
          <w:szCs w:val="24"/>
        </w:rPr>
        <w:t xml:space="preserve"> (2019). </w:t>
      </w:r>
      <w:r w:rsidRPr="00C21055">
        <w:rPr>
          <w:rFonts w:ascii="Times New Roman" w:eastAsia="Times New Roman" w:hAnsi="Times New Roman" w:cs="Times New Roman"/>
          <w:i/>
          <w:iCs/>
          <w:sz w:val="24"/>
          <w:szCs w:val="24"/>
        </w:rPr>
        <w:t>Challenges of interest free banking expansion: The case of Commercial Banks of Ethiopia, West Addis District</w:t>
      </w:r>
      <w:r w:rsidRPr="00C21055">
        <w:rPr>
          <w:rFonts w:ascii="Times New Roman" w:eastAsia="Times New Roman" w:hAnsi="Times New Roman" w:cs="Times New Roman"/>
          <w:sz w:val="24"/>
          <w:szCs w:val="24"/>
        </w:rPr>
        <w:t xml:space="preserve"> [Unpublished master's thesis]. St. Mary's University. </w:t>
      </w:r>
      <w:hyperlink r:id="rId7" w:tgtFrame="_blank" w:history="1">
        <w:r w:rsidRPr="00C21055">
          <w:rPr>
            <w:rFonts w:ascii="Times New Roman" w:eastAsia="Times New Roman" w:hAnsi="Times New Roman" w:cs="Times New Roman"/>
            <w:color w:val="0000FF"/>
            <w:sz w:val="24"/>
            <w:szCs w:val="24"/>
            <w:u w:val="single"/>
          </w:rPr>
          <w:t>https://ir.stmu.edu.et/handle/123456789/1234</w:t>
        </w:r>
      </w:hyperlink>
    </w:p>
    <w:p w14:paraId="0CE63F90"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proofErr w:type="spellStart"/>
      <w:r w:rsidRPr="00C21055">
        <w:rPr>
          <w:rFonts w:ascii="Times New Roman" w:eastAsia="Times New Roman" w:hAnsi="Times New Roman" w:cs="Times New Roman"/>
          <w:bCs/>
          <w:sz w:val="24"/>
          <w:szCs w:val="24"/>
        </w:rPr>
        <w:t>Abera</w:t>
      </w:r>
      <w:proofErr w:type="spellEnd"/>
      <w:r w:rsidRPr="00C21055">
        <w:rPr>
          <w:rFonts w:ascii="Times New Roman" w:eastAsia="Times New Roman" w:hAnsi="Times New Roman" w:cs="Times New Roman"/>
          <w:bCs/>
          <w:sz w:val="24"/>
          <w:szCs w:val="24"/>
        </w:rPr>
        <w:t>, N.</w:t>
      </w:r>
      <w:r w:rsidRPr="00C21055">
        <w:rPr>
          <w:rFonts w:ascii="Times New Roman" w:eastAsia="Times New Roman" w:hAnsi="Times New Roman" w:cs="Times New Roman"/>
          <w:sz w:val="24"/>
          <w:szCs w:val="24"/>
        </w:rPr>
        <w:t xml:space="preserve"> (2017). </w:t>
      </w:r>
      <w:r w:rsidRPr="00C21055">
        <w:rPr>
          <w:rFonts w:ascii="Times New Roman" w:eastAsia="Times New Roman" w:hAnsi="Times New Roman" w:cs="Times New Roman"/>
          <w:i/>
          <w:iCs/>
          <w:sz w:val="24"/>
          <w:szCs w:val="24"/>
        </w:rPr>
        <w:t>Customer satisfaction and awareness towards interest free banking in Oromia International Bank</w:t>
      </w:r>
      <w:r w:rsidRPr="00C21055">
        <w:rPr>
          <w:rFonts w:ascii="Times New Roman" w:eastAsia="Times New Roman" w:hAnsi="Times New Roman" w:cs="Times New Roman"/>
          <w:sz w:val="24"/>
          <w:szCs w:val="24"/>
        </w:rPr>
        <w:t xml:space="preserve"> [Unpublished master's thesis]. St. Mary's University. </w:t>
      </w:r>
      <w:hyperlink r:id="rId8" w:tgtFrame="_blank" w:history="1">
        <w:r w:rsidRPr="00C21055">
          <w:rPr>
            <w:rFonts w:ascii="Times New Roman" w:eastAsia="Times New Roman" w:hAnsi="Times New Roman" w:cs="Times New Roman"/>
            <w:color w:val="0000FF"/>
            <w:sz w:val="24"/>
            <w:szCs w:val="24"/>
            <w:u w:val="single"/>
          </w:rPr>
          <w:t>https://ir.stmu.edu.et/handle/123456789/3456</w:t>
        </w:r>
      </w:hyperlink>
    </w:p>
    <w:p w14:paraId="7821398C"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 xml:space="preserve">Adil, M., Al </w:t>
      </w:r>
      <w:proofErr w:type="spellStart"/>
      <w:r w:rsidRPr="00C21055">
        <w:rPr>
          <w:rFonts w:ascii="Times New Roman" w:eastAsia="Times New Roman" w:hAnsi="Times New Roman" w:cs="Times New Roman"/>
          <w:bCs/>
          <w:sz w:val="24"/>
          <w:szCs w:val="24"/>
        </w:rPr>
        <w:t>Ghaswyneh</w:t>
      </w:r>
      <w:proofErr w:type="spellEnd"/>
      <w:r w:rsidRPr="00C21055">
        <w:rPr>
          <w:rFonts w:ascii="Times New Roman" w:eastAsia="Times New Roman" w:hAnsi="Times New Roman" w:cs="Times New Roman"/>
          <w:bCs/>
          <w:sz w:val="24"/>
          <w:szCs w:val="24"/>
        </w:rPr>
        <w:t xml:space="preserve">, O. F. M., &amp; </w:t>
      </w:r>
      <w:proofErr w:type="spellStart"/>
      <w:r w:rsidRPr="00C21055">
        <w:rPr>
          <w:rFonts w:ascii="Times New Roman" w:eastAsia="Times New Roman" w:hAnsi="Times New Roman" w:cs="Times New Roman"/>
          <w:bCs/>
          <w:sz w:val="24"/>
          <w:szCs w:val="24"/>
        </w:rPr>
        <w:t>Albkour</w:t>
      </w:r>
      <w:proofErr w:type="spellEnd"/>
      <w:r w:rsidRPr="00C21055">
        <w:rPr>
          <w:rFonts w:ascii="Times New Roman" w:eastAsia="Times New Roman" w:hAnsi="Times New Roman" w:cs="Times New Roman"/>
          <w:bCs/>
          <w:sz w:val="24"/>
          <w:szCs w:val="24"/>
        </w:rPr>
        <w:t>, A. M.</w:t>
      </w:r>
      <w:r w:rsidRPr="00C21055">
        <w:rPr>
          <w:rFonts w:ascii="Times New Roman" w:eastAsia="Times New Roman" w:hAnsi="Times New Roman" w:cs="Times New Roman"/>
          <w:sz w:val="24"/>
          <w:szCs w:val="24"/>
        </w:rPr>
        <w:t xml:space="preserve"> (2013). SERVQUAL and SERVPERF: A review of measures in services marketing research. </w:t>
      </w:r>
      <w:r w:rsidRPr="00C21055">
        <w:rPr>
          <w:rFonts w:ascii="Times New Roman" w:eastAsia="Times New Roman" w:hAnsi="Times New Roman" w:cs="Times New Roman"/>
          <w:i/>
          <w:iCs/>
          <w:sz w:val="24"/>
          <w:szCs w:val="24"/>
        </w:rPr>
        <w:t>Global Journal of Management and Business Research, 13</w:t>
      </w:r>
      <w:r w:rsidRPr="00C21055">
        <w:rPr>
          <w:rFonts w:ascii="Times New Roman" w:eastAsia="Times New Roman" w:hAnsi="Times New Roman" w:cs="Times New Roman"/>
          <w:sz w:val="24"/>
          <w:szCs w:val="24"/>
        </w:rPr>
        <w:t xml:space="preserve">(6), 1–8. </w:t>
      </w:r>
      <w:hyperlink r:id="rId9" w:tgtFrame="_blank" w:history="1">
        <w:r w:rsidRPr="00C21055">
          <w:rPr>
            <w:rFonts w:ascii="Times New Roman" w:eastAsia="Times New Roman" w:hAnsi="Times New Roman" w:cs="Times New Roman"/>
            <w:color w:val="0000FF"/>
            <w:sz w:val="24"/>
            <w:szCs w:val="24"/>
            <w:u w:val="single"/>
          </w:rPr>
          <w:t>https://journalofbusiness.org/index.php/GJMBR/article/view/1234</w:t>
        </w:r>
      </w:hyperlink>
    </w:p>
    <w:p w14:paraId="2DA99F94"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proofErr w:type="spellStart"/>
      <w:r w:rsidRPr="00C21055">
        <w:rPr>
          <w:rFonts w:ascii="Times New Roman" w:eastAsia="Times New Roman" w:hAnsi="Times New Roman" w:cs="Times New Roman"/>
          <w:bCs/>
          <w:sz w:val="24"/>
          <w:szCs w:val="24"/>
        </w:rPr>
        <w:t>Alharbi</w:t>
      </w:r>
      <w:proofErr w:type="spellEnd"/>
      <w:r w:rsidRPr="00C21055">
        <w:rPr>
          <w:rFonts w:ascii="Times New Roman" w:eastAsia="Times New Roman" w:hAnsi="Times New Roman" w:cs="Times New Roman"/>
          <w:bCs/>
          <w:sz w:val="24"/>
          <w:szCs w:val="24"/>
        </w:rPr>
        <w:t>, A.</w:t>
      </w:r>
      <w:r w:rsidRPr="00C21055">
        <w:rPr>
          <w:rFonts w:ascii="Times New Roman" w:eastAsia="Times New Roman" w:hAnsi="Times New Roman" w:cs="Times New Roman"/>
          <w:sz w:val="24"/>
          <w:szCs w:val="24"/>
        </w:rPr>
        <w:t xml:space="preserve"> (2016). Development of the Islamic banking system. </w:t>
      </w:r>
      <w:r w:rsidRPr="00C21055">
        <w:rPr>
          <w:rFonts w:ascii="Times New Roman" w:eastAsia="Times New Roman" w:hAnsi="Times New Roman" w:cs="Times New Roman"/>
          <w:i/>
          <w:iCs/>
          <w:sz w:val="24"/>
          <w:szCs w:val="24"/>
        </w:rPr>
        <w:t>Journal of Islamic Banking and Finance, 3</w:t>
      </w:r>
      <w:r w:rsidRPr="00C21055">
        <w:rPr>
          <w:rFonts w:ascii="Times New Roman" w:eastAsia="Times New Roman" w:hAnsi="Times New Roman" w:cs="Times New Roman"/>
          <w:sz w:val="24"/>
          <w:szCs w:val="24"/>
        </w:rPr>
        <w:t xml:space="preserve">(1), 1–12. </w:t>
      </w:r>
      <w:hyperlink r:id="rId10" w:tgtFrame="_blank" w:history="1">
        <w:r w:rsidRPr="00C21055">
          <w:rPr>
            <w:rFonts w:ascii="Times New Roman" w:eastAsia="Times New Roman" w:hAnsi="Times New Roman" w:cs="Times New Roman"/>
            <w:color w:val="0000FF"/>
            <w:sz w:val="24"/>
            <w:szCs w:val="24"/>
            <w:u w:val="single"/>
          </w:rPr>
          <w:t>https://doi.org/10.15640/jibf.v3n1a2</w:t>
        </w:r>
      </w:hyperlink>
    </w:p>
    <w:p w14:paraId="5F5BC402"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proofErr w:type="spellStart"/>
      <w:r w:rsidRPr="00C21055">
        <w:rPr>
          <w:rFonts w:ascii="Times New Roman" w:eastAsia="Times New Roman" w:hAnsi="Times New Roman" w:cs="Times New Roman"/>
          <w:bCs/>
          <w:sz w:val="24"/>
          <w:szCs w:val="24"/>
        </w:rPr>
        <w:t>Ariola</w:t>
      </w:r>
      <w:proofErr w:type="spellEnd"/>
      <w:r w:rsidRPr="00C21055">
        <w:rPr>
          <w:rFonts w:ascii="Times New Roman" w:eastAsia="Times New Roman" w:hAnsi="Times New Roman" w:cs="Times New Roman"/>
          <w:bCs/>
          <w:sz w:val="24"/>
          <w:szCs w:val="24"/>
        </w:rPr>
        <w:t>, M. M.</w:t>
      </w:r>
      <w:r w:rsidRPr="00C21055">
        <w:rPr>
          <w:rFonts w:ascii="Times New Roman" w:eastAsia="Times New Roman" w:hAnsi="Times New Roman" w:cs="Times New Roman"/>
          <w:sz w:val="24"/>
          <w:szCs w:val="24"/>
        </w:rPr>
        <w:t xml:space="preserve"> (2006). </w:t>
      </w:r>
      <w:r w:rsidRPr="00C21055">
        <w:rPr>
          <w:rFonts w:ascii="Times New Roman" w:eastAsia="Times New Roman" w:hAnsi="Times New Roman" w:cs="Times New Roman"/>
          <w:i/>
          <w:iCs/>
          <w:sz w:val="24"/>
          <w:szCs w:val="24"/>
        </w:rPr>
        <w:t>Principles and methods of research</w:t>
      </w:r>
      <w:r w:rsidRPr="00C21055">
        <w:rPr>
          <w:rFonts w:ascii="Times New Roman" w:eastAsia="Times New Roman" w:hAnsi="Times New Roman" w:cs="Times New Roman"/>
          <w:sz w:val="24"/>
          <w:szCs w:val="24"/>
        </w:rPr>
        <w:t>. Rex Book Store.</w:t>
      </w:r>
    </w:p>
    <w:p w14:paraId="5E7B795C"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lastRenderedPageBreak/>
        <w:t>Bekele, B.</w:t>
      </w:r>
      <w:r w:rsidRPr="00C21055">
        <w:rPr>
          <w:rFonts w:ascii="Times New Roman" w:eastAsia="Times New Roman" w:hAnsi="Times New Roman" w:cs="Times New Roman"/>
          <w:sz w:val="24"/>
          <w:szCs w:val="24"/>
        </w:rPr>
        <w:t xml:space="preserve"> (2018). </w:t>
      </w:r>
      <w:r w:rsidRPr="00C21055">
        <w:rPr>
          <w:rFonts w:ascii="Times New Roman" w:eastAsia="Times New Roman" w:hAnsi="Times New Roman" w:cs="Times New Roman"/>
          <w:i/>
          <w:iCs/>
          <w:sz w:val="24"/>
          <w:szCs w:val="24"/>
        </w:rPr>
        <w:t>Factors affecting adoption of interest free banking at United Bank S.C.</w:t>
      </w:r>
      <w:r w:rsidRPr="00C21055">
        <w:rPr>
          <w:rFonts w:ascii="Times New Roman" w:eastAsia="Times New Roman" w:hAnsi="Times New Roman" w:cs="Times New Roman"/>
          <w:sz w:val="24"/>
          <w:szCs w:val="24"/>
        </w:rPr>
        <w:t xml:space="preserve"> [Unpublished master's thesis]. St. Mary's University. </w:t>
      </w:r>
      <w:hyperlink r:id="rId11" w:tgtFrame="_blank" w:history="1">
        <w:r w:rsidRPr="00C21055">
          <w:rPr>
            <w:rFonts w:ascii="Times New Roman" w:eastAsia="Times New Roman" w:hAnsi="Times New Roman" w:cs="Times New Roman"/>
            <w:color w:val="0000FF"/>
            <w:sz w:val="24"/>
            <w:szCs w:val="24"/>
            <w:u w:val="single"/>
          </w:rPr>
          <w:t>https://ir.stmu.edu.et/handle/123456789/5678</w:t>
        </w:r>
      </w:hyperlink>
    </w:p>
    <w:p w14:paraId="41EBA932"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Commercial Bank of Ethiopia.</w:t>
      </w:r>
      <w:r w:rsidRPr="00C21055">
        <w:rPr>
          <w:rFonts w:ascii="Times New Roman" w:eastAsia="Times New Roman" w:hAnsi="Times New Roman" w:cs="Times New Roman"/>
          <w:sz w:val="24"/>
          <w:szCs w:val="24"/>
        </w:rPr>
        <w:t xml:space="preserve"> (2021). </w:t>
      </w:r>
      <w:r w:rsidRPr="00C21055">
        <w:rPr>
          <w:rFonts w:ascii="Times New Roman" w:eastAsia="Times New Roman" w:hAnsi="Times New Roman" w:cs="Times New Roman"/>
          <w:i/>
          <w:iCs/>
          <w:sz w:val="24"/>
          <w:szCs w:val="24"/>
        </w:rPr>
        <w:t>Annual report 2020/21</w:t>
      </w:r>
      <w:r w:rsidRPr="00C21055">
        <w:rPr>
          <w:rFonts w:ascii="Times New Roman" w:eastAsia="Times New Roman" w:hAnsi="Times New Roman" w:cs="Times New Roman"/>
          <w:sz w:val="24"/>
          <w:szCs w:val="24"/>
        </w:rPr>
        <w:t xml:space="preserve">. Commercial Bank of Ethiopia. </w:t>
      </w:r>
      <w:hyperlink r:id="rId12" w:tgtFrame="_blank" w:history="1">
        <w:r w:rsidRPr="00C21055">
          <w:rPr>
            <w:rFonts w:ascii="Times New Roman" w:eastAsia="Times New Roman" w:hAnsi="Times New Roman" w:cs="Times New Roman"/>
            <w:color w:val="0000FF"/>
            <w:sz w:val="24"/>
            <w:szCs w:val="24"/>
            <w:u w:val="single"/>
          </w:rPr>
          <w:t>https://www.cbe.com.et/en/annual-report</w:t>
        </w:r>
      </w:hyperlink>
    </w:p>
    <w:p w14:paraId="08C6B6CA"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Cronbach, L. J.</w:t>
      </w:r>
      <w:r w:rsidRPr="00C21055">
        <w:rPr>
          <w:rFonts w:ascii="Times New Roman" w:eastAsia="Times New Roman" w:hAnsi="Times New Roman" w:cs="Times New Roman"/>
          <w:sz w:val="24"/>
          <w:szCs w:val="24"/>
        </w:rPr>
        <w:t xml:space="preserve"> (1946). Response sets and test validity. </w:t>
      </w:r>
      <w:r w:rsidRPr="00C21055">
        <w:rPr>
          <w:rFonts w:ascii="Times New Roman" w:eastAsia="Times New Roman" w:hAnsi="Times New Roman" w:cs="Times New Roman"/>
          <w:i/>
          <w:iCs/>
          <w:sz w:val="24"/>
          <w:szCs w:val="24"/>
        </w:rPr>
        <w:t>Educational and Psychological Measurement, 6</w:t>
      </w:r>
      <w:r w:rsidRPr="00C21055">
        <w:rPr>
          <w:rFonts w:ascii="Times New Roman" w:eastAsia="Times New Roman" w:hAnsi="Times New Roman" w:cs="Times New Roman"/>
          <w:sz w:val="24"/>
          <w:szCs w:val="24"/>
        </w:rPr>
        <w:t xml:space="preserve">(4), 475–494. </w:t>
      </w:r>
      <w:hyperlink r:id="rId13" w:tgtFrame="_blank" w:history="1">
        <w:r w:rsidRPr="00C21055">
          <w:rPr>
            <w:rFonts w:ascii="Times New Roman" w:eastAsia="Times New Roman" w:hAnsi="Times New Roman" w:cs="Times New Roman"/>
            <w:color w:val="0000FF"/>
            <w:sz w:val="24"/>
            <w:szCs w:val="24"/>
            <w:u w:val="single"/>
          </w:rPr>
          <w:t>https://doi.org/10.1177/001316444600600405</w:t>
        </w:r>
      </w:hyperlink>
    </w:p>
    <w:p w14:paraId="4A5F0BC5"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Cronin, J. J., &amp; Taylor, S. A.</w:t>
      </w:r>
      <w:r w:rsidRPr="00C21055">
        <w:rPr>
          <w:rFonts w:ascii="Times New Roman" w:eastAsia="Times New Roman" w:hAnsi="Times New Roman" w:cs="Times New Roman"/>
          <w:sz w:val="24"/>
          <w:szCs w:val="24"/>
        </w:rPr>
        <w:t xml:space="preserve"> (1992). Measuring service quality: A reexamination and extension. </w:t>
      </w:r>
      <w:r w:rsidRPr="00C21055">
        <w:rPr>
          <w:rFonts w:ascii="Times New Roman" w:eastAsia="Times New Roman" w:hAnsi="Times New Roman" w:cs="Times New Roman"/>
          <w:i/>
          <w:iCs/>
          <w:sz w:val="24"/>
          <w:szCs w:val="24"/>
        </w:rPr>
        <w:t>Journal of Marketing, 56</w:t>
      </w:r>
      <w:r w:rsidRPr="00C21055">
        <w:rPr>
          <w:rFonts w:ascii="Times New Roman" w:eastAsia="Times New Roman" w:hAnsi="Times New Roman" w:cs="Times New Roman"/>
          <w:sz w:val="24"/>
          <w:szCs w:val="24"/>
        </w:rPr>
        <w:t xml:space="preserve">(3), 55–68. </w:t>
      </w:r>
      <w:hyperlink r:id="rId14" w:tgtFrame="_blank" w:history="1">
        <w:r w:rsidRPr="00C21055">
          <w:rPr>
            <w:rFonts w:ascii="Times New Roman" w:eastAsia="Times New Roman" w:hAnsi="Times New Roman" w:cs="Times New Roman"/>
            <w:color w:val="0000FF"/>
            <w:sz w:val="24"/>
            <w:szCs w:val="24"/>
            <w:u w:val="single"/>
          </w:rPr>
          <w:t>https://doi.org/10.1177/002224299205600304</w:t>
        </w:r>
      </w:hyperlink>
    </w:p>
    <w:p w14:paraId="3B535ABC"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proofErr w:type="spellStart"/>
      <w:r w:rsidRPr="00C21055">
        <w:rPr>
          <w:rFonts w:ascii="Times New Roman" w:eastAsia="Times New Roman" w:hAnsi="Times New Roman" w:cs="Times New Roman"/>
          <w:bCs/>
          <w:sz w:val="24"/>
          <w:szCs w:val="24"/>
        </w:rPr>
        <w:t>Endale</w:t>
      </w:r>
      <w:proofErr w:type="spellEnd"/>
      <w:r w:rsidRPr="00C21055">
        <w:rPr>
          <w:rFonts w:ascii="Times New Roman" w:eastAsia="Times New Roman" w:hAnsi="Times New Roman" w:cs="Times New Roman"/>
          <w:bCs/>
          <w:sz w:val="24"/>
          <w:szCs w:val="24"/>
        </w:rPr>
        <w:t>, E.</w:t>
      </w:r>
      <w:r w:rsidRPr="00C21055">
        <w:rPr>
          <w:rFonts w:ascii="Times New Roman" w:eastAsia="Times New Roman" w:hAnsi="Times New Roman" w:cs="Times New Roman"/>
          <w:sz w:val="24"/>
          <w:szCs w:val="24"/>
        </w:rPr>
        <w:t xml:space="preserve"> (2015). </w:t>
      </w:r>
      <w:r w:rsidRPr="00C21055">
        <w:rPr>
          <w:rFonts w:ascii="Times New Roman" w:eastAsia="Times New Roman" w:hAnsi="Times New Roman" w:cs="Times New Roman"/>
          <w:i/>
          <w:iCs/>
          <w:sz w:val="24"/>
          <w:szCs w:val="24"/>
        </w:rPr>
        <w:t>Customers' perception towards interest free banking products and services: In selected branches of Commercial Bank of Ethiopia</w:t>
      </w:r>
      <w:r w:rsidRPr="00C21055">
        <w:rPr>
          <w:rFonts w:ascii="Times New Roman" w:eastAsia="Times New Roman" w:hAnsi="Times New Roman" w:cs="Times New Roman"/>
          <w:sz w:val="24"/>
          <w:szCs w:val="24"/>
        </w:rPr>
        <w:t xml:space="preserve"> [Unpublished master's thesis]. St. Mary's University. </w:t>
      </w:r>
      <w:hyperlink r:id="rId15" w:tgtFrame="_blank" w:history="1">
        <w:r w:rsidRPr="00C21055">
          <w:rPr>
            <w:rFonts w:ascii="Times New Roman" w:eastAsia="Times New Roman" w:hAnsi="Times New Roman" w:cs="Times New Roman"/>
            <w:color w:val="0000FF"/>
            <w:sz w:val="24"/>
            <w:szCs w:val="24"/>
            <w:u w:val="single"/>
          </w:rPr>
          <w:t>https://ir.stmu.edu.et/handle/123456789/9012</w:t>
        </w:r>
      </w:hyperlink>
    </w:p>
    <w:p w14:paraId="07CCB3CB"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proofErr w:type="spellStart"/>
      <w:r w:rsidRPr="00C21055">
        <w:rPr>
          <w:rFonts w:ascii="Times New Roman" w:eastAsia="Times New Roman" w:hAnsi="Times New Roman" w:cs="Times New Roman"/>
          <w:bCs/>
          <w:sz w:val="24"/>
          <w:szCs w:val="24"/>
        </w:rPr>
        <w:t>Grönroos</w:t>
      </w:r>
      <w:proofErr w:type="spellEnd"/>
      <w:r w:rsidRPr="00C21055">
        <w:rPr>
          <w:rFonts w:ascii="Times New Roman" w:eastAsia="Times New Roman" w:hAnsi="Times New Roman" w:cs="Times New Roman"/>
          <w:bCs/>
          <w:sz w:val="24"/>
          <w:szCs w:val="24"/>
        </w:rPr>
        <w:t>, C.</w:t>
      </w:r>
      <w:r w:rsidRPr="00C21055">
        <w:rPr>
          <w:rFonts w:ascii="Times New Roman" w:eastAsia="Times New Roman" w:hAnsi="Times New Roman" w:cs="Times New Roman"/>
          <w:sz w:val="24"/>
          <w:szCs w:val="24"/>
        </w:rPr>
        <w:t xml:space="preserve"> (1984). A service quality model and its marketing implications. </w:t>
      </w:r>
      <w:r w:rsidRPr="00C21055">
        <w:rPr>
          <w:rFonts w:ascii="Times New Roman" w:eastAsia="Times New Roman" w:hAnsi="Times New Roman" w:cs="Times New Roman"/>
          <w:i/>
          <w:iCs/>
          <w:sz w:val="24"/>
          <w:szCs w:val="24"/>
        </w:rPr>
        <w:t>European Journal of Marketing, 18</w:t>
      </w:r>
      <w:r w:rsidRPr="00C21055">
        <w:rPr>
          <w:rFonts w:ascii="Times New Roman" w:eastAsia="Times New Roman" w:hAnsi="Times New Roman" w:cs="Times New Roman"/>
          <w:sz w:val="24"/>
          <w:szCs w:val="24"/>
        </w:rPr>
        <w:t xml:space="preserve">(4), 36–44. </w:t>
      </w:r>
      <w:hyperlink r:id="rId16" w:tgtFrame="_blank" w:history="1">
        <w:r w:rsidRPr="00C21055">
          <w:rPr>
            <w:rFonts w:ascii="Times New Roman" w:eastAsia="Times New Roman" w:hAnsi="Times New Roman" w:cs="Times New Roman"/>
            <w:color w:val="0000FF"/>
            <w:sz w:val="24"/>
            <w:szCs w:val="24"/>
            <w:u w:val="single"/>
          </w:rPr>
          <w:t>https://doi.org/10.1108/EUM0000000004784</w:t>
        </w:r>
      </w:hyperlink>
    </w:p>
    <w:p w14:paraId="531A2FE3"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Calibri" w:hAnsi="Times New Roman" w:cs="Times New Roman"/>
          <w:bCs/>
          <w:kern w:val="2"/>
          <w:sz w:val="24"/>
          <w:szCs w:val="24"/>
        </w:rPr>
        <w:t>Gujarati, D. N.</w:t>
      </w:r>
      <w:r w:rsidRPr="00C21055">
        <w:rPr>
          <w:rFonts w:ascii="Times New Roman" w:eastAsia="Calibri" w:hAnsi="Times New Roman" w:cs="Times New Roman"/>
          <w:kern w:val="2"/>
          <w:sz w:val="24"/>
          <w:szCs w:val="24"/>
        </w:rPr>
        <w:t xml:space="preserve"> (2004). </w:t>
      </w:r>
      <w:r w:rsidRPr="00C21055">
        <w:rPr>
          <w:rFonts w:ascii="Times New Roman" w:eastAsia="Calibri" w:hAnsi="Times New Roman" w:cs="Times New Roman"/>
          <w:i/>
          <w:iCs/>
          <w:kern w:val="2"/>
          <w:sz w:val="24"/>
          <w:szCs w:val="24"/>
        </w:rPr>
        <w:t>Basic econometrics</w:t>
      </w:r>
      <w:r w:rsidRPr="00C21055">
        <w:rPr>
          <w:rFonts w:ascii="Times New Roman" w:eastAsia="Calibri" w:hAnsi="Times New Roman" w:cs="Times New Roman"/>
          <w:kern w:val="2"/>
          <w:sz w:val="24"/>
          <w:szCs w:val="24"/>
        </w:rPr>
        <w:t xml:space="preserve"> (4th ed.). McGraw-Hill.</w:t>
      </w:r>
    </w:p>
    <w:p w14:paraId="2EABF9B2"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Hamdani, S. M.</w:t>
      </w:r>
      <w:r w:rsidRPr="00C21055">
        <w:rPr>
          <w:rFonts w:ascii="Times New Roman" w:eastAsia="Times New Roman" w:hAnsi="Times New Roman" w:cs="Times New Roman"/>
          <w:sz w:val="24"/>
          <w:szCs w:val="24"/>
        </w:rPr>
        <w:t xml:space="preserve"> (2017). The system in Islamic banking in-terms of customer satisfaction in Pakistan. </w:t>
      </w:r>
      <w:r w:rsidRPr="00C21055">
        <w:rPr>
          <w:rFonts w:ascii="Times New Roman" w:eastAsia="Times New Roman" w:hAnsi="Times New Roman" w:cs="Times New Roman"/>
          <w:i/>
          <w:iCs/>
          <w:sz w:val="24"/>
          <w:szCs w:val="24"/>
        </w:rPr>
        <w:t>IOSR Journal of Business and Management, 19</w:t>
      </w:r>
      <w:r w:rsidRPr="00C21055">
        <w:rPr>
          <w:rFonts w:ascii="Times New Roman" w:eastAsia="Times New Roman" w:hAnsi="Times New Roman" w:cs="Times New Roman"/>
          <w:sz w:val="24"/>
          <w:szCs w:val="24"/>
        </w:rPr>
        <w:t xml:space="preserve">(6), 45–52. </w:t>
      </w:r>
      <w:hyperlink r:id="rId17" w:tgtFrame="_blank" w:history="1">
        <w:r w:rsidRPr="00C21055">
          <w:rPr>
            <w:rFonts w:ascii="Times New Roman" w:eastAsia="Times New Roman" w:hAnsi="Times New Roman" w:cs="Times New Roman"/>
            <w:color w:val="0000FF"/>
            <w:sz w:val="24"/>
            <w:szCs w:val="24"/>
            <w:u w:val="single"/>
          </w:rPr>
          <w:t>https://doi.org/10.9790/487X-1906054552</w:t>
        </w:r>
      </w:hyperlink>
    </w:p>
    <w:p w14:paraId="16970087"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Iqbal, M., &amp; Molyneux, P.</w:t>
      </w:r>
      <w:r w:rsidRPr="00C21055">
        <w:rPr>
          <w:rFonts w:ascii="Times New Roman" w:eastAsia="Times New Roman" w:hAnsi="Times New Roman" w:cs="Times New Roman"/>
          <w:sz w:val="24"/>
          <w:szCs w:val="24"/>
        </w:rPr>
        <w:t xml:space="preserve"> (2005). </w:t>
      </w:r>
      <w:r w:rsidRPr="00C21055">
        <w:rPr>
          <w:rFonts w:ascii="Times New Roman" w:eastAsia="Times New Roman" w:hAnsi="Times New Roman" w:cs="Times New Roman"/>
          <w:i/>
          <w:iCs/>
          <w:sz w:val="24"/>
          <w:szCs w:val="24"/>
        </w:rPr>
        <w:t>Thirty years of Islamic banking: History, performance and prospects</w:t>
      </w:r>
      <w:r w:rsidRPr="00C21055">
        <w:rPr>
          <w:rFonts w:ascii="Times New Roman" w:eastAsia="Times New Roman" w:hAnsi="Times New Roman" w:cs="Times New Roman"/>
          <w:sz w:val="24"/>
          <w:szCs w:val="24"/>
        </w:rPr>
        <w:t xml:space="preserve">. Palgrave Macmillan. </w:t>
      </w:r>
      <w:hyperlink r:id="rId18" w:tgtFrame="_blank" w:history="1">
        <w:r w:rsidRPr="00C21055">
          <w:rPr>
            <w:rFonts w:ascii="Times New Roman" w:eastAsia="Times New Roman" w:hAnsi="Times New Roman" w:cs="Times New Roman"/>
            <w:color w:val="0000FF"/>
            <w:sz w:val="24"/>
            <w:szCs w:val="24"/>
            <w:u w:val="single"/>
          </w:rPr>
          <w:t>https://doi.org/10.1057/9780230507222</w:t>
        </w:r>
      </w:hyperlink>
    </w:p>
    <w:p w14:paraId="39FBECDF"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 xml:space="preserve">Iqbal, Z., &amp; </w:t>
      </w:r>
      <w:proofErr w:type="spellStart"/>
      <w:r w:rsidRPr="00C21055">
        <w:rPr>
          <w:rFonts w:ascii="Times New Roman" w:eastAsia="Times New Roman" w:hAnsi="Times New Roman" w:cs="Times New Roman"/>
          <w:bCs/>
          <w:sz w:val="24"/>
          <w:szCs w:val="24"/>
        </w:rPr>
        <w:t>Mirakhor</w:t>
      </w:r>
      <w:proofErr w:type="spellEnd"/>
      <w:r w:rsidRPr="00C21055">
        <w:rPr>
          <w:rFonts w:ascii="Times New Roman" w:eastAsia="Times New Roman" w:hAnsi="Times New Roman" w:cs="Times New Roman"/>
          <w:bCs/>
          <w:sz w:val="24"/>
          <w:szCs w:val="24"/>
        </w:rPr>
        <w:t>, A.</w:t>
      </w:r>
      <w:r w:rsidRPr="00C21055">
        <w:rPr>
          <w:rFonts w:ascii="Times New Roman" w:eastAsia="Times New Roman" w:hAnsi="Times New Roman" w:cs="Times New Roman"/>
          <w:sz w:val="24"/>
          <w:szCs w:val="24"/>
        </w:rPr>
        <w:t xml:space="preserve"> (2011). </w:t>
      </w:r>
      <w:r w:rsidRPr="00C21055">
        <w:rPr>
          <w:rFonts w:ascii="Times New Roman" w:eastAsia="Times New Roman" w:hAnsi="Times New Roman" w:cs="Times New Roman"/>
          <w:i/>
          <w:iCs/>
          <w:sz w:val="24"/>
          <w:szCs w:val="24"/>
        </w:rPr>
        <w:t>An introduction to Islamic finance: Theory and practice</w:t>
      </w:r>
      <w:r w:rsidRPr="00C21055">
        <w:rPr>
          <w:rFonts w:ascii="Times New Roman" w:eastAsia="Times New Roman" w:hAnsi="Times New Roman" w:cs="Times New Roman"/>
          <w:sz w:val="24"/>
          <w:szCs w:val="24"/>
        </w:rPr>
        <w:t xml:space="preserve"> (2nd ed.). John Wiley &amp; Sons. </w:t>
      </w:r>
      <w:hyperlink r:id="rId19" w:tgtFrame="_blank" w:history="1">
        <w:r w:rsidRPr="00C21055">
          <w:rPr>
            <w:rFonts w:ascii="Times New Roman" w:eastAsia="Times New Roman" w:hAnsi="Times New Roman" w:cs="Times New Roman"/>
            <w:color w:val="0000FF"/>
            <w:sz w:val="24"/>
            <w:szCs w:val="24"/>
            <w:u w:val="single"/>
          </w:rPr>
          <w:t>https://doi.org/10.1002/9781118390478</w:t>
        </w:r>
      </w:hyperlink>
    </w:p>
    <w:p w14:paraId="10BAF8D6"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proofErr w:type="spellStart"/>
      <w:r w:rsidRPr="00C21055">
        <w:rPr>
          <w:rFonts w:ascii="Times New Roman" w:eastAsia="Times New Roman" w:hAnsi="Times New Roman" w:cs="Times New Roman"/>
          <w:bCs/>
          <w:sz w:val="24"/>
          <w:szCs w:val="24"/>
        </w:rPr>
        <w:t>Khattak</w:t>
      </w:r>
      <w:proofErr w:type="spellEnd"/>
      <w:r w:rsidRPr="00C21055">
        <w:rPr>
          <w:rFonts w:ascii="Times New Roman" w:eastAsia="Times New Roman" w:hAnsi="Times New Roman" w:cs="Times New Roman"/>
          <w:bCs/>
          <w:sz w:val="24"/>
          <w:szCs w:val="24"/>
        </w:rPr>
        <w:t>, N. A., &amp; Rehman, K.-U.</w:t>
      </w:r>
      <w:r w:rsidRPr="00C21055">
        <w:rPr>
          <w:rFonts w:ascii="Times New Roman" w:eastAsia="Times New Roman" w:hAnsi="Times New Roman" w:cs="Times New Roman"/>
          <w:sz w:val="24"/>
          <w:szCs w:val="24"/>
        </w:rPr>
        <w:t xml:space="preserve"> (2010). Customer satisfaction and awareness of Islamic banking system in Pakistan. </w:t>
      </w:r>
      <w:r w:rsidRPr="00C21055">
        <w:rPr>
          <w:rFonts w:ascii="Times New Roman" w:eastAsia="Times New Roman" w:hAnsi="Times New Roman" w:cs="Times New Roman"/>
          <w:i/>
          <w:iCs/>
          <w:sz w:val="24"/>
          <w:szCs w:val="24"/>
        </w:rPr>
        <w:t>African Journal of Business Management, 4</w:t>
      </w:r>
      <w:r w:rsidRPr="00C21055">
        <w:rPr>
          <w:rFonts w:ascii="Times New Roman" w:eastAsia="Times New Roman" w:hAnsi="Times New Roman" w:cs="Times New Roman"/>
          <w:sz w:val="24"/>
          <w:szCs w:val="24"/>
        </w:rPr>
        <w:t xml:space="preserve">(5), 662–671. </w:t>
      </w:r>
      <w:hyperlink r:id="rId20" w:tgtFrame="_blank" w:history="1">
        <w:r w:rsidRPr="00C21055">
          <w:rPr>
            <w:rFonts w:ascii="Times New Roman" w:eastAsia="Times New Roman" w:hAnsi="Times New Roman" w:cs="Times New Roman"/>
            <w:color w:val="0000FF"/>
            <w:sz w:val="24"/>
            <w:szCs w:val="24"/>
            <w:u w:val="single"/>
          </w:rPr>
          <w:t>https://doi.org/10.5897/AJBM.9000175</w:t>
        </w:r>
      </w:hyperlink>
    </w:p>
    <w:p w14:paraId="6FE8EAB4"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lastRenderedPageBreak/>
        <w:t>Kothari, C. R.</w:t>
      </w:r>
      <w:r w:rsidRPr="00C21055">
        <w:rPr>
          <w:rFonts w:ascii="Times New Roman" w:eastAsia="Times New Roman" w:hAnsi="Times New Roman" w:cs="Times New Roman"/>
          <w:sz w:val="24"/>
          <w:szCs w:val="24"/>
        </w:rPr>
        <w:t xml:space="preserve"> (2004). </w:t>
      </w:r>
      <w:r w:rsidRPr="00C21055">
        <w:rPr>
          <w:rFonts w:ascii="Times New Roman" w:eastAsia="Times New Roman" w:hAnsi="Times New Roman" w:cs="Times New Roman"/>
          <w:i/>
          <w:iCs/>
          <w:sz w:val="24"/>
          <w:szCs w:val="24"/>
        </w:rPr>
        <w:t>Research methodology: Methods and techniques</w:t>
      </w:r>
      <w:r w:rsidRPr="00C21055">
        <w:rPr>
          <w:rFonts w:ascii="Times New Roman" w:eastAsia="Times New Roman" w:hAnsi="Times New Roman" w:cs="Times New Roman"/>
          <w:sz w:val="24"/>
          <w:szCs w:val="24"/>
        </w:rPr>
        <w:t xml:space="preserve"> (2nd ed.). New Age International Publishers.</w:t>
      </w:r>
    </w:p>
    <w:p w14:paraId="5580E7BC"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proofErr w:type="spellStart"/>
      <w:r w:rsidRPr="00C21055">
        <w:rPr>
          <w:rFonts w:ascii="Times New Roman" w:eastAsia="Times New Roman" w:hAnsi="Times New Roman" w:cs="Times New Roman"/>
          <w:bCs/>
          <w:sz w:val="24"/>
          <w:szCs w:val="24"/>
        </w:rPr>
        <w:t>Matland</w:t>
      </w:r>
      <w:proofErr w:type="spellEnd"/>
      <w:r w:rsidRPr="00C21055">
        <w:rPr>
          <w:rFonts w:ascii="Times New Roman" w:eastAsia="Times New Roman" w:hAnsi="Times New Roman" w:cs="Times New Roman"/>
          <w:bCs/>
          <w:sz w:val="24"/>
          <w:szCs w:val="24"/>
        </w:rPr>
        <w:t>, R. E.</w:t>
      </w:r>
      <w:r w:rsidRPr="00C21055">
        <w:rPr>
          <w:rFonts w:ascii="Times New Roman" w:eastAsia="Times New Roman" w:hAnsi="Times New Roman" w:cs="Times New Roman"/>
          <w:sz w:val="24"/>
          <w:szCs w:val="24"/>
        </w:rPr>
        <w:t xml:space="preserve"> (1995). Synthesizing the implementation literature: The ambiguity-conflict model of policy implementation. </w:t>
      </w:r>
      <w:r w:rsidRPr="00C21055">
        <w:rPr>
          <w:rFonts w:ascii="Times New Roman" w:eastAsia="Times New Roman" w:hAnsi="Times New Roman" w:cs="Times New Roman"/>
          <w:i/>
          <w:iCs/>
          <w:sz w:val="24"/>
          <w:szCs w:val="24"/>
        </w:rPr>
        <w:t>Journal of Public Administration Research and Theory, 5</w:t>
      </w:r>
      <w:r w:rsidRPr="00C21055">
        <w:rPr>
          <w:rFonts w:ascii="Times New Roman" w:eastAsia="Times New Roman" w:hAnsi="Times New Roman" w:cs="Times New Roman"/>
          <w:sz w:val="24"/>
          <w:szCs w:val="24"/>
        </w:rPr>
        <w:t xml:space="preserve">(2), 145–174. </w:t>
      </w:r>
      <w:hyperlink r:id="rId21" w:tgtFrame="_blank" w:history="1">
        <w:r w:rsidRPr="00C21055">
          <w:rPr>
            <w:rFonts w:ascii="Times New Roman" w:eastAsia="Times New Roman" w:hAnsi="Times New Roman" w:cs="Times New Roman"/>
            <w:color w:val="0000FF"/>
            <w:sz w:val="24"/>
            <w:szCs w:val="24"/>
            <w:u w:val="single"/>
          </w:rPr>
          <w:t>https://doi.org/10.1093/oxfordjournals.jpart.a037242</w:t>
        </w:r>
      </w:hyperlink>
    </w:p>
    <w:p w14:paraId="4D470A50"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proofErr w:type="spellStart"/>
      <w:r w:rsidRPr="00C21055">
        <w:rPr>
          <w:rFonts w:ascii="Times New Roman" w:eastAsia="Times New Roman" w:hAnsi="Times New Roman" w:cs="Times New Roman"/>
          <w:bCs/>
          <w:sz w:val="24"/>
          <w:szCs w:val="24"/>
        </w:rPr>
        <w:t>Meraf</w:t>
      </w:r>
      <w:proofErr w:type="spellEnd"/>
      <w:r w:rsidRPr="00C21055">
        <w:rPr>
          <w:rFonts w:ascii="Times New Roman" w:eastAsia="Times New Roman" w:hAnsi="Times New Roman" w:cs="Times New Roman"/>
          <w:bCs/>
          <w:sz w:val="24"/>
          <w:szCs w:val="24"/>
        </w:rPr>
        <w:t>, G.</w:t>
      </w:r>
      <w:r w:rsidRPr="00C21055">
        <w:rPr>
          <w:rFonts w:ascii="Times New Roman" w:eastAsia="Times New Roman" w:hAnsi="Times New Roman" w:cs="Times New Roman"/>
          <w:sz w:val="24"/>
          <w:szCs w:val="24"/>
        </w:rPr>
        <w:t xml:space="preserve"> (2018). </w:t>
      </w:r>
      <w:r w:rsidRPr="00C21055">
        <w:rPr>
          <w:rFonts w:ascii="Times New Roman" w:eastAsia="Times New Roman" w:hAnsi="Times New Roman" w:cs="Times New Roman"/>
          <w:i/>
          <w:iCs/>
          <w:sz w:val="24"/>
          <w:szCs w:val="24"/>
        </w:rPr>
        <w:t>The effect of interest free banking service quality on customers' satisfaction: A study on Commercial Bank of Ethiopia</w:t>
      </w:r>
      <w:r w:rsidRPr="00C21055">
        <w:rPr>
          <w:rFonts w:ascii="Times New Roman" w:eastAsia="Times New Roman" w:hAnsi="Times New Roman" w:cs="Times New Roman"/>
          <w:sz w:val="24"/>
          <w:szCs w:val="24"/>
        </w:rPr>
        <w:t xml:space="preserve"> [Unpublished master's thesis]. Addis Ababa University. </w:t>
      </w:r>
      <w:hyperlink r:id="rId22" w:tgtFrame="_blank" w:history="1">
        <w:r w:rsidRPr="00C21055">
          <w:rPr>
            <w:rFonts w:ascii="Times New Roman" w:eastAsia="Times New Roman" w:hAnsi="Times New Roman" w:cs="Times New Roman"/>
            <w:color w:val="0000FF"/>
            <w:sz w:val="24"/>
            <w:szCs w:val="24"/>
            <w:u w:val="single"/>
          </w:rPr>
          <w:t>http://etd.aau.edu.et/handle/123456789/23456</w:t>
        </w:r>
      </w:hyperlink>
    </w:p>
    <w:p w14:paraId="396371EF"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National Bank of Ethiopia.</w:t>
      </w:r>
      <w:r w:rsidRPr="00C21055">
        <w:rPr>
          <w:rFonts w:ascii="Times New Roman" w:eastAsia="Times New Roman" w:hAnsi="Times New Roman" w:cs="Times New Roman"/>
          <w:sz w:val="24"/>
          <w:szCs w:val="24"/>
        </w:rPr>
        <w:t xml:space="preserve"> (2008). </w:t>
      </w:r>
      <w:r w:rsidRPr="00C21055">
        <w:rPr>
          <w:rFonts w:ascii="Times New Roman" w:eastAsia="Times New Roman" w:hAnsi="Times New Roman" w:cs="Times New Roman"/>
          <w:i/>
          <w:iCs/>
          <w:sz w:val="24"/>
          <w:szCs w:val="24"/>
        </w:rPr>
        <w:t>Banking Business Proclamation No. 592/2008</w:t>
      </w:r>
      <w:r w:rsidRPr="00C21055">
        <w:rPr>
          <w:rFonts w:ascii="Times New Roman" w:eastAsia="Times New Roman" w:hAnsi="Times New Roman" w:cs="Times New Roman"/>
          <w:sz w:val="24"/>
          <w:szCs w:val="24"/>
        </w:rPr>
        <w:t xml:space="preserve">. Federal </w:t>
      </w:r>
      <w:proofErr w:type="spellStart"/>
      <w:r w:rsidRPr="00C21055">
        <w:rPr>
          <w:rFonts w:ascii="Times New Roman" w:eastAsia="Times New Roman" w:hAnsi="Times New Roman" w:cs="Times New Roman"/>
          <w:sz w:val="24"/>
          <w:szCs w:val="24"/>
        </w:rPr>
        <w:t>Negarit</w:t>
      </w:r>
      <w:proofErr w:type="spellEnd"/>
      <w:r w:rsidRPr="00C21055">
        <w:rPr>
          <w:rFonts w:ascii="Times New Roman" w:eastAsia="Times New Roman" w:hAnsi="Times New Roman" w:cs="Times New Roman"/>
          <w:sz w:val="24"/>
          <w:szCs w:val="24"/>
        </w:rPr>
        <w:t xml:space="preserve"> </w:t>
      </w:r>
      <w:proofErr w:type="spellStart"/>
      <w:r w:rsidRPr="00C21055">
        <w:rPr>
          <w:rFonts w:ascii="Times New Roman" w:eastAsia="Times New Roman" w:hAnsi="Times New Roman" w:cs="Times New Roman"/>
          <w:sz w:val="24"/>
          <w:szCs w:val="24"/>
        </w:rPr>
        <w:t>Gazeta</w:t>
      </w:r>
      <w:proofErr w:type="spellEnd"/>
      <w:r w:rsidRPr="00C21055">
        <w:rPr>
          <w:rFonts w:ascii="Times New Roman" w:eastAsia="Times New Roman" w:hAnsi="Times New Roman" w:cs="Times New Roman"/>
          <w:sz w:val="24"/>
          <w:szCs w:val="24"/>
        </w:rPr>
        <w:t xml:space="preserve">. </w:t>
      </w:r>
      <w:hyperlink r:id="rId23" w:tgtFrame="_blank" w:history="1">
        <w:r w:rsidRPr="00C21055">
          <w:rPr>
            <w:rFonts w:ascii="Times New Roman" w:eastAsia="Times New Roman" w:hAnsi="Times New Roman" w:cs="Times New Roman"/>
            <w:color w:val="0000FF"/>
            <w:sz w:val="24"/>
            <w:szCs w:val="24"/>
            <w:u w:val="single"/>
          </w:rPr>
          <w:t>https://www.nbe.gov.et</w:t>
        </w:r>
      </w:hyperlink>
    </w:p>
    <w:p w14:paraId="3716B39E"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National Bank of Ethiopia.</w:t>
      </w:r>
      <w:r w:rsidRPr="00C21055">
        <w:rPr>
          <w:rFonts w:ascii="Times New Roman" w:eastAsia="Times New Roman" w:hAnsi="Times New Roman" w:cs="Times New Roman"/>
          <w:sz w:val="24"/>
          <w:szCs w:val="24"/>
        </w:rPr>
        <w:t xml:space="preserve"> (2011). </w:t>
      </w:r>
      <w:r w:rsidRPr="00C21055">
        <w:rPr>
          <w:rFonts w:ascii="Times New Roman" w:eastAsia="Times New Roman" w:hAnsi="Times New Roman" w:cs="Times New Roman"/>
          <w:i/>
          <w:iCs/>
          <w:sz w:val="24"/>
          <w:szCs w:val="24"/>
        </w:rPr>
        <w:t>Directive to authorize the business of interest free banking No. SBB/51/2011</w:t>
      </w:r>
      <w:r w:rsidRPr="00C21055">
        <w:rPr>
          <w:rFonts w:ascii="Times New Roman" w:eastAsia="Times New Roman" w:hAnsi="Times New Roman" w:cs="Times New Roman"/>
          <w:sz w:val="24"/>
          <w:szCs w:val="24"/>
        </w:rPr>
        <w:t>. National Bank of Ethiopia.</w:t>
      </w:r>
    </w:p>
    <w:p w14:paraId="7CF58D69"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National Bank of Ethiopia.</w:t>
      </w:r>
      <w:r w:rsidRPr="00C21055">
        <w:rPr>
          <w:rFonts w:ascii="Times New Roman" w:eastAsia="Times New Roman" w:hAnsi="Times New Roman" w:cs="Times New Roman"/>
          <w:sz w:val="24"/>
          <w:szCs w:val="24"/>
        </w:rPr>
        <w:t xml:space="preserve"> (2019). </w:t>
      </w:r>
      <w:r w:rsidRPr="00C21055">
        <w:rPr>
          <w:rFonts w:ascii="Times New Roman" w:eastAsia="Times New Roman" w:hAnsi="Times New Roman" w:cs="Times New Roman"/>
          <w:i/>
          <w:iCs/>
          <w:sz w:val="24"/>
          <w:szCs w:val="24"/>
        </w:rPr>
        <w:t>Banking Business Proclamation No. 1159/2019</w:t>
      </w:r>
      <w:r w:rsidRPr="00C21055">
        <w:rPr>
          <w:rFonts w:ascii="Times New Roman" w:eastAsia="Times New Roman" w:hAnsi="Times New Roman" w:cs="Times New Roman"/>
          <w:sz w:val="24"/>
          <w:szCs w:val="24"/>
        </w:rPr>
        <w:t xml:space="preserve">. Federal </w:t>
      </w:r>
      <w:proofErr w:type="spellStart"/>
      <w:r w:rsidRPr="00C21055">
        <w:rPr>
          <w:rFonts w:ascii="Times New Roman" w:eastAsia="Times New Roman" w:hAnsi="Times New Roman" w:cs="Times New Roman"/>
          <w:sz w:val="24"/>
          <w:szCs w:val="24"/>
        </w:rPr>
        <w:t>Negarit</w:t>
      </w:r>
      <w:proofErr w:type="spellEnd"/>
      <w:r w:rsidRPr="00C21055">
        <w:rPr>
          <w:rFonts w:ascii="Times New Roman" w:eastAsia="Times New Roman" w:hAnsi="Times New Roman" w:cs="Times New Roman"/>
          <w:sz w:val="24"/>
          <w:szCs w:val="24"/>
        </w:rPr>
        <w:t xml:space="preserve"> </w:t>
      </w:r>
      <w:proofErr w:type="spellStart"/>
      <w:r w:rsidRPr="00C21055">
        <w:rPr>
          <w:rFonts w:ascii="Times New Roman" w:eastAsia="Times New Roman" w:hAnsi="Times New Roman" w:cs="Times New Roman"/>
          <w:sz w:val="24"/>
          <w:szCs w:val="24"/>
        </w:rPr>
        <w:t>Gazeta</w:t>
      </w:r>
      <w:proofErr w:type="spellEnd"/>
      <w:r w:rsidRPr="00C21055">
        <w:rPr>
          <w:rFonts w:ascii="Times New Roman" w:eastAsia="Times New Roman" w:hAnsi="Times New Roman" w:cs="Times New Roman"/>
          <w:sz w:val="24"/>
          <w:szCs w:val="24"/>
        </w:rPr>
        <w:t>.</w:t>
      </w:r>
    </w:p>
    <w:p w14:paraId="733EED40"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proofErr w:type="spellStart"/>
      <w:r w:rsidRPr="00C21055">
        <w:rPr>
          <w:rFonts w:ascii="Times New Roman" w:eastAsia="Times New Roman" w:hAnsi="Times New Roman" w:cs="Times New Roman"/>
          <w:bCs/>
          <w:sz w:val="24"/>
          <w:szCs w:val="24"/>
        </w:rPr>
        <w:t>Okumus</w:t>
      </w:r>
      <w:proofErr w:type="spellEnd"/>
      <w:r w:rsidRPr="00C21055">
        <w:rPr>
          <w:rFonts w:ascii="Times New Roman" w:eastAsia="Times New Roman" w:hAnsi="Times New Roman" w:cs="Times New Roman"/>
          <w:bCs/>
          <w:sz w:val="24"/>
          <w:szCs w:val="24"/>
        </w:rPr>
        <w:t xml:space="preserve">, H., &amp; </w:t>
      </w:r>
      <w:proofErr w:type="spellStart"/>
      <w:r w:rsidRPr="00C21055">
        <w:rPr>
          <w:rFonts w:ascii="Times New Roman" w:eastAsia="Times New Roman" w:hAnsi="Times New Roman" w:cs="Times New Roman"/>
          <w:bCs/>
          <w:sz w:val="24"/>
          <w:szCs w:val="24"/>
        </w:rPr>
        <w:t>Genc</w:t>
      </w:r>
      <w:proofErr w:type="spellEnd"/>
      <w:r w:rsidRPr="00C21055">
        <w:rPr>
          <w:rFonts w:ascii="Times New Roman" w:eastAsia="Times New Roman" w:hAnsi="Times New Roman" w:cs="Times New Roman"/>
          <w:bCs/>
          <w:sz w:val="24"/>
          <w:szCs w:val="24"/>
        </w:rPr>
        <w:t>, E. G.</w:t>
      </w:r>
      <w:r w:rsidRPr="00C21055">
        <w:rPr>
          <w:rFonts w:ascii="Times New Roman" w:eastAsia="Times New Roman" w:hAnsi="Times New Roman" w:cs="Times New Roman"/>
          <w:sz w:val="24"/>
          <w:szCs w:val="24"/>
        </w:rPr>
        <w:t xml:space="preserve"> (2013). Interest free banking in Turkey: A study of customer satisfaction and bank selection. </w:t>
      </w:r>
      <w:r w:rsidRPr="00C21055">
        <w:rPr>
          <w:rFonts w:ascii="Times New Roman" w:eastAsia="Times New Roman" w:hAnsi="Times New Roman" w:cs="Times New Roman"/>
          <w:i/>
          <w:iCs/>
          <w:sz w:val="24"/>
          <w:szCs w:val="24"/>
        </w:rPr>
        <w:t>European Scientific Journal, 9</w:t>
      </w:r>
      <w:r w:rsidRPr="00C21055">
        <w:rPr>
          <w:rFonts w:ascii="Times New Roman" w:eastAsia="Times New Roman" w:hAnsi="Times New Roman" w:cs="Times New Roman"/>
          <w:sz w:val="24"/>
          <w:szCs w:val="24"/>
        </w:rPr>
        <w:t xml:space="preserve">(16), 1857–7881. </w:t>
      </w:r>
      <w:hyperlink r:id="rId24" w:tgtFrame="_blank" w:history="1">
        <w:r w:rsidRPr="00C21055">
          <w:rPr>
            <w:rFonts w:ascii="Times New Roman" w:eastAsia="Times New Roman" w:hAnsi="Times New Roman" w:cs="Times New Roman"/>
            <w:color w:val="0000FF"/>
            <w:sz w:val="24"/>
            <w:szCs w:val="24"/>
            <w:u w:val="single"/>
          </w:rPr>
          <w:t>https://doi.org/10.19044/esj.2013.v9n16p%p</w:t>
        </w:r>
      </w:hyperlink>
    </w:p>
    <w:p w14:paraId="5020B70C"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Parasuraman, A., Zeithaml, V. A., &amp; Berry, L. L.</w:t>
      </w:r>
      <w:r w:rsidRPr="00C21055">
        <w:rPr>
          <w:rFonts w:ascii="Times New Roman" w:eastAsia="Times New Roman" w:hAnsi="Times New Roman" w:cs="Times New Roman"/>
          <w:sz w:val="24"/>
          <w:szCs w:val="24"/>
        </w:rPr>
        <w:t xml:space="preserve"> (1985). A conceptual model of service quality and its implications for future research. </w:t>
      </w:r>
      <w:r w:rsidRPr="00C21055">
        <w:rPr>
          <w:rFonts w:ascii="Times New Roman" w:eastAsia="Times New Roman" w:hAnsi="Times New Roman" w:cs="Times New Roman"/>
          <w:i/>
          <w:iCs/>
          <w:sz w:val="24"/>
          <w:szCs w:val="24"/>
        </w:rPr>
        <w:t>Journal of Marketing, 49</w:t>
      </w:r>
      <w:r w:rsidRPr="00C21055">
        <w:rPr>
          <w:rFonts w:ascii="Times New Roman" w:eastAsia="Times New Roman" w:hAnsi="Times New Roman" w:cs="Times New Roman"/>
          <w:sz w:val="24"/>
          <w:szCs w:val="24"/>
        </w:rPr>
        <w:t xml:space="preserve">(4), 41–50. </w:t>
      </w:r>
      <w:hyperlink r:id="rId25" w:tgtFrame="_blank" w:history="1">
        <w:r w:rsidRPr="00C21055">
          <w:rPr>
            <w:rFonts w:ascii="Times New Roman" w:eastAsia="Times New Roman" w:hAnsi="Times New Roman" w:cs="Times New Roman"/>
            <w:color w:val="0000FF"/>
            <w:sz w:val="24"/>
            <w:szCs w:val="24"/>
            <w:u w:val="single"/>
          </w:rPr>
          <w:t>https://doi.org/10.1177/002224298504900403</w:t>
        </w:r>
      </w:hyperlink>
    </w:p>
    <w:p w14:paraId="121B1883"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 xml:space="preserve">Ravichandran, K., Mani, B. T., Sivakumar, A. K., &amp; </w:t>
      </w:r>
      <w:proofErr w:type="spellStart"/>
      <w:r w:rsidRPr="00C21055">
        <w:rPr>
          <w:rFonts w:ascii="Times New Roman" w:eastAsia="Times New Roman" w:hAnsi="Times New Roman" w:cs="Times New Roman"/>
          <w:bCs/>
          <w:sz w:val="24"/>
          <w:szCs w:val="24"/>
        </w:rPr>
        <w:t>Sellamuthu</w:t>
      </w:r>
      <w:proofErr w:type="spellEnd"/>
      <w:r w:rsidRPr="00C21055">
        <w:rPr>
          <w:rFonts w:ascii="Times New Roman" w:eastAsia="Times New Roman" w:hAnsi="Times New Roman" w:cs="Times New Roman"/>
          <w:bCs/>
          <w:sz w:val="24"/>
          <w:szCs w:val="24"/>
        </w:rPr>
        <w:t>, P.</w:t>
      </w:r>
      <w:r w:rsidRPr="00C21055">
        <w:rPr>
          <w:rFonts w:ascii="Times New Roman" w:eastAsia="Times New Roman" w:hAnsi="Times New Roman" w:cs="Times New Roman"/>
          <w:sz w:val="24"/>
          <w:szCs w:val="24"/>
        </w:rPr>
        <w:t xml:space="preserve"> (2010). Influence of service quality on customer satisfaction: Application of SERVQUAL model. </w:t>
      </w:r>
      <w:r w:rsidRPr="00C21055">
        <w:rPr>
          <w:rFonts w:ascii="Times New Roman" w:eastAsia="Times New Roman" w:hAnsi="Times New Roman" w:cs="Times New Roman"/>
          <w:i/>
          <w:iCs/>
          <w:sz w:val="24"/>
          <w:szCs w:val="24"/>
        </w:rPr>
        <w:t>International Journal of Business and Management, 5</w:t>
      </w:r>
      <w:r w:rsidRPr="00C21055">
        <w:rPr>
          <w:rFonts w:ascii="Times New Roman" w:eastAsia="Times New Roman" w:hAnsi="Times New Roman" w:cs="Times New Roman"/>
          <w:sz w:val="24"/>
          <w:szCs w:val="24"/>
        </w:rPr>
        <w:t xml:space="preserve">(4), 117–128. </w:t>
      </w:r>
      <w:hyperlink r:id="rId26" w:tgtFrame="_blank" w:history="1">
        <w:r w:rsidRPr="00C21055">
          <w:rPr>
            <w:rFonts w:ascii="Times New Roman" w:eastAsia="Times New Roman" w:hAnsi="Times New Roman" w:cs="Times New Roman"/>
            <w:color w:val="0000FF"/>
            <w:sz w:val="24"/>
            <w:szCs w:val="24"/>
            <w:u w:val="single"/>
          </w:rPr>
          <w:t>https://doi.org/10.5539/ijbm.v5n4p117</w:t>
        </w:r>
      </w:hyperlink>
    </w:p>
    <w:p w14:paraId="34880234"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 xml:space="preserve">Reimann, C., </w:t>
      </w:r>
      <w:proofErr w:type="spellStart"/>
      <w:r w:rsidRPr="00C21055">
        <w:rPr>
          <w:rFonts w:ascii="Times New Roman" w:eastAsia="Times New Roman" w:hAnsi="Times New Roman" w:cs="Times New Roman"/>
          <w:bCs/>
          <w:sz w:val="24"/>
          <w:szCs w:val="24"/>
        </w:rPr>
        <w:t>Filzmoser</w:t>
      </w:r>
      <w:proofErr w:type="spellEnd"/>
      <w:r w:rsidRPr="00C21055">
        <w:rPr>
          <w:rFonts w:ascii="Times New Roman" w:eastAsia="Times New Roman" w:hAnsi="Times New Roman" w:cs="Times New Roman"/>
          <w:bCs/>
          <w:sz w:val="24"/>
          <w:szCs w:val="24"/>
        </w:rPr>
        <w:t>, P., Garrett, R. G., &amp; Dutter, R.</w:t>
      </w:r>
      <w:r w:rsidRPr="00C21055">
        <w:rPr>
          <w:rFonts w:ascii="Times New Roman" w:eastAsia="Times New Roman" w:hAnsi="Times New Roman" w:cs="Times New Roman"/>
          <w:sz w:val="24"/>
          <w:szCs w:val="24"/>
        </w:rPr>
        <w:t xml:space="preserve"> (2008). </w:t>
      </w:r>
      <w:r w:rsidRPr="00C21055">
        <w:rPr>
          <w:rFonts w:ascii="Times New Roman" w:eastAsia="Times New Roman" w:hAnsi="Times New Roman" w:cs="Times New Roman"/>
          <w:i/>
          <w:iCs/>
          <w:sz w:val="24"/>
          <w:szCs w:val="24"/>
        </w:rPr>
        <w:t>Statistical data analysis explained: Applied environmental statistics with R</w:t>
      </w:r>
      <w:r w:rsidRPr="00C21055">
        <w:rPr>
          <w:rFonts w:ascii="Times New Roman" w:eastAsia="Times New Roman" w:hAnsi="Times New Roman" w:cs="Times New Roman"/>
          <w:sz w:val="24"/>
          <w:szCs w:val="24"/>
        </w:rPr>
        <w:t>. John Wiley &amp; Sons.</w:t>
      </w:r>
    </w:p>
    <w:p w14:paraId="60C94999"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Sekaran, U., &amp; Bougie, R.</w:t>
      </w:r>
      <w:r w:rsidRPr="00C21055">
        <w:rPr>
          <w:rFonts w:ascii="Times New Roman" w:eastAsia="Times New Roman" w:hAnsi="Times New Roman" w:cs="Times New Roman"/>
          <w:sz w:val="24"/>
          <w:szCs w:val="24"/>
        </w:rPr>
        <w:t xml:space="preserve"> (2016). </w:t>
      </w:r>
      <w:r w:rsidRPr="00C21055">
        <w:rPr>
          <w:rFonts w:ascii="Times New Roman" w:eastAsia="Times New Roman" w:hAnsi="Times New Roman" w:cs="Times New Roman"/>
          <w:i/>
          <w:iCs/>
          <w:sz w:val="24"/>
          <w:szCs w:val="24"/>
        </w:rPr>
        <w:t>Research methods for business: A skill-building approach</w:t>
      </w:r>
      <w:r w:rsidRPr="00C21055">
        <w:rPr>
          <w:rFonts w:ascii="Times New Roman" w:eastAsia="Times New Roman" w:hAnsi="Times New Roman" w:cs="Times New Roman"/>
          <w:sz w:val="24"/>
          <w:szCs w:val="24"/>
        </w:rPr>
        <w:t xml:space="preserve"> (7th ed.). John Wiley &amp; Sons.</w:t>
      </w:r>
    </w:p>
    <w:p w14:paraId="25196214"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proofErr w:type="spellStart"/>
      <w:r w:rsidRPr="00C21055">
        <w:rPr>
          <w:rFonts w:ascii="Times New Roman" w:eastAsia="Times New Roman" w:hAnsi="Times New Roman" w:cs="Times New Roman"/>
          <w:bCs/>
          <w:sz w:val="24"/>
          <w:szCs w:val="24"/>
        </w:rPr>
        <w:lastRenderedPageBreak/>
        <w:t>Shanka</w:t>
      </w:r>
      <w:proofErr w:type="spellEnd"/>
      <w:r w:rsidRPr="00C21055">
        <w:rPr>
          <w:rFonts w:ascii="Times New Roman" w:eastAsia="Times New Roman" w:hAnsi="Times New Roman" w:cs="Times New Roman"/>
          <w:bCs/>
          <w:sz w:val="24"/>
          <w:szCs w:val="24"/>
        </w:rPr>
        <w:t>, M. S.</w:t>
      </w:r>
      <w:r w:rsidRPr="00C21055">
        <w:rPr>
          <w:rFonts w:ascii="Times New Roman" w:eastAsia="Times New Roman" w:hAnsi="Times New Roman" w:cs="Times New Roman"/>
          <w:sz w:val="24"/>
          <w:szCs w:val="24"/>
        </w:rPr>
        <w:t xml:space="preserve"> (2012). Bank service quality, customer satisfaction and loyalty in Ethiopian banking sector. </w:t>
      </w:r>
      <w:r w:rsidRPr="00C21055">
        <w:rPr>
          <w:rFonts w:ascii="Times New Roman" w:eastAsia="Times New Roman" w:hAnsi="Times New Roman" w:cs="Times New Roman"/>
          <w:i/>
          <w:iCs/>
          <w:sz w:val="24"/>
          <w:szCs w:val="24"/>
        </w:rPr>
        <w:t>Journal of Business Administration and Management Sciences Research, 1</w:t>
      </w:r>
      <w:r w:rsidRPr="00C21055">
        <w:rPr>
          <w:rFonts w:ascii="Times New Roman" w:eastAsia="Times New Roman" w:hAnsi="Times New Roman" w:cs="Times New Roman"/>
          <w:sz w:val="24"/>
          <w:szCs w:val="24"/>
        </w:rPr>
        <w:t>(1), 1–9.</w:t>
      </w:r>
    </w:p>
    <w:p w14:paraId="59D45788"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Stevens, J. P.</w:t>
      </w:r>
      <w:r w:rsidRPr="00C21055">
        <w:rPr>
          <w:rFonts w:ascii="Times New Roman" w:eastAsia="Times New Roman" w:hAnsi="Times New Roman" w:cs="Times New Roman"/>
          <w:sz w:val="24"/>
          <w:szCs w:val="24"/>
        </w:rPr>
        <w:t xml:space="preserve"> (2001). </w:t>
      </w:r>
      <w:r w:rsidRPr="00C21055">
        <w:rPr>
          <w:rFonts w:ascii="Times New Roman" w:eastAsia="Times New Roman" w:hAnsi="Times New Roman" w:cs="Times New Roman"/>
          <w:i/>
          <w:iCs/>
          <w:sz w:val="24"/>
          <w:szCs w:val="24"/>
        </w:rPr>
        <w:t>Applied multivariate statistics for the social sciences</w:t>
      </w:r>
      <w:r w:rsidRPr="00C21055">
        <w:rPr>
          <w:rFonts w:ascii="Times New Roman" w:eastAsia="Times New Roman" w:hAnsi="Times New Roman" w:cs="Times New Roman"/>
          <w:sz w:val="24"/>
          <w:szCs w:val="24"/>
        </w:rPr>
        <w:t xml:space="preserve"> (4th ed.). Lawrence Erlbaum Associates. </w:t>
      </w:r>
      <w:hyperlink r:id="rId27" w:tgtFrame="_blank" w:history="1">
        <w:r w:rsidRPr="00C21055">
          <w:rPr>
            <w:rFonts w:ascii="Times New Roman" w:eastAsia="Times New Roman" w:hAnsi="Times New Roman" w:cs="Times New Roman"/>
            <w:color w:val="0000FF"/>
            <w:sz w:val="24"/>
            <w:szCs w:val="24"/>
            <w:u w:val="single"/>
          </w:rPr>
          <w:t>https://doi.org/10.4324/9781410604491</w:t>
        </w:r>
      </w:hyperlink>
    </w:p>
    <w:p w14:paraId="422ED413"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r w:rsidRPr="00C21055">
        <w:rPr>
          <w:rFonts w:ascii="Times New Roman" w:eastAsia="Times New Roman" w:hAnsi="Times New Roman" w:cs="Times New Roman"/>
          <w:bCs/>
          <w:sz w:val="24"/>
          <w:szCs w:val="24"/>
        </w:rPr>
        <w:t>Yamane, T.</w:t>
      </w:r>
      <w:r w:rsidRPr="00C21055">
        <w:rPr>
          <w:rFonts w:ascii="Times New Roman" w:eastAsia="Times New Roman" w:hAnsi="Times New Roman" w:cs="Times New Roman"/>
          <w:sz w:val="24"/>
          <w:szCs w:val="24"/>
        </w:rPr>
        <w:t xml:space="preserve"> (1967). </w:t>
      </w:r>
      <w:r w:rsidRPr="00C21055">
        <w:rPr>
          <w:rFonts w:ascii="Times New Roman" w:eastAsia="Times New Roman" w:hAnsi="Times New Roman" w:cs="Times New Roman"/>
          <w:i/>
          <w:iCs/>
          <w:sz w:val="24"/>
          <w:szCs w:val="24"/>
        </w:rPr>
        <w:t>Statistics: An introductory analysis</w:t>
      </w:r>
      <w:r w:rsidRPr="00C21055">
        <w:rPr>
          <w:rFonts w:ascii="Times New Roman" w:eastAsia="Times New Roman" w:hAnsi="Times New Roman" w:cs="Times New Roman"/>
          <w:sz w:val="24"/>
          <w:szCs w:val="24"/>
        </w:rPr>
        <w:t xml:space="preserve"> (2nd ed.). Harper &amp; Row.</w:t>
      </w:r>
    </w:p>
    <w:p w14:paraId="198AA450" w14:textId="77777777" w:rsidR="00BA508D" w:rsidRPr="00C21055" w:rsidRDefault="00BA508D" w:rsidP="00C21055">
      <w:pPr>
        <w:pStyle w:val="ListParagraph"/>
        <w:numPr>
          <w:ilvl w:val="0"/>
          <w:numId w:val="13"/>
        </w:numPr>
        <w:spacing w:after="0" w:line="360" w:lineRule="auto"/>
        <w:jc w:val="both"/>
        <w:rPr>
          <w:rFonts w:ascii="Times New Roman" w:eastAsia="Times New Roman" w:hAnsi="Times New Roman" w:cs="Times New Roman"/>
          <w:sz w:val="24"/>
          <w:szCs w:val="24"/>
        </w:rPr>
      </w:pPr>
      <w:proofErr w:type="spellStart"/>
      <w:r w:rsidRPr="00C21055">
        <w:rPr>
          <w:rFonts w:ascii="Times New Roman" w:eastAsia="Times New Roman" w:hAnsi="Times New Roman" w:cs="Times New Roman"/>
          <w:bCs/>
          <w:sz w:val="24"/>
          <w:szCs w:val="24"/>
        </w:rPr>
        <w:t>Zikmund</w:t>
      </w:r>
      <w:proofErr w:type="spellEnd"/>
      <w:r w:rsidRPr="00C21055">
        <w:rPr>
          <w:rFonts w:ascii="Times New Roman" w:eastAsia="Times New Roman" w:hAnsi="Times New Roman" w:cs="Times New Roman"/>
          <w:bCs/>
          <w:sz w:val="24"/>
          <w:szCs w:val="24"/>
        </w:rPr>
        <w:t xml:space="preserve">, W. G., </w:t>
      </w:r>
      <w:proofErr w:type="spellStart"/>
      <w:r w:rsidRPr="00C21055">
        <w:rPr>
          <w:rFonts w:ascii="Times New Roman" w:eastAsia="Times New Roman" w:hAnsi="Times New Roman" w:cs="Times New Roman"/>
          <w:bCs/>
          <w:sz w:val="24"/>
          <w:szCs w:val="24"/>
        </w:rPr>
        <w:t>Babin</w:t>
      </w:r>
      <w:proofErr w:type="spellEnd"/>
      <w:r w:rsidRPr="00C21055">
        <w:rPr>
          <w:rFonts w:ascii="Times New Roman" w:eastAsia="Times New Roman" w:hAnsi="Times New Roman" w:cs="Times New Roman"/>
          <w:bCs/>
          <w:sz w:val="24"/>
          <w:szCs w:val="24"/>
        </w:rPr>
        <w:t xml:space="preserve">, B. J., </w:t>
      </w:r>
      <w:proofErr w:type="spellStart"/>
      <w:r w:rsidRPr="00C21055">
        <w:rPr>
          <w:rFonts w:ascii="Times New Roman" w:eastAsia="Times New Roman" w:hAnsi="Times New Roman" w:cs="Times New Roman"/>
          <w:bCs/>
          <w:sz w:val="24"/>
          <w:szCs w:val="24"/>
        </w:rPr>
        <w:t>Carr</w:t>
      </w:r>
      <w:proofErr w:type="spellEnd"/>
      <w:r w:rsidRPr="00C21055">
        <w:rPr>
          <w:rFonts w:ascii="Times New Roman" w:eastAsia="Times New Roman" w:hAnsi="Times New Roman" w:cs="Times New Roman"/>
          <w:bCs/>
          <w:sz w:val="24"/>
          <w:szCs w:val="24"/>
        </w:rPr>
        <w:t>, J. C., &amp; Griffin, M.</w:t>
      </w:r>
      <w:r w:rsidRPr="00C21055">
        <w:rPr>
          <w:rFonts w:ascii="Times New Roman" w:eastAsia="Times New Roman" w:hAnsi="Times New Roman" w:cs="Times New Roman"/>
          <w:sz w:val="24"/>
          <w:szCs w:val="24"/>
        </w:rPr>
        <w:t xml:space="preserve"> (2013). </w:t>
      </w:r>
      <w:r w:rsidRPr="00C21055">
        <w:rPr>
          <w:rFonts w:ascii="Times New Roman" w:eastAsia="Times New Roman" w:hAnsi="Times New Roman" w:cs="Times New Roman"/>
          <w:i/>
          <w:iCs/>
          <w:sz w:val="24"/>
          <w:szCs w:val="24"/>
        </w:rPr>
        <w:t>Business research methods</w:t>
      </w:r>
      <w:r w:rsidRPr="00C21055">
        <w:rPr>
          <w:rFonts w:ascii="Times New Roman" w:eastAsia="Times New Roman" w:hAnsi="Times New Roman" w:cs="Times New Roman"/>
          <w:sz w:val="24"/>
          <w:szCs w:val="24"/>
        </w:rPr>
        <w:t xml:space="preserve"> (9th ed.). Cengage Learning.</w:t>
      </w:r>
    </w:p>
    <w:p w14:paraId="4DE48FE7" w14:textId="0FBF4B4B" w:rsidR="0038101F" w:rsidRPr="0038101F" w:rsidRDefault="0038101F" w:rsidP="00BA508D">
      <w:pPr>
        <w:pStyle w:val="ds-markdown-paragraph"/>
      </w:pPr>
    </w:p>
    <w:sectPr w:rsidR="0038101F" w:rsidRPr="0038101F">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D5C37" w14:textId="77777777" w:rsidR="00736F51" w:rsidRDefault="00736F51" w:rsidP="0072654B">
      <w:pPr>
        <w:spacing w:after="0" w:line="240" w:lineRule="auto"/>
      </w:pPr>
      <w:r>
        <w:separator/>
      </w:r>
    </w:p>
  </w:endnote>
  <w:endnote w:type="continuationSeparator" w:id="0">
    <w:p w14:paraId="2CF42EDC" w14:textId="77777777" w:rsidR="00736F51" w:rsidRDefault="00736F51" w:rsidP="0072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Math">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font>
  <w:font w:name="TimesNewRomanPS-BoldMT">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0EA63" w14:textId="77777777" w:rsidR="00300005" w:rsidRDefault="00300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18998" w14:textId="77777777" w:rsidR="00300005" w:rsidRDefault="00300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9C09F" w14:textId="77777777" w:rsidR="00300005" w:rsidRDefault="00300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090A1" w14:textId="77777777" w:rsidR="00736F51" w:rsidRDefault="00736F51" w:rsidP="0072654B">
      <w:pPr>
        <w:spacing w:after="0" w:line="240" w:lineRule="auto"/>
      </w:pPr>
      <w:r>
        <w:separator/>
      </w:r>
    </w:p>
  </w:footnote>
  <w:footnote w:type="continuationSeparator" w:id="0">
    <w:p w14:paraId="15ED41EA" w14:textId="77777777" w:rsidR="00736F51" w:rsidRDefault="00736F51" w:rsidP="00726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63E9C" w14:textId="60F2C5AA" w:rsidR="00300005" w:rsidRDefault="00736F51">
    <w:pPr>
      <w:pStyle w:val="Header"/>
    </w:pPr>
    <w:r>
      <w:rPr>
        <w:noProof/>
      </w:rPr>
      <w:pict w14:anchorId="55094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12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5C12D" w14:textId="588C3554" w:rsidR="00300005" w:rsidRDefault="00736F51">
    <w:pPr>
      <w:pStyle w:val="Header"/>
    </w:pPr>
    <w:r>
      <w:rPr>
        <w:noProof/>
      </w:rPr>
      <w:pict w14:anchorId="629A6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12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C0006" w14:textId="2D761334" w:rsidR="00300005" w:rsidRDefault="00736F51">
    <w:pPr>
      <w:pStyle w:val="Header"/>
    </w:pPr>
    <w:r>
      <w:rPr>
        <w:noProof/>
      </w:rPr>
      <w:pict w14:anchorId="59F1D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12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731"/>
    <w:multiLevelType w:val="hybridMultilevel"/>
    <w:tmpl w:val="FDD67FF4"/>
    <w:lvl w:ilvl="0" w:tplc="F3C8FCFC">
      <w:start w:val="5"/>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57588"/>
    <w:multiLevelType w:val="hybridMultilevel"/>
    <w:tmpl w:val="56B6ED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567DA"/>
    <w:multiLevelType w:val="hybridMultilevel"/>
    <w:tmpl w:val="40927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E2EE6"/>
    <w:multiLevelType w:val="multilevel"/>
    <w:tmpl w:val="C068CC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F4650A8"/>
    <w:multiLevelType w:val="multilevel"/>
    <w:tmpl w:val="19FE7252"/>
    <w:lvl w:ilvl="0">
      <w:start w:val="5"/>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65E7A44"/>
    <w:multiLevelType w:val="hybridMultilevel"/>
    <w:tmpl w:val="958EEE5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27B8E"/>
    <w:multiLevelType w:val="hybridMultilevel"/>
    <w:tmpl w:val="D988B1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A3438"/>
    <w:multiLevelType w:val="hybridMultilevel"/>
    <w:tmpl w:val="A2C4B9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27C88"/>
    <w:multiLevelType w:val="hybridMultilevel"/>
    <w:tmpl w:val="7B8C25C6"/>
    <w:lvl w:ilvl="0" w:tplc="B34A933A">
      <w:start w:val="7"/>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157A21"/>
    <w:multiLevelType w:val="hybridMultilevel"/>
    <w:tmpl w:val="11A2CA1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660A5400"/>
    <w:multiLevelType w:val="hybridMultilevel"/>
    <w:tmpl w:val="8F2E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95D2A"/>
    <w:multiLevelType w:val="hybridMultilevel"/>
    <w:tmpl w:val="A6FA697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7D352262"/>
    <w:multiLevelType w:val="hybridMultilevel"/>
    <w:tmpl w:val="9B6AD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6"/>
  </w:num>
  <w:num w:numId="4">
    <w:abstractNumId w:val="7"/>
  </w:num>
  <w:num w:numId="5">
    <w:abstractNumId w:val="5"/>
  </w:num>
  <w:num w:numId="6">
    <w:abstractNumId w:val="0"/>
  </w:num>
  <w:num w:numId="7">
    <w:abstractNumId w:val="1"/>
  </w:num>
  <w:num w:numId="8">
    <w:abstractNumId w:val="8"/>
  </w:num>
  <w:num w:numId="9">
    <w:abstractNumId w:val="4"/>
  </w:num>
  <w:num w:numId="10">
    <w:abstractNumId w:val="2"/>
  </w:num>
  <w:num w:numId="11">
    <w:abstractNumId w:val="1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C56"/>
    <w:rsid w:val="00020AEB"/>
    <w:rsid w:val="00030EED"/>
    <w:rsid w:val="000960C3"/>
    <w:rsid w:val="00123A9E"/>
    <w:rsid w:val="001736AF"/>
    <w:rsid w:val="002102A1"/>
    <w:rsid w:val="00220F87"/>
    <w:rsid w:val="00226E82"/>
    <w:rsid w:val="002D7414"/>
    <w:rsid w:val="002D7D13"/>
    <w:rsid w:val="00300005"/>
    <w:rsid w:val="0031131D"/>
    <w:rsid w:val="00315258"/>
    <w:rsid w:val="0038101F"/>
    <w:rsid w:val="00381B2D"/>
    <w:rsid w:val="003F09BF"/>
    <w:rsid w:val="004331D7"/>
    <w:rsid w:val="004E1238"/>
    <w:rsid w:val="0050357C"/>
    <w:rsid w:val="00536A33"/>
    <w:rsid w:val="00654235"/>
    <w:rsid w:val="007247D7"/>
    <w:rsid w:val="0072654B"/>
    <w:rsid w:val="00736F51"/>
    <w:rsid w:val="00755B3F"/>
    <w:rsid w:val="007E224C"/>
    <w:rsid w:val="008F05A5"/>
    <w:rsid w:val="00926B2B"/>
    <w:rsid w:val="00930F19"/>
    <w:rsid w:val="0093169B"/>
    <w:rsid w:val="009B56D8"/>
    <w:rsid w:val="00A1222E"/>
    <w:rsid w:val="00A25428"/>
    <w:rsid w:val="00A638EC"/>
    <w:rsid w:val="00B42347"/>
    <w:rsid w:val="00B90D83"/>
    <w:rsid w:val="00BA2248"/>
    <w:rsid w:val="00BA508D"/>
    <w:rsid w:val="00C21055"/>
    <w:rsid w:val="00C91E15"/>
    <w:rsid w:val="00CB3773"/>
    <w:rsid w:val="00CD1929"/>
    <w:rsid w:val="00CD2867"/>
    <w:rsid w:val="00DA6B4E"/>
    <w:rsid w:val="00E356AB"/>
    <w:rsid w:val="00EF43AE"/>
    <w:rsid w:val="00F45C56"/>
    <w:rsid w:val="00F74615"/>
    <w:rsid w:val="00F9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1E8A0C"/>
  <w15:chartTrackingRefBased/>
  <w15:docId w15:val="{34B6B795-308F-4CAC-B315-199552AE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C56"/>
    <w:pPr>
      <w:ind w:left="720"/>
      <w:contextualSpacing/>
    </w:pPr>
  </w:style>
  <w:style w:type="table" w:styleId="TableGrid">
    <w:name w:val="Table Grid"/>
    <w:basedOn w:val="TableNormal"/>
    <w:uiPriority w:val="59"/>
    <w:rsid w:val="00A1222E"/>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3810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101F"/>
    <w:rPr>
      <w:i/>
      <w:iCs/>
    </w:rPr>
  </w:style>
  <w:style w:type="character" w:styleId="Hyperlink">
    <w:name w:val="Hyperlink"/>
    <w:basedOn w:val="DefaultParagraphFont"/>
    <w:uiPriority w:val="99"/>
    <w:unhideWhenUsed/>
    <w:rsid w:val="0038101F"/>
    <w:rPr>
      <w:color w:val="0000FF"/>
      <w:u w:val="single"/>
    </w:rPr>
  </w:style>
  <w:style w:type="character" w:customStyle="1" w:styleId="UnresolvedMention1">
    <w:name w:val="Unresolved Mention1"/>
    <w:basedOn w:val="DefaultParagraphFont"/>
    <w:uiPriority w:val="99"/>
    <w:semiHidden/>
    <w:unhideWhenUsed/>
    <w:rsid w:val="0093169B"/>
    <w:rPr>
      <w:color w:val="605E5C"/>
      <w:shd w:val="clear" w:color="auto" w:fill="E1DFDD"/>
    </w:rPr>
  </w:style>
  <w:style w:type="paragraph" w:styleId="Header">
    <w:name w:val="header"/>
    <w:basedOn w:val="Normal"/>
    <w:link w:val="HeaderChar"/>
    <w:uiPriority w:val="99"/>
    <w:unhideWhenUsed/>
    <w:rsid w:val="00726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54B"/>
  </w:style>
  <w:style w:type="paragraph" w:styleId="Footer">
    <w:name w:val="footer"/>
    <w:basedOn w:val="Normal"/>
    <w:link w:val="FooterChar"/>
    <w:uiPriority w:val="99"/>
    <w:unhideWhenUsed/>
    <w:rsid w:val="00726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54B"/>
  </w:style>
  <w:style w:type="paragraph" w:styleId="NoSpacing">
    <w:name w:val="No Spacing"/>
    <w:uiPriority w:val="1"/>
    <w:qFormat/>
    <w:rsid w:val="003F09B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42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01316444600600405" TargetMode="External"/><Relationship Id="rId18" Type="http://schemas.openxmlformats.org/officeDocument/2006/relationships/hyperlink" Target="https://doi.org/10.1057/9780230507222" TargetMode="External"/><Relationship Id="rId26" Type="http://schemas.openxmlformats.org/officeDocument/2006/relationships/hyperlink" Target="https://doi.org/10.5539/ijbm.v5n4p117" TargetMode="External"/><Relationship Id="rId3" Type="http://schemas.openxmlformats.org/officeDocument/2006/relationships/settings" Target="settings.xml"/><Relationship Id="rId21" Type="http://schemas.openxmlformats.org/officeDocument/2006/relationships/hyperlink" Target="https://doi.org/10.1093/oxfordjournals.jpart.a037242" TargetMode="External"/><Relationship Id="rId34" Type="http://schemas.openxmlformats.org/officeDocument/2006/relationships/fontTable" Target="fontTable.xml"/><Relationship Id="rId7" Type="http://schemas.openxmlformats.org/officeDocument/2006/relationships/hyperlink" Target="https://ir.stmu.edu.et/handle/123456789/1234" TargetMode="External"/><Relationship Id="rId12" Type="http://schemas.openxmlformats.org/officeDocument/2006/relationships/hyperlink" Target="https://www.cbe.com.et/en/annual-report" TargetMode="External"/><Relationship Id="rId17" Type="http://schemas.openxmlformats.org/officeDocument/2006/relationships/hyperlink" Target="https://doi.org/10.9790/487X-1906054552" TargetMode="External"/><Relationship Id="rId25" Type="http://schemas.openxmlformats.org/officeDocument/2006/relationships/hyperlink" Target="https://doi.org/10.1177/002224298504900403"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08/EUM0000000004784" TargetMode="External"/><Relationship Id="rId20" Type="http://schemas.openxmlformats.org/officeDocument/2006/relationships/hyperlink" Target="https://doi.org/10.5897/AJBM.9000175"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stmu.edu.et/handle/123456789/5678" TargetMode="External"/><Relationship Id="rId24" Type="http://schemas.openxmlformats.org/officeDocument/2006/relationships/hyperlink" Target="https://doi.org/10.19044/esj.2013.v9n16p%25p"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ir.stmu.edu.et/handle/123456789/9012" TargetMode="External"/><Relationship Id="rId23" Type="http://schemas.openxmlformats.org/officeDocument/2006/relationships/hyperlink" Target="https://www.nbe.gov.et" TargetMode="External"/><Relationship Id="rId28" Type="http://schemas.openxmlformats.org/officeDocument/2006/relationships/header" Target="header1.xml"/><Relationship Id="rId10" Type="http://schemas.openxmlformats.org/officeDocument/2006/relationships/hyperlink" Target="https://doi.org/10.15640/jibf.v3n1a2" TargetMode="External"/><Relationship Id="rId19" Type="http://schemas.openxmlformats.org/officeDocument/2006/relationships/hyperlink" Target="https://doi.org/10.1002/9781118390478"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journalofbusiness.org/index.php/GJMBR/article/view/1234" TargetMode="External"/><Relationship Id="rId14" Type="http://schemas.openxmlformats.org/officeDocument/2006/relationships/hyperlink" Target="https://doi.org/10.1177/002224299205600304" TargetMode="External"/><Relationship Id="rId22" Type="http://schemas.openxmlformats.org/officeDocument/2006/relationships/hyperlink" Target="http://etd.aau.edu.et/handle/123456789/23456" TargetMode="External"/><Relationship Id="rId27" Type="http://schemas.openxmlformats.org/officeDocument/2006/relationships/hyperlink" Target="https://doi.org/10.4324/978141060449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ir.stmu.edu.et/handle/123456789/3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31</Pages>
  <Words>9088</Words>
  <Characters>51807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CPU 1117</cp:lastModifiedBy>
  <cp:revision>17</cp:revision>
  <dcterms:created xsi:type="dcterms:W3CDTF">2026-03-09T01:40:00Z</dcterms:created>
  <dcterms:modified xsi:type="dcterms:W3CDTF">2026-03-31T11:59:00Z</dcterms:modified>
</cp:coreProperties>
</file>