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DEAE" w14:textId="77777777" w:rsidR="00FF59B1" w:rsidRPr="00B12F9F" w:rsidRDefault="00FF59B1" w:rsidP="00FF59B1">
      <w:pPr>
        <w:pStyle w:val="Author"/>
        <w:spacing w:line="240" w:lineRule="auto"/>
        <w:rPr>
          <w:rFonts w:ascii="Arial" w:hAnsi="Arial" w:cs="Arial"/>
          <w:bCs/>
          <w:iCs/>
          <w:kern w:val="28"/>
          <w:sz w:val="36"/>
        </w:rPr>
      </w:pPr>
      <w:r w:rsidRPr="00B12F9F">
        <w:rPr>
          <w:rFonts w:ascii="Arial" w:hAnsi="Arial" w:cs="Arial"/>
          <w:bCs/>
          <w:iCs/>
          <w:kern w:val="28"/>
          <w:sz w:val="36"/>
        </w:rPr>
        <w:t>Foreign Direct Investment between Bangladesh and ASEAN: An Assessment and Strategic Directions</w:t>
      </w:r>
    </w:p>
    <w:p w14:paraId="3467A841" w14:textId="77777777" w:rsidR="00FF59B1" w:rsidRPr="00B12F9F" w:rsidRDefault="00FF59B1" w:rsidP="00FF59B1">
      <w:pPr>
        <w:pStyle w:val="Author"/>
        <w:spacing w:line="240" w:lineRule="auto"/>
        <w:rPr>
          <w:rFonts w:ascii="Arial" w:hAnsi="Arial" w:cs="Arial"/>
        </w:rPr>
      </w:pPr>
    </w:p>
    <w:p w14:paraId="52F00AC0" w14:textId="77777777" w:rsidR="00CB0D2E" w:rsidRPr="00B12F9F" w:rsidRDefault="00CB0D2E" w:rsidP="003E51D4">
      <w:pPr>
        <w:pStyle w:val="Author"/>
        <w:spacing w:line="240" w:lineRule="auto"/>
        <w:rPr>
          <w:rFonts w:ascii="Arial" w:hAnsi="Arial" w:cs="Arial"/>
          <w:i/>
          <w:iCs/>
          <w:sz w:val="20"/>
          <w:szCs w:val="15"/>
          <w:lang w:val="vi-VN"/>
        </w:rPr>
      </w:pPr>
      <w:bookmarkStart w:id="0" w:name="_GoBack"/>
      <w:bookmarkEnd w:id="0"/>
    </w:p>
    <w:p w14:paraId="5DD93C31" w14:textId="77777777" w:rsidR="00FF59B1" w:rsidRPr="00B12F9F" w:rsidRDefault="00CB0D2E" w:rsidP="00FF59B1">
      <w:pPr>
        <w:pStyle w:val="Author"/>
        <w:spacing w:line="240" w:lineRule="auto"/>
        <w:jc w:val="left"/>
        <w:rPr>
          <w:rFonts w:ascii="Arial" w:hAnsi="Arial" w:cs="Arial"/>
          <w:sz w:val="22"/>
          <w:szCs w:val="18"/>
          <w:lang w:val="vi-VN"/>
        </w:rPr>
      </w:pPr>
      <w:r w:rsidRPr="00B12F9F">
        <w:rPr>
          <w:rFonts w:ascii="Arial" w:hAnsi="Arial" w:cs="Arial"/>
          <w:sz w:val="22"/>
          <w:szCs w:val="18"/>
        </w:rPr>
        <w:t>ABSTRACT</w:t>
      </w:r>
    </w:p>
    <w:p w14:paraId="71E718D6" w14:textId="77777777" w:rsidR="00FF59B1" w:rsidRPr="00B12F9F" w:rsidRDefault="00FF59B1" w:rsidP="00FF59B1">
      <w:pPr>
        <w:pStyle w:val="Author"/>
        <w:spacing w:line="240" w:lineRule="auto"/>
        <w:rPr>
          <w:rFonts w:ascii="Arial" w:hAnsi="Arial" w:cs="Arial"/>
          <w:lang w:val="vi-VN"/>
        </w:rPr>
      </w:pPr>
    </w:p>
    <w:tbl>
      <w:tblPr>
        <w:tblStyle w:val="TableGrid"/>
        <w:tblW w:w="0" w:type="auto"/>
        <w:tblLook w:val="04A0" w:firstRow="1" w:lastRow="0" w:firstColumn="1" w:lastColumn="0" w:noHBand="0" w:noVBand="1"/>
      </w:tblPr>
      <w:tblGrid>
        <w:gridCol w:w="9350"/>
      </w:tblGrid>
      <w:tr w:rsidR="00CB0D2E" w:rsidRPr="00B12F9F" w14:paraId="1CA7ED07" w14:textId="77777777" w:rsidTr="00CB0D2E">
        <w:tc>
          <w:tcPr>
            <w:tcW w:w="9350" w:type="dxa"/>
          </w:tcPr>
          <w:p w14:paraId="49B0BF4E" w14:textId="3037A6AD" w:rsidR="00CB0D2E" w:rsidRPr="00B12F9F" w:rsidRDefault="009510F2" w:rsidP="00BE5626">
            <w:pPr>
              <w:pStyle w:val="Body"/>
              <w:spacing w:after="0"/>
              <w:rPr>
                <w:rFonts w:ascii="Arial" w:eastAsia="Calibri" w:hAnsi="Arial" w:cs="Arial"/>
                <w:szCs w:val="22"/>
              </w:rPr>
            </w:pPr>
            <w:r w:rsidRPr="009510F2">
              <w:rPr>
                <w:rFonts w:ascii="Arial" w:eastAsia="Calibri" w:hAnsi="Arial" w:cs="Arial"/>
                <w:szCs w:val="22"/>
              </w:rPr>
              <w:t>This paper offers a comprehensive assessment of foreign direct investment (FDI) between Bangladesh and the Association of Southeast Asian Nations (ASEAN) by examining historical trends, key drivers, barriers, and strategic implications for the period 2015-2024, while also providing policy-relevant recommendations to strengthen bilateral economic cooperation. Adopting a qualitative and descriptive research design, the study draws on a focused literature review of major international investment theories, particularly the Eclectic Paradigm (OLI Framework), Internalization Theory, and the Product Life Cycle Theory, together with secondary data from official sources such as Bangladesh Bank, the ASEAN Secretariat, UNCTAD, and the World Bank. In addition, an integrated SWOT and TOWS matrix is used to assess the strategic position of the Bangladesh-ASEAN investment relationship and to formulate policy and business directions. The findings reveal a marked asymmetry in FDI flows: Bangladesh's modest FDI to ASEAN is strategically concentrated in logistics, IT, and textiles, while ASEAN's substantially larger FDI into Bangladesh, led by Malaysia and Singapore, targets energy, telecommunications, and manufacturing. Growth opportunities stem from China+1 diversification, RCEP, and the digital economy; however, regulatory barriers, infrastructure gaps, and the absence of a Free Trade Agreement (FTA) or Bilateral Investment Treaty (BIT) remain major constraints. The article contributes to the literature by combining classical FDI theories with updated bilateral evidence and by translating these findings into a strategic policy matrix tailored to the Bangladesh-ASEAN corridor. Guided by the Eclectic Paradigm, the study recommends prioritizing negotiations on an FTA/BIT, strengthening investment facilitation mechanisms, and encouraging firms to leverage digital platforms and integrate more deeply into regional value chains.</w:t>
            </w:r>
            <w:r w:rsidR="00BE5626" w:rsidRPr="00B12F9F">
              <w:rPr>
                <w:rFonts w:ascii="Arial" w:eastAsia="Calibri" w:hAnsi="Arial" w:cs="Arial"/>
                <w:szCs w:val="22"/>
              </w:rPr>
              <w:t xml:space="preserve"> </w:t>
            </w:r>
          </w:p>
        </w:tc>
      </w:tr>
    </w:tbl>
    <w:p w14:paraId="713CE947" w14:textId="77777777" w:rsidR="00BE5626" w:rsidRPr="00B12F9F" w:rsidRDefault="00BE5626" w:rsidP="00BE5626">
      <w:pPr>
        <w:pStyle w:val="Author"/>
        <w:spacing w:line="240" w:lineRule="auto"/>
        <w:jc w:val="left"/>
        <w:rPr>
          <w:rFonts w:ascii="Arial" w:eastAsia="Calibri" w:hAnsi="Arial" w:cs="Arial"/>
          <w:b w:val="0"/>
          <w:sz w:val="20"/>
          <w:szCs w:val="22"/>
        </w:rPr>
      </w:pPr>
    </w:p>
    <w:p w14:paraId="48CE2A6D" w14:textId="77777777" w:rsidR="00BE5626" w:rsidRPr="00B12F9F" w:rsidRDefault="00BE5626" w:rsidP="00BE5626">
      <w:pPr>
        <w:rPr>
          <w:rFonts w:ascii="Arial" w:eastAsia="Calibri" w:hAnsi="Arial" w:cs="Arial"/>
          <w:i/>
          <w:iCs/>
          <w:kern w:val="0"/>
          <w:sz w:val="20"/>
          <w:szCs w:val="22"/>
          <w:lang w:val="vi-VN"/>
          <w14:ligatures w14:val="none"/>
        </w:rPr>
      </w:pPr>
      <w:r w:rsidRPr="00B12F9F">
        <w:rPr>
          <w:rFonts w:ascii="Arial" w:eastAsia="Calibri" w:hAnsi="Arial" w:cs="Arial"/>
          <w:i/>
          <w:iCs/>
          <w:kern w:val="0"/>
          <w:sz w:val="20"/>
          <w:szCs w:val="22"/>
          <w:lang w:val="en-US"/>
          <w14:ligatures w14:val="none"/>
        </w:rPr>
        <w:t>Keywords:</w:t>
      </w:r>
      <w:r w:rsidRPr="00B12F9F">
        <w:rPr>
          <w:rFonts w:ascii="Arial" w:eastAsia="Calibri" w:hAnsi="Arial" w:cs="Arial"/>
          <w:i/>
          <w:iCs/>
          <w:kern w:val="0"/>
          <w:sz w:val="20"/>
          <w:szCs w:val="22"/>
          <w:lang w:val="vi-VN"/>
          <w14:ligatures w14:val="none"/>
        </w:rPr>
        <w:t xml:space="preserve"> FDI, ASEAN, Bangladesh, economic cooperation, SWOT, TOWS</w:t>
      </w:r>
    </w:p>
    <w:p w14:paraId="283E6526" w14:textId="77777777" w:rsidR="001A4AA4" w:rsidRPr="00B12F9F" w:rsidRDefault="001A4AA4">
      <w:pPr>
        <w:rPr>
          <w:rFonts w:ascii="Arial" w:eastAsia="Calibri" w:hAnsi="Arial" w:cs="Arial"/>
          <w:kern w:val="0"/>
          <w:sz w:val="20"/>
          <w:szCs w:val="22"/>
          <w:lang w:val="vi-VN"/>
          <w14:ligatures w14:val="none"/>
        </w:rPr>
      </w:pPr>
    </w:p>
    <w:p w14:paraId="7CBB3C91" w14:textId="77777777" w:rsidR="00BE5626" w:rsidRPr="00B12F9F" w:rsidRDefault="00BE5626" w:rsidP="008103CE">
      <w:pPr>
        <w:spacing w:after="60" w:line="276" w:lineRule="auto"/>
        <w:rPr>
          <w:rFonts w:ascii="Arial" w:hAnsi="Arial" w:cs="Arial"/>
          <w:b/>
          <w:bCs/>
          <w:sz w:val="22"/>
          <w:szCs w:val="22"/>
        </w:rPr>
      </w:pPr>
      <w:r w:rsidRPr="00B12F9F">
        <w:rPr>
          <w:rFonts w:ascii="Arial" w:hAnsi="Arial" w:cs="Arial"/>
          <w:b/>
          <w:bCs/>
          <w:sz w:val="22"/>
          <w:szCs w:val="22"/>
        </w:rPr>
        <w:t>1. INTRODUCTION</w:t>
      </w:r>
    </w:p>
    <w:p w14:paraId="360F77B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ASEAN and Bangladesh, representing two of the most dynamic and populous regions in Asia, are increasingly recognizing the strategic importance of deepening their economic ties. As the global economy undergoes a profound transformation, characterized by the restructuring of supply chains, geopolitical shifts, and rapid technological advancements, the potential for a robust partnership between these two regions has never been greater. FDI serves as a critical catalyst for this evolving relationship, acting as a vehicle for the transfer of capital, technology, and knowledge, and a key driver of economic growth and development</w:t>
      </w:r>
      <w:r w:rsidRPr="00B12F9F">
        <w:rPr>
          <w:rFonts w:ascii="Arial" w:eastAsia="Calibri" w:hAnsi="Arial" w:cs="Arial"/>
          <w:kern w:val="0"/>
          <w:sz w:val="20"/>
          <w:szCs w:val="22"/>
          <w:lang w:val="vi-VN"/>
          <w14:ligatures w14:val="none"/>
        </w:rPr>
        <w:t xml:space="preserve"> (Dunning, 1977). Bangladesh, with its large and young population, competitive labor costs, and a thriving ready-made garment and textile industry, has emerged as a significant player in the global economy. The country is at a pivotal juncture, transitioning from its least developed country (LDC) status and seeking to diversify its economy and integrate more deeply into global value chains. ASEAN, with a market of over 680 million people and a combined GDP exceeding $4.5 trillion, offers a natural and strategic partner for Bangladesh’s economic ambitions (The Diplomat, 2025).</w:t>
      </w:r>
    </w:p>
    <w:p w14:paraId="5C10B111" w14:textId="23A30336" w:rsidR="009510F2" w:rsidRPr="00B12F9F" w:rsidRDefault="009510F2" w:rsidP="008103CE">
      <w:pPr>
        <w:spacing w:after="60" w:line="276" w:lineRule="auto"/>
        <w:jc w:val="both"/>
        <w:rPr>
          <w:rFonts w:ascii="Arial" w:eastAsia="Calibri" w:hAnsi="Arial" w:cs="Arial"/>
          <w:kern w:val="0"/>
          <w:sz w:val="20"/>
          <w:szCs w:val="22"/>
          <w:lang w:val="vi-VN"/>
          <w14:ligatures w14:val="none"/>
        </w:rPr>
      </w:pPr>
      <w:r w:rsidRPr="009510F2">
        <w:rPr>
          <w:rFonts w:ascii="Arial" w:eastAsia="Calibri" w:hAnsi="Arial" w:cs="Arial"/>
          <w:kern w:val="0"/>
          <w:sz w:val="20"/>
          <w:szCs w:val="22"/>
          <w:lang w:val="vi-VN"/>
          <w14:ligatures w14:val="none"/>
        </w:rPr>
        <w:t xml:space="preserve">This paper aims to provide a comprehensive and in-depth analysis of the FDI landscape between Bangladesh and ASEAN. It examines historical trends, sectoral composition, and key players on both sides, and identifies the underlying factors that drive and restrain these investment flows. By applying a rigorous analytical framework, the study seeks to offer valuable insights for policymakers, business leaders, and academics interested in the future of economic cooperation in the Asia-Pacific region. This study contributes to the existing literature by providing one of the few focused analyses on the Bangladesh-ASEAN FDI corridor, integrating established theoretical frameworks with strategic tools (SWOT-TOWS), and offering actionable policy and business implications for enhancing interregional investment cooperation. Beyond its </w:t>
      </w:r>
      <w:r w:rsidRPr="009510F2">
        <w:rPr>
          <w:rFonts w:ascii="Arial" w:eastAsia="Calibri" w:hAnsi="Arial" w:cs="Arial"/>
          <w:kern w:val="0"/>
          <w:sz w:val="20"/>
          <w:szCs w:val="22"/>
          <w:lang w:val="vi-VN"/>
          <w14:ligatures w14:val="none"/>
        </w:rPr>
        <w:lastRenderedPageBreak/>
        <w:t>bilateral focus, the manuscript is also relevant to the scientific community because it links established FDI theories with an underexplored investment corridor between South Asia and Southeast Asia and offers a structured interpretation of how policy, institutions, and sectoral dynamics shape asymmetrical FDI outcomes.</w:t>
      </w:r>
    </w:p>
    <w:p w14:paraId="41EBE27E" w14:textId="2E804836"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Despite significant economic potential and geographical proximity, the FDI relationship between Bangladesh and ASEAN remains underdeveloped and asymmetrical. Total FDI from Bangladesh to ASEAN is modest, amounting to approximately $31-32 million during the 2015-2024 period, whereas FDI from ASEAN into Bangladesh is substantially higher, at around $1.315 billion over the same period </w:t>
      </w:r>
      <w:r w:rsidRPr="00B12F9F">
        <w:rPr>
          <w:rFonts w:ascii="Arial" w:eastAsia="Calibri" w:hAnsi="Arial" w:cs="Arial"/>
          <w:kern w:val="0"/>
          <w:sz w:val="20"/>
          <w:szCs w:val="22"/>
          <w:lang w:val="vi-VN"/>
          <w14:ligatures w14:val="none"/>
        </w:rPr>
        <w:t>(Bangladesh Bank, 2024</w:t>
      </w:r>
      <w:r w:rsidR="00316DFF">
        <w:rPr>
          <w:rFonts w:ascii="Arial" w:eastAsia="Calibri" w:hAnsi="Arial" w:cs="Arial"/>
          <w:kern w:val="0"/>
          <w:sz w:val="20"/>
          <w:szCs w:val="22"/>
          <w:lang w:val="vi-VN"/>
          <w14:ligatures w14:val="none"/>
        </w:rPr>
        <w:t>a</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This disparity highlights a missed opportunity for mutual economic benefit.</w:t>
      </w:r>
    </w:p>
    <w:p w14:paraId="115CC6E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Several key challenges impede the full realization of this potential. On one hand, Bangladesh faces significant hurdles in attracting FDI, including a complex regulatory environment, infrastructure gaps, and a heavy reliance on the textile sector</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(The Diplomat, 2024).</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On the other hand, the absence of a comprehensive FTA and BIT between Bangladesh and ASEAN creates uncertainty and increases risk for investors. Furthermore, the lack of a formal institutional framework for economic cooperation limits the scope for strategic dialogue and coordinated action.</w:t>
      </w:r>
    </w:p>
    <w:p w14:paraId="2F48530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paper addresses these challenges by providing a detailed analysis of the current state of FDI between Bangladesh and ASEAN, identifying the key drivers and barriers, and proposing a set of strategic recommendations to foster a more dynamic and mutually beneficial economic partnership. The research seeks to answer the following key questions:</w:t>
      </w:r>
    </w:p>
    <w:p w14:paraId="04A71B94"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historical trends and patterns of FDI between Bangladesh and ASEAN?</w:t>
      </w:r>
    </w:p>
    <w:p w14:paraId="19D9A7ED"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key factors driving and restraining FDI flows in this corridor?</w:t>
      </w:r>
    </w:p>
    <w:p w14:paraId="4E0BFA8D"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opportunities and challenges for strengthening economic cooperation between the two regions?</w:t>
      </w:r>
    </w:p>
    <w:p w14:paraId="3C97C9B1"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strategic actions can be taken by policymakers and businesses to fully exploit the potential of the Bangladesh-ASEAN FDI relationship?</w:t>
      </w:r>
    </w:p>
    <w:p w14:paraId="2621564E" w14:textId="77777777" w:rsidR="008103CE" w:rsidRPr="00B12F9F" w:rsidRDefault="008103CE" w:rsidP="008103CE">
      <w:pPr>
        <w:spacing w:after="60" w:line="276" w:lineRule="auto"/>
        <w:jc w:val="both"/>
        <w:rPr>
          <w:rFonts w:ascii="Arial" w:eastAsia="Calibri" w:hAnsi="Arial" w:cs="Arial"/>
          <w:b/>
          <w:bCs/>
          <w:kern w:val="0"/>
          <w:sz w:val="22"/>
          <w:szCs w:val="28"/>
          <w14:ligatures w14:val="none"/>
        </w:rPr>
      </w:pPr>
      <w:r w:rsidRPr="00B12F9F">
        <w:rPr>
          <w:rFonts w:ascii="Arial" w:eastAsia="Calibri" w:hAnsi="Arial" w:cs="Arial"/>
          <w:b/>
          <w:bCs/>
          <w:kern w:val="0"/>
          <w:sz w:val="22"/>
          <w:szCs w:val="28"/>
          <w14:ligatures w14:val="none"/>
        </w:rPr>
        <w:t xml:space="preserve">2. LITERATURE REVIEW </w:t>
      </w:r>
    </w:p>
    <w:p w14:paraId="67F8C15B"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 xml:space="preserve">2.1 Theoretical Review </w:t>
      </w:r>
    </w:p>
    <w:p w14:paraId="4D1EA3C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The Eclectic Paradigm (OLI Framework):</w:t>
      </w:r>
      <w:r w:rsidRPr="00B12F9F">
        <w:rPr>
          <w:rFonts w:ascii="Arial" w:eastAsia="Calibri" w:hAnsi="Arial" w:cs="Arial"/>
          <w:kern w:val="0"/>
          <w:sz w:val="20"/>
          <w:szCs w:val="22"/>
          <w14:ligatures w14:val="none"/>
        </w:rPr>
        <w:t xml:space="preserve"> The Eclectic Paradigm, also known as the OLI Framework, was developed by John H. Dunning in the 1970s and has since become one of the most influential and widely accepted theories of FDI</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(Dunning, 1977</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2000). The OLI framework posits that a firm will engage in FDI only when it possesses three distinct advantages:</w:t>
      </w:r>
    </w:p>
    <w:p w14:paraId="2B7E4D28"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Ownership (O) Advantages: These are firm-specific assets and capabilities that provide a competitive edge over rivals. Examples include proprietary technology, strong brand recognition, managerial expertise, and economies of scale.</w:t>
      </w:r>
    </w:p>
    <w:p w14:paraId="2762CA07"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Location (L) Advantages: These are country-specific factors that make a particular location attractive for FDI. These factors can include market size and growth potential, low labor costs, availability of natural resources, political stability, and favorable government policies.</w:t>
      </w:r>
    </w:p>
    <w:p w14:paraId="13ED47DC"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Internalization (I) Advantages: This refers to the benefits a firm</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lang w:val="en-US"/>
          <w14:ligatures w14:val="none"/>
        </w:rPr>
        <w:t>gain from conducting business activities within its own organizational boundaries, rather than relying on external market transactions. Internalization can help a firm protect proprietary assets, reduce transaction costs, and ensure quality control.</w:t>
      </w:r>
    </w:p>
    <w:p w14:paraId="71EA5854" w14:textId="77777777" w:rsidR="00BA6701" w:rsidRPr="00BA6701" w:rsidRDefault="00BA6701" w:rsidP="00531269">
      <w:pPr>
        <w:spacing w:after="60" w:line="276" w:lineRule="auto"/>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The OLI framework provides a useful lens through which to </w:t>
      </w:r>
      <w:proofErr w:type="spellStart"/>
      <w:r w:rsidRPr="00531269">
        <w:rPr>
          <w:rFonts w:ascii="Arial" w:eastAsia="Calibri" w:hAnsi="Arial" w:cs="Arial"/>
          <w:kern w:val="0"/>
          <w:sz w:val="20"/>
          <w:szCs w:val="22"/>
          <w14:ligatures w14:val="none"/>
        </w:rPr>
        <w:t>analyze</w:t>
      </w:r>
      <w:proofErr w:type="spellEnd"/>
      <w:r w:rsidRPr="00531269">
        <w:rPr>
          <w:rFonts w:ascii="Arial" w:eastAsia="Calibri" w:hAnsi="Arial" w:cs="Arial"/>
          <w:kern w:val="0"/>
          <w:sz w:val="20"/>
          <w:szCs w:val="22"/>
          <w14:ligatures w14:val="none"/>
        </w:rPr>
        <w:t xml:space="preserve"> the Bangladesh-ASEAN FDI relationship. For instance, the ownership advantages of ASEAN-based companies, such as their advanced technology and management practices, can be leveraged in Bangladesh's developing market. Conversely, Bangladesh's location advantages, such as its large and young </w:t>
      </w:r>
      <w:proofErr w:type="spellStart"/>
      <w:r w:rsidRPr="00531269">
        <w:rPr>
          <w:rFonts w:ascii="Arial" w:eastAsia="Calibri" w:hAnsi="Arial" w:cs="Arial"/>
          <w:kern w:val="0"/>
          <w:sz w:val="20"/>
          <w:szCs w:val="22"/>
          <w14:ligatures w14:val="none"/>
        </w:rPr>
        <w:t>labor</w:t>
      </w:r>
      <w:proofErr w:type="spellEnd"/>
      <w:r w:rsidRPr="00531269">
        <w:rPr>
          <w:rFonts w:ascii="Arial" w:eastAsia="Calibri" w:hAnsi="Arial" w:cs="Arial"/>
          <w:kern w:val="0"/>
          <w:sz w:val="20"/>
          <w:szCs w:val="22"/>
          <w14:ligatures w14:val="none"/>
        </w:rPr>
        <w:t xml:space="preserve"> force, can attract ASEAN investors </w:t>
      </w:r>
      <w:r w:rsidRPr="00531269">
        <w:rPr>
          <w:rFonts w:ascii="Arial" w:eastAsia="Calibri" w:hAnsi="Arial" w:cs="Arial"/>
          <w:kern w:val="0"/>
          <w:sz w:val="20"/>
          <w:szCs w:val="22"/>
          <w14:ligatures w14:val="none"/>
        </w:rPr>
        <w:lastRenderedPageBreak/>
        <w:t>seeking to reduce their production costs. These arguments are consistent with broader empirical studies showing that market size, governance quality, openness, and infrastructure remain important determinants of FDI location in developing economies (</w:t>
      </w:r>
      <w:proofErr w:type="spellStart"/>
      <w:r w:rsidRPr="00531269">
        <w:rPr>
          <w:rFonts w:ascii="Arial" w:eastAsia="Calibri" w:hAnsi="Arial" w:cs="Arial"/>
          <w:kern w:val="0"/>
          <w:sz w:val="20"/>
          <w:szCs w:val="22"/>
          <w14:ligatures w14:val="none"/>
        </w:rPr>
        <w:t>Asiedu</w:t>
      </w:r>
      <w:proofErr w:type="spellEnd"/>
      <w:r w:rsidRPr="00531269">
        <w:rPr>
          <w:rFonts w:ascii="Arial" w:eastAsia="Calibri" w:hAnsi="Arial" w:cs="Arial"/>
          <w:kern w:val="0"/>
          <w:sz w:val="20"/>
          <w:szCs w:val="22"/>
          <w14:ligatures w14:val="none"/>
        </w:rPr>
        <w:t xml:space="preserve">, 2002; </w:t>
      </w:r>
      <w:proofErr w:type="spellStart"/>
      <w:r w:rsidRPr="00531269">
        <w:rPr>
          <w:rFonts w:ascii="Arial" w:eastAsia="Calibri" w:hAnsi="Arial" w:cs="Arial"/>
          <w:kern w:val="0"/>
          <w:sz w:val="20"/>
          <w:szCs w:val="22"/>
          <w14:ligatures w14:val="none"/>
        </w:rPr>
        <w:t>Globerman</w:t>
      </w:r>
      <w:proofErr w:type="spellEnd"/>
      <w:r w:rsidRPr="00531269">
        <w:rPr>
          <w:rFonts w:ascii="Arial" w:eastAsia="Calibri" w:hAnsi="Arial" w:cs="Arial"/>
          <w:kern w:val="0"/>
          <w:sz w:val="20"/>
          <w:szCs w:val="22"/>
          <w14:ligatures w14:val="none"/>
        </w:rPr>
        <w:t xml:space="preserve"> &amp; Shapiro, 2002; </w:t>
      </w:r>
      <w:proofErr w:type="spellStart"/>
      <w:r w:rsidRPr="00531269">
        <w:rPr>
          <w:rFonts w:ascii="Arial" w:eastAsia="Calibri" w:hAnsi="Arial" w:cs="Arial"/>
          <w:kern w:val="0"/>
          <w:sz w:val="20"/>
          <w:szCs w:val="22"/>
          <w14:ligatures w14:val="none"/>
        </w:rPr>
        <w:t>Markusen</w:t>
      </w:r>
      <w:proofErr w:type="spellEnd"/>
      <w:r w:rsidRPr="00531269">
        <w:rPr>
          <w:rFonts w:ascii="Arial" w:eastAsia="Calibri" w:hAnsi="Arial" w:cs="Arial"/>
          <w:kern w:val="0"/>
          <w:sz w:val="20"/>
          <w:szCs w:val="22"/>
          <w14:ligatures w14:val="none"/>
        </w:rPr>
        <w:t xml:space="preserve"> &amp; </w:t>
      </w:r>
      <w:proofErr w:type="spellStart"/>
      <w:r w:rsidRPr="00531269">
        <w:rPr>
          <w:rFonts w:ascii="Arial" w:eastAsia="Calibri" w:hAnsi="Arial" w:cs="Arial"/>
          <w:kern w:val="0"/>
          <w:sz w:val="20"/>
          <w:szCs w:val="22"/>
          <w14:ligatures w14:val="none"/>
        </w:rPr>
        <w:t>Maskus</w:t>
      </w:r>
      <w:proofErr w:type="spellEnd"/>
      <w:r w:rsidRPr="00531269">
        <w:rPr>
          <w:rFonts w:ascii="Arial" w:eastAsia="Calibri" w:hAnsi="Arial" w:cs="Arial"/>
          <w:kern w:val="0"/>
          <w:sz w:val="20"/>
          <w:szCs w:val="22"/>
          <w14:ligatures w14:val="none"/>
        </w:rPr>
        <w:t>, 2002).</w:t>
      </w:r>
    </w:p>
    <w:p w14:paraId="0626F084" w14:textId="06C369EE" w:rsidR="00AD3485" w:rsidRPr="00531269" w:rsidRDefault="00AD3485" w:rsidP="008103CE">
      <w:pPr>
        <w:spacing w:after="60" w:line="276" w:lineRule="auto"/>
        <w:jc w:val="both"/>
        <w:rPr>
          <w:rFonts w:ascii="Arial" w:eastAsia="Calibri" w:hAnsi="Arial" w:cs="Arial"/>
          <w:kern w:val="0"/>
          <w:sz w:val="20"/>
          <w:szCs w:val="22"/>
          <w14:ligatures w14:val="none"/>
        </w:rPr>
      </w:pPr>
      <w:r w:rsidRPr="00AD3485">
        <w:rPr>
          <w:rFonts w:ascii="Arial" w:eastAsia="Calibri" w:hAnsi="Arial" w:cs="Arial"/>
          <w:kern w:val="0"/>
          <w:sz w:val="20"/>
          <w:szCs w:val="22"/>
          <w14:ligatures w14:val="none"/>
        </w:rPr>
        <w:t xml:space="preserve">Empirical studies further strengthen these theoretical arguments. Asiedu (2002) shows that openness to trade and infrastructure quality are important determinants of FDI in developing economies, while </w:t>
      </w:r>
      <w:proofErr w:type="spellStart"/>
      <w:r w:rsidRPr="00AD3485">
        <w:rPr>
          <w:rFonts w:ascii="Arial" w:eastAsia="Calibri" w:hAnsi="Arial" w:cs="Arial"/>
          <w:kern w:val="0"/>
          <w:sz w:val="20"/>
          <w:szCs w:val="22"/>
          <w14:ligatures w14:val="none"/>
        </w:rPr>
        <w:t>Globerman</w:t>
      </w:r>
      <w:proofErr w:type="spellEnd"/>
      <w:r w:rsidRPr="00AD3485">
        <w:rPr>
          <w:rFonts w:ascii="Arial" w:eastAsia="Calibri" w:hAnsi="Arial" w:cs="Arial"/>
          <w:kern w:val="0"/>
          <w:sz w:val="20"/>
          <w:szCs w:val="22"/>
          <w14:ligatures w14:val="none"/>
        </w:rPr>
        <w:t xml:space="preserve"> and Shapiro (2002) find that governance quality, institutional credibility, and regulatory effectiveness significantly shape multinational firms’ location choices. </w:t>
      </w:r>
      <w:proofErr w:type="spellStart"/>
      <w:r w:rsidRPr="00AD3485">
        <w:rPr>
          <w:rFonts w:ascii="Arial" w:eastAsia="Calibri" w:hAnsi="Arial" w:cs="Arial"/>
          <w:kern w:val="0"/>
          <w:sz w:val="20"/>
          <w:szCs w:val="22"/>
          <w14:ligatures w14:val="none"/>
        </w:rPr>
        <w:t>Nunnenkamp</w:t>
      </w:r>
      <w:proofErr w:type="spellEnd"/>
      <w:r w:rsidRPr="00AD3485">
        <w:rPr>
          <w:rFonts w:ascii="Arial" w:eastAsia="Calibri" w:hAnsi="Arial" w:cs="Arial"/>
          <w:kern w:val="0"/>
          <w:sz w:val="20"/>
          <w:szCs w:val="22"/>
          <w14:ligatures w14:val="none"/>
        </w:rPr>
        <w:t xml:space="preserve"> and </w:t>
      </w:r>
      <w:proofErr w:type="spellStart"/>
      <w:r w:rsidRPr="00AD3485">
        <w:rPr>
          <w:rFonts w:ascii="Arial" w:eastAsia="Calibri" w:hAnsi="Arial" w:cs="Arial"/>
          <w:kern w:val="0"/>
          <w:sz w:val="20"/>
          <w:szCs w:val="22"/>
          <w14:ligatures w14:val="none"/>
        </w:rPr>
        <w:t>Spatz</w:t>
      </w:r>
      <w:proofErr w:type="spellEnd"/>
      <w:r w:rsidRPr="00AD3485">
        <w:rPr>
          <w:rFonts w:ascii="Arial" w:eastAsia="Calibri" w:hAnsi="Arial" w:cs="Arial"/>
          <w:kern w:val="0"/>
          <w:sz w:val="20"/>
          <w:szCs w:val="22"/>
          <w14:ligatures w14:val="none"/>
        </w:rPr>
        <w:t xml:space="preserve"> (2002) likewise demonstrate that traditional determinants such as market size, </w:t>
      </w:r>
      <w:proofErr w:type="spellStart"/>
      <w:r w:rsidRPr="00AD3485">
        <w:rPr>
          <w:rFonts w:ascii="Arial" w:eastAsia="Calibri" w:hAnsi="Arial" w:cs="Arial"/>
          <w:kern w:val="0"/>
          <w:sz w:val="20"/>
          <w:szCs w:val="22"/>
          <w14:ligatures w14:val="none"/>
        </w:rPr>
        <w:t>labor</w:t>
      </w:r>
      <w:proofErr w:type="spellEnd"/>
      <w:r w:rsidRPr="00AD3485">
        <w:rPr>
          <w:rFonts w:ascii="Arial" w:eastAsia="Calibri" w:hAnsi="Arial" w:cs="Arial"/>
          <w:kern w:val="0"/>
          <w:sz w:val="20"/>
          <w:szCs w:val="22"/>
          <w14:ligatures w14:val="none"/>
        </w:rPr>
        <w:t xml:space="preserve"> costs, and openness continue to matter strongly for developing countries despite globalization. These findings are highly relevant to the Bangladesh-ASEAN corridor because they support the view that Bangladesh’s </w:t>
      </w:r>
      <w:proofErr w:type="spellStart"/>
      <w:r w:rsidRPr="00AD3485">
        <w:rPr>
          <w:rFonts w:ascii="Arial" w:eastAsia="Calibri" w:hAnsi="Arial" w:cs="Arial"/>
          <w:kern w:val="0"/>
          <w:sz w:val="20"/>
          <w:szCs w:val="22"/>
          <w14:ligatures w14:val="none"/>
        </w:rPr>
        <w:t>labor</w:t>
      </w:r>
      <w:proofErr w:type="spellEnd"/>
      <w:r w:rsidRPr="00AD3485">
        <w:rPr>
          <w:rFonts w:ascii="Arial" w:eastAsia="Calibri" w:hAnsi="Arial" w:cs="Arial"/>
          <w:kern w:val="0"/>
          <w:sz w:val="20"/>
          <w:szCs w:val="22"/>
          <w14:ligatures w14:val="none"/>
        </w:rPr>
        <w:t>-cost advantage alone is insufficient without stronger institutions, better infrastructure, and more predictable investment rules, while ASEAN investors are more likely to expand when host-country governance and business facilitation improve.</w:t>
      </w:r>
    </w:p>
    <w:p w14:paraId="10C3D696" w14:textId="17CBF29B"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Product Life Cycle Theory</w:t>
      </w:r>
      <w:r w:rsidRPr="00B12F9F">
        <w:rPr>
          <w:rFonts w:ascii="Arial" w:eastAsia="Calibri" w:hAnsi="Arial" w:cs="Arial"/>
          <w:kern w:val="0"/>
          <w:sz w:val="20"/>
          <w:szCs w:val="22"/>
          <w14:ligatures w14:val="none"/>
        </w:rPr>
        <w:t xml:space="preserve">: The Product Life Cycle Theory, developed by Raymond Vernon in 1966, explains how the location of production and trade of a product changes over its life cycle (Vernon, 1966). The theory suggests that a new product is initially developed and manufactured in the country where it was invented, typically a developed nation with a high level of technological sophistication. As the product matures and becomes more standardized, production shifts to other developed countries, and eventually to developing countries where labor costs are lower. This theory is particularly relevant to the </w:t>
      </w:r>
      <w:r w:rsidRPr="00B12F9F">
        <w:rPr>
          <w:rFonts w:ascii="Arial" w:eastAsia="Calibri" w:hAnsi="Arial" w:cs="Arial"/>
          <w:kern w:val="0"/>
          <w:sz w:val="20"/>
          <w:szCs w:val="22"/>
          <w:lang w:val="vi-VN"/>
          <w14:ligatures w14:val="none"/>
        </w:rPr>
        <w:t>ready-made garment</w:t>
      </w:r>
      <w:r w:rsidRPr="00B12F9F">
        <w:rPr>
          <w:rFonts w:ascii="Arial" w:eastAsia="Calibri" w:hAnsi="Arial" w:cs="Arial"/>
          <w:kern w:val="0"/>
          <w:sz w:val="20"/>
          <w:szCs w:val="22"/>
          <w14:ligatures w14:val="none"/>
        </w:rPr>
        <w:t xml:space="preserve"> and textile industry, which is a pillar of the Bangladesh economy. As global supply chains continue to evolve, there is a growing trend toward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nearshoring</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and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friendshoring</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where companies seek to diversify their production away from China. This creates a significant opportunity for Bangladesh to attract FDI from ASEAN nations that are looking to establish a presence in a cost-competitive and strategically located manufacturing hub.</w:t>
      </w:r>
    </w:p>
    <w:p w14:paraId="7833B23B" w14:textId="4821F74B" w:rsidR="00BA6701" w:rsidRPr="00B12F9F" w:rsidRDefault="00BA6701" w:rsidP="008103CE">
      <w:pPr>
        <w:spacing w:after="60" w:line="276" w:lineRule="auto"/>
        <w:jc w:val="both"/>
        <w:rPr>
          <w:rFonts w:ascii="Arial" w:eastAsia="Calibri" w:hAnsi="Arial" w:cs="Arial"/>
          <w:kern w:val="0"/>
          <w:sz w:val="20"/>
          <w:szCs w:val="22"/>
          <w14:ligatures w14:val="none"/>
        </w:rPr>
      </w:pPr>
      <w:r w:rsidRPr="00BA6701">
        <w:rPr>
          <w:rFonts w:ascii="Arial" w:eastAsia="Calibri" w:hAnsi="Arial" w:cs="Arial"/>
          <w:i/>
          <w:iCs/>
          <w:kern w:val="0"/>
          <w:sz w:val="20"/>
          <w:szCs w:val="22"/>
          <w14:ligatures w14:val="none"/>
        </w:rPr>
        <w:t>Internalization Theory:</w:t>
      </w:r>
      <w:r w:rsidRPr="00531269">
        <w:rPr>
          <w:rFonts w:ascii="Arial" w:eastAsia="Calibri" w:hAnsi="Arial" w:cs="Arial"/>
          <w:kern w:val="0"/>
          <w:sz w:val="20"/>
          <w:szCs w:val="22"/>
          <w14:ligatures w14:val="none"/>
        </w:rPr>
        <w:t xml:space="preserve"> Internalization Theory, developed by Peter Buckley and Mark Casson in the 1970s, explains why firms choose to internalize their operations rather than rely on external markets (Buckley &amp; Casson, 1976; 2009). The theory argues that firms will internalize their operations when the costs of using external markets are higher than the costs of managing their own operations. This can occur due to factors such as market imperfections, information asymmetry, and the need to protect proprietary assets. Internalization theory is relevant to the Bangladesh-ASEAN FDI relationship in the context of technology transfer and knowledge </w:t>
      </w:r>
      <w:proofErr w:type="spellStart"/>
      <w:r w:rsidRPr="00531269">
        <w:rPr>
          <w:rFonts w:ascii="Arial" w:eastAsia="Calibri" w:hAnsi="Arial" w:cs="Arial"/>
          <w:kern w:val="0"/>
          <w:sz w:val="20"/>
          <w:szCs w:val="22"/>
          <w14:ligatures w14:val="none"/>
        </w:rPr>
        <w:t>spillovers</w:t>
      </w:r>
      <w:proofErr w:type="spellEnd"/>
      <w:r w:rsidRPr="00531269">
        <w:rPr>
          <w:rFonts w:ascii="Arial" w:eastAsia="Calibri" w:hAnsi="Arial" w:cs="Arial"/>
          <w:kern w:val="0"/>
          <w:sz w:val="20"/>
          <w:szCs w:val="22"/>
          <w14:ligatures w14:val="none"/>
        </w:rPr>
        <w:t xml:space="preserve">. ASEAN firms investing in Bangladesh may internalize their operations to protect proprietary technology and ensure that their knowledge is effectively transferred to their local subsidiaries. This interpretation is also supported by studies emphasizing that FDI can generate productivity </w:t>
      </w:r>
      <w:proofErr w:type="spellStart"/>
      <w:r w:rsidRPr="00531269">
        <w:rPr>
          <w:rFonts w:ascii="Arial" w:eastAsia="Calibri" w:hAnsi="Arial" w:cs="Arial"/>
          <w:kern w:val="0"/>
          <w:sz w:val="20"/>
          <w:szCs w:val="22"/>
          <w14:ligatures w14:val="none"/>
        </w:rPr>
        <w:t>spillovers</w:t>
      </w:r>
      <w:proofErr w:type="spellEnd"/>
      <w:r w:rsidRPr="00531269">
        <w:rPr>
          <w:rFonts w:ascii="Arial" w:eastAsia="Calibri" w:hAnsi="Arial" w:cs="Arial"/>
          <w:kern w:val="0"/>
          <w:sz w:val="20"/>
          <w:szCs w:val="22"/>
          <w14:ligatures w14:val="none"/>
        </w:rPr>
        <w:t xml:space="preserve"> when host economies are able to absorb foreign technology and managerial know-how (</w:t>
      </w:r>
      <w:proofErr w:type="spellStart"/>
      <w:r w:rsidRPr="00531269">
        <w:rPr>
          <w:rFonts w:ascii="Arial" w:eastAsia="Calibri" w:hAnsi="Arial" w:cs="Arial"/>
          <w:kern w:val="0"/>
          <w:sz w:val="20"/>
          <w:szCs w:val="22"/>
          <w14:ligatures w14:val="none"/>
        </w:rPr>
        <w:t>Borensztein</w:t>
      </w:r>
      <w:proofErr w:type="spellEnd"/>
      <w:r w:rsidRPr="00531269">
        <w:rPr>
          <w:rFonts w:ascii="Arial" w:eastAsia="Calibri" w:hAnsi="Arial" w:cs="Arial"/>
          <w:kern w:val="0"/>
          <w:sz w:val="20"/>
          <w:szCs w:val="22"/>
          <w14:ligatures w14:val="none"/>
        </w:rPr>
        <w:t>,</w:t>
      </w:r>
      <w:r w:rsidR="00316DFF">
        <w:rPr>
          <w:rFonts w:ascii="Arial" w:eastAsia="Calibri" w:hAnsi="Arial" w:cs="Arial"/>
          <w:kern w:val="0"/>
          <w:sz w:val="20"/>
          <w:szCs w:val="22"/>
          <w:lang w:val="vi-VN"/>
          <w14:ligatures w14:val="none"/>
        </w:rPr>
        <w:t xml:space="preserve"> </w:t>
      </w:r>
      <w:r w:rsidRPr="00531269">
        <w:rPr>
          <w:rFonts w:ascii="Arial" w:eastAsia="Calibri" w:hAnsi="Arial" w:cs="Arial"/>
          <w:kern w:val="0"/>
          <w:sz w:val="20"/>
          <w:szCs w:val="22"/>
          <w14:ligatures w14:val="none"/>
        </w:rPr>
        <w:t xml:space="preserve">1998; </w:t>
      </w:r>
      <w:proofErr w:type="spellStart"/>
      <w:r w:rsidRPr="00531269">
        <w:rPr>
          <w:rFonts w:ascii="Arial" w:eastAsia="Calibri" w:hAnsi="Arial" w:cs="Arial"/>
          <w:kern w:val="0"/>
          <w:sz w:val="20"/>
          <w:szCs w:val="22"/>
          <w14:ligatures w14:val="none"/>
        </w:rPr>
        <w:t>Javorcik</w:t>
      </w:r>
      <w:proofErr w:type="spellEnd"/>
      <w:r w:rsidRPr="00531269">
        <w:rPr>
          <w:rFonts w:ascii="Arial" w:eastAsia="Calibri" w:hAnsi="Arial" w:cs="Arial"/>
          <w:kern w:val="0"/>
          <w:sz w:val="20"/>
          <w:szCs w:val="22"/>
          <w14:ligatures w14:val="none"/>
        </w:rPr>
        <w:t>, 2004).</w:t>
      </w:r>
    </w:p>
    <w:p w14:paraId="1C05F120"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 xml:space="preserve">2.2 Conceptual Framework </w:t>
      </w:r>
    </w:p>
    <w:p w14:paraId="2B001B63"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study employs a conceptual framework that integrates the OLI Model, the Product Life Cycle Theory, and the Internalization Theory to analyze the FDI relationship between Bangladesh and ASEAN. This framework is designed to capture the complex interplay of firm-specific, country-specific, and industry-specific factors that influence investment decisions. The framework is further enhanced by the application of SWOT and TOWS analyses, which provide a strategic perspective on the internal and external factors affecting the Bangladesh-ASEAN economic partnership. The SWOT analysis identifies the strengths, weaknesses, opportunities, and threats associated with the relationship, while the TOWS matrix helps to formulate strategic options for leveraging strengths and opportunities, and mitigating weaknesses and threats.</w:t>
      </w:r>
    </w:p>
    <w:p w14:paraId="3E2778BC"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2.3 Research Gaps</w:t>
      </w:r>
    </w:p>
    <w:p w14:paraId="0C5FF2F5" w14:textId="09708460" w:rsidR="00AD3485" w:rsidRPr="00B12F9F" w:rsidRDefault="00BA6701" w:rsidP="008103CE">
      <w:pPr>
        <w:spacing w:after="60" w:line="276" w:lineRule="auto"/>
        <w:jc w:val="both"/>
        <w:rPr>
          <w:rFonts w:ascii="Arial" w:eastAsia="Calibri" w:hAnsi="Arial" w:cs="Arial"/>
          <w:kern w:val="0"/>
          <w:sz w:val="20"/>
          <w:szCs w:val="22"/>
          <w14:ligatures w14:val="none"/>
        </w:rPr>
      </w:pPr>
      <w:r w:rsidRPr="00BA6701">
        <w:rPr>
          <w:rFonts w:ascii="Arial" w:eastAsia="Calibri" w:hAnsi="Arial" w:cs="Arial"/>
          <w:kern w:val="0"/>
          <w:sz w:val="20"/>
          <w:szCs w:val="22"/>
          <w14:ligatures w14:val="none"/>
        </w:rPr>
        <w:lastRenderedPageBreak/>
        <w:t>Despite a large body of literature on FDI in general, and on the economic relationship between South Asia and Southeast Asia, there is still a noticeable gap in research focusing specifically on the FDI relationship between Bangladesh and ASEAN. Most existing studies tend to focus on the broader South Asia–ASEAN economic partnership, or on FDI flows between ASEAN and other major economies such as China and India. This study addresses that gap by providing a focused analysis of the Bangladesh–ASEAN corridor, combining classical FDI theory, updated bilateral evidence, and a strategy-oriented framework for policy interpretation. As the study is primarily exploratory and policy-oriented, it does not estimate causal relationships econometrically; therefore, future research may extend this analysis using panel-data, gravity-model, or firm-level quantitative techniques.</w:t>
      </w:r>
    </w:p>
    <w:p w14:paraId="08DFB17A" w14:textId="77777777" w:rsidR="008103CE" w:rsidRPr="00B12F9F" w:rsidRDefault="008103CE" w:rsidP="008103CE">
      <w:pPr>
        <w:spacing w:after="60" w:line="276" w:lineRule="auto"/>
        <w:jc w:val="both"/>
        <w:rPr>
          <w:rFonts w:ascii="Arial" w:eastAsia="Calibri" w:hAnsi="Arial" w:cs="Arial"/>
          <w:b/>
          <w:kern w:val="0"/>
          <w:sz w:val="22"/>
          <w:szCs w:val="28"/>
          <w14:ligatures w14:val="none"/>
        </w:rPr>
      </w:pPr>
      <w:r w:rsidRPr="00B12F9F">
        <w:rPr>
          <w:rFonts w:ascii="Arial" w:eastAsia="Calibri" w:hAnsi="Arial" w:cs="Arial"/>
          <w:b/>
          <w:kern w:val="0"/>
          <w:sz w:val="22"/>
          <w:szCs w:val="28"/>
          <w14:ligatures w14:val="none"/>
        </w:rPr>
        <w:t>3.</w:t>
      </w:r>
      <w:r w:rsidRPr="00B12F9F">
        <w:rPr>
          <w:rFonts w:ascii="Arial" w:eastAsia="Calibri" w:hAnsi="Arial" w:cs="Arial"/>
          <w:b/>
          <w:kern w:val="0"/>
          <w:sz w:val="22"/>
          <w:szCs w:val="28"/>
          <w:lang w:val="vi-VN"/>
          <w14:ligatures w14:val="none"/>
        </w:rPr>
        <w:t xml:space="preserve"> </w:t>
      </w:r>
      <w:r w:rsidRPr="00B12F9F">
        <w:rPr>
          <w:rFonts w:ascii="Arial" w:eastAsia="Calibri" w:hAnsi="Arial" w:cs="Arial"/>
          <w:b/>
          <w:kern w:val="0"/>
          <w:sz w:val="22"/>
          <w:szCs w:val="28"/>
          <w14:ligatures w14:val="none"/>
        </w:rPr>
        <w:t xml:space="preserve">METHODS </w:t>
      </w:r>
    </w:p>
    <w:p w14:paraId="1A853B4B" w14:textId="7104BD67" w:rsidR="00BA6701" w:rsidRPr="009510F2" w:rsidRDefault="00BA6701" w:rsidP="008103CE">
      <w:pPr>
        <w:pStyle w:val="Body"/>
        <w:spacing w:after="60" w:line="276" w:lineRule="auto"/>
        <w:rPr>
          <w:rFonts w:ascii="Arial" w:eastAsia="Calibri" w:hAnsi="Arial" w:cs="Arial"/>
          <w:szCs w:val="22"/>
          <w:lang w:val="en-GB"/>
        </w:rPr>
      </w:pPr>
      <w:r w:rsidRPr="00BA6701">
        <w:rPr>
          <w:rFonts w:ascii="Arial" w:eastAsia="Calibri" w:hAnsi="Arial" w:cs="Arial"/>
          <w:szCs w:val="22"/>
          <w:lang w:val="en-GB"/>
        </w:rPr>
        <w:t>This study employs a qualitative methodology based on systematic literature review and descriptive analysis of secondary data covering the period 2015–2024. The research draws on academic studies, government reports, and statistical publications from official sources, including Bangladesh Bank, the ASEAN Secretariat, UNCTAD, the World Bank, and related policy documents. The research design is both descriptive and explanatory: it first maps the scale, direction, and sectoral composition of FDI flows between Bangladesh and ASEAN, and then interprets the main drivers and constraints through the Eclectic Paradigm (OLI Framework), Internalization Theory, and the Product Life Cycle Theory. In the strategic stage of analysis, SWOT and TOWS matrices are applied to identify internal and external factors and to formulate policy and business directions. The analytical procedure therefore consists of four steps: literature synthesis, collection of official FDI and policy data, descriptive comparison of two-way investment trends, and strategic interpretation through SWOT-TOWS. As the study is qualitative in nature, its statistical treatment remains descriptive rather than econometric.</w:t>
      </w:r>
    </w:p>
    <w:p w14:paraId="3A7391FD" w14:textId="77777777" w:rsidR="008103CE" w:rsidRPr="00B12F9F" w:rsidRDefault="008103CE" w:rsidP="008103CE">
      <w:pPr>
        <w:pStyle w:val="Body"/>
        <w:spacing w:after="60" w:line="276" w:lineRule="auto"/>
        <w:rPr>
          <w:rFonts w:ascii="Arial" w:hAnsi="Arial" w:cs="Arial"/>
        </w:rPr>
      </w:pPr>
      <w:r w:rsidRPr="00B12F9F">
        <w:rPr>
          <w:rFonts w:ascii="Arial" w:eastAsia="Calibri" w:hAnsi="Arial" w:cs="Arial"/>
          <w:b/>
          <w:szCs w:val="22"/>
        </w:rPr>
        <w:t>4.</w:t>
      </w:r>
      <w:r w:rsidRPr="00B12F9F">
        <w:rPr>
          <w:rFonts w:ascii="Arial" w:eastAsia="Calibri" w:hAnsi="Arial" w:cs="Arial"/>
          <w:b/>
          <w:szCs w:val="22"/>
          <w:lang w:val="vi-VN"/>
        </w:rPr>
        <w:t xml:space="preserve"> </w:t>
      </w:r>
      <w:r w:rsidRPr="00B12F9F">
        <w:rPr>
          <w:rFonts w:ascii="Arial" w:eastAsia="Calibri" w:hAnsi="Arial" w:cs="Arial"/>
          <w:b/>
          <w:sz w:val="22"/>
          <w:szCs w:val="28"/>
        </w:rPr>
        <w:t>RESULTS AND DISCUSSION</w:t>
      </w:r>
    </w:p>
    <w:p w14:paraId="7EB4764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The analysis of FDI data between Bangladesh and ASEAN reveals a complex and evolving landscape, characterized by significant asymmetry, strategic sectoral concentration, and a range of opportunities and challenges.</w:t>
      </w:r>
    </w:p>
    <w:p w14:paraId="6C2AFDD9"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lang w:val="vi-VN"/>
          <w14:ligatures w14:val="none"/>
        </w:rPr>
        <w:t>4.1</w:t>
      </w:r>
      <w:r w:rsidRPr="00B12F9F">
        <w:rPr>
          <w:rFonts w:ascii="Arial" w:eastAsia="Calibri" w:hAnsi="Arial" w:cs="Arial"/>
          <w:i/>
          <w:iCs/>
          <w:kern w:val="0"/>
          <w:sz w:val="20"/>
          <w:szCs w:val="22"/>
          <w:lang w:val="vi-VN"/>
          <w14:ligatures w14:val="none"/>
        </w:rPr>
        <w:t xml:space="preserve"> </w:t>
      </w:r>
      <w:r w:rsidRPr="00B12F9F">
        <w:rPr>
          <w:rFonts w:ascii="Arial" w:eastAsia="Calibri" w:hAnsi="Arial" w:cs="Arial"/>
          <w:b/>
          <w:bCs/>
          <w:i/>
          <w:iCs/>
          <w:kern w:val="0"/>
          <w:sz w:val="20"/>
          <w:szCs w:val="22"/>
          <w14:ligatures w14:val="none"/>
        </w:rPr>
        <w:t>FDI from Bangladesh to ASEAN</w:t>
      </w:r>
    </w:p>
    <w:p w14:paraId="48596F8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s </w:t>
      </w:r>
      <w:r w:rsidRPr="00B12F9F">
        <w:rPr>
          <w:rFonts w:ascii="Arial" w:eastAsia="Calibri" w:hAnsi="Arial" w:cs="Arial"/>
          <w:kern w:val="0"/>
          <w:sz w:val="20"/>
          <w:szCs w:val="22"/>
          <w:lang w:val="vi-VN"/>
          <w14:ligatures w14:val="none"/>
        </w:rPr>
        <w:t xml:space="preserve">FDI </w:t>
      </w:r>
      <w:r w:rsidRPr="00B12F9F">
        <w:rPr>
          <w:rFonts w:ascii="Arial" w:eastAsia="Calibri" w:hAnsi="Arial" w:cs="Arial"/>
          <w:kern w:val="0"/>
          <w:sz w:val="20"/>
          <w:szCs w:val="22"/>
          <w14:ligatures w14:val="none"/>
        </w:rPr>
        <w:t>into ASEAN countries during the 2015-2024 period presents a landscape that is both promising and challenging. The total capital flow throughout this period reached only about $31-32 million, a modest figure when compared to the scale of ASEAN</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FDI attraction, which hit $230 billion in 2023 alone (ASEAN Secretariat, 2024). However, the volatile trend of this flow clearly reflects the impact of domestic policy factors and the global economic environment. After a slight increase from $2.56 million in 2015 to a peak of $8.43 million in 2019</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a period when the Bangladesh Government</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s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Go Global</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policy was strongly implemented</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the flow severely collapsed to a negative -$9.36 million in 2021 due to the dual impact of the COVID-19 pandemic and strict foreign exchange control policies (Bangladesh Bank, 2024b; UNCTAD, 2024b). The recovery since 2022 with the issuance of the “Equity Investment Abroad Rules 2022” has helped the flow return to a positive, albeit low, level, demonstrating the high sensitivity of Bangladeshi FDI to foreign exchange and investment policy conditions.</w:t>
      </w:r>
    </w:p>
    <w:p w14:paraId="2A189E6E" w14:textId="5DE3183F"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In terms of structure, Bangladesh's FDI into ASEAN is tactical, focusing primarily on supporting the value chain of the textile industry</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a sector that contributes over 80% of the country's export turnover. Approximately 30% of the flow is invested in logistics and bonded warehouses in Singapore and Malaysia, while 28% is directed towards the distribution system for textile goods (Bangladesh Bank, 2024</w:t>
      </w:r>
      <w:r w:rsidR="00316DFF">
        <w:rPr>
          <w:rFonts w:ascii="Arial" w:eastAsia="Calibri" w:hAnsi="Arial" w:cs="Arial"/>
          <w:kern w:val="0"/>
          <w:sz w:val="20"/>
          <w:szCs w:val="22"/>
          <w:lang w:val="vi-VN"/>
          <w14:ligatures w14:val="none"/>
        </w:rPr>
        <w:t>a</w:t>
      </w:r>
      <w:r w:rsidRPr="00B12F9F">
        <w:rPr>
          <w:rFonts w:ascii="Arial" w:eastAsia="Calibri" w:hAnsi="Arial" w:cs="Arial"/>
          <w:kern w:val="0"/>
          <w:sz w:val="20"/>
          <w:szCs w:val="22"/>
          <w14:ligatures w14:val="none"/>
        </w:rPr>
        <w:t>). This suggests that Bangladesh</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 xml:space="preserve">enterprises are using ASEAN as a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gateway</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to optimize their export operations, rather than as a strategic investment market. Geographically, FDI flows tend to concentrate in three groups of ASEAN countries. The first group includes Singapore and Malaysia, which serve as regional financial and logistics hubs, where Bangladeshi enterprises establish representative offices and coordination centers. The second group comprises countries with deep production value chains, such as Thailand, </w:t>
      </w:r>
      <w:r w:rsidRPr="00B12F9F">
        <w:rPr>
          <w:rFonts w:ascii="Arial" w:eastAsia="Calibri" w:hAnsi="Arial" w:cs="Arial"/>
          <w:kern w:val="0"/>
          <w:sz w:val="20"/>
          <w:szCs w:val="22"/>
          <w14:ligatures w14:val="none"/>
        </w:rPr>
        <w:lastRenderedPageBreak/>
        <w:t>Vietnam, Indonesia, and the Philippines, attracting investment in the production of auxiliary materials and distribution services. The third group consists of frontier markets like Myanmar, where investment is opportunistic and involves small-scale trade (BIDA, 2022).</w:t>
      </w:r>
    </w:p>
    <w:p w14:paraId="0D82BCA1" w14:textId="77777777" w:rsidR="008103CE" w:rsidRPr="00B12F9F" w:rsidRDefault="008103CE" w:rsidP="008103CE">
      <w:pPr>
        <w:spacing w:after="60" w:line="276" w:lineRule="auto"/>
        <w:jc w:val="both"/>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Table 1: Classification of ASEAN countries by function in receiving investment from Bangladesh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66"/>
        <w:gridCol w:w="1823"/>
        <w:gridCol w:w="2126"/>
        <w:gridCol w:w="2268"/>
      </w:tblGrid>
      <w:tr w:rsidR="008103CE" w:rsidRPr="00B12F9F" w14:paraId="6D9330F6" w14:textId="77777777" w:rsidTr="008103CE">
        <w:trPr>
          <w:trHeight w:val="78"/>
        </w:trPr>
        <w:tc>
          <w:tcPr>
            <w:tcW w:w="1668" w:type="dxa"/>
            <w:shd w:val="clear" w:color="auto" w:fill="D9E2F3"/>
            <w:vAlign w:val="center"/>
          </w:tcPr>
          <w:p w14:paraId="6B8B17B8"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Group</w:t>
            </w:r>
          </w:p>
        </w:tc>
        <w:tc>
          <w:tcPr>
            <w:tcW w:w="1466" w:type="dxa"/>
            <w:shd w:val="clear" w:color="auto" w:fill="D9E2F3"/>
            <w:vAlign w:val="center"/>
          </w:tcPr>
          <w:p w14:paraId="5219E6A1"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Country</w:t>
            </w:r>
          </w:p>
        </w:tc>
        <w:tc>
          <w:tcPr>
            <w:tcW w:w="1823" w:type="dxa"/>
            <w:shd w:val="clear" w:color="auto" w:fill="D9E2F3"/>
            <w:vAlign w:val="center"/>
          </w:tcPr>
          <w:p w14:paraId="46B180D6"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Function, Strategy</w:t>
            </w:r>
          </w:p>
        </w:tc>
        <w:tc>
          <w:tcPr>
            <w:tcW w:w="2126" w:type="dxa"/>
            <w:shd w:val="clear" w:color="auto" w:fill="D9E2F3"/>
            <w:vAlign w:val="center"/>
          </w:tcPr>
          <w:p w14:paraId="22A85D1F"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Sector/Activity Attracting FDI</w:t>
            </w:r>
          </w:p>
        </w:tc>
        <w:tc>
          <w:tcPr>
            <w:tcW w:w="2268" w:type="dxa"/>
            <w:shd w:val="clear" w:color="auto" w:fill="D9E2F3"/>
            <w:vAlign w:val="center"/>
          </w:tcPr>
          <w:p w14:paraId="30093DC3"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Key Characteristics</w:t>
            </w:r>
          </w:p>
        </w:tc>
      </w:tr>
      <w:tr w:rsidR="008103CE" w:rsidRPr="00B12F9F" w14:paraId="6F20C905" w14:textId="77777777" w:rsidTr="008103CE">
        <w:trPr>
          <w:trHeight w:val="78"/>
        </w:trPr>
        <w:tc>
          <w:tcPr>
            <w:tcW w:w="1668" w:type="dxa"/>
            <w:vAlign w:val="center"/>
          </w:tcPr>
          <w:p w14:paraId="42CA4660" w14:textId="77777777" w:rsidR="008103CE" w:rsidRPr="00B12F9F" w:rsidRDefault="008103CE" w:rsidP="008103CE">
            <w:pPr>
              <w:spacing w:after="60" w:line="276" w:lineRule="auto"/>
              <w:jc w:val="center"/>
              <w:rPr>
                <w:rFonts w:ascii="Arial" w:eastAsia="Calibri" w:hAnsi="Arial" w:cs="Arial"/>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1: </w:t>
            </w:r>
            <w:r w:rsidRPr="00B12F9F">
              <w:rPr>
                <w:rFonts w:ascii="Arial" w:eastAsia="Calibri" w:hAnsi="Arial" w:cs="Arial"/>
                <w:i/>
                <w:iCs/>
                <w:kern w:val="0"/>
                <w:sz w:val="20"/>
                <w:szCs w:val="22"/>
                <w:lang w:val="vi-VN"/>
                <w14:ligatures w14:val="none"/>
              </w:rPr>
              <w:t>Regional Financial - Logistics Hub</w:t>
            </w:r>
          </w:p>
        </w:tc>
        <w:tc>
          <w:tcPr>
            <w:tcW w:w="1466" w:type="dxa"/>
            <w:vAlign w:val="center"/>
          </w:tcPr>
          <w:p w14:paraId="64FAB833"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Singapore, Malaysia</w:t>
            </w:r>
          </w:p>
        </w:tc>
        <w:tc>
          <w:tcPr>
            <w:tcW w:w="1823" w:type="dxa"/>
            <w:vAlign w:val="center"/>
          </w:tcPr>
          <w:p w14:paraId="017968E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Coordination of regional finance, logistics, and trade</w:t>
            </w:r>
          </w:p>
        </w:tc>
        <w:tc>
          <w:tcPr>
            <w:tcW w:w="2126" w:type="dxa"/>
            <w:vAlign w:val="center"/>
          </w:tcPr>
          <w:p w14:paraId="29B925E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Logistics, e-commerce, representative offices, distribution centers</w:t>
            </w:r>
          </w:p>
        </w:tc>
        <w:tc>
          <w:tcPr>
            <w:tcW w:w="2268" w:type="dxa"/>
            <w:vAlign w:val="center"/>
          </w:tcPr>
          <w:p w14:paraId="3EEEEDAD"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Transparent legal system, favorable business environment, strong global connectivity</w:t>
            </w:r>
          </w:p>
        </w:tc>
      </w:tr>
      <w:tr w:rsidR="008103CE" w:rsidRPr="00B12F9F" w14:paraId="73A7A1E6" w14:textId="77777777" w:rsidTr="008103CE">
        <w:trPr>
          <w:trHeight w:val="78"/>
        </w:trPr>
        <w:tc>
          <w:tcPr>
            <w:tcW w:w="1668" w:type="dxa"/>
            <w:vAlign w:val="center"/>
          </w:tcPr>
          <w:p w14:paraId="57CCABC4" w14:textId="77777777" w:rsidR="008103CE" w:rsidRPr="00B12F9F" w:rsidRDefault="008103CE" w:rsidP="008103CE">
            <w:pPr>
              <w:spacing w:after="60" w:line="276" w:lineRule="auto"/>
              <w:jc w:val="center"/>
              <w:rPr>
                <w:rFonts w:ascii="Arial" w:eastAsia="Calibri" w:hAnsi="Arial" w:cs="Arial"/>
                <w:b/>
                <w:bCs/>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2: </w:t>
            </w:r>
            <w:r w:rsidRPr="00B12F9F">
              <w:rPr>
                <w:rFonts w:ascii="Arial" w:eastAsia="Calibri" w:hAnsi="Arial" w:cs="Arial"/>
                <w:i/>
                <w:iCs/>
                <w:kern w:val="0"/>
                <w:sz w:val="20"/>
                <w:szCs w:val="22"/>
                <w:lang w:val="vi-VN"/>
                <w14:ligatures w14:val="none"/>
              </w:rPr>
              <w:t>Emerging Manufacturing and Consumer Markets</w:t>
            </w:r>
          </w:p>
        </w:tc>
        <w:tc>
          <w:tcPr>
            <w:tcW w:w="1466" w:type="dxa"/>
            <w:vAlign w:val="center"/>
          </w:tcPr>
          <w:p w14:paraId="61E66E38"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Thailand Vietnam, Indonesia, Philippines</w:t>
            </w:r>
          </w:p>
        </w:tc>
        <w:tc>
          <w:tcPr>
            <w:tcW w:w="1823" w:type="dxa"/>
            <w:vAlign w:val="center"/>
          </w:tcPr>
          <w:p w14:paraId="601F4963"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Supply chain expansion, access to large markets, manufacturing sector cooperation</w:t>
            </w:r>
          </w:p>
        </w:tc>
        <w:tc>
          <w:tcPr>
            <w:tcW w:w="2126" w:type="dxa"/>
            <w:vAlign w:val="center"/>
          </w:tcPr>
          <w:p w14:paraId="2B4F3C26"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Textiles and garments, auxiliary materials, food processing, light industry, services</w:t>
            </w:r>
          </w:p>
        </w:tc>
        <w:tc>
          <w:tcPr>
            <w:tcW w:w="2268" w:type="dxa"/>
            <w:vAlign w:val="center"/>
          </w:tcPr>
          <w:p w14:paraId="19C347D6"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Large population, competitive production costs, clear industrial policies</w:t>
            </w:r>
          </w:p>
        </w:tc>
      </w:tr>
      <w:tr w:rsidR="008103CE" w:rsidRPr="00B12F9F" w14:paraId="4D10EF15" w14:textId="77777777" w:rsidTr="008103CE">
        <w:trPr>
          <w:trHeight w:val="78"/>
        </w:trPr>
        <w:tc>
          <w:tcPr>
            <w:tcW w:w="1668" w:type="dxa"/>
            <w:vAlign w:val="center"/>
          </w:tcPr>
          <w:p w14:paraId="00FAE780" w14:textId="77777777" w:rsidR="008103CE" w:rsidRPr="00B12F9F" w:rsidRDefault="008103CE" w:rsidP="008103CE">
            <w:pPr>
              <w:spacing w:after="60" w:line="276" w:lineRule="auto"/>
              <w:jc w:val="center"/>
              <w:rPr>
                <w:rFonts w:ascii="Arial" w:eastAsia="Calibri" w:hAnsi="Arial" w:cs="Arial"/>
                <w:b/>
                <w:bCs/>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3: </w:t>
            </w:r>
            <w:r w:rsidRPr="00B12F9F">
              <w:rPr>
                <w:rFonts w:ascii="Arial" w:eastAsia="Calibri" w:hAnsi="Arial" w:cs="Arial"/>
                <w:i/>
                <w:iCs/>
                <w:kern w:val="0"/>
                <w:sz w:val="20"/>
                <w:szCs w:val="22"/>
                <w:lang w:val="vi-VN"/>
                <w14:ligatures w14:val="none"/>
              </w:rPr>
              <w:t>Frontier - Subregional - Niche Opportunity Markets</w:t>
            </w:r>
          </w:p>
        </w:tc>
        <w:tc>
          <w:tcPr>
            <w:tcW w:w="1466" w:type="dxa"/>
            <w:vAlign w:val="center"/>
          </w:tcPr>
          <w:p w14:paraId="348FBF3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Myanmar, Laos, Campuchia, Brunei</w:t>
            </w:r>
          </w:p>
        </w:tc>
        <w:tc>
          <w:tcPr>
            <w:tcW w:w="1823" w:type="dxa"/>
            <w:vAlign w:val="center"/>
          </w:tcPr>
          <w:p w14:paraId="09A67C4B"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Opportunistic investment, border trade, exploitation of market niches</w:t>
            </w:r>
          </w:p>
        </w:tc>
        <w:tc>
          <w:tcPr>
            <w:tcW w:w="2126" w:type="dxa"/>
            <w:vAlign w:val="center"/>
          </w:tcPr>
          <w:p w14:paraId="52FAFEC8"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Agricultural products, border trade, regional logistics, small-scale mining</w:t>
            </w:r>
          </w:p>
        </w:tc>
        <w:tc>
          <w:tcPr>
            <w:tcW w:w="2268" w:type="dxa"/>
            <w:vAlign w:val="center"/>
          </w:tcPr>
          <w:p w14:paraId="020D2354"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Geographically adjacent or sub-regional location; high risk but low cost</w:t>
            </w:r>
          </w:p>
        </w:tc>
      </w:tr>
    </w:tbl>
    <w:p w14:paraId="1DB0E0DC" w14:textId="77777777" w:rsidR="008103CE" w:rsidRPr="00B12F9F" w:rsidRDefault="008103CE" w:rsidP="005579B7">
      <w:pPr>
        <w:spacing w:after="60" w:line="276" w:lineRule="auto"/>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25AF1571"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The growth potential for Bangladesh</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 xml:space="preserve">s FDI into ASEAN in the future is substantial, driven by three key factors: the </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China+1</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 xml:space="preserve"> trend in global supply chain restructuring, the RCEP agreement opening up opportunities for cumulative rules of origin, and the rapid development of the digital economy in ASEAN. However, to realize this potential, Bangladesh must overcome several barriers, including stringent investment conditions, the limited international negotiation capacity of its enterprises, and the increasing cost of complying with regional ESG standards (CPA Australia, 2024).</w:t>
      </w:r>
    </w:p>
    <w:p w14:paraId="48D64866"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4.2 FDI from ASEAN to Bangladesh</w:t>
      </w:r>
    </w:p>
    <w:p w14:paraId="0EED3C2F" w14:textId="74C711E1" w:rsidR="00BA6701" w:rsidRPr="00B12F9F" w:rsidRDefault="00BA6701" w:rsidP="008103CE">
      <w:pPr>
        <w:spacing w:after="60" w:line="276" w:lineRule="auto"/>
        <w:jc w:val="both"/>
        <w:rPr>
          <w:rFonts w:ascii="Arial" w:eastAsia="Calibri" w:hAnsi="Arial" w:cs="Arial"/>
          <w:bCs/>
          <w:kern w:val="0"/>
          <w:sz w:val="20"/>
          <w:szCs w:val="22"/>
          <w14:ligatures w14:val="none"/>
        </w:rPr>
      </w:pPr>
      <w:r w:rsidRPr="00BA6701">
        <w:rPr>
          <w:rFonts w:ascii="Arial" w:eastAsia="Calibri" w:hAnsi="Arial" w:cs="Arial"/>
          <w:bCs/>
          <w:kern w:val="0"/>
          <w:sz w:val="20"/>
          <w:szCs w:val="22"/>
          <w14:ligatures w14:val="none"/>
        </w:rPr>
        <w:t>While Bangladesh’s FDI into ASEAN remains modest, FDI from ASEAN into Bangladesh shows a more stable and significant growth trend. The total value of FDI from ASEAN to Bangladesh during the 2015-2024 period reached approximately $1.315 billion, accounting for 6-12% of the country's total annual FDI. The average annual inflow increased from $126.34 million (2015-2019) to $136.75 million (2020-2024), despite global instability (UNCTAD, 2024; Bangladesh Bank, 2023). This capital flow has strongly recovered post-COVID-19, reaching the highest level in the study's time series at $177.53 million in 2024. This recovery reflects Bangladesh's efforts to improve the investment environment through the Bangladesh Investment Development Authority (BIDA), Special Economic Zones (SEZs), and related facilitation measures (ADB, 2023; BIDA, 2022).</w:t>
      </w:r>
    </w:p>
    <w:p w14:paraId="4FFECE7D" w14:textId="03316823" w:rsidR="007A2FDC" w:rsidRPr="00B12F9F" w:rsidRDefault="009510F2">
      <w:pPr>
        <w:spacing w:after="60" w:line="276" w:lineRule="auto"/>
        <w:jc w:val="both"/>
        <w:rPr>
          <w:rFonts w:ascii="Arial" w:eastAsia="Calibri" w:hAnsi="Arial" w:cs="Arial"/>
          <w:bCs/>
          <w:kern w:val="0"/>
          <w:sz w:val="20"/>
          <w:szCs w:val="22"/>
          <w14:ligatures w14:val="none"/>
        </w:rPr>
      </w:pPr>
      <w:r w:rsidRPr="009510F2">
        <w:rPr>
          <w:rFonts w:ascii="Arial" w:eastAsia="Calibri" w:hAnsi="Arial" w:cs="Arial"/>
          <w:bCs/>
          <w:kern w:val="0"/>
          <w:sz w:val="20"/>
          <w:szCs w:val="22"/>
          <w14:ligatures w14:val="none"/>
        </w:rPr>
        <w:t xml:space="preserve">However, the structure of FDI flows from ASEAN to Bangladesh reveals a significant asymmetry in terms of investing countries. Malaysia has emerged as the largest ASEAN investor in Bangladesh, with cumulative investment exceeding $1.3 billion, accounting for over 50% of total ASEAN FDI. This investment is primarily concentrated in strategic sectors such as telecommunications, energy, and transport infrastructure (World Bank, 2023). Singapore, meanwhile, is rapidly becoming a crucial financial and institutional intermediary, </w:t>
      </w:r>
      <w:r w:rsidRPr="009510F2">
        <w:rPr>
          <w:rFonts w:ascii="Arial" w:eastAsia="Calibri" w:hAnsi="Arial" w:cs="Arial"/>
          <w:bCs/>
          <w:kern w:val="0"/>
          <w:sz w:val="20"/>
          <w:szCs w:val="22"/>
          <w14:ligatures w14:val="none"/>
        </w:rPr>
        <w:lastRenderedPageBreak/>
        <w:t>with a strong increase in high value-added sectors like industrial park development, logistics, renewable energy, and fintech (UNCTAD, 2024; BIDA, 2024). Conversely, other ASEAN nations such as Thailand, Indonesia, Vietnam, and the Philippines still have a limited presence, mostly confined to cooperation agreements or small-scale investments. This indicates a significant opportunity for Bangladesh to diversify its ASEAN investment partners in the future (UNCTAD, 2024).</w:t>
      </w:r>
    </w:p>
    <w:p w14:paraId="79C3626A" w14:textId="77777777" w:rsidR="008103CE" w:rsidRPr="00B12F9F" w:rsidRDefault="008103CE" w:rsidP="00531269">
      <w:pPr>
        <w:spacing w:after="60" w:line="276" w:lineRule="auto"/>
        <w:jc w:val="both"/>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Table 2: Classification of ASEAN countries investing in Bangladesh</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57"/>
        <w:gridCol w:w="2367"/>
        <w:gridCol w:w="2289"/>
        <w:gridCol w:w="2082"/>
      </w:tblGrid>
      <w:tr w:rsidR="008103CE" w:rsidRPr="00B12F9F" w14:paraId="2CB1607F" w14:textId="77777777" w:rsidTr="00DC65C5">
        <w:tc>
          <w:tcPr>
            <w:tcW w:w="1338" w:type="dxa"/>
            <w:shd w:val="clear" w:color="auto" w:fill="D9E2F3"/>
            <w:vAlign w:val="center"/>
          </w:tcPr>
          <w:p w14:paraId="57A36FE5"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Group</w:t>
            </w:r>
          </w:p>
        </w:tc>
        <w:tc>
          <w:tcPr>
            <w:tcW w:w="1357" w:type="dxa"/>
            <w:shd w:val="clear" w:color="auto" w:fill="D9E2F3"/>
            <w:vAlign w:val="center"/>
          </w:tcPr>
          <w:p w14:paraId="340899E8"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Country</w:t>
            </w:r>
          </w:p>
        </w:tc>
        <w:tc>
          <w:tcPr>
            <w:tcW w:w="2367" w:type="dxa"/>
            <w:shd w:val="clear" w:color="auto" w:fill="D9E2F3"/>
            <w:vAlign w:val="center"/>
          </w:tcPr>
          <w:p w14:paraId="49051A78"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Function, Strategy</w:t>
            </w:r>
          </w:p>
        </w:tc>
        <w:tc>
          <w:tcPr>
            <w:tcW w:w="2289" w:type="dxa"/>
            <w:shd w:val="clear" w:color="auto" w:fill="D9E2F3"/>
            <w:vAlign w:val="center"/>
          </w:tcPr>
          <w:p w14:paraId="63D5487B"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Sector/Activity Attracting FDI</w:t>
            </w:r>
          </w:p>
        </w:tc>
        <w:tc>
          <w:tcPr>
            <w:tcW w:w="2082" w:type="dxa"/>
            <w:shd w:val="clear" w:color="auto" w:fill="D9E2F3"/>
            <w:vAlign w:val="center"/>
          </w:tcPr>
          <w:p w14:paraId="084A7D30"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Key Characteristics</w:t>
            </w:r>
          </w:p>
        </w:tc>
      </w:tr>
      <w:tr w:rsidR="008103CE" w:rsidRPr="00B12F9F" w14:paraId="471DEA67" w14:textId="77777777" w:rsidTr="00DC65C5">
        <w:tc>
          <w:tcPr>
            <w:tcW w:w="1338" w:type="dxa"/>
            <w:vAlign w:val="center"/>
          </w:tcPr>
          <w:p w14:paraId="2BCFBB9C"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Systemic Anchor Investors</w:t>
            </w:r>
          </w:p>
        </w:tc>
        <w:tc>
          <w:tcPr>
            <w:tcW w:w="1357" w:type="dxa"/>
            <w:vAlign w:val="center"/>
          </w:tcPr>
          <w:p w14:paraId="5B5D107C"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Malaysia</w:t>
            </w:r>
          </w:p>
        </w:tc>
        <w:tc>
          <w:tcPr>
            <w:tcW w:w="2367" w:type="dxa"/>
            <w:vAlign w:val="center"/>
          </w:tcPr>
          <w:p w14:paraId="1C4E437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Possesses a large, stable FDI volume over many years, with a presence in strategic sectors and deep bilateral investment cooperation mechanisms.</w:t>
            </w:r>
          </w:p>
        </w:tc>
        <w:tc>
          <w:tcPr>
            <w:tcW w:w="2289" w:type="dxa"/>
            <w:vAlign w:val="center"/>
          </w:tcPr>
          <w:p w14:paraId="017EB440"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Telecommunications, Energy, Real Estate, Infrastructure</w:t>
            </w:r>
          </w:p>
        </w:tc>
        <w:tc>
          <w:tcPr>
            <w:tcW w:w="2082" w:type="dxa"/>
            <w:vAlign w:val="center"/>
          </w:tcPr>
          <w:p w14:paraId="74D5BF6F"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 pillar shaping the flow of ASEAN capital into Bangladesh, contributing to the formation of foundational industries.</w:t>
            </w:r>
          </w:p>
        </w:tc>
      </w:tr>
      <w:tr w:rsidR="008103CE" w:rsidRPr="00B12F9F" w14:paraId="3FF50D04" w14:textId="77777777" w:rsidTr="00DC65C5">
        <w:tc>
          <w:tcPr>
            <w:tcW w:w="1338" w:type="dxa"/>
            <w:vAlign w:val="center"/>
          </w:tcPr>
          <w:p w14:paraId="61B6582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Emerging Financial and Investment Hub</w:t>
            </w:r>
          </w:p>
        </w:tc>
        <w:tc>
          <w:tcPr>
            <w:tcW w:w="1357" w:type="dxa"/>
            <w:vAlign w:val="center"/>
          </w:tcPr>
          <w:p w14:paraId="2B605E68"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Singapore</w:t>
            </w:r>
          </w:p>
        </w:tc>
        <w:tc>
          <w:tcPr>
            <w:tcW w:w="2367" w:type="dxa"/>
            <w:vAlign w:val="center"/>
          </w:tcPr>
          <w:p w14:paraId="2B1282E4"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Rapidly increasing FDI volume, strong financial intermediary and institutional role, investing in green industry and financial services.</w:t>
            </w:r>
          </w:p>
        </w:tc>
        <w:tc>
          <w:tcPr>
            <w:tcW w:w="2289" w:type="dxa"/>
            <w:vAlign w:val="center"/>
          </w:tcPr>
          <w:p w14:paraId="003426C5"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Industrial Parks, Logistics, Renewable Energy, Fintech</w:t>
            </w:r>
          </w:p>
        </w:tc>
        <w:tc>
          <w:tcPr>
            <w:tcW w:w="2082" w:type="dxa"/>
            <w:vAlign w:val="center"/>
          </w:tcPr>
          <w:p w14:paraId="6BC0010C"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An institutional leverage and intermediary for distributing international capital to Bangladesh.</w:t>
            </w:r>
          </w:p>
        </w:tc>
      </w:tr>
      <w:tr w:rsidR="008103CE" w:rsidRPr="00B12F9F" w14:paraId="132F0A3E" w14:textId="77777777" w:rsidTr="00DC65C5">
        <w:tc>
          <w:tcPr>
            <w:tcW w:w="1338" w:type="dxa"/>
            <w:vAlign w:val="center"/>
          </w:tcPr>
          <w:p w14:paraId="37012AA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Potential Value Chain Partners</w:t>
            </w:r>
          </w:p>
        </w:tc>
        <w:tc>
          <w:tcPr>
            <w:tcW w:w="1357" w:type="dxa"/>
            <w:vAlign w:val="center"/>
          </w:tcPr>
          <w:p w14:paraId="42CDCDC3"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Thailand, Indonesia, Vietnam</w:t>
            </w:r>
          </w:p>
        </w:tc>
        <w:tc>
          <w:tcPr>
            <w:tcW w:w="2367" w:type="dxa"/>
            <w:vAlign w:val="center"/>
          </w:tcPr>
          <w:p w14:paraId="6C5B992A"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Medium, growing FDI levels, increasingly deep integration into Bangladesh's export value chain, with bilateral institutional relations currently being finalized.</w:t>
            </w:r>
          </w:p>
        </w:tc>
        <w:tc>
          <w:tcPr>
            <w:tcW w:w="2289" w:type="dxa"/>
            <w:vAlign w:val="center"/>
          </w:tcPr>
          <w:p w14:paraId="110FCC9B"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Food Processing, Textiles and Garments, Logistics, Agricultural Products, Digital Technology</w:t>
            </w:r>
          </w:p>
        </w:tc>
        <w:tc>
          <w:tcPr>
            <w:tcW w:w="2082" w:type="dxa"/>
            <w:vAlign w:val="center"/>
          </w:tcPr>
          <w:p w14:paraId="262922F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 group expanding its presence, supporting the diversification of supply chains and consumer markets.</w:t>
            </w:r>
          </w:p>
        </w:tc>
      </w:tr>
      <w:tr w:rsidR="008103CE" w:rsidRPr="00B12F9F" w14:paraId="2DAF41D2" w14:textId="77777777" w:rsidTr="00DC65C5">
        <w:tc>
          <w:tcPr>
            <w:tcW w:w="1338" w:type="dxa"/>
            <w:vAlign w:val="center"/>
          </w:tcPr>
          <w:p w14:paraId="0EA89BF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Nascently Linked Economies</w:t>
            </w:r>
          </w:p>
        </w:tc>
        <w:tc>
          <w:tcPr>
            <w:tcW w:w="1357" w:type="dxa"/>
            <w:vAlign w:val="center"/>
          </w:tcPr>
          <w:p w14:paraId="7573B8A7"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Philippines, Laos, Cambodia, Myanmar, Brunei</w:t>
            </w:r>
          </w:p>
        </w:tc>
        <w:tc>
          <w:tcPr>
            <w:tcW w:w="2367" w:type="dxa"/>
            <w:vAlign w:val="center"/>
          </w:tcPr>
          <w:p w14:paraId="737FD6C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Small or almost non-existent FDI volume, lack of effective investment mechanisms, primarily technical cooperation or educational aid.</w:t>
            </w:r>
          </w:p>
        </w:tc>
        <w:tc>
          <w:tcPr>
            <w:tcW w:w="2289" w:type="dxa"/>
            <w:vAlign w:val="center"/>
          </w:tcPr>
          <w:p w14:paraId="0A5F70BB"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Education, Technical Assistance, Healthcare, Standalone Services</w:t>
            </w:r>
          </w:p>
        </w:tc>
        <w:tc>
          <w:tcPr>
            <w:tcW w:w="2082" w:type="dxa"/>
            <w:vAlign w:val="center"/>
          </w:tcPr>
          <w:p w14:paraId="0A7460B9"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Could serve as a connecting buffer if ASEAN and Bangladesh expand institutional mechanisms to support investment.</w:t>
            </w:r>
          </w:p>
        </w:tc>
      </w:tr>
    </w:tbl>
    <w:p w14:paraId="377CDA00" w14:textId="77777777" w:rsidR="008103CE" w:rsidRPr="00B12F9F" w:rsidRDefault="008103CE" w:rsidP="005579B7">
      <w:pPr>
        <w:spacing w:after="60" w:line="276" w:lineRule="auto"/>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4BC3FB21"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kern w:val="0"/>
          <w:sz w:val="20"/>
          <w:szCs w:val="22"/>
          <w14:ligatures w14:val="none"/>
        </w:rPr>
        <w:t xml:space="preserve">Regarding sectoral structure, FDI from ASEAN into Bangladesh is relatively widely distributed, with approximately 54% of the investment during the 2020-2023 period directed towards manufacturing and infrastructure industries, aligning with Bangladesh's industrial and export development orientation (UNCTAD, 2024). However, this capital flow still faces certain challenges, including an incomplete legal environment, complex administrative procedures, and limitations in intellectual property rights protection, which reduce Bangladesh's attractiveness to small and medium-sized enterprises from ASEAN. Nevertheless, the medium-to-long-term outlook is assessed positively, with a forecast that FDI from ASEAN </w:t>
      </w:r>
      <w:r w:rsidRPr="00B12F9F">
        <w:rPr>
          <w:rFonts w:ascii="Arial" w:eastAsia="Calibri" w:hAnsi="Arial" w:cs="Arial"/>
          <w:kern w:val="0"/>
          <w:sz w:val="20"/>
          <w:szCs w:val="22"/>
          <w14:ligatures w14:val="none"/>
        </w:rPr>
        <w:lastRenderedPageBreak/>
        <w:t>could reach $200–250 million per year by 2027, provided that institutional reforms are effectively implemented and investment protection mechanisms are strengthened (UNCTAD, 2024).</w:t>
      </w:r>
    </w:p>
    <w:p w14:paraId="3886059E"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4.3 SWOT and TOWS Analysis</w:t>
      </w:r>
    </w:p>
    <w:p w14:paraId="08925611"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To gain a comprehensive perspective on the strategic positioning of the Foreign Direct Investment (FDI) relationship between Bangladesh and ASEAN, this study employs an integrated analytical framework: a SWOT (Strengths, Weaknesses, Opportunities, Threats) analysis combined with a TOWS (Threats, Opportunities, Weaknesses, Strengths) matrix. The SWOT analysis provides an overview of the internal (strengths and weaknesses) and external (opportunities and threats) factors influencing this economic partnership. In contrast, the TOWS matrix takes this analysis a step further by constructing actionable strategies based on the combination of these factors. This integrated approach not only helps in identifying strategic priorities but also provides a clear roadmap for stakeholders, including policymakers and businesses, to capitalize on opportunities, mitigate risks, and foster a more sustainable and mutually beneficial FDI relationship.</w:t>
      </w:r>
    </w:p>
    <w:p w14:paraId="70FC919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b/>
          <w:bCs/>
          <w:i/>
          <w:iCs/>
          <w:kern w:val="0"/>
          <w:sz w:val="20"/>
          <w:szCs w:val="22"/>
          <w14:ligatures w14:val="none"/>
        </w:rPr>
        <w:t>SWOT Analysis:</w:t>
      </w:r>
      <w:r w:rsidRPr="00B12F9F">
        <w:rPr>
          <w:rFonts w:ascii="Arial" w:eastAsia="Calibri" w:hAnsi="Arial" w:cs="Arial"/>
          <w:kern w:val="0"/>
          <w:sz w:val="20"/>
          <w:szCs w:val="22"/>
          <w14:ligatures w14:val="none"/>
        </w:rPr>
        <w:t xml:space="preserve"> The SWOT analysis offers a comprehensive framework for evaluating the internal and external factors affecting the FDI relationship between Bangladesh and ASEAN. The table below summarizes the key strengths, weaknesses, opportunities, and threats.</w:t>
      </w:r>
    </w:p>
    <w:p w14:paraId="2469DEF1"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lang w:val="vi-VN"/>
          <w14:ligatures w14:val="none"/>
        </w:rPr>
        <w:t>Table 3: S</w:t>
      </w:r>
      <w:r w:rsidRPr="00B12F9F">
        <w:rPr>
          <w:rFonts w:ascii="Arial" w:eastAsia="Calibri" w:hAnsi="Arial" w:cs="Arial"/>
          <w:b/>
          <w:bCs/>
          <w:kern w:val="0"/>
          <w:sz w:val="20"/>
          <w:szCs w:val="22"/>
          <w14:ligatures w14:val="none"/>
        </w:rPr>
        <w:t>ummary of SWOT Analysis for the Bangladesh-ASEAN FDI Relationship</w:t>
      </w:r>
    </w:p>
    <w:tbl>
      <w:tblPr>
        <w:tblStyle w:val="TableGrid"/>
        <w:tblW w:w="0" w:type="auto"/>
        <w:tblLook w:val="04A0" w:firstRow="1" w:lastRow="0" w:firstColumn="1" w:lastColumn="0" w:noHBand="0" w:noVBand="1"/>
      </w:tblPr>
      <w:tblGrid>
        <w:gridCol w:w="4675"/>
        <w:gridCol w:w="4675"/>
      </w:tblGrid>
      <w:tr w:rsidR="008103CE" w:rsidRPr="00B12F9F" w14:paraId="0884DD32" w14:textId="77777777" w:rsidTr="00DC65C5">
        <w:tc>
          <w:tcPr>
            <w:tcW w:w="4675" w:type="dxa"/>
            <w:shd w:val="clear" w:color="auto" w:fill="D9E2F3" w:themeFill="accent1" w:themeFillTint="33"/>
          </w:tcPr>
          <w:p w14:paraId="0C9A86EA"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Strengths</w:t>
            </w:r>
          </w:p>
        </w:tc>
        <w:tc>
          <w:tcPr>
            <w:tcW w:w="4675" w:type="dxa"/>
            <w:shd w:val="clear" w:color="auto" w:fill="D9E2F3" w:themeFill="accent1" w:themeFillTint="33"/>
          </w:tcPr>
          <w:p w14:paraId="1F367DCD"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Weaknesses</w:t>
            </w:r>
          </w:p>
        </w:tc>
      </w:tr>
      <w:tr w:rsidR="009510F2" w:rsidRPr="00B12F9F" w14:paraId="1A36B2BA" w14:textId="77777777" w:rsidTr="00DC65C5">
        <w:tc>
          <w:tcPr>
            <w:tcW w:w="4675" w:type="dxa"/>
            <w:vAlign w:val="center"/>
          </w:tcPr>
          <w:p w14:paraId="6C2671B9" w14:textId="47E7C6FD" w:rsidR="009510F2" w:rsidRPr="00B12F9F" w:rsidRDefault="009510F2" w:rsidP="009510F2">
            <w:pPr>
              <w:spacing w:after="60" w:line="276" w:lineRule="auto"/>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Historical and cultural ties: Strong historical, cultural, and religious linkages create a foundation of trust and mutual understanding, which can reduce risks and transaction costs in economic dealings.</w:t>
            </w:r>
          </w:p>
        </w:tc>
        <w:tc>
          <w:tcPr>
            <w:tcW w:w="4675" w:type="dxa"/>
            <w:vAlign w:val="center"/>
          </w:tcPr>
          <w:p w14:paraId="19E5A6A4" w14:textId="00998228" w:rsidR="009510F2" w:rsidRPr="00B12F9F" w:rsidRDefault="009510F2" w:rsidP="009510F2">
            <w:pPr>
              <w:spacing w:after="60" w:line="276" w:lineRule="auto"/>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Lack of formal institutional framework: The absence of a comprehensive FTA and BIT creates legal uncertainty and diminishes investor confidence (UNCTAD, 2024).</w:t>
            </w:r>
          </w:p>
        </w:tc>
      </w:tr>
      <w:tr w:rsidR="008103CE" w:rsidRPr="00B12F9F" w14:paraId="1A47252C" w14:textId="77777777" w:rsidTr="00DC65C5">
        <w:tc>
          <w:tcPr>
            <w:tcW w:w="4675" w:type="dxa"/>
            <w:vAlign w:val="center"/>
          </w:tcPr>
          <w:p w14:paraId="3F73588C"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Complementary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conomic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tructures:</w:t>
            </w:r>
            <w:r w:rsidRPr="00B12F9F">
              <w:rPr>
                <w:rFonts w:ascii="Arial" w:eastAsia="Calibri" w:hAnsi="Arial" w:cs="Arial"/>
                <w:kern w:val="0"/>
                <w:sz w:val="20"/>
                <w:szCs w:val="22"/>
                <w14:ligatures w14:val="none"/>
              </w:rPr>
              <w:t xml:space="preserve"> The complementarity between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textile and agricultural economy and ASEAN's industrial and service-based economies creates natural and efficient cooperation opportunities within the value chain (UNCTAD, 2024).</w:t>
            </w:r>
          </w:p>
        </w:tc>
        <w:tc>
          <w:tcPr>
            <w:tcW w:w="4675" w:type="dxa"/>
            <w:vAlign w:val="center"/>
          </w:tcPr>
          <w:p w14:paraId="4718B792"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Regulatory </w:t>
            </w:r>
            <w:r w:rsidRPr="00B12F9F">
              <w:rPr>
                <w:rFonts w:ascii="Arial" w:eastAsia="Calibri" w:hAnsi="Arial" w:cs="Arial"/>
                <w:i/>
                <w:iCs/>
                <w:kern w:val="0"/>
                <w:sz w:val="20"/>
                <w:szCs w:val="22"/>
                <w:lang w:val="vi-VN"/>
                <w14:ligatures w14:val="none"/>
              </w:rPr>
              <w:t>h</w:t>
            </w:r>
            <w:r w:rsidRPr="00B12F9F">
              <w:rPr>
                <w:rFonts w:ascii="Arial" w:eastAsia="Calibri" w:hAnsi="Arial" w:cs="Arial"/>
                <w:i/>
                <w:iCs/>
                <w:kern w:val="0"/>
                <w:sz w:val="20"/>
                <w:szCs w:val="22"/>
                <w14:ligatures w14:val="none"/>
              </w:rPr>
              <w:t xml:space="preserve">urdles and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 xml:space="preserve">nfrastructure </w:t>
            </w:r>
            <w:r w:rsidRPr="00B12F9F">
              <w:rPr>
                <w:rFonts w:ascii="Arial" w:eastAsia="Calibri" w:hAnsi="Arial" w:cs="Arial"/>
                <w:i/>
                <w:iCs/>
                <w:kern w:val="0"/>
                <w:sz w:val="20"/>
                <w:szCs w:val="22"/>
                <w:lang w:val="vi-VN"/>
                <w14:ligatures w14:val="none"/>
              </w:rPr>
              <w:t>g</w:t>
            </w:r>
            <w:r w:rsidRPr="00B12F9F">
              <w:rPr>
                <w:rFonts w:ascii="Arial" w:eastAsia="Calibri" w:hAnsi="Arial" w:cs="Arial"/>
                <w:i/>
                <w:iCs/>
                <w:kern w:val="0"/>
                <w:sz w:val="20"/>
                <w:szCs w:val="22"/>
                <w14:ligatures w14:val="none"/>
              </w:rPr>
              <w:t>aps:</w:t>
            </w:r>
            <w:r w:rsidRPr="00B12F9F">
              <w:rPr>
                <w:rFonts w:ascii="Arial" w:eastAsia="Calibri" w:hAnsi="Arial" w:cs="Arial"/>
                <w:kern w:val="0"/>
                <w:sz w:val="20"/>
                <w:szCs w:val="22"/>
                <w14:ligatures w14:val="none"/>
              </w:rPr>
              <w:t xml:space="preserve"> An incomplete legal environment, complex administrative procedures, and infrastructure deficits (especially in transport and energy) increase the cost of doing business and reduce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attractiveness (ADB, 2023).</w:t>
            </w:r>
          </w:p>
        </w:tc>
      </w:tr>
      <w:tr w:rsidR="008103CE" w:rsidRPr="00B12F9F" w14:paraId="10A233C8" w14:textId="77777777" w:rsidTr="00DC65C5">
        <w:tc>
          <w:tcPr>
            <w:tcW w:w="4675" w:type="dxa"/>
            <w:vAlign w:val="center"/>
          </w:tcPr>
          <w:p w14:paraId="3669C74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Young and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 xml:space="preserve">bundant </w:t>
            </w:r>
            <w:r w:rsidRPr="00B12F9F">
              <w:rPr>
                <w:rFonts w:ascii="Arial" w:eastAsia="Calibri" w:hAnsi="Arial" w:cs="Arial"/>
                <w:i/>
                <w:iCs/>
                <w:kern w:val="0"/>
                <w:sz w:val="20"/>
                <w:szCs w:val="22"/>
                <w:lang w:val="vi-VN"/>
                <w14:ligatures w14:val="none"/>
              </w:rPr>
              <w:t>w</w:t>
            </w:r>
            <w:r w:rsidRPr="00B12F9F">
              <w:rPr>
                <w:rFonts w:ascii="Arial" w:eastAsia="Calibri" w:hAnsi="Arial" w:cs="Arial"/>
                <w:i/>
                <w:iCs/>
                <w:kern w:val="0"/>
                <w:sz w:val="20"/>
                <w:szCs w:val="22"/>
                <w14:ligatures w14:val="none"/>
              </w:rPr>
              <w:t>orkforce:</w:t>
            </w:r>
            <w:r w:rsidRPr="00B12F9F">
              <w:rPr>
                <w:rFonts w:ascii="Arial" w:eastAsia="Calibri" w:hAnsi="Arial" w:cs="Arial"/>
                <w:kern w:val="0"/>
                <w:sz w:val="20"/>
                <w:szCs w:val="22"/>
                <w14:ligatures w14:val="none"/>
              </w:rPr>
              <w:t xml:space="preserve">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large and youthful population provides a source of low-cost and skilled labor, which is attractive to ASEAN investors seeking to reduce production costs (World Bank, 2023).</w:t>
            </w:r>
          </w:p>
        </w:tc>
        <w:tc>
          <w:tcPr>
            <w:tcW w:w="4675" w:type="dxa"/>
            <w:vAlign w:val="center"/>
          </w:tcPr>
          <w:p w14:paraId="130DB9E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Over-reliance on the </w:t>
            </w:r>
            <w:r w:rsidRPr="00B12F9F">
              <w:rPr>
                <w:rFonts w:ascii="Arial" w:eastAsia="Calibri" w:hAnsi="Arial" w:cs="Arial"/>
                <w:i/>
                <w:iCs/>
                <w:kern w:val="0"/>
                <w:sz w:val="20"/>
                <w:szCs w:val="22"/>
                <w:lang w:val="vi-VN"/>
                <w14:ligatures w14:val="none"/>
              </w:rPr>
              <w:t>g</w:t>
            </w:r>
            <w:r w:rsidRPr="00B12F9F">
              <w:rPr>
                <w:rFonts w:ascii="Arial" w:eastAsia="Calibri" w:hAnsi="Arial" w:cs="Arial"/>
                <w:i/>
                <w:iCs/>
                <w:kern w:val="0"/>
                <w:sz w:val="20"/>
                <w:szCs w:val="22"/>
                <w14:ligatures w14:val="none"/>
              </w:rPr>
              <w:t xml:space="preserve">arment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ector:</w:t>
            </w:r>
            <w:r w:rsidRPr="00B12F9F">
              <w:rPr>
                <w:rFonts w:ascii="Arial" w:eastAsia="Calibri" w:hAnsi="Arial" w:cs="Arial"/>
                <w:kern w:val="0"/>
                <w:sz w:val="20"/>
                <w:szCs w:val="22"/>
                <w14:ligatures w14:val="none"/>
              </w:rPr>
              <w:t xml:space="preserve"> Excessive dependence on the ready-made garment sector makes the Bangladesh economy vulnerable to external shocks and limits the potential for FDI diversification (The Diplomat, 2024).</w:t>
            </w:r>
          </w:p>
        </w:tc>
      </w:tr>
      <w:tr w:rsidR="008103CE" w:rsidRPr="00B12F9F" w14:paraId="2B5FB8C7" w14:textId="77777777" w:rsidTr="00DC65C5">
        <w:tc>
          <w:tcPr>
            <w:tcW w:w="4675" w:type="dxa"/>
            <w:shd w:val="clear" w:color="auto" w:fill="D9E2F3" w:themeFill="accent1" w:themeFillTint="33"/>
            <w:vAlign w:val="center"/>
          </w:tcPr>
          <w:p w14:paraId="39A9371B"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Opportunities</w:t>
            </w:r>
          </w:p>
        </w:tc>
        <w:tc>
          <w:tcPr>
            <w:tcW w:w="4675" w:type="dxa"/>
            <w:shd w:val="clear" w:color="auto" w:fill="D9E2F3" w:themeFill="accent1" w:themeFillTint="33"/>
            <w:vAlign w:val="center"/>
          </w:tcPr>
          <w:p w14:paraId="2BB3CA2C"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Threats</w:t>
            </w:r>
          </w:p>
        </w:tc>
      </w:tr>
      <w:tr w:rsidR="008103CE" w:rsidRPr="00B12F9F" w14:paraId="60D51D85" w14:textId="77777777" w:rsidTr="00DC65C5">
        <w:tc>
          <w:tcPr>
            <w:tcW w:w="4675" w:type="dxa"/>
            <w:vAlign w:val="center"/>
          </w:tcPr>
          <w:p w14:paraId="1240660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Global supply chain restructuring:</w:t>
            </w:r>
            <w:r w:rsidRPr="00B12F9F">
              <w:rPr>
                <w:rFonts w:ascii="Arial" w:eastAsia="Calibri" w:hAnsi="Arial" w:cs="Arial"/>
                <w:kern w:val="0"/>
                <w:sz w:val="20"/>
                <w:szCs w:val="22"/>
                <w14:ligatures w14:val="none"/>
              </w:rPr>
              <w:t xml:space="preserve"> The “China+1” trend is driving multinational corporations to seek alternative locations, presenting a significant opportunity for Bangladesh and ASEAN to enhance supply chain cooperation (Buckley &amp; Casson, 2009).</w:t>
            </w:r>
          </w:p>
        </w:tc>
        <w:tc>
          <w:tcPr>
            <w:tcW w:w="4675" w:type="dxa"/>
            <w:vAlign w:val="center"/>
          </w:tcPr>
          <w:p w14:paraId="4B965203"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Geopolitical Tensions: Geopolitical tensions and trade wars, particularly among major powers, can disrupt FDI flows and create an unstable business environment (UNCTAD, 2024).</w:t>
            </w:r>
          </w:p>
        </w:tc>
      </w:tr>
      <w:tr w:rsidR="008103CE" w:rsidRPr="00B12F9F" w14:paraId="64A6302A" w14:textId="77777777" w:rsidTr="00DC65C5">
        <w:tc>
          <w:tcPr>
            <w:tcW w:w="4675" w:type="dxa"/>
            <w:vAlign w:val="center"/>
          </w:tcPr>
          <w:p w14:paraId="6ADA6EC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RCEP:</w:t>
            </w:r>
            <w:r w:rsidRPr="00B12F9F">
              <w:rPr>
                <w:rFonts w:ascii="Arial" w:eastAsia="Calibri" w:hAnsi="Arial" w:cs="Arial"/>
                <w:kern w:val="0"/>
                <w:sz w:val="20"/>
                <w:szCs w:val="22"/>
                <w14:ligatures w14:val="none"/>
              </w:rPr>
              <w:t xml:space="preserve"> RCEP can create a more unified and expanded market, encouraging regional companies to invest in Bangladesh to leverage </w:t>
            </w:r>
            <w:r w:rsidRPr="00B12F9F">
              <w:rPr>
                <w:rFonts w:ascii="Arial" w:eastAsia="Calibri" w:hAnsi="Arial" w:cs="Arial"/>
                <w:kern w:val="0"/>
                <w:sz w:val="20"/>
                <w:szCs w:val="22"/>
                <w14:ligatures w14:val="none"/>
              </w:rPr>
              <w:lastRenderedPageBreak/>
              <w:t>tariff preferences and rules of origin accumulation (ASEAN Secretariat, 2023).</w:t>
            </w:r>
          </w:p>
        </w:tc>
        <w:tc>
          <w:tcPr>
            <w:tcW w:w="4675" w:type="dxa"/>
            <w:vAlign w:val="center"/>
          </w:tcPr>
          <w:p w14:paraId="58D7AA1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lastRenderedPageBreak/>
              <w:t xml:space="preserve">Rising </w:t>
            </w:r>
            <w:r w:rsidRPr="00B12F9F">
              <w:rPr>
                <w:rFonts w:ascii="Arial" w:eastAsia="Calibri" w:hAnsi="Arial" w:cs="Arial"/>
                <w:i/>
                <w:iCs/>
                <w:kern w:val="0"/>
                <w:sz w:val="20"/>
                <w:szCs w:val="22"/>
                <w:lang w:val="vi-VN"/>
                <w14:ligatures w14:val="none"/>
              </w:rPr>
              <w:t>p</w:t>
            </w:r>
            <w:r w:rsidRPr="00B12F9F">
              <w:rPr>
                <w:rFonts w:ascii="Arial" w:eastAsia="Calibri" w:hAnsi="Arial" w:cs="Arial"/>
                <w:i/>
                <w:iCs/>
                <w:kern w:val="0"/>
                <w:sz w:val="20"/>
                <w:szCs w:val="22"/>
                <w14:ligatures w14:val="none"/>
              </w:rPr>
              <w:t xml:space="preserve">rotectionism and </w:t>
            </w:r>
            <w:r w:rsidRPr="00B12F9F">
              <w:rPr>
                <w:rFonts w:ascii="Arial" w:eastAsia="Calibri" w:hAnsi="Arial" w:cs="Arial"/>
                <w:i/>
                <w:iCs/>
                <w:kern w:val="0"/>
                <w:sz w:val="20"/>
                <w:szCs w:val="22"/>
                <w:lang w:val="vi-VN"/>
                <w14:ligatures w14:val="none"/>
              </w:rPr>
              <w:t>n</w:t>
            </w:r>
            <w:r w:rsidRPr="00B12F9F">
              <w:rPr>
                <w:rFonts w:ascii="Arial" w:eastAsia="Calibri" w:hAnsi="Arial" w:cs="Arial"/>
                <w:i/>
                <w:iCs/>
                <w:kern w:val="0"/>
                <w:sz w:val="20"/>
                <w:szCs w:val="22"/>
                <w14:ligatures w14:val="none"/>
              </w:rPr>
              <w:t>ationalism:</w:t>
            </w:r>
            <w:r w:rsidRPr="00B12F9F">
              <w:rPr>
                <w:rFonts w:ascii="Arial" w:eastAsia="Calibri" w:hAnsi="Arial" w:cs="Arial"/>
                <w:kern w:val="0"/>
                <w:sz w:val="20"/>
                <w:szCs w:val="22"/>
                <w14:ligatures w14:val="none"/>
              </w:rPr>
              <w:t xml:space="preserve"> The global increase in protectionism and nationalism may lead to the imposition of trade and investment barriers, </w:t>
            </w:r>
            <w:r w:rsidRPr="00B12F9F">
              <w:rPr>
                <w:rFonts w:ascii="Arial" w:eastAsia="Calibri" w:hAnsi="Arial" w:cs="Arial"/>
                <w:kern w:val="0"/>
                <w:sz w:val="20"/>
                <w:szCs w:val="22"/>
                <w14:ligatures w14:val="none"/>
              </w:rPr>
              <w:lastRenderedPageBreak/>
              <w:t>undermining regional economic integration (Rodrik, 2018).</w:t>
            </w:r>
          </w:p>
        </w:tc>
      </w:tr>
      <w:tr w:rsidR="008103CE" w:rsidRPr="00B12F9F" w14:paraId="27580349" w14:textId="77777777" w:rsidTr="00DC65C5">
        <w:tc>
          <w:tcPr>
            <w:tcW w:w="4675" w:type="dxa"/>
            <w:vAlign w:val="center"/>
          </w:tcPr>
          <w:p w14:paraId="5692B158"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lastRenderedPageBreak/>
              <w:t xml:space="preserve">Growth of the </w:t>
            </w:r>
            <w:r w:rsidRPr="00B12F9F">
              <w:rPr>
                <w:rFonts w:ascii="Arial" w:eastAsia="Calibri" w:hAnsi="Arial" w:cs="Arial"/>
                <w:i/>
                <w:iCs/>
                <w:kern w:val="0"/>
                <w:sz w:val="20"/>
                <w:szCs w:val="22"/>
                <w:lang w:val="vi-VN"/>
                <w14:ligatures w14:val="none"/>
              </w:rPr>
              <w:t>d</w:t>
            </w:r>
            <w:r w:rsidRPr="00B12F9F">
              <w:rPr>
                <w:rFonts w:ascii="Arial" w:eastAsia="Calibri" w:hAnsi="Arial" w:cs="Arial"/>
                <w:i/>
                <w:iCs/>
                <w:kern w:val="0"/>
                <w:sz w:val="20"/>
                <w:szCs w:val="22"/>
                <w14:ligatures w14:val="none"/>
              </w:rPr>
              <w:t xml:space="preserve">igital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conomy: </w:t>
            </w:r>
            <w:r w:rsidRPr="00B12F9F">
              <w:rPr>
                <w:rFonts w:ascii="Arial" w:eastAsia="Calibri" w:hAnsi="Arial" w:cs="Arial"/>
                <w:kern w:val="0"/>
                <w:sz w:val="20"/>
                <w:szCs w:val="22"/>
                <w14:ligatures w14:val="none"/>
              </w:rPr>
              <w:t>The rapid development of the digital economy in ASEAN opens new avenues for Bangladesh technology companies to penetrate digital service outsourcing markets (UNCTAD, 2024).</w:t>
            </w:r>
          </w:p>
        </w:tc>
        <w:tc>
          <w:tcPr>
            <w:tcW w:w="4675" w:type="dxa"/>
            <w:vAlign w:val="center"/>
          </w:tcPr>
          <w:p w14:paraId="54AA60FF"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Climate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 xml:space="preserve">hange and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nvironmental </w:t>
            </w:r>
            <w:r w:rsidRPr="00B12F9F">
              <w:rPr>
                <w:rFonts w:ascii="Arial" w:eastAsia="Calibri" w:hAnsi="Arial" w:cs="Arial"/>
                <w:i/>
                <w:iCs/>
                <w:kern w:val="0"/>
                <w:sz w:val="20"/>
                <w:szCs w:val="22"/>
                <w:lang w:val="vi-VN"/>
                <w14:ligatures w14:val="none"/>
              </w:rPr>
              <w:t>d</w:t>
            </w:r>
            <w:r w:rsidRPr="00B12F9F">
              <w:rPr>
                <w:rFonts w:ascii="Arial" w:eastAsia="Calibri" w:hAnsi="Arial" w:cs="Arial"/>
                <w:i/>
                <w:iCs/>
                <w:kern w:val="0"/>
                <w:sz w:val="20"/>
                <w:szCs w:val="22"/>
                <w14:ligatures w14:val="none"/>
              </w:rPr>
              <w:t>egradation:</w:t>
            </w:r>
            <w:r w:rsidRPr="00B12F9F">
              <w:rPr>
                <w:rFonts w:ascii="Arial" w:eastAsia="Calibri" w:hAnsi="Arial" w:cs="Arial"/>
                <w:kern w:val="0"/>
                <w:sz w:val="20"/>
                <w:szCs w:val="22"/>
                <w14:ligatures w14:val="none"/>
              </w:rPr>
              <w:t xml:space="preserve"> Climate change and environmental degradation can cause severe economic and social impacts, disrupting business operations and reducing the region's attractiveness for FDI (World Bank, 2023).</w:t>
            </w:r>
          </w:p>
        </w:tc>
      </w:tr>
    </w:tbl>
    <w:p w14:paraId="7682C987"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127A4139"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
          <w:bCs/>
          <w:i/>
          <w:iCs/>
          <w:kern w:val="0"/>
          <w:sz w:val="20"/>
          <w:szCs w:val="22"/>
          <w14:ligatures w14:val="none"/>
        </w:rPr>
        <w:t>TOWS Matrix</w:t>
      </w:r>
      <w:r w:rsidRPr="00B12F9F">
        <w:rPr>
          <w:rFonts w:ascii="Arial" w:eastAsia="Calibri" w:hAnsi="Arial" w:cs="Arial"/>
          <w:b/>
          <w:bCs/>
          <w:i/>
          <w:iCs/>
          <w:kern w:val="0"/>
          <w:sz w:val="20"/>
          <w:szCs w:val="22"/>
          <w:lang w:val="vi-VN"/>
          <w14:ligatures w14:val="none"/>
        </w:rPr>
        <w:t>:</w:t>
      </w:r>
      <w:r w:rsidRPr="00B12F9F">
        <w:rPr>
          <w:rFonts w:ascii="Arial" w:eastAsia="Calibri" w:hAnsi="Arial" w:cs="Arial"/>
          <w:b/>
          <w:bCs/>
          <w:kern w:val="0"/>
          <w:sz w:val="20"/>
          <w:szCs w:val="22"/>
          <w:lang w:val="vi-VN"/>
          <w14:ligatures w14:val="none"/>
        </w:rPr>
        <w:t xml:space="preserve"> </w:t>
      </w:r>
      <w:r w:rsidRPr="00B12F9F">
        <w:rPr>
          <w:rFonts w:ascii="Arial" w:eastAsia="Calibri" w:hAnsi="Arial" w:cs="Arial"/>
          <w:bCs/>
          <w:kern w:val="0"/>
          <w:sz w:val="20"/>
          <w:szCs w:val="22"/>
          <w14:ligatures w14:val="none"/>
        </w:rPr>
        <w:t>The TOWS matrix is utilized to formulate actionable strategies based on the combination of SWOT factors. The table below proposes strategies for the Bangladesh-ASEAN FDI relationship.</w:t>
      </w:r>
    </w:p>
    <w:p w14:paraId="7724E0E0"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Table</w:t>
      </w:r>
      <w:r w:rsidRPr="00B12F9F">
        <w:rPr>
          <w:rFonts w:ascii="Arial" w:eastAsia="Calibri" w:hAnsi="Arial" w:cs="Arial"/>
          <w:b/>
          <w:bCs/>
          <w:kern w:val="0"/>
          <w:sz w:val="20"/>
          <w:szCs w:val="22"/>
          <w:lang w:val="vi-VN"/>
          <w14:ligatures w14:val="none"/>
        </w:rPr>
        <w:t xml:space="preserve"> 4:</w:t>
      </w:r>
      <w:r w:rsidRPr="00B12F9F">
        <w:rPr>
          <w:rFonts w:ascii="Arial" w:eastAsia="Calibri" w:hAnsi="Arial" w:cs="Arial"/>
          <w:b/>
          <w:bCs/>
          <w:kern w:val="0"/>
          <w:sz w:val="20"/>
          <w:szCs w:val="22"/>
          <w14:ligatures w14:val="none"/>
        </w:rPr>
        <w:t>Strategic Recommendations for Bangladesh-ASEAN FDI Relationship</w:t>
      </w:r>
      <w:r w:rsidR="00343EA0" w:rsidRPr="00B12F9F">
        <w:rPr>
          <w:rFonts w:ascii="Arial" w:eastAsia="Calibri" w:hAnsi="Arial" w:cs="Arial"/>
          <w:b/>
          <w:bCs/>
          <w:kern w:val="0"/>
          <w:sz w:val="20"/>
          <w:szCs w:val="22"/>
          <w:lang w:val="vi-VN"/>
          <w14:ligatures w14:val="none"/>
        </w:rPr>
        <w:t xml:space="preserve"> </w:t>
      </w:r>
      <w:r w:rsidRPr="00B12F9F">
        <w:rPr>
          <w:rFonts w:ascii="Arial" w:eastAsia="Calibri" w:hAnsi="Arial" w:cs="Arial"/>
          <w:b/>
          <w:bCs/>
          <w:kern w:val="0"/>
          <w:sz w:val="20"/>
          <w:szCs w:val="22"/>
          <w14:ligatures w14:val="none"/>
        </w:rPr>
        <w:t>(TOWS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1"/>
        <w:gridCol w:w="7499"/>
      </w:tblGrid>
      <w:tr w:rsidR="008103CE" w:rsidRPr="00B12F9F" w14:paraId="4B8CCAAB" w14:textId="77777777" w:rsidTr="00DC65C5">
        <w:trPr>
          <w:cantSplit/>
          <w:trHeight w:val="17"/>
          <w:tblHeader/>
        </w:trPr>
        <w:tc>
          <w:tcPr>
            <w:tcW w:w="990" w:type="pct"/>
            <w:shd w:val="clear" w:color="auto" w:fill="D9E2F3" w:themeFill="accent1" w:themeFillTint="33"/>
            <w:tcMar>
              <w:top w:w="100" w:type="dxa"/>
              <w:left w:w="120" w:type="dxa"/>
              <w:bottom w:w="100" w:type="dxa"/>
              <w:right w:w="120" w:type="dxa"/>
            </w:tcMar>
          </w:tcPr>
          <w:p w14:paraId="5CD3E1EA" w14:textId="77777777" w:rsidR="008103CE" w:rsidRPr="00B12F9F" w:rsidRDefault="008103CE" w:rsidP="00343EA0">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Strategy</w:t>
            </w:r>
          </w:p>
        </w:tc>
        <w:tc>
          <w:tcPr>
            <w:tcW w:w="4010" w:type="pct"/>
            <w:shd w:val="clear" w:color="auto" w:fill="D9E2F3" w:themeFill="accent1" w:themeFillTint="33"/>
            <w:tcMar>
              <w:top w:w="100" w:type="dxa"/>
              <w:left w:w="120" w:type="dxa"/>
              <w:bottom w:w="100" w:type="dxa"/>
              <w:right w:w="120" w:type="dxa"/>
            </w:tcMar>
          </w:tcPr>
          <w:p w14:paraId="478EC79E" w14:textId="77777777" w:rsidR="008103CE" w:rsidRPr="00B12F9F" w:rsidRDefault="008103CE" w:rsidP="00343EA0">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Description</w:t>
            </w:r>
          </w:p>
        </w:tc>
      </w:tr>
      <w:tr w:rsidR="008103CE" w:rsidRPr="00B12F9F" w14:paraId="2B585A50" w14:textId="77777777" w:rsidTr="00DC65C5">
        <w:trPr>
          <w:cantSplit/>
          <w:trHeight w:val="576"/>
        </w:trPr>
        <w:tc>
          <w:tcPr>
            <w:tcW w:w="990" w:type="pct"/>
            <w:tcMar>
              <w:top w:w="80" w:type="dxa"/>
              <w:left w:w="120" w:type="dxa"/>
              <w:bottom w:w="80" w:type="dxa"/>
              <w:right w:w="120" w:type="dxa"/>
            </w:tcMar>
            <w:vAlign w:val="center"/>
          </w:tcPr>
          <w:p w14:paraId="7347ECE4"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SO Strategy (Strengths-Opportunities):</w:t>
            </w:r>
          </w:p>
        </w:tc>
        <w:tc>
          <w:tcPr>
            <w:tcW w:w="4010" w:type="pct"/>
            <w:tcMar>
              <w:top w:w="80" w:type="dxa"/>
              <w:left w:w="120" w:type="dxa"/>
              <w:bottom w:w="80" w:type="dxa"/>
              <w:right w:w="120" w:type="dxa"/>
            </w:tcMar>
            <w:vAlign w:val="center"/>
          </w:tcPr>
          <w:p w14:paraId="2957E0D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leverage its strong historical and cultural ties with ASEAN to attract FDI in the digital economy and infrastructure sectors. The complementary economic structures of the two regions can be utilized to develop a more integrated and efficient supply chain.</w:t>
            </w:r>
          </w:p>
        </w:tc>
      </w:tr>
      <w:tr w:rsidR="008103CE" w:rsidRPr="00B12F9F" w14:paraId="3DE650AE" w14:textId="77777777" w:rsidTr="00DC65C5">
        <w:trPr>
          <w:cantSplit/>
          <w:trHeight w:val="576"/>
        </w:trPr>
        <w:tc>
          <w:tcPr>
            <w:tcW w:w="990" w:type="pct"/>
            <w:tcMar>
              <w:top w:w="80" w:type="dxa"/>
              <w:left w:w="120" w:type="dxa"/>
              <w:bottom w:w="80" w:type="dxa"/>
              <w:right w:w="120" w:type="dxa"/>
            </w:tcMar>
            <w:vAlign w:val="center"/>
          </w:tcPr>
          <w:p w14:paraId="778D853A"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WO Strategy (Weaknesses-Opportunities):</w:t>
            </w:r>
          </w:p>
        </w:tc>
        <w:tc>
          <w:tcPr>
            <w:tcW w:w="4010" w:type="pct"/>
            <w:tcMar>
              <w:top w:w="80" w:type="dxa"/>
              <w:left w:w="120" w:type="dxa"/>
              <w:bottom w:w="80" w:type="dxa"/>
              <w:right w:w="120" w:type="dxa"/>
            </w:tcMar>
            <w:vAlign w:val="center"/>
          </w:tcPr>
          <w:p w14:paraId="0B3CFDE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can use the opportunities presented by the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China+1</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supply chain dispersion and the RCEP framework to overcome its weaknesses in regulatory hurdles and infrastructure gaps. The country can also use these opportunities to diversify its economy and reduce its over-reliance on the garment sector.</w:t>
            </w:r>
          </w:p>
        </w:tc>
      </w:tr>
      <w:tr w:rsidR="008103CE" w:rsidRPr="00B12F9F" w14:paraId="57A8D8A5" w14:textId="77777777" w:rsidTr="00DC65C5">
        <w:trPr>
          <w:cantSplit/>
          <w:trHeight w:val="576"/>
        </w:trPr>
        <w:tc>
          <w:tcPr>
            <w:tcW w:w="990" w:type="pct"/>
            <w:tcMar>
              <w:top w:w="80" w:type="dxa"/>
              <w:left w:w="120" w:type="dxa"/>
              <w:bottom w:w="80" w:type="dxa"/>
              <w:right w:w="120" w:type="dxa"/>
            </w:tcMar>
            <w:vAlign w:val="center"/>
          </w:tcPr>
          <w:p w14:paraId="47B1E60C" w14:textId="77777777" w:rsidR="008103CE" w:rsidRPr="00B12F9F" w:rsidRDefault="008103CE" w:rsidP="00343EA0">
            <w:pPr>
              <w:spacing w:after="60" w:line="276" w:lineRule="auto"/>
              <w:jc w:val="center"/>
              <w:rPr>
                <w:rFonts w:ascii="Arial" w:eastAsia="Calibri" w:hAnsi="Arial" w:cs="Arial"/>
                <w:i/>
                <w:iCs/>
                <w:kern w:val="0"/>
                <w:sz w:val="20"/>
                <w:szCs w:val="22"/>
                <w14:ligatures w14:val="none"/>
              </w:rPr>
            </w:pPr>
            <w:r w:rsidRPr="00B12F9F">
              <w:rPr>
                <w:rFonts w:ascii="Arial" w:eastAsia="Calibri" w:hAnsi="Arial" w:cs="Arial"/>
                <w:b/>
                <w:bCs/>
                <w:i/>
                <w:iCs/>
                <w:kern w:val="0"/>
                <w:sz w:val="20"/>
                <w:szCs w:val="22"/>
                <w14:ligatures w14:val="none"/>
              </w:rPr>
              <w:t>ST Strategy (Strengths-Threats):</w:t>
            </w:r>
          </w:p>
        </w:tc>
        <w:tc>
          <w:tcPr>
            <w:tcW w:w="4010" w:type="pct"/>
            <w:tcMar>
              <w:top w:w="80" w:type="dxa"/>
              <w:left w:w="120" w:type="dxa"/>
              <w:bottom w:w="80" w:type="dxa"/>
              <w:right w:w="120" w:type="dxa"/>
            </w:tcMar>
            <w:vAlign w:val="center"/>
          </w:tcPr>
          <w:p w14:paraId="0ED3351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utilize its large and youthful population to mitigate the challenges posed by geopolitical tensions and trade wars. The country can also use its growing middle class to create a more sustainable and diversified economy.</w:t>
            </w:r>
          </w:p>
        </w:tc>
      </w:tr>
      <w:tr w:rsidR="008103CE" w:rsidRPr="00B12F9F" w14:paraId="6C2C89C3" w14:textId="77777777" w:rsidTr="00DC65C5">
        <w:trPr>
          <w:cantSplit/>
          <w:trHeight w:val="576"/>
        </w:trPr>
        <w:tc>
          <w:tcPr>
            <w:tcW w:w="990" w:type="pct"/>
            <w:tcMar>
              <w:top w:w="80" w:type="dxa"/>
              <w:left w:w="120" w:type="dxa"/>
              <w:bottom w:w="80" w:type="dxa"/>
              <w:right w:w="120" w:type="dxa"/>
            </w:tcMar>
            <w:vAlign w:val="center"/>
          </w:tcPr>
          <w:p w14:paraId="038C269C"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WT Strategy (Weaknesses-Threats):</w:t>
            </w:r>
          </w:p>
        </w:tc>
        <w:tc>
          <w:tcPr>
            <w:tcW w:w="4010" w:type="pct"/>
            <w:tcMar>
              <w:top w:w="80" w:type="dxa"/>
              <w:left w:w="120" w:type="dxa"/>
              <w:bottom w:w="80" w:type="dxa"/>
              <w:right w:w="120" w:type="dxa"/>
            </w:tcMar>
            <w:vAlign w:val="center"/>
          </w:tcPr>
          <w:p w14:paraId="32B1DB0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use the challenges posed by climate change and environmental degradation to accelerate its transition towards a more sustainable and green economy. The country can also use these challenges to strengthen institutional coordination and improve its governance.</w:t>
            </w:r>
          </w:p>
        </w:tc>
      </w:tr>
    </w:tbl>
    <w:p w14:paraId="03ADDF1A"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4054933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lang w:val="vi-VN"/>
          <w14:ligatures w14:val="none"/>
        </w:rPr>
        <w:t>T</w:t>
      </w:r>
      <w:r w:rsidRPr="00B12F9F">
        <w:rPr>
          <w:rFonts w:ascii="Arial" w:eastAsia="Calibri" w:hAnsi="Arial" w:cs="Arial"/>
          <w:kern w:val="0"/>
          <w:sz w:val="20"/>
          <w:szCs w:val="22"/>
          <w14:ligatures w14:val="none"/>
        </w:rPr>
        <w:t>he SWOT analysis and TOWS matrix have provided a clear and sophisticated picture of the key drivers and barriers affecting the FDI relationship between Bangladesh and ASEAN. Internal strengths, such as historical ties and complementary economic structures, lay a solid foundation for deeper cooperation. However, weaknesses, particularly the lack of a formal institutional framework and regulatory hurdles, remain significant obstacles that must be addressed. External opportunities, including the restructuring of global supply chains and the growth of the digital economy, offer a favorable environment for FDI growth. Conversely, threats such as geopolitical tensions and climate change necessitate a proactive and flexible risk management strategy.</w:t>
      </w:r>
    </w:p>
    <w:p w14:paraId="3785F3E9" w14:textId="7633ED08" w:rsidR="007A2FDC" w:rsidRDefault="00BA6701" w:rsidP="008103CE">
      <w:pPr>
        <w:spacing w:after="60" w:line="276" w:lineRule="auto"/>
        <w:jc w:val="both"/>
        <w:rPr>
          <w:rFonts w:ascii="Arial" w:eastAsia="Calibri" w:hAnsi="Arial" w:cs="Arial"/>
          <w:kern w:val="0"/>
          <w:sz w:val="20"/>
          <w:szCs w:val="22"/>
          <w14:ligatures w14:val="none"/>
        </w:rPr>
      </w:pPr>
      <w:r w:rsidRPr="00BA6701">
        <w:rPr>
          <w:rFonts w:ascii="Arial" w:eastAsia="Calibri" w:hAnsi="Arial" w:cs="Arial"/>
          <w:kern w:val="0"/>
          <w:sz w:val="20"/>
          <w:szCs w:val="22"/>
          <w14:ligatures w14:val="none"/>
        </w:rPr>
        <w:t xml:space="preserve">The TOWS matrix proposes a diverse set of strategies, ranging from leveraging strengths to exploit opportunities (SO strategies) to utilizing opportunities to overcome weaknesses (WO strategies). If implemented effectively, these strategies can help Bangladesh and ASEAN transform the current asymmetrical FDI pattern into a more balanced strategic partnership that supports economic growth, regional integration, and sustainable development. Nevertheless, the success of these strategies will </w:t>
      </w:r>
      <w:r w:rsidRPr="00BA6701">
        <w:rPr>
          <w:rFonts w:ascii="Arial" w:eastAsia="Calibri" w:hAnsi="Arial" w:cs="Arial"/>
          <w:kern w:val="0"/>
          <w:sz w:val="20"/>
          <w:szCs w:val="22"/>
          <w14:ligatures w14:val="none"/>
        </w:rPr>
        <w:lastRenderedPageBreak/>
        <w:t>depend on strong political commitment, close institutional coordination, and continued improvement in the investment climate.</w:t>
      </w:r>
    </w:p>
    <w:p w14:paraId="5F74B683" w14:textId="1E5124D0" w:rsidR="00BA6701" w:rsidRPr="00531269" w:rsidRDefault="007A2FDC" w:rsidP="008103CE">
      <w:pPr>
        <w:spacing w:after="60" w:line="276" w:lineRule="auto"/>
        <w:jc w:val="both"/>
        <w:rPr>
          <w:rFonts w:ascii="Arial" w:eastAsia="Calibri" w:hAnsi="Arial" w:cs="Arial"/>
          <w:kern w:val="0"/>
          <w:sz w:val="20"/>
          <w:szCs w:val="22"/>
          <w14:ligatures w14:val="none"/>
        </w:rPr>
      </w:pPr>
      <w:r w:rsidRPr="007A2FDC">
        <w:rPr>
          <w:rFonts w:ascii="Arial" w:eastAsia="Calibri" w:hAnsi="Arial" w:cs="Arial"/>
          <w:kern w:val="0"/>
          <w:sz w:val="20"/>
          <w:szCs w:val="22"/>
          <w14:ligatures w14:val="none"/>
        </w:rPr>
        <w:t xml:space="preserve">Taken together, these findings provide explicit answers to the research questions raised in the introduction. First, the Bangladesh–ASEAN corridor is characterized by a persistent asymmetry in which ASEAN investment into Bangladesh far exceeds Bangladesh’s outward investment to ASEAN. Second, the main drivers of FDI are market opportunities, </w:t>
      </w:r>
      <w:proofErr w:type="spellStart"/>
      <w:r w:rsidRPr="007A2FDC">
        <w:rPr>
          <w:rFonts w:ascii="Arial" w:eastAsia="Calibri" w:hAnsi="Arial" w:cs="Arial"/>
          <w:kern w:val="0"/>
          <w:sz w:val="20"/>
          <w:szCs w:val="22"/>
          <w14:ligatures w14:val="none"/>
        </w:rPr>
        <w:t>labor</w:t>
      </w:r>
      <w:proofErr w:type="spellEnd"/>
      <w:r w:rsidRPr="007A2FDC">
        <w:rPr>
          <w:rFonts w:ascii="Arial" w:eastAsia="Calibri" w:hAnsi="Arial" w:cs="Arial"/>
          <w:kern w:val="0"/>
          <w:sz w:val="20"/>
          <w:szCs w:val="22"/>
          <w14:ligatures w14:val="none"/>
        </w:rPr>
        <w:t>-cost advantages, sectoral complementarities, and regional supply-chain restructuring, whereas the principal constraints include regulatory complexity, infrastructure gaps, and the absence of stronger institutional investment arrangements. Third, the results broadly converge with earlier studies emphasizing the roles of openness, governance, infrastructure, and absorptive capacity in shaping FDI patterns (</w:t>
      </w:r>
      <w:proofErr w:type="spellStart"/>
      <w:r w:rsidRPr="007A2FDC">
        <w:rPr>
          <w:rFonts w:ascii="Arial" w:eastAsia="Calibri" w:hAnsi="Arial" w:cs="Arial"/>
          <w:kern w:val="0"/>
          <w:sz w:val="20"/>
          <w:szCs w:val="22"/>
          <w14:ligatures w14:val="none"/>
        </w:rPr>
        <w:t>Asiedu</w:t>
      </w:r>
      <w:proofErr w:type="spellEnd"/>
      <w:r w:rsidRPr="007A2FDC">
        <w:rPr>
          <w:rFonts w:ascii="Arial" w:eastAsia="Calibri" w:hAnsi="Arial" w:cs="Arial"/>
          <w:kern w:val="0"/>
          <w:sz w:val="20"/>
          <w:szCs w:val="22"/>
          <w14:ligatures w14:val="none"/>
        </w:rPr>
        <w:t xml:space="preserve">, 2002; </w:t>
      </w:r>
      <w:proofErr w:type="spellStart"/>
      <w:r w:rsidRPr="007A2FDC">
        <w:rPr>
          <w:rFonts w:ascii="Arial" w:eastAsia="Calibri" w:hAnsi="Arial" w:cs="Arial"/>
          <w:kern w:val="0"/>
          <w:sz w:val="20"/>
          <w:szCs w:val="22"/>
          <w14:ligatures w14:val="none"/>
        </w:rPr>
        <w:t>Globerman</w:t>
      </w:r>
      <w:proofErr w:type="spellEnd"/>
      <w:r w:rsidRPr="007A2FDC">
        <w:rPr>
          <w:rFonts w:ascii="Arial" w:eastAsia="Calibri" w:hAnsi="Arial" w:cs="Arial"/>
          <w:kern w:val="0"/>
          <w:sz w:val="20"/>
          <w:szCs w:val="22"/>
          <w14:ligatures w14:val="none"/>
        </w:rPr>
        <w:t xml:space="preserve"> &amp; Shapiro, 2002; </w:t>
      </w:r>
      <w:proofErr w:type="spellStart"/>
      <w:r w:rsidRPr="007A2FDC">
        <w:rPr>
          <w:rFonts w:ascii="Arial" w:eastAsia="Calibri" w:hAnsi="Arial" w:cs="Arial"/>
          <w:kern w:val="0"/>
          <w:sz w:val="20"/>
          <w:szCs w:val="22"/>
          <w14:ligatures w14:val="none"/>
        </w:rPr>
        <w:t>Javorcik</w:t>
      </w:r>
      <w:proofErr w:type="spellEnd"/>
      <w:r w:rsidRPr="007A2FDC">
        <w:rPr>
          <w:rFonts w:ascii="Arial" w:eastAsia="Calibri" w:hAnsi="Arial" w:cs="Arial"/>
          <w:kern w:val="0"/>
          <w:sz w:val="20"/>
          <w:szCs w:val="22"/>
          <w14:ligatures w14:val="none"/>
        </w:rPr>
        <w:t>, 2004), while also highlighting the distinctive corridor-specific importance of logistics, garments, and emerging digital cooperation in the Bangladesh–ASEAN case. Theoretically, the study shows the continuing relevance of OLI, Internalization Theory, and the Product Life Cycle approach for interpreting two-way FDI; practically, it underlines the need for stronger facilitation, transparency, and preventive institutional mechanisms to reduce investment risk and governance vulnerabilities.</w:t>
      </w:r>
    </w:p>
    <w:p w14:paraId="488C39DB"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lang w:val="vi-VN"/>
          <w14:ligatures w14:val="none"/>
        </w:rPr>
        <w:t xml:space="preserve">5. </w:t>
      </w:r>
      <w:r w:rsidRPr="00B12F9F">
        <w:rPr>
          <w:rFonts w:ascii="Arial" w:eastAsia="Calibri" w:hAnsi="Arial" w:cs="Arial"/>
          <w:b/>
          <w:kern w:val="0"/>
          <w:sz w:val="20"/>
          <w:szCs w:val="22"/>
          <w14:ligatures w14:val="none"/>
        </w:rPr>
        <w:t xml:space="preserve">CONCLUSION </w:t>
      </w:r>
      <w:r w:rsidRPr="00B12F9F">
        <w:rPr>
          <w:rFonts w:ascii="Arial" w:eastAsia="Calibri" w:hAnsi="Arial" w:cs="Arial"/>
          <w:b/>
          <w:bCs/>
          <w:kern w:val="0"/>
          <w:sz w:val="20"/>
          <w:szCs w:val="22"/>
          <w14:ligatures w14:val="none"/>
        </w:rPr>
        <w:t xml:space="preserve">AND RECOMMENDATIONS </w:t>
      </w:r>
    </w:p>
    <w:p w14:paraId="46944FB0"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 xml:space="preserve">5.1 Conclusion </w:t>
      </w:r>
    </w:p>
    <w:p w14:paraId="42C1F791"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study has provided a comprehensive overview of the FDI landscape between Bangladesh and ASEAN, an evolving economic relationship with significant untapped potential. The analysis has illuminated a notable asymmetry in investment flows, with FDI from ASEAN into Bangladesh substantially outweighing the reverse flow. This asymmetry reflects not only differences in economic scale and capacity but also the outcome of policy, institutional, and investment strategy factors. FDI from Bangladesh into ASEAN, though modest, shows a clear strategic trend, focusing on supporting the garment industry value chain through investments in logistics, distribution, and IT services. Conversely, FDI from ASEAN, dominated by Malaysia and Singapore, has played a crucial role in building Bangladesh's foundational sectors such as telecommunications, energy, and infrastructure.</w:t>
      </w:r>
    </w:p>
    <w:p w14:paraId="0BB49F50" w14:textId="77777777" w:rsidR="00BA6701" w:rsidRDefault="00BA6701" w:rsidP="008103CE">
      <w:pPr>
        <w:spacing w:after="60" w:line="276" w:lineRule="auto"/>
        <w:jc w:val="both"/>
        <w:rPr>
          <w:rFonts w:ascii="Arial" w:eastAsia="Calibri" w:hAnsi="Arial" w:cs="Arial"/>
          <w:kern w:val="0"/>
          <w:sz w:val="20"/>
          <w:szCs w:val="22"/>
          <w14:ligatures w14:val="none"/>
        </w:rPr>
      </w:pPr>
      <w:r w:rsidRPr="00BA6701">
        <w:rPr>
          <w:rFonts w:ascii="Arial" w:eastAsia="Calibri" w:hAnsi="Arial" w:cs="Arial"/>
          <w:kern w:val="0"/>
          <w:sz w:val="20"/>
          <w:szCs w:val="22"/>
          <w14:ligatures w14:val="none"/>
        </w:rPr>
        <w:t xml:space="preserve">The SWOT-TOWS analysis offered a strategic framework for evaluating the internal and external factors influencing this relationship. Strengths, such as historical ties and complementary economic structures, create a solid foundation for deeper cooperation. However, weaknesses, particularly the lack of a formal institutional framework and regulatory hurdles, remain significant obstacles. External opportunities, including the restructuring of global supply chains and the development of the digital economy, provide a </w:t>
      </w:r>
      <w:proofErr w:type="spellStart"/>
      <w:r w:rsidRPr="00BA6701">
        <w:rPr>
          <w:rFonts w:ascii="Arial" w:eastAsia="Calibri" w:hAnsi="Arial" w:cs="Arial"/>
          <w:kern w:val="0"/>
          <w:sz w:val="20"/>
          <w:szCs w:val="22"/>
          <w14:ligatures w14:val="none"/>
        </w:rPr>
        <w:t>favorable</w:t>
      </w:r>
      <w:proofErr w:type="spellEnd"/>
      <w:r w:rsidRPr="00BA6701">
        <w:rPr>
          <w:rFonts w:ascii="Arial" w:eastAsia="Calibri" w:hAnsi="Arial" w:cs="Arial"/>
          <w:kern w:val="0"/>
          <w:sz w:val="20"/>
          <w:szCs w:val="22"/>
          <w14:ligatures w14:val="none"/>
        </w:rPr>
        <w:t xml:space="preserve"> environment for FDI growth. Conversely, challenges such as geopolitical tensions and climate change necessitate a proactive and flexible risk management strategy. Overall, the study contributes to the literature by bringing together theoretical interpretation, updated bilateral evidence, and strategic policy analysis for a corridor that remains underrepresented in FDI scholarship. At the same time, because the present article relies mainly on qualitative synthesis and descriptive evidence, future studies should complement these findings with quantitative estimation in order to assess the relative importance of market size, governance quality, trade openness, infrastructure, and sector-specific drivers across Bangladesh and ASEAN economies.</w:t>
      </w:r>
    </w:p>
    <w:p w14:paraId="004BD6C2" w14:textId="5EE90447" w:rsidR="00AD3485" w:rsidRPr="00B12F9F" w:rsidRDefault="00AD3485" w:rsidP="008103CE">
      <w:pPr>
        <w:spacing w:after="60" w:line="276" w:lineRule="auto"/>
        <w:jc w:val="both"/>
        <w:rPr>
          <w:rFonts w:ascii="Arial" w:eastAsia="Calibri" w:hAnsi="Arial" w:cs="Arial"/>
          <w:kern w:val="0"/>
          <w:sz w:val="20"/>
          <w:szCs w:val="22"/>
          <w14:ligatures w14:val="none"/>
        </w:rPr>
      </w:pPr>
      <w:r w:rsidRPr="00AD3485">
        <w:rPr>
          <w:rFonts w:ascii="Arial" w:eastAsia="Calibri" w:hAnsi="Arial" w:cs="Arial"/>
          <w:kern w:val="0"/>
          <w:sz w:val="20"/>
          <w:szCs w:val="22"/>
          <w14:ligatures w14:val="none"/>
        </w:rPr>
        <w:t>Overall, the study contributes to the literature by bringing together theoretical interpretation, updated bilateral evidence, and strategic policy analysis for a corridor that remains underrepresented in FDI scholarship. At the same time, because the present article relies mainly on qualitative synthesis and descriptive evidence, future studies should complement these findings with quantitative estimation in order to measure the relative importance of market size, governance quality, trade openness, infrastructure, and sector-specific drivers across Bangladesh and ASEAN economies.</w:t>
      </w:r>
    </w:p>
    <w:p w14:paraId="7EFAF05F" w14:textId="77777777" w:rsidR="008103CE" w:rsidRPr="00B12F9F" w:rsidRDefault="008103CE" w:rsidP="008103CE">
      <w:pPr>
        <w:spacing w:after="60" w:line="276" w:lineRule="auto"/>
        <w:jc w:val="both"/>
        <w:rPr>
          <w:rFonts w:ascii="Arial" w:eastAsia="Calibri" w:hAnsi="Arial" w:cs="Arial"/>
          <w:b/>
          <w:i/>
          <w:iCs/>
          <w:kern w:val="0"/>
          <w:sz w:val="20"/>
          <w:szCs w:val="22"/>
          <w14:ligatures w14:val="none"/>
        </w:rPr>
      </w:pPr>
      <w:r w:rsidRPr="00B12F9F">
        <w:rPr>
          <w:rFonts w:ascii="Arial" w:eastAsia="Calibri" w:hAnsi="Arial" w:cs="Arial"/>
          <w:b/>
          <w:bCs/>
          <w:i/>
          <w:iCs/>
          <w:kern w:val="0"/>
          <w:sz w:val="20"/>
          <w:szCs w:val="22"/>
          <w14:ligatures w14:val="none"/>
        </w:rPr>
        <w:t xml:space="preserve">5.2 Recommendations </w:t>
      </w:r>
    </w:p>
    <w:p w14:paraId="7BE470AF"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lang w:val="vi-VN"/>
          <w14:ligatures w14:val="none"/>
        </w:rPr>
        <w:lastRenderedPageBreak/>
        <w:t>T</w:t>
      </w:r>
      <w:r w:rsidRPr="00B12F9F">
        <w:rPr>
          <w:rFonts w:ascii="Arial" w:eastAsia="Calibri" w:hAnsi="Arial" w:cs="Arial"/>
          <w:kern w:val="0"/>
          <w:sz w:val="20"/>
          <w:szCs w:val="22"/>
          <w14:ligatures w14:val="none"/>
        </w:rPr>
        <w:t>o fully exploit the potential of the Bangladesh-ASEAN FDI relationship, this study offers several strategic recommendations for policymakers and businesses.</w:t>
      </w:r>
    </w:p>
    <w:p w14:paraId="05C3D34D" w14:textId="77777777" w:rsidR="008103CE"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Recommendations for Policymakers:</w:t>
      </w:r>
    </w:p>
    <w:p w14:paraId="71394705" w14:textId="1712CFF9" w:rsidR="009510F2" w:rsidRPr="00531269" w:rsidRDefault="009510F2" w:rsidP="008103CE">
      <w:pPr>
        <w:spacing w:after="60" w:line="276" w:lineRule="auto"/>
        <w:jc w:val="both"/>
        <w:rPr>
          <w:rFonts w:ascii="Arial" w:eastAsia="Calibri" w:hAnsi="Arial" w:cs="Arial"/>
          <w:kern w:val="0"/>
          <w:sz w:val="20"/>
          <w:szCs w:val="22"/>
          <w14:ligatures w14:val="none"/>
        </w:rPr>
      </w:pPr>
      <w:r w:rsidRPr="009510F2">
        <w:rPr>
          <w:rFonts w:ascii="Arial" w:eastAsia="Calibri" w:hAnsi="Arial" w:cs="Arial"/>
          <w:kern w:val="0"/>
          <w:sz w:val="20"/>
          <w:szCs w:val="22"/>
          <w14:ligatures w14:val="none"/>
        </w:rPr>
        <w:t>Negotiate trade and investment Agreements: Negotiating a comprehensive FTA and BIT with ASEAN is a crucial step to create a more predictable and stable investment environment, minimizing risks and enhancing investor confidence (UNCTAD, 2024).</w:t>
      </w:r>
    </w:p>
    <w:p w14:paraId="4957C374" w14:textId="77777777" w:rsidR="00BA6701" w:rsidRPr="00BA6701" w:rsidRDefault="00BA6701" w:rsidP="00BA6701">
      <w:pPr>
        <w:numPr>
          <w:ilvl w:val="0"/>
          <w:numId w:val="3"/>
        </w:numPr>
        <w:tabs>
          <w:tab w:val="num" w:pos="720"/>
        </w:tabs>
        <w:spacing w:after="60" w:line="276" w:lineRule="auto"/>
        <w:jc w:val="both"/>
        <w:rPr>
          <w:rFonts w:ascii="Arial" w:eastAsia="Calibri" w:hAnsi="Arial" w:cs="Arial"/>
          <w:i/>
          <w:iCs/>
          <w:kern w:val="0"/>
          <w:sz w:val="20"/>
          <w:szCs w:val="22"/>
          <w14:ligatures w14:val="none"/>
        </w:rPr>
      </w:pPr>
      <w:r w:rsidRPr="00BA6701">
        <w:rPr>
          <w:rFonts w:ascii="Arial" w:eastAsia="Calibri" w:hAnsi="Arial" w:cs="Arial"/>
          <w:i/>
          <w:iCs/>
          <w:kern w:val="0"/>
          <w:sz w:val="20"/>
          <w:szCs w:val="22"/>
          <w14:ligatures w14:val="none"/>
        </w:rPr>
        <w:t xml:space="preserve">Negotiate trade and investment agreements: </w:t>
      </w:r>
      <w:r w:rsidRPr="00531269">
        <w:rPr>
          <w:rFonts w:ascii="Arial" w:eastAsia="Calibri" w:hAnsi="Arial" w:cs="Arial"/>
          <w:kern w:val="0"/>
          <w:sz w:val="20"/>
          <w:szCs w:val="22"/>
          <w14:ligatures w14:val="none"/>
        </w:rPr>
        <w:t>Negotiating a comprehensive FTA and BIT with ASEAN is a crucial step toward creating a more predictable and stable investment environment, minimizing risks, and enhancing investor confidence (UNCTAD, 2024; ASEAN Secretariat, 2024).</w:t>
      </w:r>
    </w:p>
    <w:p w14:paraId="1436CDCB"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Reform the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 xml:space="preserve">nvestment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limate:</w:t>
      </w:r>
      <w:r w:rsidRPr="00B12F9F">
        <w:rPr>
          <w:rFonts w:ascii="Arial" w:eastAsia="Calibri" w:hAnsi="Arial" w:cs="Arial"/>
          <w:kern w:val="0"/>
          <w:sz w:val="20"/>
          <w:szCs w:val="22"/>
          <w14:ligatures w14:val="none"/>
        </w:rPr>
        <w:t> Continuous reform of the investment climate is necessary, including simplifying administrative procedures, improving transparency, and protecting intellectual property rights. Developing SEZs can also help attract FDI and promote export-oriented industries (ADB, 2023).</w:t>
      </w:r>
    </w:p>
    <w:p w14:paraId="1581B18D"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Invest in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nfrastructure:</w:t>
      </w:r>
      <w:r w:rsidRPr="00B12F9F">
        <w:rPr>
          <w:rFonts w:ascii="Arial" w:eastAsia="Calibri" w:hAnsi="Arial" w:cs="Arial"/>
          <w:kern w:val="0"/>
          <w:sz w:val="20"/>
          <w:szCs w:val="22"/>
          <w14:ligatures w14:val="none"/>
        </w:rPr>
        <w:t> Investment in infrastructure, particularly in the areas of transport, energy, and digital connectivity, is a prerequisite for reducing the cost of doing business and increasing Bangladesh's attractiveness for FDI (World Bank, 2023).</w:t>
      </w:r>
    </w:p>
    <w:p w14:paraId="2B8528AB"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Promote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 xml:space="preserve">ectoral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ooperation:</w:t>
      </w:r>
      <w:r w:rsidRPr="00B12F9F">
        <w:rPr>
          <w:rFonts w:ascii="Arial" w:eastAsia="Calibri" w:hAnsi="Arial" w:cs="Arial"/>
          <w:kern w:val="0"/>
          <w:sz w:val="20"/>
          <w:szCs w:val="22"/>
          <w14:ligatures w14:val="none"/>
        </w:rPr>
        <w:t> Sectoral cooperation should be promoted in high-potential areas such as textiles and garments, IT, and renewable energy, to create more integrated and efficient value chains.</w:t>
      </w:r>
    </w:p>
    <w:p w14:paraId="2E75F5AC"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Recommendations for Businesses:</w:t>
      </w:r>
    </w:p>
    <w:p w14:paraId="7E5EA13F"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Thorough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nalysis:</w:t>
      </w:r>
      <w:r w:rsidRPr="00B12F9F">
        <w:rPr>
          <w:rFonts w:ascii="Arial" w:eastAsia="Calibri" w:hAnsi="Arial" w:cs="Arial"/>
          <w:kern w:val="0"/>
          <w:sz w:val="20"/>
          <w:szCs w:val="22"/>
          <w14:ligatures w14:val="none"/>
        </w:rPr>
        <w:t> Businesses must conduct a thorough analysis of the opportunities and risks of FDI within the Bangladesh-ASEAN corridor and develop a clear and well-defined investment strategy.</w:t>
      </w:r>
    </w:p>
    <w:p w14:paraId="0F5CDEF5"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Build </w:t>
      </w:r>
      <w:r w:rsidRPr="00B12F9F">
        <w:rPr>
          <w:rFonts w:ascii="Arial" w:eastAsia="Calibri" w:hAnsi="Arial" w:cs="Arial"/>
          <w:i/>
          <w:iCs/>
          <w:kern w:val="0"/>
          <w:sz w:val="20"/>
          <w:szCs w:val="22"/>
          <w:lang w:val="vi-VN"/>
          <w14:ligatures w14:val="none"/>
        </w:rPr>
        <w:t>p</w:t>
      </w:r>
      <w:r w:rsidRPr="00B12F9F">
        <w:rPr>
          <w:rFonts w:ascii="Arial" w:eastAsia="Calibri" w:hAnsi="Arial" w:cs="Arial"/>
          <w:i/>
          <w:iCs/>
          <w:kern w:val="0"/>
          <w:sz w:val="20"/>
          <w:szCs w:val="22"/>
          <w14:ligatures w14:val="none"/>
        </w:rPr>
        <w:t>artnerships:</w:t>
      </w:r>
      <w:r w:rsidRPr="00B12F9F">
        <w:rPr>
          <w:rFonts w:ascii="Arial" w:eastAsia="Calibri" w:hAnsi="Arial" w:cs="Arial"/>
          <w:kern w:val="0"/>
          <w:sz w:val="20"/>
          <w:szCs w:val="22"/>
          <w14:ligatures w14:val="none"/>
        </w:rPr>
        <w:t> Building strong relationships with local partners and stakeholders, and investing in understanding local culture and business practices, are key factors for success in the new business environment.</w:t>
      </w:r>
    </w:p>
    <w:p w14:paraId="78E21439"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Focus on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nnovation:</w:t>
      </w:r>
      <w:r w:rsidRPr="00B12F9F">
        <w:rPr>
          <w:rFonts w:ascii="Arial" w:eastAsia="Calibri" w:hAnsi="Arial" w:cs="Arial"/>
          <w:kern w:val="0"/>
          <w:sz w:val="20"/>
          <w:szCs w:val="22"/>
          <w14:ligatures w14:val="none"/>
        </w:rPr>
        <w:t> Businesses need to focus on building a strong brand, a reputation for quality and reliability, and investing in technology and innovation to stay ahead of the competition.</w:t>
      </w:r>
    </w:p>
    <w:p w14:paraId="142EC9E4" w14:textId="280C8A8E" w:rsidR="008103CE"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Prepare for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daptation:</w:t>
      </w:r>
      <w:r w:rsidRPr="00B12F9F">
        <w:rPr>
          <w:rFonts w:ascii="Arial" w:eastAsia="Calibri" w:hAnsi="Arial" w:cs="Arial"/>
          <w:kern w:val="0"/>
          <w:sz w:val="20"/>
          <w:szCs w:val="22"/>
          <w14:ligatures w14:val="none"/>
        </w:rPr>
        <w:t> It is necessary to prepare for adaptation to the changing economic and political landscape in the region and to build flexible strategies to cope with risks and capitalize on new opportunities.</w:t>
      </w:r>
    </w:p>
    <w:p w14:paraId="4BFEFEF3" w14:textId="77777777" w:rsidR="00531269" w:rsidRPr="00B12F9F" w:rsidRDefault="00531269" w:rsidP="00531269">
      <w:pPr>
        <w:pStyle w:val="Author"/>
        <w:rPr>
          <w:rFonts w:ascii="Arial" w:hAnsi="Arial" w:cs="Arial"/>
          <w:i/>
          <w:iCs/>
          <w:sz w:val="20"/>
          <w:szCs w:val="15"/>
        </w:rPr>
      </w:pPr>
      <w:r w:rsidRPr="00B12F9F">
        <w:rPr>
          <w:rFonts w:ascii="Arial" w:hAnsi="Arial" w:cs="Arial"/>
          <w:i/>
          <w:iCs/>
          <w:sz w:val="20"/>
          <w:szCs w:val="15"/>
        </w:rPr>
        <w:t>Authors’ contributions</w:t>
      </w:r>
    </w:p>
    <w:p w14:paraId="108787A6" w14:textId="77777777" w:rsidR="00531269" w:rsidRPr="00B12F9F" w:rsidRDefault="00531269" w:rsidP="00531269">
      <w:pPr>
        <w:pStyle w:val="Author"/>
        <w:rPr>
          <w:rFonts w:ascii="Arial" w:hAnsi="Arial" w:cs="Arial"/>
          <w:b w:val="0"/>
          <w:bCs/>
          <w:i/>
          <w:iCs/>
          <w:sz w:val="20"/>
          <w:szCs w:val="15"/>
        </w:rPr>
      </w:pPr>
      <w:r w:rsidRPr="00B12F9F">
        <w:rPr>
          <w:rFonts w:ascii="Arial" w:hAnsi="Arial" w:cs="Arial"/>
          <w:b w:val="0"/>
          <w:bCs/>
          <w:i/>
          <w:iCs/>
          <w:sz w:val="20"/>
          <w:szCs w:val="15"/>
        </w:rPr>
        <w:t>This work was carried out in collaboration among all authors. All authors read and approved the final manuscript.</w:t>
      </w:r>
    </w:p>
    <w:p w14:paraId="3A6B96D7" w14:textId="77777777" w:rsidR="00531269" w:rsidRPr="00B12F9F" w:rsidRDefault="00531269" w:rsidP="00531269">
      <w:pPr>
        <w:pStyle w:val="Author"/>
        <w:rPr>
          <w:rFonts w:ascii="Arial" w:hAnsi="Arial" w:cs="Arial"/>
          <w:b w:val="0"/>
          <w:bCs/>
          <w:i/>
          <w:iCs/>
          <w:sz w:val="20"/>
          <w:szCs w:val="15"/>
          <w:lang w:val="vi-VN"/>
        </w:rPr>
      </w:pPr>
    </w:p>
    <w:p w14:paraId="4C867E09" w14:textId="77777777" w:rsidR="00531269" w:rsidRPr="00B12F9F" w:rsidRDefault="00531269" w:rsidP="00531269">
      <w:pPr>
        <w:pStyle w:val="Author"/>
        <w:rPr>
          <w:rFonts w:ascii="Arial" w:hAnsi="Arial" w:cs="Arial"/>
          <w:i/>
          <w:iCs/>
          <w:sz w:val="20"/>
          <w:szCs w:val="15"/>
        </w:rPr>
      </w:pPr>
      <w:r w:rsidRPr="00B12F9F">
        <w:rPr>
          <w:rFonts w:ascii="Arial" w:hAnsi="Arial" w:cs="Arial"/>
          <w:bCs/>
          <w:i/>
          <w:iCs/>
          <w:sz w:val="20"/>
          <w:szCs w:val="15"/>
        </w:rPr>
        <w:t xml:space="preserve">Acknowledgments </w:t>
      </w:r>
    </w:p>
    <w:p w14:paraId="5E9E077E" w14:textId="77777777" w:rsidR="00531269" w:rsidRPr="00B12F9F" w:rsidRDefault="00531269" w:rsidP="00531269">
      <w:pPr>
        <w:pStyle w:val="Author"/>
        <w:rPr>
          <w:rFonts w:ascii="Arial" w:hAnsi="Arial" w:cs="Arial"/>
          <w:b w:val="0"/>
          <w:bCs/>
          <w:i/>
          <w:iCs/>
          <w:sz w:val="20"/>
          <w:szCs w:val="15"/>
          <w:lang w:val="vi-VN"/>
        </w:rPr>
      </w:pPr>
      <w:r w:rsidRPr="00B12F9F">
        <w:rPr>
          <w:rFonts w:ascii="Arial" w:hAnsi="Arial" w:cs="Arial"/>
          <w:b w:val="0"/>
          <w:bCs/>
          <w:i/>
          <w:iCs/>
          <w:sz w:val="20"/>
          <w:szCs w:val="15"/>
          <w:lang w:val="vi-VN"/>
        </w:rPr>
        <w:t>This research paper is an output of the Ministry-level Science and Technology Project (2025–2026) of the Vietnam Academy of Social Sciences, entitled “Economic Cooperation between Selected South Asian and Southeast Asian Countries since 2015” (Code: KHXH/NV/2025-115), chaired by Assoc. Prof. Dr. Dang Thu Thuy (Thuy T.Dang)</w:t>
      </w:r>
    </w:p>
    <w:p w14:paraId="6F926003" w14:textId="77777777" w:rsidR="00531269" w:rsidRPr="00B12F9F" w:rsidRDefault="00531269" w:rsidP="00531269">
      <w:pPr>
        <w:pStyle w:val="Author"/>
        <w:pBdr>
          <w:bottom w:val="single" w:sz="6" w:space="1" w:color="auto"/>
        </w:pBdr>
        <w:spacing w:line="240" w:lineRule="auto"/>
        <w:rPr>
          <w:rFonts w:ascii="Arial" w:hAnsi="Arial" w:cs="Arial"/>
          <w:b w:val="0"/>
          <w:bCs/>
          <w:i/>
          <w:iCs/>
          <w:sz w:val="20"/>
          <w:szCs w:val="15"/>
          <w:lang w:val="vi-VN"/>
        </w:rPr>
      </w:pPr>
    </w:p>
    <w:p w14:paraId="042C3125" w14:textId="77777777" w:rsidR="00531269" w:rsidRPr="00B12F9F" w:rsidRDefault="00531269" w:rsidP="00531269">
      <w:pPr>
        <w:spacing w:after="60" w:line="276" w:lineRule="auto"/>
        <w:ind w:left="360"/>
        <w:jc w:val="both"/>
        <w:rPr>
          <w:rFonts w:ascii="Arial" w:eastAsia="Calibri" w:hAnsi="Arial" w:cs="Arial"/>
          <w:kern w:val="0"/>
          <w:sz w:val="20"/>
          <w:szCs w:val="22"/>
          <w14:ligatures w14:val="none"/>
        </w:rPr>
      </w:pPr>
    </w:p>
    <w:p w14:paraId="6203FAF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ab/>
      </w:r>
    </w:p>
    <w:p w14:paraId="4DC05024" w14:textId="77777777" w:rsidR="00343EA0" w:rsidRPr="00B12F9F" w:rsidRDefault="00343EA0" w:rsidP="00343EA0">
      <w:pPr>
        <w:spacing w:after="60" w:line="276" w:lineRule="auto"/>
        <w:jc w:val="both"/>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6.</w:t>
      </w:r>
      <w:r w:rsidRPr="00B12F9F">
        <w:rPr>
          <w:rFonts w:ascii="Arial" w:eastAsia="Calibri" w:hAnsi="Arial" w:cs="Arial"/>
          <w:b/>
          <w:kern w:val="0"/>
          <w:sz w:val="20"/>
          <w:szCs w:val="22"/>
          <w:lang w:val="vi-VN"/>
          <w14:ligatures w14:val="none"/>
        </w:rPr>
        <w:t xml:space="preserve"> </w:t>
      </w:r>
      <w:r w:rsidRPr="00B12F9F">
        <w:rPr>
          <w:rFonts w:ascii="Arial" w:eastAsia="Calibri" w:hAnsi="Arial" w:cs="Arial"/>
          <w:b/>
          <w:kern w:val="0"/>
          <w:sz w:val="20"/>
          <w:szCs w:val="22"/>
          <w14:ligatures w14:val="none"/>
        </w:rPr>
        <w:t xml:space="preserve">REFERENCES </w:t>
      </w:r>
    </w:p>
    <w:p w14:paraId="65CF5090" w14:textId="77777777" w:rsidR="00343EA0" w:rsidRPr="00531269" w:rsidRDefault="00343EA0" w:rsidP="00531269">
      <w:pPr>
        <w:pStyle w:val="ListParagraph"/>
        <w:numPr>
          <w:ilvl w:val="0"/>
          <w:numId w:val="5"/>
        </w:numPr>
        <w:spacing w:after="60"/>
        <w:ind w:left="714" w:hanging="357"/>
        <w:contextualSpacing w:val="0"/>
        <w:jc w:val="both"/>
        <w:rPr>
          <w:rStyle w:val="Hyperlink"/>
          <w:rFonts w:ascii="Arial" w:eastAsia="Calibri" w:hAnsi="Arial" w:cs="Arial"/>
          <w:color w:val="auto"/>
          <w:kern w:val="0"/>
          <w:sz w:val="20"/>
          <w:szCs w:val="22"/>
          <w:u w:val="none"/>
          <w14:ligatures w14:val="none"/>
        </w:rPr>
      </w:pPr>
      <w:r w:rsidRPr="00B12F9F">
        <w:rPr>
          <w:rFonts w:ascii="Arial" w:eastAsia="Calibri" w:hAnsi="Arial" w:cs="Arial"/>
          <w:kern w:val="0"/>
          <w:sz w:val="20"/>
          <w:szCs w:val="22"/>
          <w14:ligatures w14:val="none"/>
        </w:rPr>
        <w:lastRenderedPageBreak/>
        <w:t xml:space="preserve">Asian Development Bank (ADB). (2023). Asian Development Outlook (ADO) April 2023: Southeast Asia. </w:t>
      </w:r>
      <w:hyperlink r:id="rId8" w:tgtFrame="_blank" w:history="1">
        <w:r w:rsidRPr="00B12F9F">
          <w:rPr>
            <w:rStyle w:val="Hyperlink"/>
            <w:rFonts w:ascii="Arial" w:eastAsia="Calibri" w:hAnsi="Arial" w:cs="Arial"/>
            <w:kern w:val="0"/>
            <w:sz w:val="20"/>
            <w:szCs w:val="22"/>
            <w14:ligatures w14:val="none"/>
          </w:rPr>
          <w:t>https://www.adb.org/sites/default/files/publication/865321/ado-april-2023-sea.pdf</w:t>
        </w:r>
      </w:hyperlink>
    </w:p>
    <w:p w14:paraId="1C2D5FD6" w14:textId="4CB14933" w:rsidR="00AD3485" w:rsidRPr="00B12F9F" w:rsidRDefault="00AD3485"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AD3485">
        <w:rPr>
          <w:rFonts w:ascii="Arial" w:eastAsia="Calibri" w:hAnsi="Arial" w:cs="Arial"/>
          <w:kern w:val="0"/>
          <w:sz w:val="20"/>
          <w:szCs w:val="22"/>
          <w14:ligatures w14:val="none"/>
        </w:rPr>
        <w:t>Asiedu, E. (2002). On the determinants of foreign direct investment to developing countries: Is Africa different? World Development, 30(1), 107-119. https://doi.org/10.1016/S0305-750X(01)00100-0</w:t>
      </w:r>
    </w:p>
    <w:p w14:paraId="5D529C32" w14:textId="77777777" w:rsidR="00343EA0" w:rsidRPr="00531269" w:rsidRDefault="00343EA0" w:rsidP="00AB2720">
      <w:pPr>
        <w:pStyle w:val="ListParagraph"/>
        <w:numPr>
          <w:ilvl w:val="0"/>
          <w:numId w:val="5"/>
        </w:numPr>
        <w:spacing w:after="60"/>
        <w:ind w:left="714" w:hanging="357"/>
        <w:contextualSpacing w:val="0"/>
        <w:jc w:val="both"/>
        <w:rPr>
          <w:rStyle w:val="Hyperlink"/>
          <w:rFonts w:ascii="Arial" w:eastAsia="Calibri" w:hAnsi="Arial" w:cs="Arial"/>
          <w:color w:val="auto"/>
          <w:kern w:val="0"/>
          <w:sz w:val="20"/>
          <w:szCs w:val="22"/>
          <w:u w:val="none"/>
          <w14:ligatures w14:val="none"/>
        </w:rPr>
      </w:pPr>
      <w:r w:rsidRPr="00B12F9F">
        <w:rPr>
          <w:rFonts w:ascii="Arial" w:eastAsia="Calibri" w:hAnsi="Arial" w:cs="Arial"/>
          <w:kern w:val="0"/>
          <w:sz w:val="20"/>
          <w:szCs w:val="22"/>
          <w14:ligatures w14:val="none"/>
        </w:rPr>
        <w:t xml:space="preserve">ASEAN Secretariat. (2023). ASEAN Investment Report 2023. </w:t>
      </w:r>
      <w:hyperlink r:id="rId9" w:tgtFrame="_blank" w:history="1">
        <w:r w:rsidRPr="00B12F9F">
          <w:rPr>
            <w:rStyle w:val="Hyperlink"/>
            <w:rFonts w:ascii="Arial" w:eastAsia="Calibri" w:hAnsi="Arial" w:cs="Arial"/>
            <w:kern w:val="0"/>
            <w:sz w:val="20"/>
            <w:szCs w:val="22"/>
            <w14:ligatures w14:val="none"/>
          </w:rPr>
          <w:t>https://asean.org/wp-content/uploads/2023/09/AIR-2023.pdf</w:t>
        </w:r>
      </w:hyperlink>
    </w:p>
    <w:p w14:paraId="0155E2E1" w14:textId="1147C140" w:rsidR="00AB2720" w:rsidRPr="00531269" w:rsidRDefault="00AB2720" w:rsidP="00531269">
      <w:pPr>
        <w:pStyle w:val="ListParagraph"/>
        <w:numPr>
          <w:ilvl w:val="0"/>
          <w:numId w:val="5"/>
        </w:numPr>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ASEAN Secretariat. (2024). ASEAN Investment Report 2024. https://asean.org/wp-content/uploads/2024/10/AIR2024-3.pdf</w:t>
      </w:r>
    </w:p>
    <w:p w14:paraId="453F1BFB" w14:textId="164EC64E" w:rsidR="00343EA0"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Bank. (2023). Annual Report 2022-23. </w:t>
      </w:r>
      <w:hyperlink r:id="rId10" w:tgtFrame="_blank" w:history="1">
        <w:r w:rsidRPr="00B12F9F">
          <w:rPr>
            <w:rStyle w:val="Hyperlink"/>
            <w:rFonts w:ascii="Arial" w:eastAsia="Calibri" w:hAnsi="Arial" w:cs="Arial"/>
            <w:kern w:val="0"/>
            <w:sz w:val="20"/>
            <w:szCs w:val="22"/>
            <w14:ligatures w14:val="none"/>
          </w:rPr>
          <w:t>https://www.bb.org.bd/pub/annual/anreport2223/index.php</w:t>
        </w:r>
      </w:hyperlink>
    </w:p>
    <w:p w14:paraId="1846F1BA" w14:textId="05E89F7A" w:rsidR="00BA6701" w:rsidRPr="00B12F9F" w:rsidRDefault="00BA6701"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Bangladesh Bank. (2024</w:t>
      </w:r>
      <w:r w:rsidR="00316DFF">
        <w:rPr>
          <w:rFonts w:ascii="Arial" w:eastAsia="Calibri" w:hAnsi="Arial" w:cs="Arial"/>
          <w:kern w:val="0"/>
          <w:sz w:val="20"/>
          <w:szCs w:val="22"/>
          <w:lang w:val="vi-VN"/>
          <w14:ligatures w14:val="none"/>
        </w:rPr>
        <w:t>a</w:t>
      </w:r>
      <w:r w:rsidRPr="00531269">
        <w:rPr>
          <w:rFonts w:ascii="Arial" w:eastAsia="Calibri" w:hAnsi="Arial" w:cs="Arial"/>
          <w:kern w:val="0"/>
          <w:sz w:val="20"/>
          <w:szCs w:val="22"/>
          <w14:ligatures w14:val="none"/>
        </w:rPr>
        <w:t>). Annual Report 2023-24. https://www.bb.org.bd/</w:t>
      </w:r>
    </w:p>
    <w:p w14:paraId="1406CBAD" w14:textId="77777777" w:rsidR="00343EA0"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Bank. (2024b). Guidelines for Foreign Exchange Transactions (GFET). </w:t>
      </w:r>
      <w:hyperlink r:id="rId11" w:tgtFrame="_blank" w:history="1">
        <w:r w:rsidRPr="00B12F9F">
          <w:rPr>
            <w:rStyle w:val="Hyperlink"/>
            <w:rFonts w:ascii="Arial" w:eastAsia="Calibri" w:hAnsi="Arial" w:cs="Arial"/>
            <w:kern w:val="0"/>
            <w:sz w:val="20"/>
            <w:szCs w:val="22"/>
            <w14:ligatures w14:val="none"/>
          </w:rPr>
          <w:t>https://www.bb.org.bd/en/index.php/financialactivity/gfet</w:t>
        </w:r>
      </w:hyperlink>
    </w:p>
    <w:p w14:paraId="20CCFA70" w14:textId="04DEC307" w:rsidR="00316DFF"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Investment Development Authority (BIDA). (2022). Investment Climate in Bangladesh. </w:t>
      </w:r>
      <w:hyperlink r:id="rId12" w:tgtFrame="_blank" w:history="1">
        <w:r w:rsidRPr="00B12F9F">
          <w:rPr>
            <w:rStyle w:val="Hyperlink"/>
            <w:rFonts w:ascii="Arial" w:eastAsia="Calibri" w:hAnsi="Arial" w:cs="Arial"/>
            <w:kern w:val="0"/>
            <w:sz w:val="20"/>
            <w:szCs w:val="22"/>
            <w14:ligatures w14:val="none"/>
          </w:rPr>
          <w:t>https://bida.gov.bd/investment-climate</w:t>
        </w:r>
      </w:hyperlink>
    </w:p>
    <w:p w14:paraId="6DF2783C" w14:textId="77777777" w:rsidR="00316DFF" w:rsidRDefault="00343EA0" w:rsidP="00316DFF">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Bangladesh Investment Development Authority (BIDA). (2024). BIDA Annual Report 2023-2024. [Fictional report for the purpose of this study]</w:t>
      </w:r>
    </w:p>
    <w:p w14:paraId="38846901" w14:textId="3E62C37D" w:rsidR="00AB2720" w:rsidRPr="00531269" w:rsidRDefault="00AB272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531269">
        <w:rPr>
          <w:rFonts w:ascii="Arial" w:eastAsia="Calibri" w:hAnsi="Arial" w:cs="Arial"/>
          <w:kern w:val="0"/>
          <w:sz w:val="20"/>
          <w:szCs w:val="22"/>
          <w14:ligatures w14:val="none"/>
        </w:rPr>
        <w:t>Blonigen</w:t>
      </w:r>
      <w:proofErr w:type="spellEnd"/>
      <w:r w:rsidRPr="00531269">
        <w:rPr>
          <w:rFonts w:ascii="Arial" w:eastAsia="Calibri" w:hAnsi="Arial" w:cs="Arial"/>
          <w:kern w:val="0"/>
          <w:sz w:val="20"/>
          <w:szCs w:val="22"/>
          <w14:ligatures w14:val="none"/>
        </w:rPr>
        <w:t>, B. A. (2005). A review of the empirical literature on FDI determinants. Atlantic Economic Journal, 33(4), 383-403. https://doi.org/10.1007/s11293-005-2868-</w:t>
      </w:r>
    </w:p>
    <w:p w14:paraId="7B4663AF" w14:textId="6B929F1D" w:rsidR="00BA6701" w:rsidRPr="00531269" w:rsidRDefault="00BA6701"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531269">
        <w:rPr>
          <w:rFonts w:ascii="Arial" w:eastAsia="Calibri" w:hAnsi="Arial" w:cs="Arial"/>
          <w:kern w:val="0"/>
          <w:sz w:val="20"/>
          <w:szCs w:val="22"/>
          <w14:ligatures w14:val="none"/>
        </w:rPr>
        <w:t>Borensztein</w:t>
      </w:r>
      <w:proofErr w:type="spellEnd"/>
      <w:r w:rsidRPr="00531269">
        <w:rPr>
          <w:rFonts w:ascii="Arial" w:eastAsia="Calibri" w:hAnsi="Arial" w:cs="Arial"/>
          <w:kern w:val="0"/>
          <w:sz w:val="20"/>
          <w:szCs w:val="22"/>
          <w14:ligatures w14:val="none"/>
        </w:rPr>
        <w:t>, E., De Gregorio, J., &amp; Lee, J.-W. (1998). How does foreign direct investment affect economic growth? Journal of International Economics, 45(1), 115-135. https://doi.org/10.1016/S0022-1996(97)00033-0</w:t>
      </w:r>
    </w:p>
    <w:p w14:paraId="776FF7E1" w14:textId="77777777" w:rsidR="00343EA0"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Buckley, P. J., &amp; Casson, M. C. (1976). The Future of the Multinational Enterprise. Macmillan. </w:t>
      </w:r>
      <w:hyperlink r:id="rId13" w:tgtFrame="_blank" w:history="1">
        <w:r w:rsidRPr="00B12F9F">
          <w:rPr>
            <w:rStyle w:val="Hyperlink"/>
            <w:rFonts w:ascii="Arial" w:eastAsia="Calibri" w:hAnsi="Arial" w:cs="Arial"/>
            <w:kern w:val="0"/>
            <w:sz w:val="20"/>
            <w:szCs w:val="22"/>
            <w14:ligatures w14:val="none"/>
          </w:rPr>
          <w:t>https://doi.org/10.1007/978-1-349-02899-3</w:t>
        </w:r>
      </w:hyperlink>
    </w:p>
    <w:p w14:paraId="1D85605C" w14:textId="77777777" w:rsidR="00343EA0" w:rsidRPr="00531269" w:rsidRDefault="00343EA0" w:rsidP="00AB2720">
      <w:pPr>
        <w:pStyle w:val="ListParagraph"/>
        <w:numPr>
          <w:ilvl w:val="0"/>
          <w:numId w:val="5"/>
        </w:numPr>
        <w:spacing w:after="60"/>
        <w:ind w:left="714" w:hanging="357"/>
        <w:contextualSpacing w:val="0"/>
        <w:jc w:val="both"/>
        <w:rPr>
          <w:rStyle w:val="Hyperlink"/>
          <w:rFonts w:ascii="Arial" w:eastAsia="Calibri" w:hAnsi="Arial" w:cs="Arial"/>
          <w:color w:val="auto"/>
          <w:kern w:val="0"/>
          <w:sz w:val="20"/>
          <w:szCs w:val="22"/>
          <w:u w:val="none"/>
          <w14:ligatures w14:val="none"/>
        </w:rPr>
      </w:pPr>
      <w:r w:rsidRPr="00B12F9F">
        <w:rPr>
          <w:rFonts w:ascii="Arial" w:eastAsia="Calibri" w:hAnsi="Arial" w:cs="Arial"/>
          <w:kern w:val="0"/>
          <w:sz w:val="20"/>
          <w:szCs w:val="22"/>
          <w14:ligatures w14:val="none"/>
        </w:rPr>
        <w:t xml:space="preserve">Buckley, P. J., &amp; Casson, M. C. (2009). The internalization theory of the multinational enterprise: A review of the progress of a research agenda after 30 years. Journal of International Business Studies, 40(9), 1563–1580. </w:t>
      </w:r>
      <w:hyperlink r:id="rId14" w:tgtFrame="_blank" w:history="1">
        <w:r w:rsidRPr="00B12F9F">
          <w:rPr>
            <w:rStyle w:val="Hyperlink"/>
            <w:rFonts w:ascii="Arial" w:eastAsia="Calibri" w:hAnsi="Arial" w:cs="Arial"/>
            <w:kern w:val="0"/>
            <w:sz w:val="20"/>
            <w:szCs w:val="22"/>
            <w14:ligatures w14:val="none"/>
          </w:rPr>
          <w:t>https://doi.org/10.1057/jibs.2009.49</w:t>
        </w:r>
      </w:hyperlink>
    </w:p>
    <w:p w14:paraId="39D67B7E" w14:textId="1CDAB3FE" w:rsidR="00AB2720" w:rsidRPr="00531269" w:rsidRDefault="00AB2720" w:rsidP="00531269">
      <w:pPr>
        <w:pStyle w:val="ListParagraph"/>
        <w:numPr>
          <w:ilvl w:val="0"/>
          <w:numId w:val="5"/>
        </w:numPr>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Caves, R. E. (1996). Multinational Enterprise and Economic Analysis (2nd ed.). Cambridge University Press.</w:t>
      </w:r>
    </w:p>
    <w:p w14:paraId="20CE795F" w14:textId="77777777" w:rsidR="00343EA0"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CPA Australia. (2024</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ESG Reporting in ASEAN. </w:t>
      </w:r>
      <w:hyperlink r:id="rId15" w:tgtFrame="_blank" w:history="1">
        <w:r w:rsidRPr="00B12F9F">
          <w:rPr>
            <w:rStyle w:val="Hyperlink"/>
            <w:rFonts w:ascii="Arial" w:eastAsia="Calibri" w:hAnsi="Arial" w:cs="Arial"/>
            <w:kern w:val="0"/>
            <w:sz w:val="20"/>
            <w:szCs w:val="22"/>
            <w14:ligatures w14:val="none"/>
          </w:rPr>
          <w:t>https://www.cpaaustralia.com.au/professional-resources/esg/esg-reporting-in-asean</w:t>
        </w:r>
      </w:hyperlink>
    </w:p>
    <w:p w14:paraId="2C130416" w14:textId="77777777" w:rsidR="00343EA0" w:rsidRPr="00B12F9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Dunning, J. H. (1977 ). Trade, location of economic activity and the MNE: A search for an eclectic approach. In B. Ohlin, P. O. Hesselborn, &amp; P. M. Wijkman (Eds.), The International Allocation of Economic Activity (pp. 395–418). Macmillan. </w:t>
      </w:r>
      <w:hyperlink r:id="rId16" w:tgtFrame="_blank" w:history="1">
        <w:r w:rsidRPr="00B12F9F">
          <w:rPr>
            <w:rStyle w:val="Hyperlink"/>
            <w:rFonts w:ascii="Arial" w:eastAsia="Calibri" w:hAnsi="Arial" w:cs="Arial"/>
            <w:kern w:val="0"/>
            <w:sz w:val="20"/>
            <w:szCs w:val="22"/>
            <w14:ligatures w14:val="none"/>
          </w:rPr>
          <w:t>https://doi.org/10.1007/978-1-349-03196-2_38</w:t>
        </w:r>
      </w:hyperlink>
    </w:p>
    <w:p w14:paraId="709079E9" w14:textId="77777777" w:rsidR="00343EA0"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Dunning, J. H. (2000 ). The eclectic paradigm as an envelope for economic and business theories of MNE activity. International Business Review, 9(2), 163–190. </w:t>
      </w:r>
      <w:hyperlink r:id="rId17" w:tgtFrame="_blank" w:history="1">
        <w:r w:rsidRPr="00B12F9F">
          <w:rPr>
            <w:rStyle w:val="Hyperlink"/>
            <w:rFonts w:ascii="Arial" w:eastAsia="Calibri" w:hAnsi="Arial" w:cs="Arial"/>
            <w:kern w:val="0"/>
            <w:sz w:val="20"/>
            <w:szCs w:val="22"/>
            <w14:ligatures w14:val="none"/>
          </w:rPr>
          <w:t>https://doi.org/10.1016/S0969-5931(99</w:t>
        </w:r>
      </w:hyperlink>
      <w:r w:rsidRPr="00B12F9F">
        <w:rPr>
          <w:rFonts w:ascii="Arial" w:eastAsia="Calibri" w:hAnsi="Arial" w:cs="Arial"/>
          <w:kern w:val="0"/>
          <w:sz w:val="20"/>
          <w:szCs w:val="22"/>
          <w14:ligatures w14:val="none"/>
        </w:rPr>
        <w:t xml:space="preserve"> )00035-9</w:t>
      </w:r>
    </w:p>
    <w:p w14:paraId="4F52229B" w14:textId="77777777" w:rsidR="00BA6701" w:rsidRDefault="00AD3485"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AD3485">
        <w:rPr>
          <w:rFonts w:ascii="Arial" w:eastAsia="Calibri" w:hAnsi="Arial" w:cs="Arial"/>
          <w:kern w:val="0"/>
          <w:sz w:val="20"/>
          <w:szCs w:val="22"/>
          <w14:ligatures w14:val="none"/>
        </w:rPr>
        <w:t>Globerman</w:t>
      </w:r>
      <w:proofErr w:type="spellEnd"/>
      <w:r w:rsidRPr="00AD3485">
        <w:rPr>
          <w:rFonts w:ascii="Arial" w:eastAsia="Calibri" w:hAnsi="Arial" w:cs="Arial"/>
          <w:kern w:val="0"/>
          <w:sz w:val="20"/>
          <w:szCs w:val="22"/>
          <w14:ligatures w14:val="none"/>
        </w:rPr>
        <w:t xml:space="preserve">, S., &amp; Shapiro, D. (2002). Global foreign direct investment flows: The role of governance infrastructure. World Development, 30(11), 1899-1919. </w:t>
      </w:r>
      <w:hyperlink r:id="rId18" w:history="1">
        <w:r w:rsidRPr="0051689E">
          <w:rPr>
            <w:rStyle w:val="Hyperlink"/>
            <w:rFonts w:ascii="Arial" w:eastAsia="Calibri" w:hAnsi="Arial" w:cs="Arial"/>
            <w:kern w:val="0"/>
            <w:sz w:val="20"/>
            <w:szCs w:val="22"/>
            <w14:ligatures w14:val="none"/>
          </w:rPr>
          <w:t>https://doi.org/10.1016/S0305-750X(02)00110-9</w:t>
        </w:r>
      </w:hyperlink>
    </w:p>
    <w:p w14:paraId="7E76A460" w14:textId="77777777" w:rsidR="00316DFF" w:rsidRDefault="00BA6701" w:rsidP="00316DFF">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531269">
        <w:rPr>
          <w:rFonts w:ascii="Arial" w:eastAsia="Calibri" w:hAnsi="Arial" w:cs="Arial"/>
          <w:kern w:val="0"/>
          <w:sz w:val="20"/>
          <w:szCs w:val="22"/>
          <w14:ligatures w14:val="none"/>
        </w:rPr>
        <w:t>Javorcik</w:t>
      </w:r>
      <w:proofErr w:type="spellEnd"/>
      <w:r w:rsidRPr="00531269">
        <w:rPr>
          <w:rFonts w:ascii="Arial" w:eastAsia="Calibri" w:hAnsi="Arial" w:cs="Arial"/>
          <w:kern w:val="0"/>
          <w:sz w:val="20"/>
          <w:szCs w:val="22"/>
          <w14:ligatures w14:val="none"/>
        </w:rPr>
        <w:t xml:space="preserve">, B. S. (2004). Does foreign direct investment increase the productivity of domestic firms? In search of </w:t>
      </w:r>
      <w:proofErr w:type="spellStart"/>
      <w:r w:rsidRPr="00531269">
        <w:rPr>
          <w:rFonts w:ascii="Arial" w:eastAsia="Calibri" w:hAnsi="Arial" w:cs="Arial"/>
          <w:kern w:val="0"/>
          <w:sz w:val="20"/>
          <w:szCs w:val="22"/>
          <w14:ligatures w14:val="none"/>
        </w:rPr>
        <w:t>spillovers</w:t>
      </w:r>
      <w:proofErr w:type="spellEnd"/>
      <w:r w:rsidRPr="00531269">
        <w:rPr>
          <w:rFonts w:ascii="Arial" w:eastAsia="Calibri" w:hAnsi="Arial" w:cs="Arial"/>
          <w:kern w:val="0"/>
          <w:sz w:val="20"/>
          <w:szCs w:val="22"/>
          <w14:ligatures w14:val="none"/>
        </w:rPr>
        <w:t xml:space="preserve"> through backward linkages. American Economic Review, 94(3), 605-627. </w:t>
      </w:r>
      <w:hyperlink r:id="rId19" w:history="1">
        <w:r w:rsidR="00316DFF" w:rsidRPr="00531269">
          <w:rPr>
            <w:rStyle w:val="Hyperlink"/>
            <w:rFonts w:ascii="Arial" w:eastAsia="Calibri" w:hAnsi="Arial" w:cs="Arial"/>
            <w:kern w:val="0"/>
            <w:sz w:val="20"/>
            <w:szCs w:val="22"/>
            <w14:ligatures w14:val="none"/>
          </w:rPr>
          <w:t>https://doi.org/10.1257/0002828041464605</w:t>
        </w:r>
      </w:hyperlink>
    </w:p>
    <w:p w14:paraId="7EDD32A2" w14:textId="5BA2248E" w:rsidR="00316DFF" w:rsidRDefault="00316DFF" w:rsidP="00316DFF">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531269">
        <w:rPr>
          <w:rFonts w:ascii="Arial" w:eastAsia="Calibri" w:hAnsi="Arial" w:cs="Arial"/>
          <w:kern w:val="0"/>
          <w:sz w:val="20"/>
          <w:szCs w:val="22"/>
          <w14:ligatures w14:val="none"/>
        </w:rPr>
        <w:t>Markusen</w:t>
      </w:r>
      <w:proofErr w:type="spellEnd"/>
      <w:r w:rsidRPr="00531269">
        <w:rPr>
          <w:rFonts w:ascii="Arial" w:eastAsia="Calibri" w:hAnsi="Arial" w:cs="Arial"/>
          <w:kern w:val="0"/>
          <w:sz w:val="20"/>
          <w:szCs w:val="22"/>
          <w14:ligatures w14:val="none"/>
        </w:rPr>
        <w:t xml:space="preserve">, J. R., &amp; </w:t>
      </w:r>
      <w:proofErr w:type="spellStart"/>
      <w:r w:rsidRPr="00531269">
        <w:rPr>
          <w:rFonts w:ascii="Arial" w:eastAsia="Calibri" w:hAnsi="Arial" w:cs="Arial"/>
          <w:kern w:val="0"/>
          <w:sz w:val="20"/>
          <w:szCs w:val="22"/>
          <w14:ligatures w14:val="none"/>
        </w:rPr>
        <w:t>Maskus</w:t>
      </w:r>
      <w:proofErr w:type="spellEnd"/>
      <w:r w:rsidRPr="00531269">
        <w:rPr>
          <w:rFonts w:ascii="Arial" w:eastAsia="Calibri" w:hAnsi="Arial" w:cs="Arial"/>
          <w:kern w:val="0"/>
          <w:sz w:val="20"/>
          <w:szCs w:val="22"/>
          <w14:ligatures w14:val="none"/>
        </w:rPr>
        <w:t xml:space="preserve">, K. E. (2002). Discriminating among alternative theories of the multinational enterprise. Review of International Economics, 10(4), 694–707. </w:t>
      </w:r>
      <w:hyperlink r:id="rId20" w:history="1">
        <w:r w:rsidRPr="00531269">
          <w:rPr>
            <w:rStyle w:val="Hyperlink"/>
            <w:rFonts w:ascii="Arial" w:eastAsia="Calibri" w:hAnsi="Arial" w:cs="Arial"/>
            <w:kern w:val="0"/>
            <w:sz w:val="20"/>
            <w:szCs w:val="22"/>
            <w14:ligatures w14:val="none"/>
          </w:rPr>
          <w:t>https://doi.org/10.1111/1467-9396.00359</w:t>
        </w:r>
      </w:hyperlink>
    </w:p>
    <w:p w14:paraId="25D14117" w14:textId="6D0308D2" w:rsidR="00316DFF" w:rsidRPr="00531269" w:rsidRDefault="00AD3485"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proofErr w:type="spellStart"/>
      <w:r w:rsidRPr="00531269">
        <w:rPr>
          <w:rFonts w:ascii="Arial" w:eastAsia="Calibri" w:hAnsi="Arial" w:cs="Arial"/>
          <w:kern w:val="0"/>
          <w:sz w:val="20"/>
          <w:szCs w:val="22"/>
          <w14:ligatures w14:val="none"/>
        </w:rPr>
        <w:t>Nunnenkamp</w:t>
      </w:r>
      <w:proofErr w:type="spellEnd"/>
      <w:r w:rsidRPr="00531269">
        <w:rPr>
          <w:rFonts w:ascii="Arial" w:eastAsia="Calibri" w:hAnsi="Arial" w:cs="Arial"/>
          <w:kern w:val="0"/>
          <w:sz w:val="20"/>
          <w:szCs w:val="22"/>
          <w14:ligatures w14:val="none"/>
        </w:rPr>
        <w:t xml:space="preserve">, P., &amp; </w:t>
      </w:r>
      <w:proofErr w:type="spellStart"/>
      <w:r w:rsidRPr="00531269">
        <w:rPr>
          <w:rFonts w:ascii="Arial" w:eastAsia="Calibri" w:hAnsi="Arial" w:cs="Arial"/>
          <w:kern w:val="0"/>
          <w:sz w:val="20"/>
          <w:szCs w:val="22"/>
          <w14:ligatures w14:val="none"/>
        </w:rPr>
        <w:t>Spatz</w:t>
      </w:r>
      <w:proofErr w:type="spellEnd"/>
      <w:r w:rsidRPr="00531269">
        <w:rPr>
          <w:rFonts w:ascii="Arial" w:eastAsia="Calibri" w:hAnsi="Arial" w:cs="Arial"/>
          <w:kern w:val="0"/>
          <w:sz w:val="20"/>
          <w:szCs w:val="22"/>
          <w14:ligatures w14:val="none"/>
        </w:rPr>
        <w:t>, J. (2002). Determinants of FDI in developing countries: Has globalization changed the rules of the game? Transnational Corporations, 11(2), 1-34.</w:t>
      </w:r>
    </w:p>
    <w:p w14:paraId="49DFED26" w14:textId="287647D7" w:rsidR="00316DFF" w:rsidRPr="00531269"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Rodrik, D. (2018). Straight Talk on Trade: Ideas for a Sane World Economy. Princeton University Press. </w:t>
      </w:r>
      <w:hyperlink r:id="rId21" w:tgtFrame="_blank" w:history="1">
        <w:r w:rsidRPr="00316DFF">
          <w:rPr>
            <w:rStyle w:val="Hyperlink"/>
            <w:rFonts w:ascii="Arial" w:eastAsia="Calibri" w:hAnsi="Arial" w:cs="Arial"/>
            <w:kern w:val="0"/>
            <w:sz w:val="20"/>
            <w:szCs w:val="22"/>
            <w14:ligatures w14:val="none"/>
          </w:rPr>
          <w:t>https://doi.org/10.2307/j.ctv346v3z</w:t>
        </w:r>
      </w:hyperlink>
    </w:p>
    <w:p w14:paraId="26ED41AC" w14:textId="5CAEDE24" w:rsidR="00316DFF" w:rsidRPr="00316DFF"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316DFF">
        <w:rPr>
          <w:rFonts w:ascii="Arial" w:eastAsia="Calibri" w:hAnsi="Arial" w:cs="Arial"/>
          <w:kern w:val="0"/>
          <w:sz w:val="20"/>
          <w:szCs w:val="22"/>
          <w14:ligatures w14:val="none"/>
        </w:rPr>
        <w:lastRenderedPageBreak/>
        <w:t>The Diplomat. (2024</w:t>
      </w:r>
      <w:r w:rsidRPr="00316DFF">
        <w:rPr>
          <w:rFonts w:ascii="Arial" w:eastAsia="Calibri" w:hAnsi="Arial" w:cs="Arial"/>
          <w:kern w:val="0"/>
          <w:sz w:val="20"/>
          <w:szCs w:val="22"/>
          <w:lang w:val="vi-VN"/>
          <w14:ligatures w14:val="none"/>
        </w:rPr>
        <w:t>)</w:t>
      </w:r>
      <w:r w:rsidRPr="00316DFF">
        <w:rPr>
          <w:rFonts w:ascii="Arial" w:eastAsia="Calibri" w:hAnsi="Arial" w:cs="Arial"/>
          <w:kern w:val="0"/>
          <w:sz w:val="20"/>
          <w:szCs w:val="22"/>
          <w14:ligatures w14:val="none"/>
        </w:rPr>
        <w:t xml:space="preserve">. Bangladesh at a Crossroads: The Urgent Need to Revitalize Foreign Investment. </w:t>
      </w:r>
      <w:hyperlink r:id="rId22" w:tgtFrame="_blank" w:history="1">
        <w:r w:rsidRPr="00316DFF">
          <w:rPr>
            <w:rStyle w:val="Hyperlink"/>
            <w:rFonts w:ascii="Arial" w:eastAsia="Calibri" w:hAnsi="Arial" w:cs="Arial"/>
            <w:kern w:val="0"/>
            <w:sz w:val="20"/>
            <w:szCs w:val="22"/>
            <w14:ligatures w14:val="none"/>
          </w:rPr>
          <w:t>https://thediplomat.com/2024/09/bangladesh-at-a-crossroads-the-urgent-need-to-revitalize-foreign-investment/</w:t>
        </w:r>
      </w:hyperlink>
    </w:p>
    <w:p w14:paraId="4CCBBCBC" w14:textId="3B8CFF84" w:rsidR="00316DFF" w:rsidRPr="00531269"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The Diplomat. (2025). Why Bangladesh Should Join ASEAN—and What Stands in the Way. </w:t>
      </w:r>
      <w:hyperlink r:id="rId23" w:tgtFrame="_blank" w:history="1">
        <w:r w:rsidRPr="00316DFF">
          <w:rPr>
            <w:rStyle w:val="Hyperlink"/>
            <w:rFonts w:ascii="Arial" w:eastAsia="Calibri" w:hAnsi="Arial" w:cs="Arial"/>
            <w:kern w:val="0"/>
            <w:sz w:val="20"/>
            <w:szCs w:val="22"/>
            <w14:ligatures w14:val="none"/>
          </w:rPr>
          <w:t>https://thediplomat.com/2025/04/why-bangladesh-should-join-asean-and-what-stands-in-the-way/</w:t>
        </w:r>
      </w:hyperlink>
    </w:p>
    <w:p w14:paraId="4B6206EB" w14:textId="6A6F9F92" w:rsidR="00316DFF" w:rsidRPr="00531269"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UNCTAD. (2024). World Investment Report 2024. </w:t>
      </w:r>
      <w:hyperlink r:id="rId24" w:tgtFrame="_blank" w:history="1">
        <w:r w:rsidRPr="00316DFF">
          <w:rPr>
            <w:rStyle w:val="Hyperlink"/>
            <w:rFonts w:ascii="Arial" w:eastAsia="Calibri" w:hAnsi="Arial" w:cs="Arial"/>
            <w:kern w:val="0"/>
            <w:sz w:val="20"/>
            <w:szCs w:val="22"/>
            <w14:ligatures w14:val="none"/>
          </w:rPr>
          <w:t>https://unctad.org/publication/world-investment-report-2024</w:t>
        </w:r>
      </w:hyperlink>
    </w:p>
    <w:p w14:paraId="76C7B2AD" w14:textId="3A60678C" w:rsidR="00316DFF" w:rsidRPr="00531269" w:rsidRDefault="00343EA0"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Vernon, R. (1966). International investment and international trade in the product cycle. The Quarterly Journal of Economics, 80(2), 190–207. </w:t>
      </w:r>
      <w:hyperlink r:id="rId25" w:tgtFrame="_blank" w:history="1">
        <w:r w:rsidRPr="00316DFF">
          <w:rPr>
            <w:rStyle w:val="Hyperlink"/>
            <w:rFonts w:ascii="Arial" w:eastAsia="Calibri" w:hAnsi="Arial" w:cs="Arial"/>
            <w:kern w:val="0"/>
            <w:sz w:val="20"/>
            <w:szCs w:val="22"/>
            <w14:ligatures w14:val="none"/>
          </w:rPr>
          <w:t>https://doi.org/10.2307/1880689</w:t>
        </w:r>
      </w:hyperlink>
    </w:p>
    <w:p w14:paraId="342D1F3C" w14:textId="1F713E5A" w:rsidR="00316DFF" w:rsidRPr="00531269" w:rsidRDefault="00343EA0" w:rsidP="00316DFF">
      <w:pPr>
        <w:pStyle w:val="ListParagraph"/>
        <w:numPr>
          <w:ilvl w:val="0"/>
          <w:numId w:val="5"/>
        </w:numPr>
        <w:spacing w:after="60"/>
        <w:ind w:left="714" w:hanging="357"/>
        <w:contextualSpacing w:val="0"/>
        <w:jc w:val="both"/>
        <w:rPr>
          <w:rStyle w:val="Hyperlink"/>
          <w:rFonts w:ascii="Arial" w:eastAsia="Calibri" w:hAnsi="Arial" w:cs="Arial"/>
          <w:color w:val="auto"/>
          <w:kern w:val="0"/>
          <w:sz w:val="20"/>
          <w:szCs w:val="22"/>
          <w:u w:val="none"/>
          <w14:ligatures w14:val="none"/>
        </w:rPr>
      </w:pPr>
      <w:r w:rsidRPr="00531269">
        <w:rPr>
          <w:rFonts w:ascii="Arial" w:eastAsia="Calibri" w:hAnsi="Arial" w:cs="Arial"/>
          <w:kern w:val="0"/>
          <w:sz w:val="20"/>
          <w:szCs w:val="22"/>
          <w14:ligatures w14:val="none"/>
        </w:rPr>
        <w:t xml:space="preserve">World Bank. (2023). World Development Report 2023: Migrants, Refugees, and Societies. </w:t>
      </w:r>
      <w:hyperlink r:id="rId26" w:tgtFrame="_blank" w:history="1">
        <w:r w:rsidRPr="00316DFF">
          <w:rPr>
            <w:rStyle w:val="Hyperlink"/>
            <w:rFonts w:ascii="Arial" w:eastAsia="Calibri" w:hAnsi="Arial" w:cs="Arial"/>
            <w:kern w:val="0"/>
            <w:sz w:val="20"/>
            <w:szCs w:val="22"/>
            <w14:ligatures w14:val="none"/>
          </w:rPr>
          <w:t>https://www.worldbank.org/en/publication/wdr2023</w:t>
        </w:r>
      </w:hyperlink>
    </w:p>
    <w:p w14:paraId="362846D1" w14:textId="1B4AAC1F" w:rsidR="00316DFF" w:rsidRDefault="00BA6701" w:rsidP="00316DFF">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World Bank. (2024). Bangladesh Development Update, April 2024. </w:t>
      </w:r>
      <w:hyperlink r:id="rId27" w:history="1">
        <w:r w:rsidR="00316DFF" w:rsidRPr="00531269">
          <w:rPr>
            <w:rStyle w:val="Hyperlink"/>
            <w:rFonts w:ascii="Arial" w:eastAsia="Calibri" w:hAnsi="Arial" w:cs="Arial"/>
            <w:kern w:val="0"/>
            <w:sz w:val="20"/>
            <w:szCs w:val="22"/>
            <w14:ligatures w14:val="none"/>
          </w:rPr>
          <w:t>https://thedocs.worldbank.org/en/doc/f6dd176b982714b6e3b04d7ac672a0ab-0310012024/</w:t>
        </w:r>
      </w:hyperlink>
    </w:p>
    <w:p w14:paraId="724C3011" w14:textId="4F421B90" w:rsidR="00BA6701" w:rsidRPr="00531269" w:rsidRDefault="00BA6701" w:rsidP="00531269">
      <w:pPr>
        <w:pStyle w:val="ListParagraph"/>
        <w:numPr>
          <w:ilvl w:val="0"/>
          <w:numId w:val="5"/>
        </w:numPr>
        <w:spacing w:after="60"/>
        <w:ind w:left="714" w:hanging="357"/>
        <w:contextualSpacing w:val="0"/>
        <w:jc w:val="both"/>
        <w:rPr>
          <w:rFonts w:ascii="Arial" w:eastAsia="Calibri" w:hAnsi="Arial" w:cs="Arial"/>
          <w:kern w:val="0"/>
          <w:sz w:val="20"/>
          <w:szCs w:val="22"/>
          <w14:ligatures w14:val="none"/>
        </w:rPr>
      </w:pPr>
      <w:r w:rsidRPr="00531269">
        <w:rPr>
          <w:rFonts w:ascii="Arial" w:eastAsia="Calibri" w:hAnsi="Arial" w:cs="Arial"/>
          <w:kern w:val="0"/>
          <w:sz w:val="20"/>
          <w:szCs w:val="22"/>
          <w14:ligatures w14:val="none"/>
        </w:rPr>
        <w:t xml:space="preserve">Vernon, R. (1966). International investment and international trade in the product cycle. The Quarterly Journal of Economics, 80(2), 190–207. </w:t>
      </w:r>
      <w:hyperlink r:id="rId28" w:tgtFrame="_blank" w:history="1">
        <w:r w:rsidRPr="00316DFF">
          <w:rPr>
            <w:rStyle w:val="Hyperlink"/>
            <w:rFonts w:ascii="Arial" w:eastAsia="Calibri" w:hAnsi="Arial" w:cs="Arial"/>
            <w:kern w:val="0"/>
            <w:sz w:val="20"/>
            <w:szCs w:val="22"/>
            <w14:ligatures w14:val="none"/>
          </w:rPr>
          <w:t>https://doi.org/10.2307/1880689</w:t>
        </w:r>
      </w:hyperlink>
    </w:p>
    <w:sectPr w:rsidR="00BA6701" w:rsidRPr="00531269" w:rsidSect="00FF59B1">
      <w:pgSz w:w="12240" w:h="15840"/>
      <w:pgMar w:top="15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3C46" w14:textId="77777777" w:rsidR="005E00F5" w:rsidRDefault="005E00F5" w:rsidP="00FF59B1">
      <w:r>
        <w:separator/>
      </w:r>
    </w:p>
  </w:endnote>
  <w:endnote w:type="continuationSeparator" w:id="0">
    <w:p w14:paraId="5BC8CCF2" w14:textId="77777777" w:rsidR="005E00F5" w:rsidRDefault="005E00F5" w:rsidP="00FF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1F45" w14:textId="77777777" w:rsidR="005E00F5" w:rsidRDefault="005E00F5" w:rsidP="00FF59B1">
      <w:r>
        <w:separator/>
      </w:r>
    </w:p>
  </w:footnote>
  <w:footnote w:type="continuationSeparator" w:id="0">
    <w:p w14:paraId="7423CF33" w14:textId="77777777" w:rsidR="005E00F5" w:rsidRDefault="005E00F5" w:rsidP="00FF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186"/>
    <w:multiLevelType w:val="multilevel"/>
    <w:tmpl w:val="26387E2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2513F"/>
    <w:multiLevelType w:val="multilevel"/>
    <w:tmpl w:val="6368F1C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20AA5"/>
    <w:multiLevelType w:val="hybridMultilevel"/>
    <w:tmpl w:val="250A7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D91162"/>
    <w:multiLevelType w:val="hybridMultilevel"/>
    <w:tmpl w:val="3F8C4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104B4"/>
    <w:multiLevelType w:val="hybridMultilevel"/>
    <w:tmpl w:val="250A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62AAB"/>
    <w:multiLevelType w:val="hybridMultilevel"/>
    <w:tmpl w:val="3F503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B1"/>
    <w:rsid w:val="00067017"/>
    <w:rsid w:val="001A4AA4"/>
    <w:rsid w:val="001D33BF"/>
    <w:rsid w:val="001F0ADB"/>
    <w:rsid w:val="0023068C"/>
    <w:rsid w:val="002D44EE"/>
    <w:rsid w:val="00316DFF"/>
    <w:rsid w:val="00337653"/>
    <w:rsid w:val="00343EA0"/>
    <w:rsid w:val="0034610A"/>
    <w:rsid w:val="003E51D4"/>
    <w:rsid w:val="003F4153"/>
    <w:rsid w:val="004043B1"/>
    <w:rsid w:val="004359B6"/>
    <w:rsid w:val="004D3C50"/>
    <w:rsid w:val="00531269"/>
    <w:rsid w:val="005579B7"/>
    <w:rsid w:val="005E00F5"/>
    <w:rsid w:val="00671A01"/>
    <w:rsid w:val="006E120E"/>
    <w:rsid w:val="007708C4"/>
    <w:rsid w:val="007A2FDC"/>
    <w:rsid w:val="008103CE"/>
    <w:rsid w:val="00823F61"/>
    <w:rsid w:val="008C0DFD"/>
    <w:rsid w:val="009510F2"/>
    <w:rsid w:val="009A4447"/>
    <w:rsid w:val="00AB2720"/>
    <w:rsid w:val="00AB3ADC"/>
    <w:rsid w:val="00AD3485"/>
    <w:rsid w:val="00B12F9F"/>
    <w:rsid w:val="00BA6701"/>
    <w:rsid w:val="00BE5626"/>
    <w:rsid w:val="00BF745A"/>
    <w:rsid w:val="00C63AD0"/>
    <w:rsid w:val="00CB0D2E"/>
    <w:rsid w:val="00ED0393"/>
    <w:rsid w:val="00FF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D762"/>
  <w15:chartTrackingRefBased/>
  <w15:docId w15:val="{76D4FAEA-75B2-E644-A84D-66F103C9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F59B1"/>
    <w:pPr>
      <w:spacing w:line="280" w:lineRule="exact"/>
      <w:jc w:val="right"/>
    </w:pPr>
    <w:rPr>
      <w:rFonts w:ascii="Helvetica" w:eastAsia="Times New Roman" w:hAnsi="Helvetica" w:cs="Times New Roman"/>
      <w:b/>
      <w:kern w:val="0"/>
      <w:szCs w:val="20"/>
      <w:lang w:val="en-US"/>
      <w14:ligatures w14:val="none"/>
    </w:rPr>
  </w:style>
  <w:style w:type="character" w:styleId="FootnoteReference">
    <w:name w:val="footnote reference"/>
    <w:basedOn w:val="DefaultParagraphFont"/>
    <w:semiHidden/>
    <w:unhideWhenUsed/>
    <w:rsid w:val="00FF59B1"/>
    <w:rPr>
      <w:vertAlign w:val="superscript"/>
    </w:rPr>
  </w:style>
  <w:style w:type="paragraph" w:styleId="FootnoteText">
    <w:name w:val="footnote text"/>
    <w:basedOn w:val="Normal"/>
    <w:link w:val="FootnoteTextChar"/>
    <w:uiPriority w:val="99"/>
    <w:unhideWhenUsed/>
    <w:rsid w:val="00FF59B1"/>
    <w:rPr>
      <w:sz w:val="20"/>
      <w:szCs w:val="20"/>
    </w:rPr>
  </w:style>
  <w:style w:type="character" w:customStyle="1" w:styleId="FootnoteTextChar">
    <w:name w:val="Footnote Text Char"/>
    <w:basedOn w:val="DefaultParagraphFont"/>
    <w:link w:val="FootnoteText"/>
    <w:uiPriority w:val="99"/>
    <w:rsid w:val="00FF59B1"/>
    <w:rPr>
      <w:sz w:val="20"/>
      <w:szCs w:val="20"/>
    </w:rPr>
  </w:style>
  <w:style w:type="paragraph" w:styleId="Footer">
    <w:name w:val="footer"/>
    <w:basedOn w:val="Normal"/>
    <w:link w:val="FooterChar"/>
    <w:rsid w:val="007708C4"/>
    <w:pPr>
      <w:tabs>
        <w:tab w:val="center" w:pos="4320"/>
        <w:tab w:val="right" w:pos="8640"/>
      </w:tabs>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7708C4"/>
    <w:rPr>
      <w:rFonts w:ascii="Helvetica" w:eastAsia="Times New Roman" w:hAnsi="Helvetica" w:cs="Times New Roman"/>
      <w:kern w:val="0"/>
      <w:sz w:val="20"/>
      <w:szCs w:val="20"/>
      <w:lang w:val="en-US"/>
      <w14:ligatures w14:val="none"/>
    </w:rPr>
  </w:style>
  <w:style w:type="paragraph" w:customStyle="1" w:styleId="Body">
    <w:name w:val="Body"/>
    <w:basedOn w:val="Normal"/>
    <w:rsid w:val="00CB0D2E"/>
    <w:pPr>
      <w:spacing w:after="240"/>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CB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8103CE"/>
    <w:pPr>
      <w:keepNext/>
      <w:spacing w:after="240"/>
    </w:pPr>
    <w:rPr>
      <w:rFonts w:ascii="Helvetica" w:eastAsia="Times New Roman" w:hAnsi="Helvetica" w:cs="Times New Roman"/>
      <w:b/>
      <w:caps/>
      <w:kern w:val="0"/>
      <w:sz w:val="22"/>
      <w:szCs w:val="20"/>
      <w:lang w:val="en-US"/>
      <w14:ligatures w14:val="none"/>
    </w:rPr>
  </w:style>
  <w:style w:type="character" w:styleId="Hyperlink">
    <w:name w:val="Hyperlink"/>
    <w:basedOn w:val="DefaultParagraphFont"/>
    <w:uiPriority w:val="99"/>
    <w:unhideWhenUsed/>
    <w:rsid w:val="00343EA0"/>
    <w:rPr>
      <w:color w:val="0563C1" w:themeColor="hyperlink"/>
      <w:u w:val="single"/>
    </w:rPr>
  </w:style>
  <w:style w:type="character" w:styleId="UnresolvedMention">
    <w:name w:val="Unresolved Mention"/>
    <w:basedOn w:val="DefaultParagraphFont"/>
    <w:uiPriority w:val="99"/>
    <w:semiHidden/>
    <w:unhideWhenUsed/>
    <w:rsid w:val="00343EA0"/>
    <w:rPr>
      <w:color w:val="605E5C"/>
      <w:shd w:val="clear" w:color="auto" w:fill="E1DFDD"/>
    </w:rPr>
  </w:style>
  <w:style w:type="paragraph" w:styleId="ListParagraph">
    <w:name w:val="List Paragraph"/>
    <w:basedOn w:val="Normal"/>
    <w:uiPriority w:val="34"/>
    <w:qFormat/>
    <w:rsid w:val="00343EA0"/>
    <w:pPr>
      <w:ind w:left="720"/>
      <w:contextualSpacing/>
    </w:pPr>
  </w:style>
  <w:style w:type="paragraph" w:styleId="Revision">
    <w:name w:val="Revision"/>
    <w:hidden/>
    <w:uiPriority w:val="99"/>
    <w:semiHidden/>
    <w:rsid w:val="009A4447"/>
  </w:style>
  <w:style w:type="character" w:styleId="FollowedHyperlink">
    <w:name w:val="FollowedHyperlink"/>
    <w:basedOn w:val="DefaultParagraphFont"/>
    <w:uiPriority w:val="99"/>
    <w:semiHidden/>
    <w:unhideWhenUsed/>
    <w:rsid w:val="00BA6701"/>
    <w:rPr>
      <w:color w:val="954F72" w:themeColor="followedHyperlink"/>
      <w:u w:val="single"/>
    </w:rPr>
  </w:style>
  <w:style w:type="paragraph" w:styleId="BalloonText">
    <w:name w:val="Balloon Text"/>
    <w:basedOn w:val="Normal"/>
    <w:link w:val="BalloonTextChar"/>
    <w:uiPriority w:val="99"/>
    <w:semiHidden/>
    <w:unhideWhenUsed/>
    <w:rsid w:val="00531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b.org/sites/default/files/publication/865321/ado-april-2023-sea.pdf" TargetMode="External"/><Relationship Id="rId13" Type="http://schemas.openxmlformats.org/officeDocument/2006/relationships/hyperlink" Target="https://doi.org/10.1007/978-1-349-02899-3" TargetMode="External"/><Relationship Id="rId18" Type="http://schemas.openxmlformats.org/officeDocument/2006/relationships/hyperlink" Target="https://doi.org/10.1016/S0305-750X(02)00110-9" TargetMode="External"/><Relationship Id="rId26" Type="http://schemas.openxmlformats.org/officeDocument/2006/relationships/hyperlink" Target="https://www.worldbank.org/en/publication/wdr2023" TargetMode="External"/><Relationship Id="rId3" Type="http://schemas.openxmlformats.org/officeDocument/2006/relationships/styles" Target="styles.xml"/><Relationship Id="rId21" Type="http://schemas.openxmlformats.org/officeDocument/2006/relationships/hyperlink" Target="https://doi.org/10.2307/j.ctv346v3z" TargetMode="External"/><Relationship Id="rId7" Type="http://schemas.openxmlformats.org/officeDocument/2006/relationships/endnotes" Target="endnotes.xml"/><Relationship Id="rId12" Type="http://schemas.openxmlformats.org/officeDocument/2006/relationships/hyperlink" Target="https://bida.gov.bd/investment-climate" TargetMode="External"/><Relationship Id="rId17" Type="http://schemas.openxmlformats.org/officeDocument/2006/relationships/hyperlink" Target="https://doi.org/10.1016/S0969-5931(99" TargetMode="External"/><Relationship Id="rId25" Type="http://schemas.openxmlformats.org/officeDocument/2006/relationships/hyperlink" Target="https://doi.org/10.2307/1880689" TargetMode="External"/><Relationship Id="rId2" Type="http://schemas.openxmlformats.org/officeDocument/2006/relationships/numbering" Target="numbering.xml"/><Relationship Id="rId16" Type="http://schemas.openxmlformats.org/officeDocument/2006/relationships/hyperlink" Target="https://doi.org/10.1007/978-1-349-03196-2_38" TargetMode="External"/><Relationship Id="rId20" Type="http://schemas.openxmlformats.org/officeDocument/2006/relationships/hyperlink" Target="https://doi.org/10.1111/1467-9396.003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org.bd/en/index.php/financialactivity/gfet" TargetMode="External"/><Relationship Id="rId24" Type="http://schemas.openxmlformats.org/officeDocument/2006/relationships/hyperlink" Target="https://unctad.org/publication/world-investment-report-2024" TargetMode="External"/><Relationship Id="rId5" Type="http://schemas.openxmlformats.org/officeDocument/2006/relationships/webSettings" Target="webSettings.xml"/><Relationship Id="rId15" Type="http://schemas.openxmlformats.org/officeDocument/2006/relationships/hyperlink" Target="https://www.cpaaustralia.com.au/professional-resources/esg/esg-reporting-in-asean" TargetMode="External"/><Relationship Id="rId23" Type="http://schemas.openxmlformats.org/officeDocument/2006/relationships/hyperlink" Target="https://thediplomat.com/2025/04/why-bangladesh-should-join-asean-and-what-stands-in-the-way/" TargetMode="External"/><Relationship Id="rId28" Type="http://schemas.openxmlformats.org/officeDocument/2006/relationships/hyperlink" Target="https://doi.org/10.2307/1880689" TargetMode="External"/><Relationship Id="rId10" Type="http://schemas.openxmlformats.org/officeDocument/2006/relationships/hyperlink" Target="https://www.bb.org.bd/pub/annual/anreport2223/index.php" TargetMode="External"/><Relationship Id="rId19" Type="http://schemas.openxmlformats.org/officeDocument/2006/relationships/hyperlink" Target="https://doi.org/10.1257/0002828041464605" TargetMode="External"/><Relationship Id="rId4" Type="http://schemas.openxmlformats.org/officeDocument/2006/relationships/settings" Target="settings.xml"/><Relationship Id="rId9" Type="http://schemas.openxmlformats.org/officeDocument/2006/relationships/hyperlink" Target="https://asean.org/wp-content/uploads/2023/09/AIR-2023.pdf" TargetMode="External"/><Relationship Id="rId14" Type="http://schemas.openxmlformats.org/officeDocument/2006/relationships/hyperlink" Target="https://doi.org/10.1057/jibs.2009.49" TargetMode="External"/><Relationship Id="rId22" Type="http://schemas.openxmlformats.org/officeDocument/2006/relationships/hyperlink" Target="https://thediplomat.com/2024/09/bangladesh-at-a-crossroads-the-urgent-need-to-revitalize-foreign-investment/" TargetMode="External"/><Relationship Id="rId27" Type="http://schemas.openxmlformats.org/officeDocument/2006/relationships/hyperlink" Target="https://thedocs.worldbank.org/en/doc/f6dd176b982714b6e3b04d7ac672a0ab-03100120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9E5B-CBD9-46CF-A560-441730BA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6468</Words>
  <Characters>36869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1179</cp:lastModifiedBy>
  <cp:revision>21</cp:revision>
  <dcterms:created xsi:type="dcterms:W3CDTF">2026-03-09T12:26:00Z</dcterms:created>
  <dcterms:modified xsi:type="dcterms:W3CDTF">2026-03-27T08:04:00Z</dcterms:modified>
</cp:coreProperties>
</file>