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13D5" w14:textId="19914937" w:rsidR="00A258C3" w:rsidRPr="0098357A" w:rsidRDefault="009A3ED2" w:rsidP="009A3ED2">
      <w:pPr>
        <w:pStyle w:val="Author"/>
        <w:spacing w:line="240" w:lineRule="auto"/>
        <w:rPr>
          <w:rFonts w:ascii="Arial" w:hAnsi="Arial" w:cs="Arial"/>
          <w:bCs/>
          <w:iCs/>
          <w:kern w:val="28"/>
          <w:sz w:val="36"/>
        </w:rPr>
      </w:pPr>
      <w:r w:rsidRPr="0098357A">
        <w:rPr>
          <w:rFonts w:ascii="Arial" w:hAnsi="Arial" w:cs="Arial"/>
          <w:bCs/>
          <w:iCs/>
          <w:kern w:val="28"/>
          <w:sz w:val="36"/>
        </w:rPr>
        <w:t>A Straightforward Statistical Approach to Evaluating Dragon Fruit Extract Effects on Graafian Follicle Development</w:t>
      </w:r>
    </w:p>
    <w:p w14:paraId="53FDFC1C" w14:textId="77777777" w:rsidR="009A3ED2" w:rsidRPr="0098357A" w:rsidRDefault="009A3ED2" w:rsidP="009A3ED2">
      <w:pPr>
        <w:pStyle w:val="Author"/>
        <w:spacing w:line="240" w:lineRule="auto"/>
        <w:rPr>
          <w:rFonts w:ascii="Arial" w:hAnsi="Arial" w:cs="Arial"/>
          <w:sz w:val="36"/>
        </w:rPr>
      </w:pPr>
    </w:p>
    <w:p w14:paraId="2BDEAEC7" w14:textId="77777777" w:rsidR="002C57D2" w:rsidRPr="0098357A" w:rsidRDefault="002C57D2" w:rsidP="00441B6F">
      <w:pPr>
        <w:pStyle w:val="Affiliation"/>
        <w:spacing w:after="0" w:line="240" w:lineRule="auto"/>
        <w:jc w:val="both"/>
        <w:rPr>
          <w:rFonts w:ascii="Arial" w:hAnsi="Arial" w:cs="Arial"/>
        </w:rPr>
      </w:pPr>
    </w:p>
    <w:p w14:paraId="18E3CD61" w14:textId="6A5D5B0F" w:rsidR="00B01FCD" w:rsidRPr="0098357A" w:rsidRDefault="00D03355" w:rsidP="00441B6F">
      <w:pPr>
        <w:pStyle w:val="Copyright"/>
        <w:spacing w:after="0" w:line="240" w:lineRule="auto"/>
        <w:jc w:val="both"/>
        <w:rPr>
          <w:rFonts w:ascii="Arial" w:hAnsi="Arial" w:cs="Arial"/>
        </w:rPr>
        <w:sectPr w:rsidR="00B01FCD" w:rsidRPr="0098357A" w:rsidSect="006672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8357A">
        <w:rPr>
          <w:rFonts w:ascii="Arial" w:hAnsi="Arial" w:cs="Arial"/>
          <w:noProof/>
        </w:rPr>
        <mc:AlternateContent>
          <mc:Choice Requires="wps">
            <w:drawing>
              <wp:inline distT="0" distB="0" distL="0" distR="0" wp14:anchorId="2426E4F7" wp14:editId="06B1B444">
                <wp:extent cx="5303520" cy="635"/>
                <wp:effectExtent l="17145" t="11430" r="13335" b="17145"/>
                <wp:docPr id="9033923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274E6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98357A">
        <w:rPr>
          <w:rFonts w:ascii="Arial" w:hAnsi="Arial" w:cs="Arial"/>
        </w:rPr>
        <w:t>.</w:t>
      </w:r>
    </w:p>
    <w:p w14:paraId="764AC7D8" w14:textId="73B4F5B0" w:rsidR="00B01FCD" w:rsidRPr="0098357A" w:rsidRDefault="00B01FCD" w:rsidP="00441B6F">
      <w:pPr>
        <w:pStyle w:val="AbstHead"/>
        <w:spacing w:after="0"/>
        <w:jc w:val="both"/>
        <w:rPr>
          <w:rFonts w:ascii="Arial" w:hAnsi="Arial" w:cs="Arial"/>
        </w:rPr>
      </w:pPr>
      <w:r w:rsidRPr="0098357A">
        <w:rPr>
          <w:rFonts w:ascii="Arial" w:hAnsi="Arial" w:cs="Arial"/>
        </w:rPr>
        <w:t>ABSTRACT</w:t>
      </w:r>
    </w:p>
    <w:p w14:paraId="2DE19FDB" w14:textId="77777777" w:rsidR="00790ADA" w:rsidRPr="0098357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8357A" w14:paraId="30C0E10D" w14:textId="77777777" w:rsidTr="00CD0EA3">
        <w:tc>
          <w:tcPr>
            <w:tcW w:w="8198" w:type="dxa"/>
            <w:shd w:val="clear" w:color="auto" w:fill="F2F2F2"/>
          </w:tcPr>
          <w:p w14:paraId="06E53AD1" w14:textId="77777777" w:rsidR="005967DC" w:rsidRDefault="005967DC" w:rsidP="005967DC">
            <w:pPr>
              <w:spacing w:after="160"/>
              <w:jc w:val="both"/>
              <w:rPr>
                <w:rFonts w:ascii="Arial" w:hAnsi="Arial" w:cs="Arial"/>
              </w:rPr>
            </w:pPr>
            <w:r w:rsidRPr="00E54C8F">
              <w:rPr>
                <w:rFonts w:ascii="Arial" w:hAnsi="Arial" w:cs="Arial"/>
                <w:b/>
                <w:bCs/>
              </w:rPr>
              <w:t>Background</w:t>
            </w:r>
            <w:r>
              <w:rPr>
                <w:rFonts w:ascii="Arial" w:hAnsi="Arial" w:cs="Arial"/>
                <w:b/>
                <w:bCs/>
              </w:rPr>
              <w:t xml:space="preserve">: </w:t>
            </w:r>
            <w:r w:rsidRPr="00E54C8F">
              <w:rPr>
                <w:rFonts w:ascii="Arial" w:hAnsi="Arial" w:cs="Arial"/>
              </w:rPr>
              <w:t>Red dragon fruit (</w:t>
            </w:r>
            <w:r w:rsidRPr="00E54C8F">
              <w:rPr>
                <w:rFonts w:ascii="Arial" w:hAnsi="Arial" w:cs="Arial"/>
                <w:i/>
                <w:iCs/>
              </w:rPr>
              <w:t xml:space="preserve">Hylocereus </w:t>
            </w:r>
            <w:proofErr w:type="spellStart"/>
            <w:r w:rsidRPr="00E54C8F">
              <w:rPr>
                <w:rFonts w:ascii="Arial" w:hAnsi="Arial" w:cs="Arial"/>
                <w:i/>
                <w:iCs/>
              </w:rPr>
              <w:t>polyrhizus</w:t>
            </w:r>
            <w:proofErr w:type="spellEnd"/>
            <w:r w:rsidRPr="00E54C8F">
              <w:rPr>
                <w:rFonts w:ascii="Arial" w:hAnsi="Arial" w:cs="Arial"/>
              </w:rPr>
              <w:t xml:space="preserve">), a widely cultivated tropical fruit in Indonesia, is highly valued for its dense nutritional profile and high concentration of </w:t>
            </w:r>
            <w:proofErr w:type="spellStart"/>
            <w:r w:rsidRPr="00E54C8F">
              <w:rPr>
                <w:rFonts w:ascii="Arial" w:hAnsi="Arial" w:cs="Arial"/>
              </w:rPr>
              <w:t>betalains</w:t>
            </w:r>
            <w:proofErr w:type="spellEnd"/>
            <w:r w:rsidRPr="00E54C8F">
              <w:rPr>
                <w:rFonts w:ascii="Arial" w:hAnsi="Arial" w:cs="Arial"/>
              </w:rPr>
              <w:t>—nitrogenous pigments that function as potent antioxidants.</w:t>
            </w:r>
            <w:r>
              <w:rPr>
                <w:rFonts w:ascii="Arial" w:hAnsi="Arial" w:cs="Arial"/>
              </w:rPr>
              <w:t xml:space="preserve"> </w:t>
            </w:r>
          </w:p>
          <w:p w14:paraId="145385C6" w14:textId="06EFF745" w:rsidR="005967DC" w:rsidRPr="00E54C8F" w:rsidRDefault="005967DC" w:rsidP="005967DC">
            <w:pPr>
              <w:spacing w:after="160"/>
              <w:jc w:val="both"/>
              <w:rPr>
                <w:rFonts w:ascii="Arial" w:hAnsi="Arial" w:cs="Arial"/>
              </w:rPr>
            </w:pPr>
            <w:r w:rsidRPr="00766DD9">
              <w:rPr>
                <w:rFonts w:ascii="Arial" w:hAnsi="Arial" w:cs="Arial"/>
                <w:b/>
                <w:bCs/>
                <w:color w:val="EE0000"/>
              </w:rPr>
              <w:t>Aim</w:t>
            </w:r>
            <w:r>
              <w:rPr>
                <w:rFonts w:ascii="Arial" w:hAnsi="Arial" w:cs="Arial"/>
                <w:b/>
                <w:bCs/>
              </w:rPr>
              <w:t xml:space="preserve">: </w:t>
            </w:r>
            <w:r w:rsidRPr="00E54C8F">
              <w:rPr>
                <w:rFonts w:ascii="Arial" w:hAnsi="Arial" w:cs="Arial"/>
              </w:rPr>
              <w:t xml:space="preserve">This study investigated the physiological impact of </w:t>
            </w:r>
            <w:r w:rsidRPr="00E54C8F">
              <w:rPr>
                <w:rFonts w:ascii="Arial" w:hAnsi="Arial" w:cs="Arial"/>
                <w:i/>
                <w:iCs/>
              </w:rPr>
              <w:t xml:space="preserve">H. </w:t>
            </w:r>
            <w:proofErr w:type="spellStart"/>
            <w:r w:rsidRPr="00E54C8F">
              <w:rPr>
                <w:rFonts w:ascii="Arial" w:hAnsi="Arial" w:cs="Arial"/>
                <w:i/>
                <w:iCs/>
              </w:rPr>
              <w:t>polyrhizus</w:t>
            </w:r>
            <w:proofErr w:type="spellEnd"/>
            <w:r w:rsidRPr="00E54C8F">
              <w:rPr>
                <w:rFonts w:ascii="Arial" w:hAnsi="Arial" w:cs="Arial"/>
              </w:rPr>
              <w:t xml:space="preserve"> extract on the maturation of ovarian follicles, specifically focusing on the diameter of </w:t>
            </w:r>
            <w:r w:rsidR="006C0214" w:rsidRPr="006C0214">
              <w:rPr>
                <w:rFonts w:ascii="Arial" w:hAnsi="Arial" w:cs="Arial"/>
                <w:color w:val="EE0000"/>
              </w:rPr>
              <w:t>Graafian follicle</w:t>
            </w:r>
            <w:r w:rsidRPr="006C0214">
              <w:rPr>
                <w:rFonts w:ascii="Arial" w:hAnsi="Arial" w:cs="Arial"/>
                <w:color w:val="EE0000"/>
              </w:rPr>
              <w:t xml:space="preserve"> </w:t>
            </w:r>
            <w:r w:rsidRPr="00E54C8F">
              <w:rPr>
                <w:rFonts w:ascii="Arial" w:hAnsi="Arial" w:cs="Arial"/>
              </w:rPr>
              <w:t xml:space="preserve">in </w:t>
            </w:r>
            <w:r w:rsidR="00906F9A">
              <w:rPr>
                <w:rFonts w:ascii="Arial" w:hAnsi="Arial" w:cs="Arial"/>
              </w:rPr>
              <w:t>F</w:t>
            </w:r>
            <w:r w:rsidRPr="00E54C8F">
              <w:rPr>
                <w:rFonts w:ascii="Arial" w:hAnsi="Arial" w:cs="Arial"/>
              </w:rPr>
              <w:t>emale Wistar rats (</w:t>
            </w:r>
            <w:r w:rsidRPr="00E54C8F">
              <w:rPr>
                <w:rFonts w:ascii="Arial" w:hAnsi="Arial" w:cs="Arial"/>
                <w:i/>
                <w:iCs/>
              </w:rPr>
              <w:t>Rattus norvegicus</w:t>
            </w:r>
            <w:r w:rsidRPr="00E54C8F">
              <w:rPr>
                <w:rFonts w:ascii="Arial" w:hAnsi="Arial" w:cs="Arial"/>
              </w:rPr>
              <w:t>).</w:t>
            </w:r>
          </w:p>
          <w:p w14:paraId="633FC29C" w14:textId="0CF54503" w:rsidR="005967DC" w:rsidRPr="00E54C8F" w:rsidRDefault="005967DC" w:rsidP="005967DC">
            <w:pPr>
              <w:spacing w:after="160"/>
              <w:jc w:val="both"/>
              <w:rPr>
                <w:rFonts w:ascii="Arial" w:hAnsi="Arial" w:cs="Arial"/>
              </w:rPr>
            </w:pPr>
            <w:r w:rsidRPr="00E54C8F">
              <w:rPr>
                <w:rFonts w:ascii="Arial" w:hAnsi="Arial" w:cs="Arial"/>
                <w:b/>
                <w:bCs/>
              </w:rPr>
              <w:t>Methodology</w:t>
            </w:r>
            <w:r>
              <w:rPr>
                <w:rFonts w:ascii="Arial" w:hAnsi="Arial" w:cs="Arial"/>
                <w:b/>
                <w:bCs/>
              </w:rPr>
              <w:t xml:space="preserve">: </w:t>
            </w:r>
            <w:r w:rsidRPr="00E54C8F">
              <w:rPr>
                <w:rFonts w:ascii="Arial" w:hAnsi="Arial" w:cs="Arial"/>
              </w:rPr>
              <w:t xml:space="preserve">Employing a true experimental design with a Completely Randomized Design (CRD), 24 healthy </w:t>
            </w:r>
            <w:r w:rsidR="00587743" w:rsidRPr="00587743">
              <w:rPr>
                <w:rFonts w:ascii="Arial" w:hAnsi="Arial" w:cs="Arial"/>
                <w:color w:val="EE0000"/>
              </w:rPr>
              <w:t>F</w:t>
            </w:r>
            <w:r w:rsidRPr="00587743">
              <w:rPr>
                <w:rFonts w:ascii="Arial" w:hAnsi="Arial" w:cs="Arial"/>
                <w:color w:val="EE0000"/>
              </w:rPr>
              <w:t>emale</w:t>
            </w:r>
            <w:r w:rsidR="00587743" w:rsidRPr="00587743">
              <w:rPr>
                <w:rFonts w:ascii="Arial" w:hAnsi="Arial" w:cs="Arial"/>
                <w:color w:val="EE0000"/>
              </w:rPr>
              <w:t xml:space="preserve"> Wistar</w:t>
            </w:r>
            <w:r w:rsidRPr="00587743">
              <w:rPr>
                <w:rFonts w:ascii="Arial" w:hAnsi="Arial" w:cs="Arial"/>
                <w:color w:val="EE0000"/>
              </w:rPr>
              <w:t xml:space="preserve"> rats </w:t>
            </w:r>
            <w:r w:rsidRPr="00E54C8F">
              <w:rPr>
                <w:rFonts w:ascii="Arial" w:hAnsi="Arial" w:cs="Arial"/>
              </w:rPr>
              <w:t>(weighing 150–200 g, aged 2–3 months) were selected via simple random sampling and divided into four treatment groups (P0, P1, P2, and P3).</w:t>
            </w:r>
          </w:p>
          <w:p w14:paraId="2019D807" w14:textId="05558B1A" w:rsidR="005967DC" w:rsidRPr="00E54C8F" w:rsidRDefault="005967DC" w:rsidP="005967DC">
            <w:pPr>
              <w:spacing w:after="160"/>
              <w:jc w:val="both"/>
              <w:rPr>
                <w:rFonts w:ascii="Arial" w:hAnsi="Arial" w:cs="Arial"/>
              </w:rPr>
            </w:pPr>
            <w:r w:rsidRPr="00E54C8F">
              <w:rPr>
                <w:rFonts w:ascii="Arial" w:hAnsi="Arial" w:cs="Arial"/>
                <w:b/>
                <w:bCs/>
              </w:rPr>
              <w:t>Results</w:t>
            </w:r>
            <w:r>
              <w:rPr>
                <w:rFonts w:ascii="Arial" w:hAnsi="Arial" w:cs="Arial"/>
                <w:b/>
                <w:bCs/>
              </w:rPr>
              <w:t xml:space="preserve">: </w:t>
            </w:r>
            <w:r w:rsidRPr="00E54C8F">
              <w:rPr>
                <w:rFonts w:ascii="Arial" w:hAnsi="Arial" w:cs="Arial"/>
              </w:rPr>
              <w:t xml:space="preserve">Descriptive analysis revealed a dose-dependent upward trend in follicular size corresponding to increased extract concentrations. Inferential statistical analysis using ANOVA confirmed that the administration of dragon fruit extract significantly influenced the expansion of </w:t>
            </w:r>
            <w:r w:rsidR="006C0214" w:rsidRPr="006C0214">
              <w:rPr>
                <w:rFonts w:ascii="Arial" w:hAnsi="Arial" w:cs="Arial"/>
                <w:color w:val="EE0000"/>
              </w:rPr>
              <w:t>Graafian follicle</w:t>
            </w:r>
            <w:r w:rsidRPr="006C0214">
              <w:rPr>
                <w:rFonts w:ascii="Arial" w:hAnsi="Arial" w:cs="Arial"/>
                <w:color w:val="EE0000"/>
              </w:rPr>
              <w:t xml:space="preserve"> </w:t>
            </w:r>
            <w:r w:rsidRPr="00E54C8F">
              <w:rPr>
                <w:rFonts w:ascii="Arial" w:hAnsi="Arial" w:cs="Arial"/>
              </w:rPr>
              <w:t>diameters (p &lt; 0.05). Subsequent Duncan’s Multiple Range Tests demonstrated significant differences in follicular growth across all experimental groups.</w:t>
            </w:r>
          </w:p>
          <w:p w14:paraId="1A8159F7" w14:textId="77777777" w:rsidR="005967DC" w:rsidRPr="00E54C8F" w:rsidRDefault="005967DC" w:rsidP="005967DC">
            <w:pPr>
              <w:spacing w:after="160"/>
              <w:jc w:val="both"/>
              <w:rPr>
                <w:rFonts w:ascii="Arial" w:hAnsi="Arial" w:cs="Arial"/>
              </w:rPr>
            </w:pPr>
            <w:r w:rsidRPr="00E54C8F">
              <w:rPr>
                <w:rFonts w:ascii="Arial" w:hAnsi="Arial" w:cs="Arial"/>
                <w:b/>
                <w:bCs/>
              </w:rPr>
              <w:t>Conclusion</w:t>
            </w:r>
            <w:r>
              <w:rPr>
                <w:rFonts w:ascii="Arial" w:hAnsi="Arial" w:cs="Arial"/>
                <w:b/>
                <w:bCs/>
              </w:rPr>
              <w:t xml:space="preserve">: </w:t>
            </w:r>
            <w:r w:rsidRPr="00E54C8F">
              <w:rPr>
                <w:rFonts w:ascii="Arial" w:hAnsi="Arial" w:cs="Arial"/>
              </w:rPr>
              <w:t>These findings suggest that the antioxidant properties of red dragon fruit extract effectively enhance follicular maturation, highlighting its potential as a natural supplement for supporting female reproductive health.</w:t>
            </w:r>
          </w:p>
          <w:p w14:paraId="0400E0E8" w14:textId="1D98CD7A" w:rsidR="002F57BB" w:rsidRPr="002F57BB" w:rsidRDefault="002F57BB" w:rsidP="002F57BB">
            <w:pPr>
              <w:pStyle w:val="NormalWeb"/>
              <w:jc w:val="center"/>
            </w:pPr>
          </w:p>
        </w:tc>
      </w:tr>
    </w:tbl>
    <w:p w14:paraId="53FEE528" w14:textId="77777777" w:rsidR="00CD0EA3" w:rsidRPr="0098357A" w:rsidRDefault="00CD0EA3" w:rsidP="00CD0EA3">
      <w:pPr>
        <w:pStyle w:val="Body"/>
        <w:spacing w:after="0"/>
        <w:rPr>
          <w:rFonts w:ascii="Arial" w:hAnsi="Arial" w:cs="Arial"/>
          <w:i/>
        </w:rPr>
      </w:pPr>
    </w:p>
    <w:p w14:paraId="74AA21DE" w14:textId="4061D5A1" w:rsidR="00CD0EA3" w:rsidRPr="00CC4CA3" w:rsidRDefault="00CD0EA3" w:rsidP="00CD0EA3">
      <w:pPr>
        <w:pStyle w:val="Body"/>
        <w:spacing w:after="0"/>
        <w:rPr>
          <w:rFonts w:ascii="Arial" w:hAnsi="Arial" w:cs="Arial"/>
          <w:iCs/>
        </w:rPr>
      </w:pPr>
      <w:r w:rsidRPr="00CC4CA3">
        <w:rPr>
          <w:rFonts w:ascii="Arial" w:hAnsi="Arial" w:cs="Arial"/>
          <w:iCs/>
        </w:rPr>
        <w:t xml:space="preserve">Keywords: </w:t>
      </w:r>
      <w:r w:rsidRPr="00CC4CA3">
        <w:rPr>
          <w:rFonts w:ascii="Arial" w:hAnsi="Arial" w:cs="Arial"/>
          <w:i/>
        </w:rPr>
        <w:t xml:space="preserve">Hylocereus </w:t>
      </w:r>
      <w:proofErr w:type="spellStart"/>
      <w:r w:rsidRPr="00CC4CA3">
        <w:rPr>
          <w:rFonts w:ascii="Arial" w:hAnsi="Arial" w:cs="Arial"/>
          <w:i/>
        </w:rPr>
        <w:t>polyrhizus</w:t>
      </w:r>
      <w:proofErr w:type="spellEnd"/>
      <w:r w:rsidRPr="00CC4CA3">
        <w:rPr>
          <w:rFonts w:ascii="Arial" w:hAnsi="Arial" w:cs="Arial"/>
          <w:iCs/>
        </w:rPr>
        <w:t xml:space="preserve"> extract, </w:t>
      </w:r>
      <w:r w:rsidR="006C0214" w:rsidRPr="00E73014">
        <w:rPr>
          <w:rFonts w:ascii="Arial" w:hAnsi="Arial" w:cs="Arial"/>
          <w:iCs/>
          <w:color w:val="EE0000"/>
        </w:rPr>
        <w:t>Graafian follicle</w:t>
      </w:r>
      <w:r w:rsidRPr="00E73014">
        <w:rPr>
          <w:rFonts w:ascii="Arial" w:hAnsi="Arial" w:cs="Arial"/>
          <w:iCs/>
          <w:color w:val="EE0000"/>
        </w:rPr>
        <w:t xml:space="preserve"> </w:t>
      </w:r>
      <w:r w:rsidRPr="00CC4CA3">
        <w:rPr>
          <w:rFonts w:ascii="Arial" w:hAnsi="Arial" w:cs="Arial"/>
          <w:iCs/>
        </w:rPr>
        <w:t xml:space="preserve">diameter, </w:t>
      </w:r>
      <w:r w:rsidRPr="00CC4CA3">
        <w:rPr>
          <w:rFonts w:ascii="Arial" w:hAnsi="Arial" w:cs="Arial"/>
          <w:i/>
        </w:rPr>
        <w:t>Rattus norvegicus</w:t>
      </w:r>
      <w:r w:rsidRPr="00CC4CA3">
        <w:rPr>
          <w:rFonts w:ascii="Arial" w:hAnsi="Arial" w:cs="Arial"/>
          <w:iCs/>
        </w:rPr>
        <w:t xml:space="preserve">, </w:t>
      </w:r>
      <w:proofErr w:type="spellStart"/>
      <w:r w:rsidRPr="00CC4CA3">
        <w:rPr>
          <w:rFonts w:ascii="Arial" w:hAnsi="Arial" w:cs="Arial"/>
          <w:iCs/>
        </w:rPr>
        <w:t>Betalains</w:t>
      </w:r>
      <w:proofErr w:type="spellEnd"/>
      <w:r w:rsidRPr="00CC4CA3">
        <w:rPr>
          <w:rFonts w:ascii="Arial" w:hAnsi="Arial" w:cs="Arial"/>
          <w:iCs/>
        </w:rPr>
        <w:t>, Reproductive health</w:t>
      </w:r>
    </w:p>
    <w:p w14:paraId="5F58514D" w14:textId="4324F0BC" w:rsidR="0074373E" w:rsidRDefault="00CD0EA3" w:rsidP="00441B6F">
      <w:pPr>
        <w:pStyle w:val="Body"/>
        <w:spacing w:after="0"/>
        <w:rPr>
          <w:rFonts w:ascii="Arial" w:hAnsi="Arial" w:cs="Arial"/>
          <w:i/>
        </w:rPr>
      </w:pPr>
      <w:r>
        <w:rPr>
          <w:rFonts w:ascii="Arial" w:hAnsi="Arial" w:cs="Arial"/>
          <w:i/>
        </w:rPr>
        <w:t xml:space="preserve">Graphical </w:t>
      </w:r>
      <w:proofErr w:type="gramStart"/>
      <w:r>
        <w:rPr>
          <w:rFonts w:ascii="Arial" w:hAnsi="Arial" w:cs="Arial"/>
          <w:i/>
        </w:rPr>
        <w:t>abstract :</w:t>
      </w:r>
      <w:proofErr w:type="gramEnd"/>
      <w:r>
        <w:rPr>
          <w:rFonts w:ascii="Arial" w:hAnsi="Arial" w:cs="Arial"/>
          <w:i/>
        </w:rPr>
        <w:t xml:space="preserve"> </w:t>
      </w:r>
    </w:p>
    <w:p w14:paraId="1C9F917A" w14:textId="66204877" w:rsidR="00CD0EA3" w:rsidRDefault="00CD0EA3" w:rsidP="00441B6F">
      <w:pPr>
        <w:pStyle w:val="Body"/>
        <w:spacing w:after="0"/>
        <w:rPr>
          <w:rFonts w:ascii="Arial" w:hAnsi="Arial" w:cs="Arial"/>
          <w:i/>
        </w:rPr>
      </w:pPr>
      <w:r>
        <w:rPr>
          <w:noProof/>
        </w:rPr>
        <w:lastRenderedPageBreak/>
        <w:drawing>
          <wp:inline distT="0" distB="0" distL="0" distR="0" wp14:anchorId="7F88F0B1" wp14:editId="4386B2FB">
            <wp:extent cx="4555958" cy="2563836"/>
            <wp:effectExtent l="0" t="0" r="0" b="8255"/>
            <wp:docPr id="910281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6428" cy="2575356"/>
                    </a:xfrm>
                    <a:prstGeom prst="rect">
                      <a:avLst/>
                    </a:prstGeom>
                    <a:ln>
                      <a:noFill/>
                    </a:ln>
                    <a:effectLst>
                      <a:softEdge rad="112500"/>
                    </a:effectLst>
                  </pic:spPr>
                </pic:pic>
              </a:graphicData>
            </a:graphic>
          </wp:inline>
        </w:drawing>
      </w:r>
    </w:p>
    <w:p w14:paraId="1113DA43" w14:textId="77777777" w:rsidR="00CD0EA3" w:rsidRDefault="00CD0EA3" w:rsidP="00441B6F">
      <w:pPr>
        <w:pStyle w:val="Body"/>
        <w:spacing w:after="0"/>
        <w:rPr>
          <w:rFonts w:ascii="Arial" w:hAnsi="Arial" w:cs="Arial"/>
          <w:i/>
        </w:rPr>
      </w:pPr>
    </w:p>
    <w:p w14:paraId="7CF274CF" w14:textId="77777777" w:rsidR="00CD0EA3" w:rsidRDefault="00CD0EA3" w:rsidP="00441B6F">
      <w:pPr>
        <w:pStyle w:val="Body"/>
        <w:spacing w:after="0"/>
        <w:rPr>
          <w:rFonts w:ascii="Arial" w:hAnsi="Arial" w:cs="Arial"/>
          <w:i/>
        </w:rPr>
      </w:pPr>
    </w:p>
    <w:p w14:paraId="1C246B16" w14:textId="77777777" w:rsidR="0074373E" w:rsidRPr="0098357A" w:rsidRDefault="0074373E" w:rsidP="00441B6F">
      <w:pPr>
        <w:pStyle w:val="Body"/>
        <w:spacing w:after="0"/>
        <w:rPr>
          <w:rFonts w:ascii="Arial" w:hAnsi="Arial" w:cs="Arial"/>
          <w:i/>
        </w:rPr>
      </w:pPr>
    </w:p>
    <w:p w14:paraId="6D59469C" w14:textId="2EC2329E" w:rsidR="007F7B32" w:rsidRPr="0098357A" w:rsidRDefault="00902823" w:rsidP="00441B6F">
      <w:pPr>
        <w:pStyle w:val="AbstHead"/>
        <w:spacing w:after="0"/>
        <w:jc w:val="both"/>
        <w:rPr>
          <w:rFonts w:ascii="Arial" w:hAnsi="Arial" w:cs="Arial"/>
        </w:rPr>
      </w:pPr>
      <w:r w:rsidRPr="0098357A">
        <w:rPr>
          <w:rFonts w:ascii="Arial" w:hAnsi="Arial" w:cs="Arial"/>
        </w:rPr>
        <w:t xml:space="preserve">1. </w:t>
      </w:r>
      <w:r w:rsidR="00662A23" w:rsidRPr="0098357A">
        <w:rPr>
          <w:rFonts w:ascii="Arial" w:hAnsi="Arial" w:cs="Arial"/>
          <w:caps w:val="0"/>
        </w:rPr>
        <w:t>Introduction</w:t>
      </w:r>
    </w:p>
    <w:p w14:paraId="14F6C00B" w14:textId="77777777" w:rsidR="00790ADA" w:rsidRPr="0098357A" w:rsidRDefault="00790ADA" w:rsidP="00441B6F">
      <w:pPr>
        <w:pStyle w:val="AbstHead"/>
        <w:spacing w:after="0"/>
        <w:jc w:val="both"/>
        <w:rPr>
          <w:rFonts w:ascii="Arial" w:hAnsi="Arial" w:cs="Arial"/>
        </w:rPr>
      </w:pPr>
    </w:p>
    <w:p w14:paraId="0FC63D08" w14:textId="0CF7057C" w:rsidR="00DA0B0B" w:rsidRPr="0098357A" w:rsidRDefault="00DA0B0B" w:rsidP="0074373E">
      <w:pPr>
        <w:spacing w:line="276" w:lineRule="auto"/>
        <w:jc w:val="both"/>
        <w:rPr>
          <w:rFonts w:ascii="Arial" w:hAnsi="Arial" w:cs="Arial"/>
        </w:rPr>
      </w:pPr>
      <w:r w:rsidRPr="0098357A">
        <w:rPr>
          <w:rFonts w:ascii="Arial" w:hAnsi="Arial" w:cs="Arial"/>
        </w:rPr>
        <w:t xml:space="preserve">The reproductive health of female mammals represents a complex biological system intricately regulated by the Hypothalamic-Pituitary-Gonadal (HPG) axis, wherein the precise coordination of follicle-stimulating hormone (FSH) and luteinizing hormone (LH) orchestrates the progression of ovarian follicle development through multiple maturation stages </w:t>
      </w:r>
      <w:r w:rsidRPr="0098357A">
        <w:rPr>
          <w:rFonts w:ascii="Arial" w:hAnsi="Arial" w:cs="Arial"/>
        </w:rPr>
        <w:fldChar w:fldCharType="begin" w:fldLock="1"/>
      </w:r>
      <w:r w:rsidRPr="0098357A">
        <w:rPr>
          <w:rFonts w:ascii="Arial" w:hAnsi="Arial" w:cs="Arial"/>
        </w:rPr>
        <w:instrText>ADDIN CSL_CITATION {"citationItems":[{"id":"ITEM-1","itemData":{"DOI":"10.1016/j.metop.2022.100201","ISSN":"25899368","abstract":"BACKGROUND Polycystic ovary syndrome (PCOS) is an endocrine disorder, affecting women of reproductive age. Ageratum conyzoïdes (AGC) is used traditionally in the treatment of fever, rheumatism, and ulcer. This study investigates the effects of AGC on ovarian-uterine in PCOS rats. METHODS Female rats were randomized into four groups (n = 6). Group A control received 2 ml distilled water. Group B received a single dose of 4 mg/kg body weight (bwt) i.p estradiol valerate (EV). Group C received 500 mg/kg bwt AGC and group D received a single dose of 4 mg/kg bwt i.p EV followed by 500 mg/kg bwt AGC orally for 30 days. Parameters tested include follicle-stimulating hormone (FSH), luteinizing hormone (LH), testosterone (T), estradiol (E2), progesterone (P), C-reactive protein (CRP), interleukin (IL)-6, IL-18 and tumor necrosis factor (TNF)- α, malondialdehyde (MDA), superoxide dismutase (SOD), Catalase (CAT), total protein (TP), total cholesterol (TC), triglycerides (TG), low-density lipoprotein cholesterol (LDL), high-density lipoprotein cholesterol (HDL), and ovary and uterus histomorphometric. RESULTS Ageratum conyzoides decrease insulin resistance, obesity indices, TC, TG, LDL, MDA, T, LH, FSH, CRP, IL-6, IL-18, and TNF- α in PCOS rats. And increase HDL, E2, P, TP, CAT, and SOD in PCOS rats. AGC improved ovary and uterus histo-architecture, tertiary, and Graafian follicles, corpus luteum and endometrial thickness increased,and cystic and atretic follicles decreased. CONCLUSION Ageratum conyzoides improved insulin sensitivity, antioxidant activities, hormonal imbalance, inflammatory makers, and histological changes in PCOS rats. Therefore AGC can be used as a potential adjuvant agent in the treatment of PCOS.","author":[{"dropping-particle":"","family":"Adelakun","given":"Sunday Aderemi","non-dropping-particle":"","parse-names":false,"suffix":""},{"dropping-particle":"","family":"Ukwenya","given":"Victor Okoliko","non-dropping-particle":"","parse-names":false,"suffix":""},{"dropping-particle":"","family":"Peter","given":"Akwu Bala","non-dropping-particle":"","parse-names":false,"suffix":""},{"dropping-particle":"","family":"Siyanbade","given":"Adewale Jacob","non-dropping-particle":"","parse-names":false,"suffix":""},{"dropping-particle":"","family":"Akinwumiju","given":"Comfort Oluwakorede","non-dropping-particle":"","parse-names":false,"suffix":""}],"container-title":"Metabolism Open","id":"ITEM-1","issued":{"date-parts":[["2022","9"]]},"page":"100201","publisher":"Elsevier BV","title":"Therapeutic effects of aqueous extract of bioactive active component of Ageratum conyzoides on the ovarian-uterine and hypophysis-gonadal axis in rat with polycystic ovary syndrome: Histomorphometric evaluation and biochemical assessment","type":"article-journal","volume":"15"},"uris":["http://www.mendeley.com/documents/?uuid=f5784603-1e52-3d4d-befa-d1fe6e6d88f5"]},{"id":"ITEM-2","itemData":{"author":[{"dropping-particle":"","family":"Rindi Antina","given":"Rila","non-dropping-particle":"","parse-names":false,"suffix":""},{"dropping-particle":"","family":"Hendarto","given":"Hendy","non-dropping-particle":"","parse-names":false,"suffix":""},{"dropping-particle":"","family":"Widjiati","given":"","non-dropping-particle":"","parse-names":false,"suffix":""}],"container-title":"Jurnal Biosains Pascasarjana","id":"ITEM-2","issue":"3","issued":{"date-parts":[["2017"]]},"title":"Ekstrak etanol moringa oleifera lam terhadap folikulogenesis pada mencit model endometriosis","type":"report","volume":"19"},"uris":["http://www.mendeley.com/documents/?uuid=263eb281-3cfe-309f-aeb4-84a416f49e61"]},{"id":"ITEM-3","itemData":{"DOI":"10.1016/j.biopha.2018.03.119","ISSN":"19506007","PMID":"29587238","abstract":"Cisplatin (CP) is a widely used chemotherapeutic drug, effective against a variety of solid tumours, though its utility is limited due to its multiple organ toxicity. Zingerone (ZO), one of the most important components of dry ginger root, has several pharmacological activities, such as antioxidant, anti-inflammatory and anti-apoptotic properties. This study aimed to investigate the ameliorative effect of ZO on CP-induced ovarian and uterine toxicity in female rats. The rats were subjected to a prophylactic oral treatment of ZO (25 and 50 mg/kg body weight) for seven days to measure the protective effect against ovarian and uterine toxicity induced by a single (i.p.) of CP (7 mg/kg body weight) on the first day whereas the rats were sacrificed on the eighth day. The results showed that ZO decreased the serum FSH hormone level, increased the serum E2 hormone level, and also maintained the ovarian and uterine histological architecture and integrity. In addition, ZO obviously increased the measured activity of antioxidant enzymes (SOD, CAT and GPx) and the GSH content, and significantly reduced MDA levels. ZO was able to reduce the levels of the inflammatory markers NF-κB, TNF-α IL-1β IL-6, COX-2 and iNOS in CP-induced ovarian and uterine damage. It also inhibited apoptosis and reduced oxidative DNA damage markers by the downregulation of caspase-3 and 8-OHdG expression coupled with an upregulated Bcl-2 level. The results indicate that ZO may be beneficial in ameliorating CP-induced oxidative stress, sex hormone imbalances, inflammation and apoptosis in ovarian and uterine tissues of female rats.","author":[{"dropping-particle":"","family":"kaygusuzoglu","given":"Erdal","non-dropping-particle":"","parse-names":false,"suffix":""},{"dropping-particle":"","family":"Caglayan","given":"Cuneyt","non-dropping-particle":"","parse-names":false,"suffix":""},{"dropping-particle":"","family":"Kandemir","given":"Fatih Mehmet","non-dropping-particle":"","parse-names":false,"suffix":""},{"dropping-particle":"","family":"Yıldırım","given":"Serkan","non-dropping-particle":"","parse-names":false,"suffix":""},{"dropping-particle":"","family":"Kucukler","given":"Sefa","non-dropping-particle":"","parse-names":false,"suffix":""},{"dropping-particle":"","family":"Kılınc","given":"Mehmet Akif","non-dropping-particle":"","parse-names":false,"suffix":""},{"dropping-particle":"","family":"Saglam","given":"Yavuz Selim","non-dropping-particle":"","parse-names":false,"suffix":""}],"container-title":"Biomedicine and Pharmacotherapy","id":"ITEM-3","issued":{"date-parts":[["2018","6","1"]]},"page":"517-530","publisher":"Elsevier Masson SAS","title":"Zingerone ameliorates cisplatin</w:instrText>
      </w:r>
      <w:r w:rsidRPr="0098357A">
        <w:rPr>
          <w:rFonts w:ascii="Cambria Math" w:hAnsi="Cambria Math" w:cs="Cambria Math"/>
        </w:rPr>
        <w:instrText>‐</w:instrText>
      </w:r>
      <w:r w:rsidRPr="0098357A">
        <w:rPr>
          <w:rFonts w:ascii="Arial" w:hAnsi="Arial" w:cs="Arial"/>
        </w:rPr>
        <w:instrText>induced ovarian and uterine toxicity via suppression of sex hormone imbalances, oxidative stress, inflammation and apoptosis in female wistar rats","type":"article-journal","volume":"102"},"uris":["http://www.mendeley.com/documents/?uuid=4823193e-e4de-33e3-83aa-de770c27f1e9"]}],"mendeley":{"formattedCitation":"(Adelakun et al., 2022; kaygusuzoglu et al., 2018; Rindi Antina et al., 2017)","plainTextFormattedCitation":"(Adelakun et al., 2022; kaygusuzoglu et al., 2018; Rindi Antina et al., 2017)","previouslyFormattedCitation":"(Adelakun et al., 2022; kaygusuzoglu et al., 2018; Rindi Antina et al., 2017)"},"properties":{"noteIndex":0},"schema":"https://github.com/citation-style-language/schema/raw/master/csl-citation.json"}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(Adelakun et al., 2022; kaygusuzoglu et al., 2018; Rindi Antina et al., 2017)</w:t>
      </w:r>
      <w:r w:rsidRPr="0098357A">
        <w:rPr>
          <w:rFonts w:ascii="Arial" w:hAnsi="Arial" w:cs="Arial"/>
        </w:rPr>
        <w:fldChar w:fldCharType="end"/>
      </w:r>
      <w:r w:rsidRPr="0098357A">
        <w:rPr>
          <w:rFonts w:ascii="Arial" w:hAnsi="Arial" w:cs="Arial"/>
        </w:rPr>
        <w:t xml:space="preserve">. At the culmination of this process lies the development of the </w:t>
      </w:r>
      <w:r w:rsidR="006C0214" w:rsidRPr="006C0214">
        <w:rPr>
          <w:rFonts w:ascii="Arial" w:hAnsi="Arial" w:cs="Arial"/>
          <w:color w:val="EE0000"/>
        </w:rPr>
        <w:t xml:space="preserve">Graafian follicle </w:t>
      </w:r>
      <w:r w:rsidRPr="0098357A">
        <w:rPr>
          <w:rFonts w:ascii="Arial" w:hAnsi="Arial" w:cs="Arial"/>
        </w:rPr>
        <w:t xml:space="preserve">the mature tertiary follicle whose size and physiological integrity directly determine the success of ovulation and subsequent reproductive capacity </w:t>
      </w:r>
      <w:r w:rsidRPr="0098357A">
        <w:rPr>
          <w:rFonts w:ascii="Arial" w:hAnsi="Arial" w:cs="Arial"/>
        </w:rPr>
        <w:fldChar w:fldCharType="begin" w:fldLock="1"/>
      </w:r>
      <w:r w:rsidRPr="0098357A">
        <w:rPr>
          <w:rFonts w:ascii="Arial" w:hAnsi="Arial" w:cs="Arial"/>
        </w:rPr>
        <w:instrText>ADDIN CSL_CITATION {"citationItems":[{"id":"ITEM-1","itemData":{"DOI":"10.31289/biolink.v6i2.2409","ISSN":"2356-458X","abstract":"Research the effect of andaliman leaf extract on mice ovaries, volume test material using oral gavage needles as much 0.1 ml / 10 g bb 4 days before and after estrus stage and using RAL non-factorial method consisting of control and treatment group. Treatment consisted of factor test material with dose 2500, 5000, 10000, 20000, 40000 ppm. Chemical content of andaliman leaf extract shown from results study are alkaloids, steroids and saponins. Giving treatment of andaliman leaf extract for 9 days on histological data in the number primary, secondary, De Graff, and atretic follicles experienced fluctuating changes, but statistically did not show a significant difference between treatment and control mice groups, while different results were significantly shown in the number of corpus luteum. Parameters diameter of primary follicles, De Graff, and corpus luteum tended to experience changes that fluctuated, but statistically did not show the difference between the treatment and control mice groups, while the diameter of secondary and atretic follicles showed significantly different results. From the results study, administration of andaliman leaf extract affects histological mice ovaries, because it affects oogenesis and ovulation, but fluctuates, possibly due to crude extract, which has not isolated chemical content.","author":[{"dropping-particle":"","family":"Batubara","given":"Melvariani Syari","non-dropping-particle":"","parse-names":false,"suffix":""},{"dropping-particle":"","family":"Sabri","given":"Emita","non-dropping-particle":"","parse-names":false,"suffix":""},{"dropping-particle":"","family":"Tanjung","given":"Masitta","non-dropping-particle":"","parse-names":false,"suffix":""}],"container-title":"BIOLINK (Jurnal Biologi Lingkungan Industri Kesehatan)","id":"ITEM-1","issue":"2","issued":{"date-parts":[["2020","1","22"]]},"page":"196-209","publisher":"Universitas Medan Area","title":"Pengaruh pemberian ekstrak daun andaliman (Zanthoxylum acanthopodium dc.) terhadap histologis ovarium mencit (Mus musculus L.)","type":"article-journal","volume":"6"},"uris":["http://www.mendeley.com/documents/?uuid=d5a3f383-1acb-3afa-b9a7-1722c9ba1383"]}],"mendeley":{"formattedCitation":"(Batubara et al., 2020)","plainTextFormattedCitation":"(Batubara et al., 2020)","previouslyFormattedCitation":"(Batubara et al., 2020)"},"properties":{"noteIndex":0},"schema":"https://github.com/citation-style-language/schema/raw/master/csl-citation.json"}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(Batubara et al., 2020)</w:t>
      </w:r>
      <w:r w:rsidRPr="0098357A">
        <w:rPr>
          <w:rFonts w:ascii="Arial" w:hAnsi="Arial" w:cs="Arial"/>
        </w:rPr>
        <w:fldChar w:fldCharType="end"/>
      </w:r>
      <w:r w:rsidRPr="0098357A">
        <w:rPr>
          <w:rFonts w:ascii="Arial" w:hAnsi="Arial" w:cs="Arial"/>
        </w:rPr>
        <w:t xml:space="preserve">. The expansion of these follicles is fundamentally dependent on FSH-mediated signaling in granulosa cells and the subsequent LH surge that triggers final oocyte maturation </w:t>
      </w:r>
      <w:r w:rsidRPr="0098357A">
        <w:rPr>
          <w:rFonts w:ascii="Arial" w:hAnsi="Arial" w:cs="Arial"/>
        </w:rPr>
        <w:fldChar w:fldCharType="begin" w:fldLock="1"/>
      </w:r>
      <w:r w:rsidRPr="0098357A">
        <w:rPr>
          <w:rFonts w:ascii="Arial" w:hAnsi="Arial" w:cs="Arial"/>
        </w:rPr>
        <w:instrText>ADDIN CSL_CITATION {"citationItems":[{"id":"ITEM-1","itemData":{"DOI":"10.36709/ampibi.v10i3.360","abstract":"Abstrak: Fenomena infertilitas (ketidaksuburan) banyak dialami oleh masyarkat, berbagai alternatif pengobatan baik secara medis ataupun non medis banyak dilakukan. Salah satu alternative yang banyak dilakukan oleh masyarakat adalah pemanfaatan herbal, salah satunya adalah buah naga. Konsumsi buah naga (Hylocereus polyrhizus) diharapkan dapat membantu meningkatkan kesuburan. Penelitian ini bertujuan untuk mengetahui pemberian ekstrak buah naga (Hylocereus polyrhizus) terhadap jumlah sel granulosa pada tikus putih betina. Jenis penelitian adalah eksperimen (true experiment) menggunakan Rancangan Acak Lengkap. Populasi penelitian menggunakan 40 ekor tikus. Sampel diperoleh dengan teknik simple random sampling sebanyak 24 ekor tikus dengan kriteria sampel berat 150 sampai 200 gram, umur 12 sampai 13 minggu, jenis kelamin betina, dan dalam kondisi sehat. Teknik analisis data dilakukan secara deskriptif dan inferensial, uji hipotesis menggunakan uji ANOVA dengan taraf kepercayaan 95% (α = 0,05) dimana diperoleh Fhitung&gt; Ftabel dan uji lanjut Tukey/HSD (Honest Significant Difference). Hasil yang diperoleh menunjukkan bahwa ekstrak buah naga berpengaruh secara signifikan terhadap jumlah sel granulosa pada tikus putih betina. Semakin tinggi dosis ekstrak buah naga yang diberikan semakin semakin bertambah jumlah sel granulosa. Abstract: Phenomenon in the community many experience infertility, so that by consuming dragon fruit (Hylocereus polyrhizus) is expected to help improve fertility. This study aims to determine the administration of dragon fruit extract (Hylocereus polyrhizus). This type of research is an experiment (true experiment) using a completely randomised design. The study population used 40 rats. The sample was obtained by simple random sampling technique as many as 24 rats with sample criteria weighing 150 to 200 grams, age 12 to 13 weeks, female sex, and in healthy condition. Data analysis techniques were carried out descriptively and inferentially, hypothesis testing using ANOVA test with 95% confidence level (α = 0.05) where the calculated F was obtained &gt; Ftable and Tukey/HSD (Honest Significant Difference). The results obtained that dragon fruit extract has a significant effect on the number of granulosa cells in female white rats.","author":[{"dropping-particle":"","family":"Kolaka","given":"La","non-dropping-particle":"","parse-names":false,"suffix":""},{"dropping-particle":"","family":"Sirih","given":"Muhammad","non-dropping-particle":"","parse-names":false,"suffix":""}],"container-title":"AMPIBI: Jurnal Alumni Pendidikan Biologi","id":"ITEM-1","issue":"3","issued":{"date-parts":[["2025"]]},"page":"1-6","title":"Efectiveness of dragon fruit extract (Hylocereus polyrhizus) on the number of granulosa cells of female white rats (Rattus norvegicus)","type":"article-journal","volume":"10"},"uris":["http://www.mendeley.com/documents/?uuid=601da34d-dd75-32a3-98d0-2e5145d492e7"]},{"id":"ITEM-2","itemData":{"DOI":"10.1016/j.psj.2023.102736","ISSN":"15253171","PMID":"37209658","abstract":"Quercetin (Que), widely found in a huge variety of plants, plays important roles in ovarian function. However, to data, there have been no reports about Que regulating granulosa cells (GCs) in prehierarchical follicles in chicken. Herein, GCs from follicles diameter from 4 to 8 mm in chicken were treated by Que in vitro culture to investigate how Que exerts its effect on follicular development. GCs treated by Que in concentrations of 10, 100, and 1,000 ng/mL were tested for cell proliferation and progesterone secretion. Eight cDNA libraries were constructed from GCs (4 samples per group) to explore transcriptome expression changes. The role of the MAPK/ERK signaling pathway was validated in this process. Treatment with 100 and 1,000 ng/mL levels of Que significantly promoted cell proliferation and progesterone secretion (P &lt; 0.05). RNA-seq analysis data showed that 402 and 263 differentially expressed genes (DEGs) were up- and down-regulated, respectively. Functional enrichment analysis that the pathways related to follicular development included biosynthesis of amino acids, MAPK signaling pathway, and calcium signaling pathway. Notably, the function exerted in GCs of the different levels of Que was associated with the suppression of the MAPK pathway. In conclusion, our results proved that low levels of Que could promote MAPK signaling pathway, but high levels of Que inhibit MAPK signaling pathway in GCs from the prehierarchical follicles, promote cell proliferation and progesterone secretion, and benefit follicle selection.","author":[{"dropping-particle":"","family":"Shen","given":"Manman","non-dropping-particle":"","parse-names":false,"suffix":""},{"dropping-particle":"","family":"Li","given":"Tao","non-dropping-particle":"","parse-names":false,"suffix":""},{"dropping-particle":"","family":"Feng","given":"Yuan","non-dropping-particle":"","parse-names":false,"suffix":""},{"dropping-particle":"","family":"Wu","given":"Ping","non-dropping-particle":"","parse-names":false,"suffix":""},{"dropping-particle":"","family":"Serrano","given":"Boris Ramos","non-dropping-particle":"","parse-names":false,"suffix":""},{"dropping-particle":"","family":"Barcenas","given":"Adileidys Ruiz","non-dropping-particle":"","parse-names":false,"suffix":""},{"dropping-particle":"","family":"Qu","given":"Liang","non-dropping-particle":"","parse-names":false,"suffix":""},{"dropping-particle":"","family":"Zhao","given":"Weiguo","non-dropping-particle":"","parse-names":false,"suffix":""}],"container-title":"Poultry Science","id":"ITEM-2","issue":"7","issued":{"date-parts":[["2023","7","1"]]},"publisher":"Elsevier Inc.","title":"Effects of quercetin on granulosa cells from prehierarchical follicles by modulating MAPK signaling pathway in chicken","type":"article-journal","volume":"102"},"uris":["http://www.mendeley.com/documents/?uuid=05f56610-7917-3a8e-9cac-00a0bf944c21"]}],"mendeley":{"formattedCitation":"(Kolaka &amp; Sirih, 2025; Shen et al., 2023)","plainTextFormattedCitation":"(Kolaka &amp; Sirih, 2025; Shen et al., 2023)","previouslyFormattedCitation":"(Kolaka &amp; Sirih, 2025; Shen et al., 2023)"},"properties":{"noteIndex":0},"schema":"https://github.com/citation-style-language/schema/raw/master/csl-citation.json"}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(Kolaka &amp; Sirih, 2025; Shen et al., 2023)</w:t>
      </w:r>
      <w:r w:rsidRPr="0098357A">
        <w:rPr>
          <w:rFonts w:ascii="Arial" w:hAnsi="Arial" w:cs="Arial"/>
        </w:rPr>
        <w:fldChar w:fldCharType="end"/>
      </w:r>
      <w:r w:rsidRPr="0098357A">
        <w:rPr>
          <w:rFonts w:ascii="Arial" w:hAnsi="Arial" w:cs="Arial"/>
        </w:rPr>
        <w:t xml:space="preserve">. However, this delicate endocrine equilibrium is frequently compromised by physiological stressors that generate reactive oxygen species (ROS), leading to oxidative damage of critical reproductive structures and impaired hormonal responsiveness </w:t>
      </w:r>
      <w:r w:rsidRPr="0098357A">
        <w:rPr>
          <w:rFonts w:ascii="Arial" w:hAnsi="Arial" w:cs="Arial"/>
        </w:rPr>
        <w:fldChar w:fldCharType="begin" w:fldLock="1"/>
      </w:r>
      <w:r w:rsidRPr="0098357A">
        <w:rPr>
          <w:rFonts w:ascii="Arial" w:hAnsi="Arial" w:cs="Arial"/>
        </w:rPr>
        <w:instrText>ADDIN CSL_CITATION {"citationItems":[{"id":"ITEM-1","itemData":{"DOI":"10.4314/bcse.v40i3.2","ISSN":"1726801X","abstract":"This study investigated the phytochemical composition, evaluated the acute toxicity, and potential fertility-enhancing effects of a hydroethanolic extract obtained from Ajuga iva (L.) aerial parts. The extraction yielded 23.8%, and analysis revealed a high concentration of phenolics (182.21± 0.51mg Eq GAE/g DW extract) and flavonoids (46.75± 0.85mg Eq QE/g DW extract). Using HPLC-ESI-MS/MS, we identified twenty-one metabolites, with phytoecdysteroids and flavonoids being the most abundant. No signs of mortality or toxicity were recorded over 14 days following a single orally administered dose of 2000 mg/kg. Notably, the extract significantly increased the weights of the ovaries and genital tract (p &lt; 0.01), resulting in a more than 2.5-fold rise compared to controls. Histological study confirmed enhanced follicular development, especially at the 20 mg/kg dose, characterized by a greater number of tertiary and Graafian follicles. Molecular docking analysis further revealed strong binding affinities of apigenin, naringenin-7-O-rutinoside, naringenin, campestanol trans-ferulate, and ajugasterone C with key reproductive hormone receptors, suggesting their possible role in stimulating folliculogenesis. Altogether, these findings highlight the promise of Ajuga iva (L.) as a natural fertility enhancer and support the need for further research.","author":[{"dropping-particle":"","family":"Salem","given":"Zineb","non-dropping-particle":"","parse-names":false,"suffix":""},{"dropping-particle":"","family":"Zermane","given":"Faiza","non-dropping-particle":"","parse-names":false,"suffix":""},{"dropping-particle":"","family":"Cheknane","given":"Benamar","non-dropping-particle":"","parse-names":false,"suffix":""},{"dropping-particle":"","family":"Chader","given":"Henni","non-dropping-particle":"","parse-names":false,"suffix":""},{"dropping-particle":"","family":"Djellouli","given":"Salim","non-dropping-particle":"","parse-names":false,"suffix":""},{"dropping-particle":"","family":"Touzout","given":"Nabil","non-dropping-particle":"","parse-names":false,"suffix":""},{"dropping-particle":"","family":"El-Beltagi","given":"Hossam S.","non-dropping-particle":"","parse-names":false,"suffix":""},{"dropping-particle":"","family":"Al-Dossary","given":"Othman","non-dropping-particle":"","parse-names":false,"suffix":""},{"dropping-particle":"","family":"Alsubaie","given":"Bader","non-dropping-particle":"","parse-names":false,"suffix":""},{"dropping-particle":"","family":"Rezk","given":"Adel A.","non-dropping-particle":"","parse-names":false,"suffix":""},{"dropping-particle":"","family":"Ismail","given":"Ahmed Mahmoud","non-dropping-particle":"","parse-names":false,"suffix":""},{"dropping-particle":"","family":"Elmenofy","given":"Wael","non-dropping-particle":"","parse-names":false,"suffix":""}],"container-title":"Bulletin of the Chemical Society of Ethiopia","id":"ITEM-1","issue":"3","issued":{"date-parts":[["2026"]]},"page":"501-517","publisher":"Chemical Society of Ethiopia","title":"Phytochemical characterization and female fertility-enhancing potential of ajugaiva (L.) extract: insights from in vivo and toxicological studies","type":"article-journal","volume":"40"},"uris":["http://www.mendeley.com/documents/?uuid=b7a95599-0103-3417-bb33-1f6eec6f8fcd"]}],"mendeley":{"formattedCitation":"(Salem et al., 2026)","plainTextFormattedCitation":"(Salem et al., 2026)","previouslyFormattedCitation":"(Salem et al., 2026)"},"properties":{"noteIndex":0},"schema":"https://github.com/citation-style-language/schema/raw/master/csl-citation.json"}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(Salem et al., 2026)</w:t>
      </w:r>
      <w:r w:rsidRPr="0098357A">
        <w:rPr>
          <w:rFonts w:ascii="Arial" w:hAnsi="Arial" w:cs="Arial"/>
        </w:rPr>
        <w:fldChar w:fldCharType="end"/>
      </w:r>
      <w:r w:rsidRPr="0098357A">
        <w:rPr>
          <w:rFonts w:ascii="Arial" w:hAnsi="Arial" w:cs="Arial"/>
        </w:rPr>
        <w:t>.</w:t>
      </w:r>
    </w:p>
    <w:p w14:paraId="43202723" w14:textId="77777777" w:rsidR="00DA0B0B" w:rsidRPr="0098357A" w:rsidRDefault="00DA0B0B" w:rsidP="0074373E">
      <w:pPr>
        <w:spacing w:line="276" w:lineRule="auto"/>
        <w:jc w:val="both"/>
        <w:rPr>
          <w:rFonts w:ascii="Arial" w:hAnsi="Arial" w:cs="Arial"/>
        </w:rPr>
      </w:pPr>
      <w:r w:rsidRPr="0098357A">
        <w:rPr>
          <w:rFonts w:ascii="Arial" w:hAnsi="Arial" w:cs="Arial"/>
        </w:rPr>
        <w:t xml:space="preserve">Recent investigations have identified oxidative stress as a major impediment to optimal follicular development, as elevated ROS levels interfere with the expression and function of FSH and LH receptors on the follicular membrane, ultimately resulting in stunted follicular growth or programmed cell death </w:t>
      </w:r>
      <w:r w:rsidRPr="0098357A">
        <w:rPr>
          <w:rFonts w:ascii="Arial" w:hAnsi="Arial" w:cs="Arial"/>
        </w:rPr>
        <w:fldChar w:fldCharType="begin" w:fldLock="1"/>
      </w:r>
      <w:r w:rsidRPr="0098357A">
        <w:rPr>
          <w:rFonts w:ascii="Arial" w:hAnsi="Arial" w:cs="Arial"/>
        </w:rPr>
        <w:instrText>ADDIN CSL_CITATION {"citationItems":[{"id":"ITEM-1","itemData":{"DOI":"10.4314/bcse.v40i3.2","ISSN":"1726801X","abstract":"This study investigated the phytochemical composition, evaluated the acute toxicity, and potential fertility-enhancing effects of a hydroethanolic extract obtained from Ajuga iva (L.) aerial parts. The extraction yielded 23.8%, and analysis revealed a high concentration of phenolics (182.21± 0.51mg Eq GAE/g DW extract) and flavonoids (46.75± 0.85mg Eq QE/g DW extract). Using HPLC-ESI-MS/MS, we identified twenty-one metabolites, with phytoecdysteroids and flavonoids being the most abundant. No signs of mortality or toxicity were recorded over 14 days following a single orally administered dose of 2000 mg/kg. Notably, the extract significantly increased the weights of the ovaries and genital tract (p &lt; 0.01), resulting in a more than 2.5-fold rise compared to controls. Histological study confirmed enhanced follicular development, especially at the 20 mg/kg dose, characterized by a greater number of tertiary and Graafian follicles. Molecular docking analysis further revealed strong binding affinities of apigenin, naringenin-7-O-rutinoside, naringenin, campestanol trans-ferulate, and ajugasterone C with key reproductive hormone receptors, suggesting their possible role in stimulating folliculogenesis. Altogether, these findings highlight the promise of Ajuga iva (L.) as a natural fertility enhancer and support the need for further research.","author":[{"dropping-particle":"","family":"Salem","given":"Zineb","non-dropping-particle":"","parse-names":false,"suffix":""},{"dropping-particle":"","family":"Zermane","given":"Faiza","non-dropping-particle":"","parse-names":false,"suffix":""},{"dropping-particle":"","family":"Cheknane","given":"Benamar","non-dropping-particle":"","parse-names":false,"suffix":""},{"dropping-particle":"","family":"Chader","given":"Henni","non-dropping-particle":"","parse-names":false,"suffix":""},{"dropping-particle":"","family":"Djellouli","given":"Salim","non-dropping-particle":"","parse-names":false,"suffix":""},{"dropping-particle":"","family":"Touzout","given":"Nabil","non-dropping-particle":"","parse-names":false,"suffix":""},{"dropping-particle":"","family":"El-Beltagi","given":"Hossam S.","non-dropping-particle":"","parse-names":false,"suffix":""},{"dropping-particle":"","family":"Al-Dossary","given":"Othman","non-dropping-particle":"","parse-names":false,"suffix":""},{"dropping-particle":"","family":"Alsubaie","given":"Bader","non-dropping-particle":"","parse-names":false,"suffix":""},{"dropping-particle":"","family":"Rezk","given":"Adel A.","non-dropping-particle":"","parse-names":false,"suffix":""},{"dropping-particle":"","family":"Ismail","given":"Ahmed Mahmoud","non-dropping-particle":"","parse-names":false,"suffix":""},{"dropping-particle":"","family":"Elmenofy","given":"Wael","non-dropping-particle":"","parse-names":false,"suffix":""}],"container-title":"Bulletin of the Chemical Society of Ethiopia","id":"ITEM-1","issue":"3","issued":{"date-parts":[["2026"]]},"page":"501-517","publisher":"Chemical Society of Ethiopia","title":"Phytochemical characterization and female fertility-enhancing potential of ajugaiva (L.) extract: insights from in vivo and toxicological studies","type":"article-journal","volume":"40"},"uris":["http://www.mendeley.com/documents/?uuid=b7a95599-0103-3417-bb33-1f6eec6f8fcd"]},{"id":"ITEM-2","itemData":{"DOI":"10.1016/j.lwt.2021.111924","ISSN":"00236438","abstract":"This study aimed to characterize and compare pulps of two species of organic dragon fruits, Hylocereus undatus and Hylocereus polyrhizus, grown at the same edaphoclimatic conditions in terms of bioactive compounds and physicochemical aspects. No significant differences were observed between purple and white pulps concerning moisture, ascorbic acid concentration, and DPPH-assay antioxidant activity. Purple pulp demonstrated higher values for pH, Folin-Ciocalteau reducing capacity, and FRAP-assay antioxidant activity, lower acidity, and expressive total betalain content, suggesting higher bioactive potential. The main phenolic compounds identified in purple pulp were rutin, hesperidin, ferulic, and sinapic acids, while the white one was rich in chlorogenic acid. The major organic acids identified in both pulps were malic, citric, formic, pipecolic, and ascorbic. Pipecolic acid was detected in both, although more predominant in purple pulp, in remarkable concentrations, being the first report of it in the Cactaceae family. The found results indicate potential bioactivity, contributing to confirm the status of superfruit of these exotic fruits.","author":[{"dropping-particle":"","family":"Angonese","given":"Mariana","non-dropping-particle":"","parse-names":false,"suffix":""},{"dropping-particle":"","family":"Motta","given":"Gabriel Emiliano","non-dropping-particle":"","parse-names":false,"suffix":""},{"dropping-particle":"","family":"Silva de Farias","given":"Natália","non-dropping-particle":"","parse-names":false,"suffix":""},{"dropping-particle":"","family":"Molognoni","given":"Luciano","non-dropping-particle":"","parse-names":false,"suffix":""},{"dropping-particle":"","family":"Daguer","given":"Heitor","non-dropping-particle":"","parse-names":false,"suffix":""},{"dropping-particle":"","family":"Brugnerotto","given":"Patrícia","non-dropping-particle":"","parse-names":false,"suffix":""},{"dropping-particle":"","family":"Oliveira Costa","given":"Ana Carolina","non-dropping-particle":"de","parse-names":false,"suffix":""},{"dropping-particle":"","family":"Olivera Müller","given":"Carmen Maria","non-dropping-particle":"","parse-names":false,"suffix":""}],"container-title":"LWT","id":"ITEM-2","issued":{"date-parts":[["2021","9","1"]]},"publisher":"Academic Press","title":"Organic dragon fruits (Hylocereus undatus and Hylocereus polyrhizus) grown at the same edaphoclimatic conditions: Comparison of phenolic and organic acids profiles and antioxidant activities","type":"article-journal","volume":"149"},"uris":["http://www.mendeley.com/documents/?uuid=c4defaa7-e6f4-34fc-83c4-9bf2e16e5b4e"]},{"id":"ITEM-3","itemData":{"DOI":"10.1016/j.foodchem.2025.147658","ISSN":"18737072","PMID":"41453279","abstract":"Ultrasonic-assisted extraction (UAE) was employed for the maximum recovery of betalain pigment from red dragon fruit pulp using response surface variables as temperature (25–65 °C), extraction time (5–25 min), number of extractions (1–5), and solid/mass ratio (1:5–1:15 v/v). UAE at 25 kHz increased the betacyanin yield by 32 % i.e. 15.18–20.03 mg/100 ml and betaxanthin by 30 % i.e. 6.39–8.31 mg/100 ml in fresh dragon fruit pulp respectively. The central composite rotatable design was found to be best fitted with data having a higher R2 (91 and 97 %), lower value of standard error and scattered plot. Maximum recovery of betalain pigment from pulp was obtained at 55 °C, 20 min, four extractions and 1:12.5 v/v because at higher temperature breakdown of compact tissues of fruit lead to the release of pigments and further increase in temperature (55 °C) can cause degradation of pigment. This study provides sustainable data for process design and industrial scale-up operations.","author":[{"dropping-particle":"","family":"Chauhan","given":"Bhawna","non-dropping-particle":"","parse-names":false,"suffix":""},{"dropping-particle":"","family":"Sharma","given":"Parul","non-dropping-particle":"","parse-names":false,"suffix":""},{"dropping-particle":"","family":"Oberoi","given":"Davinder Pal Singh","non-dropping-particle":"","parse-names":false,"suffix":""}],"container-title":"Food Chemistry","id":"ITEM-3","issued":{"date-parts":[["2026","2","15"]]},"publisher":"Elsevier Ltd","title":"Ultrasonic-assisted betalain extraction from red dragon fruit pulp (Hylocereus polyrhizus) using response surface methodology","type":"article-journal","volume":"502"},"uris":["http://www.mendeley.com/documents/?uuid=5956cce2-80d5-330d-b6a3-721093ad62b8"]},{"id":"ITEM-4","itemData":{"DOI":"10.1016/j.biopha.2018.03.119","ISSN":"19506007","PMID":"29587238","abstract":"Cisplatin (CP) is a widely used chemotherapeutic drug, effective against a variety of solid tumours, though its utility is limited due to its multiple organ toxicity. Zingerone (ZO), one of the most important components of dry ginger root, has several pharmacological activities, such as antioxidant, anti-inflammatory and anti-apoptotic properties. This study aimed to investigate the ameliorative effect of ZO on CP-induced ovarian and uterine toxicity in female rats. The rats were subjected to a prophylactic oral treatment of ZO (25 and 50 mg/kg body weight) for seven days to measure the protective effect against ovarian and uterine toxicity induced by a single (i.p.) of CP (7 mg/kg body weight) on the first day whereas the rats were sacrificed on the eighth day. The results showed that ZO decreased the serum FSH hormone level, increased the serum E2 hormone level, and also maintained the ovarian and uterine histological architecture and integrity. In addition, ZO obviously increased the measured activity of antioxidant enzymes (SOD, CAT and GPx) and the GSH content, and significantly reduced MDA levels. ZO was able to reduce the levels of the inflammatory markers NF-κB, TNF-α IL-1β IL-6, COX-2 and iNOS in CP-induced ovarian and uterine damage. It also inhibited apoptosis and reduced oxidative DNA damage markers by the downregulation of caspase-3 and 8-OHdG expression coupled with an upregulated Bcl-2 level. The results indicate that ZO may be beneficial in ameliorating CP-induced oxidative stress, sex hormone imbalances, inflammation and apoptosis in ovarian and uterine tissues of female rats.","author":[{"dropping-particle":"","family":"kaygusuzoglu","given":"Erdal","non-dropping-particle":"","parse-names":false,"suffix":""},{"dropping-particle":"","family":"Caglayan","given":"Cuneyt","non-dropping-particle":"","parse-names":false,"suffix":""},{"dropping-particle":"","family":"Kandemir","given":"Fatih Mehmet","non-dropping-particle":"","parse-names":false,"suffix":""},{"dropping-particle":"","family":"Yıldırım","given":"Serkan","non-dropping-particle":"","parse-names":false,"suffix":""},{"dropping-particle":"","family":"Kucukler","given":"Sefa","non-dropping-particle":"","parse-names":false,"suffix":""},{"dropping-particle":"","family":"Kılınc","given":"Mehmet Akif","non-dropping-particle":"","parse-names":false,"suffix":""},{"dropping-particle":"","family":"Saglam","given":"Yavuz Selim","non-dropping-particle":"","parse-names":false,"suffix":""}],"container-title":"Biomedicine and Pharmacotherapy","id":"ITEM-4","issued":{"date-parts":[["2018","6","1"]]},"page":"517-530","publisher":"Elsevier Masson SAS","title":"Zingerone ameliorates cisplatin</w:instrText>
      </w:r>
      <w:r w:rsidRPr="0098357A">
        <w:rPr>
          <w:rFonts w:ascii="Cambria Math" w:hAnsi="Cambria Math" w:cs="Cambria Math"/>
        </w:rPr>
        <w:instrText>‐</w:instrText>
      </w:r>
      <w:r w:rsidRPr="0098357A">
        <w:rPr>
          <w:rFonts w:ascii="Arial" w:hAnsi="Arial" w:cs="Arial"/>
        </w:rPr>
        <w:instrText>induced ovarian and uterine toxicity via suppression of sex hormone imbalances, oxidative stress, inflammation and apoptosis in female wistar rats","type":"article-journal","volume":"102"},"uris":["http://www.mendeley.com/documents/?uuid=4823193e-e4de-33e3-83aa-de770c27f1e9"]},{"id":"ITEM-5","itemData":{"DOI":"10.1016/j.crgsc.2025.100474","ISSN":"26660865","abstract":"This study is the first application of a combined sonication and enzyme extraction technique as green technology to recover biological compounds from the peel of red-fleshed dragon fruit, utilizing Response Surface Methodology (RSM) and Artificial Neural Network-Genetic Algorithm (ANN-GA). The peel of dragon fruit had sonication pretreatment for 10–30 min (X1), followed by hydrolysis using 0.1 % Pectinex Ultra SP-L enzyme at temperatures ranging from 30 to 60 °C (X2) for a duration of 60–120 min (X3). The Box-Behnken design was employed to structure the experiment. The levels of polyphenol, betacyanin, and antioxidant activity in the extract were utilized to assess the efficacy of the extraction method. The research demonstrated a substantial enhancement in efficiency by the application of ultrasound pretreatment during the enzymatic hydrolysis of dragon fruit peel. The study identified the ideal parameters for the extraction process using the ANN-GA approach, which include an ultrasonic duration of 27.5 min, an enzyme incubation temperature of 47.1 °C, and an enzyme incubation duration of 135.1 min. Under these conditions, the extract exhibited a total phenolic content of 165.34 mg GAE/g peel weight, betacyanin content of 131.87 mg/100 g peel weight, and an antioxidant activity of 0.92 mg TE/100 g by using DPPH radical scavenging activity assay. The research demonstrated that dual treatment enhances the extraction process of chemicals from by-products, particularly dragon fruit peel. The study established a foundation for future research on the utilization and integration of effective extraction technologies to enhance the quality of extracts for use in the food sector.","author":[{"dropping-particle":"","family":"Loan","given":"Le Thi Kim","non-dropping-particle":"","parse-names":false,"suffix":""},{"dropping-particle":"","family":"Thao","given":"Le Thi Nhu","non-dropping-particle":"","parse-names":false,"suffix":""},{"dropping-particle":"","family":"Vinh","given":"Bui The","non-dropping-particle":"","parse-names":false,"suffix":""},{"dropping-particle":"","family":"Mansamut","given":"Chaiyut","non-dropping-particle":"","parse-names":false,"suffix":""},{"dropping-particle":"Van","family":"Tai","given":"Ngo","non-dropping-particle":"","parse-names":false,"suffix":""}],"container-title":"Current Research in Green and Sustainable Chemistry","id":"ITEM-5","issued":{"date-parts":[["2025","1","1"]]},"publisher":"Elsevier B.V.","title":"Enhancing antioxidant extraction efficiency from red dragon fruit peel by green approach using novel optimization technique","type":"article-journal","volume":"11"},"uris":["http://www.mendeley.com/documents/?uuid=ee099a45-3b18-35a6-ab84-bd2b32c649db"]},{"id":"ITEM-6","itemData":{"DOI":"10.1016/j.focha.2025.101156","ISSN":"2772753X","abstract":"Foodomics have emerged as an intriguing tool for the identification of the functional components in different fermented foods. Meanwhile, utilization of fruit processing waste for the development of composite dairy products has also become popular in the food industry. The present study delineates with the optimization of valorized yoghurt with incorporated dragon fruit peel powder (DPP) to enhance the functionality of the food. The formulation having 3% DPP was found best acceptable on the scale of sensory, textural and colour value analysis. The optimized yoghurt was showing total phenolic content of 405±2.66 mg GAE/100 g, total flavonoid content of 242±0.06 mg CE/100 g and antioxidant activity of 52.16% DPPH inhibition. Furthermore, an untargeted LC-MS omics have highlighted the presence of 34 major bioactive compounds with multifaceted functional properties. Linoleoyl glycerol, flaviolin, kaempferol coumarate, phenylacetylglycine, fatty acids, amino acids and many derivatives were covered in the metabolome in the RT range from 0.9 to 28 min. Numerous metabolites are known for their anti-inflammatory, anti-cancer, anti-CVD, anti-oxidant activities. This study has shown the enhanced bioactivity of the yoghurt post valorization which could confers a broad range of health benefits to the consumers. Additionally, functional composite foods can be developed utilizing processing waste and by-products to bring sustainability.","author":[{"dropping-particle":"","family":"Riba","given":"Nyato","non-dropping-particle":"","parse-names":false,"suffix":""},{"dropping-particle":"","family":"Singh","given":"Manish Kumar","non-dropping-particle":"","parse-names":false,"suffix":""},{"dropping-particle":"","family":"Rai","given":"Dinesh Chandra","non-dropping-particle":"","parse-names":false,"suffix":""},{"dropping-particle":"","family":"Lal","given":"Shankar","non-dropping-particle":"","parse-names":false,"suffix":""}],"container-title":"Food Chemistry Advances","id":"ITEM-6","issued":{"date-parts":[["2025","12","1"]]},"publisher":"Elsevier Ltd","title":"Bioactive profiling of valorized yoghurt incorporated with dragon fruit peel powder using LC-MS metabolomics","type":"article-journal","volume":"9"},"uris":["http://www.mendeley.com/documents/?uuid=71bb8728-3acc-3b9b-a6be-ba7e1fae1eb1"]},{"id":"ITEM-7","itemData":{"DOI":"10.1016/j.jssas.2015.02.001","ISSN":"1658077X","abstract":"The aim of this research was to optimize the operating parameters in microwave assisted extraction process (MIE) such as temperature, mass of the sample, extraction time on the betalain content from dragon fruit peel using response surface methodology (RSM). Three factors three levels Box-Behnken response surface design (BBD) was used for optimization and mathematical model development. Significant quadratic polynomial model was obtained (R2 = 0.9892 for betalain content) with high coefficient determination value and numerical optimization was employed to achieve optimum conditions which was found to be; temperature of 35 °C, mass of the sample of 20 g, and treatment time of 8 min. Under these conditions, 9 mg/L of betalain content was obtained and it was validated using experimental values.","author":[{"dropping-particle":"","family":"Thirugnanasambandham","given":"K.","non-dropping-particle":"","parse-names":false,"suffix":""},{"dropping-particle":"","family":"Sivakumar","given":"V.","non-dropping-particle":"","parse-names":false,"suffix":""}],"container-title":"Journal of the Saudi Society of Agricultural Sciences","id":"ITEM-7","issue":"1","issued":{"date-parts":[["2017","1","1"]]},"page":"41-48","publisher":"King Saud University","title":"Microwave assisted extraction process of betalain from dragon fruit and its antioxidant activities","type":"article-journal","volume":"16"},"uris":["http://www.mendeley.com/documents/?uuid=582513ce-e1c0-362e-a05f-7086a8a8cbcf"]}],"mendeley":{"formattedCitation":"(Angonese et al., 2021; Chauhan et al., 2026; kaygusuzoglu et al., 2018; Loan et al., 2025; Riba et al., 2025; Salem et al., 2026; Thirugnanasambandham &amp; Sivakumar, 2017)","plainTextFormattedCitation":"(Angonese et al., 2021; Chauhan et al., 2026; kaygusuzoglu et al., 2018; Loan et al., 2025; Riba et al., 2025; Salem et al., 2026; Thirugnanasambandham &amp; Sivakumar, 2017)","previouslyFormattedCitation":"(Angonese et al., 2021; Chauhan et al., 2026; kaygusuzoglu et al., 2018; Loan et al., 2025; Riba et al., 2025; Salem et al., 2026; Thirugnanasambandham &amp; Sivakumar, 2017)"},"properties":{"noteIndex":0},"schema":"https://github.com/citation-style-language/schema/raw/master/csl-citation.json"}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(Angonese et al., 2021; Chauhan et al., 2026; kaygusuzoglu et al., 2018; Loan et al., 2025; Riba et al., 2025; Salem et al., 2026; Thirugnanasambandham &amp; Sivakumar, 2017)</w:t>
      </w:r>
      <w:r w:rsidRPr="0098357A">
        <w:rPr>
          <w:rFonts w:ascii="Arial" w:hAnsi="Arial" w:cs="Arial"/>
        </w:rPr>
        <w:fldChar w:fldCharType="end"/>
      </w:r>
      <w:r w:rsidRPr="0098357A">
        <w:rPr>
          <w:rFonts w:ascii="Arial" w:hAnsi="Arial" w:cs="Arial"/>
        </w:rPr>
        <w:t xml:space="preserve">. This mechanistic understanding has prompted investigation into natural compounds capable of neutralizing oxidative damage while simultaneously supporting hormonal signaling pathways essential for </w:t>
      </w:r>
      <w:proofErr w:type="spellStart"/>
      <w:r w:rsidRPr="0098357A">
        <w:rPr>
          <w:rFonts w:ascii="Arial" w:hAnsi="Arial" w:cs="Arial"/>
        </w:rPr>
        <w:t>folliculogenesis</w:t>
      </w:r>
      <w:proofErr w:type="spellEnd"/>
      <w:r w:rsidRPr="0098357A">
        <w:rPr>
          <w:rFonts w:ascii="Arial" w:hAnsi="Arial" w:cs="Arial"/>
        </w:rPr>
        <w:t xml:space="preserve"> </w:t>
      </w:r>
      <w:r w:rsidRPr="0098357A">
        <w:rPr>
          <w:rFonts w:ascii="Arial" w:hAnsi="Arial" w:cs="Arial"/>
        </w:rPr>
        <w:fldChar w:fldCharType="begin" w:fldLock="1"/>
      </w:r>
      <w:r w:rsidRPr="0098357A">
        <w:rPr>
          <w:rFonts w:ascii="Arial" w:hAnsi="Arial" w:cs="Arial"/>
        </w:rPr>
        <w:instrText>ADDIN CSL_CITATION {"citationItems":[{"id":"ITEM-1","itemData":{"DOI":"10.36709/ampibi.v10i3.360","abstract":"Abstrak: Fenomena infertilitas (ketidaksuburan) banyak dialami oleh masyarkat, berbagai alternatif pengobatan baik secara medis ataupun non medis banyak dilakukan. Salah satu alternative yang banyak dilakukan oleh masyarakat adalah pemanfaatan herbal, salah satunya adalah buah naga. Konsumsi buah naga (Hylocereus polyrhizus) diharapkan dapat membantu meningkatkan kesuburan. Penelitian ini bertujuan untuk mengetahui pemberian ekstrak buah naga (Hylocereus polyrhizus) terhadap jumlah sel granulosa pada tikus putih betina. Jenis penelitian adalah eksperimen (true experiment) menggunakan Rancangan Acak Lengkap. Populasi penelitian menggunakan 40 ekor tikus. Sampel diperoleh dengan teknik simple random sampling sebanyak 24 ekor tikus dengan kriteria sampel berat 150 sampai 200 gram, umur 12 sampai 13 minggu, jenis kelamin betina, dan dalam kondisi sehat. Teknik analisis data dilakukan secara deskriptif dan inferensial, uji hipotesis menggunakan uji ANOVA dengan taraf kepercayaan 95% (α = 0,05) dimana diperoleh Fhitung&gt; Ftabel dan uji lanjut Tukey/HSD (Honest Significant Difference). Hasil yang diperoleh menunjukkan bahwa ekstrak buah naga berpengaruh secara signifikan terhadap jumlah sel granulosa pada tikus putih betina. Semakin tinggi dosis ekstrak buah naga yang diberikan semakin semakin bertambah jumlah sel granulosa. Abstract: Phenomenon in the community many experience infertility, so that by consuming dragon fruit (Hylocereus polyrhizus) is expected to help improve fertility. This study aims to determine the administration of dragon fruit extract (Hylocereus polyrhizus). This type of research is an experiment (true experiment) using a completely randomised design. The study population used 40 rats. The sample was obtained by simple random sampling technique as many as 24 rats with sample criteria weighing 150 to 200 grams, age 12 to 13 weeks, female sex, and in healthy condition. Data analysis techniques were carried out descriptively and inferentially, hypothesis testing using ANOVA test with 95% confidence level (α = 0.05) where the calculated F was obtained &gt; Ftable and Tukey/HSD (Honest Significant Difference). The results obtained that dragon fruit extract has a significant effect on the number of granulosa cells in female white rats.","author":[{"dropping-particle":"","family":"Kolaka","given":"La","non-dropping-particle":"","parse-names":false,"suffix":""},{"dropping-particle":"","family":"Sirih","given":"Muhammad","non-dropping-particle":"","parse-names":false,"suffix":""}],"container-title":"AMPIBI: Jurnal Alumni Pendidikan Biologi","id":"ITEM-1","issue":"3","issued":{"date-parts":[["2025"]]},"page":"1-6","title":"Efectiveness of dragon fruit extract (Hylocereus polyrhizus) on the number of granulosa cells of female white rats (Rattus norvegicus)","type":"article-journal","volume":"10"},"uris":["http://www.mendeley.com/documents/?uuid=601da34d-dd75-32a3-98d0-2e5145d492e7"]}],"mendeley":{"formattedCitation":"(Kolaka &amp; Sirih, 2025)","plainTextFormattedCitation":"(Kolaka &amp; Sirih, 2025)","previouslyFormattedCitation":"(Kolaka &amp; Sirih, 2025)"},"properties":{"noteIndex":0},"schema":"https://github.com/citation-style-language/schema/raw/master/csl-citation.json"}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(Kolaka &amp; Sirih, 2025)</w:t>
      </w:r>
      <w:r w:rsidRPr="0098357A">
        <w:rPr>
          <w:rFonts w:ascii="Arial" w:hAnsi="Arial" w:cs="Arial"/>
        </w:rPr>
        <w:fldChar w:fldCharType="end"/>
      </w:r>
      <w:r w:rsidRPr="0098357A">
        <w:rPr>
          <w:rFonts w:ascii="Arial" w:hAnsi="Arial" w:cs="Arial"/>
        </w:rPr>
        <w:t>. Red dragon fruit (</w:t>
      </w:r>
      <w:r w:rsidRPr="0098357A">
        <w:rPr>
          <w:rFonts w:ascii="Arial" w:hAnsi="Arial" w:cs="Arial"/>
          <w:i/>
          <w:iCs/>
        </w:rPr>
        <w:t xml:space="preserve">Hylocereus </w:t>
      </w:r>
      <w:proofErr w:type="spellStart"/>
      <w:r w:rsidRPr="0098357A">
        <w:rPr>
          <w:rFonts w:ascii="Arial" w:hAnsi="Arial" w:cs="Arial"/>
          <w:i/>
          <w:iCs/>
        </w:rPr>
        <w:t>polyrhizus</w:t>
      </w:r>
      <w:proofErr w:type="spellEnd"/>
      <w:r w:rsidRPr="0098357A">
        <w:rPr>
          <w:rFonts w:ascii="Arial" w:hAnsi="Arial" w:cs="Arial"/>
        </w:rPr>
        <w:t xml:space="preserve">), a widely cultivated tropical fruit valued for its exceptional nutritional density, has emerged as a promising candidate due to its exceptionally high concentration of </w:t>
      </w:r>
      <w:proofErr w:type="spellStart"/>
      <w:r w:rsidRPr="0098357A">
        <w:rPr>
          <w:rFonts w:ascii="Arial" w:hAnsi="Arial" w:cs="Arial"/>
        </w:rPr>
        <w:t>betalains</w:t>
      </w:r>
      <w:proofErr w:type="spellEnd"/>
      <w:r w:rsidRPr="0098357A">
        <w:rPr>
          <w:rFonts w:ascii="Arial" w:hAnsi="Arial" w:cs="Arial"/>
        </w:rPr>
        <w:t xml:space="preserve"> potent nitrogenous pigments possessing robust antioxidant properties </w:t>
      </w:r>
      <w:r w:rsidRPr="0098357A">
        <w:rPr>
          <w:rFonts w:ascii="Arial" w:hAnsi="Arial" w:cs="Arial"/>
        </w:rPr>
        <w:fldChar w:fldCharType="begin" w:fldLock="1"/>
      </w:r>
      <w:r w:rsidRPr="0098357A">
        <w:rPr>
          <w:rFonts w:ascii="Arial" w:hAnsi="Arial" w:cs="Arial"/>
        </w:rPr>
        <w:instrText>ADDIN CSL_CITATION {"citationItems":[{"id":"ITEM-1","itemData":{"DOI":"10.4314/bcse.v40i3.2","ISSN":"1726801X","abstract":"This study investigated the phytochemical composition, evaluated the acute toxicity, and potential fertility-enhancing effects of a hydroethanolic extract obtained from Ajuga iva (L.) aerial parts. The extraction yielded 23.8%, and analysis revealed a high concentration of phenolics (182.21± 0.51mg Eq GAE/g DW extract) and flavonoids (46.75± 0.85mg Eq QE/g DW extract). Using HPLC-ESI-MS/MS, we identified twenty-one metabolites, with phytoecdysteroids and flavonoids being the most abundant. No signs of mortality or toxicity were recorded over 14 days following a single orally administered dose of 2000 mg/kg. Notably, the extract significantly increased the weights of the ovaries and genital tract (p &lt; 0.01), resulting in a more than 2.5-fold rise compared to controls. Histological study confirmed enhanced follicular development, especially at the 20 mg/kg dose, characterized by a greater number of tertiary and Graafian follicles. Molecular docking analysis further revealed strong binding affinities of apigenin, naringenin-7-O-rutinoside, naringenin, campestanol trans-ferulate, and ajugasterone C with key reproductive hormone receptors, suggesting their possible role in stimulating folliculogenesis. Altogether, these findings highlight the promise of Ajuga iva (L.) as a natural fertility enhancer and support the need for further research.","author":[{"dropping-particle":"","family":"Salem","given":"Zineb","non-dropping-particle":"","parse-names":false,"suffix":""},{"dropping-particle":"","family":"Zermane","given":"Faiza","non-dropping-particle":"","parse-names":false,"suffix":""},{"dropping-particle":"","family":"Cheknane","given":"Benamar","non-dropping-particle":"","parse-names":false,"suffix":""},{"dropping-particle":"","family":"Chader","given":"Henni","non-dropping-particle":"","parse-names":false,"suffix":""},{"dropping-particle":"","family":"Djellouli","given":"Salim","non-dropping-particle":"","parse-names":false,"suffix":""},{"dropping-particle":"","family":"Touzout","given":"Nabil","non-dropping-particle":"","parse-names":false,"suffix":""},{"dropping-particle":"","family":"El-Beltagi","given":"Hossam S.","non-dropping-particle":"","parse-names":false,"suffix":""},{"dropping-particle":"","family":"Al-Dossary","given":"Othman","non-dropping-particle":"","parse-names":false,"suffix":""},{"dropping-particle":"","family":"Alsubaie","given":"Bader","non-dropping-particle":"","parse-names":false,"suffix":""},{"dropping-particle":"","family":"Rezk","given":"Adel A.","non-dropping-particle":"","parse-names":false,"suffix":""},{"dropping-particle":"","family":"Ismail","given":"Ahmed Mahmoud","non-dropping-particle":"","parse-names":false,"suffix":""},{"dropping-particle":"","family":"Elmenofy","given":"Wael","non-dropping-particle":"","parse-names":false,"suffix":""}],"container-title":"Bulletin of the Chemical Society of Ethiopia","id":"ITEM-1","issue":"3","issued":{"date-parts":[["2026"]]},"page":"501-517","publisher":"Chemical Society of Ethiopia","title":"Phytochemical characterization and female fertility-enhancing potential of ajugaiva (L.) extract: insights from in vivo and toxicological studies","type":"article-journal","volume":"40"},"uris":["http://www.mendeley.com/documents/?uuid=b7a95599-0103-3417-bb33-1f6eec6f8fcd"]},{"id":"ITEM-2","itemData":{"DOI":"10.1016/j.jafr.2025.102157","ISSN":"26661543","abstract":"Dragon fruit (Hylocereus spp.), a tropical cactus species, has gained global recognition for its exceptional adaptability to arid environments, high nutritional value, and emerging therapeutic potential. This review presents an integrated and up-to-date synthesis of recent advancements in agronomic practices, postharvest handling technologies, and biomedical research related to dragon fruit. Agronomic improvements such as high-density planting, drip fertigation, organic nutrient management, biostimulant use, and artificial flower induction have been shown to enhance yield, fruit quality, and resource efficiency under diverse agro-climatic conditions. Postharvest strategies including cold storage, modified atmosphere packaging, edible coatings, and non-thermal techniques such as cold plasma treatment are critically evaluated for their effectiveness in maintaining physicochemical quality, reducing microbial spoilage, and preserving important bioactive compounds during storage and transport. The review also examines the comprehensive nutritional profile, emphasizing its content of dietary fiber, vitamins, minerals, betalains, and phenolics, which contribute to its antioxidant, antidiabetic, and anticancer properties. In addition, recent molecular docking studies are summarized, revealing the potential of major phytopigments such as betacyanin and betaxanthin to interact with therapeutic targets like DNA topoisomerase I, cyclin-dependent kinase 6 (CDK6), alpha-amylase, and lysosomal acid alpha-glucosidase, suggesting possible applications in functional food development and pharmaceutical research. By bridging advancements in cultivation, postharvest preservation, and bioactivity research, this review provides a comprehensive foundation for future scientific inquiry, value addition, and sustainable commercialization of dragon fruit. Despite these advancements, challenges such as inconsistent cultivation practices, limited postharvest technologies, and the need for clinical validation of therapeutic claims persist. This review also highlights existing knowledge gaps and outlines future research directions to overcome these barriers and fully exploit the agricultural and biomedical potential of dragon fruit.","author":[{"dropping-particle":"","family":"Mondol","given":"Md Sabir Ahmed","non-dropping-particle":"","parse-names":false,"suffix":""},{"dropping-particle":"","family":"Akbar","given":"Ubaida","non-dropping-particle":"","parse-names":false,"suffix":""},{"dropping-particle":"","family":"Mandal","given":"Oksana","non-dropping-particle":"","parse-names":false,"suffix":""},{"dropping-particle":"","family":"Rani","given":"Amisha","non-dropping-particle":"","parse-names":false,"suffix":""},{"dropping-particle":"","family":"Dar","given":"Aamir Hussain","non-dropping-particle":"","parse-names":false,"suffix":""},{"dropping-particle":"","family":"Chatterjee","given":"Anilava","non-dropping-particle":"","parse-names":false,"suffix":""},{"dropping-particle":"","family":"Abdi","given":"Gholamreza","non-dropping-particle":"","parse-names":false,"suffix":""}],"container-title":"Journal of Agriculture and Food Research","id":"ITEM-2","issued":{"date-parts":[["2025","8","1"]]},"publisher":"Elsevier B.V.","title":"Advances in agronomic practices, postharvest technologies, and medicinal potential of dragon fruit (Hylocereus spp.): A comprehensive updated review","type":"article","volume":"22"},"uris":["http://www.mendeley.com/documents/?uuid=54ca5068-4bbd-3384-8dc5-45452869b27a"]},{"id":"ITEM-3","itemData":{"DOI":"10.47191/ijcsrr/V7-i6-102","ISSN":"2581-8341","abstract":"The dragon fruit peels (Hylocereus undatus) are typically thrown away as agricultural waste. The disposal of bio-wastes, like peels from dragon fruit and microbiological contamination during their mass breakdown, all contribute to environmental degradation. Peel can be used to extract naturally occurring colour for pigments. The objective of this study is to investigate the feasibility of using the peel of Hylocereus undatus as a coating material for wound healing. The extraction method and potential uses of the pigments derived from the peel will be explored. The study aimed to determine the phytochemical components of Hylocereus undatus (peel) extract and the peel can be utilized as a raw material for pigment extraction due to the betalain content. With the use of a magnetic stirrer extraction, the peel of Hylocereus undatus was extracted with aqueous extraction. Thin layer chromatographic techniques are used to identify the pigment components. In the present study, we recorded both UV-VIS and FT-IR profile of peel extract to known the various phytoconstituents and determine the functional group present in Hylocereus undatus (white dragon fruit). The pigment needs to be applied to the wound gauze, and the stain resistance should be evaluated by determining how well the wound gauze can withstand contamination from the outside coating. Furthermore, the pharmaceutical and nutraceutical sectors are interested in Hylocereus undatus peel due to its components, which may have potential health applications such as anti-inflammatory, antioxidant, antibacterial, and anti-cancer characteristics.","author":[{"dropping-particle":"","family":"Initha","given":"C","non-dropping-particle":"","parse-names":false,"suffix":""},{"dropping-particle":"","family":"Ebency","given":"Lebanon","non-dropping-particle":"","parse-names":false,"suffix":""},{"dropping-particle":"","family":"Vanitha","given":"N","non-dropping-particle":"","parse-names":false,"suffix":""},{"dropping-particle":"","family":"Saran","given":"T S","non-dropping-particle":"","parse-names":false,"suffix":""},{"dropping-particle":"","family":"Shobana","given":"Flory","non-dropping-particle":"","parse-names":false,"suffix":""}],"container-title":"International Journal of Current Science Research and Review","id":"ITEM-3","issue":"6","issued":{"date-parts":[["2024"]]},"title":"Development of Wound Gauze from Hylocereus undatus Dragon Fruit (Pigment) Peel Extract","type":"article-journal","volume":"7"},"uris":["http://www.mendeley.com/documents/?uuid=b106b288-5c61-3078-be8b-670400c02b18"]},{"id":"ITEM-4","itemData":{"DOI":"10.1016/j.lwt.2021.111924","ISSN":"00236438","abstract":"This study aimed to characterize and compare pulps of two species of organic dragon fruits, Hylocereus undatus and Hylocereus polyrhizus, grown at the same edaphoclimatic conditions in terms of bioactive compounds and physicochemical aspects. No significant differences were observed between purple and white pulps concerning moisture, ascorbic acid concentration, and DPPH-assay antioxidant activity. Purple pulp demonstrated higher values for pH, Folin-Ciocalteau reducing capacity, and FRAP-assay antioxidant activity, lower acidity, and expressive total betalain content, suggesting higher bioactive potential. The main phenolic compounds identified in purple pulp were rutin, hesperidin, ferulic, and sinapic acids, while the white one was rich in chlorogenic acid. The major organic acids identified in both pulps were malic, citric, formic, pipecolic, and ascorbic. Pipecolic acid was detected in both, although more predominant in purple pulp, in remarkable concentrations, being the first report of it in the Cactaceae family. The found results indicate potential bioactivity, contributing to confirm the status of superfruit of these exotic fruits.","author":[{"dropping-particle":"","family":"Angonese","given":"Mariana","non-dropping-particle":"","parse-names":false,"suffix":""},{"dropping-particle":"","family":"Motta","given":"Gabriel Emiliano","non-dropping-particle":"","parse-names":false,"suffix":""},{"dropping-particle":"","family":"Silva de Farias","given":"Natália","non-dropping-particle":"","parse-names":false,"suffix":""},{"dropping-particle":"","family":"Molognoni","given":"Luciano","non-dropping-particle":"","parse-names":false,"suffix":""},{"dropping-particle":"","family":"Daguer","given":"Heitor","non-dropping-particle":"","parse-names":false,"suffix":""},{"dropping-particle":"","family":"Brugnerotto","given":"Patrícia","non-dropping-particle":"","parse-names":false,"suffix":""},{"dropping-particle":"","family":"Oliveira Costa","given":"Ana Carolina","non-dropping-particle":"de","parse-names":false,"suffix":""},{"dropping-particle":"","family":"Olivera Müller","given":"Carmen Maria","non-dropping-particle":"","parse-names":false,"suffix":""}],"container-title":"LWT","id":"ITEM-4","issued":{"date-parts":[["2021","9","1"]]},"publisher":"Academic Press","title":"Organic dragon fruits (Hylocereus undatus and Hylocereus polyrhizus) grown at the same edaphoclimatic conditions: Comparison of phenolic and organic acids profiles and antioxidant activities","type":"article-journal","volume":"149"},"uris":["http://www.mendeley.com/documents/?uuid=c4defaa7-e6f4-34fc-83c4-9bf2e16e5b4e"]}],"mendeley":{"formattedCitation":"(Angonese et al., 2021; Initha et al., 2024; Mondol et al., 2025; Salem et al., 2026)","plainTextFormattedCitation":"(Angonese et al., 2021; Initha et al., 2024; Mondol et al., 2025; Salem et al., 2026)","previouslyFormattedCitation":"(Angonese et al., 2021; Initha et al., 2024; Mondol et al., 2025; Salem et al., 2026)"},"properties":{"noteIndex":0},"schema":"https://github.com/citation-style-language/schema/raw/master/csl-citation.json"}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(Angonese et al., 2021; Initha et al., 2024; Mondol et al., 2025; Salem et al., 2026)</w:t>
      </w:r>
      <w:r w:rsidRPr="0098357A">
        <w:rPr>
          <w:rFonts w:ascii="Arial" w:hAnsi="Arial" w:cs="Arial"/>
        </w:rPr>
        <w:fldChar w:fldCharType="end"/>
      </w:r>
      <w:r w:rsidRPr="0098357A">
        <w:rPr>
          <w:rFonts w:ascii="Arial" w:hAnsi="Arial" w:cs="Arial"/>
        </w:rPr>
        <w:t xml:space="preserve">. Beyond </w:t>
      </w:r>
      <w:proofErr w:type="spellStart"/>
      <w:r w:rsidRPr="0098357A">
        <w:rPr>
          <w:rFonts w:ascii="Arial" w:hAnsi="Arial" w:cs="Arial"/>
        </w:rPr>
        <w:t>betalains</w:t>
      </w:r>
      <w:proofErr w:type="spellEnd"/>
      <w:r w:rsidRPr="0098357A">
        <w:rPr>
          <w:rFonts w:ascii="Arial" w:hAnsi="Arial" w:cs="Arial"/>
        </w:rPr>
        <w:t xml:space="preserve">, </w:t>
      </w:r>
      <w:r w:rsidRPr="0098357A">
        <w:rPr>
          <w:rFonts w:ascii="Arial" w:hAnsi="Arial" w:cs="Arial"/>
          <w:i/>
          <w:iCs/>
        </w:rPr>
        <w:t xml:space="preserve">Hylocereus </w:t>
      </w:r>
      <w:proofErr w:type="spellStart"/>
      <w:r w:rsidRPr="0098357A">
        <w:rPr>
          <w:rFonts w:ascii="Arial" w:hAnsi="Arial" w:cs="Arial"/>
          <w:i/>
          <w:iCs/>
        </w:rPr>
        <w:t>polyrhizus</w:t>
      </w:r>
      <w:proofErr w:type="spellEnd"/>
      <w:r w:rsidRPr="0098357A">
        <w:rPr>
          <w:rFonts w:ascii="Arial" w:hAnsi="Arial" w:cs="Arial"/>
        </w:rPr>
        <w:t xml:space="preserve"> contains a comprehensive phenolic profile comprising over 20 identified compounds, including major flavonoids such as quercetin and </w:t>
      </w:r>
      <w:r w:rsidRPr="0098357A">
        <w:rPr>
          <w:rFonts w:ascii="Arial" w:hAnsi="Arial" w:cs="Arial"/>
        </w:rPr>
        <w:lastRenderedPageBreak/>
        <w:t xml:space="preserve">hydroxycinnamic acids like ferulic and </w:t>
      </w:r>
      <w:proofErr w:type="spellStart"/>
      <w:r w:rsidRPr="0098357A">
        <w:rPr>
          <w:rFonts w:ascii="Arial" w:hAnsi="Arial" w:cs="Arial"/>
        </w:rPr>
        <w:t>sinapic</w:t>
      </w:r>
      <w:proofErr w:type="spellEnd"/>
      <w:r w:rsidRPr="0098357A">
        <w:rPr>
          <w:rFonts w:ascii="Arial" w:hAnsi="Arial" w:cs="Arial"/>
        </w:rPr>
        <w:t xml:space="preserve"> acids, which collectively provide broad-spectrum anti-inflammatory and antioxidant benefits </w:t>
      </w:r>
      <w:r w:rsidRPr="0098357A">
        <w:rPr>
          <w:rFonts w:ascii="Arial" w:hAnsi="Arial" w:cs="Arial"/>
        </w:rPr>
        <w:fldChar w:fldCharType="begin" w:fldLock="1"/>
      </w:r>
      <w:r w:rsidRPr="0098357A">
        <w:rPr>
          <w:rFonts w:ascii="Arial" w:hAnsi="Arial" w:cs="Arial"/>
        </w:rPr>
        <w:instrText>ADDIN CSL_CITATION {"citationItems":[{"id":"ITEM-1","itemData":{"DOI":"10.1016/j.foodchem.2025.146709","ISSN":"18737072","PMID":"41092620","abstract":"This study optimized pulsed electric field (PEF) and ultrasonic (US) pretreatments for enhancing juice extraction from red dragon fruit (Hylocereus polyrhizus). PEF parameters were varied using a Box-Behnken design, while US conditions were optimized using a 3-level factorial design. The impact of pretreatments on juice yield, betacyanin content, total phenolics, and antioxidant activity was evaluated. Optimal PEF conditions were 10 kV/cm, 20 μs pulse width, and 50 pulses (40 kJ/kg), while the best US treatment used 40 % amplitude (300 W output power) for 10 min. US pretreatment significantly improved juice yield (72.83 %), betacyanin content (10.08 %), total phenolic content (19.13 %), and DPPH radical scavenging activity (12.33 %) compared to untreated control juice. When directly comparing the two treatments, US pretreatment resulted in a 21.73 % higher juice yield, 6.67 % higher betacyanin content, 12.35 % higher TPC, and 3.08 % higher DPPH activity than PEF treatment, indicating its superior effectiveness in enhancing both quality and nutritional attributes of the juice. SEM analysis confirmed structural modifications, indicating enhanced cell disruption. The study demonstrates that US pretreatment is more effective than PEF in improving juice yield and bioactive retention, offering a promising non-thermal approach for juice processing industries.","author":[{"dropping-particle":"","family":"Nithya","given":"C.","non-dropping-particle":"","parse-names":false,"suffix":""},{"dropping-particle":"","family":"Sudheer","given":"S.","non-dropping-particle":"","parse-names":false,"suffix":""},{"dropping-particle":"","family":"Abdullah","given":"S.","non-dropping-particle":"","parse-names":false,"suffix":""},{"dropping-particle":"","family":"Lakshmi","given":"E. J.","non-dropping-particle":"","parse-names":false,"suffix":""}],"container-title":"Food Chemistry","id":"ITEM-1","issued":{"date-parts":[["2025","12","25"]]},"publisher":"Elsevier Ltd","title":"Enhancing juice yield and bioactive compounds in red dragon fruit juice through pulsed electric field and ultrasonic pre-treatments: process optimization and comparative evaluation","type":"article-journal","volume":"496"},"uris":["http://www.mendeley.com/documents/?uuid=e5ed8621-c36e-3331-90d8-749b2dfcb40e"]},{"id":"ITEM-2","itemData":{"DOI":"10.1080/10408398.2016.1176009","ISSN":"15497852","PMID":"27246698","abstract":"Recent rapid growth of the world's population has increased food demands. This phenomenon poses a great challenge for food manufacturers in maximizing the existing food or plant resources. Nowadays, the recovery of health benefit bioactive compounds from fruit wastes is a research trend not only to help minimize the waste burden, but also to meet the intensive demand from the public for phenolic compounds which are believed to have protective effects against chronic diseases. This review is focused on polyphenolic compounds recovery from tropical fruit wastes and its current trend of utilization. The tropical fruit wastes include in discussion are durian (Durio zibethinus), mangosteen (Garcinia mangostana L.), rambutan (Nephelium lappaceum), mango (Mangifera indica L.), jackfruit (Artocarpus heterophyllus), papaya (Carica papaya), passion fruit (Passiflora edulis), dragon fruit (Hylocereus spp), and pineapple (Ananas comosus). Highlights of bioactive compounds in different parts of a tropical fruit are targeted primarily for food industries as pragmatic references to create novel innovative health enhancement food products. This information is intended to inspire further research ideas in areas that are still under-explored and for food processing manufacturers who would like to minimize wastes as the norm of present day industry (design) objective.","author":[{"dropping-particle":"","family":"Cheok","given":"Choon Yoong","non-dropping-particle":"","parse-names":false,"suffix":""},{"dropping-particle":"","family":"Mohd Adzahan","given":"Noranizan","non-dropping-particle":"","parse-names":false,"suffix":""},{"dropping-particle":"","family":"Abdul Rahman","given":"Russly","non-dropping-particle":"","parse-names":false,"suffix":""},{"dropping-particle":"","family":"Zainal Abedin","given":"Nur Hanani","non-dropping-particle":"","parse-names":false,"suffix":""},{"dropping-particle":"","family":"Hussain","given":"Norhayati","non-dropping-particle":"","parse-names":false,"suffix":""},{"dropping-particle":"","family":"Sulaiman","given":"Rabiha","non-dropping-particle":"","parse-names":false,"suffix":""},{"dropping-particle":"","family":"Chong","given":"Gun Hean","non-dropping-particle":"","parse-names":false,"suffix":""}],"container-title":"Critical Reviews in Food Science and Nutrition","id":"ITEM-2","issue":"3","issued":{"date-parts":[["2018"]]},"page":"335-361","publisher":"Taylor &amp; Francis","title":"Current trends of tropical fruit waste utilization","type":"article-journal","volume":"58"},"uris":["http://www.mendeley.com/documents/?uuid=880efec2-4b22-41ef-b3f0-71d87bdec114"]},{"id":"ITEM-3","itemData":{"DOI":"10.1016/j.fufo.2025.100768","ISSN":"26668335","abstract":"This study valorizes red dragon fruit peel (an agro-industrial byproduct) as a useful ingredient in biscuits. Proximate analysis of the Red dragon fruit peel powder (RDFPP) revealed a high crude fiber (23.68 %), ash (10.60 %), and carbohydrates (43.32 %), along with bioactive components such as total phenolic content (0.34 mg GAE/g), flavonoids (53.32 mg QE/g) and antioxidant activity: 43.22 %). Fourier transform infrared spectroscopy identified functional groups associated with polysaccharides, phenolic content, flavonoids, and lipids in both peel and biscuits. Biscuits containing 0–9 % RDFPP were evaluated for physicochemical, bioactive, sensory, and microbiological qualities. Increasing RDFPP substitution increased ash (0.71 % to 2.27 %) and fiber (0.08 % to 0.74 %), while decreasing moisture (5.58 % to 4.21 %) and pH (5.34 to 5.03), enhancing shelf stability. Antioxidant activity and bioactive compounds increased proportionally, with 9 % RDFPP showing the highest values (total phenolic content: 0.50 mg GAE/g; total flavonoids: 1.99 ± 0.02 mg QE/g; DPPH: 38.79 %). Sensory evaluation indicated that 6 % RDFPP was the ideal acceptability level, after which color (darker, L*: 36.61) and taste declined due to betacyanin pigments and acidic significance. Scanning electron microscopy analysis revealed structural porosity at higher RDFPP levels, correlating with texture changes. Microbial shelf-life studies showed that RDFPP has antimicrobial properties, reducing bacterial growth in 9 % RDFPP biscuits (8.09 log10 CFU/g) compared to the control (8.45 log10 CFU/g) after 15 days. These findings highlighted the ability of RDFPP to enhance nutritional and functional properties of baked products. A 6 % RDFPP substitution optimized antioxidant enrichment, fiber fortification, and consumer acceptance, providing a sustainable solution for repurposing agricultural waste into value-added foods.","author":[{"dropping-particle":"","family":"Biswas","given":"Mrityunjoy","non-dropping-particle":"","parse-names":false,"suffix":""},{"dropping-particle":"","family":"Alam","given":"Mahfujul","non-dropping-particle":"","parse-names":false,"suffix":""},{"dropping-particle":"","family":"Akhtaruzzaman","given":"Md","non-dropping-particle":"","parse-names":false,"suffix":""},{"dropping-particle":"","family":"Ahmed","given":"Shafi","non-dropping-particle":"","parse-names":false,"suffix":""},{"dropping-particle":"","family":"Uddin","given":"M. Shalim","non-dropping-particle":"","parse-names":false,"suffix":""},{"dropping-particle":"","family":"Talukder","given":"AHMM Rhaman","non-dropping-particle":"","parse-names":false,"suffix":""},{"dropping-particle":"","family":"Alam","given":"Asraful","non-dropping-particle":"","parse-names":false,"suffix":""},{"dropping-particle":"","family":"Biswas","given":"Bikramjit","non-dropping-particle":"","parse-names":false,"suffix":""}],"container-title":"Future Foods","id":"ITEM-3","issued":{"date-parts":[["2025","12","1"]]},"publisher":"Elsevier B.V.","title":"Valorization of red dragon fruit peel (Hylocereus polyrhizus) as a functional ingredient for fortified biscuits: physicochemical, nutritional, and sensory implications","type":"article-journal","volume":"12"},"uris":["http://www.mendeley.com/documents/?uuid=71973daa-819f-3f40-b6ff-ffec4b536332"]},{"id":"ITEM-4","itemData":{"DOI":"10.1016/j.crgsc.2025.100474","ISSN":"26660865","abstract":"This study is the first application of a combined sonication and enzyme extraction technique as green technology to recover biological compounds from the peel of red-fleshed dragon fruit, utilizing Response Surface Methodology (RSM) and Artificial Neural Network-Genetic Algorithm (ANN-GA). The peel of dragon fruit had sonication pretreatment for 10–30 min (X1), followed by hydrolysis using 0.1 % Pectinex Ultra SP-L enzyme at temperatures ranging from 30 to 60 °C (X2) for a duration of 60–120 min (X3). The Box-Behnken design was employed to structure the experiment. The levels of polyphenol, betacyanin, and antioxidant activity in the extract were utilized to assess the efficacy of the extraction method. The research demonstrated a substantial enhancement in efficiency by the application of ultrasound pretreatment during the enzymatic hydrolysis of dragon fruit peel. The study identified the ideal parameters for the extraction process using the ANN-GA approach, which include an ultrasonic duration of 27.5 min, an enzyme incubation temperature of 47.1 °C, and an enzyme incubation duration of 135.1 min. Under these conditions, the extract exhibited a total phenolic content of 165.34 mg GAE/g peel weight, betacyanin content of 131.87 mg/100 g peel weight, and an antioxidant activity of 0.92 mg TE/100 g by using DPPH radical scavenging activity assay. The research demonstrated that dual treatment enhances the extraction process of chemicals from by-products, particularly dragon fruit peel. The study established a foundation for future research on the utilization and integration of effective extraction technologies to enhance the quality of extracts for use in the food sector.","author":[{"dropping-particle":"","family":"Loan","given":"Le Thi Kim","non-dropping-particle":"","parse-names":false,"suffix":""},{"dropping-particle":"","family":"Thao","given":"Le Thi Nhu","non-dropping-particle":"","parse-names":false,"suffix":""},{"dropping-particle":"","family":"Vinh","given":"Bui The","non-dropping-particle":"","parse-names":false,"suffix":""},{"dropping-particle":"","family":"Mansamut","given":"Chaiyut","non-dropping-particle":"","parse-names":false,"suffix":""},{"dropping-particle":"Van","family":"Tai","given":"Ngo","non-dropping-particle":"","parse-names":false,"suffix":""}],"container-title":"Current Research in Green and Sustainable Chemistry","id":"ITEM-4","issued":{"date-parts":[["2025","1","1"]]},"publisher":"Elsevier B.V.","title":"Enhancing antioxidant extraction efficiency from red dragon fruit peel by green approach using novel optimization technique","type":"article-journal","volume":"11"},"uris":["http://www.mendeley.com/documents/?uuid=ee099a45-3b18-35a6-ab84-bd2b32c649db"]}],"mendeley":{"formattedCitation":"(Biswas et al., 2025; Cheok et al., 2018; Loan et al., 2025; Nithya et al., 2025)","plainTextFormattedCitation":"(Biswas et al., 2025; Cheok et al., 2018; Loan et al., 2025; Nithya et al., 2025)","previouslyFormattedCitation":"(Biswas et al., 2025; Cheok et al., 2018; Loan et al., 2025; Nithya et al., 2025)"},"properties":{"noteIndex":0},"schema":"https://github.com/citation-style-language/schema/raw/master/csl-citation.json"}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(Biswas et al., 2025; Cheok et al., 2018; Loan et al., 2025; Nithya et al., 2025)</w:t>
      </w:r>
      <w:r w:rsidRPr="0098357A">
        <w:rPr>
          <w:rFonts w:ascii="Arial" w:hAnsi="Arial" w:cs="Arial"/>
        </w:rPr>
        <w:fldChar w:fldCharType="end"/>
      </w:r>
      <w:r w:rsidRPr="0098357A">
        <w:rPr>
          <w:rFonts w:ascii="Arial" w:hAnsi="Arial" w:cs="Arial"/>
        </w:rPr>
        <w:t>.</w:t>
      </w:r>
    </w:p>
    <w:p w14:paraId="438A36C7" w14:textId="77777777" w:rsidR="00DA0B0B" w:rsidRPr="0098357A" w:rsidRDefault="00DA0B0B" w:rsidP="0074373E">
      <w:pPr>
        <w:spacing w:line="276" w:lineRule="auto"/>
        <w:jc w:val="both"/>
        <w:rPr>
          <w:rFonts w:ascii="Arial" w:hAnsi="Arial" w:cs="Arial"/>
        </w:rPr>
      </w:pPr>
      <w:r w:rsidRPr="0098357A">
        <w:rPr>
          <w:rFonts w:ascii="Arial" w:hAnsi="Arial" w:cs="Arial"/>
        </w:rPr>
        <w:t xml:space="preserve">The mechanism through which dragon fruit bioactive compounds may enhance follicular development operates primarily through oxidative stress mitigation </w:t>
      </w:r>
      <w:r w:rsidRPr="0098357A">
        <w:rPr>
          <w:rFonts w:ascii="Arial" w:hAnsi="Arial" w:cs="Arial"/>
        </w:rPr>
        <w:fldChar w:fldCharType="begin" w:fldLock="1"/>
      </w:r>
      <w:r w:rsidRPr="0098357A">
        <w:rPr>
          <w:rFonts w:ascii="Arial" w:hAnsi="Arial" w:cs="Arial"/>
        </w:rPr>
        <w:instrText>ADDIN CSL_CITATION {"citationItems":[{"id":"ITEM-1","itemData":{"DOI":"10.1016/j.susmat.2024.e01086","ISSN":"22149937","abstract":"Red dragon fruit (RDF, Hylocereus polyrhizus) is high in betacyanins content but is understudied for its antioxidant mechanisms in liver cells. The present study aimed to investigate the antioxidant mechanisms of the stabilised betacyanins in a novel RDF functional drink, Improved-FRDFD-dH2O (produced from mild, sustainable approaches) using HepG2 cell line. Results revealed the betacyanins of Improved-FRDFD-dH2O (12.5% and 25%, v/v) showed the highest direct scavenging effect on intracellular ROS from 75.39% to &lt;31%. The antioxidant enzymes (SOD, CAT and GPx) activities in HepG2 cells were remarkably increased, with 12.5% and 25% Improved-FRDFD-dH2O demonstrating the greatest enhancing effects. RT-qPCR proved the betacyanins of Improved-FRDFD-dH2O possessed indirect antioxidant mechanisms, where the gene expressions associated with Nrf2-ARE pathway were upregulated by all the tested sample concentrations (highest fold: 6.82). Overall, the present findings highlighted the RDF's potential in functional product development with betacyanins as the prominent bioactive compound to provide direct and indirect antioxidative and hepatoprotective activities.","author":[{"dropping-particle":"","family":"Lim","given":"Teck Wei","non-dropping-particle":"","parse-names":false,"suffix":""},{"dropping-particle":"","family":"Lim","given":"Renee Lay Hong","non-dropping-particle":"","parse-names":false,"suffix":""},{"dropping-particle":"","family":"Pui","given":"Liew Phing","non-dropping-particle":"","parse-names":false,"suffix":""},{"dropping-particle":"","family":"Tan","given":"Chin Ping","non-dropping-particle":"","parse-names":false,"suffix":""},{"dropping-particle":"","family":"Ho","given":"Chun Wai","non-dropping-particle":"","parse-names":false,"suffix":""}],"container-title":"Sustainable Materials and Technologies","id":"ITEM-1","issued":{"date-parts":[["2024","9","1"]]},"publisher":"Elsevier B.V.","title":"Studies on the antioxidant mechanisms of betacyanins from improved fermented red dragon fruit (Hylocereus polyrhizus) drink in HepG2 cells","type":"article-journal","volume":"41"},"uris":["http://www.mendeley.com/documents/?uuid=ae3bcdb1-8321-3579-98c7-0fe32851427c"]},{"id":"ITEM-2","itemData":{"DOI":"10.47191/ijcsrr/V7-i6-102","ISSN":"2581-8341","abstract":"The dragon fruit peels (Hylocereus undatus) are typically thrown away as agricultural waste. The disposal of bio-wastes, like peels from dragon fruit and microbiological contamination during their mass breakdown, all contribute to environmental degradation. Peel can be used to extract naturally occurring colour for pigments. The objective of this study is to investigate the feasibility of using the peel of Hylocereus undatus as a coating material for wound healing. The extraction method and potential uses of the pigments derived from the peel will be explored. The study aimed to determine the phytochemical components of Hylocereus undatus (peel) extract and the peel can be utilized as a raw material for pigment extraction due to the betalain content. With the use of a magnetic stirrer extraction, the peel of Hylocereus undatus was extracted with aqueous extraction. Thin layer chromatographic techniques are used to identify the pigment components. In the present study, we recorded both UV-VIS and FT-IR profile of peel extract to known the various phytoconstituents and determine the functional group present in Hylocereus undatus (white dragon fruit). The pigment needs to be applied to the wound gauze, and the stain resistance should be evaluated by determining how well the wound gauze can withstand contamination from the outside coating. Furthermore, the pharmaceutical and nutraceutical sectors are interested in Hylocereus undatus peel due to its components, which may have potential health applications such as anti-inflammatory, antioxidant, antibacterial, and anti-cancer characteristics.","author":[{"dropping-particle":"","family":"Initha","given":"C","non-dropping-particle":"","parse-names":false,"suffix":""},{"dropping-particle":"","family":"Ebency","given":"Lebanon","non-dropping-particle":"","parse-names":false,"suffix":""},{"dropping-particle":"","family":"Vanitha","given":"N","non-dropping-particle":"","parse-names":false,"suffix":""},{"dropping-particle":"","family":"Saran","given":"T S","non-dropping-particle":"","parse-names":false,"suffix":""},{"dropping-particle":"","family":"Shobana","given":"Flory","non-dropping-particle":"","parse-names":false,"suffix":""}],"container-title":"International Journal of Current Science Research and Review","id":"ITEM-2","issue":"6","issued":{"date-parts":[["2024"]]},"title":"Development of Wound Gauze from Hylocereus undatus Dragon Fruit (Pigment) Peel Extract","type":"article-journal","volume":"7"},"uris":["http://www.mendeley.com/documents/?uuid=b106b288-5c61-3078-be8b-670400c02b18"]},{"id":"ITEM-3","itemData":{"DOI":"10.1038/s41598-021-81682-x","ISSN":"20452322","PMID":"33536453","abstract":"Dragon fruit (Hylocereus spp.), an important tropical fruit belonging to the family Cactaceae, is rich in essential nutrients such as vitamins, minerals, complex carbohydrates, dietary fibres and antioxidants. This study aims to distinguish three dragon fruit species well adapted to Andaman and Nicobar Island through morphological (34 quantitative and 26 qualitative traits), biochemical (5 traits) and molecular (14 ISSR primers) characterization. Morphological characterization revealed that presence of considerable amount of genetic variations among them especially for fruit characters viz., colour of peel and pulp. Cladode characters such as number of spines (3–5), length of areoles (mm) as 1–4, margin ribs of cladode (convex or concave) and its waxiness (weak or strong white waxy or light waxy) could be used for identification of three Hylocereus spp. under present study. Highest co-efficient of variation (%) obtained for pulp weight (88.7), whereas, lowest in distance of anthers belowstigma (3.3). Fruit and pulp weight (g) ranged from 26.5–419.3 and 10.3–258.8 with mean value of 204.8 and 125.3, respectively. Comparatively, high phenol (71.3–161.3) and flavonoid (26.6–508.2) content observed in peels than pulp (32.5–130.0 and 45.0–258.2) of fruit indicating higher antioxidant potential. Highest total carotenoids (µg 100 g−1), β-carotene (µg 100 g−1) and xanthophyll (µg g−1) content obtained in pulp on DGF3 (33.8), DGF4 (55.9) and DGF3 (32.7), whereas, in peel on DGF2 (24.3), DGF4 (18.5) and DGF2 (24.1), respectively. DPPH-based scavenging activity (%) revealed higher scavenging activity of peels (55.6–81.2) than pulp (36.0–75.3) extracts. Comparatively, ABTS-based scavenging activity (%) was found more than DPPH-based one. Sixteen ISSR primers screened, 14 were produced 178 reproducible amplified bands. Number of amplified bands varied from 5 in UBC887 to 19 in UBC811 with an average of 12.71 bands per primer. Range of polymorphic bands and % polymorphism observed were 1–13 and 20.0–92.8, respectively. The polymorphic information content value of ISSR marker ranged from 0.42 (UBC895) to 0.91 (UBC 856). Cluster analysis distinguished three different Hylocereus species on the basis of geographic origin and pulp colour by forming separate groups and two genotypes each showed 52% (DGF1 and DGF3) and 76% (DGF2 and DGF4) genetic similarity. Key traits identified for distinguishing three different Hylocereus species were: Pulp/ peel colour of fruits, number…","author":[{"dropping-particle":"","family":"Abirami","given":"K.","non-dropping-particle":"","parse-names":false,"suffix":""},{"dropping-particle":"","family":"Swain","given":"S.","non-dropping-particle":"","parse-names":false,"suffix":""},{"dropping-particle":"","family":"Baskaran","given":"V.","non-dropping-particle":"","parse-names":false,"suffix":""},{"dropping-particle":"","family":"Venkatesan","given":"K.","non-dropping-particle":"","parse-names":false,"suffix":""},{"dropping-particle":"","family":"Sakthivel","given":"K.","non-dropping-particle":"","parse-names":false,"suffix":""},{"dropping-particle":"","family":"Bommayasamy","given":"N.","non-dropping-particle":"","parse-names":false,"suffix":""}],"container-title":"Scientific Reports","id":"ITEM-3","issue":"1","issued":{"date-parts":[["2021","12","1"]]},"publisher":"Nature Research","title":"Distinguishing three Dragon fruit (Hylocereus spp.) species grown in Andaman and Nicobar Islands of India using morphological, biochemical and molecular traits","type":"article-journal","volume":"11"},"uris":["http://www.mendeley.com/documents/?uuid=7898419f-ebb5-3a10-88b3-55ebb6fec912"]},{"id":"ITEM-4","itemData":{"DOI":"10.1016/j.biopha.2018.03.119","ISSN":"19506007","PMID":"29587238","abstract":"Cisplatin (CP) is a widely used chemotherapeutic drug, effective against a variety of solid tumours, though its utility is limited due to its multiple organ toxicity. Zingerone (ZO), one of the most important components of dry ginger root, has several pharmacological activities, such as antioxidant, anti-inflammatory and anti-apoptotic properties. This study aimed to investigate the ameliorative effect of ZO on CP-induced ovarian and uterine toxicity in female rats. The rats were subjected to a prophylactic oral treatment of ZO (25 and 50 mg/kg body weight) for seven days to measure the protective effect against ovarian and uterine toxicity induced by a single (i.p.) of CP (7 mg/kg body weight) on the first day whereas the rats were sacrificed on the eighth day. The results showed that ZO decreased the serum FSH hormone level, increased the serum E2 hormone level, and also maintained the ovarian and uterine histological architecture and integrity. In addition, ZO obviously increased the measured activity of antioxidant enzymes (SOD, CAT and GPx) and the GSH content, and significantly reduced MDA levels. ZO was able to reduce the levels of the inflammatory markers NF-κB, TNF-α IL-1β IL-6, COX-2 and iNOS in CP-induced ovarian and uterine damage. It also inhibited apoptosis and reduced oxidative DNA damage markers by the downregulation of caspase-3 and 8-OHdG expression coupled with an upregulated Bcl-2 level. The results indicate that ZO may be beneficial in ameliorating CP-induced oxidative stress, sex hormone imbalances, inflammation and apoptosis in ovarian and uterine tissues of female rats.","author":[{"dropping-particle":"","family":"kaygusuzoglu","given":"Erdal","non-dropping-particle":"","parse-names":false,"suffix":""},{"dropping-particle":"","family":"Caglayan","given":"Cuneyt","non-dropping-particle":"","parse-names":false,"suffix":""},{"dropping-particle":"","family":"Kandemir","given":"Fatih Mehmet","non-dropping-particle":"","parse-names":false,"suffix":""},{"dropping-particle":"","family":"Yıldırım","given":"Serkan","non-dropping-particle":"","parse-names":false,"suffix":""},{"dropping-particle":"","family":"Kucukler","given":"Sefa","non-dropping-particle":"","parse-names":false,"suffix":""},{"dropping-particle":"","family":"Kılınc","given":"Mehmet Akif","non-dropping-particle":"","parse-names":false,"suffix":""},{"dropping-particle":"","family":"Saglam","given":"Yavuz Selim","non-dropping-particle":"","parse-names":false,"suffix":""}],"container-title":"Biomedicine and Pharmacotherapy","id":"ITEM-4","issued":{"date-parts":[["2018","6","1"]]},"page":"517-530","publisher":"Elsevier Masson SAS","title":"Zingerone ameliorates cisplatin</w:instrText>
      </w:r>
      <w:r w:rsidRPr="0098357A">
        <w:rPr>
          <w:rFonts w:ascii="Cambria Math" w:hAnsi="Cambria Math" w:cs="Cambria Math"/>
        </w:rPr>
        <w:instrText>‐</w:instrText>
      </w:r>
      <w:r w:rsidRPr="0098357A">
        <w:rPr>
          <w:rFonts w:ascii="Arial" w:hAnsi="Arial" w:cs="Arial"/>
        </w:rPr>
        <w:instrText>induced ovarian and uterine toxicity via suppression of sex hormone imbalances, oxidative stress, inflammation and apoptosis in female wistar rats","type":"article-journal","volume":"102"},"uris":["http://www.mendeley.com/documents/?uuid=4823193e-e4de-33e3-83aa-de770c27f1e9"]}],"mendeley":{"formattedCitation":"(Abirami et al., 2021; Initha et al., 2024; kaygusuzoglu et al., 2018; Lim et al., 2024a)","plainTextFormattedCitation":"(Abirami et al., 2021; Initha et al., 2024; kaygusuzoglu et al., 2018; Lim et al., 2024a)","previouslyFormattedCitation":"(Abirami et al., 2021; Initha et al., 2024; kaygusuzoglu et al., 2018; Lim et al., 2024a)"},"properties":{"noteIndex":0},"schema":"https://github.com/citation-style-language/schema/raw/master/csl-citation.json"}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(Abirami et al., 2021; Initha et al., 2024; kaygusuzoglu et al., 2018; Lim et al., 2024a)</w:t>
      </w:r>
      <w:r w:rsidRPr="0098357A">
        <w:rPr>
          <w:rFonts w:ascii="Arial" w:hAnsi="Arial" w:cs="Arial"/>
        </w:rPr>
        <w:fldChar w:fldCharType="end"/>
      </w:r>
      <w:r w:rsidRPr="0098357A">
        <w:rPr>
          <w:rFonts w:ascii="Arial" w:hAnsi="Arial" w:cs="Arial"/>
        </w:rPr>
        <w:t xml:space="preserve">. Exogenous antioxidants derived from </w:t>
      </w:r>
      <w:r w:rsidRPr="0098357A">
        <w:rPr>
          <w:rFonts w:ascii="Arial" w:hAnsi="Arial" w:cs="Arial"/>
          <w:i/>
          <w:iCs/>
        </w:rPr>
        <w:t xml:space="preserve">Hylocereus </w:t>
      </w:r>
      <w:proofErr w:type="spellStart"/>
      <w:r w:rsidRPr="0098357A">
        <w:rPr>
          <w:rFonts w:ascii="Arial" w:hAnsi="Arial" w:cs="Arial"/>
          <w:i/>
          <w:iCs/>
        </w:rPr>
        <w:t>polyrhizus</w:t>
      </w:r>
      <w:proofErr w:type="spellEnd"/>
      <w:r w:rsidRPr="0098357A">
        <w:rPr>
          <w:rFonts w:ascii="Arial" w:hAnsi="Arial" w:cs="Arial"/>
        </w:rPr>
        <w:t xml:space="preserve"> can preserve the sensitivity of granulosa cells to FSH and LH signaling by neutralizing ROS and maintaining receptor integrity on the follicular membrane </w:t>
      </w:r>
      <w:r w:rsidRPr="0098357A">
        <w:rPr>
          <w:rFonts w:ascii="Arial" w:hAnsi="Arial" w:cs="Arial"/>
        </w:rPr>
        <w:fldChar w:fldCharType="begin" w:fldLock="1"/>
      </w:r>
      <w:r w:rsidRPr="0098357A">
        <w:rPr>
          <w:rFonts w:ascii="Arial" w:hAnsi="Arial" w:cs="Arial"/>
        </w:rPr>
        <w:instrText>ADDIN CSL_CITATION {"citationItems":[{"id":"ITEM-1","itemData":{"DOI":"10.3389/fnut.2025.1659572","ISSN":"2296861X","abstract":"Introduction: Consuming foods rich in bioactive compounds can delay chronic non-communicable diseases. Dragon fruit, known for its bioactive compounds with typically low bioavailability—attributed to high polarity, poor permeability, and rapid firstpass metabolism—benefits from strategies like encapsulation to enhance efficacy. Methods: This study developed and assessed phytosomes loaded with dragon fruit extract (Hylocereus costaricensis) and compared their biological activity in vitro and in vivo against the raw extract. Spectrophotometric analysis of the extract revealed 410.4 mg GAE/L of total phenolic compounds and 139.3 mg CE/L of flavonoids. HPLC-DAD-MS/MS identified key components such as citric acid, succinic acid, cyanidin-3-O-rutinoside, ferulic acid, betanin, and rutin. Phytosomes encapsulated 46 ± 2% of phenolics, with a mean diameter of 1,329 ± 121.0 nm, PDI 0.633 ± 0.039, and ζ-potential −16 ± 1 mV. Results: Antioxidant capacities, assessed by the DPPH method, showed that the phytosomal formulation with 46% phenolic content was as effective as the raw extract. In vivo antihyperglycemic studies showed no significant effect from the raw extract (5 mg GAE/kg), but phytosomes (2.3 mg GAE/kg) matched the efficacy of metformin (300 mg/kg). An acute inflammation model using carrageenan-induced paw edema indicated that phytosomes (2.3 mg GAE/kg) had superior anti-inflammatory effects compared to the raw extract (5 mg GAE/kg). Discussion: In summary, dragon fruit extract has antioxidant, antihyperglycemic, and anti-inflammatory properties. These findings support that phytosomal encapsulation significantly improves the bioavailability and efficacy of phenolic-rich crude extract, highlighting their potential in functional food development, nutraceutical applications, and as helpers to conventional therapeutic strategies.","author":[{"dropping-particle":"","family":"Direito","given":"Rosa","non-dropping-particle":"","parse-names":false,"suffix":""},{"dropping-particle":"","family":"Sousa","given":"Inês","non-dropping-particle":"","parse-names":false,"suffix":""},{"dropping-particle":"","family":"Antunes","given":"Filipa","non-dropping-particle":"","parse-names":false,"suffix":""},{"dropping-particle":"","family":"Barbalho","given":"Sandra Maria","non-dropping-particle":"","parse-names":false,"suffix":""},{"dropping-particle":"","family":"Simões","given":"Sandra","non-dropping-particle":"","parse-names":false,"suffix":""},{"dropping-particle":"","family":"Bronze","given":"Maria Rosário","non-dropping-particle":"","parse-names":false,"suffix":""},{"dropping-particle":"","family":"Reis","given":"Catarina","non-dropping-particle":"","parse-names":false,"suffix":""},{"dropping-particle":"","family":"Gaspar","given":"Maria Manuela","non-dropping-particle":"","parse-names":false,"suffix":""},{"dropping-particle":"","family":"Figueira","given":"Maria Eduardo","non-dropping-particle":"","parse-names":false,"suffix":""}],"container-title":"Frontiers in Nutrition","id":"ITEM-1","issued":{"date-parts":[["2025"]]},"publisher":"Frontiers Media SA","title":"Phytosomal delivery enhances bioactivity of Hylocereus costaricensis phenolic extract","type":"article-journal","volume":"12"},"uris":["http://www.mendeley.com/documents/?uuid=1b93b850-91d0-32c8-8de0-7dba697820fc"]},{"id":"ITEM-2","itemData":{"DOI":"10.1038/s41598-021-81682-x","ISSN":"20452322","PMID":"33536453","abstract":"Dragon fruit (Hylocereus spp.), an important tropical fruit belonging to the family Cactaceae, is rich in essential nutrients such as vitamins, minerals, complex carbohydrates, dietary fibres and antioxidants. This study aims to distinguish three dragon fruit species well adapted to Andaman and Nicobar Island through morphological (34 quantitative and 26 qualitative traits), biochemical (5 traits) and molecular (14 ISSR primers) characterization. Morphological characterization revealed that presence of considerable amount of genetic variations among them especially for fruit characters viz., colour of peel and pulp. Cladode characters such as number of spines (3–5), length of areoles (mm) as 1–4, margin ribs of cladode (convex or concave) and its waxiness (weak or strong white waxy or light waxy) could be used for identification of three Hylocereus spp. under present study. Highest co-efficient of variation (%) obtained for pulp weight (88.7), whereas, lowest in distance of anthers belowstigma (3.3). Fruit and pulp weight (g) ranged from 26.5–419.3 and 10.3–258.8 with mean value of 204.8 and 125.3, respectively. Comparatively, high phenol (71.3–161.3) and flavonoid (26.6–508.2) content observed in peels than pulp (32.5–130.0 and 45.0–258.2) of fruit indicating higher antioxidant potential. Highest total carotenoids (µg 100 g−1), β-carotene (µg 100 g−1) and xanthophyll (µg g−1) content obtained in pulp on DGF3 (33.8), DGF4 (55.9) and DGF3 (32.7), whereas, in peel on DGF2 (24.3), DGF4 (18.5) and DGF2 (24.1), respectively. DPPH-based scavenging activity (%) revealed higher scavenging activity of peels (55.6–81.2) than pulp (36.0–75.3) extracts. Comparatively, ABTS-based scavenging activity (%) was found more than DPPH-based one. Sixteen ISSR primers screened, 14 were produced 178 reproducible amplified bands. Number of amplified bands varied from 5 in UBC887 to 19 in UBC811 with an average of 12.71 bands per primer. Range of polymorphic bands and % polymorphism observed were 1–13 and 20.0–92.8, respectively. The polymorphic information content value of ISSR marker ranged from 0.42 (UBC895) to 0.91 (UBC 856). Cluster analysis distinguished three different Hylocereus species on the basis of geographic origin and pulp colour by forming separate groups and two genotypes each showed 52% (DGF1 and DGF3) and 76% (DGF2 and DGF4) genetic similarity. Key traits identified for distinguishing three different Hylocereus species were: Pulp/ peel colour of fruits, number…","author":[{"dropping-particle":"","family":"Abirami","given":"K.","non-dropping-particle":"","parse-names":false,"suffix":""},{"dropping-particle":"","family":"Swain","given":"S.","non-dropping-particle":"","parse-names":false,"suffix":""},{"dropping-particle":"","family":"Baskaran","given":"V.","non-dropping-particle":"","parse-names":false,"suffix":""},{"dropping-particle":"","family":"Venkatesan","given":"K.","non-dropping-particle":"","parse-names":false,"suffix":""},{"dropping-particle":"","family":"Sakthivel","given":"K.","non-dropping-particle":"","parse-names":false,"suffix":""},{"dropping-particle":"","family":"Bommayasamy","given":"N.","non-dropping-particle":"","parse-names":false,"suffix":""}],"container-title":"Scientific Reports","id":"ITEM-2","issue":"1","issued":{"date-parts":[["2021","12","1"]]},"publisher":"Nature Research","title":"Distinguishing three Dragon fruit (Hylocereus spp.) species grown in Andaman and Nicobar Islands of India using morphological, biochemical and molecular traits","type":"article-journal","volume":"11"},"uris":["http://www.mendeley.com/documents/?uuid=7898419f-ebb5-3a10-88b3-55ebb6fec912"]},{"id":"ITEM-3","itemData":{"DOI":"10.36709/ampibi.v10i3.360","abstract":"Abstrak: Fenomena infertilitas (ketidaksuburan) banyak dialami oleh masyarkat, berbagai alternatif pengobatan baik secara medis ataupun non medis banyak dilakukan. Salah satu alternative yang banyak dilakukan oleh masyarakat adalah pemanfaatan herbal, salah satunya adalah buah naga. Konsumsi buah naga (Hylocereus polyrhizus) diharapkan dapat membantu meningkatkan kesuburan. Penelitian ini bertujuan untuk mengetahui pemberian ekstrak buah naga (Hylocereus polyrhizus) terhadap jumlah sel granulosa pada tikus putih betina. Jenis penelitian adalah eksperimen (true experiment) menggunakan Rancangan Acak Lengkap. Populasi penelitian menggunakan 40 ekor tikus. Sampel diperoleh dengan teknik simple random sampling sebanyak 24 ekor tikus dengan kriteria sampel berat 150 sampai 200 gram, umur 12 sampai 13 minggu, jenis kelamin betina, dan dalam kondisi sehat. Teknik analisis data dilakukan secara deskriptif dan inferensial, uji hipotesis menggunakan uji ANOVA dengan taraf kepercayaan 95% (α = 0,05) dimana diperoleh Fhitung&gt; Ftabel dan uji lanjut Tukey/HSD (Honest Significant Difference). Hasil yang diperoleh menunjukkan bahwa ekstrak buah naga berpengaruh secara signifikan terhadap jumlah sel granulosa pada tikus putih betina. Semakin tinggi dosis ekstrak buah naga yang diberikan semakin semakin bertambah jumlah sel granulosa. Abstract: Phenomenon in the community many experience infertility, so that by consuming dragon fruit (Hylocereus polyrhizus) is expected to help improve fertility. This study aims to determine the administration of dragon fruit extract (Hylocereus polyrhizus). This type of research is an experiment (true experiment) using a completely randomised design. The study population used 40 rats. The sample was obtained by simple random sampling technique as many as 24 rats with sample criteria weighing 150 to 200 grams, age 12 to 13 weeks, female sex, and in healthy condition. Data analysis techniques were carried out descriptively and inferentially, hypothesis testing using ANOVA test with 95% confidence level (α = 0.05) where the calculated F was obtained &gt; Ftable and Tukey/HSD (Honest Significant Difference). The results obtained that dragon fruit extract has a significant effect on the number of granulosa cells in female white rats.","author":[{"dropping-particle":"","family":"Kolaka","given":"La","non-dropping-particle":"","parse-names":false,"suffix":""},{"dropping-particle":"","family":"Sirih","given":"Muhammad","non-dropping-particle":"","parse-names":false,"suffix":""}],"container-title":"AMPIBI: Jurnal Alumni Pendidikan Biologi","id":"ITEM-3","issue":"3","issued":{"date-parts":[["2025"]]},"page":"1-6","title":"Efectiveness of dragon fruit extract (Hylocereus polyrhizus) on the number of granulosa cells of female white rats (Rattus norvegicus)","type":"article-journal","volume":"10"},"uris":["http://www.mendeley.com/documents/?uuid=601da34d-dd75-32a3-98d0-2e5145d492e7"]}],"mendeley":{"formattedCitation":"(Abirami et al., 2021; Direito et al., 2025; Kolaka &amp; Sirih, 2025)","plainTextFormattedCitation":"(Abirami et al., 2021; Direito et al., 2025; Kolaka &amp; Sirih, 2025)","previouslyFormattedCitation":"(Abirami et al., 2021; Direito et al., 2025; Kolaka &amp; Sirih, 2025)"},"properties":{"noteIndex":0},"schema":"https://github.com/citation-style-language/schema/raw/master/csl-citation.json"}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(Abirami et al., 2021; Direito et al., 2025; Kolaka &amp; Sirih, 2025)</w:t>
      </w:r>
      <w:r w:rsidRPr="0098357A">
        <w:rPr>
          <w:rFonts w:ascii="Arial" w:hAnsi="Arial" w:cs="Arial"/>
        </w:rPr>
        <w:fldChar w:fldCharType="end"/>
      </w:r>
      <w:r w:rsidRPr="0098357A">
        <w:rPr>
          <w:rFonts w:ascii="Arial" w:hAnsi="Arial" w:cs="Arial"/>
        </w:rPr>
        <w:t xml:space="preserve">. A larger follicular diameter, achieved through increased antral expansion and granulosa cell proliferation, typically correlates with elevated estrogen production and enhanced responsiveness to the LH surge, thereby supporting the progression toward ovulation </w:t>
      </w:r>
      <w:r w:rsidRPr="0098357A">
        <w:rPr>
          <w:rFonts w:ascii="Arial" w:hAnsi="Arial" w:cs="Arial"/>
        </w:rPr>
        <w:fldChar w:fldCharType="begin" w:fldLock="1"/>
      </w:r>
      <w:r w:rsidRPr="0098357A">
        <w:rPr>
          <w:rFonts w:ascii="Arial" w:hAnsi="Arial" w:cs="Arial"/>
        </w:rPr>
        <w:instrText>ADDIN CSL_CITATION {"citationItems":[{"id":"ITEM-1","itemData":{"author":[{"dropping-particle":"","family":"Rindi Antina","given":"Rila","non-dropping-particle":"","parse-names":false,"suffix":""},{"dropping-particle":"","family":"Hendarto","given":"Hendy","non-dropping-particle":"","parse-names":false,"suffix":""},{"dropping-particle":"","family":"Widjiati","given":"","non-dropping-particle":"","parse-names":false,"suffix":""}],"container-title":"Jurnal Biosains Pascasarjana","id":"ITEM-1","issue":"3","issued":{"date-parts":[["2017"]]},"title":"Ekstrak etanol moringa oleifera lam terhadap folikulogenesis pada mencit model endometriosis","type":"report","volume":"19"},"uris":["http://www.mendeley.com/documents/?uuid=263eb281-3cfe-309f-aeb4-84a416f49e61"]},{"id":"ITEM-2","itemData":{"DOI":"10.1016/j.psj.2023.102736","ISSN":"15253171","PMID":"37209658","abstract":"Quercetin (Que), widely found in a huge variety of plants, plays important roles in ovarian function. However, to data, there have been no reports about Que regulating granulosa cells (GCs) in prehierarchical follicles in chicken. Herein, GCs from follicles diameter from 4 to 8 mm in chicken were treated by Que in vitro culture to investigate how Que exerts its effect on follicular development. GCs treated by Que in concentrations of 10, 100, and 1,000 ng/mL were tested for cell proliferation and progesterone secretion. Eight cDNA libraries were constructed from GCs (4 samples per group) to explore transcriptome expression changes. The role of the MAPK/ERK signaling pathway was validated in this process. Treatment with 100 and 1,000 ng/mL levels of Que significantly promoted cell proliferation and progesterone secretion (P &lt; 0.05). RNA-seq analysis data showed that 402 and 263 differentially expressed genes (DEGs) were up- and down-regulated, respectively. Functional enrichment analysis that the pathways related to follicular development included biosynthesis of amino acids, MAPK signaling pathway, and calcium signaling pathway. Notably, the function exerted in GCs of the different levels of Que was associated with the suppression of the MAPK pathway. In conclusion, our results proved that low levels of Que could promote MAPK signaling pathway, but high levels of Que inhibit MAPK signaling pathway in GCs from the prehierarchical follicles, promote cell proliferation and progesterone secretion, and benefit follicle selection.","author":[{"dropping-particle":"","family":"Shen","given":"Manman","non-dropping-particle":"","parse-names":false,"suffix":""},{"dropping-particle":"","family":"Li","given":"Tao","non-dropping-particle":"","parse-names":false,"suffix":""},{"dropping-particle":"","family":"Feng","given":"Yuan","non-dropping-particle":"","parse-names":false,"suffix":""},{"dropping-particle":"","family":"Wu","given":"Ping","non-dropping-particle":"","parse-names":false,"suffix":""},{"dropping-particle":"","family":"Serrano","given":"Boris Ramos","non-dropping-particle":"","parse-names":false,"suffix":""},{"dropping-particle":"","family":"Barcenas","given":"Adileidys Ruiz","non-dropping-particle":"","parse-names":false,"suffix":""},{"dropping-particle":"","family":"Qu","given":"Liang","non-dropping-particle":"","parse-names":false,"suffix":""},{"dropping-particle":"","family":"Zhao","given":"Weiguo","non-dropping-particle":"","parse-names":false,"suffix":""}],"container-title":"Poultry Science","id":"ITEM-2","issue":"7","issued":{"date-parts":[["2023","7","1"]]},"publisher":"Elsevier Inc.","title":"Effects of quercetin on granulosa cells from prehierarchical follicles by modulating MAPK signaling pathway in chicken","type":"article-journal","volume":"102"},"uris":["http://www.mendeley.com/documents/?uuid=05f56610-7917-3a8e-9cac-00a0bf944c21"]}],"mendeley":{"formattedCitation":"(Rindi Antina et al., 2017; Shen et al., 2023)","plainTextFormattedCitation":"(Rindi Antina et al., 2017; Shen et al., 2023)","previouslyFormattedCitation":"(Rindi Antina et al., 2017; Shen et al., 2023)"},"properties":{"noteIndex":0},"schema":"https://github.com/citation-style-language/schema/raw/master/csl-citation.json"}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(Rindi Antina et al., 2017; Shen et al., 2023)</w:t>
      </w:r>
      <w:r w:rsidRPr="0098357A">
        <w:rPr>
          <w:rFonts w:ascii="Arial" w:hAnsi="Arial" w:cs="Arial"/>
        </w:rPr>
        <w:fldChar w:fldCharType="end"/>
      </w:r>
      <w:r w:rsidRPr="0098357A">
        <w:rPr>
          <w:rFonts w:ascii="Arial" w:hAnsi="Arial" w:cs="Arial"/>
        </w:rPr>
        <w:t xml:space="preserve">. The specific flavonoid quercetin, abundant in dragon fruit extract, acts to upregulate proteins associated with cell proliferation including cyclins and growth factors, thereby directly contributing to follicular size expansion </w:t>
      </w:r>
      <w:r w:rsidRPr="0098357A">
        <w:rPr>
          <w:rFonts w:ascii="Arial" w:hAnsi="Arial" w:cs="Arial"/>
        </w:rPr>
        <w:fldChar w:fldCharType="begin" w:fldLock="1"/>
      </w:r>
      <w:r w:rsidRPr="0098357A">
        <w:rPr>
          <w:rFonts w:ascii="Arial" w:hAnsi="Arial" w:cs="Arial"/>
        </w:rPr>
        <w:instrText>ADDIN CSL_CITATION {"citationItems":[{"id":"ITEM-1","itemData":{"DOI":"10.1039/d4ra07411d","ISSN":"20462069","abstract":"Nanoparticles offer enhanced interactions with other materials owing to their enlarged surface area. This property makes them stronger, more stable and ideal for biomedical applications. Among the various synthetic methods for nanoparticles, biosynthetic method stands out due to its cost-effectiveness and environmentally friendly nature. In this context, we developed novel biosynthetic procedures for iron oxide and magnesium oxide nanoparticles using the extract of Hylocereus undatus (dragon fruit) peel, which acted as a reducing agent and capping agent. The biosynthesized nanoparticles were characterized using different techniques, such as ultraviolet-visible (UV-VIS) spectrophotometry, transmission electron microscopy (TEM), energy dispersive X-ray spectroscopy (EDX), Fourier-transform infrared spectroscopy (FTIR) and X-ray diffractometry (XRD). To evaluate their anticancer properties, the nanoparticles were tested on HeLa cells (derived from human cervical carcinoma) and BHK-21 cells (obtained from baby hamster kidney fibroblasts) and compared with the negative control group (dimethyl sulfoxide) and standard group (Hylocereus undatus fruit peel extract). Results showed that only less than 5% HeLa cells survived in both cases, and less than 5% and 60% BHK-21 cells survived on administering magnesium oxide and iron oxide nanoparticles, respectively, which were quite better than the results obtained for the standard and negative control groups. This study reports a safe and rapid method for the biosynthesis of iron oxide and magnesium oxide nanoparticles using Hylocereus undatus fruit peel extract and demonstrates their potential as anticancer agents. These findings suggest that iron oxide and magnesium oxide nanoparticles warrant further investigation for the development of more effective and safe anticancer drug formulations.","author":[{"dropping-particle":"","family":"Oyshi","given":"Sadia Adnin","non-dropping-particle":"","parse-names":false,"suffix":""},{"dropping-particle":"","family":"Jahan","given":"Rumana A.","non-dropping-particle":"","parse-names":false,"suffix":""},{"dropping-particle":"","family":"Aktar","given":"Fahima","non-dropping-particle":"","parse-names":false,"suffix":""},{"dropping-particle":"","family":"Sultan","given":"Md Zakir","non-dropping-particle":"","parse-names":false,"suffix":""},{"dropping-particle":"","family":"Chowdhury","given":"Abu Asad","non-dropping-particle":"","parse-names":false,"suffix":""},{"dropping-particle":"","family":"Chowdhury","given":"Jakir Ahmed","non-dropping-particle":"","parse-names":false,"suffix":""},{"dropping-particle":"","family":"Kabir","given":"Shaila","non-dropping-particle":"","parse-names":false,"suffix":""},{"dropping-particle":"","family":"Amran","given":"Md Shah","non-dropping-particle":"","parse-names":false,"suffix":""}],"container-title":"RSC Advances","id":"ITEM-1","issue":"19","issued":{"date-parts":[["2025","5","12"]]},"page":"15366-15374","publisher":"Royal Society of Chemistry","title":"Preparation and evaluation of the biosynthetic procedure of iron oxide and magnesium oxide nanoparticles using Hylocereus undatus fruit peel extract and their anticancer properties","type":"article-journal","volume":"15"},"uris":["http://www.mendeley.com/documents/?uuid=17c36293-6c00-363b-8b65-2f15f3d82b8c"]},{"id":"ITEM-2","itemData":{"DOI":"10.1016/j.fochx.2025.102957","ISSN":"25901575","abstract":"This study investigates the effects of Neoscytalidium dimidiatum (N. dimidiatum) infection on the postharvest quality of dragon fruit. Infection accelerated fruit softening, decay, and weight loss, while increasing the respiration rate and total acid (TA) content, and decreasing soluble solids (TSS) content. Pathogen infection triggered a rapid reactive oxygen species (ROS) burst, leading to oxidative stress, with O2− and malondialdehyde (MDA) levels 2.11 and 1.58 fold higher than those of the controls, respectively. Antioxidant enzymes (SOD, CAT, POD, APX) were initially activated (0–2 days) but declined sharply later (6–10 days), resulting in increased ROS accumulation and decreased disease resistance. GC–MS analysis identified 87 metabolites (55 primary metabolites and 32 VOCs), revealing an increase in carbohydrates (glycerol, sorbitol) and a decrease in amino acids, organic acids, and heterocyclic compounds. These findings highlight a ROS-antioxidant-metabolite network underlying disease resistance, providing valuable insights for sustainable postharvest management.","author":[{"dropping-particle":"","family":"Xie","given":"Lili","non-dropping-particle":"","parse-names":false,"suffix":""},{"dropping-particle":"","family":"Wang","given":"Xueli","non-dropping-particle":"","parse-names":false,"suffix":""},{"dropping-particle":"","family":"Ma","given":"Xiao","non-dropping-particle":"","parse-names":false,"suffix":""},{"dropping-particle":"","family":"Shen","given":"Kaiwei","non-dropping-particle":"","parse-names":false,"suffix":""},{"dropping-particle":"","family":"Zhang","given":"Xuyi","non-dropping-particle":"","parse-names":false,"suffix":""},{"dropping-particle":"","family":"Wang","given":"Xiujun","non-dropping-particle":"","parse-names":false,"suffix":""}],"container-title":"Food Chemistry: X","id":"ITEM-2","issued":{"date-parts":[["2025","8","1"]]},"publisher":"Elsevier Ltd","title":"Dynamic changes in ROS-antioxidant-metabolite network in dragon fruit infected with Neoscytalidium dimidiatum","type":"article-journal","volume":"30"},"uris":["http://www.mendeley.com/documents/?uuid=47c71503-b89f-3925-b199-eefba049a83c"]},{"id":"ITEM-3","itemData":{"DOI":"10.1016/j.biopha.2018.03.119","ISSN":"19506007","PMID":"29587238","abstract":"Cisplatin (CP) is a widely used chemotherapeutic drug, effective against a variety of solid tumours, though its utility is limited due to its multiple organ toxicity. Zingerone (ZO), one of the most important components of dry ginger root, has several pharmacological activities, such as antioxidant, anti-inflammatory and anti-apoptotic properties. This study aimed to investigate the ameliorative effect of ZO on CP-induced ovarian and uterine toxicity in female rats. The rats were subjected to a prophylactic oral treatment of ZO (25 and 50 mg/kg body weight) for seven days to measure the protective effect against ovarian and uterine toxicity induced by a single (i.p.) of CP (7 mg/kg body weight) on the first day whereas the rats were sacrificed on the eighth day. The results showed that ZO decreased the serum FSH hormone level, increased the serum E2 hormone level, and also maintained the ovarian and uterine histological architecture and integrity. In addition, ZO obviously increased the measured activity of antioxidant enzymes (SOD, CAT and GPx) and the GSH content, and significantly reduced MDA levels. ZO was able to reduce the levels of the inflammatory markers NF-κB, TNF-α IL-1β IL-6, COX-2 and iNOS in CP-induced ovarian and uterine damage. It also inhibited apoptosis and reduced oxidative DNA damage markers by the downregulation of caspase-3 and 8-OHdG expression coupled with an upregulated Bcl-2 level. The results indicate that ZO may be beneficial in ameliorating CP-induced oxidative stress, sex hormone imbalances, inflammation and apoptosis in ovarian and uterine tissues of female rats.","author":[{"dropping-particle":"","family":"kaygusuzoglu","given":"Erdal","non-dropping-particle":"","parse-names":false,"suffix":""},{"dropping-particle":"","family":"Caglayan","given":"Cuneyt","non-dropping-particle":"","parse-names":false,"suffix":""},{"dropping-particle":"","family":"Kandemir","given":"Fatih Mehmet","non-dropping-particle":"","parse-names":false,"suffix":""},{"dropping-particle":"","family":"Yıldırım","given":"Serkan","non-dropping-particle":"","parse-names":false,"suffix":""},{"dropping-particle":"","family":"Kucukler","given":"Sefa","non-dropping-particle":"","parse-names":false,"suffix":""},{"dropping-particle":"","family":"Kılınc","given":"Mehmet Akif","non-dropping-particle":"","parse-names":false,"suffix":""},{"dropping-particle":"","family":"Saglam","given":"Yavuz Selim","non-dropping-particle":"","parse-names":false,"suffix":""}],"container-title":"Biomedicine and Pharmacotherapy","id":"ITEM-3","issued":{"date-parts":[["2018","6","1"]]},"page":"517-530","publisher":"Elsevier Masson SAS","title":"Zingerone ameliorates cisplatin</w:instrText>
      </w:r>
      <w:r w:rsidRPr="0098357A">
        <w:rPr>
          <w:rFonts w:ascii="Cambria Math" w:hAnsi="Cambria Math" w:cs="Cambria Math"/>
        </w:rPr>
        <w:instrText>‐</w:instrText>
      </w:r>
      <w:r w:rsidRPr="0098357A">
        <w:rPr>
          <w:rFonts w:ascii="Arial" w:hAnsi="Arial" w:cs="Arial"/>
        </w:rPr>
        <w:instrText>induced ovarian and uterine toxicity via suppression of sex hormone imbalances, oxidative stress, inflammation and apoptosis in female wistar rats","type":"article-journal","volume":"102"},"uris":["http://www.mendeley.com/documents/?uuid=4823193e-e4de-33e3-83aa-de770c27f1e9"]}],"mendeley":{"formattedCitation":"(kaygusuzoglu et al., 2018; Oyshi et al., 2025; Xie et al., 2025)","plainTextFormattedCitation":"(kaygusuzoglu et al., 2018; Oyshi et al., 2025; Xie et al., 2025)","previouslyFormattedCitation":"(kaygusuzoglu et al., 2018; Oyshi et al., 2025; Xie et al., 2025)"},"properties":{"noteIndex":0},"schema":"https://github.com/citation-style-language/schema/raw/master/csl-citation.json"}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(kaygusuzoglu et al., 2018; Oyshi et al., 2025; Xie et al., 2025)</w:t>
      </w:r>
      <w:r w:rsidRPr="0098357A">
        <w:rPr>
          <w:rFonts w:ascii="Arial" w:hAnsi="Arial" w:cs="Arial"/>
        </w:rPr>
        <w:fldChar w:fldCharType="end"/>
      </w:r>
      <w:r w:rsidRPr="0098357A">
        <w:rPr>
          <w:rFonts w:ascii="Arial" w:hAnsi="Arial" w:cs="Arial"/>
        </w:rPr>
        <w:t xml:space="preserve">. Additionally, the vitamin C content of the extract plays a critical role in mitigating oxidative stress and modulating hormonal regulation, including estrogen levels, while protecting the structural integrity of mature follicles </w:t>
      </w:r>
      <w:r w:rsidRPr="0098357A">
        <w:rPr>
          <w:rFonts w:ascii="Arial" w:hAnsi="Arial" w:cs="Arial"/>
        </w:rPr>
        <w:fldChar w:fldCharType="begin" w:fldLock="1"/>
      </w:r>
      <w:r w:rsidRPr="0098357A">
        <w:rPr>
          <w:rFonts w:ascii="Arial" w:hAnsi="Arial" w:cs="Arial"/>
        </w:rPr>
        <w:instrText>ADDIN CSL_CITATION {"citationItems":[{"id":"ITEM-1","itemData":{"DOI":"10.1016/j.scienta.2021.110611","ISSN":"03044238","abstract":"Red-fleshed dragon fruit (Hylocereus polyrhizus) is a promising food with a functional appeal. This study investigated the changes in the bioactive compounds and antioxidant activity of the red-fleshed dragon fruit at eight development stages. In general, the levels of total phenolic compounds tested using Folin-Ciocalteu, and Fast Blue BB reagents, betacyanin, betaxanthin, anthocyanins, and antioxidant activity by TEAC, FRAP, and ß-carotene bleaching increased over the fruit development stages, whereas vitamin C content significantly decreased. Six phenolic compounds were identified, including catechin, vanillin, gallic acid, caffeic acid, chlorogenic acid, and ferulic acid. Catechin was the majority compound, followed by vanillin. All these compounds decreased during fruit development; chlorogenic and ferulic acids were only detected 30 days after anthesis. Based on the results, the suitable harvest period of red-fleshed dragon fruit is between 36 and 38 days after anthesis.","author":[{"dropping-particle":"","family":"Zitha","given":"Elídio Zaidine Maurício","non-dropping-particle":"","parse-names":false,"suffix":""},{"dropping-particle":"","family":"Magalhães","given":"Deniete Soares","non-dropping-particle":"","parse-names":false,"suffix":""},{"dropping-particle":"","family":"Lago","given":"Rafael Carvalho","non-dropping-particle":"do","parse-names":false,"suffix":""},{"dropping-particle":"","family":"Carvalho","given":"Elisângela Elena Nunes","non-dropping-particle":"","parse-names":false,"suffix":""},{"dropping-particle":"","family":"Pasqual","given":"Moacir","non-dropping-particle":"","parse-names":false,"suffix":""},{"dropping-particle":"","family":"Barros Vilas Boas","given":"Eduardo Valério","non-dropping-particle":"de","parse-names":false,"suffix":""}],"container-title":"Scientia Horticulturae","id":"ITEM-1","issued":{"date-parts":[["2022","1","3"]]},"publisher":"Elsevier B.V.","title":"Changes in the bioactive compounds and antioxidant activity in red-fleshed dragon fruit during its development","type":"article-journal","volume":"291"},"uris":["http://www.mendeley.com/documents/?uuid=b6674538-5222-373a-a1aa-d57338ea1068"]}],"mendeley":{"formattedCitation":"(Zitha et al., 2022)","plainTextFormattedCitation":"(Zitha et al., 2022)","previouslyFormattedCitation":"(Zitha et al., 2022)"},"properties":{"noteIndex":0},"schema":"https://github.com/citation-style-language/schema/raw/master/csl-citation.json"}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(Zitha et al., 2022)</w:t>
      </w:r>
      <w:r w:rsidRPr="0098357A">
        <w:rPr>
          <w:rFonts w:ascii="Arial" w:hAnsi="Arial" w:cs="Arial"/>
        </w:rPr>
        <w:fldChar w:fldCharType="end"/>
      </w:r>
      <w:r w:rsidRPr="0098357A">
        <w:rPr>
          <w:rFonts w:ascii="Arial" w:hAnsi="Arial" w:cs="Arial"/>
        </w:rPr>
        <w:t>.</w:t>
      </w:r>
    </w:p>
    <w:p w14:paraId="28645659" w14:textId="22E4E25B" w:rsidR="00DA0B0B" w:rsidRPr="0098357A" w:rsidRDefault="00DA0B0B" w:rsidP="0074373E">
      <w:pPr>
        <w:spacing w:line="276" w:lineRule="auto"/>
        <w:jc w:val="both"/>
        <w:rPr>
          <w:rFonts w:ascii="Arial" w:hAnsi="Arial" w:cs="Arial"/>
        </w:rPr>
      </w:pPr>
      <w:r w:rsidRPr="0098357A">
        <w:rPr>
          <w:rFonts w:ascii="Arial" w:hAnsi="Arial" w:cs="Arial"/>
        </w:rPr>
        <w:t>Although the nutritional benefits of dragon fruit are well-recognized within traditional practices, empirical biomedical evidence regarding its specific impact on ovarian microstructures and their hormonal responsiveness remains limited. Previous research has suggested that red dragon peel extracts can influence the HPG axis</w:t>
      </w:r>
      <w:r w:rsidRPr="0098357A">
        <w:rPr>
          <w:rFonts w:ascii="Arial" w:hAnsi="Arial" w:cs="Arial"/>
        </w:rPr>
        <w:fldChar w:fldCharType="begin" w:fldLock="1"/>
      </w:r>
      <w:r w:rsidRPr="0098357A">
        <w:rPr>
          <w:rFonts w:ascii="Arial" w:hAnsi="Arial" w:cs="Arial"/>
        </w:rPr>
        <w:instrText>ADDIN CSL_CITATION {"citationItems":[{"id":"ITEM-1","itemData":{"DOI":"10.24843.MU.2023.V12.i6.P15","ISSN":"2597-8012","author":[{"dropping-particle":"","family":"Wong","given":"Ferdinand","non-dropping-particle":"","parse-names":false,"suffix":""},{"dropping-particle":"","family":"Sugiritama","given":"Wayan","non-dropping-particle":"","parse-names":false,"suffix":""},{"dropping-particle":"","family":"Ayu","given":"Gusti","non-dropping-particle":"","parse-names":false,"suffix":""},{"dropping-particle":"","family":"Ratnayanti","given":"Dewi","non-dropping-particle":"","parse-names":false,"suffix":""},{"dropping-particle":"","family":"Ayu","given":"Ida","non-dropping-particle":"","parse-names":false,"suffix":""},{"dropping-particle":"","family":"Wahyuniari","given":"Ika","non-dropping-particle":"","parse-names":false,"suffix":""},{"dropping-particle":"","family":"Nyoman","given":"Gusti","non-dropping-particle":"","parse-names":false,"suffix":""},{"dropping-particle":"","family":"Wiryawan","given":"Sri","non-dropping-particle":"","parse-names":false,"suffix":""},{"dropping-particle":"","family":"Studi","given":"Program","non-dropping-particle":"","parse-names":false,"suffix":""},{"dropping-particle":"","family":"Kedokteran","given":"Sarjana","non-dropping-particle":"","parse-names":false,"suffix":""},{"dropping-particle":"","family":"Dokter","given":"Dan Profesi","non-dropping-particle":"","parse-names":false,"suffix":""},{"dropping-particle":"","family":"Kedokteran","given":"Fakultas","non-dropping-particle":"","parse-names":false,"suffix":""},{"dropping-particle":"","family":"Udayana","given":"Universitas","non-dropping-particle":"","parse-names":false,"suffix":""}],"container-title":"Jurnal Medika Udayana","id":"ITEM-1","issue":"5","issued":{"date-parts":[["2023"]]},"page":"2023","publisher":"MEI","title":"Efek pemberian kulit buah naga merah (Hylocereus polyrhizus) terhadap tebal endometrium dan miometrium tikus model menopause","type":"article-journal","volume":"12"},"uris":["http://www.mendeley.com/documents/?uuid=62725c3d-9c61-3023-a496-e628061966ee"]}],"mendeley":{"formattedCitation":"(Wong et al., 2023)","plainTextFormattedCitation":"(Wong et al., 2023)","previouslyFormattedCitation":"(Wong et al., 2023)"},"properties":{"noteIndex":0},"schema":"https://github.com/citation-style-language/schema/raw/master/csl-citation.json"}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(Wong et al., 2023)</w:t>
      </w:r>
      <w:r w:rsidRPr="0098357A">
        <w:rPr>
          <w:rFonts w:ascii="Arial" w:hAnsi="Arial" w:cs="Arial"/>
        </w:rPr>
        <w:fldChar w:fldCharType="end"/>
      </w:r>
      <w:r w:rsidRPr="0098357A">
        <w:rPr>
          <w:rFonts w:ascii="Arial" w:hAnsi="Arial" w:cs="Arial"/>
        </w:rPr>
        <w:t xml:space="preserve">, yet the precise dose-response relationship between </w:t>
      </w:r>
      <w:r w:rsidRPr="0098357A">
        <w:rPr>
          <w:rFonts w:ascii="Arial" w:hAnsi="Arial" w:cs="Arial"/>
          <w:i/>
          <w:iCs/>
        </w:rPr>
        <w:t xml:space="preserve">Hylocereus </w:t>
      </w:r>
      <w:proofErr w:type="spellStart"/>
      <w:r w:rsidRPr="0098357A">
        <w:rPr>
          <w:rFonts w:ascii="Arial" w:hAnsi="Arial" w:cs="Arial"/>
          <w:i/>
          <w:iCs/>
        </w:rPr>
        <w:t>polyrhizus</w:t>
      </w:r>
      <w:proofErr w:type="spellEnd"/>
      <w:r w:rsidRPr="0098357A">
        <w:rPr>
          <w:rFonts w:ascii="Arial" w:hAnsi="Arial" w:cs="Arial"/>
          <w:i/>
          <w:iCs/>
        </w:rPr>
        <w:t xml:space="preserve"> </w:t>
      </w:r>
      <w:r w:rsidRPr="0098357A">
        <w:rPr>
          <w:rFonts w:ascii="Arial" w:hAnsi="Arial" w:cs="Arial"/>
        </w:rPr>
        <w:t xml:space="preserve">extract concentration and </w:t>
      </w:r>
      <w:r w:rsidR="006C0214" w:rsidRPr="006C0214">
        <w:rPr>
          <w:rFonts w:ascii="Arial" w:hAnsi="Arial" w:cs="Arial"/>
          <w:color w:val="EE0000"/>
        </w:rPr>
        <w:t>Graafian follicle</w:t>
      </w:r>
      <w:r w:rsidRPr="0098357A">
        <w:rPr>
          <w:rFonts w:ascii="Arial" w:hAnsi="Arial" w:cs="Arial"/>
        </w:rPr>
        <w:t xml:space="preserve"> diameter has not been comprehensively documented. This research gap necessitates rigorous experimental evaluation to validate the mechanistic connections between dragon fruit's antioxidant profile and follicular development. Therefore, the present study employed a true experimental design with a Completely Randomized Design (CRD) to systematically evaluate how varying concentrations of dragon fruit extract influence the diameter of </w:t>
      </w:r>
      <w:r w:rsidR="006C0214" w:rsidRPr="006C0214">
        <w:rPr>
          <w:rFonts w:ascii="Arial" w:hAnsi="Arial" w:cs="Arial"/>
          <w:color w:val="EE0000"/>
        </w:rPr>
        <w:t xml:space="preserve">Graafian follicle </w:t>
      </w:r>
      <w:r w:rsidRPr="0098357A">
        <w:rPr>
          <w:rFonts w:ascii="Arial" w:hAnsi="Arial" w:cs="Arial"/>
        </w:rPr>
        <w:t xml:space="preserve">in </w:t>
      </w:r>
      <w:r w:rsidR="00906F9A">
        <w:rPr>
          <w:rFonts w:ascii="Arial" w:hAnsi="Arial" w:cs="Arial"/>
        </w:rPr>
        <w:t>F</w:t>
      </w:r>
      <w:r w:rsidRPr="0098357A">
        <w:rPr>
          <w:rFonts w:ascii="Arial" w:hAnsi="Arial" w:cs="Arial"/>
        </w:rPr>
        <w:t xml:space="preserve">emale Wistar rats, a well-established mammalian model characterized by rapid reproductive cycles and clearly delineated estrous phases </w:t>
      </w:r>
      <w:r w:rsidRPr="0098357A">
        <w:rPr>
          <w:rFonts w:ascii="Arial" w:hAnsi="Arial" w:cs="Arial"/>
        </w:rPr>
        <w:fldChar w:fldCharType="begin" w:fldLock="1"/>
      </w:r>
      <w:r w:rsidRPr="0098357A">
        <w:rPr>
          <w:rFonts w:ascii="Arial" w:hAnsi="Arial" w:cs="Arial"/>
        </w:rPr>
        <w:instrText>ADDIN CSL_CITATION {"citationItems":[{"id":"ITEM-1","itemData":{"DOI":"10.24843.MU.2023.V12.i6.P15","ISSN":"2597-8012","author":[{"dropping-particle":"","family":"Wong","given":"Ferdinand","non-dropping-particle":"","parse-names":false,"suffix":""},{"dropping-particle":"","family":"Sugiritama","given":"Wayan","non-dropping-particle":"","parse-names":false,"suffix":""},{"dropping-particle":"","family":"Ayu","given":"Gusti","non-dropping-particle":"","parse-names":false,"suffix":""},{"dropping-particle":"","family":"Ratnayanti","given":"Dewi","non-dropping-particle":"","parse-names":false,"suffix":""},{"dropping-particle":"","family":"Ayu","given":"Ida","non-dropping-particle":"","parse-names":false,"suffix":""},{"dropping-particle":"","family":"Wahyuniari","given":"Ika","non-dropping-particle":"","parse-names":false,"suffix":""},{"dropping-particle":"","family":"Nyoman","given":"Gusti","non-dropping-particle":"","parse-names":false,"suffix":""},{"dropping-particle":"","family":"Wiryawan","given":"Sri","non-dropping-particle":"","parse-names":false,"suffix":""},{"dropping-particle":"","family":"Studi","given":"Program","non-dropping-particle":"","parse-names":false,"suffix":""},{"dropping-particle":"","family":"Kedokteran","given":"Sarjana","non-dropping-particle":"","parse-names":false,"suffix":""},{"dropping-particle":"","family":"Dokter","given":"Dan Profesi","non-dropping-particle":"","parse-names":false,"suffix":""},{"dropping-particle":"","family":"Kedokteran","given":"Fakultas","non-dropping-particle":"","parse-names":false,"suffix":""},{"dropping-particle":"","family":"Udayana","given":"Universitas","non-dropping-particle":"","parse-names":false,"suffix":""}],"container-title":"Jurnal Medika Udayana","id":"ITEM-1","issue":"5","issued":{"date-parts":[["2023"]]},"page":"2023","publisher":"MEI","title":"Efek pemberian kulit buah naga merah (Hylocereus polyrhizus) terhadap tebal endometrium dan miometrium tikus model menopause","type":"article-journal","volume":"12"},"uris":["http://www.mendeley.com/documents/?uuid=62725c3d-9c61-3023-a496-e628061966ee"]}],"mendeley":{"formattedCitation":"(Wong et al., 2023)","plainTextFormattedCitation":"(Wong et al., 2023)","previouslyFormattedCitation":"(Wong et al., 2023)"},"properties":{"noteIndex":0},"schema":"https://github.com/citation-style-language/schema/raw/master/csl-citation.json"}</w:instrText>
      </w:r>
      <w:r w:rsidRPr="0098357A">
        <w:rPr>
          <w:rFonts w:ascii="Arial" w:hAnsi="Arial" w:cs="Arial"/>
        </w:rPr>
        <w:fldChar w:fldCharType="separate"/>
      </w:r>
      <w:r w:rsidRPr="0098357A">
        <w:rPr>
          <w:rFonts w:ascii="Arial" w:hAnsi="Arial" w:cs="Arial"/>
          <w:noProof/>
        </w:rPr>
        <w:t>(Wong et al., 2023)</w:t>
      </w:r>
      <w:r w:rsidRPr="0098357A">
        <w:rPr>
          <w:rFonts w:ascii="Arial" w:hAnsi="Arial" w:cs="Arial"/>
        </w:rPr>
        <w:fldChar w:fldCharType="end"/>
      </w:r>
      <w:r w:rsidRPr="0098357A">
        <w:rPr>
          <w:rFonts w:ascii="Arial" w:hAnsi="Arial" w:cs="Arial"/>
        </w:rPr>
        <w:t>. By performing histological analysis and quantitative measurement of follicular diameters across multiple treatment doses, this study aimed to provide scientific validation for the use of red dragon fruit as a functional food supporting female reproductive health and to establish the dose-dependent relationship between extract concentration and follicular development.</w:t>
      </w:r>
    </w:p>
    <w:p w14:paraId="39F510CA" w14:textId="77777777" w:rsidR="00790ADA" w:rsidRPr="0098357A" w:rsidRDefault="00790ADA" w:rsidP="0074373E">
      <w:pPr>
        <w:pStyle w:val="Body"/>
        <w:spacing w:after="0" w:line="276" w:lineRule="auto"/>
        <w:rPr>
          <w:rFonts w:ascii="Arial" w:hAnsi="Arial" w:cs="Arial"/>
        </w:rPr>
      </w:pPr>
    </w:p>
    <w:p w14:paraId="0991F239" w14:textId="4B1FB64E" w:rsidR="007F7B32" w:rsidRPr="0098357A" w:rsidRDefault="00902823" w:rsidP="0074373E">
      <w:pPr>
        <w:pStyle w:val="AbstHead"/>
        <w:spacing w:after="0" w:line="276" w:lineRule="auto"/>
        <w:jc w:val="both"/>
        <w:rPr>
          <w:rFonts w:ascii="Arial" w:hAnsi="Arial" w:cs="Arial"/>
        </w:rPr>
      </w:pPr>
      <w:r w:rsidRPr="0098357A">
        <w:rPr>
          <w:rFonts w:ascii="Arial" w:hAnsi="Arial" w:cs="Arial"/>
        </w:rPr>
        <w:t xml:space="preserve">2. </w:t>
      </w:r>
      <w:r w:rsidR="00662A23" w:rsidRPr="0098357A">
        <w:rPr>
          <w:rFonts w:ascii="Arial" w:hAnsi="Arial" w:cs="Arial"/>
          <w:caps w:val="0"/>
        </w:rPr>
        <w:t xml:space="preserve">Material and </w:t>
      </w:r>
      <w:r w:rsidR="00662A23">
        <w:rPr>
          <w:rFonts w:ascii="Arial" w:hAnsi="Arial" w:cs="Arial"/>
          <w:caps w:val="0"/>
        </w:rPr>
        <w:t>M</w:t>
      </w:r>
      <w:r w:rsidR="00662A23" w:rsidRPr="0098357A">
        <w:rPr>
          <w:rFonts w:ascii="Arial" w:hAnsi="Arial" w:cs="Arial"/>
          <w:caps w:val="0"/>
        </w:rPr>
        <w:t xml:space="preserve">ethods </w:t>
      </w:r>
    </w:p>
    <w:p w14:paraId="0102C22F" w14:textId="7318FF5E" w:rsidR="00AA74E0" w:rsidRPr="0098357A" w:rsidRDefault="0074373E" w:rsidP="0074373E">
      <w:pPr>
        <w:pStyle w:val="Body"/>
        <w:spacing w:after="0" w:line="276" w:lineRule="auto"/>
        <w:rPr>
          <w:rFonts w:ascii="Arial" w:hAnsi="Arial" w:cs="Arial"/>
          <w:b/>
          <w:sz w:val="22"/>
        </w:rPr>
      </w:pPr>
      <w:r w:rsidRPr="0098357A">
        <w:rPr>
          <w:rFonts w:ascii="Arial" w:hAnsi="Arial" w:cs="Arial"/>
          <w:b/>
          <w:sz w:val="22"/>
        </w:rPr>
        <w:t xml:space="preserve">2.1 </w:t>
      </w:r>
      <w:r w:rsidR="00662A23">
        <w:rPr>
          <w:rFonts w:ascii="Arial" w:hAnsi="Arial" w:cs="Arial"/>
          <w:b/>
          <w:sz w:val="22"/>
        </w:rPr>
        <w:t>M</w:t>
      </w:r>
      <w:r w:rsidR="00662A23" w:rsidRPr="0098357A">
        <w:rPr>
          <w:rFonts w:ascii="Arial" w:hAnsi="Arial" w:cs="Arial"/>
          <w:b/>
          <w:sz w:val="22"/>
        </w:rPr>
        <w:t xml:space="preserve">aterials </w:t>
      </w:r>
    </w:p>
    <w:p w14:paraId="1665E043" w14:textId="23C6A344" w:rsidR="00DA0B0B" w:rsidRDefault="00DA0B0B" w:rsidP="0074373E">
      <w:pPr>
        <w:spacing w:line="276" w:lineRule="auto"/>
        <w:jc w:val="both"/>
        <w:rPr>
          <w:rFonts w:ascii="Arial" w:hAnsi="Arial" w:cs="Arial"/>
        </w:rPr>
      </w:pPr>
      <w:r w:rsidRPr="0098357A">
        <w:rPr>
          <w:rFonts w:ascii="Arial" w:hAnsi="Arial" w:cs="Arial"/>
        </w:rPr>
        <w:t xml:space="preserve">The materials and chemicals utilized in this study included 24 healthy </w:t>
      </w:r>
      <w:r w:rsidR="00906F9A">
        <w:rPr>
          <w:rFonts w:ascii="Arial" w:hAnsi="Arial" w:cs="Arial"/>
        </w:rPr>
        <w:t>F</w:t>
      </w:r>
      <w:r w:rsidRPr="0098357A">
        <w:rPr>
          <w:rFonts w:ascii="Arial" w:hAnsi="Arial" w:cs="Arial"/>
        </w:rPr>
        <w:t>emale Wistar rats (Rattus norvegicus) weighing 150–200 grams as animal subjects, along with fresh red dragon fruits (</w:t>
      </w:r>
      <w:r w:rsidRPr="0098357A">
        <w:rPr>
          <w:rFonts w:ascii="Arial" w:hAnsi="Arial" w:cs="Arial"/>
          <w:i/>
          <w:iCs/>
        </w:rPr>
        <w:t xml:space="preserve">Hylocereus </w:t>
      </w:r>
      <w:proofErr w:type="spellStart"/>
      <w:r w:rsidRPr="0098357A">
        <w:rPr>
          <w:rFonts w:ascii="Arial" w:hAnsi="Arial" w:cs="Arial"/>
          <w:i/>
          <w:iCs/>
        </w:rPr>
        <w:t>polyrhizus</w:t>
      </w:r>
      <w:proofErr w:type="spellEnd"/>
      <w:r w:rsidRPr="0098357A">
        <w:rPr>
          <w:rFonts w:ascii="Arial" w:hAnsi="Arial" w:cs="Arial"/>
        </w:rPr>
        <w:t xml:space="preserve">) as the primary source for the experimental extract. The chemicals and reagents employed for the extraction and histological processes consisted of 96% ethanol as a solvent for maceration, </w:t>
      </w:r>
      <w:r w:rsidR="00526B0B" w:rsidRPr="00526B0B">
        <w:rPr>
          <w:rFonts w:ascii="Arial" w:hAnsi="Arial" w:cs="Arial"/>
          <w:color w:val="EE0000"/>
        </w:rPr>
        <w:t>0.2% carboxymethyl cellulose (CMC) solution for the vehicle control group and extract formulation</w:t>
      </w:r>
      <w:r w:rsidRPr="0098357A">
        <w:rPr>
          <w:rFonts w:ascii="Arial" w:hAnsi="Arial" w:cs="Arial"/>
        </w:rPr>
        <w:t xml:space="preserve">, and various substances for tissue preparation, such as 10% neutral buffered formalin for fixation, graded alcohol for dehydration, xylol for clearing, and paraffin wax for embedding. Furthermore, hematoxylin and eosin (H&amp;E) </w:t>
      </w:r>
      <w:r w:rsidRPr="0098357A">
        <w:rPr>
          <w:rFonts w:ascii="Arial" w:hAnsi="Arial" w:cs="Arial"/>
        </w:rPr>
        <w:lastRenderedPageBreak/>
        <w:t xml:space="preserve">stains were used for the microscopic staining of the ovarian tissues to facilitate the measurement of the </w:t>
      </w:r>
      <w:r w:rsidR="006C0214" w:rsidRPr="006C0214">
        <w:rPr>
          <w:rFonts w:ascii="Arial" w:hAnsi="Arial" w:cs="Arial"/>
          <w:color w:val="EE0000"/>
        </w:rPr>
        <w:t>Graafian follicle</w:t>
      </w:r>
      <w:r w:rsidRPr="006C0214">
        <w:rPr>
          <w:rFonts w:ascii="Arial" w:hAnsi="Arial" w:cs="Arial"/>
          <w:color w:val="EE0000"/>
        </w:rPr>
        <w:t xml:space="preserve"> </w:t>
      </w:r>
      <w:r w:rsidRPr="0098357A">
        <w:rPr>
          <w:rFonts w:ascii="Arial" w:hAnsi="Arial" w:cs="Arial"/>
        </w:rPr>
        <w:t>diameters.</w:t>
      </w:r>
    </w:p>
    <w:p w14:paraId="74E68E43" w14:textId="77777777" w:rsidR="00662A23" w:rsidRPr="0098357A" w:rsidRDefault="00662A23" w:rsidP="0074373E">
      <w:pPr>
        <w:spacing w:line="276" w:lineRule="auto"/>
        <w:jc w:val="both"/>
        <w:rPr>
          <w:rFonts w:ascii="Arial" w:hAnsi="Arial" w:cs="Arial"/>
        </w:rPr>
      </w:pPr>
    </w:p>
    <w:p w14:paraId="10DF6564" w14:textId="23A3867C" w:rsidR="00DA0B0B" w:rsidRPr="0098357A" w:rsidRDefault="0074373E" w:rsidP="0074373E">
      <w:pPr>
        <w:spacing w:line="276" w:lineRule="auto"/>
        <w:jc w:val="both"/>
        <w:rPr>
          <w:rFonts w:ascii="Arial" w:hAnsi="Arial" w:cs="Arial"/>
          <w:b/>
          <w:bCs/>
          <w:sz w:val="22"/>
          <w:szCs w:val="22"/>
        </w:rPr>
      </w:pPr>
      <w:r w:rsidRPr="0098357A">
        <w:rPr>
          <w:rFonts w:ascii="Arial" w:hAnsi="Arial" w:cs="Arial"/>
          <w:b/>
          <w:bCs/>
          <w:sz w:val="22"/>
          <w:szCs w:val="22"/>
        </w:rPr>
        <w:t xml:space="preserve">2.2. </w:t>
      </w:r>
      <w:r w:rsidR="00662A23" w:rsidRPr="0098357A">
        <w:rPr>
          <w:rFonts w:ascii="Arial" w:hAnsi="Arial" w:cs="Arial"/>
          <w:b/>
          <w:bCs/>
          <w:sz w:val="22"/>
          <w:szCs w:val="22"/>
        </w:rPr>
        <w:t xml:space="preserve">Preparation </w:t>
      </w:r>
      <w:r w:rsidR="00662A23">
        <w:rPr>
          <w:rFonts w:ascii="Arial" w:hAnsi="Arial" w:cs="Arial"/>
          <w:b/>
          <w:bCs/>
          <w:sz w:val="22"/>
          <w:szCs w:val="22"/>
        </w:rPr>
        <w:t>o</w:t>
      </w:r>
      <w:r w:rsidR="00662A23" w:rsidRPr="0098357A">
        <w:rPr>
          <w:rFonts w:ascii="Arial" w:hAnsi="Arial" w:cs="Arial"/>
          <w:b/>
          <w:bCs/>
          <w:sz w:val="22"/>
          <w:szCs w:val="22"/>
        </w:rPr>
        <w:t xml:space="preserve">f </w:t>
      </w:r>
      <w:r w:rsidR="00662A23">
        <w:rPr>
          <w:rFonts w:ascii="Arial" w:hAnsi="Arial" w:cs="Arial"/>
          <w:b/>
          <w:bCs/>
          <w:sz w:val="22"/>
          <w:szCs w:val="22"/>
        </w:rPr>
        <w:t>t</w:t>
      </w:r>
      <w:r w:rsidR="00662A23" w:rsidRPr="0098357A">
        <w:rPr>
          <w:rFonts w:ascii="Arial" w:hAnsi="Arial" w:cs="Arial"/>
          <w:b/>
          <w:bCs/>
          <w:sz w:val="22"/>
          <w:szCs w:val="22"/>
        </w:rPr>
        <w:t>he Red Dragon Fruit Extract</w:t>
      </w:r>
    </w:p>
    <w:p w14:paraId="2C6B2CDF" w14:textId="77777777" w:rsidR="00DA0B0B" w:rsidRDefault="00DA0B0B" w:rsidP="0074373E">
      <w:pPr>
        <w:spacing w:line="276" w:lineRule="auto"/>
        <w:jc w:val="both"/>
        <w:rPr>
          <w:rFonts w:ascii="Arial" w:hAnsi="Arial" w:cs="Arial"/>
        </w:rPr>
      </w:pPr>
      <w:r w:rsidRPr="0098357A">
        <w:rPr>
          <w:rFonts w:ascii="Arial" w:hAnsi="Arial" w:cs="Arial"/>
        </w:rPr>
        <w:t>The preparation of the red dragon fruit (</w:t>
      </w:r>
      <w:r w:rsidRPr="0098357A">
        <w:rPr>
          <w:rFonts w:ascii="Arial" w:hAnsi="Arial" w:cs="Arial"/>
          <w:i/>
          <w:iCs/>
        </w:rPr>
        <w:t xml:space="preserve">Hylocereus </w:t>
      </w:r>
      <w:proofErr w:type="spellStart"/>
      <w:r w:rsidRPr="0098357A">
        <w:rPr>
          <w:rFonts w:ascii="Arial" w:hAnsi="Arial" w:cs="Arial"/>
          <w:i/>
          <w:iCs/>
        </w:rPr>
        <w:t>polyrhizus</w:t>
      </w:r>
      <w:proofErr w:type="spellEnd"/>
      <w:r w:rsidRPr="0098357A">
        <w:rPr>
          <w:rFonts w:ascii="Arial" w:hAnsi="Arial" w:cs="Arial"/>
        </w:rPr>
        <w:t xml:space="preserve">) extract was carried out using a cold maceration technique to preserve the heat-sensitive </w:t>
      </w:r>
      <w:proofErr w:type="spellStart"/>
      <w:r w:rsidRPr="0098357A">
        <w:rPr>
          <w:rFonts w:ascii="Arial" w:hAnsi="Arial" w:cs="Arial"/>
        </w:rPr>
        <w:t>betalain</w:t>
      </w:r>
      <w:proofErr w:type="spellEnd"/>
      <w:r w:rsidRPr="0098357A">
        <w:rPr>
          <w:rFonts w:ascii="Arial" w:hAnsi="Arial" w:cs="Arial"/>
        </w:rPr>
        <w:t xml:space="preserve"> compounds. Red dragon fruit pulp (50 g) was homogenized and macerated in 96% ethanol for three days with regular agitation. The mixture was filtered through flannel and Whatman paper, then concentrated using a rotary evaporator (70°C) and a water bath to produce a thick paste extract.</w:t>
      </w:r>
    </w:p>
    <w:p w14:paraId="06EB8FF9" w14:textId="77777777" w:rsidR="00662A23" w:rsidRPr="0098357A" w:rsidRDefault="00662A23" w:rsidP="0074373E">
      <w:pPr>
        <w:spacing w:line="276" w:lineRule="auto"/>
        <w:jc w:val="both"/>
        <w:rPr>
          <w:rFonts w:ascii="Arial" w:hAnsi="Arial" w:cs="Arial"/>
        </w:rPr>
      </w:pPr>
    </w:p>
    <w:p w14:paraId="26A52461" w14:textId="34ADFBA2" w:rsidR="00DA0B0B" w:rsidRPr="0098357A" w:rsidRDefault="0074373E" w:rsidP="0074373E">
      <w:pPr>
        <w:spacing w:line="276" w:lineRule="auto"/>
        <w:jc w:val="both"/>
        <w:rPr>
          <w:rFonts w:ascii="Arial" w:hAnsi="Arial" w:cs="Arial"/>
          <w:b/>
          <w:bCs/>
          <w:sz w:val="22"/>
          <w:szCs w:val="22"/>
        </w:rPr>
      </w:pPr>
      <w:r w:rsidRPr="0098357A">
        <w:rPr>
          <w:rFonts w:ascii="Arial" w:hAnsi="Arial" w:cs="Arial"/>
          <w:b/>
          <w:bCs/>
          <w:sz w:val="22"/>
          <w:szCs w:val="22"/>
        </w:rPr>
        <w:t xml:space="preserve">2.3. </w:t>
      </w:r>
      <w:r w:rsidR="00662A23" w:rsidRPr="0098357A">
        <w:rPr>
          <w:rFonts w:ascii="Arial" w:hAnsi="Arial" w:cs="Arial"/>
          <w:b/>
          <w:bCs/>
          <w:sz w:val="22"/>
          <w:szCs w:val="22"/>
        </w:rPr>
        <w:t xml:space="preserve">Experimental Animals </w:t>
      </w:r>
      <w:r w:rsidR="00662A23">
        <w:rPr>
          <w:rFonts w:ascii="Arial" w:hAnsi="Arial" w:cs="Arial"/>
          <w:b/>
          <w:bCs/>
          <w:sz w:val="22"/>
          <w:szCs w:val="22"/>
        </w:rPr>
        <w:t>a</w:t>
      </w:r>
      <w:r w:rsidR="00662A23" w:rsidRPr="0098357A">
        <w:rPr>
          <w:rFonts w:ascii="Arial" w:hAnsi="Arial" w:cs="Arial"/>
          <w:b/>
          <w:bCs/>
          <w:sz w:val="22"/>
          <w:szCs w:val="22"/>
        </w:rPr>
        <w:t>nd Acclimatization</w:t>
      </w:r>
    </w:p>
    <w:p w14:paraId="28716E03" w14:textId="70883F3D" w:rsidR="00DA0B0B" w:rsidRDefault="00DA0B0B" w:rsidP="0074373E">
      <w:pPr>
        <w:spacing w:line="276" w:lineRule="auto"/>
        <w:jc w:val="both"/>
        <w:rPr>
          <w:rFonts w:ascii="Arial" w:hAnsi="Arial" w:cs="Arial"/>
        </w:rPr>
      </w:pPr>
      <w:r w:rsidRPr="0098357A">
        <w:rPr>
          <w:rFonts w:ascii="Arial" w:hAnsi="Arial" w:cs="Arial"/>
        </w:rPr>
        <w:t xml:space="preserve">The study utilized </w:t>
      </w:r>
      <w:r w:rsidR="00FC57BA">
        <w:rPr>
          <w:rFonts w:ascii="Arial" w:hAnsi="Arial" w:cs="Arial"/>
        </w:rPr>
        <w:t>24</w:t>
      </w:r>
      <w:r w:rsidRPr="0098357A">
        <w:rPr>
          <w:rFonts w:ascii="Arial" w:hAnsi="Arial" w:cs="Arial"/>
        </w:rPr>
        <w:t xml:space="preserve"> </w:t>
      </w:r>
      <w:r w:rsidR="00906F9A">
        <w:rPr>
          <w:rFonts w:ascii="Arial" w:hAnsi="Arial" w:cs="Arial"/>
        </w:rPr>
        <w:t>F</w:t>
      </w:r>
      <w:r w:rsidRPr="0098357A">
        <w:rPr>
          <w:rFonts w:ascii="Arial" w:hAnsi="Arial" w:cs="Arial"/>
        </w:rPr>
        <w:t>emale Wistar rats (</w:t>
      </w:r>
      <w:r w:rsidRPr="0098357A">
        <w:rPr>
          <w:rFonts w:ascii="Arial" w:hAnsi="Arial" w:cs="Arial"/>
          <w:i/>
          <w:iCs/>
        </w:rPr>
        <w:t>Rattus norvegicus</w:t>
      </w:r>
      <w:r w:rsidRPr="0098357A">
        <w:rPr>
          <w:rFonts w:ascii="Arial" w:hAnsi="Arial" w:cs="Arial"/>
        </w:rPr>
        <w:t xml:space="preserve">), aged 2.5 months, with an average body weight of 150–200 g. The animals were sourced from the Pharmacy Laboratory of </w:t>
      </w:r>
      <w:proofErr w:type="spellStart"/>
      <w:r w:rsidRPr="0098357A">
        <w:rPr>
          <w:rFonts w:ascii="Arial" w:hAnsi="Arial" w:cs="Arial"/>
        </w:rPr>
        <w:t>Halu</w:t>
      </w:r>
      <w:proofErr w:type="spellEnd"/>
      <w:r w:rsidRPr="0098357A">
        <w:rPr>
          <w:rFonts w:ascii="Arial" w:hAnsi="Arial" w:cs="Arial"/>
        </w:rPr>
        <w:t xml:space="preserve"> Oleo University. Before the experiment, the rats underwent a 14-day acclimatization period. The animals were housed individually in rectangular cages (29 cm x 21 cm x 13 cm) equipped with wire mesh covers and wood shaving bedding, which was replaced twice weekly. The environmental conditions were maintained under a 12-hour light/dark cycle. The rats were provided with 20 g of pellet feed daily at 17:00 and had </w:t>
      </w:r>
      <w:r w:rsidRPr="0098357A">
        <w:rPr>
          <w:rFonts w:ascii="Arial" w:hAnsi="Arial" w:cs="Arial"/>
          <w:i/>
          <w:iCs/>
        </w:rPr>
        <w:t>ad libitum</w:t>
      </w:r>
      <w:r w:rsidRPr="0098357A">
        <w:rPr>
          <w:rFonts w:ascii="Arial" w:hAnsi="Arial" w:cs="Arial"/>
        </w:rPr>
        <w:t xml:space="preserve"> access to 100 ml of drinking water. Ethical approval for this study was obtained from the Ethics Committee of Universitas </w:t>
      </w:r>
      <w:proofErr w:type="spellStart"/>
      <w:r w:rsidRPr="0098357A">
        <w:rPr>
          <w:rFonts w:ascii="Arial" w:hAnsi="Arial" w:cs="Arial"/>
        </w:rPr>
        <w:t>Halu</w:t>
      </w:r>
      <w:proofErr w:type="spellEnd"/>
      <w:r w:rsidRPr="0098357A">
        <w:rPr>
          <w:rFonts w:ascii="Arial" w:hAnsi="Arial" w:cs="Arial"/>
        </w:rPr>
        <w:t xml:space="preserve"> Oleo (No: 504/UN29.20.1.2/PG/2024), and all procedures involving animals were performed according to the approved ethical guidelines.</w:t>
      </w:r>
    </w:p>
    <w:p w14:paraId="3AFE11A6" w14:textId="77777777" w:rsidR="0074373E" w:rsidRPr="0098357A" w:rsidRDefault="0074373E" w:rsidP="0074373E">
      <w:pPr>
        <w:spacing w:line="276" w:lineRule="auto"/>
        <w:jc w:val="both"/>
        <w:rPr>
          <w:rFonts w:ascii="Arial" w:hAnsi="Arial" w:cs="Arial"/>
        </w:rPr>
      </w:pPr>
    </w:p>
    <w:p w14:paraId="22963B97" w14:textId="17CAB4E8" w:rsidR="00DA0B0B" w:rsidRPr="0098357A" w:rsidRDefault="0074373E" w:rsidP="0074373E">
      <w:pPr>
        <w:spacing w:line="276" w:lineRule="auto"/>
        <w:jc w:val="both"/>
        <w:rPr>
          <w:rFonts w:ascii="Arial" w:hAnsi="Arial" w:cs="Arial"/>
          <w:b/>
          <w:bCs/>
        </w:rPr>
      </w:pPr>
      <w:r w:rsidRPr="0098357A">
        <w:rPr>
          <w:rFonts w:ascii="Arial" w:hAnsi="Arial" w:cs="Arial"/>
          <w:b/>
          <w:bCs/>
        </w:rPr>
        <w:t xml:space="preserve">2.4. </w:t>
      </w:r>
      <w:r w:rsidR="00662A23" w:rsidRPr="0098357A">
        <w:rPr>
          <w:rFonts w:ascii="Arial" w:hAnsi="Arial" w:cs="Arial"/>
          <w:b/>
          <w:bCs/>
        </w:rPr>
        <w:t>Dosage Calculation and Formulation</w:t>
      </w:r>
    </w:p>
    <w:p w14:paraId="7878C2CE" w14:textId="1E6715E1" w:rsidR="00DA0B0B" w:rsidRDefault="00862AB9" w:rsidP="0074373E">
      <w:pPr>
        <w:spacing w:line="276" w:lineRule="auto"/>
        <w:jc w:val="both"/>
        <w:rPr>
          <w:rFonts w:ascii="Arial" w:hAnsi="Arial" w:cs="Arial"/>
        </w:rPr>
      </w:pPr>
      <w:r w:rsidRPr="00862AB9">
        <w:rPr>
          <w:rFonts w:ascii="Arial" w:hAnsi="Arial" w:cs="Arial"/>
          <w:color w:val="EE0000"/>
        </w:rPr>
        <w:t xml:space="preserve">The selected doses for the red dragon fruit extract were 500, 600, and 700 mg/kg body weight (BW). These specific dosages were determined based on previous pharmacological screenings of </w:t>
      </w:r>
      <w:r w:rsidRPr="00862AB9">
        <w:rPr>
          <w:rFonts w:ascii="Arial" w:hAnsi="Arial" w:cs="Arial"/>
          <w:i/>
          <w:iCs/>
          <w:color w:val="EE0000"/>
        </w:rPr>
        <w:t xml:space="preserve">Hylocereus </w:t>
      </w:r>
      <w:proofErr w:type="spellStart"/>
      <w:r w:rsidRPr="00862AB9">
        <w:rPr>
          <w:rFonts w:ascii="Arial" w:hAnsi="Arial" w:cs="Arial"/>
          <w:i/>
          <w:iCs/>
          <w:color w:val="EE0000"/>
        </w:rPr>
        <w:t>polyrhizus</w:t>
      </w:r>
      <w:proofErr w:type="spellEnd"/>
      <w:r w:rsidRPr="00862AB9">
        <w:rPr>
          <w:rFonts w:ascii="Arial" w:hAnsi="Arial" w:cs="Arial"/>
          <w:color w:val="EE0000"/>
        </w:rPr>
        <w:t>, which suggest that this range effectively reaches the therapeutic threshold for antioxidant activity in mammalian models without systemic toxicity</w:t>
      </w:r>
      <w:r w:rsidR="0057465B">
        <w:rPr>
          <w:rFonts w:ascii="Arial" w:hAnsi="Arial" w:cs="Arial"/>
          <w:color w:val="EE0000"/>
        </w:rPr>
        <w:t xml:space="preserve"> </w:t>
      </w:r>
      <w:sdt>
        <w:sdtPr>
          <w:rPr>
            <w:rFonts w:ascii="Arial" w:hAnsi="Arial" w:cs="Arial"/>
            <w:color w:val="EE0000"/>
          </w:rPr>
          <w:tag w:val="MENDELEY_CITATION_v3_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"/>
          <w:id w:val="-447465395"/>
          <w:placeholder>
            <w:docPart w:val="BDACD9460D834980A23E755BE76F77B4"/>
          </w:placeholder>
        </w:sdtPr>
        <w:sdtContent>
          <w:r w:rsidR="0057465B" w:rsidRPr="00420DB0">
            <w:rPr>
              <w:rFonts w:ascii="Arial" w:hAnsi="Arial" w:cs="Arial"/>
              <w:color w:val="EE0000"/>
            </w:rPr>
            <w:t xml:space="preserve">(Adelakun et al., 2022; </w:t>
          </w:r>
          <w:proofErr w:type="spellStart"/>
          <w:r w:rsidR="0057465B" w:rsidRPr="00420DB0">
            <w:rPr>
              <w:rFonts w:ascii="Arial" w:hAnsi="Arial" w:cs="Arial"/>
              <w:color w:val="EE0000"/>
            </w:rPr>
            <w:t>Angonese</w:t>
          </w:r>
          <w:proofErr w:type="spellEnd"/>
          <w:r w:rsidR="0057465B" w:rsidRPr="00420DB0">
            <w:rPr>
              <w:rFonts w:ascii="Arial" w:hAnsi="Arial" w:cs="Arial"/>
              <w:color w:val="EE0000"/>
            </w:rPr>
            <w:t xml:space="preserve"> et al., 2021)</w:t>
          </w:r>
        </w:sdtContent>
      </w:sdt>
      <w:r w:rsidRPr="00862AB9">
        <w:rPr>
          <w:rFonts w:ascii="Arial" w:hAnsi="Arial" w:cs="Arial"/>
          <w:color w:val="EE0000"/>
        </w:rPr>
        <w:t xml:space="preserve">. Furthermore, these concentrations were chosen to evaluate the dose-dependent efficacy of </w:t>
      </w:r>
      <w:proofErr w:type="spellStart"/>
      <w:r w:rsidRPr="00862AB9">
        <w:rPr>
          <w:rFonts w:ascii="Arial" w:hAnsi="Arial" w:cs="Arial"/>
          <w:color w:val="EE0000"/>
        </w:rPr>
        <w:t>betalains</w:t>
      </w:r>
      <w:proofErr w:type="spellEnd"/>
      <w:r w:rsidRPr="00862AB9">
        <w:rPr>
          <w:rFonts w:ascii="Arial" w:hAnsi="Arial" w:cs="Arial"/>
          <w:color w:val="EE0000"/>
        </w:rPr>
        <w:t xml:space="preserve"> and phenolic compounds in neutralizing reactive oxygen species (ROS) within the ovarian microenvironment. For an assumed average rat weight of 200 g, the extract was formulated using 0.2% carboxymethyl cellulose as a suspending agent</w:t>
      </w:r>
      <w:r w:rsidRPr="00862AB9">
        <w:rPr>
          <w:rFonts w:ascii="Arial" w:hAnsi="Arial" w:cs="Arial"/>
        </w:rPr>
        <w:t>.</w:t>
      </w:r>
      <w:r>
        <w:rPr>
          <w:rFonts w:ascii="Arial" w:hAnsi="Arial" w:cs="Arial"/>
        </w:rPr>
        <w:t xml:space="preserve"> T</w:t>
      </w:r>
      <w:r w:rsidR="00DA0B0B" w:rsidRPr="0098357A">
        <w:rPr>
          <w:rFonts w:ascii="Arial" w:hAnsi="Arial" w:cs="Arial"/>
        </w:rPr>
        <w:t>he dosages were calculated as follows (1):</w:t>
      </w:r>
    </w:p>
    <w:p w14:paraId="57778F43" w14:textId="77777777" w:rsidR="007678F6" w:rsidRPr="0098357A" w:rsidRDefault="007678F6" w:rsidP="0074373E">
      <w:pPr>
        <w:spacing w:line="276" w:lineRule="auto"/>
        <w:jc w:val="both"/>
        <w:rPr>
          <w:rFonts w:ascii="Arial" w:eastAsiaTheme="minorEastAsia" w:hAnsi="Arial" w:cs="Arial"/>
        </w:rPr>
      </w:pPr>
    </w:p>
    <w:p w14:paraId="4BD64675" w14:textId="77777777" w:rsidR="00DA0B0B" w:rsidRDefault="00DA0B0B" w:rsidP="0074373E">
      <w:pPr>
        <w:spacing w:line="276" w:lineRule="auto"/>
        <w:jc w:val="both"/>
        <w:rPr>
          <w:rFonts w:ascii="Arial" w:eastAsiaTheme="minorEastAsia" w:hAnsi="Arial" w:cs="Arial"/>
        </w:rPr>
      </w:pPr>
      <w:r w:rsidRPr="0098357A">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D</m:t>
            </m:r>
          </m:e>
          <m:sub>
            <m:r>
              <w:rPr>
                <w:rFonts w:ascii="Cambria Math" w:hAnsi="Cambria Math" w:cs="Arial"/>
              </w:rPr>
              <m:t>dose</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BW</m:t>
                </m:r>
              </m:e>
              <m:sub>
                <m:r>
                  <w:rPr>
                    <w:rFonts w:ascii="Cambria Math" w:hAnsi="Cambria Math" w:cs="Arial"/>
                  </w:rPr>
                  <m:t>animal</m:t>
                </m:r>
              </m:sub>
            </m:sSub>
          </m:num>
          <m:den>
            <m:r>
              <w:rPr>
                <w:rFonts w:ascii="Cambria Math" w:hAnsi="Cambria Math" w:cs="Arial"/>
              </w:rPr>
              <m:t>1000 g</m:t>
            </m:r>
          </m:den>
        </m:f>
        <m:r>
          <w:rPr>
            <w:rFonts w:ascii="Cambria Math" w:hAnsi="Cambria Math" w:cs="Arial"/>
          </w:rPr>
          <m:t>x</m:t>
        </m:r>
        <m:sSub>
          <m:sSubPr>
            <m:ctrlPr>
              <w:rPr>
                <w:rFonts w:ascii="Cambria Math" w:hAnsi="Cambria Math" w:cs="Arial"/>
                <w:i/>
              </w:rPr>
            </m:ctrlPr>
          </m:sSubPr>
          <m:e>
            <m:r>
              <w:rPr>
                <w:rFonts w:ascii="Cambria Math" w:hAnsi="Cambria Math" w:cs="Arial"/>
              </w:rPr>
              <m:t>D</m:t>
            </m:r>
          </m:e>
          <m:sub>
            <m:r>
              <w:rPr>
                <w:rFonts w:ascii="Cambria Math" w:hAnsi="Cambria Math" w:cs="Arial"/>
              </w:rPr>
              <m:t>target</m:t>
            </m:r>
          </m:sub>
        </m:sSub>
      </m:oMath>
      <w:r w:rsidRPr="0098357A">
        <w:rPr>
          <w:rFonts w:ascii="Arial" w:eastAsiaTheme="minorEastAsia" w:hAnsi="Arial" w:cs="Arial"/>
        </w:rPr>
        <w:t>……………………………</w:t>
      </w:r>
      <w:proofErr w:type="gramStart"/>
      <w:r w:rsidRPr="0098357A">
        <w:rPr>
          <w:rFonts w:ascii="Arial" w:eastAsiaTheme="minorEastAsia" w:hAnsi="Arial" w:cs="Arial"/>
        </w:rPr>
        <w:t>…..</w:t>
      </w:r>
      <w:proofErr w:type="gramEnd"/>
      <w:r w:rsidRPr="0098357A">
        <w:rPr>
          <w:rFonts w:ascii="Arial" w:eastAsiaTheme="minorEastAsia" w:hAnsi="Arial" w:cs="Arial"/>
        </w:rPr>
        <w:t>(1)</w:t>
      </w:r>
    </w:p>
    <w:p w14:paraId="7CEAD7A5" w14:textId="77777777" w:rsidR="007678F6" w:rsidRPr="0098357A" w:rsidRDefault="007678F6" w:rsidP="0074373E">
      <w:pPr>
        <w:spacing w:line="276" w:lineRule="auto"/>
        <w:jc w:val="both"/>
        <w:rPr>
          <w:rFonts w:ascii="Arial" w:eastAsiaTheme="minorEastAsia" w:hAnsi="Arial" w:cs="Arial"/>
        </w:rPr>
      </w:pPr>
    </w:p>
    <w:p w14:paraId="7659C673" w14:textId="77777777" w:rsidR="00DA0B0B" w:rsidRPr="0098357A" w:rsidRDefault="00DA0B0B" w:rsidP="0074373E">
      <w:pPr>
        <w:spacing w:line="276" w:lineRule="auto"/>
        <w:jc w:val="both"/>
        <w:rPr>
          <w:rFonts w:ascii="Arial" w:eastAsiaTheme="minorEastAsia" w:hAnsi="Arial" w:cs="Arial"/>
        </w:rPr>
      </w:pPr>
      <w:r w:rsidRPr="0098357A">
        <w:rPr>
          <w:rFonts w:ascii="Arial" w:eastAsiaTheme="minorEastAsia" w:hAnsi="Arial" w:cs="Arial"/>
        </w:rPr>
        <w:t>Based on this formula:</w:t>
      </w:r>
    </w:p>
    <w:p w14:paraId="6D1F22B6" w14:textId="77777777" w:rsidR="00DA0B0B" w:rsidRPr="0098357A" w:rsidRDefault="00DA0B0B" w:rsidP="0074373E">
      <w:pPr>
        <w:pStyle w:val="NoSpacing"/>
        <w:spacing w:line="276" w:lineRule="auto"/>
        <w:rPr>
          <w:rFonts w:ascii="Arial" w:hAnsi="Arial" w:cs="Arial"/>
          <w:sz w:val="20"/>
          <w:szCs w:val="20"/>
        </w:rPr>
      </w:pPr>
      <w:r w:rsidRPr="0098357A">
        <w:rPr>
          <w:rFonts w:ascii="Arial" w:hAnsi="Arial" w:cs="Arial"/>
          <w:b/>
          <w:bCs/>
          <w:sz w:val="20"/>
          <w:szCs w:val="20"/>
        </w:rPr>
        <w:t>500 mg/kg BW</w:t>
      </w:r>
      <w:r w:rsidRPr="0098357A">
        <w:rPr>
          <w:rFonts w:ascii="Arial" w:hAnsi="Arial" w:cs="Arial"/>
          <w:sz w:val="20"/>
          <w:szCs w:val="20"/>
        </w:rPr>
        <w:t xml:space="preserve"> corresponds to </w:t>
      </w:r>
      <w:r w:rsidRPr="0098357A">
        <w:rPr>
          <w:rFonts w:ascii="Arial" w:hAnsi="Arial" w:cs="Arial"/>
          <w:b/>
          <w:bCs/>
          <w:sz w:val="20"/>
          <w:szCs w:val="20"/>
        </w:rPr>
        <w:t>100 mg</w:t>
      </w:r>
      <w:r w:rsidRPr="0098357A">
        <w:rPr>
          <w:rFonts w:ascii="Arial" w:hAnsi="Arial" w:cs="Arial"/>
          <w:sz w:val="20"/>
          <w:szCs w:val="20"/>
        </w:rPr>
        <w:t>/200g BW.</w:t>
      </w:r>
    </w:p>
    <w:p w14:paraId="5E83808C" w14:textId="77777777" w:rsidR="00DA0B0B" w:rsidRPr="0098357A" w:rsidRDefault="00DA0B0B" w:rsidP="0074373E">
      <w:pPr>
        <w:pStyle w:val="NoSpacing"/>
        <w:spacing w:line="276" w:lineRule="auto"/>
        <w:rPr>
          <w:rFonts w:ascii="Arial" w:hAnsi="Arial" w:cs="Arial"/>
          <w:sz w:val="20"/>
          <w:szCs w:val="20"/>
        </w:rPr>
      </w:pPr>
      <w:r w:rsidRPr="0098357A">
        <w:rPr>
          <w:rFonts w:ascii="Arial" w:hAnsi="Arial" w:cs="Arial"/>
          <w:b/>
          <w:bCs/>
          <w:sz w:val="20"/>
          <w:szCs w:val="20"/>
        </w:rPr>
        <w:t>600 mg/kg BW</w:t>
      </w:r>
      <w:r w:rsidRPr="0098357A">
        <w:rPr>
          <w:rFonts w:ascii="Arial" w:hAnsi="Arial" w:cs="Arial"/>
          <w:sz w:val="20"/>
          <w:szCs w:val="20"/>
        </w:rPr>
        <w:t xml:space="preserve"> corresponds to </w:t>
      </w:r>
      <w:r w:rsidRPr="0098357A">
        <w:rPr>
          <w:rFonts w:ascii="Arial" w:hAnsi="Arial" w:cs="Arial"/>
          <w:b/>
          <w:bCs/>
          <w:sz w:val="20"/>
          <w:szCs w:val="20"/>
        </w:rPr>
        <w:t>120 mg</w:t>
      </w:r>
      <w:r w:rsidRPr="0098357A">
        <w:rPr>
          <w:rFonts w:ascii="Arial" w:hAnsi="Arial" w:cs="Arial"/>
          <w:sz w:val="20"/>
          <w:szCs w:val="20"/>
        </w:rPr>
        <w:t>/200g BW.</w:t>
      </w:r>
    </w:p>
    <w:p w14:paraId="75E7725E" w14:textId="77777777" w:rsidR="00DA0B0B" w:rsidRDefault="00DA0B0B" w:rsidP="0074373E">
      <w:pPr>
        <w:pStyle w:val="NoSpacing"/>
        <w:spacing w:line="276" w:lineRule="auto"/>
        <w:rPr>
          <w:rFonts w:ascii="Arial" w:hAnsi="Arial" w:cs="Arial"/>
          <w:sz w:val="20"/>
          <w:szCs w:val="20"/>
        </w:rPr>
      </w:pPr>
      <w:r w:rsidRPr="0098357A">
        <w:rPr>
          <w:rFonts w:ascii="Arial" w:hAnsi="Arial" w:cs="Arial"/>
          <w:b/>
          <w:bCs/>
          <w:sz w:val="20"/>
          <w:szCs w:val="20"/>
        </w:rPr>
        <w:t>700 mg/kg BW</w:t>
      </w:r>
      <w:r w:rsidRPr="0098357A">
        <w:rPr>
          <w:rFonts w:ascii="Arial" w:hAnsi="Arial" w:cs="Arial"/>
          <w:sz w:val="20"/>
          <w:szCs w:val="20"/>
        </w:rPr>
        <w:t xml:space="preserve"> corresponds to </w:t>
      </w:r>
      <w:r w:rsidRPr="0098357A">
        <w:rPr>
          <w:rFonts w:ascii="Arial" w:hAnsi="Arial" w:cs="Arial"/>
          <w:b/>
          <w:bCs/>
          <w:sz w:val="20"/>
          <w:szCs w:val="20"/>
        </w:rPr>
        <w:t>140 mg</w:t>
      </w:r>
      <w:r w:rsidRPr="0098357A">
        <w:rPr>
          <w:rFonts w:ascii="Arial" w:hAnsi="Arial" w:cs="Arial"/>
          <w:sz w:val="20"/>
          <w:szCs w:val="20"/>
        </w:rPr>
        <w:t>/200g BW.</w:t>
      </w:r>
    </w:p>
    <w:p w14:paraId="4D675552" w14:textId="77777777" w:rsidR="00662A23" w:rsidRDefault="00662A23" w:rsidP="0074373E">
      <w:pPr>
        <w:pStyle w:val="NoSpacing"/>
        <w:spacing w:line="276" w:lineRule="auto"/>
        <w:rPr>
          <w:rFonts w:ascii="Arial" w:hAnsi="Arial" w:cs="Arial"/>
          <w:sz w:val="20"/>
          <w:szCs w:val="20"/>
        </w:rPr>
      </w:pPr>
    </w:p>
    <w:p w14:paraId="4104681A" w14:textId="77777777" w:rsidR="00662A23" w:rsidRDefault="00662A23" w:rsidP="0074373E">
      <w:pPr>
        <w:pStyle w:val="NoSpacing"/>
        <w:spacing w:line="276" w:lineRule="auto"/>
        <w:rPr>
          <w:rFonts w:ascii="Arial" w:hAnsi="Arial" w:cs="Arial"/>
          <w:sz w:val="20"/>
          <w:szCs w:val="20"/>
        </w:rPr>
      </w:pPr>
    </w:p>
    <w:p w14:paraId="61C5EBD6" w14:textId="77777777" w:rsidR="00662A23" w:rsidRDefault="00662A23" w:rsidP="0074373E">
      <w:pPr>
        <w:pStyle w:val="NoSpacing"/>
        <w:spacing w:line="276" w:lineRule="auto"/>
        <w:rPr>
          <w:rFonts w:ascii="Arial" w:hAnsi="Arial" w:cs="Arial"/>
          <w:sz w:val="20"/>
          <w:szCs w:val="20"/>
        </w:rPr>
      </w:pPr>
    </w:p>
    <w:p w14:paraId="31C319A1" w14:textId="77777777" w:rsidR="00662A23" w:rsidRDefault="00662A23" w:rsidP="0074373E">
      <w:pPr>
        <w:pStyle w:val="NoSpacing"/>
        <w:spacing w:line="276" w:lineRule="auto"/>
        <w:rPr>
          <w:rFonts w:ascii="Arial" w:hAnsi="Arial" w:cs="Arial"/>
          <w:sz w:val="20"/>
          <w:szCs w:val="20"/>
        </w:rPr>
      </w:pPr>
    </w:p>
    <w:p w14:paraId="27375626" w14:textId="77777777" w:rsidR="00662A23" w:rsidRDefault="00662A23" w:rsidP="0074373E">
      <w:pPr>
        <w:pStyle w:val="NoSpacing"/>
        <w:spacing w:line="276" w:lineRule="auto"/>
        <w:rPr>
          <w:rFonts w:ascii="Arial" w:hAnsi="Arial" w:cs="Arial"/>
          <w:sz w:val="20"/>
          <w:szCs w:val="20"/>
        </w:rPr>
      </w:pPr>
    </w:p>
    <w:p w14:paraId="4D8E6A65" w14:textId="77777777" w:rsidR="00662A23" w:rsidRDefault="00662A23" w:rsidP="0074373E">
      <w:pPr>
        <w:pStyle w:val="NoSpacing"/>
        <w:spacing w:line="276" w:lineRule="auto"/>
        <w:rPr>
          <w:rFonts w:ascii="Arial" w:hAnsi="Arial" w:cs="Arial"/>
          <w:sz w:val="20"/>
          <w:szCs w:val="20"/>
        </w:rPr>
      </w:pPr>
    </w:p>
    <w:p w14:paraId="3CB0D310" w14:textId="77777777" w:rsidR="00662A23" w:rsidRDefault="00662A23" w:rsidP="0074373E">
      <w:pPr>
        <w:pStyle w:val="NoSpacing"/>
        <w:spacing w:line="276" w:lineRule="auto"/>
        <w:rPr>
          <w:rFonts w:ascii="Arial" w:hAnsi="Arial" w:cs="Arial"/>
          <w:sz w:val="20"/>
          <w:szCs w:val="20"/>
        </w:rPr>
      </w:pPr>
    </w:p>
    <w:p w14:paraId="4B1B757C" w14:textId="5958D0D9" w:rsidR="00DA0B0B" w:rsidRPr="0098357A" w:rsidRDefault="00DA0B0B" w:rsidP="0074373E">
      <w:pPr>
        <w:spacing w:line="276" w:lineRule="auto"/>
        <w:jc w:val="both"/>
        <w:rPr>
          <w:rFonts w:ascii="Arial" w:hAnsi="Arial" w:cs="Arial"/>
          <w:b/>
          <w:bCs/>
        </w:rPr>
      </w:pPr>
      <w:r w:rsidRPr="0098357A">
        <w:rPr>
          <w:rFonts w:ascii="Arial" w:hAnsi="Arial" w:cs="Arial"/>
          <w:b/>
          <w:bCs/>
        </w:rPr>
        <w:lastRenderedPageBreak/>
        <w:t>2.</w:t>
      </w:r>
      <w:r w:rsidR="004C7813">
        <w:rPr>
          <w:rFonts w:ascii="Arial" w:hAnsi="Arial" w:cs="Arial"/>
          <w:b/>
          <w:bCs/>
        </w:rPr>
        <w:t>5</w:t>
      </w:r>
      <w:r w:rsidRPr="0098357A">
        <w:rPr>
          <w:rFonts w:ascii="Arial" w:hAnsi="Arial" w:cs="Arial"/>
          <w:b/>
          <w:bCs/>
        </w:rPr>
        <w:t xml:space="preserve">. </w:t>
      </w:r>
      <w:r w:rsidR="00662A23" w:rsidRPr="0098357A">
        <w:rPr>
          <w:rFonts w:ascii="Arial" w:hAnsi="Arial" w:cs="Arial"/>
          <w:b/>
          <w:bCs/>
        </w:rPr>
        <w:t>Experimental Design</w:t>
      </w:r>
    </w:p>
    <w:p w14:paraId="77770144" w14:textId="77777777" w:rsidR="00DA0B0B" w:rsidRDefault="00DA0B0B" w:rsidP="0074373E">
      <w:pPr>
        <w:spacing w:line="276" w:lineRule="auto"/>
        <w:ind w:firstLine="360"/>
        <w:jc w:val="both"/>
        <w:rPr>
          <w:rFonts w:ascii="Arial" w:hAnsi="Arial" w:cs="Arial"/>
        </w:rPr>
      </w:pPr>
      <w:r w:rsidRPr="0098357A">
        <w:rPr>
          <w:rFonts w:ascii="Arial" w:hAnsi="Arial" w:cs="Arial"/>
        </w:rPr>
        <w:t>The study employed a True Experimental Design using a Completely Randomized Design (CRD). The animals were randomly assigned to four groups as shown in the table below (</w:t>
      </w:r>
      <w:r w:rsidRPr="0098357A">
        <w:rPr>
          <w:rFonts w:ascii="Arial" w:hAnsi="Arial" w:cs="Arial"/>
          <w:b/>
          <w:bCs/>
        </w:rPr>
        <w:t>Table 1</w:t>
      </w:r>
      <w:r w:rsidRPr="0098357A">
        <w:rPr>
          <w:rFonts w:ascii="Arial" w:hAnsi="Arial" w:cs="Arial"/>
        </w:rPr>
        <w:t>):</w:t>
      </w:r>
    </w:p>
    <w:p w14:paraId="37A7F26B" w14:textId="77777777" w:rsidR="002F57BB" w:rsidRPr="0098357A" w:rsidRDefault="002F57BB" w:rsidP="0074373E">
      <w:pPr>
        <w:spacing w:line="276" w:lineRule="auto"/>
        <w:ind w:firstLine="360"/>
        <w:jc w:val="both"/>
        <w:rPr>
          <w:rFonts w:ascii="Arial" w:hAnsi="Arial" w:cs="Arial"/>
        </w:rPr>
      </w:pPr>
    </w:p>
    <w:p w14:paraId="2B788B22" w14:textId="77777777" w:rsidR="00DA0B0B" w:rsidRPr="00856B97" w:rsidRDefault="00DA0B0B" w:rsidP="0074373E">
      <w:pPr>
        <w:spacing w:line="276" w:lineRule="auto"/>
        <w:ind w:firstLine="360"/>
        <w:jc w:val="center"/>
        <w:rPr>
          <w:rFonts w:ascii="Arial" w:hAnsi="Arial" w:cs="Arial"/>
          <w:b/>
          <w:bCs/>
        </w:rPr>
      </w:pPr>
      <w:r w:rsidRPr="00856B97">
        <w:rPr>
          <w:rFonts w:ascii="Arial" w:hAnsi="Arial" w:cs="Arial"/>
          <w:b/>
          <w:bCs/>
        </w:rPr>
        <w:t>Table 1. Research Design</w:t>
      </w:r>
    </w:p>
    <w:tbl>
      <w:tblPr>
        <w:tblStyle w:val="PlainTable4"/>
        <w:tblW w:w="8002" w:type="dxa"/>
        <w:jc w:val="center"/>
        <w:tblLook w:val="04A0" w:firstRow="1" w:lastRow="0" w:firstColumn="1" w:lastColumn="0" w:noHBand="0" w:noVBand="1"/>
      </w:tblPr>
      <w:tblGrid>
        <w:gridCol w:w="1702"/>
        <w:gridCol w:w="6300"/>
      </w:tblGrid>
      <w:tr w:rsidR="00DA0B0B" w:rsidRPr="0098357A" w14:paraId="17227D6A" w14:textId="77777777" w:rsidTr="00DA0B0B">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bottom w:val="single" w:sz="4" w:space="0" w:color="auto"/>
            </w:tcBorders>
            <w:vAlign w:val="center"/>
            <w:hideMark/>
          </w:tcPr>
          <w:p w14:paraId="4A7E73E3" w14:textId="77777777" w:rsidR="00DA0B0B" w:rsidRPr="0098357A" w:rsidRDefault="00DA0B0B" w:rsidP="0074373E">
            <w:pPr>
              <w:spacing w:after="160" w:line="276" w:lineRule="auto"/>
              <w:jc w:val="center"/>
              <w:rPr>
                <w:rFonts w:ascii="Arial" w:hAnsi="Arial" w:cs="Arial"/>
                <w:sz w:val="20"/>
                <w:szCs w:val="20"/>
              </w:rPr>
            </w:pPr>
            <w:r w:rsidRPr="0098357A">
              <w:rPr>
                <w:rFonts w:ascii="Arial" w:hAnsi="Arial" w:cs="Arial"/>
                <w:sz w:val="20"/>
                <w:szCs w:val="20"/>
              </w:rPr>
              <w:t>Group</w:t>
            </w:r>
          </w:p>
        </w:tc>
        <w:tc>
          <w:tcPr>
            <w:tcW w:w="6300" w:type="dxa"/>
            <w:tcBorders>
              <w:top w:val="single" w:sz="4" w:space="0" w:color="auto"/>
              <w:bottom w:val="single" w:sz="4" w:space="0" w:color="auto"/>
            </w:tcBorders>
            <w:vAlign w:val="bottom"/>
            <w:hideMark/>
          </w:tcPr>
          <w:p w14:paraId="7030B1D0" w14:textId="77777777" w:rsidR="00DA0B0B" w:rsidRPr="0098357A" w:rsidRDefault="00DA0B0B" w:rsidP="0074373E">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8357A">
              <w:rPr>
                <w:rFonts w:ascii="Arial" w:hAnsi="Arial" w:cs="Arial"/>
                <w:sz w:val="20"/>
                <w:szCs w:val="20"/>
              </w:rPr>
              <w:t>Treatment Description</w:t>
            </w:r>
          </w:p>
        </w:tc>
      </w:tr>
      <w:tr w:rsidR="00DA0B0B" w:rsidRPr="0098357A" w14:paraId="2C808DE4" w14:textId="77777777" w:rsidTr="00FB3AF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tcBorders>
            <w:shd w:val="clear" w:color="auto" w:fill="auto"/>
            <w:hideMark/>
          </w:tcPr>
          <w:p w14:paraId="213200EF" w14:textId="77777777" w:rsidR="00DA0B0B" w:rsidRPr="0098357A" w:rsidRDefault="00DA0B0B" w:rsidP="0074373E">
            <w:pPr>
              <w:spacing w:after="160" w:line="276" w:lineRule="auto"/>
              <w:jc w:val="center"/>
              <w:rPr>
                <w:rFonts w:ascii="Arial" w:hAnsi="Arial" w:cs="Arial"/>
                <w:sz w:val="20"/>
                <w:szCs w:val="20"/>
              </w:rPr>
            </w:pPr>
            <w:r w:rsidRPr="0098357A">
              <w:rPr>
                <w:rFonts w:ascii="Arial" w:hAnsi="Arial" w:cs="Arial"/>
                <w:sz w:val="20"/>
                <w:szCs w:val="20"/>
              </w:rPr>
              <w:t>P0 (Control)</w:t>
            </w:r>
          </w:p>
        </w:tc>
        <w:tc>
          <w:tcPr>
            <w:tcW w:w="6300" w:type="dxa"/>
            <w:tcBorders>
              <w:top w:val="single" w:sz="4" w:space="0" w:color="auto"/>
            </w:tcBorders>
            <w:shd w:val="clear" w:color="auto" w:fill="auto"/>
            <w:hideMark/>
          </w:tcPr>
          <w:p w14:paraId="165A97DC" w14:textId="17171215" w:rsidR="00DA0B0B" w:rsidRPr="0098357A" w:rsidRDefault="007E5575" w:rsidP="007E5575">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Pr="00E07159">
              <w:rPr>
                <w:rFonts w:ascii="Arial" w:hAnsi="Arial" w:cs="Arial"/>
                <w:color w:val="EE0000"/>
                <w:sz w:val="20"/>
                <w:szCs w:val="20"/>
              </w:rPr>
              <w:t>Oral administration of 0.2% CMC solution</w:t>
            </w:r>
            <w:r w:rsidR="00DA0B0B" w:rsidRPr="00E07159">
              <w:rPr>
                <w:rFonts w:ascii="Arial" w:hAnsi="Arial" w:cs="Arial"/>
                <w:color w:val="EE0000"/>
                <w:sz w:val="20"/>
                <w:szCs w:val="20"/>
              </w:rPr>
              <w:t xml:space="preserve"> (Placebo)</w:t>
            </w:r>
          </w:p>
        </w:tc>
      </w:tr>
      <w:tr w:rsidR="00DA0B0B" w:rsidRPr="0098357A" w14:paraId="7590DFDE" w14:textId="77777777" w:rsidTr="00FB3AFE">
        <w:trPr>
          <w:trHeight w:val="315"/>
          <w:jc w:val="center"/>
        </w:trPr>
        <w:tc>
          <w:tcPr>
            <w:cnfStyle w:val="001000000000" w:firstRow="0" w:lastRow="0" w:firstColumn="1" w:lastColumn="0" w:oddVBand="0" w:evenVBand="0" w:oddHBand="0" w:evenHBand="0" w:firstRowFirstColumn="0" w:firstRowLastColumn="0" w:lastRowFirstColumn="0" w:lastRowLastColumn="0"/>
            <w:tcW w:w="1702" w:type="dxa"/>
            <w:hideMark/>
          </w:tcPr>
          <w:p w14:paraId="5AD03BCB" w14:textId="77777777" w:rsidR="00DA0B0B" w:rsidRPr="0098357A" w:rsidRDefault="00DA0B0B" w:rsidP="0074373E">
            <w:pPr>
              <w:spacing w:after="160" w:line="276" w:lineRule="auto"/>
              <w:jc w:val="center"/>
              <w:rPr>
                <w:rFonts w:ascii="Arial" w:hAnsi="Arial" w:cs="Arial"/>
                <w:sz w:val="20"/>
                <w:szCs w:val="20"/>
              </w:rPr>
            </w:pPr>
            <w:r w:rsidRPr="0098357A">
              <w:rPr>
                <w:rFonts w:ascii="Arial" w:hAnsi="Arial" w:cs="Arial"/>
                <w:sz w:val="20"/>
                <w:szCs w:val="20"/>
              </w:rPr>
              <w:t>P1</w:t>
            </w:r>
          </w:p>
        </w:tc>
        <w:tc>
          <w:tcPr>
            <w:tcW w:w="6300" w:type="dxa"/>
            <w:hideMark/>
          </w:tcPr>
          <w:p w14:paraId="0192BE08" w14:textId="77777777" w:rsidR="00DA0B0B" w:rsidRPr="0098357A" w:rsidRDefault="00DA0B0B" w:rsidP="0074373E">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357A">
              <w:rPr>
                <w:rFonts w:ascii="Arial" w:hAnsi="Arial" w:cs="Arial"/>
                <w:sz w:val="20"/>
                <w:szCs w:val="20"/>
              </w:rPr>
              <w:t xml:space="preserve">Oral administration of </w:t>
            </w:r>
            <w:r w:rsidRPr="0098357A">
              <w:rPr>
                <w:rFonts w:ascii="Arial" w:hAnsi="Arial" w:cs="Arial"/>
                <w:i/>
                <w:iCs/>
                <w:sz w:val="20"/>
                <w:szCs w:val="20"/>
              </w:rPr>
              <w:t xml:space="preserve">H. </w:t>
            </w:r>
            <w:proofErr w:type="spellStart"/>
            <w:r w:rsidRPr="0098357A">
              <w:rPr>
                <w:rFonts w:ascii="Arial" w:hAnsi="Arial" w:cs="Arial"/>
                <w:i/>
                <w:iCs/>
                <w:sz w:val="20"/>
                <w:szCs w:val="20"/>
              </w:rPr>
              <w:t>polyrhizus</w:t>
            </w:r>
            <w:proofErr w:type="spellEnd"/>
            <w:r w:rsidRPr="0098357A">
              <w:rPr>
                <w:rFonts w:ascii="Arial" w:hAnsi="Arial" w:cs="Arial"/>
                <w:sz w:val="20"/>
                <w:szCs w:val="20"/>
              </w:rPr>
              <w:t xml:space="preserve"> extract at Concentration 1</w:t>
            </w:r>
          </w:p>
        </w:tc>
      </w:tr>
      <w:tr w:rsidR="00DA0B0B" w:rsidRPr="0098357A" w14:paraId="2269A39C" w14:textId="77777777" w:rsidTr="00FB3AF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14:paraId="51E932DF" w14:textId="77777777" w:rsidR="00DA0B0B" w:rsidRPr="0098357A" w:rsidRDefault="00DA0B0B" w:rsidP="0074373E">
            <w:pPr>
              <w:spacing w:after="160" w:line="276" w:lineRule="auto"/>
              <w:jc w:val="center"/>
              <w:rPr>
                <w:rFonts w:ascii="Arial" w:hAnsi="Arial" w:cs="Arial"/>
                <w:sz w:val="20"/>
                <w:szCs w:val="20"/>
              </w:rPr>
            </w:pPr>
            <w:r w:rsidRPr="0098357A">
              <w:rPr>
                <w:rFonts w:ascii="Arial" w:hAnsi="Arial" w:cs="Arial"/>
                <w:sz w:val="20"/>
                <w:szCs w:val="20"/>
              </w:rPr>
              <w:t>P2</w:t>
            </w:r>
          </w:p>
        </w:tc>
        <w:tc>
          <w:tcPr>
            <w:tcW w:w="6300" w:type="dxa"/>
            <w:shd w:val="clear" w:color="auto" w:fill="auto"/>
            <w:hideMark/>
          </w:tcPr>
          <w:p w14:paraId="7A5177B0" w14:textId="77777777" w:rsidR="00DA0B0B" w:rsidRPr="0098357A" w:rsidRDefault="00DA0B0B" w:rsidP="0074373E">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8357A">
              <w:rPr>
                <w:rFonts w:ascii="Arial" w:hAnsi="Arial" w:cs="Arial"/>
                <w:sz w:val="20"/>
                <w:szCs w:val="20"/>
              </w:rPr>
              <w:t xml:space="preserve">Oral administration of </w:t>
            </w:r>
            <w:r w:rsidRPr="0098357A">
              <w:rPr>
                <w:rFonts w:ascii="Arial" w:hAnsi="Arial" w:cs="Arial"/>
                <w:i/>
                <w:iCs/>
                <w:sz w:val="20"/>
                <w:szCs w:val="20"/>
              </w:rPr>
              <w:t xml:space="preserve">H. </w:t>
            </w:r>
            <w:proofErr w:type="spellStart"/>
            <w:r w:rsidRPr="0098357A">
              <w:rPr>
                <w:rFonts w:ascii="Arial" w:hAnsi="Arial" w:cs="Arial"/>
                <w:i/>
                <w:iCs/>
                <w:sz w:val="20"/>
                <w:szCs w:val="20"/>
              </w:rPr>
              <w:t>polyrhizus</w:t>
            </w:r>
            <w:proofErr w:type="spellEnd"/>
            <w:r w:rsidRPr="0098357A">
              <w:rPr>
                <w:rFonts w:ascii="Arial" w:hAnsi="Arial" w:cs="Arial"/>
                <w:sz w:val="20"/>
                <w:szCs w:val="20"/>
              </w:rPr>
              <w:t xml:space="preserve"> extract at Concentration 2</w:t>
            </w:r>
          </w:p>
        </w:tc>
      </w:tr>
      <w:tr w:rsidR="00DA0B0B" w:rsidRPr="0098357A" w14:paraId="06CCCA38" w14:textId="77777777" w:rsidTr="00FB3AFE">
        <w:trPr>
          <w:trHeight w:val="315"/>
          <w:jc w:val="center"/>
        </w:trPr>
        <w:tc>
          <w:tcPr>
            <w:cnfStyle w:val="001000000000" w:firstRow="0" w:lastRow="0" w:firstColumn="1" w:lastColumn="0" w:oddVBand="0" w:evenVBand="0" w:oddHBand="0" w:evenHBand="0" w:firstRowFirstColumn="0" w:firstRowLastColumn="0" w:lastRowFirstColumn="0" w:lastRowLastColumn="0"/>
            <w:tcW w:w="1702" w:type="dxa"/>
            <w:tcBorders>
              <w:bottom w:val="single" w:sz="4" w:space="0" w:color="auto"/>
            </w:tcBorders>
            <w:hideMark/>
          </w:tcPr>
          <w:p w14:paraId="49B65723" w14:textId="77777777" w:rsidR="00DA0B0B" w:rsidRPr="0098357A" w:rsidRDefault="00DA0B0B" w:rsidP="0074373E">
            <w:pPr>
              <w:spacing w:after="160" w:line="276" w:lineRule="auto"/>
              <w:jc w:val="center"/>
              <w:rPr>
                <w:rFonts w:ascii="Arial" w:hAnsi="Arial" w:cs="Arial"/>
                <w:sz w:val="20"/>
                <w:szCs w:val="20"/>
              </w:rPr>
            </w:pPr>
            <w:r w:rsidRPr="0098357A">
              <w:rPr>
                <w:rFonts w:ascii="Arial" w:hAnsi="Arial" w:cs="Arial"/>
                <w:sz w:val="20"/>
                <w:szCs w:val="20"/>
              </w:rPr>
              <w:t>P3</w:t>
            </w:r>
          </w:p>
        </w:tc>
        <w:tc>
          <w:tcPr>
            <w:tcW w:w="6300" w:type="dxa"/>
            <w:tcBorders>
              <w:bottom w:val="single" w:sz="4" w:space="0" w:color="auto"/>
            </w:tcBorders>
            <w:hideMark/>
          </w:tcPr>
          <w:p w14:paraId="7339ADC8" w14:textId="77777777" w:rsidR="00DA0B0B" w:rsidRPr="0098357A" w:rsidRDefault="00DA0B0B" w:rsidP="0074373E">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357A">
              <w:rPr>
                <w:rFonts w:ascii="Arial" w:hAnsi="Arial" w:cs="Arial"/>
                <w:sz w:val="20"/>
                <w:szCs w:val="20"/>
              </w:rPr>
              <w:t xml:space="preserve">Oral administration of </w:t>
            </w:r>
            <w:r w:rsidRPr="0098357A">
              <w:rPr>
                <w:rFonts w:ascii="Arial" w:hAnsi="Arial" w:cs="Arial"/>
                <w:i/>
                <w:iCs/>
                <w:sz w:val="20"/>
                <w:szCs w:val="20"/>
              </w:rPr>
              <w:t xml:space="preserve">H. </w:t>
            </w:r>
            <w:proofErr w:type="spellStart"/>
            <w:r w:rsidRPr="0098357A">
              <w:rPr>
                <w:rFonts w:ascii="Arial" w:hAnsi="Arial" w:cs="Arial"/>
                <w:i/>
                <w:iCs/>
                <w:sz w:val="20"/>
                <w:szCs w:val="20"/>
              </w:rPr>
              <w:t>polyrhizus</w:t>
            </w:r>
            <w:proofErr w:type="spellEnd"/>
            <w:r w:rsidRPr="0098357A">
              <w:rPr>
                <w:rFonts w:ascii="Arial" w:hAnsi="Arial" w:cs="Arial"/>
                <w:sz w:val="20"/>
                <w:szCs w:val="20"/>
              </w:rPr>
              <w:t xml:space="preserve"> extract at Concentration 3</w:t>
            </w:r>
          </w:p>
        </w:tc>
      </w:tr>
    </w:tbl>
    <w:p w14:paraId="09CDAC63" w14:textId="77777777" w:rsidR="002F57BB" w:rsidRDefault="002F57BB" w:rsidP="0074373E">
      <w:pPr>
        <w:pStyle w:val="NoSpacing"/>
        <w:spacing w:line="276" w:lineRule="auto"/>
        <w:ind w:firstLine="630"/>
        <w:rPr>
          <w:rFonts w:ascii="Arial" w:hAnsi="Arial" w:cs="Arial"/>
          <w:b/>
          <w:bCs/>
          <w:sz w:val="20"/>
          <w:szCs w:val="20"/>
        </w:rPr>
      </w:pPr>
    </w:p>
    <w:p w14:paraId="797683DB" w14:textId="69C6C703" w:rsidR="00DA0B0B" w:rsidRPr="0098357A" w:rsidRDefault="00DA0B0B" w:rsidP="0074373E">
      <w:pPr>
        <w:pStyle w:val="NoSpacing"/>
        <w:spacing w:line="276" w:lineRule="auto"/>
        <w:ind w:firstLine="630"/>
        <w:rPr>
          <w:rFonts w:ascii="Arial" w:hAnsi="Arial" w:cs="Arial"/>
          <w:sz w:val="20"/>
          <w:szCs w:val="20"/>
        </w:rPr>
      </w:pPr>
      <w:r w:rsidRPr="0098357A">
        <w:rPr>
          <w:rFonts w:ascii="Arial" w:hAnsi="Arial" w:cs="Arial"/>
          <w:b/>
          <w:bCs/>
          <w:sz w:val="20"/>
          <w:szCs w:val="20"/>
        </w:rPr>
        <w:t>Notes:</w:t>
      </w:r>
    </w:p>
    <w:p w14:paraId="52AD6DA1" w14:textId="1A6BF102" w:rsidR="00DA0B0B" w:rsidRPr="0098357A" w:rsidRDefault="00DA0B0B" w:rsidP="0074373E">
      <w:pPr>
        <w:pStyle w:val="NoSpacing"/>
        <w:spacing w:line="276" w:lineRule="auto"/>
        <w:ind w:firstLine="630"/>
        <w:rPr>
          <w:rFonts w:ascii="Arial" w:hAnsi="Arial" w:cs="Arial"/>
          <w:sz w:val="20"/>
          <w:szCs w:val="20"/>
        </w:rPr>
      </w:pPr>
      <w:r w:rsidRPr="0098357A">
        <w:rPr>
          <w:rFonts w:ascii="Arial" w:hAnsi="Arial" w:cs="Arial"/>
          <w:b/>
          <w:bCs/>
          <w:sz w:val="20"/>
          <w:szCs w:val="20"/>
        </w:rPr>
        <w:t>P0:</w:t>
      </w:r>
      <w:r w:rsidRPr="0098357A">
        <w:rPr>
          <w:rFonts w:ascii="Arial" w:hAnsi="Arial" w:cs="Arial"/>
          <w:sz w:val="20"/>
          <w:szCs w:val="20"/>
        </w:rPr>
        <w:t xml:space="preserve"> Dose of 0 mg/kg BW for </w:t>
      </w:r>
      <w:r w:rsidR="00587743" w:rsidRPr="00587743">
        <w:rPr>
          <w:rFonts w:ascii="Arial" w:hAnsi="Arial" w:cs="Arial"/>
          <w:color w:val="EE0000"/>
          <w:sz w:val="20"/>
          <w:szCs w:val="20"/>
        </w:rPr>
        <w:t>F</w:t>
      </w:r>
      <w:r w:rsidRPr="00587743">
        <w:rPr>
          <w:rFonts w:ascii="Arial" w:hAnsi="Arial" w:cs="Arial"/>
          <w:color w:val="EE0000"/>
          <w:sz w:val="20"/>
          <w:szCs w:val="20"/>
        </w:rPr>
        <w:t xml:space="preserve">emale </w:t>
      </w:r>
      <w:r w:rsidR="00587743" w:rsidRPr="00587743">
        <w:rPr>
          <w:rFonts w:ascii="Arial" w:hAnsi="Arial" w:cs="Arial"/>
          <w:color w:val="EE0000"/>
          <w:sz w:val="20"/>
          <w:szCs w:val="20"/>
        </w:rPr>
        <w:t>Wistar</w:t>
      </w:r>
      <w:r w:rsidRPr="00587743">
        <w:rPr>
          <w:rFonts w:ascii="Arial" w:hAnsi="Arial" w:cs="Arial"/>
          <w:color w:val="EE0000"/>
          <w:sz w:val="20"/>
          <w:szCs w:val="20"/>
        </w:rPr>
        <w:t xml:space="preserve"> rats</w:t>
      </w:r>
      <w:r w:rsidRPr="0098357A">
        <w:rPr>
          <w:rFonts w:ascii="Arial" w:hAnsi="Arial" w:cs="Arial"/>
          <w:sz w:val="20"/>
          <w:szCs w:val="20"/>
        </w:rPr>
        <w:t xml:space="preserve"> (control)</w:t>
      </w:r>
    </w:p>
    <w:p w14:paraId="6253AA1B" w14:textId="36E58A0F" w:rsidR="00DA0B0B" w:rsidRPr="0098357A" w:rsidRDefault="00DA0B0B" w:rsidP="0074373E">
      <w:pPr>
        <w:pStyle w:val="NoSpacing"/>
        <w:spacing w:line="276" w:lineRule="auto"/>
        <w:ind w:firstLine="630"/>
        <w:rPr>
          <w:rFonts w:ascii="Arial" w:hAnsi="Arial" w:cs="Arial"/>
          <w:sz w:val="20"/>
          <w:szCs w:val="20"/>
        </w:rPr>
      </w:pPr>
      <w:r w:rsidRPr="0098357A">
        <w:rPr>
          <w:rFonts w:ascii="Arial" w:hAnsi="Arial" w:cs="Arial"/>
          <w:b/>
          <w:bCs/>
          <w:sz w:val="20"/>
          <w:szCs w:val="20"/>
        </w:rPr>
        <w:t>P1:</w:t>
      </w:r>
      <w:r w:rsidRPr="0098357A">
        <w:rPr>
          <w:rFonts w:ascii="Arial" w:hAnsi="Arial" w:cs="Arial"/>
          <w:sz w:val="20"/>
          <w:szCs w:val="20"/>
        </w:rPr>
        <w:t xml:space="preserve"> Dose of 500 mg/kg BW for </w:t>
      </w:r>
      <w:r w:rsidR="00587743" w:rsidRPr="00587743">
        <w:rPr>
          <w:rFonts w:ascii="Arial" w:hAnsi="Arial" w:cs="Arial"/>
          <w:color w:val="EE0000"/>
          <w:sz w:val="20"/>
          <w:szCs w:val="20"/>
        </w:rPr>
        <w:t>Female Wistar rats</w:t>
      </w:r>
    </w:p>
    <w:p w14:paraId="3EB1A7DF" w14:textId="2E2695ED" w:rsidR="00DA0B0B" w:rsidRPr="0098357A" w:rsidRDefault="00DA0B0B" w:rsidP="0074373E">
      <w:pPr>
        <w:pStyle w:val="NoSpacing"/>
        <w:spacing w:line="276" w:lineRule="auto"/>
        <w:ind w:firstLine="630"/>
        <w:rPr>
          <w:rFonts w:ascii="Arial" w:hAnsi="Arial" w:cs="Arial"/>
          <w:sz w:val="20"/>
          <w:szCs w:val="20"/>
        </w:rPr>
      </w:pPr>
      <w:r w:rsidRPr="0098357A">
        <w:rPr>
          <w:rFonts w:ascii="Arial" w:hAnsi="Arial" w:cs="Arial"/>
          <w:b/>
          <w:bCs/>
          <w:sz w:val="20"/>
          <w:szCs w:val="20"/>
        </w:rPr>
        <w:t>P2:</w:t>
      </w:r>
      <w:r w:rsidRPr="0098357A">
        <w:rPr>
          <w:rFonts w:ascii="Arial" w:hAnsi="Arial" w:cs="Arial"/>
          <w:sz w:val="20"/>
          <w:szCs w:val="20"/>
        </w:rPr>
        <w:t xml:space="preserve"> Dose of 600 mg/kg BW for </w:t>
      </w:r>
      <w:r w:rsidR="00587743" w:rsidRPr="00587743">
        <w:rPr>
          <w:rFonts w:ascii="Arial" w:hAnsi="Arial" w:cs="Arial"/>
          <w:color w:val="EE0000"/>
          <w:sz w:val="20"/>
          <w:szCs w:val="20"/>
        </w:rPr>
        <w:t>Female Wistar rats</w:t>
      </w:r>
    </w:p>
    <w:p w14:paraId="4081FC97" w14:textId="3D2BDEE6" w:rsidR="00DA0B0B" w:rsidRPr="0098357A" w:rsidRDefault="00DA0B0B" w:rsidP="0074373E">
      <w:pPr>
        <w:pStyle w:val="NoSpacing"/>
        <w:spacing w:line="276" w:lineRule="auto"/>
        <w:ind w:firstLine="630"/>
        <w:rPr>
          <w:rFonts w:ascii="Arial" w:hAnsi="Arial" w:cs="Arial"/>
          <w:sz w:val="20"/>
          <w:szCs w:val="20"/>
        </w:rPr>
      </w:pPr>
      <w:r w:rsidRPr="0098357A">
        <w:rPr>
          <w:rFonts w:ascii="Arial" w:hAnsi="Arial" w:cs="Arial"/>
          <w:b/>
          <w:bCs/>
          <w:sz w:val="20"/>
          <w:szCs w:val="20"/>
        </w:rPr>
        <w:t>P3:</w:t>
      </w:r>
      <w:r w:rsidRPr="0098357A">
        <w:rPr>
          <w:rFonts w:ascii="Arial" w:hAnsi="Arial" w:cs="Arial"/>
          <w:sz w:val="20"/>
          <w:szCs w:val="20"/>
        </w:rPr>
        <w:t xml:space="preserve"> Dose of 700 mg/kg BW for </w:t>
      </w:r>
      <w:r w:rsidR="00587743" w:rsidRPr="00587743">
        <w:rPr>
          <w:rFonts w:ascii="Arial" w:hAnsi="Arial" w:cs="Arial"/>
          <w:color w:val="EE0000"/>
          <w:sz w:val="20"/>
          <w:szCs w:val="20"/>
        </w:rPr>
        <w:t>Female Wistar rats</w:t>
      </w:r>
    </w:p>
    <w:p w14:paraId="7F4F9952" w14:textId="77777777" w:rsidR="0098357A" w:rsidRPr="0098357A" w:rsidRDefault="0098357A" w:rsidP="0074373E">
      <w:pPr>
        <w:pStyle w:val="NoSpacing"/>
        <w:spacing w:line="276" w:lineRule="auto"/>
        <w:ind w:firstLine="630"/>
        <w:rPr>
          <w:rFonts w:ascii="Arial" w:hAnsi="Arial" w:cs="Arial"/>
          <w:sz w:val="20"/>
          <w:szCs w:val="20"/>
        </w:rPr>
      </w:pPr>
    </w:p>
    <w:p w14:paraId="651B63D8" w14:textId="1DF838A2" w:rsidR="00EB0F30" w:rsidRPr="0098357A" w:rsidRDefault="00036986" w:rsidP="0074373E">
      <w:pPr>
        <w:spacing w:line="276" w:lineRule="auto"/>
        <w:jc w:val="both"/>
        <w:rPr>
          <w:rFonts w:ascii="Arial" w:hAnsi="Arial" w:cs="Arial"/>
          <w:b/>
          <w:bCs/>
          <w:sz w:val="22"/>
          <w:szCs w:val="22"/>
        </w:rPr>
      </w:pPr>
      <w:r w:rsidRPr="0098357A">
        <w:rPr>
          <w:rFonts w:ascii="Arial" w:hAnsi="Arial" w:cs="Arial"/>
          <w:b/>
          <w:bCs/>
          <w:sz w:val="22"/>
          <w:szCs w:val="22"/>
        </w:rPr>
        <w:t>2.</w:t>
      </w:r>
      <w:r w:rsidR="004C7813">
        <w:rPr>
          <w:rFonts w:ascii="Arial" w:hAnsi="Arial" w:cs="Arial"/>
          <w:b/>
          <w:bCs/>
          <w:sz w:val="22"/>
          <w:szCs w:val="22"/>
        </w:rPr>
        <w:t>6</w:t>
      </w:r>
      <w:r w:rsidRPr="0098357A">
        <w:rPr>
          <w:rFonts w:ascii="Arial" w:hAnsi="Arial" w:cs="Arial"/>
          <w:b/>
          <w:bCs/>
          <w:sz w:val="22"/>
          <w:szCs w:val="22"/>
        </w:rPr>
        <w:t xml:space="preserve">. </w:t>
      </w:r>
      <w:r w:rsidR="00662A23" w:rsidRPr="0098357A">
        <w:rPr>
          <w:rFonts w:ascii="Arial" w:hAnsi="Arial" w:cs="Arial"/>
          <w:b/>
          <w:bCs/>
          <w:sz w:val="22"/>
          <w:szCs w:val="22"/>
        </w:rPr>
        <w:t>Histological Preparation and Measurement</w:t>
      </w:r>
    </w:p>
    <w:p w14:paraId="66D240C4" w14:textId="09D6E48A" w:rsidR="00EB0F30" w:rsidRPr="0098357A" w:rsidRDefault="00036986" w:rsidP="0074373E">
      <w:pPr>
        <w:pStyle w:val="Heading2"/>
        <w:spacing w:before="0" w:line="276" w:lineRule="auto"/>
        <w:jc w:val="both"/>
        <w:rPr>
          <w:rFonts w:ascii="Arial" w:hAnsi="Arial" w:cs="Arial"/>
          <w:b/>
          <w:bCs/>
          <w:color w:val="000000" w:themeColor="text1"/>
          <w:sz w:val="20"/>
          <w:szCs w:val="20"/>
        </w:rPr>
      </w:pPr>
      <w:r w:rsidRPr="0098357A">
        <w:rPr>
          <w:rFonts w:ascii="Arial" w:hAnsi="Arial" w:cs="Arial"/>
          <w:b/>
          <w:bCs/>
          <w:color w:val="000000" w:themeColor="text1"/>
          <w:sz w:val="20"/>
          <w:szCs w:val="20"/>
        </w:rPr>
        <w:t>2.</w:t>
      </w:r>
      <w:r w:rsidR="004C7813">
        <w:rPr>
          <w:rFonts w:ascii="Arial" w:hAnsi="Arial" w:cs="Arial"/>
          <w:b/>
          <w:bCs/>
          <w:color w:val="000000" w:themeColor="text1"/>
          <w:sz w:val="20"/>
          <w:szCs w:val="20"/>
        </w:rPr>
        <w:t>6</w:t>
      </w:r>
      <w:r w:rsidRPr="0098357A">
        <w:rPr>
          <w:rFonts w:ascii="Arial" w:hAnsi="Arial" w:cs="Arial"/>
          <w:b/>
          <w:bCs/>
          <w:color w:val="000000" w:themeColor="text1"/>
          <w:sz w:val="20"/>
          <w:szCs w:val="20"/>
        </w:rPr>
        <w:t xml:space="preserve">.1 </w:t>
      </w:r>
      <w:r w:rsidR="00662A23" w:rsidRPr="0098357A">
        <w:rPr>
          <w:rFonts w:ascii="Arial" w:hAnsi="Arial" w:cs="Arial"/>
          <w:b/>
          <w:bCs/>
          <w:color w:val="000000" w:themeColor="text1"/>
          <w:sz w:val="20"/>
          <w:szCs w:val="20"/>
        </w:rPr>
        <w:t>Euthanasia and Ovarian Organ Collection</w:t>
      </w:r>
    </w:p>
    <w:p w14:paraId="2B0B7D3D" w14:textId="0523B915" w:rsidR="00EB0F30" w:rsidRPr="0098357A" w:rsidRDefault="00AE3229" w:rsidP="0074373E">
      <w:pPr>
        <w:pStyle w:val="NormalWeb"/>
        <w:spacing w:before="0" w:beforeAutospacing="0" w:line="276" w:lineRule="auto"/>
        <w:jc w:val="both"/>
        <w:rPr>
          <w:rFonts w:ascii="Arial" w:hAnsi="Arial" w:cs="Arial"/>
          <w:color w:val="000000" w:themeColor="text1"/>
          <w:sz w:val="20"/>
          <w:szCs w:val="20"/>
        </w:rPr>
      </w:pPr>
      <w:r w:rsidRPr="00AE3229">
        <w:rPr>
          <w:rFonts w:ascii="Arial" w:hAnsi="Arial" w:cs="Arial"/>
          <w:color w:val="EE0000"/>
          <w:sz w:val="20"/>
          <w:szCs w:val="20"/>
        </w:rPr>
        <w:t>The termination of the experimental animals was conducted on day 22, following the completion of the 21-day treatment period. All female Wistar rats were euthanized via an overdose of ketamine and xylazine anesthesia, ensuring a deep plane of unconsciousness and minimal distress prior to the surgical procedure</w:t>
      </w:r>
      <w:r w:rsidR="00EB0F30" w:rsidRPr="0098357A">
        <w:rPr>
          <w:rFonts w:ascii="Arial" w:hAnsi="Arial" w:cs="Arial"/>
          <w:color w:val="000000" w:themeColor="text1"/>
          <w:sz w:val="20"/>
          <w:szCs w:val="20"/>
        </w:rPr>
        <w:t>.</w:t>
      </w:r>
      <w:r>
        <w:rPr>
          <w:rFonts w:ascii="Arial" w:hAnsi="Arial" w:cs="Arial"/>
          <w:color w:val="000000" w:themeColor="text1"/>
          <w:sz w:val="20"/>
          <w:szCs w:val="20"/>
        </w:rPr>
        <w:t xml:space="preserve"> </w:t>
      </w:r>
      <w:r w:rsidR="00EB0F30" w:rsidRPr="0098357A">
        <w:rPr>
          <w:rStyle w:val="citation-238"/>
          <w:rFonts w:ascii="Arial" w:eastAsiaTheme="majorEastAsia" w:hAnsi="Arial" w:cs="Arial"/>
          <w:color w:val="000000" w:themeColor="text1"/>
          <w:sz w:val="20"/>
          <w:szCs w:val="20"/>
        </w:rPr>
        <w:t xml:space="preserve">Once fully anesthetized, the rats underwent a laparotomy using sterile surgical instruments to harvest the ovarian organs from the abdominal cavity </w:t>
      </w:r>
      <w:r w:rsidR="00EB0F30" w:rsidRPr="0098357A">
        <w:rPr>
          <w:rStyle w:val="citation-238"/>
          <w:rFonts w:ascii="Arial" w:eastAsiaTheme="majorEastAsia" w:hAnsi="Arial" w:cs="Arial"/>
          <w:color w:val="000000" w:themeColor="text1"/>
          <w:sz w:val="20"/>
          <w:szCs w:val="20"/>
        </w:rPr>
        <w:fldChar w:fldCharType="begin" w:fldLock="1"/>
      </w:r>
      <w:r w:rsidR="00EB0F30" w:rsidRPr="0098357A">
        <w:rPr>
          <w:rStyle w:val="citation-238"/>
          <w:rFonts w:ascii="Arial" w:eastAsiaTheme="majorEastAsia" w:hAnsi="Arial" w:cs="Arial"/>
          <w:color w:val="000000" w:themeColor="text1"/>
          <w:sz w:val="20"/>
          <w:szCs w:val="20"/>
        </w:rPr>
        <w:instrText>ADDIN CSL_CITATION {"citationItems":[{"id":"ITEM-1","itemData":{"DOI":"10.36709/ampibi.v10i3.360","abstract":"Abstrak: Fenomena infertilitas (ketidaksuburan) banyak dialami oleh masyarkat, berbagai alternatif pengobatan baik secara medis ataupun non medis banyak dilakukan. Salah satu alternative yang banyak dilakukan oleh masyarakat adalah pemanfaatan herbal, salah satunya adalah buah naga. Konsumsi buah naga (Hylocereus polyrhizus) diharapkan dapat membantu meningkatkan kesuburan. Penelitian ini bertujuan untuk mengetahui pemberian ekstrak buah naga (Hylocereus polyrhizus) terhadap jumlah sel granulosa pada tikus putih betina. Jenis penelitian adalah eksperimen (true experiment) menggunakan Rancangan Acak Lengkap. Populasi penelitian menggunakan 40 ekor tikus. Sampel diperoleh dengan teknik simple random sampling sebanyak 24 ekor tikus dengan kriteria sampel berat 150 sampai 200 gram, umur 12 sampai 13 minggu, jenis kelamin betina, dan dalam kondisi sehat. Teknik analisis data dilakukan secara deskriptif dan inferensial, uji hipotesis menggunakan uji ANOVA dengan taraf kepercayaan 95% (α = 0,05) dimana diperoleh Fhitung&gt; Ftabel dan uji lanjut Tukey/HSD (Honest Significant Difference). Hasil yang diperoleh menunjukkan bahwa ekstrak buah naga berpengaruh secara signifikan terhadap jumlah sel granulosa pada tikus putih betina. Semakin tinggi dosis ekstrak buah naga yang diberikan semakin semakin bertambah jumlah sel granulosa. Abstract: Phenomenon in the community many experience infertility, so that by consuming dragon fruit (Hylocereus polyrhizus) is expected to help improve fertility. This study aims to determine the administration of dragon fruit extract (Hylocereus polyrhizus). This type of research is an experiment (true experiment) using a completely randomised design. The study population used 40 rats. The sample was obtained by simple random sampling technique as many as 24 rats with sample criteria weighing 150 to 200 grams, age 12 to 13 weeks, female sex, and in healthy condition. Data analysis techniques were carried out descriptively and inferentially, hypothesis testing using ANOVA test with 95% confidence level (α = 0.05) where the calculated F was obtained &gt; Ftable and Tukey/HSD (Honest Significant Difference). The results obtained that dragon fruit extract has a significant effect on the number of granulosa cells in female white rats.","author":[{"dropping-particle":"","family":"Kolaka","given":"La","non-dropping-particle":"","parse-names":false,"suffix":""},{"dropping-particle":"","family":"Sirih","given":"Muhammad","non-dropping-particle":"","parse-names":false,"suffix":""}],"container-title":"AMPIBI: Jurnal Alumni Pendidikan Biologi","id":"ITEM-1","issue":"3","issued":{"date-parts":[["2025"]]},"page":"1-6","title":"Efectiveness of dragon fruit extract (Hylocereus polyrhizus) on the number of granulosa cells of female white rats (Rattus norvegicus)","type":"article-journal","volume":"10"},"uris":["http://www.mendeley.com/documents/?uuid=601da34d-dd75-32a3-98d0-2e5145d492e7"]}],"mendeley":{"formattedCitation":"(Kolaka &amp; Sirih, 2025)","plainTextFormattedCitation":"(Kolaka &amp; Sirih, 2025)","previouslyFormattedCitation":"(Kolaka &amp; Sirih, 2025)"},"properties":{"noteIndex":0},"schema":"https://github.com/citation-style-language/schema/raw/master/csl-citation.json"}</w:instrText>
      </w:r>
      <w:r w:rsidR="00EB0F30" w:rsidRPr="0098357A">
        <w:rPr>
          <w:rStyle w:val="citation-238"/>
          <w:rFonts w:ascii="Arial" w:eastAsiaTheme="majorEastAsia" w:hAnsi="Arial" w:cs="Arial"/>
          <w:color w:val="000000" w:themeColor="text1"/>
          <w:sz w:val="20"/>
          <w:szCs w:val="20"/>
        </w:rPr>
        <w:fldChar w:fldCharType="separate"/>
      </w:r>
      <w:r w:rsidR="00EB0F30" w:rsidRPr="0098357A">
        <w:rPr>
          <w:rStyle w:val="citation-238"/>
          <w:rFonts w:ascii="Arial" w:eastAsiaTheme="majorEastAsia" w:hAnsi="Arial" w:cs="Arial"/>
          <w:noProof/>
          <w:color w:val="000000" w:themeColor="text1"/>
          <w:sz w:val="20"/>
          <w:szCs w:val="20"/>
        </w:rPr>
        <w:t>(Kolaka &amp; Sirih, 2025)</w:t>
      </w:r>
      <w:r w:rsidR="00EB0F30" w:rsidRPr="0098357A">
        <w:rPr>
          <w:rStyle w:val="citation-238"/>
          <w:rFonts w:ascii="Arial" w:eastAsiaTheme="majorEastAsia" w:hAnsi="Arial" w:cs="Arial"/>
          <w:color w:val="000000" w:themeColor="text1"/>
          <w:sz w:val="20"/>
          <w:szCs w:val="20"/>
        </w:rPr>
        <w:fldChar w:fldCharType="end"/>
      </w:r>
      <w:r w:rsidR="00EB0F30" w:rsidRPr="0098357A">
        <w:rPr>
          <w:rFonts w:ascii="Arial" w:hAnsi="Arial" w:cs="Arial"/>
          <w:color w:val="000000" w:themeColor="text1"/>
          <w:sz w:val="20"/>
          <w:szCs w:val="20"/>
        </w:rPr>
        <w:t xml:space="preserve">. </w:t>
      </w:r>
      <w:r w:rsidR="00EB0F30" w:rsidRPr="0098357A">
        <w:rPr>
          <w:rStyle w:val="citation-237"/>
          <w:rFonts w:ascii="Arial" w:eastAsiaTheme="majorEastAsia" w:hAnsi="Arial" w:cs="Arial"/>
          <w:color w:val="000000" w:themeColor="text1"/>
          <w:sz w:val="20"/>
          <w:szCs w:val="20"/>
        </w:rPr>
        <w:t>The collected ovaries were then thoroughly washed to remove residual blood before proceeding to the tissue fixation stage</w:t>
      </w:r>
      <w:r w:rsidR="00EB0F30" w:rsidRPr="0098357A">
        <w:rPr>
          <w:rFonts w:ascii="Arial" w:hAnsi="Arial" w:cs="Arial"/>
          <w:color w:val="000000" w:themeColor="text1"/>
          <w:sz w:val="20"/>
          <w:szCs w:val="20"/>
        </w:rPr>
        <w:t>.</w:t>
      </w:r>
    </w:p>
    <w:p w14:paraId="72D0656C" w14:textId="15352271" w:rsidR="00EB0F30" w:rsidRPr="0098357A" w:rsidRDefault="00036986" w:rsidP="0074373E">
      <w:pPr>
        <w:pStyle w:val="Heading2"/>
        <w:spacing w:before="0" w:line="276" w:lineRule="auto"/>
        <w:jc w:val="both"/>
        <w:rPr>
          <w:rFonts w:ascii="Arial" w:hAnsi="Arial" w:cs="Arial"/>
          <w:b/>
          <w:bCs/>
          <w:color w:val="000000" w:themeColor="text1"/>
          <w:sz w:val="20"/>
          <w:szCs w:val="20"/>
        </w:rPr>
      </w:pPr>
      <w:r w:rsidRPr="0098357A">
        <w:rPr>
          <w:rFonts w:ascii="Arial" w:hAnsi="Arial" w:cs="Arial"/>
          <w:b/>
          <w:bCs/>
          <w:color w:val="000000" w:themeColor="text1"/>
          <w:sz w:val="20"/>
          <w:szCs w:val="20"/>
        </w:rPr>
        <w:t>2.</w:t>
      </w:r>
      <w:r w:rsidR="004C7813">
        <w:rPr>
          <w:rFonts w:ascii="Arial" w:hAnsi="Arial" w:cs="Arial"/>
          <w:b/>
          <w:bCs/>
          <w:color w:val="000000" w:themeColor="text1"/>
          <w:sz w:val="20"/>
          <w:szCs w:val="20"/>
        </w:rPr>
        <w:t>6</w:t>
      </w:r>
      <w:r w:rsidRPr="0098357A">
        <w:rPr>
          <w:rFonts w:ascii="Arial" w:hAnsi="Arial" w:cs="Arial"/>
          <w:b/>
          <w:bCs/>
          <w:color w:val="000000" w:themeColor="text1"/>
          <w:sz w:val="20"/>
          <w:szCs w:val="20"/>
        </w:rPr>
        <w:t xml:space="preserve">.2 </w:t>
      </w:r>
      <w:r w:rsidR="007A7234" w:rsidRPr="0098357A">
        <w:rPr>
          <w:rFonts w:ascii="Arial" w:hAnsi="Arial" w:cs="Arial"/>
          <w:b/>
          <w:bCs/>
          <w:color w:val="000000" w:themeColor="text1"/>
          <w:sz w:val="20"/>
          <w:szCs w:val="20"/>
        </w:rPr>
        <w:t>Tissue Processing Via Paraffin Embedding Method</w:t>
      </w:r>
    </w:p>
    <w:p w14:paraId="3FCFDF63" w14:textId="77777777" w:rsidR="00EB0F30" w:rsidRPr="0098357A" w:rsidRDefault="00EB0F30" w:rsidP="0074373E">
      <w:pPr>
        <w:pStyle w:val="NormalWeb"/>
        <w:spacing w:before="0" w:beforeAutospacing="0" w:line="276" w:lineRule="auto"/>
        <w:jc w:val="both"/>
        <w:rPr>
          <w:rFonts w:ascii="Arial" w:hAnsi="Arial" w:cs="Arial"/>
          <w:color w:val="000000" w:themeColor="text1"/>
          <w:sz w:val="20"/>
          <w:szCs w:val="20"/>
        </w:rPr>
      </w:pPr>
      <w:r w:rsidRPr="0098357A">
        <w:rPr>
          <w:rStyle w:val="citation-236"/>
          <w:rFonts w:ascii="Arial" w:eastAsiaTheme="majorEastAsia" w:hAnsi="Arial" w:cs="Arial"/>
          <w:color w:val="000000" w:themeColor="text1"/>
          <w:sz w:val="20"/>
          <w:szCs w:val="20"/>
        </w:rPr>
        <w:t xml:space="preserve">The histological sections of the ovaries were prepared using the paraffin method </w:t>
      </w:r>
      <w:r w:rsidRPr="0098357A">
        <w:rPr>
          <w:rStyle w:val="citation-236"/>
          <w:rFonts w:ascii="Arial" w:eastAsiaTheme="majorEastAsia" w:hAnsi="Arial" w:cs="Arial"/>
          <w:color w:val="000000" w:themeColor="text1"/>
          <w:sz w:val="20"/>
          <w:szCs w:val="20"/>
        </w:rPr>
        <w:fldChar w:fldCharType="begin" w:fldLock="1"/>
      </w:r>
      <w:r w:rsidRPr="0098357A">
        <w:rPr>
          <w:rStyle w:val="citation-236"/>
          <w:rFonts w:ascii="Arial" w:eastAsiaTheme="majorEastAsia" w:hAnsi="Arial" w:cs="Arial"/>
          <w:color w:val="000000" w:themeColor="text1"/>
          <w:sz w:val="20"/>
          <w:szCs w:val="20"/>
        </w:rPr>
        <w:instrText>ADDIN CSL_CITATION {"citationItems":[{"id":"ITEM-1","itemData":{"DOI":"10.36709/ampibi.v10i3.360","abstract":"Abstrak: Fenomena infertilitas (ketidaksuburan) banyak dialami oleh masyarkat, berbagai alternatif pengobatan baik secara medis ataupun non medis banyak dilakukan. Salah satu alternative yang banyak dilakukan oleh masyarakat adalah pemanfaatan herbal, salah satunya adalah buah naga. Konsumsi buah naga (Hylocereus polyrhizus) diharapkan dapat membantu meningkatkan kesuburan. Penelitian ini bertujuan untuk mengetahui pemberian ekstrak buah naga (Hylocereus polyrhizus) terhadap jumlah sel granulosa pada tikus putih betina. Jenis penelitian adalah eksperimen (true experiment) menggunakan Rancangan Acak Lengkap. Populasi penelitian menggunakan 40 ekor tikus. Sampel diperoleh dengan teknik simple random sampling sebanyak 24 ekor tikus dengan kriteria sampel berat 150 sampai 200 gram, umur 12 sampai 13 minggu, jenis kelamin betina, dan dalam kondisi sehat. Teknik analisis data dilakukan secara deskriptif dan inferensial, uji hipotesis menggunakan uji ANOVA dengan taraf kepercayaan 95% (α = 0,05) dimana diperoleh Fhitung&gt; Ftabel dan uji lanjut Tukey/HSD (Honest Significant Difference). Hasil yang diperoleh menunjukkan bahwa ekstrak buah naga berpengaruh secara signifikan terhadap jumlah sel granulosa pada tikus putih betina. Semakin tinggi dosis ekstrak buah naga yang diberikan semakin semakin bertambah jumlah sel granulosa. Abstract: Phenomenon in the community many experience infertility, so that by consuming dragon fruit (Hylocereus polyrhizus) is expected to help improve fertility. This study aims to determine the administration of dragon fruit extract (Hylocereus polyrhizus). This type of research is an experiment (true experiment) using a completely randomised design. The study population used 40 rats. The sample was obtained by simple random sampling technique as many as 24 rats with sample criteria weighing 150 to 200 grams, age 12 to 13 weeks, female sex, and in healthy condition. Data analysis techniques were carried out descriptively and inferentially, hypothesis testing using ANOVA test with 95% confidence level (α = 0.05) where the calculated F was obtained &gt; Ftable and Tukey/HSD (Honest Significant Difference). The results obtained that dragon fruit extract has a significant effect on the number of granulosa cells in female white rats.","author":[{"dropping-particle":"","family":"Kolaka","given":"La","non-dropping-particle":"","parse-names":false,"suffix":""},{"dropping-particle":"","family":"Sirih","given":"Muhammad","non-dropping-particle":"","parse-names":false,"suffix":""}],"container-title":"AMPIBI: Jurnal Alumni Pendidikan Biologi","id":"ITEM-1","issue":"3","issued":{"date-parts":[["2025"]]},"page":"1-6","title":"Efectiveness of dragon fruit extract (Hylocereus polyrhizus) on the number of granulosa cells of female white rats (Rattus norvegicus)","type":"article-journal","volume":"10"},"uris":["http://www.mendeley.com/documents/?uuid=601da34d-dd75-32a3-98d0-2e5145d492e7"]}],"mendeley":{"formattedCitation":"(Kolaka &amp; Sirih, 2025)","plainTextFormattedCitation":"(Kolaka &amp; Sirih, 2025)"},"properties":{"noteIndex":0},"schema":"https://github.com/citation-style-language/schema/raw/master/csl-citation.json"}</w:instrText>
      </w:r>
      <w:r w:rsidRPr="0098357A">
        <w:rPr>
          <w:rStyle w:val="citation-236"/>
          <w:rFonts w:ascii="Arial" w:eastAsiaTheme="majorEastAsia" w:hAnsi="Arial" w:cs="Arial"/>
          <w:color w:val="000000" w:themeColor="text1"/>
          <w:sz w:val="20"/>
          <w:szCs w:val="20"/>
        </w:rPr>
        <w:fldChar w:fldCharType="separate"/>
      </w:r>
      <w:r w:rsidRPr="0098357A">
        <w:rPr>
          <w:rStyle w:val="citation-236"/>
          <w:rFonts w:ascii="Arial" w:eastAsiaTheme="majorEastAsia" w:hAnsi="Arial" w:cs="Arial"/>
          <w:noProof/>
          <w:color w:val="000000" w:themeColor="text1"/>
          <w:sz w:val="20"/>
          <w:szCs w:val="20"/>
        </w:rPr>
        <w:t>(Kolaka &amp; Sirih, 2025)</w:t>
      </w:r>
      <w:r w:rsidRPr="0098357A">
        <w:rPr>
          <w:rStyle w:val="citation-236"/>
          <w:rFonts w:ascii="Arial" w:eastAsiaTheme="majorEastAsia" w:hAnsi="Arial" w:cs="Arial"/>
          <w:color w:val="000000" w:themeColor="text1"/>
          <w:sz w:val="20"/>
          <w:szCs w:val="20"/>
        </w:rPr>
        <w:fldChar w:fldCharType="end"/>
      </w:r>
      <w:r w:rsidRPr="0098357A">
        <w:rPr>
          <w:rStyle w:val="citation-236"/>
          <w:rFonts w:ascii="Arial" w:eastAsiaTheme="majorEastAsia" w:hAnsi="Arial" w:cs="Arial"/>
          <w:color w:val="000000" w:themeColor="text1"/>
          <w:sz w:val="20"/>
          <w:szCs w:val="20"/>
        </w:rPr>
        <w:t xml:space="preserve">, beginning with a fixation stage in </w:t>
      </w:r>
      <w:proofErr w:type="spellStart"/>
      <w:r w:rsidRPr="0098357A">
        <w:rPr>
          <w:rStyle w:val="citation-236"/>
          <w:rFonts w:ascii="Arial" w:eastAsiaTheme="majorEastAsia" w:hAnsi="Arial" w:cs="Arial"/>
          <w:color w:val="000000" w:themeColor="text1"/>
          <w:sz w:val="20"/>
          <w:szCs w:val="20"/>
        </w:rPr>
        <w:t>Bouin's</w:t>
      </w:r>
      <w:proofErr w:type="spellEnd"/>
      <w:r w:rsidRPr="0098357A">
        <w:rPr>
          <w:rStyle w:val="citation-236"/>
          <w:rFonts w:ascii="Arial" w:eastAsiaTheme="majorEastAsia" w:hAnsi="Arial" w:cs="Arial"/>
          <w:color w:val="000000" w:themeColor="text1"/>
          <w:sz w:val="20"/>
          <w:szCs w:val="20"/>
        </w:rPr>
        <w:t xml:space="preserve"> solution for approximately two days to preserve cellular morphology</w:t>
      </w:r>
      <w:r w:rsidRPr="0098357A">
        <w:rPr>
          <w:rFonts w:ascii="Arial" w:hAnsi="Arial" w:cs="Arial"/>
          <w:color w:val="000000" w:themeColor="text1"/>
          <w:sz w:val="20"/>
          <w:szCs w:val="20"/>
        </w:rPr>
        <w:t xml:space="preserve">. </w:t>
      </w:r>
      <w:r w:rsidRPr="0098357A">
        <w:rPr>
          <w:rStyle w:val="citation-235"/>
          <w:rFonts w:ascii="Arial" w:eastAsiaTheme="majorEastAsia" w:hAnsi="Arial" w:cs="Arial"/>
          <w:color w:val="000000" w:themeColor="text1"/>
          <w:sz w:val="20"/>
          <w:szCs w:val="20"/>
        </w:rPr>
        <w:t>Following fixation, the organs underwent a washing process with 70% alcohol and were subsequently dehydrated through a graded ethanol series (70%, 96%, and absolute alcohol) for 60 minutes each</w:t>
      </w:r>
      <w:r w:rsidRPr="0098357A">
        <w:rPr>
          <w:rFonts w:ascii="Arial" w:hAnsi="Arial" w:cs="Arial"/>
          <w:color w:val="000000" w:themeColor="text1"/>
          <w:sz w:val="20"/>
          <w:szCs w:val="20"/>
        </w:rPr>
        <w:t xml:space="preserve">. </w:t>
      </w:r>
      <w:r w:rsidRPr="0098357A">
        <w:rPr>
          <w:rStyle w:val="citation-234"/>
          <w:rFonts w:ascii="Arial" w:hAnsi="Arial" w:cs="Arial"/>
          <w:color w:val="000000" w:themeColor="text1"/>
          <w:sz w:val="20"/>
          <w:szCs w:val="20"/>
        </w:rPr>
        <w:t>The tissues were then cleared in a toluol solution overnight before being infiltrated with a mixture of toluol and pure paraffin</w:t>
      </w:r>
      <w:r w:rsidRPr="0098357A">
        <w:rPr>
          <w:rFonts w:ascii="Arial" w:hAnsi="Arial" w:cs="Arial"/>
          <w:color w:val="000000" w:themeColor="text1"/>
          <w:sz w:val="20"/>
          <w:szCs w:val="20"/>
        </w:rPr>
        <w:t xml:space="preserve">. </w:t>
      </w:r>
      <w:r w:rsidRPr="0098357A">
        <w:rPr>
          <w:rStyle w:val="citation-233"/>
          <w:rFonts w:ascii="Arial" w:eastAsiaTheme="majorEastAsia" w:hAnsi="Arial" w:cs="Arial"/>
          <w:color w:val="000000" w:themeColor="text1"/>
          <w:sz w:val="20"/>
          <w:szCs w:val="20"/>
        </w:rPr>
        <w:t>The final stage of this process involved embedding the tissues into liquid paraffin blocks, which were allowed to solidify before being sectioned with a microtome at a thickness of 6 µm</w:t>
      </w:r>
      <w:r w:rsidRPr="0098357A">
        <w:rPr>
          <w:rFonts w:ascii="Arial" w:hAnsi="Arial" w:cs="Arial"/>
          <w:color w:val="000000" w:themeColor="text1"/>
          <w:sz w:val="20"/>
          <w:szCs w:val="20"/>
        </w:rPr>
        <w:t>.</w:t>
      </w:r>
    </w:p>
    <w:p w14:paraId="24B9BC3F" w14:textId="1C767C23" w:rsidR="00EB0F30" w:rsidRPr="0098357A" w:rsidRDefault="00036986" w:rsidP="0074373E">
      <w:pPr>
        <w:pStyle w:val="Heading2"/>
        <w:spacing w:before="0" w:line="276" w:lineRule="auto"/>
        <w:jc w:val="both"/>
        <w:rPr>
          <w:rFonts w:ascii="Arial" w:hAnsi="Arial" w:cs="Arial"/>
          <w:b/>
          <w:bCs/>
          <w:color w:val="000000" w:themeColor="text1"/>
          <w:sz w:val="20"/>
          <w:szCs w:val="20"/>
        </w:rPr>
      </w:pPr>
      <w:r w:rsidRPr="0098357A">
        <w:rPr>
          <w:rFonts w:ascii="Arial" w:hAnsi="Arial" w:cs="Arial"/>
          <w:b/>
          <w:bCs/>
          <w:color w:val="000000" w:themeColor="text1"/>
          <w:sz w:val="20"/>
          <w:szCs w:val="20"/>
        </w:rPr>
        <w:t>2.</w:t>
      </w:r>
      <w:r w:rsidR="004C7813">
        <w:rPr>
          <w:rFonts w:ascii="Arial" w:hAnsi="Arial" w:cs="Arial"/>
          <w:b/>
          <w:bCs/>
          <w:color w:val="000000" w:themeColor="text1"/>
          <w:sz w:val="20"/>
          <w:szCs w:val="20"/>
        </w:rPr>
        <w:t>6</w:t>
      </w:r>
      <w:r w:rsidRPr="0098357A">
        <w:rPr>
          <w:rFonts w:ascii="Arial" w:hAnsi="Arial" w:cs="Arial"/>
          <w:b/>
          <w:bCs/>
          <w:color w:val="000000" w:themeColor="text1"/>
          <w:sz w:val="20"/>
          <w:szCs w:val="20"/>
        </w:rPr>
        <w:t xml:space="preserve">.3 </w:t>
      </w:r>
      <w:r w:rsidR="007A7234" w:rsidRPr="0098357A">
        <w:rPr>
          <w:rFonts w:ascii="Arial" w:hAnsi="Arial" w:cs="Arial"/>
          <w:b/>
          <w:bCs/>
          <w:color w:val="000000" w:themeColor="text1"/>
          <w:sz w:val="20"/>
          <w:szCs w:val="20"/>
        </w:rPr>
        <w:t xml:space="preserve">Hematoxylin-Eosin </w:t>
      </w:r>
      <w:r w:rsidRPr="0098357A">
        <w:rPr>
          <w:rFonts w:ascii="Arial" w:hAnsi="Arial" w:cs="Arial"/>
          <w:b/>
          <w:bCs/>
          <w:color w:val="000000" w:themeColor="text1"/>
          <w:sz w:val="20"/>
          <w:szCs w:val="20"/>
        </w:rPr>
        <w:t xml:space="preserve">(HE) </w:t>
      </w:r>
      <w:r w:rsidR="007A7234" w:rsidRPr="0098357A">
        <w:rPr>
          <w:rFonts w:ascii="Arial" w:hAnsi="Arial" w:cs="Arial"/>
          <w:b/>
          <w:bCs/>
          <w:color w:val="000000" w:themeColor="text1"/>
          <w:sz w:val="20"/>
          <w:szCs w:val="20"/>
        </w:rPr>
        <w:t>Staining</w:t>
      </w:r>
      <w:r w:rsidRPr="0098357A">
        <w:rPr>
          <w:rFonts w:ascii="Arial" w:hAnsi="Arial" w:cs="Arial"/>
          <w:b/>
          <w:bCs/>
          <w:color w:val="000000" w:themeColor="text1"/>
          <w:sz w:val="20"/>
          <w:szCs w:val="20"/>
        </w:rPr>
        <w:t xml:space="preserve"> </w:t>
      </w:r>
      <w:r w:rsidR="007A7234">
        <w:rPr>
          <w:rFonts w:ascii="Arial" w:hAnsi="Arial" w:cs="Arial"/>
          <w:b/>
          <w:bCs/>
          <w:color w:val="000000" w:themeColor="text1"/>
          <w:sz w:val="20"/>
          <w:szCs w:val="20"/>
        </w:rPr>
        <w:t>and</w:t>
      </w:r>
      <w:r w:rsidRPr="0098357A">
        <w:rPr>
          <w:rFonts w:ascii="Arial" w:hAnsi="Arial" w:cs="Arial"/>
          <w:b/>
          <w:bCs/>
          <w:color w:val="000000" w:themeColor="text1"/>
          <w:sz w:val="20"/>
          <w:szCs w:val="20"/>
        </w:rPr>
        <w:t xml:space="preserve"> </w:t>
      </w:r>
      <w:r w:rsidR="007A7234" w:rsidRPr="0098357A">
        <w:rPr>
          <w:rFonts w:ascii="Arial" w:hAnsi="Arial" w:cs="Arial"/>
          <w:b/>
          <w:bCs/>
          <w:color w:val="000000" w:themeColor="text1"/>
          <w:sz w:val="20"/>
          <w:szCs w:val="20"/>
        </w:rPr>
        <w:t>Mounting</w:t>
      </w:r>
    </w:p>
    <w:p w14:paraId="5935D425" w14:textId="630AD928" w:rsidR="0098357A" w:rsidRPr="0098357A" w:rsidRDefault="00EB0F30" w:rsidP="0074373E">
      <w:pPr>
        <w:pStyle w:val="NormalWeb"/>
        <w:spacing w:before="0" w:beforeAutospacing="0" w:line="276" w:lineRule="auto"/>
        <w:jc w:val="both"/>
        <w:rPr>
          <w:rFonts w:ascii="Arial" w:hAnsi="Arial" w:cs="Arial"/>
          <w:color w:val="000000" w:themeColor="text1"/>
          <w:sz w:val="20"/>
          <w:szCs w:val="20"/>
        </w:rPr>
      </w:pPr>
      <w:r w:rsidRPr="0098357A">
        <w:rPr>
          <w:rStyle w:val="citation-232"/>
          <w:rFonts w:ascii="Arial" w:hAnsi="Arial" w:cs="Arial"/>
          <w:color w:val="000000" w:themeColor="text1"/>
          <w:sz w:val="20"/>
          <w:szCs w:val="20"/>
        </w:rPr>
        <w:t>Tissue sections attached to glass slides were deparaffinized using xylol and rehydrated through a descending series of alcohol concentrations</w:t>
      </w:r>
      <w:r w:rsidRPr="0098357A">
        <w:rPr>
          <w:rFonts w:ascii="Arial" w:hAnsi="Arial" w:cs="Arial"/>
          <w:color w:val="000000" w:themeColor="text1"/>
          <w:sz w:val="20"/>
          <w:szCs w:val="20"/>
        </w:rPr>
        <w:t xml:space="preserve">. </w:t>
      </w:r>
      <w:r w:rsidRPr="0098357A">
        <w:rPr>
          <w:rStyle w:val="citation-231"/>
          <w:rFonts w:ascii="Arial" w:eastAsiaTheme="majorEastAsia" w:hAnsi="Arial" w:cs="Arial"/>
          <w:color w:val="000000" w:themeColor="text1"/>
          <w:sz w:val="20"/>
          <w:szCs w:val="20"/>
        </w:rPr>
        <w:t xml:space="preserve">The staining procedure involved immersing the slides in Hematoxylin for 7 minutes to color the cell nuclei, followed by a 10-minute wash under running water, and then counterstaining the cytoplasm with Eosin-Y for 10 </w:t>
      </w:r>
      <w:r w:rsidRPr="0098357A">
        <w:rPr>
          <w:rStyle w:val="citation-231"/>
          <w:rFonts w:ascii="Arial" w:eastAsiaTheme="majorEastAsia" w:hAnsi="Arial" w:cs="Arial"/>
          <w:color w:val="000000" w:themeColor="text1"/>
          <w:sz w:val="20"/>
          <w:szCs w:val="20"/>
        </w:rPr>
        <w:lastRenderedPageBreak/>
        <w:t>minutes</w:t>
      </w:r>
      <w:r w:rsidRPr="0098357A">
        <w:rPr>
          <w:rFonts w:ascii="Arial" w:hAnsi="Arial" w:cs="Arial"/>
          <w:color w:val="000000" w:themeColor="text1"/>
          <w:sz w:val="20"/>
          <w:szCs w:val="20"/>
        </w:rPr>
        <w:t xml:space="preserve">. </w:t>
      </w:r>
      <w:r w:rsidRPr="0098357A">
        <w:rPr>
          <w:rStyle w:val="citation-230"/>
          <w:rFonts w:ascii="Arial" w:hAnsi="Arial" w:cs="Arial"/>
          <w:color w:val="000000" w:themeColor="text1"/>
          <w:sz w:val="20"/>
          <w:szCs w:val="20"/>
        </w:rPr>
        <w:t>After final dehydration and clearing in xylol, the slides were mounted using Canada balsam and secured with a coverslip</w:t>
      </w:r>
      <w:r w:rsidRPr="0098357A">
        <w:rPr>
          <w:rFonts w:ascii="Arial" w:hAnsi="Arial" w:cs="Arial"/>
          <w:color w:val="000000" w:themeColor="text1"/>
          <w:sz w:val="20"/>
          <w:szCs w:val="20"/>
        </w:rPr>
        <w:t xml:space="preserve">. </w:t>
      </w:r>
      <w:r w:rsidRPr="0098357A">
        <w:rPr>
          <w:rStyle w:val="citation-229"/>
          <w:rFonts w:ascii="Arial" w:hAnsi="Arial" w:cs="Arial"/>
          <w:color w:val="000000" w:themeColor="text1"/>
          <w:sz w:val="20"/>
          <w:szCs w:val="20"/>
        </w:rPr>
        <w:t xml:space="preserve">This procedure resulted in histological specimens ready for microscopic examination and measurement of the </w:t>
      </w:r>
      <w:r w:rsidR="006C0214" w:rsidRPr="006C0214">
        <w:rPr>
          <w:rFonts w:ascii="Arial" w:hAnsi="Arial" w:cs="Arial"/>
          <w:color w:val="EE0000"/>
          <w:sz w:val="20"/>
          <w:szCs w:val="20"/>
        </w:rPr>
        <w:t>Graafian follicle</w:t>
      </w:r>
      <w:r w:rsidRPr="006C0214">
        <w:rPr>
          <w:rStyle w:val="citation-229"/>
          <w:rFonts w:ascii="Arial" w:hAnsi="Arial" w:cs="Arial"/>
          <w:color w:val="EE0000"/>
          <w:sz w:val="20"/>
          <w:szCs w:val="20"/>
        </w:rPr>
        <w:t xml:space="preserve"> </w:t>
      </w:r>
      <w:r w:rsidRPr="0098357A">
        <w:rPr>
          <w:rStyle w:val="citation-229"/>
          <w:rFonts w:ascii="Arial" w:hAnsi="Arial" w:cs="Arial"/>
          <w:color w:val="000000" w:themeColor="text1"/>
          <w:sz w:val="20"/>
          <w:szCs w:val="20"/>
        </w:rPr>
        <w:t>diameters</w:t>
      </w:r>
      <w:r w:rsidRPr="0098357A">
        <w:rPr>
          <w:rFonts w:ascii="Arial" w:hAnsi="Arial" w:cs="Arial"/>
          <w:color w:val="000000" w:themeColor="text1"/>
          <w:sz w:val="20"/>
          <w:szCs w:val="20"/>
        </w:rPr>
        <w:t>.</w:t>
      </w:r>
    </w:p>
    <w:p w14:paraId="78FE24D6" w14:textId="5C314C27" w:rsidR="00EB0F30" w:rsidRPr="0098357A" w:rsidRDefault="00036986" w:rsidP="0074373E">
      <w:pPr>
        <w:pStyle w:val="NormalWeb"/>
        <w:spacing w:before="0" w:beforeAutospacing="0" w:line="276" w:lineRule="auto"/>
        <w:jc w:val="both"/>
        <w:rPr>
          <w:rFonts w:ascii="Arial" w:hAnsi="Arial" w:cs="Arial"/>
          <w:b/>
          <w:bCs/>
          <w:sz w:val="20"/>
          <w:szCs w:val="20"/>
        </w:rPr>
      </w:pPr>
      <w:r w:rsidRPr="0098357A">
        <w:rPr>
          <w:rFonts w:ascii="Arial" w:hAnsi="Arial" w:cs="Arial"/>
          <w:b/>
          <w:bCs/>
          <w:sz w:val="20"/>
          <w:szCs w:val="20"/>
        </w:rPr>
        <w:t>2.</w:t>
      </w:r>
      <w:r w:rsidR="004C7813">
        <w:rPr>
          <w:rFonts w:ascii="Arial" w:hAnsi="Arial" w:cs="Arial"/>
          <w:b/>
          <w:bCs/>
          <w:sz w:val="20"/>
          <w:szCs w:val="20"/>
        </w:rPr>
        <w:t>6</w:t>
      </w:r>
      <w:r w:rsidRPr="0098357A">
        <w:rPr>
          <w:rFonts w:ascii="Arial" w:hAnsi="Arial" w:cs="Arial"/>
          <w:b/>
          <w:bCs/>
          <w:sz w:val="20"/>
          <w:szCs w:val="20"/>
        </w:rPr>
        <w:t xml:space="preserve">.4. </w:t>
      </w:r>
      <w:r w:rsidR="00662A23" w:rsidRPr="0098357A">
        <w:rPr>
          <w:rFonts w:ascii="Arial" w:hAnsi="Arial" w:cs="Arial"/>
          <w:b/>
          <w:bCs/>
          <w:sz w:val="20"/>
          <w:szCs w:val="20"/>
        </w:rPr>
        <w:t>Microscopic Measurement of Follicle Diameter</w:t>
      </w:r>
    </w:p>
    <w:p w14:paraId="12F2A1FD" w14:textId="555DBA00" w:rsidR="0013154C" w:rsidRPr="0013154C" w:rsidRDefault="0013154C" w:rsidP="0074373E">
      <w:pPr>
        <w:spacing w:line="276" w:lineRule="auto"/>
        <w:jc w:val="both"/>
        <w:rPr>
          <w:rFonts w:ascii="Arial" w:hAnsi="Arial" w:cs="Arial"/>
          <w:color w:val="EE0000"/>
        </w:rPr>
      </w:pPr>
      <w:r w:rsidRPr="0013154C">
        <w:rPr>
          <w:rFonts w:ascii="Arial" w:hAnsi="Arial" w:cs="Arial"/>
          <w:color w:val="EE0000"/>
        </w:rPr>
        <w:t xml:space="preserve">For each ovary, one representative section was selected for histological analysis. Sections were chosen systematically to avoid bias, and only follicles with a clearly visible oocyte nucleus were included in the measurements. This criterion ensured that each follicle was counted only once, thereby preventing double counting. Although advanced stereological techniques such as the fractionator or optical </w:t>
      </w:r>
      <w:proofErr w:type="spellStart"/>
      <w:r w:rsidRPr="0013154C">
        <w:rPr>
          <w:rFonts w:ascii="Arial" w:hAnsi="Arial" w:cs="Arial"/>
          <w:color w:val="EE0000"/>
        </w:rPr>
        <w:t>disector</w:t>
      </w:r>
      <w:proofErr w:type="spellEnd"/>
      <w:r w:rsidRPr="0013154C">
        <w:rPr>
          <w:rFonts w:ascii="Arial" w:hAnsi="Arial" w:cs="Arial"/>
          <w:color w:val="EE0000"/>
        </w:rPr>
        <w:t xml:space="preserve"> were not employed, our approach follows the basic stereological principle of systematic random sampling by consistently analyzing one section per ovary. This procedure provides an objective and reproducible representation of follicle distribution and size across all samples.</w:t>
      </w:r>
    </w:p>
    <w:p w14:paraId="3F53276F" w14:textId="77777777" w:rsidR="0013154C" w:rsidRDefault="0013154C" w:rsidP="0074373E">
      <w:pPr>
        <w:spacing w:line="276" w:lineRule="auto"/>
        <w:jc w:val="both"/>
        <w:rPr>
          <w:rFonts w:ascii="Arial" w:hAnsi="Arial" w:cs="Arial"/>
        </w:rPr>
      </w:pPr>
    </w:p>
    <w:p w14:paraId="48D8232C" w14:textId="2B706C2C" w:rsidR="00EB0F30" w:rsidRDefault="00EB0F30" w:rsidP="0074373E">
      <w:pPr>
        <w:spacing w:line="276" w:lineRule="auto"/>
        <w:jc w:val="both"/>
        <w:rPr>
          <w:rFonts w:ascii="Arial" w:hAnsi="Arial" w:cs="Arial"/>
        </w:rPr>
      </w:pPr>
      <w:r w:rsidRPr="0098357A">
        <w:rPr>
          <w:rFonts w:ascii="Arial" w:hAnsi="Arial" w:cs="Arial"/>
        </w:rPr>
        <w:t>Microscopic observations were conducted using a LEICA DM 1000 LED binocular microscope integrated with a digital camera and ImageJ analysis software. Histological slides were evaluated at magnifications of 100× and 200× to identify mature Graafian follicles, which were characterized by a prominent antrum filled with follicular fluid, a distinct oocyte, and surrounding layers of granulosa cells. Follicle diameter was quantified using an ocular micrometer calibrated against a stage micrometer; the scale was aligned across the follicle to measure the longitudinal (largest) and transverse (shortest) axes. The final follicle size was determined by calculating the mean diameter using the following formula (2):</w:t>
      </w:r>
    </w:p>
    <w:p w14:paraId="3D937C5F" w14:textId="77777777" w:rsidR="00F577F2" w:rsidRPr="0098357A" w:rsidRDefault="00F577F2" w:rsidP="0074373E">
      <w:pPr>
        <w:spacing w:line="276" w:lineRule="auto"/>
        <w:jc w:val="both"/>
        <w:rPr>
          <w:rFonts w:ascii="Arial" w:hAnsi="Arial" w:cs="Arial"/>
        </w:rPr>
      </w:pPr>
    </w:p>
    <w:p w14:paraId="26CA2B86" w14:textId="5526625D" w:rsidR="00EB0F30" w:rsidRPr="0098357A" w:rsidRDefault="00EB0F30" w:rsidP="0074373E">
      <w:pPr>
        <w:spacing w:line="276" w:lineRule="auto"/>
        <w:jc w:val="both"/>
        <w:rPr>
          <w:rFonts w:ascii="Arial" w:eastAsiaTheme="minorEastAsia" w:hAnsi="Arial" w:cs="Arial"/>
        </w:rPr>
      </w:pPr>
      <w:r w:rsidRPr="0098357A">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D</m:t>
            </m:r>
          </m:e>
          <m:sub>
            <m:r>
              <w:rPr>
                <w:rFonts w:ascii="Cambria Math" w:hAnsi="Cambria Math" w:cs="Arial"/>
              </w:rPr>
              <m:t>mean</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color w:val="EE0000"/>
                  </w:rPr>
                </m:ctrlPr>
              </m:sSubPr>
              <m:e>
                <m:r>
                  <w:rPr>
                    <w:rFonts w:ascii="Cambria Math" w:hAnsi="Cambria Math" w:cs="Arial"/>
                    <w:color w:val="EE0000"/>
                  </w:rPr>
                  <m:t>D</m:t>
                </m:r>
              </m:e>
              <m:sub>
                <m:r>
                  <w:rPr>
                    <w:rFonts w:ascii="Cambria Math" w:hAnsi="Cambria Math" w:cs="Arial"/>
                    <w:color w:val="EE0000"/>
                  </w:rPr>
                  <m:t>longitudinal</m:t>
                </m:r>
              </m:sub>
            </m:sSub>
            <m:r>
              <w:rPr>
                <w:rFonts w:ascii="Cambria Math" w:hAnsi="Cambria Math" w:cs="Arial"/>
                <w:color w:val="EE0000"/>
              </w:rPr>
              <m:t>+</m:t>
            </m:r>
            <m:sSub>
              <m:sSubPr>
                <m:ctrlPr>
                  <w:rPr>
                    <w:rFonts w:ascii="Cambria Math" w:hAnsi="Cambria Math" w:cs="Arial"/>
                    <w:i/>
                    <w:color w:val="EE0000"/>
                  </w:rPr>
                </m:ctrlPr>
              </m:sSubPr>
              <m:e>
                <m:r>
                  <w:rPr>
                    <w:rFonts w:ascii="Cambria Math" w:hAnsi="Cambria Math" w:cs="Arial"/>
                    <w:color w:val="EE0000"/>
                  </w:rPr>
                  <m:t>D</m:t>
                </m:r>
              </m:e>
              <m:sub>
                <m:r>
                  <w:rPr>
                    <w:rFonts w:ascii="Cambria Math" w:hAnsi="Cambria Math" w:cs="Arial"/>
                    <w:color w:val="EE0000"/>
                  </w:rPr>
                  <m:t>transverse</m:t>
                </m:r>
              </m:sub>
            </m:sSub>
          </m:num>
          <m:den>
            <m:r>
              <w:rPr>
                <w:rFonts w:ascii="Cambria Math" w:hAnsi="Cambria Math" w:cs="Arial"/>
              </w:rPr>
              <m:t>2</m:t>
            </m:r>
          </m:den>
        </m:f>
      </m:oMath>
      <w:r w:rsidRPr="0098357A">
        <w:rPr>
          <w:rFonts w:ascii="Arial" w:eastAsiaTheme="minorEastAsia" w:hAnsi="Arial" w:cs="Arial"/>
        </w:rPr>
        <w:t>……………………………</w:t>
      </w:r>
      <w:proofErr w:type="gramStart"/>
      <w:r w:rsidRPr="0098357A">
        <w:rPr>
          <w:rFonts w:ascii="Arial" w:eastAsiaTheme="minorEastAsia" w:hAnsi="Arial" w:cs="Arial"/>
        </w:rPr>
        <w:t>…..</w:t>
      </w:r>
      <w:proofErr w:type="gramEnd"/>
      <w:r w:rsidRPr="0098357A">
        <w:rPr>
          <w:rFonts w:ascii="Arial" w:eastAsiaTheme="minorEastAsia" w:hAnsi="Arial" w:cs="Arial"/>
        </w:rPr>
        <w:t>(2)</w:t>
      </w:r>
    </w:p>
    <w:p w14:paraId="0AF91CB4" w14:textId="77777777" w:rsidR="0098357A" w:rsidRDefault="00EB0F30" w:rsidP="0074373E">
      <w:pPr>
        <w:spacing w:line="276" w:lineRule="auto"/>
        <w:jc w:val="both"/>
        <w:rPr>
          <w:rFonts w:ascii="Arial" w:hAnsi="Arial" w:cs="Arial"/>
        </w:rPr>
      </w:pPr>
      <w:r w:rsidRPr="0098357A">
        <w:rPr>
          <w:rFonts w:ascii="Arial" w:hAnsi="Arial" w:cs="Arial"/>
        </w:rPr>
        <w:t>The numerical data in micrometers (</w:t>
      </w:r>
      <w:proofErr w:type="spellStart"/>
      <w:r w:rsidRPr="0098357A">
        <w:rPr>
          <w:rFonts w:ascii="Arial" w:hAnsi="Arial" w:cs="Arial"/>
        </w:rPr>
        <w:t>μm</w:t>
      </w:r>
      <w:proofErr w:type="spellEnd"/>
      <w:r w:rsidRPr="0098357A">
        <w:rPr>
          <w:rFonts w:ascii="Arial" w:hAnsi="Arial" w:cs="Arial"/>
        </w:rPr>
        <w:t>) were then statistically processed using ANOVA and Duncan’s multiple range test.</w:t>
      </w:r>
    </w:p>
    <w:p w14:paraId="569CE39E" w14:textId="77777777" w:rsidR="00662A23" w:rsidRDefault="00662A23" w:rsidP="0074373E">
      <w:pPr>
        <w:spacing w:line="276" w:lineRule="auto"/>
        <w:jc w:val="both"/>
        <w:rPr>
          <w:rFonts w:ascii="Arial" w:hAnsi="Arial" w:cs="Arial"/>
        </w:rPr>
      </w:pPr>
    </w:p>
    <w:p w14:paraId="2106459C" w14:textId="32765B83" w:rsidR="00EB0F30" w:rsidRPr="0098357A" w:rsidRDefault="0021717F" w:rsidP="0074373E">
      <w:pPr>
        <w:spacing w:line="276" w:lineRule="auto"/>
        <w:jc w:val="both"/>
        <w:rPr>
          <w:rFonts w:ascii="Arial" w:hAnsi="Arial" w:cs="Arial"/>
          <w:b/>
          <w:bCs/>
        </w:rPr>
      </w:pPr>
      <w:r w:rsidRPr="0098357A">
        <w:rPr>
          <w:rFonts w:ascii="Arial" w:hAnsi="Arial" w:cs="Arial"/>
          <w:b/>
          <w:bCs/>
        </w:rPr>
        <w:t>2.</w:t>
      </w:r>
      <w:r w:rsidR="004C7813">
        <w:rPr>
          <w:rFonts w:ascii="Arial" w:hAnsi="Arial" w:cs="Arial"/>
          <w:b/>
          <w:bCs/>
        </w:rPr>
        <w:t>7</w:t>
      </w:r>
      <w:r w:rsidRPr="0098357A">
        <w:rPr>
          <w:rFonts w:ascii="Arial" w:hAnsi="Arial" w:cs="Arial"/>
          <w:b/>
          <w:bCs/>
        </w:rPr>
        <w:t xml:space="preserve"> STATISTICAL ANALYSIS</w:t>
      </w:r>
    </w:p>
    <w:p w14:paraId="08A92706" w14:textId="47358B75" w:rsidR="00EB0F30" w:rsidRPr="0098357A" w:rsidRDefault="00EB0F30" w:rsidP="0074373E">
      <w:pPr>
        <w:spacing w:line="276" w:lineRule="auto"/>
        <w:jc w:val="both"/>
        <w:rPr>
          <w:rFonts w:ascii="Arial" w:hAnsi="Arial" w:cs="Arial"/>
        </w:rPr>
      </w:pPr>
      <w:r w:rsidRPr="0098357A">
        <w:rPr>
          <w:rFonts w:ascii="Arial" w:hAnsi="Arial" w:cs="Arial"/>
        </w:rPr>
        <w:t xml:space="preserve">Data are expressed as Mean ± Standard Deviation (SD). Statistical significance was determined using one-way analysis of variance to identify differences between groups. Post-hoc analysis was performed using the Duncan Multiple Range Test (DMRT) with a significance level of </w:t>
      </w:r>
      <w:r w:rsidRPr="0098357A">
        <w:rPr>
          <w:rFonts w:ascii="Arial" w:hAnsi="Arial" w:cs="Arial"/>
          <w:i/>
          <w:iCs/>
        </w:rPr>
        <w:t>P &lt; 0.05</w:t>
      </w:r>
      <w:r w:rsidRPr="0098357A">
        <w:rPr>
          <w:rFonts w:ascii="Arial" w:hAnsi="Arial" w:cs="Arial"/>
        </w:rPr>
        <w:t>.</w:t>
      </w:r>
    </w:p>
    <w:p w14:paraId="23BA16B4" w14:textId="77777777" w:rsidR="00DA0B0B" w:rsidRPr="0098357A" w:rsidRDefault="00DA0B0B" w:rsidP="0074373E">
      <w:pPr>
        <w:pStyle w:val="Body"/>
        <w:spacing w:after="0" w:line="276" w:lineRule="auto"/>
        <w:rPr>
          <w:rFonts w:ascii="Arial" w:hAnsi="Arial" w:cs="Arial"/>
        </w:rPr>
      </w:pPr>
    </w:p>
    <w:p w14:paraId="1CD7C467" w14:textId="77777777" w:rsidR="00902823" w:rsidRPr="0098357A" w:rsidRDefault="00000F8F" w:rsidP="0074373E">
      <w:pPr>
        <w:pStyle w:val="Head1"/>
        <w:spacing w:after="0" w:line="276" w:lineRule="auto"/>
        <w:jc w:val="both"/>
        <w:rPr>
          <w:rFonts w:ascii="Arial" w:hAnsi="Arial" w:cs="Arial"/>
        </w:rPr>
      </w:pPr>
      <w:r w:rsidRPr="0098357A">
        <w:rPr>
          <w:rFonts w:ascii="Arial" w:hAnsi="Arial" w:cs="Arial"/>
        </w:rPr>
        <w:t>3</w:t>
      </w:r>
      <w:r w:rsidR="00902823" w:rsidRPr="0098357A">
        <w:rPr>
          <w:rFonts w:ascii="Arial" w:hAnsi="Arial" w:cs="Arial"/>
        </w:rPr>
        <w:t xml:space="preserve">. </w:t>
      </w:r>
      <w:r w:rsidRPr="0098357A">
        <w:rPr>
          <w:rFonts w:ascii="Arial" w:hAnsi="Arial" w:cs="Arial"/>
        </w:rPr>
        <w:t>results and discussion</w:t>
      </w:r>
    </w:p>
    <w:p w14:paraId="674D9698" w14:textId="134311A3" w:rsidR="00B54EE7" w:rsidRPr="00B54EE7" w:rsidRDefault="005936DC" w:rsidP="0074373E">
      <w:pPr>
        <w:pStyle w:val="ListParagraph"/>
        <w:numPr>
          <w:ilvl w:val="1"/>
          <w:numId w:val="31"/>
        </w:numPr>
        <w:spacing w:line="276" w:lineRule="auto"/>
        <w:ind w:left="450" w:hanging="450"/>
        <w:jc w:val="both"/>
        <w:rPr>
          <w:rFonts w:ascii="Arial" w:hAnsi="Arial" w:cs="Arial"/>
          <w:b/>
          <w:bCs/>
          <w:sz w:val="22"/>
          <w:szCs w:val="22"/>
        </w:rPr>
      </w:pPr>
      <w:r w:rsidRPr="00B54EE7">
        <w:rPr>
          <w:rFonts w:ascii="Arial" w:hAnsi="Arial" w:cs="Arial"/>
          <w:b/>
          <w:bCs/>
          <w:sz w:val="22"/>
          <w:szCs w:val="22"/>
        </w:rPr>
        <w:t xml:space="preserve">Dragon Fruit Extract </w:t>
      </w:r>
      <w:r w:rsidR="00471FD1" w:rsidRPr="00B54EE7">
        <w:rPr>
          <w:rFonts w:ascii="Arial" w:hAnsi="Arial" w:cs="Arial"/>
          <w:b/>
          <w:bCs/>
          <w:sz w:val="22"/>
          <w:szCs w:val="22"/>
        </w:rPr>
        <w:t>(</w:t>
      </w:r>
      <w:r w:rsidR="00645B4F" w:rsidRPr="00645B4F">
        <w:rPr>
          <w:rFonts w:ascii="Arial" w:hAnsi="Arial" w:cs="Arial"/>
          <w:b/>
          <w:bCs/>
          <w:i/>
          <w:iCs/>
          <w:color w:val="EE0000"/>
          <w:sz w:val="22"/>
          <w:szCs w:val="22"/>
        </w:rPr>
        <w:t>Hylocereus</w:t>
      </w:r>
      <w:r w:rsidR="00471FD1" w:rsidRPr="00645B4F">
        <w:rPr>
          <w:rFonts w:ascii="Arial" w:hAnsi="Arial" w:cs="Arial"/>
          <w:b/>
          <w:bCs/>
          <w:i/>
          <w:iCs/>
          <w:color w:val="EE0000"/>
          <w:sz w:val="22"/>
          <w:szCs w:val="22"/>
        </w:rPr>
        <w:t xml:space="preserve"> </w:t>
      </w:r>
      <w:proofErr w:type="spellStart"/>
      <w:r w:rsidR="00471FD1" w:rsidRPr="00645B4F">
        <w:rPr>
          <w:rFonts w:ascii="Arial" w:hAnsi="Arial" w:cs="Arial"/>
          <w:b/>
          <w:bCs/>
          <w:i/>
          <w:iCs/>
          <w:color w:val="EE0000"/>
          <w:sz w:val="22"/>
          <w:szCs w:val="22"/>
        </w:rPr>
        <w:t>polyrhizus</w:t>
      </w:r>
      <w:proofErr w:type="spellEnd"/>
      <w:r w:rsidR="00471FD1" w:rsidRPr="00B54EE7">
        <w:rPr>
          <w:rFonts w:ascii="Arial" w:hAnsi="Arial" w:cs="Arial"/>
          <w:b/>
          <w:bCs/>
          <w:sz w:val="22"/>
          <w:szCs w:val="22"/>
        </w:rPr>
        <w:t>)</w:t>
      </w:r>
    </w:p>
    <w:p w14:paraId="26972624" w14:textId="777D59F2" w:rsidR="00B54EE7" w:rsidRDefault="00B54EE7" w:rsidP="0074373E">
      <w:pPr>
        <w:pStyle w:val="NormalWeb"/>
        <w:spacing w:line="276" w:lineRule="auto"/>
        <w:jc w:val="both"/>
        <w:rPr>
          <w:rFonts w:ascii="Arial" w:hAnsi="Arial" w:cs="Arial"/>
          <w:sz w:val="20"/>
          <w:szCs w:val="20"/>
        </w:rPr>
      </w:pPr>
      <w:r w:rsidRPr="00645B4F">
        <w:rPr>
          <w:rFonts w:ascii="Arial" w:hAnsi="Arial" w:cs="Arial"/>
          <w:color w:val="EE0000"/>
          <w:sz w:val="20"/>
          <w:szCs w:val="20"/>
        </w:rPr>
        <w:t>Red dragon fruit (</w:t>
      </w:r>
      <w:r w:rsidRPr="00645B4F">
        <w:rPr>
          <w:rFonts w:ascii="Arial" w:hAnsi="Arial" w:cs="Arial"/>
          <w:i/>
          <w:iCs/>
          <w:color w:val="EE0000"/>
          <w:sz w:val="20"/>
          <w:szCs w:val="20"/>
        </w:rPr>
        <w:t xml:space="preserve">Hylocereus </w:t>
      </w:r>
      <w:proofErr w:type="spellStart"/>
      <w:r w:rsidRPr="00645B4F">
        <w:rPr>
          <w:rFonts w:ascii="Arial" w:hAnsi="Arial" w:cs="Arial"/>
          <w:i/>
          <w:iCs/>
          <w:color w:val="EE0000"/>
          <w:sz w:val="20"/>
          <w:szCs w:val="20"/>
        </w:rPr>
        <w:t>polyrhizus</w:t>
      </w:r>
      <w:proofErr w:type="spellEnd"/>
      <w:r w:rsidRPr="00645B4F">
        <w:rPr>
          <w:rFonts w:ascii="Arial" w:hAnsi="Arial" w:cs="Arial"/>
          <w:color w:val="EE0000"/>
          <w:sz w:val="20"/>
          <w:szCs w:val="20"/>
        </w:rPr>
        <w:t xml:space="preserve">) extraction was performed via maceration in 96% </w:t>
      </w:r>
      <w:r w:rsidRPr="00B54EE7">
        <w:rPr>
          <w:rFonts w:ascii="Arial" w:hAnsi="Arial" w:cs="Arial"/>
          <w:sz w:val="20"/>
          <w:szCs w:val="20"/>
        </w:rPr>
        <w:t xml:space="preserve">ethanol to protect heat-sensitive active compounds from thermal degradation. This three-day soaking process, followed by gradual filtration, yielded a clear filtrate that was subsequently concentrated using a rotary evaporator and a water bath </w:t>
      </w:r>
      <w:r w:rsidRPr="00B54EE7">
        <w:rPr>
          <w:rFonts w:ascii="Arial" w:hAnsi="Arial" w:cs="Arial"/>
          <w:b/>
          <w:bCs/>
          <w:sz w:val="20"/>
          <w:szCs w:val="20"/>
        </w:rPr>
        <w:t>(Fig. 1</w:t>
      </w:r>
      <w:r w:rsidRPr="00B54EE7">
        <w:rPr>
          <w:rFonts w:ascii="Arial" w:hAnsi="Arial" w:cs="Arial"/>
          <w:sz w:val="20"/>
          <w:szCs w:val="20"/>
        </w:rPr>
        <w:t xml:space="preserve">). The resulting thick, deep-red paste visually indicates a high concentration of </w:t>
      </w:r>
      <w:proofErr w:type="spellStart"/>
      <w:r w:rsidRPr="00B54EE7">
        <w:rPr>
          <w:rFonts w:ascii="Arial" w:hAnsi="Arial" w:cs="Arial"/>
          <w:sz w:val="20"/>
          <w:szCs w:val="20"/>
        </w:rPr>
        <w:t>betalain</w:t>
      </w:r>
      <w:proofErr w:type="spellEnd"/>
      <w:r w:rsidRPr="00B54EE7">
        <w:rPr>
          <w:rFonts w:ascii="Arial" w:hAnsi="Arial" w:cs="Arial"/>
          <w:sz w:val="20"/>
          <w:szCs w:val="20"/>
        </w:rPr>
        <w:t xml:space="preserve"> and anthocyanin pigments, which serve as the primary antioxidant sources</w:t>
      </w:r>
      <w:r w:rsidRPr="00B54EE7">
        <w:rPr>
          <w:rFonts w:ascii="Arial" w:hAnsi="Arial" w:cs="Arial"/>
          <w:sz w:val="20"/>
          <w:szCs w:val="20"/>
        </w:rPr>
        <w:fldChar w:fldCharType="begin" w:fldLock="1"/>
      </w:r>
      <w:r w:rsidRPr="00B54EE7">
        <w:rPr>
          <w:rFonts w:ascii="Arial" w:hAnsi="Arial" w:cs="Arial"/>
          <w:sz w:val="20"/>
          <w:szCs w:val="20"/>
        </w:rPr>
        <w:instrText>ADDIN CSL_CITATION {"citationItems":[{"id":"ITEM-1","itemData":{"DOI":"10.1016/j.foodchem.2025.147658","ISSN":"18737072","PMID":"41453279","abstract":"Ultrasonic-assisted extraction (UAE) was employed for the maximum recovery of betalain pigment from red dragon fruit pulp using response surface variables as temperature (25–65 °C), extraction time (5–25 min), number of extractions (1–5), and solid/mass ratio (1:5–1:15 v/v). UAE at 25 kHz increased the betacyanin yield by 32 % i.e. 15.18–20.03 mg/100 ml and betaxanthin by 30 % i.e. 6.39–8.31 mg/100 ml in fresh dragon fruit pulp respectively. The central composite rotatable design was found to be best fitted with data having a higher R2 (91 and 97 %), lower value of standard error and scattered plot. Maximum recovery of betalain pigment from pulp was obtained at 55 °C, 20 min, four extractions and 1:12.5 v/v because at higher temperature breakdown of compact tissues of fruit lead to the release of pigments and further increase in temperature (55 °C) can cause degradation of pigment. This study provides sustainable data for process design and industrial scale-up operations.","author":[{"dropping-particle":"","family":"Chauhan","given":"Bhawna","non-dropping-particle":"","parse-names":false,"suffix":""},{"dropping-particle":"","family":"Sharma","given":"Parul","non-dropping-particle":"","parse-names":false,"suffix":""},{"dropping-particle":"","family":"Oberoi","given":"Davinder Pal Singh","non-dropping-particle":"","parse-names":false,"suffix":""}],"container-title":"Food Chemistry","id":"ITEM-1","issued":{"date-parts":[["2026","2","15"]]},"publisher":"Elsevier Ltd","title":"Ultrasonic-assisted betalain extraction from red dragon fruit pulp (Hylocereus polyrhizus) using response surface methodology","type":"article-journal","volume":"502"},"uris":["http://www.mendeley.com/documents/?uuid=5956cce2-80d5-330d-b6a3-721093ad62b8"]},{"id":"ITEM-2","itemData":{"DOI":"10.1016/j.jssas.2015.02.001","ISSN":"1658077X","abstract":"The aim of this research was to optimize the operating parameters in microwave assisted extraction process (MIE) such as temperature, mass of the sample, extraction time on the betalain content from dragon fruit peel using response surface methodology (RSM). Three factors three levels Box-Behnken response surface design (BBD) was used for optimization and mathematical model development. Significant quadratic polynomial model was obtained (R2 = 0.9892 for betalain content) with high coefficient determination value and numerical optimization was employed to achieve optimum conditions which was found to be; temperature of 35 °C, mass of the sample of 20 g, and treatment time of 8 min. Under these conditions, 9 mg/L of betalain content was obtained and it was validated using experimental values.","author":[{"dropping-particle":"","family":"Thirugnanasambandham","given":"K.","non-dropping-particle":"","parse-names":false,"suffix":""},{"dropping-particle":"","family":"Sivakumar","given":"V.","non-dropping-particle":"","parse-names":false,"suffix":""}],"container-title":"Journal of the Saudi Society of Agricultural Sciences","id":"ITEM-2","issue":"1","issued":{"date-parts":[["2017","1","1"]]},"page":"41-48","publisher":"King Saud University","title":"Microwave assisted extraction process of betalain from dragon fruit and its antioxidant activities","type":"article-journal","volume":"16"},"uris":["http://www.mendeley.com/documents/?uuid=582513ce-e1c0-362e-a05f-7086a8a8cbcf"]},{"id":"ITEM-3","itemData":{"DOI":"10.47191/ijcsrr/V7-i6-102","ISSN":"2581-8341","abstract":"The dragon fruit peels (Hylocereus undatus) are typically thrown away as agricultural waste. The disposal of bio-wastes, like peels from dragon fruit and microbiological contamination during their mass breakdown, all contribute to environmental degradation. Peel can be used to extract naturally occurring colour for pigments. The objective of this study is to investigate the feasibility of using the peel of Hylocereus undatus as a coating material for wound healing. The extraction method and potential uses of the pigments derived from the peel will be explored. The study aimed to determine the phytochemical components of Hylocereus undatus (peel) extract and the peel can be utilized as a raw material for pigment extraction due to the betalain content. With the use of a magnetic stirrer extraction, the peel of Hylocereus undatus was extracted with aqueous extraction. Thin layer chromatographic techniques are used to identify the pigment components. In the present study, we recorded both UV-VIS and FT-IR profile of peel extract to known the various phytoconstituents and determine the functional group present in Hylocereus undatus (white dragon fruit). The pigment needs to be applied to the wound gauze, and the stain resistance should be evaluated by determining how well the wound gauze can withstand contamination from the outside coating. Furthermore, the pharmaceutical and nutraceutical sectors are interested in Hylocereus undatus peel due to its components, which may have potential health applications such as anti-inflammatory, antioxidant, antibacterial, and anti-cancer characteristics.","author":[{"dropping-particle":"","family":"Initha","given":"C","non-dropping-particle":"","parse-names":false,"suffix":""},{"dropping-particle":"","family":"Ebency","given":"Lebanon","non-dropping-particle":"","parse-names":false,"suffix":""},{"dropping-particle":"","family":"Vanitha","given":"N","non-dropping-particle":"","parse-names":false,"suffix":""},{"dropping-particle":"","family":"Saran","given":"T S","non-dropping-particle":"","parse-names":false,"suffix":""},{"dropping-particle":"","family":"Shobana","given":"Flory","non-dropping-particle":"","parse-names":false,"suffix":""}],"container-title":"International Journal of Current Science Research and Review","id":"ITEM-3","issue":"6","issued":{"date-parts":[["2024"]]},"title":"Development of Wound Gauze from Hylocereus undatus Dragon Fruit (Pigment) Peel Extract","type":"article-journal","volume":"7"},"uris":["http://www.mendeley.com/documents/?uuid=b106b288-5c61-3078-be8b-670400c02b18"]}],"mendeley":{"formattedCitation":"(Chauhan et al., 2026; Initha et al., 2024; Thirugnanasambandham &amp; Sivakumar, 2017)","plainTextFormattedCitation":"(Chauhan et al., 2026; Initha et al., 2024; Thirugnanasambandham &amp; Sivakumar, 2017)","previouslyFormattedCitation":"(Chauhan et al., 2026; Initha et al., 2024; Thirugnanasambandham &amp; Sivakumar, 2017)"},"properties":{"noteIndex":0},"schema":"https://github.com/citation-style-language/schema/raw/master/csl-citation.json"}</w:instrText>
      </w:r>
      <w:r w:rsidRPr="00B54EE7">
        <w:rPr>
          <w:rFonts w:ascii="Arial" w:hAnsi="Arial" w:cs="Arial"/>
          <w:sz w:val="20"/>
          <w:szCs w:val="20"/>
        </w:rPr>
        <w:fldChar w:fldCharType="separate"/>
      </w:r>
      <w:r w:rsidRPr="00B54EE7">
        <w:rPr>
          <w:rFonts w:ascii="Arial" w:hAnsi="Arial" w:cs="Arial"/>
          <w:noProof/>
          <w:sz w:val="20"/>
          <w:szCs w:val="20"/>
        </w:rPr>
        <w:t>(Chauhan et al., 2026; Initha et al., 2024; Thirugnanasambandham &amp; Sivakumar, 2017)</w:t>
      </w:r>
      <w:r w:rsidRPr="00B54EE7">
        <w:rPr>
          <w:rFonts w:ascii="Arial" w:hAnsi="Arial" w:cs="Arial"/>
          <w:sz w:val="20"/>
          <w:szCs w:val="20"/>
        </w:rPr>
        <w:fldChar w:fldCharType="end"/>
      </w:r>
      <w:r w:rsidRPr="00B54EE7">
        <w:rPr>
          <w:rFonts w:ascii="Arial" w:hAnsi="Arial" w:cs="Arial"/>
          <w:sz w:val="20"/>
          <w:szCs w:val="20"/>
        </w:rPr>
        <w:t xml:space="preserve">. This extract is chemically complex, featuring a profile of 20 identified phenolic compounds with nearly double the concentration found in the white-flesh variety. Key constituents include major flavonoids and hydroxycinnamic acids such </w:t>
      </w:r>
      <w:r w:rsidRPr="00B54EE7">
        <w:rPr>
          <w:rFonts w:ascii="Arial" w:hAnsi="Arial" w:cs="Arial"/>
          <w:sz w:val="20"/>
          <w:szCs w:val="20"/>
        </w:rPr>
        <w:lastRenderedPageBreak/>
        <w:t xml:space="preserve">as rutin, hesperidin, and ferulic and </w:t>
      </w:r>
      <w:proofErr w:type="spellStart"/>
      <w:r w:rsidRPr="00B54EE7">
        <w:rPr>
          <w:rFonts w:ascii="Arial" w:hAnsi="Arial" w:cs="Arial"/>
          <w:sz w:val="20"/>
          <w:szCs w:val="20"/>
        </w:rPr>
        <w:t>sinapic</w:t>
      </w:r>
      <w:proofErr w:type="spellEnd"/>
      <w:r w:rsidRPr="00B54EE7">
        <w:rPr>
          <w:rFonts w:ascii="Arial" w:hAnsi="Arial" w:cs="Arial"/>
          <w:sz w:val="20"/>
          <w:szCs w:val="20"/>
        </w:rPr>
        <w:t xml:space="preserve"> acids which provide a broad spectrum of anti-inflammatory, antitumoral, and antioxidant benefits </w:t>
      </w:r>
      <w:r w:rsidRPr="00B54EE7">
        <w:rPr>
          <w:rFonts w:ascii="Arial" w:hAnsi="Arial" w:cs="Arial"/>
          <w:sz w:val="20"/>
          <w:szCs w:val="20"/>
        </w:rPr>
        <w:fldChar w:fldCharType="begin" w:fldLock="1"/>
      </w:r>
      <w:r w:rsidRPr="00B54EE7">
        <w:rPr>
          <w:rFonts w:ascii="Arial" w:hAnsi="Arial" w:cs="Arial"/>
          <w:sz w:val="20"/>
          <w:szCs w:val="20"/>
        </w:rPr>
        <w:instrText>ADDIN CSL_CITATION {"citationItems":[{"id":"ITEM-1","itemData":{"DOI":"10.1016/j.lwt.2021.111924","ISSN":"00236438","abstract":"This study aimed to characterize and compare pulps of two species of organic dragon fruits, Hylocereus undatus and Hylocereus polyrhizus, grown at the same edaphoclimatic conditions in terms of bioactive compounds and physicochemical aspects. No significant differences were observed between purple and white pulps concerning moisture, ascorbic acid concentration, and DPPH-assay antioxidant activity. Purple pulp demonstrated higher values for pH, Folin-Ciocalteau reducing capacity, and FRAP-assay antioxidant activity, lower acidity, and expressive total betalain content, suggesting higher bioactive potential. The main phenolic compounds identified in purple pulp were rutin, hesperidin, ferulic, and sinapic acids, while the white one was rich in chlorogenic acid. The major organic acids identified in both pulps were malic, citric, formic, pipecolic, and ascorbic. Pipecolic acid was detected in both, although more predominant in purple pulp, in remarkable concentrations, being the first report of it in the Cactaceae family. The found results indicate potential bioactivity, contributing to confirm the status of superfruit of these exotic fruits.","author":[{"dropping-particle":"","family":"Angonese","given":"Mariana","non-dropping-particle":"","parse-names":false,"suffix":""},{"dropping-particle":"","family":"Motta","given":"Gabriel Emiliano","non-dropping-particle":"","parse-names":false,"suffix":""},{"dropping-particle":"","family":"Silva de Farias","given":"Natália","non-dropping-particle":"","parse-names":false,"suffix":""},{"dropping-particle":"","family":"Molognoni","given":"Luciano","non-dropping-particle":"","parse-names":false,"suffix":""},{"dropping-particle":"","family":"Daguer","given":"Heitor","non-dropping-particle":"","parse-names":false,"suffix":""},{"dropping-particle":"","family":"Brugnerotto","given":"Patrícia","non-dropping-particle":"","parse-names":false,"suffix":""},{"dropping-particle":"","family":"Oliveira Costa","given":"Ana Carolina","non-dropping-particle":"de","parse-names":false,"suffix":""},{"dropping-particle":"","family":"Olivera Müller","given":"Carmen Maria","non-dropping-particle":"","parse-names":false,"suffix":""}],"container-title":"LWT","id":"ITEM-1","issued":{"date-parts":[["2021","9","1"]]},"publisher":"Academic Press","title":"Organic dragon fruits (Hylocereus undatus and Hylocereus polyrhizus) grown at the same edaphoclimatic conditions: Comparison of phenolic and organic acids profiles and antioxidant activities","type":"article-journal","volume":"149"},"uris":["http://www.mendeley.com/documents/?uuid=c4defaa7-e6f4-34fc-83c4-9bf2e16e5b4e"]},{"id":"ITEM-2","itemData":{"DOI":"10.1016/j.fbp.2025.12.008","ISSN":"17443571","abstract":"Red dragon fruit (Hylocereus polyrhizus) with high betacyanins content is a potential commercial fruit that can be developed into a functional drink. The development of a functional product not only requires innovation but also needs to consider the sustainability of the raw materials and techniques employed. The present study aimed to employ mild and sustainable approaches via the incorporation of xanthan gum (XG) and carboxymethyl cellulose (CMC) hydrocolloid mixture solution and citric acid (CA) at optimum concentrations to modify the matrix of fermented red dragon fruit drink (FRDFD) to produce Improved-FRDFD-dH2O with improved long-term storage stability, bio-accessibility and antioxidant activity of the betacyanins. Results revealed that 0.4 % XG and 0.5 % CMC hydrocolloid mixture solution was able to synergistically cooperate with 0.2 % CA for providing the best food matrix environment for the maximum betacyanins stability (&lt;10 % degradation) throughout the 8-week storage period at 25°C. The simulated digestion study showed that the incorporation of 0.4 % XG and 0.5 % CMC hydrocolloid mixture solution and 0.2 % CA successfully improved the bio-accessibility (&gt;80 % retained) and preserved the high antioxidant activities of betanin throughout the digestive process (up to 94.18 % free radicals inhibited).","author":[{"dropping-particle":"","family":"Lim","given":"Teck Wei","non-dropping-particle":"","parse-names":false,"suffix":""},{"dropping-particle":"","family":"Lim","given":"Renee Lay Hong","non-dropping-particle":"","parse-names":false,"suffix":""},{"dropping-particle":"","family":"Pui","given":"Liew Phing","non-dropping-particle":"","parse-names":false,"suffix":""},{"dropping-particle":"","family":"Tan","given":"Chin Ping","non-dropping-particle":"","parse-names":false,"suffix":""},{"dropping-particle":"","family":"Ho","given":"Chun Wai","non-dropping-particle":"","parse-names":false,"suffix":""}],"container-title":"Food and Bioproducts Processing","id":"ITEM-2","issued":{"date-parts":[["2026","1","1"]]},"page":"157-166","publisher":"Institution of Chemical Engineers","title":"Improving betacyanins stability by sustainable application of xanthan gum, CMC and citric acid in fermented red dragon fruit drink: Long-term storage, bio-accessibility and antioxidant activity","type":"article-journal","volume":"155"},"uris":["http://www.mendeley.com/documents/?uuid=eaa3f27f-f985-37f4-932d-722c024ba6bd"]},{"id":"ITEM-3","itemData":{"DOI":"10.1016/j.scienta.2021.110611","ISSN":"03044238","abstract":"Red-fleshed dragon fruit (Hylocereus polyrhizus) is a promising food with a functional appeal. This study investigated the changes in the bioactive compounds and antioxidant activity of the red-fleshed dragon fruit at eight development stages. In general, the levels of total phenolic compounds tested using Folin-Ciocalteu, and Fast Blue BB reagents, betacyanin, betaxanthin, anthocyanins, and antioxidant activity by TEAC, FRAP, and ß-carotene bleaching increased over the fruit development stages, whereas vitamin C content significantly decreased. Six phenolic compounds were identified, including catechin, vanillin, gallic acid, caffeic acid, chlorogenic acid, and ferulic acid. Catechin was the majority compound, followed by vanillin. All these compounds decreased during fruit development; chlorogenic and ferulic acids were only detected 30 days after anthesis. Based on the results, the suitable harvest period of red-fleshed dragon fruit is between 36 and 38 days after anthesis.","author":[{"dropping-particle":"","family":"Zitha","given":"Elídio Zaidine Maurício","non-dropping-particle":"","parse-names":false,"suffix":""},{"dropping-particle":"","family":"Magalhães","given":"Deniete Soares","non-dropping-particle":"","parse-names":false,"suffix":""},{"dropping-particle":"","family":"Lago","given":"Rafael Carvalho","non-dropping-particle":"do","parse-names":false,"suffix":""},{"dropping-particle":"","family":"Carvalho","given":"Elisângela Elena Nunes","non-dropping-particle":"","parse-names":false,"suffix":""},{"dropping-particle":"","family":"Pasqual","given":"Moacir","non-dropping-particle":"","parse-names":false,"suffix":""},{"dropping-particle":"","family":"Barros Vilas Boas","given":"Eduardo Valério","non-dropping-particle":"de","parse-names":false,"suffix":""}],"container-title":"Scientia Horticulturae","id":"ITEM-3","issued":{"date-parts":[["2022","1","3"]]},"publisher":"Elsevier B.V.","title":"Changes in the bioactive compounds and antioxidant activity in red-fleshed dragon fruit during its development","type":"article-journal","volume":"291"},"uris":["http://www.mendeley.com/documents/?uuid=b6674538-5222-373a-a1aa-d57338ea1068"]},{"id":"ITEM-4","itemData":{"DOI":"10.1038/s41598-021-81682-x","ISSN":"20452322","PMID":"33536453","abstract":"Dragon fruit (Hylocereus spp.), an important tropical fruit belonging to the family Cactaceae, is rich in essential nutrients such as vitamins, minerals, complex carbohydrates, dietary fibres and antioxidants. This study aims to distinguish three dragon fruit species well adapted to Andaman and Nicobar Island through morphological (34 quantitative and 26 qualitative traits), biochemical (5 traits) and molecular (14 ISSR primers) characterization. Morphological characterization revealed that presence of considerable amount of genetic variations among them especially for fruit characters viz., colour of peel and pulp. Cladode characters such as number of spines (3–5), length of areoles (mm) as 1–4, margin ribs of cladode (convex or concave) and its waxiness (weak or strong white waxy or light waxy) could be used for identification of three Hylocereus spp. under present study. Highest co-efficient of variation (%) obtained for pulp weight (88.7), whereas, lowest in distance of anthers belowstigma (3.3). Fruit and pulp weight (g) ranged from 26.5–419.3 and 10.3–258.8 with mean value of 204.8 and 125.3, respectively. Comparatively, high phenol (71.3–161.3) and flavonoid (26.6–508.2) content observed in peels than pulp (32.5–130.0 and 45.0–258.2) of fruit indicating higher antioxidant potential. Highest total carotenoids (µg 100 g−1), β-carotene (µg 100 g−1) and xanthophyll (µg g−1) content obtained in pulp on DGF3 (33.8), DGF4 (55.9) and DGF3 (32.7), whereas, in peel on DGF2 (24.3), DGF4 (18.5) and DGF2 (24.1), respectively. DPPH-based scavenging activity (%) revealed higher scavenging activity of peels (55.6–81.2) than pulp (36.0–75.3) extracts. Comparatively, ABTS-based scavenging activity (%) was found more than DPPH-based one. Sixteen ISSR primers screened, 14 were produced 178 reproducible amplified bands. Number of amplified bands varied from 5 in UBC887 to 19 in UBC811 with an average of 12.71 bands per primer. Range of polymorphic bands and % polymorphism observed were 1–13 and 20.0–92.8, respectively. The polymorphic information content value of ISSR marker ranged from 0.42 (UBC895) to 0.91 (UBC 856). Cluster analysis distinguished three different Hylocereus species on the basis of geographic origin and pulp colour by forming separate groups and two genotypes each showed 52% (DGF1 and DGF3) and 76% (DGF2 and DGF4) genetic similarity. Key traits identified for distinguishing three different Hylocereus species were: Pulp/ peel colour of fruits, number…","author":[{"dropping-particle":"","family":"Abirami","given":"K.","non-dropping-particle":"","parse-names":false,"suffix":""},{"dropping-particle":"","family":"Swain","given":"S.","non-dropping-particle":"","parse-names":false,"suffix":""},{"dropping-particle":"","family":"Baskaran","given":"V.","non-dropping-particle":"","parse-names":false,"suffix":""},{"dropping-particle":"","family":"Venkatesan","given":"K.","non-dropping-particle":"","parse-names":false,"suffix":""},{"dropping-particle":"","family":"Sakthivel","given":"K.","non-dropping-particle":"","parse-names":false,"suffix":""},{"dropping-particle":"","family":"Bommayasamy","given":"N.","non-dropping-particle":"","parse-names":false,"suffix":""}],"container-title":"Scientific Reports","id":"ITEM-4","issue":"1","issued":{"date-parts":[["2021","12","1"]]},"publisher":"Nature Research","title":"Distinguishing three Dragon fruit (Hylocereus spp.) species grown in Andaman and Nicobar Islands of India using morphological, biochemical and molecular traits","type":"article-journal","volume":"11"},"uris":["http://www.mendeley.com/documents/?uuid=7898419f-ebb5-3a10-88b3-55ebb6fec912"]}],"mendeley":{"formattedCitation":"(Abirami et al., 2021; Angonese et al., 2021; Lim et al., 2026; Zitha et al., 2022)","plainTextFormattedCitation":"(Abirami et al., 2021; Angonese et al., 2021; Lim et al., 2026; Zitha et al., 2022)","previouslyFormattedCitation":"(Abirami et al., 2021; Angonese et al., 2021; Lim et al., 2026; Zitha et al., 2022)"},"properties":{"noteIndex":0},"schema":"https://github.com/citation-style-language/schema/raw/master/csl-citation.json"}</w:instrText>
      </w:r>
      <w:r w:rsidRPr="00B54EE7">
        <w:rPr>
          <w:rFonts w:ascii="Arial" w:hAnsi="Arial" w:cs="Arial"/>
          <w:sz w:val="20"/>
          <w:szCs w:val="20"/>
        </w:rPr>
        <w:fldChar w:fldCharType="separate"/>
      </w:r>
      <w:r w:rsidRPr="00B54EE7">
        <w:rPr>
          <w:rFonts w:ascii="Arial" w:hAnsi="Arial" w:cs="Arial"/>
          <w:noProof/>
          <w:sz w:val="20"/>
          <w:szCs w:val="20"/>
        </w:rPr>
        <w:t>(Abirami et al., 2021; Angonese et al., 2021; Lim et al., 2026; Zitha et al., 2022)</w:t>
      </w:r>
      <w:r w:rsidRPr="00B54EE7">
        <w:rPr>
          <w:rFonts w:ascii="Arial" w:hAnsi="Arial" w:cs="Arial"/>
          <w:sz w:val="20"/>
          <w:szCs w:val="20"/>
        </w:rPr>
        <w:fldChar w:fldCharType="end"/>
      </w:r>
      <w:r w:rsidRPr="00B54EE7">
        <w:rPr>
          <w:rFonts w:ascii="Arial" w:hAnsi="Arial" w:cs="Arial"/>
          <w:sz w:val="20"/>
          <w:szCs w:val="20"/>
        </w:rPr>
        <w:t>.</w:t>
      </w:r>
    </w:p>
    <w:p w14:paraId="488463FB" w14:textId="77777777" w:rsidR="00437062" w:rsidRDefault="00437062" w:rsidP="00437062">
      <w:pPr>
        <w:pStyle w:val="NormalWeb"/>
        <w:spacing w:line="276" w:lineRule="auto"/>
        <w:jc w:val="center"/>
        <w:rPr>
          <w:rFonts w:ascii="Arial" w:hAnsi="Arial" w:cs="Arial"/>
          <w:b/>
          <w:bCs/>
          <w:sz w:val="20"/>
          <w:szCs w:val="20"/>
        </w:rPr>
      </w:pPr>
      <w:r>
        <w:rPr>
          <w:rFonts w:ascii="Arial" w:hAnsi="Arial" w:cs="Arial"/>
          <w:noProof/>
          <w:sz w:val="20"/>
          <w:szCs w:val="20"/>
        </w:rPr>
        <w:drawing>
          <wp:inline distT="0" distB="0" distL="0" distR="0" wp14:anchorId="13E05F21" wp14:editId="7DBD0ED5">
            <wp:extent cx="4525055" cy="3374572"/>
            <wp:effectExtent l="0" t="0" r="8890" b="0"/>
            <wp:docPr id="6431263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3051" cy="3395450"/>
                    </a:xfrm>
                    <a:prstGeom prst="rect">
                      <a:avLst/>
                    </a:prstGeom>
                    <a:noFill/>
                    <a:ln>
                      <a:noFill/>
                    </a:ln>
                  </pic:spPr>
                </pic:pic>
              </a:graphicData>
            </a:graphic>
          </wp:inline>
        </w:drawing>
      </w:r>
    </w:p>
    <w:p w14:paraId="6097A962" w14:textId="280AFC79" w:rsidR="00B54EE7" w:rsidRPr="00437062" w:rsidRDefault="00B54EE7" w:rsidP="00437062">
      <w:pPr>
        <w:pStyle w:val="NormalWeb"/>
        <w:spacing w:line="276" w:lineRule="auto"/>
        <w:jc w:val="center"/>
        <w:rPr>
          <w:rFonts w:ascii="Arial" w:hAnsi="Arial" w:cs="Arial"/>
          <w:sz w:val="20"/>
          <w:szCs w:val="20"/>
        </w:rPr>
      </w:pPr>
      <w:r w:rsidRPr="00515D19">
        <w:rPr>
          <w:rFonts w:ascii="Arial" w:hAnsi="Arial" w:cs="Arial"/>
          <w:b/>
          <w:bCs/>
          <w:sz w:val="20"/>
          <w:szCs w:val="20"/>
        </w:rPr>
        <w:t xml:space="preserve">Fig. 1. Preparation of </w:t>
      </w:r>
      <w:r w:rsidRPr="00515D19">
        <w:rPr>
          <w:rFonts w:ascii="Arial" w:hAnsi="Arial" w:cs="Arial"/>
          <w:b/>
          <w:bCs/>
          <w:i/>
          <w:iCs/>
          <w:sz w:val="20"/>
          <w:szCs w:val="20"/>
        </w:rPr>
        <w:t xml:space="preserve">Hylocereus </w:t>
      </w:r>
      <w:proofErr w:type="spellStart"/>
      <w:r w:rsidRPr="00515D19">
        <w:rPr>
          <w:rFonts w:ascii="Arial" w:hAnsi="Arial" w:cs="Arial"/>
          <w:b/>
          <w:bCs/>
          <w:i/>
          <w:iCs/>
          <w:sz w:val="20"/>
          <w:szCs w:val="20"/>
        </w:rPr>
        <w:t>polyrhizus</w:t>
      </w:r>
      <w:proofErr w:type="spellEnd"/>
      <w:r w:rsidRPr="00515D19">
        <w:rPr>
          <w:rFonts w:ascii="Arial" w:hAnsi="Arial" w:cs="Arial"/>
          <w:b/>
          <w:bCs/>
          <w:sz w:val="20"/>
          <w:szCs w:val="20"/>
        </w:rPr>
        <w:t xml:space="preserve"> crude extract</w:t>
      </w:r>
    </w:p>
    <w:p w14:paraId="3549F51C" w14:textId="6D66FA1A" w:rsidR="00B54EE7" w:rsidRPr="00B54EE7" w:rsidRDefault="00B54EE7" w:rsidP="0074373E">
      <w:pPr>
        <w:pStyle w:val="NormalWeb"/>
        <w:spacing w:line="276" w:lineRule="auto"/>
        <w:jc w:val="both"/>
        <w:rPr>
          <w:rFonts w:ascii="Arial" w:hAnsi="Arial" w:cs="Arial"/>
          <w:sz w:val="20"/>
          <w:szCs w:val="20"/>
        </w:rPr>
      </w:pPr>
      <w:r w:rsidRPr="00B54EE7">
        <w:rPr>
          <w:rFonts w:ascii="Arial" w:hAnsi="Arial" w:cs="Arial"/>
          <w:sz w:val="20"/>
          <w:szCs w:val="20"/>
        </w:rPr>
        <w:t>The quality of this extract is exceptionally high, evidenced by an IC</w:t>
      </w:r>
      <w:r w:rsidRPr="00B54EE7">
        <w:rPr>
          <w:rFonts w:ascii="Arial" w:hAnsi="Arial" w:cs="Arial"/>
          <w:sz w:val="20"/>
          <w:szCs w:val="20"/>
          <w:vertAlign w:val="subscript"/>
        </w:rPr>
        <w:t>50</w:t>
      </w:r>
      <w:r w:rsidRPr="00B54EE7">
        <w:rPr>
          <w:rFonts w:ascii="Arial" w:hAnsi="Arial" w:cs="Arial"/>
          <w:sz w:val="20"/>
          <w:szCs w:val="20"/>
        </w:rPr>
        <w:t xml:space="preserve"> value of 57.35 ppm, placing its antioxidant activity well within the "very strong" category (below the 200 ppm threshold)</w:t>
      </w:r>
      <w:r w:rsidRPr="00B54EE7">
        <w:rPr>
          <w:rFonts w:ascii="Arial" w:hAnsi="Arial" w:cs="Arial"/>
          <w:color w:val="000000"/>
          <w:sz w:val="20"/>
          <w:szCs w:val="20"/>
        </w:rPr>
        <w:t xml:space="preserve"> </w:t>
      </w:r>
      <w:r w:rsidRPr="00B54EE7">
        <w:rPr>
          <w:rFonts w:ascii="Arial" w:hAnsi="Arial" w:cs="Arial"/>
          <w:color w:val="000000"/>
          <w:sz w:val="20"/>
          <w:szCs w:val="20"/>
        </w:rPr>
        <w:fldChar w:fldCharType="begin" w:fldLock="1"/>
      </w:r>
      <w:r w:rsidRPr="00B54EE7">
        <w:rPr>
          <w:rFonts w:ascii="Arial" w:hAnsi="Arial" w:cs="Arial"/>
          <w:color w:val="000000"/>
          <w:sz w:val="20"/>
          <w:szCs w:val="20"/>
        </w:rPr>
        <w:instrText>ADDIN CSL_CITATION {"citationItems":[{"id":"ITEM-1","itemData":{"author":[{"dropping-particle":"","family":"Sadimantara","given":"Muhammad Syukri","non-dropping-particle":"","parse-names":false,"suffix":""},{"dropping-particle":"","family":"Asranudin","given":"","non-dropping-particle":"","parse-names":false,"suffix":""},{"dropping-particle":"","family":"Sadimantara","given":"Fahria Nadiryati","non-dropping-particle":"","parse-names":false,"suffix":""},{"dropping-particle":"","family":"Sakir","given":"","non-dropping-particle":"","parse-names":false,"suffix":""},{"dropping-particle":"","family":"Suwarjoyowirayatno","given":"Rhenislawaty","non-dropping-particle":"","parse-names":false,"suffix":""}],"container-title":"J. Sains dan Teknologi Pangan","id":"ITEM-1","issue":"5","issued":{"date-parts":[["2018"]]},"page":"1702-1712","title":"Karakteristik Organoleptik, Sifat Kimia dan Aktivitas Antioksidan Teh Formulasi Daun Kakao dan Kayu Manis","type":"article-journal","volume":"3"},"uris":["http://www.mendeley.com/documents/?uuid=ac40d69c-d563-4839-b432-c0ddae83c5a5"]},{"id":"ITEM-2","itemData":{"ISBN":"9780735443808","ISSN":"2289-6368","author":[{"dropping-particle":"","family":"Asranudin","given":"","non-dropping-particle":"","parse-names":false,"suffix":""},{"dropping-particle":"","family":"Fatmawati","given":"Sri","non-dropping-particle":"","parse-names":false,"suffix":""},{"dropping-particle":"","family":"Purnomo","given":"Adi Setyo","non-dropping-particle":"","parse-names":false,"suffix":""},{"dropping-particle":"","family":"Holilah","given":"","non-dropping-particle":"","parse-names":false,"suffix":""},{"dropping-particle":"","family":"Rohmah","given":"Alya Awinatul","non-dropping-particle":"","parse-names":false,"suffix":""}],"container-title":"The 9th International Conference of the Indonesian Chemical Society ICICS 2021","id":"ITEM-2","issue":"1","issued":{"date-parts":[["2020"]]},"page":"53-57","title":"Antioxidant Activity of Fruit Peel Waste Extracts","type":"paper-conference","volume":"8"},"uris":["http://www.mendeley.com/documents/?uuid=3efc615c-6a97-4d42-9abe-349ae55b3f09"]},{"id":"ITEM-3","itemData":{"DOI":"10.1016/j.foohum.2023.06.007","ISSN":"2949-8244","author":[{"dropping-particle":"","family":"Asranudin","given":"","non-dropping-particle":"","parse-names":false,"suffix":""},{"dropping-particle":"","family":"Holilah","given":"","non-dropping-particle":"","parse-names":false,"suffix":""},{"dropping-particle":"","family":"Purnomo","given":"Adi Setyo","non-dropping-particle":"","parse-names":false,"suffix":""},{"dropping-particle":"","family":"Allouss","given":"Dalia","non-dropping-particle":"","parse-names":false,"suffix":""},{"dropping-particle":"El","family":"Alaoui-elbalrhiti","given":"Ilias","non-dropping-particle":"","parse-names":false,"suffix":""},{"dropping-particle":"","family":"Putra","given":"Surya Rosa","non-dropping-particle":"","parse-names":false,"suffix":""},{"dropping-particle":"","family":"Masruchin","given":"Nanang","non-dropping-particle":"","parse-names":false,"suffix":""},{"dropping-particle":"","family":"Tamim","given":"Rustam","non-dropping-particle":"","parse-names":false,"suffix":""}],"container-title":"Food and Humanity","id":"ITEM-3","issue":"December 2022","issued":{"date-parts":[["2023"]]},"page":"289-296","publisher":"Elsevier","title":"Improved functional properties of Dioscorea alata var. Purpurea flour after heat moisture treatment: Thermal, pasting, and granule stability","type":"article-journal","volume":"1"},"uris":["http://www.mendeley.com/documents/?uuid=0e04cd1c-1d12-4a80-b864-f7eed4e18185"]},{"id":"ITEM-4","itemData":{"DOI":"10.47191/ijcsrr/V7-i6-102","ISSN":"2581-8341","abstract":"The dragon fruit peels (Hylocereus undatus) are typically thrown away as agricultural waste. The disposal of bio-wastes, like peels from dragon fruit and microbiological contamination during their mass breakdown, all contribute to environmental degradation. Peel can be used to extract naturally occurring colour for pigments. The objective of this study is to investigate the feasibility of using the peel of Hylocereus undatus as a coating material for wound healing. The extraction method and potential uses of the pigments derived from the peel will be explored. The study aimed to determine the phytochemical components of Hylocereus undatus (peel) extract and the peel can be utilized as a raw material for pigment extraction due to the betalain content. With the use of a magnetic stirrer extraction, the peel of Hylocereus undatus was extracted with aqueous extraction. Thin layer chromatographic techniques are used to identify the pigment components. In the present study, we recorded both UV-VIS and FT-IR profile of peel extract to known the various phytoconstituents and determine the functional group present in Hylocereus undatus (white dragon fruit). The pigment needs to be applied to the wound gauze, and the stain resistance should be evaluated by determining how well the wound gauze can withstand contamination from the outside coating. Furthermore, the pharmaceutical and nutraceutical sectors are interested in Hylocereus undatus peel due to its components, which may have potential health applications such as anti-inflammatory, antioxidant, antibacterial, and anti-cancer characteristics.","author":[{"dropping-particle":"","family":"Initha","given":"C","non-dropping-particle":"","parse-names":false,"suffix":""},{"dropping-particle":"","family":"Ebency","given":"Lebanon","non-dropping-particle":"","parse-names":false,"suffix":""},{"dropping-particle":"","family":"Vanitha","given":"N","non-dropping-particle":"","parse-names":false,"suffix":""},{"dropping-particle":"","family":"Saran","given":"T S","non-dropping-particle":"","parse-names":false,"suffix":""},{"dropping-particle":"","family":"Shobana","given":"Flory","non-dropping-particle":"","parse-names":false,"suffix":""}],"container-title":"International Journal of Current Science Research and Review","id":"ITEM-4","issue":"6","issued":{"date-parts":[["2024"]]},"title":"Development of Wound Gauze from Hylocereus undatus Dragon Fruit (Pigment) Peel Extract","type":"article-journal","volume":"7"},"uris":["http://www.mendeley.com/documents/?uuid=b106b288-5c61-3078-be8b-670400c02b18"]},{"id":"ITEM-5","itemData":{"DOI":"10.1016/j.lwt.2021.111924","ISSN":"00236438","abstract":"This study aimed to characterize and compare pulps of two species of organic dragon fruits, Hylocereus undatus and Hylocereus polyrhizus, grown at the same edaphoclimatic conditions in terms of bioactive compounds and physicochemical aspects. No significant differences were observed between purple and white pulps concerning moisture, ascorbic acid concentration, and DPPH-assay antioxidant activity. Purple pulp demonstrated higher values for pH, Folin-Ciocalteau reducing capacity, and FRAP-assay antioxidant activity, lower acidity, and expressive total betalain content, suggesting higher bioactive potential. The main phenolic compounds identified in purple pulp were rutin, hesperidin, ferulic, and sinapic acids, while the white one was rich in chlorogenic acid. The major organic acids identified in both pulps were malic, citric, formic, pipecolic, and ascorbic. Pipecolic acid was detected in both, although more predominant in purple pulp, in remarkable concentrations, being the first report of it in the Cactaceae family. The found results indicate potential bioactivity, contributing to confirm the status of superfruit of these exotic fruits.","author":[{"dropping-particle":"","family":"Angonese","given":"Mariana","non-dropping-particle":"","parse-names":false,"suffix":""},{"dropping-particle":"","family":"Motta","given":"Gabriel Emiliano","non-dropping-particle":"","parse-names":false,"suffix":""},{"dropping-particle":"","family":"Silva de Farias","given":"Natália","non-dropping-particle":"","parse-names":false,"suffix":""},{"dropping-particle":"","family":"Molognoni","given":"Luciano","non-dropping-particle":"","parse-names":false,"suffix":""},{"dropping-particle":"","family":"Daguer","given":"Heitor","non-dropping-particle":"","parse-names":false,"suffix":""},{"dropping-particle":"","family":"Brugnerotto","given":"Patrícia","non-dropping-particle":"","parse-names":false,"suffix":""},{"dropping-particle":"","family":"Oliveira Costa","given":"Ana Carolina","non-dropping-particle":"de","parse-names":false,"suffix":""},{"dropping-particle":"","family":"Olivera Müller","given":"Carmen Maria","non-dropping-particle":"","parse-names":false,"suffix":""}],"container-title":"LWT","id":"ITEM-5","issued":{"date-parts":[["2021","9","1"]]},"publisher":"Academic Press","title":"Organic dragon fruits (Hylocereus undatus and Hylocereus polyrhizus) grown at the same edaphoclimatic conditions: Comparison of phenolic and organic acids profiles and antioxidant activities","type":"article-journal","volume":"149"},"uris":["http://www.mendeley.com/documents/?uuid=c4defaa7-e6f4-34fc-83c4-9bf2e16e5b4e"]},{"id":"ITEM-6","itemData":{"DOI":"10.1016/j.susmat.2024.e01086","ISSN":"22149937","abstract":"Red dragon fruit (RDF, Hylocereus polyrhizus) is high in betacyanins content but is understudied for its antioxidant mechanisms in liver cells. The present study aimed to investigate the antioxidant mechanisms of the stabilised betacyanins in a novel RDF functional drink, Improved-FRDFD-dH2O (produced from mild, sustainable approaches) using HepG2 cell line. Results revealed the betacyanins of Improved-FRDFD-dH2O (12.5% and 25%, v/v) showed the highest direct scavenging effect on intracellular ROS from 75.39% to &lt;31%. The antioxidant enzymes (SOD, CAT and GPx) activities in HepG2 cells were remarkably increased, with 12.5% and 25% Improved-FRDFD-dH2O demonstrating the greatest enhancing effects. RT-qPCR proved the betacyanins of Improved-FRDFD-dH2O possessed indirect antioxidant mechanisms, where the gene expressions associated with Nrf2-ARE pathway were upregulated by all the tested sample concentrations (highest fold: 6.82). Overall, the present findings highlighted the RDF's potential in functional product development with betacyanins as the prominent bioactive compound to provide direct and indirect antioxidative and hepatoprotective activities.","author":[{"dropping-particle":"","family":"Lim","given":"Teck Wei","non-dropping-particle":"","parse-names":false,"suffix":""},{"dropping-particle":"","family":"Lim","given":"Renee Lay Hong","non-dropping-particle":"","parse-names":false,"suffix":""},{"dropping-particle":"","family":"Pui","given":"Liew Phing","non-dropping-particle":"","parse-names":false,"suffix":""},{"dropping-particle":"","family":"Tan","given":"Chin Ping","non-dropping-particle":"","parse-names":false,"suffix":""},{"dropping-particle":"","family":"Ho","given":"Chun Wai","non-dropping-particle":"","parse-names":false,"suffix":""}],"container-title":"Sustainable Materials and Technologies","id":"ITEM-6","issued":{"date-parts":[["2024","9","1"]]},"publisher":"Elsevier B.V.","title":"Studies on the antioxidant mechanisms of betacyanins from improved fermented red dragon fruit (Hylocereus polyrhizus) drink in HepG2 cells","type":"article-journal","volume":"41"},"uris":["http://www.mendeley.com/documents/?uuid=ae3bcdb1-8321-3579-98c7-0fe32851427c"]}],"mendeley":{"formattedCitation":"(Angonese et al., 2021; Asranudin et al., 2023, 2020; Initha et al., 2024; Lim et al., 2024a; Sadimantara et al., 2018)","plainTextFormattedCitation":"(Angonese et al., 2021; Asranudin et al., 2023, 2020; Initha et al., 2024; Lim et al., 2024a; Sadimantara et al., 2018)","previouslyFormattedCitation":"(Angonese et al., 2021; Asranudin et al., 2023, 2020; Initha et al., 2024; Lim et al., 2024a; Sadimantara et al., 2018)"},"properties":{"noteIndex":0},"schema":"https://github.com/citation-style-language/schema/raw/master/csl-citation.json"}</w:instrText>
      </w:r>
      <w:r w:rsidRPr="00B54EE7">
        <w:rPr>
          <w:rFonts w:ascii="Arial" w:hAnsi="Arial" w:cs="Arial"/>
          <w:color w:val="000000"/>
          <w:sz w:val="20"/>
          <w:szCs w:val="20"/>
        </w:rPr>
        <w:fldChar w:fldCharType="separate"/>
      </w:r>
      <w:r w:rsidRPr="00B54EE7">
        <w:rPr>
          <w:rFonts w:ascii="Arial" w:hAnsi="Arial" w:cs="Arial"/>
          <w:noProof/>
          <w:color w:val="000000"/>
          <w:sz w:val="20"/>
          <w:szCs w:val="20"/>
        </w:rPr>
        <w:t>(Angonese et al., 2021; Asranudin et al., 2023, 2020; Initha et al., 2024; Lim et al., 2024a; Sadimantara et al., 2018)</w:t>
      </w:r>
      <w:r w:rsidRPr="00B54EE7">
        <w:rPr>
          <w:rFonts w:ascii="Arial" w:hAnsi="Arial" w:cs="Arial"/>
          <w:color w:val="000000"/>
          <w:sz w:val="20"/>
          <w:szCs w:val="20"/>
        </w:rPr>
        <w:fldChar w:fldCharType="end"/>
      </w:r>
      <w:r w:rsidRPr="00B54EE7">
        <w:rPr>
          <w:rFonts w:ascii="Arial" w:hAnsi="Arial" w:cs="Arial"/>
          <w:sz w:val="20"/>
          <w:szCs w:val="20"/>
        </w:rPr>
        <w:t>. Its unique bioactive signature containing quercetin, catechin, and apigenin further enhances its therapeutic potential. These secondary metabolites, including vitamin C and flavonoids, work synergistically to shield reproductive cells from oxidative stress</w:t>
      </w:r>
      <w:r w:rsidRPr="00B54EE7">
        <w:rPr>
          <w:rFonts w:ascii="Arial" w:hAnsi="Arial" w:cs="Arial"/>
          <w:color w:val="000000"/>
          <w:sz w:val="20"/>
          <w:szCs w:val="20"/>
        </w:rPr>
        <w:t xml:space="preserve"> </w:t>
      </w:r>
      <w:r w:rsidRPr="00B54EE7">
        <w:rPr>
          <w:rFonts w:ascii="Arial" w:hAnsi="Arial" w:cs="Arial"/>
          <w:color w:val="000000"/>
          <w:sz w:val="20"/>
          <w:szCs w:val="20"/>
        </w:rPr>
        <w:fldChar w:fldCharType="begin" w:fldLock="1"/>
      </w:r>
      <w:r w:rsidRPr="00B54EE7">
        <w:rPr>
          <w:rFonts w:ascii="Arial" w:hAnsi="Arial" w:cs="Arial"/>
          <w:color w:val="000000"/>
          <w:sz w:val="20"/>
          <w:szCs w:val="20"/>
        </w:rPr>
        <w:instrText>ADDIN CSL_CITATION {"citationItems":[{"id":"ITEM-1","itemData":{"DOI":"10.1016/j.fochx.2025.102957","ISSN":"25901575","abstract":"This study investigates the effects of Neoscytalidium dimidiatum (N. dimidiatum) infection on the postharvest quality of dragon fruit. Infection accelerated fruit softening, decay, and weight loss, while increasing the respiration rate and total acid (TA) content, and decreasing soluble solids (TSS) content. Pathogen infection triggered a rapid reactive oxygen species (ROS) burst, leading to oxidative stress, with O2− and malondialdehyde (MDA) levels 2.11 and 1.58 fold higher than those of the controls, respectively. Antioxidant enzymes (SOD, CAT, POD, APX) were initially activated (0–2 days) but declined sharply later (6–10 days), resulting in increased ROS accumulation and decreased disease resistance. GC–MS analysis identified 87 metabolites (55 primary metabolites and 32 VOCs), revealing an increase in carbohydrates (glycerol, sorbitol) and a decrease in amino acids, organic acids, and heterocyclic compounds. These findings highlight a ROS-antioxidant-metabolite network underlying disease resistance, providing valuable insights for sustainable postharvest management.","author":[{"dropping-particle":"","family":"Xie","given":"Lili","non-dropping-particle":"","parse-names":false,"suffix":""},{"dropping-particle":"","family":"Wang","given":"Xueli","non-dropping-particle":"","parse-names":false,"suffix":""},{"dropping-particle":"","family":"Ma","given":"Xiao","non-dropping-particle":"","parse-names":false,"suffix":""},{"dropping-particle":"","family":"Shen","given":"Kaiwei","non-dropping-particle":"","parse-names":false,"suffix":""},{"dropping-particle":"","family":"Zhang","given":"Xuyi","non-dropping-particle":"","parse-names":false,"suffix":""},{"dropping-particle":"","family":"Wang","given":"Xiujun","non-dropping-particle":"","parse-names":false,"suffix":""}],"container-title":"Food Chemistry: X","id":"ITEM-1","issued":{"date-parts":[["2025","8","1"]]},"publisher":"Elsevier Ltd","title":"Dynamic changes in ROS-antioxidant-metabolite network in dragon fruit infected with Neoscytalidium dimidiatum","type":"article-journal","volume":"30"},"uris":["http://www.mendeley.com/documents/?uuid=47c71503-b89f-3925-b199-eefba049a83c"]},{"id":"ITEM-2","itemData":{"DOI":"10.3389/fnut.2025.1659572","ISSN":"2296861X","abstract":"Introduction: Consuming foods rich in bioactive compounds can delay chronic non-communicable diseases. Dragon fruit, known for its bioactive compounds with typically low bioavailability—attributed to high polarity, poor permeability, and rapid firstpass metabolism—benefits from strategies like encapsulation to enhance efficacy. Methods: This study developed and assessed phytosomes loaded with dragon fruit extract (Hylocereus costaricensis) and compared their biological activity in vitro and in vivo against the raw extract. Spectrophotometric analysis of the extract revealed 410.4 mg GAE/L of total phenolic compounds and 139.3 mg CE/L of flavonoids. HPLC-DAD-MS/MS identified key components such as citric acid, succinic acid, cyanidin-3-O-rutinoside, ferulic acid, betanin, and rutin. Phytosomes encapsulated 46 ± 2% of phenolics, with a mean diameter of 1,329 ± 121.0 nm, PDI 0.633 ± 0.039, and ζ-potential −16 ± 1 mV. Results: Antioxidant capacities, assessed by the DPPH method, showed that the phytosomal formulation with 46% phenolic content was as effective as the raw extract. In vivo antihyperglycemic studies showed no significant effect from the raw extract (5 mg GAE/kg), but phytosomes (2.3 mg GAE/kg) matched the efficacy of metformin (300 mg/kg). An acute inflammation model using carrageenan-induced paw edema indicated that phytosomes (2.3 mg GAE/kg) had superior anti-inflammatory effects compared to the raw extract (5 mg GAE/kg). Discussion: In summary, dragon fruit extract has antioxidant, antihyperglycemic, and anti-inflammatory properties. These findings support that phytosomal encapsulation significantly improves the bioavailability and efficacy of phenolic-rich crude extract, highlighting their potential in functional food development, nutraceutical applications, and as helpers to conventional therapeutic strategies.","author":[{"dropping-particle":"","family":"Direito","given":"Rosa","non-dropping-particle":"","parse-names":false,"suffix":""},{"dropping-particle":"","family":"Sousa","given":"Inês","non-dropping-particle":"","parse-names":false,"suffix":""},{"dropping-particle":"","family":"Antunes","given":"Filipa","non-dropping-particle":"","parse-names":false,"suffix":""},{"dropping-particle":"","family":"Barbalho","given":"Sandra Maria","non-dropping-particle":"","parse-names":false,"suffix":""},{"dropping-particle":"","family":"Simões","given":"Sandra","non-dropping-particle":"","parse-names":false,"suffix":""},{"dropping-particle":"","family":"Bronze","given":"Maria Rosário","non-dropping-particle":"","parse-names":false,"suffix":""},{"dropping-particle":"","family":"Reis","given":"Catarina","non-dropping-particle":"","parse-names":false,"suffix":""},{"dropping-particle":"","family":"Gaspar","given":"Maria Manuela","non-dropping-particle":"","parse-names":false,"suffix":""},{"dropping-particle":"","family":"Figueira","given":"Maria Eduardo","non-dropping-particle":"","parse-names":false,"suffix":""}],"container-title":"Frontiers in Nutrition","id":"ITEM-2","issued":{"date-parts":[["2025"]]},"publisher":"Frontiers Media SA","title":"Phytosomal delivery enhances bioactivity of Hylocereus costaricensis phenolic extract","type":"article-journal","volume":"12"},"uris":["http://www.mendeley.com/documents/?uuid=1b93b850-91d0-32c8-8de0-7dba697820fc"]}],"mendeley":{"formattedCitation":"(Direito et al., 2025; Xie et al., 2025)","plainTextFormattedCitation":"(Direito et al., 2025; Xie et al., 2025)","previouslyFormattedCitation":"(Direito et al., 2025; Xie et al., 2025)"},"properties":{"noteIndex":0},"schema":"https://github.com/citation-style-language/schema/raw/master/csl-citation.json"}</w:instrText>
      </w:r>
      <w:r w:rsidRPr="00B54EE7">
        <w:rPr>
          <w:rFonts w:ascii="Arial" w:hAnsi="Arial" w:cs="Arial"/>
          <w:color w:val="000000"/>
          <w:sz w:val="20"/>
          <w:szCs w:val="20"/>
        </w:rPr>
        <w:fldChar w:fldCharType="separate"/>
      </w:r>
      <w:r w:rsidRPr="00B54EE7">
        <w:rPr>
          <w:rFonts w:ascii="Arial" w:hAnsi="Arial" w:cs="Arial"/>
          <w:noProof/>
          <w:color w:val="000000"/>
          <w:sz w:val="20"/>
          <w:szCs w:val="20"/>
        </w:rPr>
        <w:t>(Direito et al., 2025; Xie et al., 2025)</w:t>
      </w:r>
      <w:r w:rsidRPr="00B54EE7">
        <w:rPr>
          <w:rFonts w:ascii="Arial" w:hAnsi="Arial" w:cs="Arial"/>
          <w:color w:val="000000"/>
          <w:sz w:val="20"/>
          <w:szCs w:val="20"/>
        </w:rPr>
        <w:fldChar w:fldCharType="end"/>
      </w:r>
      <w:r w:rsidRPr="00B54EE7">
        <w:rPr>
          <w:rFonts w:ascii="Arial" w:hAnsi="Arial" w:cs="Arial"/>
          <w:sz w:val="20"/>
          <w:szCs w:val="20"/>
        </w:rPr>
        <w:t xml:space="preserve">. Given its superior physical characteristics and potent biological activity, this extract is highly suitable as an oral treatment to promote the development of Graafian follicle diameter in </w:t>
      </w:r>
      <w:r w:rsidR="00F95030">
        <w:rPr>
          <w:rFonts w:ascii="Arial" w:hAnsi="Arial" w:cs="Arial"/>
          <w:sz w:val="20"/>
          <w:szCs w:val="20"/>
        </w:rPr>
        <w:t>F</w:t>
      </w:r>
      <w:r w:rsidRPr="00B54EE7">
        <w:rPr>
          <w:rFonts w:ascii="Arial" w:hAnsi="Arial" w:cs="Arial"/>
          <w:sz w:val="20"/>
          <w:szCs w:val="20"/>
        </w:rPr>
        <w:t xml:space="preserve">emale </w:t>
      </w:r>
      <w:r w:rsidR="00F95030">
        <w:rPr>
          <w:rFonts w:ascii="Arial" w:hAnsi="Arial" w:cs="Arial"/>
          <w:sz w:val="20"/>
          <w:szCs w:val="20"/>
        </w:rPr>
        <w:t xml:space="preserve">Wistar </w:t>
      </w:r>
      <w:r w:rsidRPr="00B54EE7">
        <w:rPr>
          <w:rFonts w:ascii="Arial" w:hAnsi="Arial" w:cs="Arial"/>
          <w:sz w:val="20"/>
          <w:szCs w:val="20"/>
        </w:rPr>
        <w:t>rats throughout the study period.</w:t>
      </w:r>
    </w:p>
    <w:p w14:paraId="714D0B36" w14:textId="268318C6" w:rsidR="00B54EE7" w:rsidRPr="00471FD1" w:rsidRDefault="00662A23" w:rsidP="0074373E">
      <w:pPr>
        <w:pStyle w:val="ListParagraph"/>
        <w:numPr>
          <w:ilvl w:val="1"/>
          <w:numId w:val="31"/>
        </w:numPr>
        <w:spacing w:line="276" w:lineRule="auto"/>
        <w:ind w:left="450" w:hanging="450"/>
        <w:jc w:val="both"/>
        <w:rPr>
          <w:rFonts w:ascii="Arial" w:hAnsi="Arial" w:cs="Arial"/>
          <w:b/>
          <w:bCs/>
          <w:sz w:val="22"/>
          <w:szCs w:val="22"/>
        </w:rPr>
      </w:pPr>
      <w:r w:rsidRPr="00471FD1">
        <w:rPr>
          <w:rFonts w:ascii="Arial" w:hAnsi="Arial" w:cs="Arial"/>
          <w:b/>
          <w:bCs/>
          <w:sz w:val="22"/>
          <w:szCs w:val="22"/>
        </w:rPr>
        <w:t xml:space="preserve">The Effect of Dragon Fruit Extract </w:t>
      </w:r>
      <w:r>
        <w:rPr>
          <w:rFonts w:ascii="Arial" w:hAnsi="Arial" w:cs="Arial"/>
          <w:b/>
          <w:bCs/>
          <w:sz w:val="22"/>
          <w:szCs w:val="22"/>
        </w:rPr>
        <w:t>o</w:t>
      </w:r>
      <w:r w:rsidRPr="00471FD1">
        <w:rPr>
          <w:rFonts w:ascii="Arial" w:hAnsi="Arial" w:cs="Arial"/>
          <w:b/>
          <w:bCs/>
          <w:sz w:val="22"/>
          <w:szCs w:val="22"/>
        </w:rPr>
        <w:t xml:space="preserve">n </w:t>
      </w:r>
      <w:r w:rsidR="006C0214" w:rsidRPr="006C0214">
        <w:rPr>
          <w:rFonts w:ascii="Arial" w:hAnsi="Arial" w:cs="Arial"/>
          <w:b/>
          <w:bCs/>
          <w:color w:val="EE0000"/>
          <w:sz w:val="22"/>
          <w:szCs w:val="22"/>
        </w:rPr>
        <w:t>Graafian follicle</w:t>
      </w:r>
      <w:r w:rsidRPr="006C0214">
        <w:rPr>
          <w:rFonts w:ascii="Arial" w:hAnsi="Arial" w:cs="Arial"/>
          <w:b/>
          <w:bCs/>
          <w:color w:val="EE0000"/>
          <w:sz w:val="22"/>
          <w:szCs w:val="22"/>
        </w:rPr>
        <w:t xml:space="preserve"> </w:t>
      </w:r>
      <w:r w:rsidRPr="00471FD1">
        <w:rPr>
          <w:rFonts w:ascii="Arial" w:hAnsi="Arial" w:cs="Arial"/>
          <w:b/>
          <w:bCs/>
          <w:sz w:val="22"/>
          <w:szCs w:val="22"/>
        </w:rPr>
        <w:t>Diameter</w:t>
      </w:r>
    </w:p>
    <w:p w14:paraId="33B400DE" w14:textId="0E768E13" w:rsidR="00B54EE7" w:rsidRDefault="00B54EE7" w:rsidP="0074373E">
      <w:pPr>
        <w:pStyle w:val="ListParagraph"/>
        <w:spacing w:line="276" w:lineRule="auto"/>
        <w:ind w:left="90"/>
        <w:jc w:val="both"/>
        <w:rPr>
          <w:rFonts w:ascii="Arial" w:hAnsi="Arial" w:cs="Arial"/>
          <w:b/>
          <w:bCs/>
          <w:sz w:val="20"/>
          <w:szCs w:val="20"/>
        </w:rPr>
      </w:pPr>
      <w:r w:rsidRPr="00B54EE7">
        <w:rPr>
          <w:rFonts w:ascii="Arial" w:hAnsi="Arial" w:cs="Arial"/>
          <w:sz w:val="20"/>
          <w:szCs w:val="20"/>
        </w:rPr>
        <w:t xml:space="preserve">Quantitative analysis of </w:t>
      </w:r>
      <w:r w:rsidR="006C0214" w:rsidRPr="006C0214">
        <w:rPr>
          <w:rFonts w:ascii="Arial" w:hAnsi="Arial" w:cs="Arial"/>
          <w:color w:val="EE0000"/>
          <w:sz w:val="20"/>
          <w:szCs w:val="20"/>
        </w:rPr>
        <w:t xml:space="preserve">Graafian follicle </w:t>
      </w:r>
      <w:r w:rsidRPr="00B54EE7">
        <w:rPr>
          <w:rFonts w:ascii="Arial" w:hAnsi="Arial" w:cs="Arial"/>
          <w:sz w:val="20"/>
          <w:szCs w:val="20"/>
        </w:rPr>
        <w:t>diameter showed a clear dose-dependent relationship after administration of red dragon fruit extract (</w:t>
      </w:r>
      <w:r w:rsidRPr="00B54EE7">
        <w:rPr>
          <w:rFonts w:ascii="Arial" w:hAnsi="Arial" w:cs="Arial"/>
          <w:i/>
          <w:iCs/>
          <w:sz w:val="20"/>
          <w:szCs w:val="20"/>
        </w:rPr>
        <w:t xml:space="preserve">Hylocereus </w:t>
      </w:r>
      <w:proofErr w:type="spellStart"/>
      <w:r w:rsidRPr="00B54EE7">
        <w:rPr>
          <w:rFonts w:ascii="Arial" w:hAnsi="Arial" w:cs="Arial"/>
          <w:i/>
          <w:iCs/>
          <w:sz w:val="20"/>
          <w:szCs w:val="20"/>
        </w:rPr>
        <w:t>polyrhizus</w:t>
      </w:r>
      <w:proofErr w:type="spellEnd"/>
      <w:r w:rsidRPr="00B54EE7">
        <w:rPr>
          <w:rFonts w:ascii="Arial" w:hAnsi="Arial" w:cs="Arial"/>
          <w:sz w:val="20"/>
          <w:szCs w:val="20"/>
        </w:rPr>
        <w:t xml:space="preserve">), which is shown in </w:t>
      </w:r>
      <w:r w:rsidRPr="00B54EE7">
        <w:rPr>
          <w:rFonts w:ascii="Arial" w:hAnsi="Arial" w:cs="Arial"/>
          <w:b/>
          <w:bCs/>
          <w:sz w:val="20"/>
          <w:szCs w:val="20"/>
        </w:rPr>
        <w:t>Table 2.</w:t>
      </w:r>
    </w:p>
    <w:p w14:paraId="64981D63" w14:textId="77777777" w:rsidR="00883A32" w:rsidRDefault="00883A32" w:rsidP="0074373E">
      <w:pPr>
        <w:pStyle w:val="ListParagraph"/>
        <w:spacing w:line="276" w:lineRule="auto"/>
        <w:ind w:left="90"/>
        <w:jc w:val="both"/>
        <w:rPr>
          <w:rFonts w:ascii="Arial" w:hAnsi="Arial" w:cs="Arial"/>
          <w:b/>
          <w:bCs/>
          <w:sz w:val="20"/>
          <w:szCs w:val="20"/>
        </w:rPr>
      </w:pPr>
    </w:p>
    <w:p w14:paraId="4E51A757" w14:textId="77777777" w:rsidR="00883A32" w:rsidRDefault="00883A32" w:rsidP="0074373E">
      <w:pPr>
        <w:pStyle w:val="ListParagraph"/>
        <w:spacing w:line="276" w:lineRule="auto"/>
        <w:ind w:left="90"/>
        <w:jc w:val="both"/>
        <w:rPr>
          <w:rFonts w:ascii="Arial" w:hAnsi="Arial" w:cs="Arial"/>
          <w:b/>
          <w:bCs/>
          <w:sz w:val="20"/>
          <w:szCs w:val="20"/>
        </w:rPr>
      </w:pPr>
    </w:p>
    <w:p w14:paraId="2A901DBC" w14:textId="77777777" w:rsidR="00883A32" w:rsidRDefault="00883A32" w:rsidP="0074373E">
      <w:pPr>
        <w:pStyle w:val="ListParagraph"/>
        <w:spacing w:line="276" w:lineRule="auto"/>
        <w:ind w:left="90"/>
        <w:jc w:val="both"/>
        <w:rPr>
          <w:rFonts w:ascii="Arial" w:hAnsi="Arial" w:cs="Arial"/>
          <w:b/>
          <w:bCs/>
          <w:sz w:val="20"/>
          <w:szCs w:val="20"/>
        </w:rPr>
      </w:pPr>
    </w:p>
    <w:p w14:paraId="00B282D1" w14:textId="77777777" w:rsidR="00883A32" w:rsidRPr="00B54EE7" w:rsidRDefault="00883A32" w:rsidP="0074373E">
      <w:pPr>
        <w:pStyle w:val="ListParagraph"/>
        <w:spacing w:line="276" w:lineRule="auto"/>
        <w:ind w:left="90"/>
        <w:jc w:val="both"/>
        <w:rPr>
          <w:rFonts w:ascii="Arial" w:hAnsi="Arial" w:cs="Arial"/>
          <w:b/>
          <w:bCs/>
          <w:sz w:val="20"/>
          <w:szCs w:val="20"/>
        </w:rPr>
      </w:pPr>
    </w:p>
    <w:p w14:paraId="1B920E01" w14:textId="5BC820A8" w:rsidR="00B54EE7" w:rsidRPr="00A24827" w:rsidRDefault="00B54EE7" w:rsidP="0074373E">
      <w:pPr>
        <w:pStyle w:val="ListParagraph"/>
        <w:spacing w:line="276" w:lineRule="auto"/>
        <w:ind w:left="90" w:firstLine="360"/>
        <w:jc w:val="center"/>
        <w:rPr>
          <w:rFonts w:ascii="Arial" w:hAnsi="Arial" w:cs="Arial"/>
          <w:b/>
          <w:bCs/>
          <w:sz w:val="20"/>
          <w:szCs w:val="20"/>
        </w:rPr>
      </w:pPr>
      <w:r w:rsidRPr="00A24827">
        <w:rPr>
          <w:rFonts w:ascii="Arial" w:hAnsi="Arial" w:cs="Arial"/>
          <w:b/>
          <w:bCs/>
          <w:sz w:val="20"/>
          <w:szCs w:val="20"/>
        </w:rPr>
        <w:lastRenderedPageBreak/>
        <w:t xml:space="preserve">Table 2. Mean Diameter of </w:t>
      </w:r>
      <w:r w:rsidR="006C0214" w:rsidRPr="006C0214">
        <w:rPr>
          <w:rFonts w:ascii="Arial" w:hAnsi="Arial" w:cs="Arial"/>
          <w:b/>
          <w:bCs/>
          <w:color w:val="EE0000"/>
          <w:sz w:val="20"/>
          <w:szCs w:val="20"/>
        </w:rPr>
        <w:t xml:space="preserve">Graafian follicle </w:t>
      </w:r>
      <w:r w:rsidRPr="00A24827">
        <w:rPr>
          <w:rFonts w:ascii="Arial" w:hAnsi="Arial" w:cs="Arial"/>
          <w:b/>
          <w:bCs/>
          <w:sz w:val="20"/>
          <w:szCs w:val="20"/>
        </w:rPr>
        <w:t>across experimental groups</w:t>
      </w:r>
    </w:p>
    <w:tbl>
      <w:tblPr>
        <w:tblW w:w="0" w:type="auto"/>
        <w:jc w:val="center"/>
        <w:tblLayout w:type="fixed"/>
        <w:tblCellMar>
          <w:left w:w="0" w:type="dxa"/>
          <w:right w:w="0" w:type="dxa"/>
        </w:tblCellMar>
        <w:tblLook w:val="01E0" w:firstRow="1" w:lastRow="1" w:firstColumn="1" w:lastColumn="1" w:noHBand="0" w:noVBand="0"/>
      </w:tblPr>
      <w:tblGrid>
        <w:gridCol w:w="1479"/>
        <w:gridCol w:w="954"/>
        <w:gridCol w:w="819"/>
        <w:gridCol w:w="818"/>
        <w:gridCol w:w="819"/>
        <w:gridCol w:w="821"/>
        <w:gridCol w:w="810"/>
        <w:gridCol w:w="1761"/>
      </w:tblGrid>
      <w:tr w:rsidR="00B54EE7" w:rsidRPr="00B54EE7" w14:paraId="42F97079" w14:textId="77777777" w:rsidTr="00FB3AFE">
        <w:trPr>
          <w:trHeight w:val="439"/>
          <w:jc w:val="center"/>
        </w:trPr>
        <w:tc>
          <w:tcPr>
            <w:tcW w:w="1479" w:type="dxa"/>
            <w:tcBorders>
              <w:top w:val="single" w:sz="4" w:space="0" w:color="000000"/>
              <w:bottom w:val="single" w:sz="4" w:space="0" w:color="auto"/>
            </w:tcBorders>
          </w:tcPr>
          <w:p w14:paraId="4D300F89" w14:textId="77777777" w:rsidR="00B54EE7" w:rsidRPr="00B54EE7" w:rsidRDefault="00B54EE7" w:rsidP="0074373E">
            <w:pPr>
              <w:pStyle w:val="TableParagraph"/>
              <w:spacing w:before="223" w:line="276" w:lineRule="auto"/>
              <w:ind w:left="151" w:right="8"/>
              <w:rPr>
                <w:rFonts w:ascii="Arial" w:hAnsi="Arial" w:cs="Arial"/>
                <w:sz w:val="20"/>
                <w:szCs w:val="20"/>
              </w:rPr>
            </w:pPr>
            <w:r w:rsidRPr="00B54EE7">
              <w:rPr>
                <w:rFonts w:ascii="Arial" w:hAnsi="Arial" w:cs="Arial"/>
                <w:spacing w:val="-2"/>
                <w:sz w:val="20"/>
                <w:szCs w:val="20"/>
              </w:rPr>
              <w:t>Treatment</w:t>
            </w:r>
          </w:p>
        </w:tc>
        <w:tc>
          <w:tcPr>
            <w:tcW w:w="954" w:type="dxa"/>
            <w:tcBorders>
              <w:top w:val="single" w:sz="4" w:space="0" w:color="000000"/>
              <w:bottom w:val="single" w:sz="4" w:space="0" w:color="auto"/>
            </w:tcBorders>
          </w:tcPr>
          <w:p w14:paraId="47D0C613" w14:textId="77777777" w:rsidR="00B54EE7" w:rsidRPr="00B54EE7" w:rsidRDefault="00B54EE7" w:rsidP="0074373E">
            <w:pPr>
              <w:pStyle w:val="TableParagraph"/>
              <w:spacing w:line="276" w:lineRule="auto"/>
              <w:jc w:val="left"/>
              <w:rPr>
                <w:rFonts w:ascii="Arial" w:hAnsi="Arial" w:cs="Arial"/>
                <w:sz w:val="20"/>
                <w:szCs w:val="20"/>
              </w:rPr>
            </w:pPr>
          </w:p>
        </w:tc>
        <w:tc>
          <w:tcPr>
            <w:tcW w:w="3277" w:type="dxa"/>
            <w:gridSpan w:val="4"/>
            <w:tcBorders>
              <w:top w:val="single" w:sz="4" w:space="0" w:color="000000"/>
              <w:bottom w:val="single" w:sz="4" w:space="0" w:color="auto"/>
            </w:tcBorders>
            <w:vAlign w:val="center"/>
          </w:tcPr>
          <w:p w14:paraId="2F4B8F6F" w14:textId="77777777" w:rsidR="00B54EE7" w:rsidRPr="00B54EE7" w:rsidRDefault="00B54EE7" w:rsidP="0074373E">
            <w:pPr>
              <w:pStyle w:val="TableParagraph"/>
              <w:spacing w:before="22" w:line="276" w:lineRule="auto"/>
              <w:ind w:left="579"/>
              <w:rPr>
                <w:rFonts w:ascii="Arial" w:hAnsi="Arial" w:cs="Arial"/>
                <w:sz w:val="20"/>
                <w:szCs w:val="20"/>
              </w:rPr>
            </w:pPr>
            <w:r w:rsidRPr="00B54EE7">
              <w:rPr>
                <w:rFonts w:ascii="Arial" w:hAnsi="Arial" w:cs="Arial"/>
                <w:spacing w:val="-9"/>
                <w:sz w:val="20"/>
                <w:szCs w:val="20"/>
              </w:rPr>
              <w:t xml:space="preserve">Replicate measurements </w:t>
            </w:r>
            <w:r w:rsidRPr="00B54EE7">
              <w:rPr>
                <w:rFonts w:ascii="Arial" w:hAnsi="Arial" w:cs="Arial"/>
                <w:spacing w:val="-4"/>
                <w:sz w:val="20"/>
                <w:szCs w:val="20"/>
              </w:rPr>
              <w:t>(µm)</w:t>
            </w:r>
          </w:p>
        </w:tc>
        <w:tc>
          <w:tcPr>
            <w:tcW w:w="810" w:type="dxa"/>
            <w:tcBorders>
              <w:top w:val="single" w:sz="4" w:space="0" w:color="000000"/>
              <w:bottom w:val="single" w:sz="4" w:space="0" w:color="auto"/>
            </w:tcBorders>
            <w:vAlign w:val="center"/>
          </w:tcPr>
          <w:p w14:paraId="00CA6893" w14:textId="77777777" w:rsidR="00B54EE7" w:rsidRPr="00B54EE7" w:rsidRDefault="00B54EE7" w:rsidP="0074373E">
            <w:pPr>
              <w:pStyle w:val="TableParagraph"/>
              <w:spacing w:line="276" w:lineRule="auto"/>
              <w:rPr>
                <w:rFonts w:ascii="Arial" w:hAnsi="Arial" w:cs="Arial"/>
                <w:sz w:val="20"/>
                <w:szCs w:val="20"/>
              </w:rPr>
            </w:pPr>
          </w:p>
        </w:tc>
        <w:tc>
          <w:tcPr>
            <w:tcW w:w="1761" w:type="dxa"/>
            <w:tcBorders>
              <w:top w:val="single" w:sz="4" w:space="0" w:color="000000"/>
              <w:bottom w:val="single" w:sz="4" w:space="0" w:color="auto"/>
            </w:tcBorders>
          </w:tcPr>
          <w:p w14:paraId="701A7B4F" w14:textId="77777777" w:rsidR="00B54EE7" w:rsidRPr="00B54EE7" w:rsidRDefault="00B54EE7" w:rsidP="0074373E">
            <w:pPr>
              <w:pStyle w:val="TableParagraph"/>
              <w:spacing w:before="223" w:line="276" w:lineRule="auto"/>
              <w:ind w:left="30" w:right="1"/>
              <w:rPr>
                <w:rFonts w:ascii="Arial" w:hAnsi="Arial" w:cs="Arial"/>
                <w:sz w:val="20"/>
                <w:szCs w:val="20"/>
              </w:rPr>
            </w:pPr>
            <w:r w:rsidRPr="00B54EE7">
              <w:rPr>
                <w:rFonts w:ascii="Arial" w:hAnsi="Arial" w:cs="Arial"/>
                <w:sz w:val="20"/>
                <w:szCs w:val="20"/>
              </w:rPr>
              <w:t>Mean ±</w:t>
            </w:r>
            <w:r w:rsidRPr="00B54EE7">
              <w:rPr>
                <w:rFonts w:ascii="Arial" w:hAnsi="Arial" w:cs="Arial"/>
                <w:spacing w:val="-2"/>
                <w:sz w:val="20"/>
                <w:szCs w:val="20"/>
              </w:rPr>
              <w:t xml:space="preserve"> </w:t>
            </w:r>
            <w:r w:rsidRPr="00B54EE7">
              <w:rPr>
                <w:rFonts w:ascii="Arial" w:hAnsi="Arial" w:cs="Arial"/>
                <w:spacing w:val="-5"/>
                <w:sz w:val="20"/>
                <w:szCs w:val="20"/>
              </w:rPr>
              <w:t>SD</w:t>
            </w:r>
          </w:p>
        </w:tc>
      </w:tr>
      <w:tr w:rsidR="00B54EE7" w:rsidRPr="00B54EE7" w14:paraId="4D7FF159" w14:textId="77777777" w:rsidTr="00FB3AFE">
        <w:trPr>
          <w:trHeight w:val="292"/>
          <w:jc w:val="center"/>
        </w:trPr>
        <w:tc>
          <w:tcPr>
            <w:tcW w:w="1479" w:type="dxa"/>
            <w:tcBorders>
              <w:top w:val="single" w:sz="4" w:space="0" w:color="auto"/>
            </w:tcBorders>
          </w:tcPr>
          <w:p w14:paraId="765CB130" w14:textId="77777777" w:rsidR="00B54EE7" w:rsidRPr="00B54EE7" w:rsidRDefault="00B54EE7" w:rsidP="0074373E">
            <w:pPr>
              <w:pStyle w:val="TableParagraph"/>
              <w:spacing w:line="276" w:lineRule="auto"/>
              <w:jc w:val="left"/>
              <w:rPr>
                <w:rFonts w:ascii="Arial" w:hAnsi="Arial" w:cs="Arial"/>
                <w:sz w:val="20"/>
                <w:szCs w:val="20"/>
              </w:rPr>
            </w:pPr>
          </w:p>
        </w:tc>
        <w:tc>
          <w:tcPr>
            <w:tcW w:w="954" w:type="dxa"/>
            <w:tcBorders>
              <w:top w:val="single" w:sz="4" w:space="0" w:color="auto"/>
              <w:bottom w:val="single" w:sz="4" w:space="0" w:color="auto"/>
            </w:tcBorders>
          </w:tcPr>
          <w:p w14:paraId="5D067978" w14:textId="77777777" w:rsidR="00B54EE7" w:rsidRPr="00B54EE7" w:rsidRDefault="00B54EE7" w:rsidP="0074373E">
            <w:pPr>
              <w:pStyle w:val="TableParagraph"/>
              <w:spacing w:line="276" w:lineRule="auto"/>
              <w:ind w:left="134"/>
              <w:rPr>
                <w:rFonts w:ascii="Arial" w:hAnsi="Arial" w:cs="Arial"/>
                <w:i/>
                <w:iCs/>
                <w:sz w:val="20"/>
                <w:szCs w:val="20"/>
              </w:rPr>
            </w:pPr>
            <w:r w:rsidRPr="00B54EE7">
              <w:rPr>
                <w:rFonts w:ascii="Arial" w:hAnsi="Arial" w:cs="Arial"/>
                <w:i/>
                <w:iCs/>
                <w:spacing w:val="-10"/>
                <w:sz w:val="20"/>
                <w:szCs w:val="20"/>
              </w:rPr>
              <w:t>1</w:t>
            </w:r>
          </w:p>
        </w:tc>
        <w:tc>
          <w:tcPr>
            <w:tcW w:w="819" w:type="dxa"/>
            <w:tcBorders>
              <w:top w:val="single" w:sz="4" w:space="0" w:color="auto"/>
              <w:bottom w:val="single" w:sz="4" w:space="0" w:color="auto"/>
            </w:tcBorders>
          </w:tcPr>
          <w:p w14:paraId="5C6ED452" w14:textId="77777777" w:rsidR="00B54EE7" w:rsidRPr="00B54EE7" w:rsidRDefault="00B54EE7" w:rsidP="0074373E">
            <w:pPr>
              <w:pStyle w:val="TableParagraph"/>
              <w:spacing w:line="276" w:lineRule="auto"/>
              <w:ind w:left="2" w:right="3"/>
              <w:rPr>
                <w:rFonts w:ascii="Arial" w:hAnsi="Arial" w:cs="Arial"/>
                <w:i/>
                <w:iCs/>
                <w:sz w:val="20"/>
                <w:szCs w:val="20"/>
              </w:rPr>
            </w:pPr>
            <w:r w:rsidRPr="00B54EE7">
              <w:rPr>
                <w:rFonts w:ascii="Arial" w:hAnsi="Arial" w:cs="Arial"/>
                <w:i/>
                <w:iCs/>
                <w:spacing w:val="-10"/>
                <w:sz w:val="20"/>
                <w:szCs w:val="20"/>
              </w:rPr>
              <w:t>2</w:t>
            </w:r>
          </w:p>
        </w:tc>
        <w:tc>
          <w:tcPr>
            <w:tcW w:w="818" w:type="dxa"/>
            <w:tcBorders>
              <w:top w:val="single" w:sz="4" w:space="0" w:color="auto"/>
              <w:bottom w:val="single" w:sz="4" w:space="0" w:color="auto"/>
            </w:tcBorders>
          </w:tcPr>
          <w:p w14:paraId="22D444ED" w14:textId="77777777" w:rsidR="00B54EE7" w:rsidRPr="00B54EE7" w:rsidRDefault="00B54EE7" w:rsidP="0074373E">
            <w:pPr>
              <w:pStyle w:val="TableParagraph"/>
              <w:spacing w:line="276" w:lineRule="auto"/>
              <w:ind w:left="1" w:right="2"/>
              <w:rPr>
                <w:rFonts w:ascii="Arial" w:hAnsi="Arial" w:cs="Arial"/>
                <w:i/>
                <w:iCs/>
                <w:sz w:val="20"/>
                <w:szCs w:val="20"/>
              </w:rPr>
            </w:pPr>
            <w:r w:rsidRPr="00B54EE7">
              <w:rPr>
                <w:rFonts w:ascii="Arial" w:hAnsi="Arial" w:cs="Arial"/>
                <w:i/>
                <w:iCs/>
                <w:spacing w:val="-10"/>
                <w:sz w:val="20"/>
                <w:szCs w:val="20"/>
              </w:rPr>
              <w:t>2</w:t>
            </w:r>
          </w:p>
        </w:tc>
        <w:tc>
          <w:tcPr>
            <w:tcW w:w="819" w:type="dxa"/>
            <w:tcBorders>
              <w:top w:val="single" w:sz="4" w:space="0" w:color="auto"/>
              <w:bottom w:val="single" w:sz="4" w:space="0" w:color="auto"/>
            </w:tcBorders>
          </w:tcPr>
          <w:p w14:paraId="44650A98" w14:textId="77777777" w:rsidR="00B54EE7" w:rsidRPr="00B54EE7" w:rsidRDefault="00B54EE7" w:rsidP="0074373E">
            <w:pPr>
              <w:pStyle w:val="TableParagraph"/>
              <w:spacing w:line="276" w:lineRule="auto"/>
              <w:ind w:left="2" w:right="3"/>
              <w:rPr>
                <w:rFonts w:ascii="Arial" w:hAnsi="Arial" w:cs="Arial"/>
                <w:i/>
                <w:iCs/>
                <w:sz w:val="20"/>
                <w:szCs w:val="20"/>
              </w:rPr>
            </w:pPr>
            <w:r w:rsidRPr="00B54EE7">
              <w:rPr>
                <w:rFonts w:ascii="Arial" w:hAnsi="Arial" w:cs="Arial"/>
                <w:i/>
                <w:iCs/>
                <w:spacing w:val="-10"/>
                <w:sz w:val="20"/>
                <w:szCs w:val="20"/>
              </w:rPr>
              <w:t>4</w:t>
            </w:r>
          </w:p>
        </w:tc>
        <w:tc>
          <w:tcPr>
            <w:tcW w:w="821" w:type="dxa"/>
            <w:tcBorders>
              <w:top w:val="single" w:sz="4" w:space="0" w:color="auto"/>
              <w:bottom w:val="single" w:sz="4" w:space="0" w:color="auto"/>
            </w:tcBorders>
          </w:tcPr>
          <w:p w14:paraId="73544288" w14:textId="77777777" w:rsidR="00B54EE7" w:rsidRPr="00B54EE7" w:rsidRDefault="00B54EE7" w:rsidP="0074373E">
            <w:pPr>
              <w:pStyle w:val="TableParagraph"/>
              <w:spacing w:line="276" w:lineRule="auto"/>
              <w:ind w:left="4" w:right="4"/>
              <w:rPr>
                <w:rFonts w:ascii="Arial" w:hAnsi="Arial" w:cs="Arial"/>
                <w:i/>
                <w:iCs/>
                <w:sz w:val="20"/>
                <w:szCs w:val="20"/>
              </w:rPr>
            </w:pPr>
            <w:r w:rsidRPr="00B54EE7">
              <w:rPr>
                <w:rFonts w:ascii="Arial" w:hAnsi="Arial" w:cs="Arial"/>
                <w:i/>
                <w:iCs/>
                <w:spacing w:val="-10"/>
                <w:sz w:val="20"/>
                <w:szCs w:val="20"/>
              </w:rPr>
              <w:t>5</w:t>
            </w:r>
          </w:p>
        </w:tc>
        <w:tc>
          <w:tcPr>
            <w:tcW w:w="810" w:type="dxa"/>
            <w:tcBorders>
              <w:top w:val="single" w:sz="4" w:space="0" w:color="auto"/>
              <w:bottom w:val="single" w:sz="4" w:space="0" w:color="auto"/>
            </w:tcBorders>
          </w:tcPr>
          <w:p w14:paraId="02894908" w14:textId="77777777" w:rsidR="00B54EE7" w:rsidRPr="00B54EE7" w:rsidRDefault="00B54EE7" w:rsidP="0074373E">
            <w:pPr>
              <w:pStyle w:val="TableParagraph"/>
              <w:spacing w:line="276" w:lineRule="auto"/>
              <w:ind w:left="20"/>
              <w:rPr>
                <w:rFonts w:ascii="Arial" w:hAnsi="Arial" w:cs="Arial"/>
                <w:i/>
                <w:iCs/>
                <w:sz w:val="20"/>
                <w:szCs w:val="20"/>
              </w:rPr>
            </w:pPr>
            <w:r w:rsidRPr="00B54EE7">
              <w:rPr>
                <w:rFonts w:ascii="Arial" w:hAnsi="Arial" w:cs="Arial"/>
                <w:i/>
                <w:iCs/>
                <w:spacing w:val="-10"/>
                <w:sz w:val="20"/>
                <w:szCs w:val="20"/>
              </w:rPr>
              <w:t>6</w:t>
            </w:r>
          </w:p>
        </w:tc>
        <w:tc>
          <w:tcPr>
            <w:tcW w:w="1761" w:type="dxa"/>
            <w:tcBorders>
              <w:top w:val="single" w:sz="4" w:space="0" w:color="auto"/>
            </w:tcBorders>
          </w:tcPr>
          <w:p w14:paraId="67C3617D" w14:textId="77777777" w:rsidR="00B54EE7" w:rsidRPr="00B54EE7" w:rsidRDefault="00B54EE7" w:rsidP="0074373E">
            <w:pPr>
              <w:pStyle w:val="TableParagraph"/>
              <w:spacing w:line="276" w:lineRule="auto"/>
              <w:jc w:val="left"/>
              <w:rPr>
                <w:rFonts w:ascii="Arial" w:hAnsi="Arial" w:cs="Arial"/>
                <w:sz w:val="20"/>
                <w:szCs w:val="20"/>
              </w:rPr>
            </w:pPr>
          </w:p>
        </w:tc>
      </w:tr>
      <w:tr w:rsidR="00B54EE7" w:rsidRPr="00B54EE7" w14:paraId="41819B44" w14:textId="77777777" w:rsidTr="00FB3AFE">
        <w:trPr>
          <w:trHeight w:val="360"/>
          <w:jc w:val="center"/>
        </w:trPr>
        <w:tc>
          <w:tcPr>
            <w:tcW w:w="1479" w:type="dxa"/>
          </w:tcPr>
          <w:p w14:paraId="405AB441" w14:textId="77777777" w:rsidR="00B54EE7" w:rsidRPr="00B54EE7" w:rsidRDefault="00B54EE7" w:rsidP="0074373E">
            <w:pPr>
              <w:pStyle w:val="TableParagraph"/>
              <w:spacing w:before="67" w:line="276" w:lineRule="auto"/>
              <w:ind w:left="151"/>
              <w:rPr>
                <w:rFonts w:ascii="Arial" w:hAnsi="Arial" w:cs="Arial"/>
                <w:sz w:val="20"/>
                <w:szCs w:val="20"/>
              </w:rPr>
            </w:pPr>
            <w:r w:rsidRPr="00B54EE7">
              <w:rPr>
                <w:rFonts w:ascii="Arial" w:hAnsi="Arial" w:cs="Arial"/>
                <w:spacing w:val="-5"/>
                <w:sz w:val="20"/>
                <w:szCs w:val="20"/>
              </w:rPr>
              <w:t>P</w:t>
            </w:r>
            <w:r w:rsidRPr="00B54EE7">
              <w:rPr>
                <w:rFonts w:ascii="Arial" w:hAnsi="Arial" w:cs="Arial"/>
                <w:spacing w:val="-5"/>
                <w:sz w:val="20"/>
                <w:szCs w:val="20"/>
                <w:vertAlign w:val="subscript"/>
              </w:rPr>
              <w:t>0</w:t>
            </w:r>
          </w:p>
        </w:tc>
        <w:tc>
          <w:tcPr>
            <w:tcW w:w="954" w:type="dxa"/>
            <w:tcBorders>
              <w:top w:val="single" w:sz="4" w:space="0" w:color="auto"/>
            </w:tcBorders>
          </w:tcPr>
          <w:p w14:paraId="72C2020B" w14:textId="77777777" w:rsidR="00B54EE7" w:rsidRPr="00B54EE7" w:rsidRDefault="00B54EE7" w:rsidP="0074373E">
            <w:pPr>
              <w:pStyle w:val="TableParagraph"/>
              <w:spacing w:before="67" w:line="276" w:lineRule="auto"/>
              <w:ind w:left="134" w:right="1"/>
              <w:rPr>
                <w:rFonts w:ascii="Arial" w:hAnsi="Arial" w:cs="Arial"/>
                <w:sz w:val="20"/>
                <w:szCs w:val="20"/>
              </w:rPr>
            </w:pPr>
            <w:r w:rsidRPr="00B54EE7">
              <w:rPr>
                <w:rFonts w:ascii="Arial" w:hAnsi="Arial" w:cs="Arial"/>
                <w:spacing w:val="-2"/>
                <w:sz w:val="20"/>
                <w:szCs w:val="20"/>
              </w:rPr>
              <w:t>147.28</w:t>
            </w:r>
          </w:p>
        </w:tc>
        <w:tc>
          <w:tcPr>
            <w:tcW w:w="819" w:type="dxa"/>
            <w:tcBorders>
              <w:top w:val="single" w:sz="4" w:space="0" w:color="auto"/>
            </w:tcBorders>
          </w:tcPr>
          <w:p w14:paraId="17D5576F" w14:textId="77777777" w:rsidR="00B54EE7" w:rsidRPr="00B54EE7" w:rsidRDefault="00B54EE7" w:rsidP="0074373E">
            <w:pPr>
              <w:pStyle w:val="TableParagraph"/>
              <w:spacing w:before="67" w:line="276" w:lineRule="auto"/>
              <w:ind w:left="3" w:right="1"/>
              <w:rPr>
                <w:rFonts w:ascii="Arial" w:hAnsi="Arial" w:cs="Arial"/>
                <w:sz w:val="20"/>
                <w:szCs w:val="20"/>
              </w:rPr>
            </w:pPr>
            <w:r w:rsidRPr="00B54EE7">
              <w:rPr>
                <w:rFonts w:ascii="Arial" w:hAnsi="Arial" w:cs="Arial"/>
                <w:spacing w:val="-2"/>
                <w:sz w:val="20"/>
                <w:szCs w:val="20"/>
              </w:rPr>
              <w:t>135.13</w:t>
            </w:r>
          </w:p>
        </w:tc>
        <w:tc>
          <w:tcPr>
            <w:tcW w:w="818" w:type="dxa"/>
            <w:tcBorders>
              <w:top w:val="single" w:sz="4" w:space="0" w:color="auto"/>
            </w:tcBorders>
          </w:tcPr>
          <w:p w14:paraId="6E88057A" w14:textId="77777777" w:rsidR="00B54EE7" w:rsidRPr="00B54EE7" w:rsidRDefault="00B54EE7" w:rsidP="0074373E">
            <w:pPr>
              <w:pStyle w:val="TableParagraph"/>
              <w:spacing w:before="67" w:line="276" w:lineRule="auto"/>
              <w:ind w:left="2" w:right="1"/>
              <w:rPr>
                <w:rFonts w:ascii="Arial" w:hAnsi="Arial" w:cs="Arial"/>
                <w:sz w:val="20"/>
                <w:szCs w:val="20"/>
              </w:rPr>
            </w:pPr>
            <w:r w:rsidRPr="00B54EE7">
              <w:rPr>
                <w:rFonts w:ascii="Arial" w:hAnsi="Arial" w:cs="Arial"/>
                <w:spacing w:val="-2"/>
                <w:sz w:val="20"/>
                <w:szCs w:val="20"/>
              </w:rPr>
              <w:t>126.47</w:t>
            </w:r>
          </w:p>
        </w:tc>
        <w:tc>
          <w:tcPr>
            <w:tcW w:w="819" w:type="dxa"/>
            <w:tcBorders>
              <w:top w:val="single" w:sz="4" w:space="0" w:color="auto"/>
            </w:tcBorders>
          </w:tcPr>
          <w:p w14:paraId="73471673" w14:textId="77777777" w:rsidR="00B54EE7" w:rsidRPr="00B54EE7" w:rsidRDefault="00B54EE7" w:rsidP="0074373E">
            <w:pPr>
              <w:pStyle w:val="TableParagraph"/>
              <w:spacing w:before="67" w:line="276" w:lineRule="auto"/>
              <w:ind w:left="3" w:right="1"/>
              <w:rPr>
                <w:rFonts w:ascii="Arial" w:hAnsi="Arial" w:cs="Arial"/>
                <w:sz w:val="20"/>
                <w:szCs w:val="20"/>
              </w:rPr>
            </w:pPr>
            <w:r w:rsidRPr="00B54EE7">
              <w:rPr>
                <w:rFonts w:ascii="Arial" w:hAnsi="Arial" w:cs="Arial"/>
                <w:spacing w:val="-2"/>
                <w:sz w:val="20"/>
                <w:szCs w:val="20"/>
              </w:rPr>
              <w:t>142.02</w:t>
            </w:r>
          </w:p>
        </w:tc>
        <w:tc>
          <w:tcPr>
            <w:tcW w:w="821" w:type="dxa"/>
            <w:tcBorders>
              <w:top w:val="single" w:sz="4" w:space="0" w:color="auto"/>
            </w:tcBorders>
          </w:tcPr>
          <w:p w14:paraId="093520CF" w14:textId="77777777" w:rsidR="00B54EE7" w:rsidRPr="00B54EE7" w:rsidRDefault="00B54EE7" w:rsidP="0074373E">
            <w:pPr>
              <w:pStyle w:val="TableParagraph"/>
              <w:spacing w:before="67" w:line="276" w:lineRule="auto"/>
              <w:ind w:left="4"/>
              <w:rPr>
                <w:rFonts w:ascii="Arial" w:hAnsi="Arial" w:cs="Arial"/>
                <w:sz w:val="20"/>
                <w:szCs w:val="20"/>
              </w:rPr>
            </w:pPr>
            <w:r w:rsidRPr="00B54EE7">
              <w:rPr>
                <w:rFonts w:ascii="Arial" w:hAnsi="Arial" w:cs="Arial"/>
                <w:spacing w:val="-2"/>
                <w:sz w:val="20"/>
                <w:szCs w:val="20"/>
              </w:rPr>
              <w:t>133.92</w:t>
            </w:r>
          </w:p>
        </w:tc>
        <w:tc>
          <w:tcPr>
            <w:tcW w:w="810" w:type="dxa"/>
            <w:tcBorders>
              <w:top w:val="single" w:sz="4" w:space="0" w:color="auto"/>
            </w:tcBorders>
          </w:tcPr>
          <w:p w14:paraId="56384F62" w14:textId="77777777" w:rsidR="00B54EE7" w:rsidRPr="00B54EE7" w:rsidRDefault="00B54EE7" w:rsidP="0074373E">
            <w:pPr>
              <w:pStyle w:val="TableParagraph"/>
              <w:spacing w:before="67" w:line="276" w:lineRule="auto"/>
              <w:ind w:left="20" w:right="1"/>
              <w:rPr>
                <w:rFonts w:ascii="Arial" w:hAnsi="Arial" w:cs="Arial"/>
                <w:sz w:val="20"/>
                <w:szCs w:val="20"/>
              </w:rPr>
            </w:pPr>
            <w:r w:rsidRPr="00B54EE7">
              <w:rPr>
                <w:rFonts w:ascii="Arial" w:hAnsi="Arial" w:cs="Arial"/>
                <w:spacing w:val="-2"/>
                <w:sz w:val="20"/>
                <w:szCs w:val="20"/>
              </w:rPr>
              <w:t>146.16</w:t>
            </w:r>
          </w:p>
        </w:tc>
        <w:tc>
          <w:tcPr>
            <w:tcW w:w="1761" w:type="dxa"/>
          </w:tcPr>
          <w:p w14:paraId="494A468E" w14:textId="77777777" w:rsidR="00B54EE7" w:rsidRPr="00B54EE7" w:rsidRDefault="00B54EE7" w:rsidP="0074373E">
            <w:pPr>
              <w:pStyle w:val="TableParagraph"/>
              <w:spacing w:before="67" w:line="276" w:lineRule="auto"/>
              <w:ind w:left="30"/>
              <w:rPr>
                <w:rFonts w:ascii="Arial" w:hAnsi="Arial" w:cs="Arial"/>
                <w:sz w:val="20"/>
                <w:szCs w:val="20"/>
              </w:rPr>
            </w:pPr>
            <w:r w:rsidRPr="00B54EE7">
              <w:rPr>
                <w:rFonts w:ascii="Arial" w:hAnsi="Arial" w:cs="Arial"/>
                <w:spacing w:val="-2"/>
                <w:sz w:val="20"/>
                <w:szCs w:val="20"/>
              </w:rPr>
              <w:t>138.50 ± 08.06</w:t>
            </w:r>
          </w:p>
        </w:tc>
      </w:tr>
      <w:tr w:rsidR="00B54EE7" w:rsidRPr="00B54EE7" w14:paraId="27E7B1E8" w14:textId="77777777" w:rsidTr="00FB3AFE">
        <w:trPr>
          <w:trHeight w:val="345"/>
          <w:jc w:val="center"/>
        </w:trPr>
        <w:tc>
          <w:tcPr>
            <w:tcW w:w="1479" w:type="dxa"/>
          </w:tcPr>
          <w:p w14:paraId="242E45D7" w14:textId="77777777" w:rsidR="00B54EE7" w:rsidRPr="00B54EE7" w:rsidRDefault="00B54EE7" w:rsidP="0074373E">
            <w:pPr>
              <w:pStyle w:val="TableParagraph"/>
              <w:spacing w:before="53" w:line="276" w:lineRule="auto"/>
              <w:ind w:left="151"/>
              <w:rPr>
                <w:rFonts w:ascii="Arial" w:hAnsi="Arial" w:cs="Arial"/>
                <w:sz w:val="20"/>
                <w:szCs w:val="20"/>
              </w:rPr>
            </w:pPr>
            <w:r w:rsidRPr="00B54EE7">
              <w:rPr>
                <w:rFonts w:ascii="Arial" w:hAnsi="Arial" w:cs="Arial"/>
                <w:spacing w:val="-5"/>
                <w:sz w:val="20"/>
                <w:szCs w:val="20"/>
              </w:rPr>
              <w:t>P</w:t>
            </w:r>
            <w:r w:rsidRPr="00B54EE7">
              <w:rPr>
                <w:rFonts w:ascii="Arial" w:hAnsi="Arial" w:cs="Arial"/>
                <w:spacing w:val="-5"/>
                <w:sz w:val="20"/>
                <w:szCs w:val="20"/>
                <w:vertAlign w:val="subscript"/>
              </w:rPr>
              <w:t>1</w:t>
            </w:r>
          </w:p>
        </w:tc>
        <w:tc>
          <w:tcPr>
            <w:tcW w:w="954" w:type="dxa"/>
          </w:tcPr>
          <w:p w14:paraId="1E39FD2F" w14:textId="77777777" w:rsidR="00B54EE7" w:rsidRPr="00B54EE7" w:rsidRDefault="00B54EE7" w:rsidP="0074373E">
            <w:pPr>
              <w:pStyle w:val="TableParagraph"/>
              <w:spacing w:before="53" w:line="276" w:lineRule="auto"/>
              <w:ind w:left="134" w:right="1"/>
              <w:rPr>
                <w:rFonts w:ascii="Arial" w:hAnsi="Arial" w:cs="Arial"/>
                <w:sz w:val="20"/>
                <w:szCs w:val="20"/>
              </w:rPr>
            </w:pPr>
            <w:r w:rsidRPr="00B54EE7">
              <w:rPr>
                <w:rFonts w:ascii="Arial" w:hAnsi="Arial" w:cs="Arial"/>
                <w:spacing w:val="-2"/>
                <w:sz w:val="20"/>
                <w:szCs w:val="20"/>
              </w:rPr>
              <w:t>147.38</w:t>
            </w:r>
          </w:p>
        </w:tc>
        <w:tc>
          <w:tcPr>
            <w:tcW w:w="819" w:type="dxa"/>
          </w:tcPr>
          <w:p w14:paraId="31B2B0C4" w14:textId="77777777" w:rsidR="00B54EE7" w:rsidRPr="00B54EE7" w:rsidRDefault="00B54EE7" w:rsidP="0074373E">
            <w:pPr>
              <w:pStyle w:val="TableParagraph"/>
              <w:spacing w:before="53" w:line="276" w:lineRule="auto"/>
              <w:ind w:left="3" w:right="1"/>
              <w:rPr>
                <w:rFonts w:ascii="Arial" w:hAnsi="Arial" w:cs="Arial"/>
                <w:sz w:val="20"/>
                <w:szCs w:val="20"/>
              </w:rPr>
            </w:pPr>
            <w:r w:rsidRPr="00B54EE7">
              <w:rPr>
                <w:rFonts w:ascii="Arial" w:hAnsi="Arial" w:cs="Arial"/>
                <w:spacing w:val="-2"/>
                <w:sz w:val="20"/>
                <w:szCs w:val="20"/>
              </w:rPr>
              <w:t>153.05</w:t>
            </w:r>
          </w:p>
        </w:tc>
        <w:tc>
          <w:tcPr>
            <w:tcW w:w="818" w:type="dxa"/>
          </w:tcPr>
          <w:p w14:paraId="2F342DFD" w14:textId="77777777" w:rsidR="00B54EE7" w:rsidRPr="00B54EE7" w:rsidRDefault="00B54EE7" w:rsidP="0074373E">
            <w:pPr>
              <w:pStyle w:val="TableParagraph"/>
              <w:spacing w:before="53" w:line="276" w:lineRule="auto"/>
              <w:ind w:left="1" w:right="1"/>
              <w:rPr>
                <w:rFonts w:ascii="Arial" w:hAnsi="Arial" w:cs="Arial"/>
                <w:sz w:val="20"/>
                <w:szCs w:val="20"/>
              </w:rPr>
            </w:pPr>
            <w:r w:rsidRPr="00B54EE7">
              <w:rPr>
                <w:rFonts w:ascii="Arial" w:hAnsi="Arial" w:cs="Arial"/>
                <w:spacing w:val="-2"/>
                <w:sz w:val="20"/>
                <w:szCs w:val="20"/>
              </w:rPr>
              <w:t>166.40</w:t>
            </w:r>
          </w:p>
        </w:tc>
        <w:tc>
          <w:tcPr>
            <w:tcW w:w="819" w:type="dxa"/>
          </w:tcPr>
          <w:p w14:paraId="7FD51421" w14:textId="77777777" w:rsidR="00B54EE7" w:rsidRPr="00B54EE7" w:rsidRDefault="00B54EE7" w:rsidP="0074373E">
            <w:pPr>
              <w:pStyle w:val="TableParagraph"/>
              <w:spacing w:before="53" w:line="276" w:lineRule="auto"/>
              <w:ind w:left="3" w:right="1"/>
              <w:rPr>
                <w:rFonts w:ascii="Arial" w:hAnsi="Arial" w:cs="Arial"/>
                <w:sz w:val="20"/>
                <w:szCs w:val="20"/>
              </w:rPr>
            </w:pPr>
            <w:r w:rsidRPr="00B54EE7">
              <w:rPr>
                <w:rFonts w:ascii="Arial" w:hAnsi="Arial" w:cs="Arial"/>
                <w:spacing w:val="-2"/>
                <w:sz w:val="20"/>
                <w:szCs w:val="20"/>
              </w:rPr>
              <w:t>164.76</w:t>
            </w:r>
          </w:p>
        </w:tc>
        <w:tc>
          <w:tcPr>
            <w:tcW w:w="821" w:type="dxa"/>
          </w:tcPr>
          <w:p w14:paraId="2C72324C" w14:textId="77777777" w:rsidR="00B54EE7" w:rsidRPr="00B54EE7" w:rsidRDefault="00B54EE7" w:rsidP="0074373E">
            <w:pPr>
              <w:pStyle w:val="TableParagraph"/>
              <w:spacing w:before="53" w:line="276" w:lineRule="auto"/>
              <w:ind w:left="4"/>
              <w:rPr>
                <w:rFonts w:ascii="Arial" w:hAnsi="Arial" w:cs="Arial"/>
                <w:sz w:val="20"/>
                <w:szCs w:val="20"/>
              </w:rPr>
            </w:pPr>
            <w:r w:rsidRPr="00B54EE7">
              <w:rPr>
                <w:rFonts w:ascii="Arial" w:hAnsi="Arial" w:cs="Arial"/>
                <w:spacing w:val="-2"/>
                <w:sz w:val="20"/>
                <w:szCs w:val="20"/>
              </w:rPr>
              <w:t>164.61</w:t>
            </w:r>
          </w:p>
        </w:tc>
        <w:tc>
          <w:tcPr>
            <w:tcW w:w="810" w:type="dxa"/>
          </w:tcPr>
          <w:p w14:paraId="34004E46" w14:textId="77777777" w:rsidR="00B54EE7" w:rsidRPr="00B54EE7" w:rsidRDefault="00B54EE7" w:rsidP="0074373E">
            <w:pPr>
              <w:pStyle w:val="TableParagraph"/>
              <w:spacing w:before="53" w:line="276" w:lineRule="auto"/>
              <w:ind w:left="20" w:right="1"/>
              <w:rPr>
                <w:rFonts w:ascii="Arial" w:hAnsi="Arial" w:cs="Arial"/>
                <w:sz w:val="20"/>
                <w:szCs w:val="20"/>
              </w:rPr>
            </w:pPr>
            <w:r w:rsidRPr="00B54EE7">
              <w:rPr>
                <w:rFonts w:ascii="Arial" w:hAnsi="Arial" w:cs="Arial"/>
                <w:spacing w:val="-2"/>
                <w:sz w:val="20"/>
                <w:szCs w:val="20"/>
              </w:rPr>
              <w:t>140.87</w:t>
            </w:r>
          </w:p>
        </w:tc>
        <w:tc>
          <w:tcPr>
            <w:tcW w:w="1761" w:type="dxa"/>
          </w:tcPr>
          <w:p w14:paraId="0AC7A3E8" w14:textId="77777777" w:rsidR="00B54EE7" w:rsidRPr="00B54EE7" w:rsidRDefault="00B54EE7" w:rsidP="0074373E">
            <w:pPr>
              <w:pStyle w:val="TableParagraph"/>
              <w:spacing w:before="53" w:line="276" w:lineRule="auto"/>
              <w:ind w:left="30" w:right="2"/>
              <w:rPr>
                <w:rFonts w:ascii="Arial" w:hAnsi="Arial" w:cs="Arial"/>
                <w:sz w:val="20"/>
                <w:szCs w:val="20"/>
              </w:rPr>
            </w:pPr>
            <w:r w:rsidRPr="00B54EE7">
              <w:rPr>
                <w:rFonts w:ascii="Arial" w:hAnsi="Arial" w:cs="Arial"/>
                <w:spacing w:val="-2"/>
                <w:sz w:val="20"/>
                <w:szCs w:val="20"/>
              </w:rPr>
              <w:t>156.18 ± 10.68</w:t>
            </w:r>
          </w:p>
        </w:tc>
      </w:tr>
      <w:tr w:rsidR="00B54EE7" w:rsidRPr="00B54EE7" w14:paraId="2BFB08EA" w14:textId="77777777" w:rsidTr="00FB3AFE">
        <w:trPr>
          <w:trHeight w:val="344"/>
          <w:jc w:val="center"/>
        </w:trPr>
        <w:tc>
          <w:tcPr>
            <w:tcW w:w="1479" w:type="dxa"/>
          </w:tcPr>
          <w:p w14:paraId="7EA0D4B7" w14:textId="77777777" w:rsidR="00B54EE7" w:rsidRPr="00B54EE7" w:rsidRDefault="00B54EE7" w:rsidP="0074373E">
            <w:pPr>
              <w:pStyle w:val="TableParagraph"/>
              <w:spacing w:before="53" w:line="276" w:lineRule="auto"/>
              <w:ind w:left="151"/>
              <w:rPr>
                <w:rFonts w:ascii="Arial" w:hAnsi="Arial" w:cs="Arial"/>
                <w:sz w:val="20"/>
                <w:szCs w:val="20"/>
              </w:rPr>
            </w:pPr>
            <w:r w:rsidRPr="00B54EE7">
              <w:rPr>
                <w:rFonts w:ascii="Arial" w:hAnsi="Arial" w:cs="Arial"/>
                <w:spacing w:val="-5"/>
                <w:sz w:val="20"/>
                <w:szCs w:val="20"/>
              </w:rPr>
              <w:t>P</w:t>
            </w:r>
            <w:r w:rsidRPr="00B54EE7">
              <w:rPr>
                <w:rFonts w:ascii="Arial" w:hAnsi="Arial" w:cs="Arial"/>
                <w:spacing w:val="-5"/>
                <w:sz w:val="20"/>
                <w:szCs w:val="20"/>
                <w:vertAlign w:val="subscript"/>
              </w:rPr>
              <w:t>2</w:t>
            </w:r>
          </w:p>
        </w:tc>
        <w:tc>
          <w:tcPr>
            <w:tcW w:w="954" w:type="dxa"/>
          </w:tcPr>
          <w:p w14:paraId="7B0D5C99" w14:textId="77777777" w:rsidR="00B54EE7" w:rsidRPr="00B54EE7" w:rsidRDefault="00B54EE7" w:rsidP="0074373E">
            <w:pPr>
              <w:pStyle w:val="TableParagraph"/>
              <w:spacing w:before="53" w:line="276" w:lineRule="auto"/>
              <w:ind w:left="134" w:right="1"/>
              <w:rPr>
                <w:rFonts w:ascii="Arial" w:hAnsi="Arial" w:cs="Arial"/>
                <w:sz w:val="20"/>
                <w:szCs w:val="20"/>
              </w:rPr>
            </w:pPr>
            <w:r w:rsidRPr="00B54EE7">
              <w:rPr>
                <w:rFonts w:ascii="Arial" w:hAnsi="Arial" w:cs="Arial"/>
                <w:spacing w:val="-2"/>
                <w:sz w:val="20"/>
                <w:szCs w:val="20"/>
              </w:rPr>
              <w:t>175.07</w:t>
            </w:r>
          </w:p>
        </w:tc>
        <w:tc>
          <w:tcPr>
            <w:tcW w:w="819" w:type="dxa"/>
          </w:tcPr>
          <w:p w14:paraId="4AA65DFB" w14:textId="77777777" w:rsidR="00B54EE7" w:rsidRPr="00B54EE7" w:rsidRDefault="00B54EE7" w:rsidP="0074373E">
            <w:pPr>
              <w:pStyle w:val="TableParagraph"/>
              <w:spacing w:before="53" w:line="276" w:lineRule="auto"/>
              <w:ind w:left="3" w:right="1"/>
              <w:rPr>
                <w:rFonts w:ascii="Arial" w:hAnsi="Arial" w:cs="Arial"/>
                <w:sz w:val="20"/>
                <w:szCs w:val="20"/>
              </w:rPr>
            </w:pPr>
            <w:r w:rsidRPr="00B54EE7">
              <w:rPr>
                <w:rFonts w:ascii="Arial" w:hAnsi="Arial" w:cs="Arial"/>
                <w:spacing w:val="-2"/>
                <w:sz w:val="20"/>
                <w:szCs w:val="20"/>
              </w:rPr>
              <w:t>198.36</w:t>
            </w:r>
          </w:p>
        </w:tc>
        <w:tc>
          <w:tcPr>
            <w:tcW w:w="818" w:type="dxa"/>
          </w:tcPr>
          <w:p w14:paraId="6B703E86" w14:textId="77777777" w:rsidR="00B54EE7" w:rsidRPr="00B54EE7" w:rsidRDefault="00B54EE7" w:rsidP="0074373E">
            <w:pPr>
              <w:pStyle w:val="TableParagraph"/>
              <w:spacing w:before="53" w:line="276" w:lineRule="auto"/>
              <w:ind w:left="2" w:right="1"/>
              <w:rPr>
                <w:rFonts w:ascii="Arial" w:hAnsi="Arial" w:cs="Arial"/>
                <w:sz w:val="20"/>
                <w:szCs w:val="20"/>
              </w:rPr>
            </w:pPr>
            <w:r w:rsidRPr="00B54EE7">
              <w:rPr>
                <w:rFonts w:ascii="Arial" w:hAnsi="Arial" w:cs="Arial"/>
                <w:spacing w:val="-2"/>
                <w:sz w:val="20"/>
                <w:szCs w:val="20"/>
              </w:rPr>
              <w:t>193.85</w:t>
            </w:r>
          </w:p>
        </w:tc>
        <w:tc>
          <w:tcPr>
            <w:tcW w:w="819" w:type="dxa"/>
          </w:tcPr>
          <w:p w14:paraId="4C1B7A70" w14:textId="77777777" w:rsidR="00B54EE7" w:rsidRPr="00B54EE7" w:rsidRDefault="00B54EE7" w:rsidP="0074373E">
            <w:pPr>
              <w:pStyle w:val="TableParagraph"/>
              <w:spacing w:before="53" w:line="276" w:lineRule="auto"/>
              <w:ind w:left="3" w:right="1"/>
              <w:rPr>
                <w:rFonts w:ascii="Arial" w:hAnsi="Arial" w:cs="Arial"/>
                <w:sz w:val="20"/>
                <w:szCs w:val="20"/>
              </w:rPr>
            </w:pPr>
            <w:r w:rsidRPr="00B54EE7">
              <w:rPr>
                <w:rFonts w:ascii="Arial" w:hAnsi="Arial" w:cs="Arial"/>
                <w:spacing w:val="-2"/>
                <w:sz w:val="20"/>
                <w:szCs w:val="20"/>
              </w:rPr>
              <w:t>203.40</w:t>
            </w:r>
          </w:p>
        </w:tc>
        <w:tc>
          <w:tcPr>
            <w:tcW w:w="821" w:type="dxa"/>
          </w:tcPr>
          <w:p w14:paraId="5534F9EC" w14:textId="77777777" w:rsidR="00B54EE7" w:rsidRPr="00B54EE7" w:rsidRDefault="00B54EE7" w:rsidP="0074373E">
            <w:pPr>
              <w:pStyle w:val="TableParagraph"/>
              <w:spacing w:before="53" w:line="276" w:lineRule="auto"/>
              <w:ind w:left="4"/>
              <w:rPr>
                <w:rFonts w:ascii="Arial" w:hAnsi="Arial" w:cs="Arial"/>
                <w:sz w:val="20"/>
                <w:szCs w:val="20"/>
              </w:rPr>
            </w:pPr>
            <w:r w:rsidRPr="00B54EE7">
              <w:rPr>
                <w:rFonts w:ascii="Arial" w:hAnsi="Arial" w:cs="Arial"/>
                <w:spacing w:val="-2"/>
                <w:sz w:val="20"/>
                <w:szCs w:val="20"/>
              </w:rPr>
              <w:t>162.11</w:t>
            </w:r>
          </w:p>
        </w:tc>
        <w:tc>
          <w:tcPr>
            <w:tcW w:w="810" w:type="dxa"/>
          </w:tcPr>
          <w:p w14:paraId="6C64A767" w14:textId="77777777" w:rsidR="00B54EE7" w:rsidRPr="00B54EE7" w:rsidRDefault="00B54EE7" w:rsidP="0074373E">
            <w:pPr>
              <w:pStyle w:val="TableParagraph"/>
              <w:spacing w:before="53" w:line="276" w:lineRule="auto"/>
              <w:ind w:left="20" w:right="1"/>
              <w:rPr>
                <w:rFonts w:ascii="Arial" w:hAnsi="Arial" w:cs="Arial"/>
                <w:sz w:val="20"/>
                <w:szCs w:val="20"/>
              </w:rPr>
            </w:pPr>
            <w:r w:rsidRPr="00B54EE7">
              <w:rPr>
                <w:rFonts w:ascii="Arial" w:hAnsi="Arial" w:cs="Arial"/>
                <w:spacing w:val="-2"/>
                <w:sz w:val="20"/>
                <w:szCs w:val="20"/>
              </w:rPr>
              <w:t>195.72</w:t>
            </w:r>
          </w:p>
        </w:tc>
        <w:tc>
          <w:tcPr>
            <w:tcW w:w="1761" w:type="dxa"/>
          </w:tcPr>
          <w:p w14:paraId="6C76FDFF" w14:textId="77777777" w:rsidR="00B54EE7" w:rsidRPr="00B54EE7" w:rsidRDefault="00B54EE7" w:rsidP="0074373E">
            <w:pPr>
              <w:pStyle w:val="TableParagraph"/>
              <w:spacing w:before="53" w:line="276" w:lineRule="auto"/>
              <w:ind w:left="30" w:right="2"/>
              <w:rPr>
                <w:rFonts w:ascii="Arial" w:hAnsi="Arial" w:cs="Arial"/>
                <w:sz w:val="20"/>
                <w:szCs w:val="20"/>
              </w:rPr>
            </w:pPr>
            <w:r w:rsidRPr="00B54EE7">
              <w:rPr>
                <w:rFonts w:ascii="Arial" w:hAnsi="Arial" w:cs="Arial"/>
                <w:spacing w:val="-2"/>
                <w:sz w:val="20"/>
                <w:szCs w:val="20"/>
              </w:rPr>
              <w:t>188.08 ± 14.58</w:t>
            </w:r>
          </w:p>
        </w:tc>
      </w:tr>
      <w:tr w:rsidR="00B54EE7" w:rsidRPr="00B54EE7" w14:paraId="1CC404FB" w14:textId="77777777" w:rsidTr="00FB3AFE">
        <w:trPr>
          <w:trHeight w:val="404"/>
          <w:jc w:val="center"/>
        </w:trPr>
        <w:tc>
          <w:tcPr>
            <w:tcW w:w="1479" w:type="dxa"/>
            <w:tcBorders>
              <w:bottom w:val="single" w:sz="4" w:space="0" w:color="000000"/>
            </w:tcBorders>
          </w:tcPr>
          <w:p w14:paraId="5891B46D" w14:textId="77777777" w:rsidR="00B54EE7" w:rsidRPr="00B54EE7" w:rsidRDefault="00B54EE7" w:rsidP="0074373E">
            <w:pPr>
              <w:pStyle w:val="TableParagraph"/>
              <w:spacing w:before="52" w:line="276" w:lineRule="auto"/>
              <w:ind w:left="151"/>
              <w:rPr>
                <w:rFonts w:ascii="Arial" w:hAnsi="Arial" w:cs="Arial"/>
                <w:sz w:val="20"/>
                <w:szCs w:val="20"/>
              </w:rPr>
            </w:pPr>
            <w:r w:rsidRPr="00B54EE7">
              <w:rPr>
                <w:rFonts w:ascii="Arial" w:hAnsi="Arial" w:cs="Arial"/>
                <w:spacing w:val="-5"/>
                <w:sz w:val="20"/>
                <w:szCs w:val="20"/>
              </w:rPr>
              <w:t>P</w:t>
            </w:r>
            <w:r w:rsidRPr="00B54EE7">
              <w:rPr>
                <w:rFonts w:ascii="Arial" w:hAnsi="Arial" w:cs="Arial"/>
                <w:spacing w:val="-5"/>
                <w:sz w:val="20"/>
                <w:szCs w:val="20"/>
                <w:vertAlign w:val="subscript"/>
              </w:rPr>
              <w:t>3</w:t>
            </w:r>
          </w:p>
        </w:tc>
        <w:tc>
          <w:tcPr>
            <w:tcW w:w="954" w:type="dxa"/>
            <w:tcBorders>
              <w:bottom w:val="single" w:sz="4" w:space="0" w:color="000000"/>
            </w:tcBorders>
          </w:tcPr>
          <w:p w14:paraId="68C39502" w14:textId="77777777" w:rsidR="00B54EE7" w:rsidRPr="00B54EE7" w:rsidRDefault="00B54EE7" w:rsidP="0074373E">
            <w:pPr>
              <w:pStyle w:val="TableParagraph"/>
              <w:spacing w:before="52" w:line="276" w:lineRule="auto"/>
              <w:ind w:left="134" w:right="1"/>
              <w:rPr>
                <w:rFonts w:ascii="Arial" w:hAnsi="Arial" w:cs="Arial"/>
                <w:sz w:val="20"/>
                <w:szCs w:val="20"/>
              </w:rPr>
            </w:pPr>
            <w:r w:rsidRPr="00B54EE7">
              <w:rPr>
                <w:rFonts w:ascii="Arial" w:hAnsi="Arial" w:cs="Arial"/>
                <w:spacing w:val="-2"/>
                <w:sz w:val="20"/>
                <w:szCs w:val="20"/>
              </w:rPr>
              <w:t>229.04</w:t>
            </w:r>
          </w:p>
        </w:tc>
        <w:tc>
          <w:tcPr>
            <w:tcW w:w="819" w:type="dxa"/>
            <w:tcBorders>
              <w:bottom w:val="single" w:sz="4" w:space="0" w:color="000000"/>
            </w:tcBorders>
          </w:tcPr>
          <w:p w14:paraId="32385EA5" w14:textId="77777777" w:rsidR="00B54EE7" w:rsidRPr="00B54EE7" w:rsidRDefault="00B54EE7" w:rsidP="0074373E">
            <w:pPr>
              <w:pStyle w:val="TableParagraph"/>
              <w:spacing w:before="52" w:line="276" w:lineRule="auto"/>
              <w:ind w:left="3" w:right="1"/>
              <w:rPr>
                <w:rFonts w:ascii="Arial" w:hAnsi="Arial" w:cs="Arial"/>
                <w:sz w:val="20"/>
                <w:szCs w:val="20"/>
              </w:rPr>
            </w:pPr>
            <w:r w:rsidRPr="00B54EE7">
              <w:rPr>
                <w:rFonts w:ascii="Arial" w:hAnsi="Arial" w:cs="Arial"/>
                <w:spacing w:val="-2"/>
                <w:sz w:val="20"/>
                <w:szCs w:val="20"/>
              </w:rPr>
              <w:t>205.72</w:t>
            </w:r>
          </w:p>
        </w:tc>
        <w:tc>
          <w:tcPr>
            <w:tcW w:w="818" w:type="dxa"/>
            <w:tcBorders>
              <w:bottom w:val="single" w:sz="4" w:space="0" w:color="000000"/>
            </w:tcBorders>
          </w:tcPr>
          <w:p w14:paraId="3793AF84" w14:textId="77777777" w:rsidR="00B54EE7" w:rsidRPr="00B54EE7" w:rsidRDefault="00B54EE7" w:rsidP="0074373E">
            <w:pPr>
              <w:pStyle w:val="TableParagraph"/>
              <w:spacing w:before="52" w:line="276" w:lineRule="auto"/>
              <w:ind w:left="2" w:right="1"/>
              <w:rPr>
                <w:rFonts w:ascii="Arial" w:hAnsi="Arial" w:cs="Arial"/>
                <w:sz w:val="20"/>
                <w:szCs w:val="20"/>
              </w:rPr>
            </w:pPr>
            <w:r w:rsidRPr="00B54EE7">
              <w:rPr>
                <w:rFonts w:ascii="Arial" w:hAnsi="Arial" w:cs="Arial"/>
                <w:spacing w:val="-2"/>
                <w:sz w:val="20"/>
                <w:szCs w:val="20"/>
              </w:rPr>
              <w:t>210.20</w:t>
            </w:r>
          </w:p>
        </w:tc>
        <w:tc>
          <w:tcPr>
            <w:tcW w:w="819" w:type="dxa"/>
            <w:tcBorders>
              <w:bottom w:val="single" w:sz="4" w:space="0" w:color="000000"/>
            </w:tcBorders>
          </w:tcPr>
          <w:p w14:paraId="37C1310C" w14:textId="77777777" w:rsidR="00B54EE7" w:rsidRPr="00B54EE7" w:rsidRDefault="00B54EE7" w:rsidP="0074373E">
            <w:pPr>
              <w:pStyle w:val="TableParagraph"/>
              <w:spacing w:before="52" w:line="276" w:lineRule="auto"/>
              <w:ind w:left="3" w:right="1"/>
              <w:rPr>
                <w:rFonts w:ascii="Arial" w:hAnsi="Arial" w:cs="Arial"/>
                <w:sz w:val="20"/>
                <w:szCs w:val="20"/>
              </w:rPr>
            </w:pPr>
            <w:r w:rsidRPr="00B54EE7">
              <w:rPr>
                <w:rFonts w:ascii="Arial" w:hAnsi="Arial" w:cs="Arial"/>
                <w:spacing w:val="-2"/>
                <w:sz w:val="20"/>
                <w:szCs w:val="20"/>
              </w:rPr>
              <w:t>231.20</w:t>
            </w:r>
          </w:p>
        </w:tc>
        <w:tc>
          <w:tcPr>
            <w:tcW w:w="821" w:type="dxa"/>
            <w:tcBorders>
              <w:bottom w:val="single" w:sz="4" w:space="0" w:color="000000"/>
            </w:tcBorders>
          </w:tcPr>
          <w:p w14:paraId="098367E3" w14:textId="77777777" w:rsidR="00B54EE7" w:rsidRPr="00B54EE7" w:rsidRDefault="00B54EE7" w:rsidP="0074373E">
            <w:pPr>
              <w:pStyle w:val="TableParagraph"/>
              <w:spacing w:before="52" w:line="276" w:lineRule="auto"/>
              <w:ind w:left="4"/>
              <w:rPr>
                <w:rFonts w:ascii="Arial" w:hAnsi="Arial" w:cs="Arial"/>
                <w:sz w:val="20"/>
                <w:szCs w:val="20"/>
              </w:rPr>
            </w:pPr>
            <w:r w:rsidRPr="00B54EE7">
              <w:rPr>
                <w:rFonts w:ascii="Arial" w:hAnsi="Arial" w:cs="Arial"/>
                <w:spacing w:val="-2"/>
                <w:sz w:val="20"/>
                <w:szCs w:val="20"/>
              </w:rPr>
              <w:t>243.39</w:t>
            </w:r>
          </w:p>
        </w:tc>
        <w:tc>
          <w:tcPr>
            <w:tcW w:w="810" w:type="dxa"/>
            <w:tcBorders>
              <w:bottom w:val="single" w:sz="4" w:space="0" w:color="000000"/>
            </w:tcBorders>
          </w:tcPr>
          <w:p w14:paraId="113530BB" w14:textId="77777777" w:rsidR="00B54EE7" w:rsidRPr="00B54EE7" w:rsidRDefault="00B54EE7" w:rsidP="0074373E">
            <w:pPr>
              <w:pStyle w:val="TableParagraph"/>
              <w:spacing w:before="52" w:line="276" w:lineRule="auto"/>
              <w:ind w:left="20" w:right="1"/>
              <w:rPr>
                <w:rFonts w:ascii="Arial" w:hAnsi="Arial" w:cs="Arial"/>
                <w:sz w:val="20"/>
                <w:szCs w:val="20"/>
              </w:rPr>
            </w:pPr>
            <w:r w:rsidRPr="00B54EE7">
              <w:rPr>
                <w:rFonts w:ascii="Arial" w:hAnsi="Arial" w:cs="Arial"/>
                <w:spacing w:val="-2"/>
                <w:sz w:val="20"/>
                <w:szCs w:val="20"/>
              </w:rPr>
              <w:t>206.62</w:t>
            </w:r>
          </w:p>
        </w:tc>
        <w:tc>
          <w:tcPr>
            <w:tcW w:w="1761" w:type="dxa"/>
            <w:tcBorders>
              <w:bottom w:val="single" w:sz="4" w:space="0" w:color="000000"/>
            </w:tcBorders>
          </w:tcPr>
          <w:p w14:paraId="409B316D" w14:textId="77777777" w:rsidR="00B54EE7" w:rsidRPr="00B54EE7" w:rsidRDefault="00B54EE7" w:rsidP="0074373E">
            <w:pPr>
              <w:pStyle w:val="TableParagraph"/>
              <w:spacing w:before="52" w:line="276" w:lineRule="auto"/>
              <w:ind w:left="30" w:right="2"/>
              <w:rPr>
                <w:rFonts w:ascii="Arial" w:hAnsi="Arial" w:cs="Arial"/>
                <w:sz w:val="20"/>
                <w:szCs w:val="20"/>
              </w:rPr>
            </w:pPr>
            <w:r w:rsidRPr="00B54EE7">
              <w:rPr>
                <w:rFonts w:ascii="Arial" w:hAnsi="Arial" w:cs="Arial"/>
                <w:spacing w:val="-2"/>
                <w:sz w:val="20"/>
                <w:szCs w:val="20"/>
              </w:rPr>
              <w:t>221.03 ± 15.66</w:t>
            </w:r>
          </w:p>
        </w:tc>
      </w:tr>
    </w:tbl>
    <w:p w14:paraId="26FFD79E" w14:textId="77777777" w:rsidR="00B54EE7" w:rsidRPr="00B54EE7" w:rsidRDefault="00B54EE7" w:rsidP="0074373E">
      <w:pPr>
        <w:pStyle w:val="ListParagraph"/>
        <w:spacing w:line="276" w:lineRule="auto"/>
        <w:ind w:left="270"/>
        <w:jc w:val="both"/>
        <w:rPr>
          <w:rFonts w:ascii="Arial" w:hAnsi="Arial" w:cs="Arial"/>
          <w:b/>
          <w:bCs/>
          <w:sz w:val="20"/>
          <w:szCs w:val="20"/>
        </w:rPr>
      </w:pPr>
    </w:p>
    <w:p w14:paraId="78768DBB" w14:textId="372A0FBA" w:rsidR="00296D5F" w:rsidRDefault="00B54EE7" w:rsidP="0074373E">
      <w:pPr>
        <w:spacing w:line="276" w:lineRule="auto"/>
        <w:jc w:val="both"/>
        <w:rPr>
          <w:rFonts w:ascii="Arial" w:hAnsi="Arial" w:cs="Arial"/>
        </w:rPr>
      </w:pPr>
      <w:r w:rsidRPr="00B54EE7">
        <w:rPr>
          <w:rFonts w:ascii="Arial" w:hAnsi="Arial" w:cs="Arial"/>
        </w:rPr>
        <w:t xml:space="preserve">The quantitative analysis of </w:t>
      </w:r>
      <w:r w:rsidR="006C0214" w:rsidRPr="006C0214">
        <w:rPr>
          <w:rFonts w:ascii="Arial" w:hAnsi="Arial" w:cs="Arial"/>
          <w:color w:val="EE0000"/>
        </w:rPr>
        <w:t xml:space="preserve">Graafian follicle </w:t>
      </w:r>
      <w:r w:rsidRPr="00B54EE7">
        <w:rPr>
          <w:rFonts w:ascii="Arial" w:hAnsi="Arial" w:cs="Arial"/>
        </w:rPr>
        <w:t>diameters demonstrates a clear dose-dependent relationship following the administration of red dragon fruit (</w:t>
      </w:r>
      <w:r w:rsidRPr="00B54EE7">
        <w:rPr>
          <w:rFonts w:ascii="Arial" w:hAnsi="Arial" w:cs="Arial"/>
          <w:i/>
          <w:iCs/>
        </w:rPr>
        <w:t xml:space="preserve">Hylocereus </w:t>
      </w:r>
      <w:proofErr w:type="spellStart"/>
      <w:r w:rsidRPr="00B54EE7">
        <w:rPr>
          <w:rFonts w:ascii="Arial" w:hAnsi="Arial" w:cs="Arial"/>
          <w:i/>
          <w:iCs/>
        </w:rPr>
        <w:t>polyrhizus</w:t>
      </w:r>
      <w:proofErr w:type="spellEnd"/>
      <w:r w:rsidRPr="00B54EE7">
        <w:rPr>
          <w:rFonts w:ascii="Arial" w:hAnsi="Arial" w:cs="Arial"/>
        </w:rPr>
        <w:t>) extract. As shown in the data, the control group (P</w:t>
      </w:r>
      <w:r w:rsidRPr="00B54EE7">
        <w:rPr>
          <w:rFonts w:ascii="Arial" w:hAnsi="Arial" w:cs="Arial"/>
          <w:vertAlign w:val="subscript"/>
        </w:rPr>
        <w:t>0</w:t>
      </w:r>
      <w:r w:rsidRPr="00B54EE7">
        <w:rPr>
          <w:rFonts w:ascii="Arial" w:hAnsi="Arial" w:cs="Arial"/>
        </w:rPr>
        <w:t>) exhibited the smallest mean follicle diameter at 138.50 µm. In contrast, all treatment groups (P</w:t>
      </w:r>
      <w:r w:rsidRPr="00B54EE7">
        <w:rPr>
          <w:rFonts w:ascii="Arial" w:hAnsi="Arial" w:cs="Arial"/>
          <w:vertAlign w:val="subscript"/>
        </w:rPr>
        <w:t>1</w:t>
      </w:r>
      <w:r w:rsidRPr="00B54EE7">
        <w:rPr>
          <w:rFonts w:ascii="Arial" w:hAnsi="Arial" w:cs="Arial"/>
        </w:rPr>
        <w:t>, P</w:t>
      </w:r>
      <w:r w:rsidRPr="00B54EE7">
        <w:rPr>
          <w:rFonts w:ascii="Arial" w:hAnsi="Arial" w:cs="Arial"/>
          <w:vertAlign w:val="subscript"/>
        </w:rPr>
        <w:t>2</w:t>
      </w:r>
      <w:r w:rsidRPr="00B54EE7">
        <w:rPr>
          <w:rFonts w:ascii="Arial" w:hAnsi="Arial" w:cs="Arial"/>
        </w:rPr>
        <w:t>, and P</w:t>
      </w:r>
      <w:r w:rsidRPr="00B54EE7">
        <w:rPr>
          <w:rFonts w:ascii="Arial" w:hAnsi="Arial" w:cs="Arial"/>
          <w:vertAlign w:val="subscript"/>
        </w:rPr>
        <w:t>3</w:t>
      </w:r>
      <w:r w:rsidRPr="00B54EE7">
        <w:rPr>
          <w:rFonts w:ascii="Arial" w:hAnsi="Arial" w:cs="Arial"/>
        </w:rPr>
        <w:t>) showed a progressive increase in diameter, with the highest dose of</w:t>
      </w:r>
      <w:r w:rsidRPr="001F4F54">
        <w:rPr>
          <w:rFonts w:ascii="Arial" w:hAnsi="Arial" w:cs="Arial"/>
          <w:color w:val="EE0000"/>
        </w:rPr>
        <w:t xml:space="preserve"> 700 mg/kg</w:t>
      </w:r>
      <w:r w:rsidR="001F4F54" w:rsidRPr="001F4F54">
        <w:rPr>
          <w:rFonts w:ascii="Arial" w:hAnsi="Arial" w:cs="Arial"/>
          <w:color w:val="EE0000"/>
        </w:rPr>
        <w:t xml:space="preserve"> </w:t>
      </w:r>
      <w:r w:rsidRPr="001F4F54">
        <w:rPr>
          <w:rFonts w:ascii="Arial" w:hAnsi="Arial" w:cs="Arial"/>
          <w:color w:val="EE0000"/>
        </w:rPr>
        <w:t>B</w:t>
      </w:r>
      <w:r w:rsidR="001F4F54" w:rsidRPr="001F4F54">
        <w:rPr>
          <w:rFonts w:ascii="Arial" w:hAnsi="Arial" w:cs="Arial"/>
          <w:color w:val="EE0000"/>
        </w:rPr>
        <w:t>W</w:t>
      </w:r>
      <w:r w:rsidRPr="00B54EE7">
        <w:rPr>
          <w:rFonts w:ascii="Arial" w:hAnsi="Arial" w:cs="Arial"/>
        </w:rPr>
        <w:t xml:space="preserve"> (P</w:t>
      </w:r>
      <w:r w:rsidRPr="00B54EE7">
        <w:rPr>
          <w:rFonts w:ascii="Arial" w:hAnsi="Arial" w:cs="Arial"/>
          <w:vertAlign w:val="subscript"/>
        </w:rPr>
        <w:t>3</w:t>
      </w:r>
      <w:r w:rsidRPr="00B54EE7">
        <w:rPr>
          <w:rFonts w:ascii="Arial" w:hAnsi="Arial" w:cs="Arial"/>
        </w:rPr>
        <w:t>) reaching a peak mean of 221.03 µm. This substantial increase suggests that the bioactive compounds within the extract play a significant role in stimulating follicular maturation and expansion.</w:t>
      </w:r>
    </w:p>
    <w:p w14:paraId="67BBDFAF" w14:textId="7CC36F85" w:rsidR="00A24827" w:rsidRDefault="00B54EE7" w:rsidP="0074373E">
      <w:pPr>
        <w:spacing w:line="276" w:lineRule="auto"/>
        <w:jc w:val="both"/>
        <w:rPr>
          <w:rFonts w:ascii="Arial" w:hAnsi="Arial" w:cs="Arial"/>
        </w:rPr>
      </w:pPr>
      <w:r w:rsidRPr="00B54EE7">
        <w:rPr>
          <w:rFonts w:ascii="Arial" w:hAnsi="Arial" w:cs="Arial"/>
        </w:rPr>
        <w:t>The observed growth in follicle size is likely attributed to the high antioxidant capacity of the extract, which recorded an IC</w:t>
      </w:r>
      <w:r w:rsidRPr="00B54EE7">
        <w:rPr>
          <w:rFonts w:ascii="Arial" w:hAnsi="Arial" w:cs="Arial"/>
          <w:vertAlign w:val="subscript"/>
        </w:rPr>
        <w:t>50</w:t>
      </w:r>
      <w:r w:rsidRPr="00B54EE7">
        <w:rPr>
          <w:rFonts w:ascii="Arial" w:hAnsi="Arial" w:cs="Arial"/>
        </w:rPr>
        <w:t xml:space="preserve"> value of 57.35 ppm. Secondary metabolites such as flavonoids, </w:t>
      </w:r>
      <w:proofErr w:type="spellStart"/>
      <w:r w:rsidRPr="00B54EE7">
        <w:rPr>
          <w:rFonts w:ascii="Arial" w:hAnsi="Arial" w:cs="Arial"/>
        </w:rPr>
        <w:t>betalains</w:t>
      </w:r>
      <w:proofErr w:type="spellEnd"/>
      <w:r w:rsidRPr="00B54EE7">
        <w:rPr>
          <w:rFonts w:ascii="Arial" w:hAnsi="Arial" w:cs="Arial"/>
        </w:rPr>
        <w:t xml:space="preserve">, and vitamin C act as potent radical scavengers, reducing oxidative stress within the ovarian microenvironment. </w:t>
      </w:r>
      <w:r w:rsidR="00EF048B" w:rsidRPr="00EF048B">
        <w:rPr>
          <w:rFonts w:ascii="Arial" w:hAnsi="Arial" w:cs="Arial"/>
          <w:color w:val="EE0000"/>
        </w:rPr>
        <w:t xml:space="preserve">The antioxidant properties of the extract are suggested to potentially mitigate reactive oxygen species (ROS), which may help protect granulosa cells from oxidative stress-induced apoptosis and could support their proliferation </w:t>
      </w:r>
      <w:r w:rsidRPr="00B54EE7">
        <w:rPr>
          <w:rFonts w:ascii="Arial" w:hAnsi="Arial" w:cs="Arial"/>
        </w:rPr>
        <w:fldChar w:fldCharType="begin" w:fldLock="1"/>
      </w:r>
      <w:r w:rsidRPr="00B54EE7">
        <w:rPr>
          <w:rFonts w:ascii="Arial" w:hAnsi="Arial" w:cs="Arial"/>
        </w:rPr>
        <w:instrText>ADDIN CSL_CITATION {"citationItems":[{"id":"ITEM-1","itemData":{"DOI":"10.1016/j.psj.2023.102736","ISSN":"15253171","PMID":"37209658","abstract":"Quercetin (Que), widely found in a huge variety of plants, plays important roles in ovarian function. However, to data, there have been no reports about Que regulating granulosa cells (GCs) in prehierarchical follicles in chicken. Herein, GCs from follicles diameter from 4 to 8 mm in chicken were treated by Que in vitro culture to investigate how Que exerts its effect on follicular development. GCs treated by Que in concentrations of 10, 100, and 1,000 ng/mL were tested for cell proliferation and progesterone secretion. Eight cDNA libraries were constructed from GCs (4 samples per group) to explore transcriptome expression changes. The role of the MAPK/ERK signaling pathway was validated in this process. Treatment with 100 and 1,000 ng/mL levels of Que significantly promoted cell proliferation and progesterone secretion (P &lt; 0.05). RNA-seq analysis data showed that 402 and 263 differentially expressed genes (DEGs) were up- and down-regulated, respectively. Functional enrichment analysis that the pathways related to follicular development included biosynthesis of amino acids, MAPK signaling pathway, and calcium signaling pathway. Notably, the function exerted in GCs of the different levels of Que was associated with the suppression of the MAPK pathway. In conclusion, our results proved that low levels of Que could promote MAPK signaling pathway, but high levels of Que inhibit MAPK signaling pathway in GCs from the prehierarchical follicles, promote cell proliferation and progesterone secretion, and benefit follicle selection.","author":[{"dropping-particle":"","family":"Shen","given":"Manman","non-dropping-particle":"","parse-names":false,"suffix":""},{"dropping-particle":"","family":"Li","given":"Tao","non-dropping-particle":"","parse-names":false,"suffix":""},{"dropping-particle":"","family":"Feng","given":"Yuan","non-dropping-particle":"","parse-names":false,"suffix":""},{"dropping-particle":"","family":"Wu","given":"Ping","non-dropping-particle":"","parse-names":false,"suffix":""},{"dropping-particle":"","family":"Serrano","given":"Boris Ramos","non-dropping-particle":"","parse-names":false,"suffix":""},{"dropping-particle":"","family":"Barcenas","given":"Adileidys Ruiz","non-dropping-particle":"","parse-names":false,"suffix":""},{"dropping-particle":"","family":"Qu","given":"Liang","non-dropping-particle":"","parse-names":false,"suffix":""},{"dropping-particle":"","family":"Zhao","given":"Weiguo","non-dropping-particle":"","parse-names":false,"suffix":""}],"container-title":"Poultry Science","id":"ITEM-1","issue":"7","issued":{"date-parts":[["2023","7","1"]]},"publisher":"Elsevier Inc.","title":"Effects of quercetin on granulosa cells from prehierarchical follicles by modulating MAPK signaling pathway in chicken","type":"article-journal","volume":"102"},"uris":["http://www.mendeley.com/documents/?uuid=05f56610-7917-3a8e-9cac-00a0bf944c21"]},{"id":"ITEM-2","itemData":{"DOI":"10.36709/ampibi.v10i3.360","abstract":"Abstrak: Fenomena infertilitas (ketidaksuburan) banyak dialami oleh masyarkat, berbagai alternatif pengobatan baik secara medis ataupun non medis banyak dilakukan. Salah satu alternative yang banyak dilakukan oleh masyarakat adalah pemanfaatan herbal, salah satunya adalah buah naga. Konsumsi buah naga (Hylocereus polyrhizus) diharapkan dapat membantu meningkatkan kesuburan. Penelitian ini bertujuan untuk mengetahui pemberian ekstrak buah naga (Hylocereus polyrhizus) terhadap jumlah sel granulosa pada tikus putih betina. Jenis penelitian adalah eksperimen (true experiment) menggunakan Rancangan Acak Lengkap. Populasi penelitian menggunakan 40 ekor tikus. Sampel diperoleh dengan teknik simple random sampling sebanyak 24 ekor tikus dengan kriteria sampel berat 150 sampai 200 gram, umur 12 sampai 13 minggu, jenis kelamin betina, dan dalam kondisi sehat. Teknik analisis data dilakukan secara deskriptif dan inferensial, uji hipotesis menggunakan uji ANOVA dengan taraf kepercayaan 95% (α = 0,05) dimana diperoleh Fhitung&gt; Ftabel dan uji lanjut Tukey/HSD (Honest Significant Difference). Hasil yang diperoleh menunjukkan bahwa ekstrak buah naga berpengaruh secara signifikan terhadap jumlah sel granulosa pada tikus putih betina. Semakin tinggi dosis ekstrak buah naga yang diberikan semakin semakin bertambah jumlah sel granulosa. Abstract: Phenomenon in the community many experience infertility, so that by consuming dragon fruit (Hylocereus polyrhizus) is expected to help improve fertility. This study aims to determine the administration of dragon fruit extract (Hylocereus polyrhizus). This type of research is an experiment (true experiment) using a completely randomised design. The study population used 40 rats. The sample was obtained by simple random sampling technique as many as 24 rats with sample criteria weighing 150 to 200 grams, age 12 to 13 weeks, female sex, and in healthy condition. Data analysis techniques were carried out descriptively and inferentially, hypothesis testing using ANOVA test with 95% confidence level (α = 0.05) where the calculated F was obtained &gt; Ftable and Tukey/HSD (Honest Significant Difference). The results obtained that dragon fruit extract has a significant effect on the number of granulosa cells in female white rats.","author":[{"dropping-particle":"","family":"Kolaka","given":"La","non-dropping-particle":"","parse-names":false,"suffix":""},{"dropping-particle":"","family":"Sirih","given":"Muhammad","non-dropping-particle":"","parse-names":false,"suffix":""}],"container-title":"AMPIBI: Jurnal Alumni Pendidikan Biologi","id":"ITEM-2","issue":"3","issued":{"date-parts":[["2025"]]},"page":"1-6","title":"Efectiveness of dragon fruit extract (Hylocereus polyrhizus) on the number of granulosa cells of female white rats (Rattus norvegicus)","type":"article-journal","volume":"10"},"uris":["http://www.mendeley.com/documents/?uuid=601da34d-dd75-32a3-98d0-2e5145d492e7"]},{"id":"ITEM-3","itemData":{"DOI":"10.1016/j.susmat.2024.e01086","ISSN":"22149937","abstract":"Red dragon fruit (RDF, Hylocereus polyrhizus) is high in betacyanins content but is understudied for its antioxidant mechanisms in liver cells. The present study aimed to investigate the antioxidant mechanisms of the stabilised betacyanins in a novel RDF functional drink, Improved-FRDFD-dH2O (produced from mild, sustainable approaches) using HepG2 cell line. Results revealed the betacyanins of Improved-FRDFD-dH2O (12.5% and 25%, v/v) showed the highest direct scavenging effect on intracellular ROS from 75.39% to &lt;31%. The antioxidant enzymes (SOD, CAT and GPx) activities in HepG2 cells were remarkably increased, with 12.5% and 25% Improved-FRDFD-dH2O demonstrating the greatest enhancing effects. RT-qPCR proved the betacyanins of Improved-FRDFD-dH2O possessed indirect antioxidant mechanisms, where the gene expressions associated with Nrf2-ARE pathway were upregulated by all the tested sample concentrations (highest fold: 6.82). Overall, the present findings highlighted the RDF's potential in functional product development with betacyanins as the prominent bioactive compound to provide direct and indirect antioxidative and hepatoprotective activities.","author":[{"dropping-particle":"","family":"Lim","given":"Teck Wei","non-dropping-particle":"","parse-names":false,"suffix":""},{"dropping-particle":"","family":"Lim","given":"Renee Lay Hong","non-dropping-particle":"","parse-names":false,"suffix":""},{"dropping-particle":"","family":"Pui","given":"Liew Phing","non-dropping-particle":"","parse-names":false,"suffix":""},{"dropping-particle":"","family":"Tan","given":"Chin Ping","non-dropping-particle":"","parse-names":false,"suffix":""},{"dropping-particle":"","family":"Ho","given":"Chun Wai","non-dropping-particle":"","parse-names":false,"suffix":""}],"container-title":"Sustainable Materials and Technologies","id":"ITEM-3","issued":{"date-parts":[["2024","9","1"]]},"publisher":"Elsevier B.V.","title":"Studies on the antioxidant mechanisms of betacyanins from improved fermented red dragon fruit (Hylocereus polyrhizus) drink in HepG2 cells","type":"article-journal","volume":"41"},"uris":["http://www.mendeley.com/documents/?uuid=ae3bcdb1-8321-3579-98c7-0fe32851427c"]}],"mendeley":{"formattedCitation":"(Kolaka &amp; Sirih, 2025; Lim et al., 2024a; Shen et al., 2023)","plainTextFormattedCitation":"(Kolaka &amp; Sirih, 2025; Lim et al., 2024a; Shen et al., 2023)","previouslyFormattedCitation":"(Kolaka &amp; Sirih, 2025; Lim et al., 2024a; Shen et al., 2023)"},"properties":{"noteIndex":0},"schema":"https://github.com/citation-style-language/schema/raw/master/csl-citation.json"}</w:instrText>
      </w:r>
      <w:r w:rsidRPr="00B54EE7">
        <w:rPr>
          <w:rFonts w:ascii="Arial" w:hAnsi="Arial" w:cs="Arial"/>
        </w:rPr>
        <w:fldChar w:fldCharType="separate"/>
      </w:r>
      <w:r w:rsidRPr="00B54EE7">
        <w:rPr>
          <w:rFonts w:ascii="Arial" w:hAnsi="Arial" w:cs="Arial"/>
          <w:noProof/>
        </w:rPr>
        <w:t>(Kolaka &amp; Sirih, 2025; Lim et al., 2024a; Shen et al., 2023)</w:t>
      </w:r>
      <w:r w:rsidRPr="00B54EE7">
        <w:rPr>
          <w:rFonts w:ascii="Arial" w:hAnsi="Arial" w:cs="Arial"/>
        </w:rPr>
        <w:fldChar w:fldCharType="end"/>
      </w:r>
      <w:r w:rsidRPr="00B54EE7">
        <w:rPr>
          <w:rFonts w:ascii="Arial" w:hAnsi="Arial" w:cs="Arial"/>
        </w:rPr>
        <w:t xml:space="preserve">. Since the diameter of a </w:t>
      </w:r>
      <w:r w:rsidR="006C0214" w:rsidRPr="006C0214">
        <w:rPr>
          <w:rFonts w:ascii="Arial" w:hAnsi="Arial" w:cs="Arial"/>
          <w:color w:val="EE0000"/>
        </w:rPr>
        <w:t>Graafian follicle</w:t>
      </w:r>
      <w:r w:rsidR="006C0214">
        <w:rPr>
          <w:rFonts w:ascii="Arial" w:hAnsi="Arial" w:cs="Arial"/>
        </w:rPr>
        <w:t xml:space="preserve"> </w:t>
      </w:r>
      <w:r w:rsidRPr="00B54EE7">
        <w:rPr>
          <w:rFonts w:ascii="Arial" w:hAnsi="Arial" w:cs="Arial"/>
        </w:rPr>
        <w:t>is largely determined by the accumulation of follicular fluid in the</w:t>
      </w:r>
      <w:r w:rsidRPr="00B54EE7">
        <w:rPr>
          <w:rFonts w:ascii="Arial" w:hAnsi="Arial" w:cs="Arial"/>
          <w:b/>
          <w:bCs/>
        </w:rPr>
        <w:t xml:space="preserve"> </w:t>
      </w:r>
      <w:r w:rsidRPr="00B54EE7">
        <w:rPr>
          <w:rFonts w:ascii="Arial" w:hAnsi="Arial" w:cs="Arial"/>
        </w:rPr>
        <w:t>antrum and the expansion of the granulosa layer,</w:t>
      </w:r>
      <w:r w:rsidR="00A201B9" w:rsidRPr="00A201B9">
        <w:t xml:space="preserve"> </w:t>
      </w:r>
      <w:r w:rsidR="00A201B9" w:rsidRPr="00A201B9">
        <w:rPr>
          <w:rFonts w:ascii="Arial" w:hAnsi="Arial" w:cs="Arial"/>
          <w:color w:val="EE0000"/>
        </w:rPr>
        <w:t>the extract is suggested to support the physiological transition from antral to mature pre-ovulatory follicles</w:t>
      </w:r>
      <w:r w:rsidRPr="00B54EE7">
        <w:rPr>
          <w:rFonts w:ascii="Arial" w:hAnsi="Arial" w:cs="Arial"/>
        </w:rPr>
        <w:t xml:space="preserve">. Furthermore, the presence of specific phenolics like quercetin and rutin may exert a "phytoestrogen-like" effect or enhance the sensitivity of follicle cells to Follicle Stimulating Hormone (FSH) </w:t>
      </w:r>
      <w:r w:rsidRPr="00B54EE7">
        <w:rPr>
          <w:rFonts w:ascii="Arial" w:hAnsi="Arial" w:cs="Arial"/>
        </w:rPr>
        <w:fldChar w:fldCharType="begin" w:fldLock="1"/>
      </w:r>
      <w:r w:rsidRPr="00B54EE7">
        <w:rPr>
          <w:rFonts w:ascii="Arial" w:hAnsi="Arial" w:cs="Arial"/>
        </w:rPr>
        <w:instrText>ADDIN CSL_CITATION {"citationItems":[{"id":"ITEM-1","itemData":{"DOI":"10.1016/j.prenap.2025.100143","ISSN":"29501997","abstract":"Spontaneous abortion (SA) imposes significant physical, psychological, and economic burdens on affected families. This study employs network pharmacology and HPLC-MS analysis to investigate the therapeutic mechanisms of Ageratum conyzoides L. in the treatment of SA. Using HPLC-MS, we identified a diverse array of bioactive compounds in Ageratum conyzoides L., including diterpenoid alkaloids (aconitine, mesaconitine, hypaconitine), sesquiterpene lactones (levistilide A), nucleosides (inosine), coumarin derivatives (ligustilide), triterpenoids, and phenolic acids. These compounds were confirmed through retention times and mass spectrometry fragmentation patterns. Network pharmacology analysis identified 27 active components from the plant's secondary metabolites and revealed 514 related targets. In total, 2197 potential targets related to SA were identified, with 220 shared between the plant and disease. Kyoto Encyclopedia of Genes and Genomes (KEGG) pathway analysis identified 196 pathways, including the PI3K-Akt and cancer-related pathways. Molecular docking further confirmed the interactions between major compounds (quercetin, kaempferol, isorhamnetin) and key targets, such as MAPK1 and MAPK3, with strong binding affinities. Pharmacological evaluation showed that Ageratum conyzoides L. corrected Th cell imbalance by inhibiting Th2 cell differentiation, increasing the Th1/Th2 ratio, and enhancing T-bet gene expression. Serum progesterone levels significantly decreased post-abortion. Flow cytometry revealed restored Th1/Th2 differentiation, while qPCR and immunohistochemical analyses confirmed upregulation of T-bet and inhibition of GATA-3 and IL-4 expression. The extract's efficacy was confirmed across multiple experimental groups using ANOVA and Bonferroni post-hoc tests. This study highlights Ageratum conyzoides L.'s potential as a multifaceted therapeutic agent for SA, supported by its comprehensive molecular profile, revealed through HPLC-MS and network pharmacology.","author":[{"dropping-particle":"","family":"Ekozin","given":"A. A.","non-dropping-particle":"","parse-names":false,"suffix":""},{"dropping-particle":"","family":"Isola","given":"O. B.","non-dropping-particle":"","parse-names":false,"suffix":""},{"dropping-particle":"","family":"Onyijen","given":"O. H.","non-dropping-particle":"","parse-names":false,"suffix":""},{"dropping-particle":"","family":"Omojoyegbe","given":"R. T.","non-dropping-particle":"","parse-names":false,"suffix":""},{"dropping-particle":"","family":"Enerijiofi","given":"K. E.","non-dropping-particle":"","parse-names":false,"suffix":""},{"dropping-particle":"","family":"Olaitan","given":"E. O.","non-dropping-particle":"","parse-names":false,"suffix":""}],"container-title":"Pharmacological Research - Natural Products","id":"ITEM-1","issued":{"date-parts":[["2025","3","1"]]},"publisher":"Elsevier B.V.","title":"Mechanistic insights into Ageratum conyzoides L. in preventing spontaneous abortion: A computational and pharmacological study","type":"article-journal","volume":"6"},"uris":["http://www.mendeley.com/documents/?uuid=819c572f-f273-36a8-a4d9-1525135025fd"]},{"id":"ITEM-2","itemData":{"DOI":"10.1016/j.ejphar.2008.03.008","ISSN":"00142999","PMID":"18417116","abstract":"Quercetin, a member of the flavonoids family, is one of the most prominent dietary antioxidants. It is ubiquitously present in foods including vegetables, fruit, tea and wine as well as countless food supplements and is claimed to exert beneficial health effects. This includes protection against various diseases such as osteoporosis, certain forms of cancer, pulmonary and cardiovascular diseases but also against aging. Especially the ability of quercetin to scavenge highly reactive species such as peroxynitrite and the hydroxyl radical is suggested to be involved in these possible beneficial health effects. Consequently, numerous studies have been performed to gather scientific evidence for these beneficial health claims as well as data regarding the exact mechanism of action and possible toxicological aspects of this flavonoid. The purpose of this review is to evaluate these studies in order to elucidate the possible health-beneficial effects of the antioxidant quercetin. Firstly, the definitions as well as the most important aspects regarding free radicals, antioxidants and oxidative stress will be discussed as background information. Subsequently, the mechanism by which quercetin may operate as an antioxidant (tested in vitro) as well as the potential use of this antioxidant as a nutraceutical (tested both ex vivo and in vivo) will be discussed. © 2008 Elsevier B.V. All rights reserved.","author":[{"dropping-particle":"","family":"Boots","given":"Agnes W.","non-dropping-particle":"","parse-names":false,"suffix":""},{"dropping-particle":"","family":"Haenen","given":"Guido R.M.M.","non-dropping-particle":"","parse-names":false,"suffix":""},{"dropping-particle":"","family":"Bast","given":"Aalt","non-dropping-particle":"","parse-names":false,"suffix":""}],"container-title":"European Journal of Pharmacology","id":"ITEM-2","issue":"2-3","issued":{"date-parts":[["2008"]]},"page":"325-337","title":"Health effects of quercetin: From antioxidant to nutraceutical","type":"article-journal","volume":"585"},"uris":["http://www.mendeley.com/documents/?uuid=69cb320a-2456-4b3a-a4dd-9e2010365724"]},{"id":"ITEM-3","itemData":{"DOI":"10.1016/j.psj.2023.102736","ISSN":"15253171","PMID":"37209658","abstract":"Quercetin (Que), widely found in a huge variety of plants, plays important roles in ovarian function. However, to data, there have been no reports about Que regulating granulosa cells (GCs) in prehierarchical follicles in chicken. Herein, GCs from follicles diameter from 4 to 8 mm in chicken were treated by Que in vitro culture to investigate how Que exerts its effect on follicular development. GCs treated by Que in concentrations of 10, 100, and 1,000 ng/mL were tested for cell proliferation and progesterone secretion. Eight cDNA libraries were constructed from GCs (4 samples per group) to explore transcriptome expression changes. The role of the MAPK/ERK signaling pathway was validated in this process. Treatment with 100 and 1,000 ng/mL levels of Que significantly promoted cell proliferation and progesterone secretion (P &lt; 0.05). RNA-seq analysis data showed that 402 and 263 differentially expressed genes (DEGs) were up- and down-regulated, respectively. Functional enrichment analysis that the pathways related to follicular development included biosynthesis of amino acids, MAPK signaling pathway, and calcium signaling pathway. Notably, the function exerted in GCs of the different levels of Que was associated with the suppression of the MAPK pathway. In conclusion, our results proved that low levels of Que could promote MAPK signaling pathway, but high levels of Que inhibit MAPK signaling pathway in GCs from the prehierarchical follicles, promote cell proliferation and progesterone secretion, and benefit follicle selection.","author":[{"dropping-particle":"","family":"Shen","given":"Manman","non-dropping-particle":"","parse-names":false,"suffix":""},{"dropping-particle":"","family":"Li","given":"Tao","non-dropping-particle":"","parse-names":false,"suffix":""},{"dropping-particle":"","family":"Feng","given":"Yuan","non-dropping-particle":"","parse-names":false,"suffix":""},{"dropping-particle":"","family":"Wu","given":"Ping","non-dropping-particle":"","parse-names":false,"suffix":""},{"dropping-particle":"","family":"Serrano","given":"Boris Ramos","non-dropping-particle":"","parse-names":false,"suffix":""},{"dropping-particle":"","family":"Barcenas","given":"Adileidys Ruiz","non-dropping-particle":"","parse-names":false,"suffix":""},{"dropping-particle":"","family":"Qu","given":"Liang","non-dropping-particle":"","parse-names":false,"suffix":""},{"dropping-particle":"","family":"Zhao","given":"Weiguo","non-dropping-particle":"","parse-names":false,"suffix":""}],"container-title":"Poultry Science","id":"ITEM-3","issue":"7","issued":{"date-parts":[["2023","7","1"]]},"publisher":"Elsevier Inc.","title":"Effects of quercetin on granulosa cells from prehierarchical follicles by modulating MAPK signaling pathway in chicken","type":"article-journal","volume":"102"},"uris":["http://www.mendeley.com/documents/?uuid=05f56610-7917-3a8e-9cac-00a0bf944c21"]}],"mendeley":{"formattedCitation":"(Boots et al., 2008; Ekozin et al., 2025; Shen et al., 2023)","plainTextFormattedCitation":"(Boots et al., 2008; Ekozin et al., 2025; Shen et al., 2023)","previouslyFormattedCitation":"(Boots et al., 2008; Ekozin et al., 2025; Shen et al., 2023)"},"properties":{"noteIndex":0},"schema":"https://github.com/citation-style-language/schema/raw/master/csl-citation.json"}</w:instrText>
      </w:r>
      <w:r w:rsidRPr="00B54EE7">
        <w:rPr>
          <w:rFonts w:ascii="Arial" w:hAnsi="Arial" w:cs="Arial"/>
        </w:rPr>
        <w:fldChar w:fldCharType="separate"/>
      </w:r>
      <w:r w:rsidRPr="00B54EE7">
        <w:rPr>
          <w:rFonts w:ascii="Arial" w:hAnsi="Arial" w:cs="Arial"/>
          <w:noProof/>
        </w:rPr>
        <w:t>(Boots et al., 2008; Ekozin et al., 2025; Shen et al., 2023)</w:t>
      </w:r>
      <w:r w:rsidRPr="00B54EE7">
        <w:rPr>
          <w:rFonts w:ascii="Arial" w:hAnsi="Arial" w:cs="Arial"/>
        </w:rPr>
        <w:fldChar w:fldCharType="end"/>
      </w:r>
      <w:r w:rsidRPr="00B54EE7">
        <w:rPr>
          <w:rFonts w:ascii="Arial" w:hAnsi="Arial" w:cs="Arial"/>
        </w:rPr>
        <w:t xml:space="preserve">. This hormonal synergy accelerates the development of the Graafian follicles, as evidenced by the statistically significant growth observed across the treatment groups. Consequently, red dragon fruit extract serves as a promising natural agent in promoting oocyte quality and reproductive health by optimizing the final stages of </w:t>
      </w:r>
      <w:proofErr w:type="spellStart"/>
      <w:r w:rsidRPr="00B54EE7">
        <w:rPr>
          <w:rFonts w:ascii="Arial" w:hAnsi="Arial" w:cs="Arial"/>
        </w:rPr>
        <w:t>folliculogenesis</w:t>
      </w:r>
      <w:proofErr w:type="spellEnd"/>
      <w:r w:rsidRPr="00B54EE7">
        <w:rPr>
          <w:rFonts w:ascii="Arial" w:hAnsi="Arial" w:cs="Arial"/>
        </w:rPr>
        <w:t>.</w:t>
      </w:r>
    </w:p>
    <w:p w14:paraId="5A5852B4" w14:textId="77777777" w:rsidR="00A24827" w:rsidRPr="00856B97" w:rsidRDefault="00A24827" w:rsidP="0074373E">
      <w:pPr>
        <w:spacing w:line="276" w:lineRule="auto"/>
        <w:jc w:val="both"/>
        <w:rPr>
          <w:rFonts w:ascii="Arial" w:hAnsi="Arial" w:cs="Arial"/>
          <w:sz w:val="22"/>
          <w:szCs w:val="22"/>
        </w:rPr>
      </w:pPr>
    </w:p>
    <w:p w14:paraId="30865E34" w14:textId="417B1D6F" w:rsidR="00B54EE7" w:rsidRPr="00856B97" w:rsidRDefault="00662A23" w:rsidP="0074373E">
      <w:pPr>
        <w:pStyle w:val="ListParagraph"/>
        <w:numPr>
          <w:ilvl w:val="1"/>
          <w:numId w:val="31"/>
        </w:numPr>
        <w:spacing w:line="276" w:lineRule="auto"/>
        <w:ind w:left="450" w:hanging="450"/>
        <w:jc w:val="both"/>
        <w:rPr>
          <w:rFonts w:ascii="Arial" w:hAnsi="Arial" w:cs="Arial"/>
          <w:b/>
          <w:bCs/>
          <w:sz w:val="22"/>
          <w:szCs w:val="22"/>
        </w:rPr>
      </w:pPr>
      <w:r w:rsidRPr="00856B97">
        <w:rPr>
          <w:rFonts w:ascii="Arial" w:hAnsi="Arial" w:cs="Arial"/>
          <w:b/>
          <w:bCs/>
          <w:sz w:val="22"/>
          <w:szCs w:val="22"/>
        </w:rPr>
        <w:t xml:space="preserve">Histological Observations of Follicular Growth </w:t>
      </w:r>
      <w:r>
        <w:rPr>
          <w:rFonts w:ascii="Arial" w:hAnsi="Arial" w:cs="Arial"/>
          <w:b/>
          <w:bCs/>
          <w:sz w:val="22"/>
          <w:szCs w:val="22"/>
        </w:rPr>
        <w:t>a</w:t>
      </w:r>
      <w:r w:rsidRPr="00856B97">
        <w:rPr>
          <w:rFonts w:ascii="Arial" w:hAnsi="Arial" w:cs="Arial"/>
          <w:b/>
          <w:bCs/>
          <w:sz w:val="22"/>
          <w:szCs w:val="22"/>
        </w:rPr>
        <w:t>nd Development</w:t>
      </w:r>
    </w:p>
    <w:p w14:paraId="1C44A0C1" w14:textId="77777777" w:rsidR="00296D5F" w:rsidRDefault="00B54EE7" w:rsidP="0074373E">
      <w:pPr>
        <w:pStyle w:val="NormalWeb"/>
        <w:spacing w:line="276" w:lineRule="auto"/>
        <w:jc w:val="both"/>
        <w:rPr>
          <w:rFonts w:ascii="Arial" w:hAnsi="Arial" w:cs="Arial"/>
          <w:sz w:val="20"/>
          <w:szCs w:val="20"/>
        </w:rPr>
      </w:pPr>
      <w:r w:rsidRPr="00B54EE7">
        <w:rPr>
          <w:rFonts w:ascii="Arial" w:hAnsi="Arial" w:cs="Arial"/>
          <w:sz w:val="20"/>
          <w:szCs w:val="20"/>
        </w:rPr>
        <w:t>The quantitative increase in the diameter of Graafian follicles is consistent with the histological appearance of the ovaries observed under the microscope (</w:t>
      </w:r>
      <w:r w:rsidRPr="00B54EE7">
        <w:rPr>
          <w:rFonts w:ascii="Arial" w:hAnsi="Arial" w:cs="Arial"/>
          <w:b/>
          <w:bCs/>
          <w:sz w:val="20"/>
          <w:szCs w:val="20"/>
        </w:rPr>
        <w:t>Fig. 2</w:t>
      </w:r>
      <w:r w:rsidRPr="00B54EE7">
        <w:rPr>
          <w:rFonts w:ascii="Arial" w:hAnsi="Arial" w:cs="Arial"/>
          <w:sz w:val="20"/>
          <w:szCs w:val="20"/>
        </w:rPr>
        <w:t>). In the treatment groups (P</w:t>
      </w:r>
      <w:r w:rsidRPr="00B54EE7">
        <w:rPr>
          <w:rFonts w:ascii="Arial" w:hAnsi="Arial" w:cs="Arial"/>
          <w:sz w:val="20"/>
          <w:szCs w:val="20"/>
          <w:vertAlign w:val="subscript"/>
        </w:rPr>
        <w:t>1</w:t>
      </w:r>
      <w:r w:rsidRPr="00B54EE7">
        <w:rPr>
          <w:rFonts w:ascii="Arial" w:hAnsi="Arial" w:cs="Arial"/>
          <w:sz w:val="20"/>
          <w:szCs w:val="20"/>
        </w:rPr>
        <w:t>, P</w:t>
      </w:r>
      <w:r w:rsidRPr="00B54EE7">
        <w:rPr>
          <w:rFonts w:ascii="Arial" w:hAnsi="Arial" w:cs="Arial"/>
          <w:sz w:val="20"/>
          <w:szCs w:val="20"/>
          <w:vertAlign w:val="subscript"/>
        </w:rPr>
        <w:t>2</w:t>
      </w:r>
      <w:r w:rsidRPr="00B54EE7">
        <w:rPr>
          <w:rFonts w:ascii="Arial" w:hAnsi="Arial" w:cs="Arial"/>
          <w:sz w:val="20"/>
          <w:szCs w:val="20"/>
        </w:rPr>
        <w:t>, and P</w:t>
      </w:r>
      <w:r w:rsidRPr="00B54EE7">
        <w:rPr>
          <w:rFonts w:ascii="Arial" w:hAnsi="Arial" w:cs="Arial"/>
          <w:sz w:val="20"/>
          <w:szCs w:val="20"/>
          <w:vertAlign w:val="subscript"/>
        </w:rPr>
        <w:t>3</w:t>
      </w:r>
      <w:r w:rsidRPr="00B54EE7">
        <w:rPr>
          <w:rFonts w:ascii="Arial" w:hAnsi="Arial" w:cs="Arial"/>
          <w:sz w:val="20"/>
          <w:szCs w:val="20"/>
        </w:rPr>
        <w:t>), a more substantial development of follicular structures was observed compared to the control group. Based on the observations, Graafian follicles were characterized by the formation of a large antrum (cavity) filled with follicular fluid (</w:t>
      </w:r>
      <w:r w:rsidRPr="00B54EE7">
        <w:rPr>
          <w:rFonts w:ascii="Arial" w:hAnsi="Arial" w:cs="Arial"/>
          <w:i/>
          <w:iCs/>
          <w:sz w:val="20"/>
          <w:szCs w:val="20"/>
        </w:rPr>
        <w:t>liquor folliculi</w:t>
      </w:r>
      <w:r w:rsidRPr="00B54EE7">
        <w:rPr>
          <w:rFonts w:ascii="Arial" w:hAnsi="Arial" w:cs="Arial"/>
          <w:sz w:val="20"/>
          <w:szCs w:val="20"/>
        </w:rPr>
        <w:t>), as well as an oocyte surrounded by a thick layer of granulosa cells.</w:t>
      </w:r>
    </w:p>
    <w:p w14:paraId="72572DE8" w14:textId="2E9B70D6" w:rsidR="00515D19" w:rsidRDefault="00B54EE7" w:rsidP="0074373E">
      <w:pPr>
        <w:pStyle w:val="NormalWeb"/>
        <w:spacing w:line="276" w:lineRule="auto"/>
        <w:jc w:val="both"/>
        <w:rPr>
          <w:rFonts w:ascii="Arial" w:hAnsi="Arial" w:cs="Arial"/>
          <w:sz w:val="20"/>
          <w:szCs w:val="20"/>
        </w:rPr>
      </w:pPr>
      <w:r w:rsidRPr="00B54EE7">
        <w:rPr>
          <w:rFonts w:ascii="Arial" w:hAnsi="Arial" w:cs="Arial"/>
          <w:b/>
          <w:bCs/>
          <w:sz w:val="20"/>
          <w:szCs w:val="20"/>
        </w:rPr>
        <w:lastRenderedPageBreak/>
        <w:t>Figure 2</w:t>
      </w:r>
      <w:r w:rsidRPr="00B54EE7">
        <w:rPr>
          <w:rFonts w:ascii="Arial" w:hAnsi="Arial" w:cs="Arial"/>
          <w:sz w:val="20"/>
          <w:szCs w:val="20"/>
        </w:rPr>
        <w:t xml:space="preserve"> illustrates that the Graafian follicles in the control group (P</w:t>
      </w:r>
      <w:r w:rsidRPr="00B54EE7">
        <w:rPr>
          <w:rFonts w:ascii="Arial" w:hAnsi="Arial" w:cs="Arial"/>
          <w:sz w:val="20"/>
          <w:szCs w:val="20"/>
          <w:vertAlign w:val="subscript"/>
        </w:rPr>
        <w:t>0</w:t>
      </w:r>
      <w:r w:rsidRPr="00B54EE7">
        <w:rPr>
          <w:rFonts w:ascii="Arial" w:hAnsi="Arial" w:cs="Arial"/>
          <w:sz w:val="20"/>
          <w:szCs w:val="20"/>
        </w:rPr>
        <w:t>) exhibit the smallest diameter, characterized by a narrow antrum and a relatively small ovum. In contrast, the administration of red dragon fruit extract at a dose of 500 mg/kg BW (P</w:t>
      </w:r>
      <w:r w:rsidRPr="00B54EE7">
        <w:rPr>
          <w:rFonts w:ascii="Arial" w:hAnsi="Arial" w:cs="Arial"/>
          <w:sz w:val="20"/>
          <w:szCs w:val="20"/>
          <w:vertAlign w:val="subscript"/>
        </w:rPr>
        <w:t>1</w:t>
      </w:r>
      <w:r w:rsidRPr="00B54EE7">
        <w:rPr>
          <w:rFonts w:ascii="Arial" w:hAnsi="Arial" w:cs="Arial"/>
          <w:sz w:val="20"/>
          <w:szCs w:val="20"/>
        </w:rPr>
        <w:t>) leads to an observable increase in follicle size, driven by antral expansion and a larger ovum. This upward trend continues in the 600 mg/kg BW group (P</w:t>
      </w:r>
      <w:r w:rsidRPr="00B54EE7">
        <w:rPr>
          <w:rFonts w:ascii="Arial" w:hAnsi="Arial" w:cs="Arial"/>
          <w:sz w:val="20"/>
          <w:szCs w:val="20"/>
          <w:vertAlign w:val="subscript"/>
        </w:rPr>
        <w:t>2</w:t>
      </w:r>
      <w:r w:rsidRPr="00B54EE7">
        <w:rPr>
          <w:rFonts w:ascii="Arial" w:hAnsi="Arial" w:cs="Arial"/>
          <w:sz w:val="20"/>
          <w:szCs w:val="20"/>
        </w:rPr>
        <w:t>), where the follicle diameter further enlarges due to an expanded antrum, a denser layer of granulosa cells, and a significantly larger ovum. The most prominent growth is recorded in the 700 mg/kg BW group (P</w:t>
      </w:r>
      <w:r w:rsidRPr="00B54EE7">
        <w:rPr>
          <w:rFonts w:ascii="Arial" w:hAnsi="Arial" w:cs="Arial"/>
          <w:sz w:val="20"/>
          <w:szCs w:val="20"/>
          <w:vertAlign w:val="subscript"/>
        </w:rPr>
        <w:t>3</w:t>
      </w:r>
      <w:r w:rsidRPr="00B54EE7">
        <w:rPr>
          <w:rFonts w:ascii="Arial" w:hAnsi="Arial" w:cs="Arial"/>
          <w:sz w:val="20"/>
          <w:szCs w:val="20"/>
        </w:rPr>
        <w:t>), showing the largest diameter facilitated by a massive antrum, a high density of follicular cells, and a fully developed ovum.</w:t>
      </w:r>
    </w:p>
    <w:p w14:paraId="45E573D4" w14:textId="79BD684C" w:rsidR="00B54EE7" w:rsidRPr="00B54EE7" w:rsidRDefault="00B54EE7" w:rsidP="0074373E">
      <w:pPr>
        <w:pStyle w:val="NormalWeb"/>
        <w:spacing w:line="276" w:lineRule="auto"/>
        <w:jc w:val="both"/>
        <w:rPr>
          <w:rFonts w:ascii="Arial" w:hAnsi="Arial" w:cs="Arial"/>
          <w:sz w:val="20"/>
          <w:szCs w:val="20"/>
        </w:rPr>
      </w:pPr>
      <w:r w:rsidRPr="00B54EE7">
        <w:rPr>
          <w:rFonts w:ascii="Arial" w:hAnsi="Arial" w:cs="Arial"/>
          <w:sz w:val="20"/>
          <w:szCs w:val="20"/>
        </w:rPr>
        <w:t xml:space="preserve">These findings suggest that dragon fruit extract may enhance Graafian follicle diameter compared to the control, with an observed dose-dependent response. This development could be attributed to the presence of bioactive compounds in the extract, such as flavonoids (specifically quercetin), which have been reported in literature to promote the proliferation of follicle cells and protect them from oxidative damage </w:t>
      </w:r>
      <w:r w:rsidRPr="00B54EE7">
        <w:rPr>
          <w:rFonts w:ascii="Arial" w:hAnsi="Arial" w:cs="Arial"/>
          <w:sz w:val="20"/>
          <w:szCs w:val="20"/>
        </w:rPr>
        <w:fldChar w:fldCharType="begin" w:fldLock="1"/>
      </w:r>
      <w:r w:rsidRPr="00B54EE7">
        <w:rPr>
          <w:rFonts w:ascii="Arial" w:hAnsi="Arial" w:cs="Arial"/>
          <w:sz w:val="20"/>
          <w:szCs w:val="20"/>
        </w:rPr>
        <w:instrText>ADDIN CSL_CITATION {"citationItems":[{"id":"ITEM-1","itemData":{"DOI":"10.1016/j.psj.2023.102736","ISSN":"15253171","PMID":"37209658","abstract":"Quercetin (Que), widely found in a huge variety of plants, plays important roles in ovarian function. However, to data, there have been no reports about Que regulating granulosa cells (GCs) in prehierarchical follicles in chicken. Herein, GCs from follicles diameter from 4 to 8 mm in chicken were treated by Que in vitro culture to investigate how Que exerts its effect on follicular development. GCs treated by Que in concentrations of 10, 100, and 1,000 ng/mL were tested for cell proliferation and progesterone secretion. Eight cDNA libraries were constructed from GCs (4 samples per group) to explore transcriptome expression changes. The role of the MAPK/ERK signaling pathway was validated in this process. Treatment with 100 and 1,000 ng/mL levels of Que significantly promoted cell proliferation and progesterone secretion (P &lt; 0.05). RNA-seq analysis data showed that 402 and 263 differentially expressed genes (DEGs) were up- and down-regulated, respectively. Functional enrichment analysis that the pathways related to follicular development included biosynthesis of amino acids, MAPK signaling pathway, and calcium signaling pathway. Notably, the function exerted in GCs of the different levels of Que was associated with the suppression of the MAPK pathway. In conclusion, our results proved that low levels of Que could promote MAPK signaling pathway, but high levels of Que inhibit MAPK signaling pathway in GCs from the prehierarchical follicles, promote cell proliferation and progesterone secretion, and benefit follicle selection.","author":[{"dropping-particle":"","family":"Shen","given":"Manman","non-dropping-particle":"","parse-names":false,"suffix":""},{"dropping-particle":"","family":"Li","given":"Tao","non-dropping-particle":"","parse-names":false,"suffix":""},{"dropping-particle":"","family":"Feng","given":"Yuan","non-dropping-particle":"","parse-names":false,"suffix":""},{"dropping-particle":"","family":"Wu","given":"Ping","non-dropping-particle":"","parse-names":false,"suffix":""},{"dropping-particle":"","family":"Serrano","given":"Boris Ramos","non-dropping-particle":"","parse-names":false,"suffix":""},{"dropping-particle":"","family":"Barcenas","given":"Adileidys Ruiz","non-dropping-particle":"","parse-names":false,"suffix":""},{"dropping-particle":"","family":"Qu","given":"Liang","non-dropping-particle":"","parse-names":false,"suffix":""},{"dropping-particle":"","family":"Zhao","given":"Weiguo","non-dropping-particle":"","parse-names":false,"suffix":""}],"container-title":"Poultry Science","id":"ITEM-1","issue":"7","issued":{"date-parts":[["2023","7","1"]]},"publisher":"Elsevier Inc.","title":"Effects of quercetin on granulosa cells from prehierarchical follicles by modulating MAPK signaling pathway in chicken","type":"article-journal","volume":"102"},"uris":["http://www.mendeley.com/documents/?uuid=05f56610-7917-3a8e-9cac-00a0bf944c21"]},{"id":"ITEM-2","itemData":{"DOI":"10.1016/j.prenap.2025.100143","ISSN":"29501997","abstract":"Spontaneous abortion (SA) imposes significant physical, psychological, and economic burdens on affected families. This study employs network pharmacology and HPLC-MS analysis to investigate the therapeutic mechanisms of Ageratum conyzoides L. in the treatment of SA. Using HPLC-MS, we identified a diverse array of bioactive compounds in Ageratum conyzoides L., including diterpenoid alkaloids (aconitine, mesaconitine, hypaconitine), sesquiterpene lactones (levistilide A), nucleosides (inosine), coumarin derivatives (ligustilide), triterpenoids, and phenolic acids. These compounds were confirmed through retention times and mass spectrometry fragmentation patterns. Network pharmacology analysis identified 27 active components from the plant's secondary metabolites and revealed 514 related targets. In total, 2197 potential targets related to SA were identified, with 220 shared between the plant and disease. Kyoto Encyclopedia of Genes and Genomes (KEGG) pathway analysis identified 196 pathways, including the PI3K-Akt and cancer-related pathways. Molecular docking further confirmed the interactions between major compounds (quercetin, kaempferol, isorhamnetin) and key targets, such as MAPK1 and MAPK3, with strong binding affinities. Pharmacological evaluation showed that Ageratum conyzoides L. corrected Th cell imbalance by inhibiting Th2 cell differentiation, increasing the Th1/Th2 ratio, and enhancing T-bet gene expression. Serum progesterone levels significantly decreased post-abortion. Flow cytometry revealed restored Th1/Th2 differentiation, while qPCR and immunohistochemical analyses confirmed upregulation of T-bet and inhibition of GATA-3 and IL-4 expression. The extract's efficacy was confirmed across multiple experimental groups using ANOVA and Bonferroni post-hoc tests. This study highlights Ageratum conyzoides L.'s potential as a multifaceted therapeutic agent for SA, supported by its comprehensive molecular profile, revealed through HPLC-MS and network pharmacology.","author":[{"dropping-particle":"","family":"Ekozin","given":"A. A.","non-dropping-particle":"","parse-names":false,"suffix":""},{"dropping-particle":"","family":"Isola","given":"O. B.","non-dropping-particle":"","parse-names":false,"suffix":""},{"dropping-particle":"","family":"Onyijen","given":"O. H.","non-dropping-particle":"","parse-names":false,"suffix":""},{"dropping-particle":"","family":"Omojoyegbe","given":"R. T.","non-dropping-particle":"","parse-names":false,"suffix":""},{"dropping-particle":"","family":"Enerijiofi","given":"K. E.","non-dropping-particle":"","parse-names":false,"suffix":""},{"dropping-particle":"","family":"Olaitan","given":"E. O.","non-dropping-particle":"","parse-names":false,"suffix":""}],"container-title":"Pharmacological Research - Natural Products","id":"ITEM-2","issued":{"date-parts":[["2025","3","1"]]},"publisher":"Elsevier B.V.","title":"Mechanistic insights into Ageratum conyzoides L. in preventing spontaneous abortion: A computational and pharmacological study","type":"article-journal","volume":"6"},"uris":["http://www.mendeley.com/documents/?uuid=819c572f-f273-36a8-a4d9-1525135025fd"]},{"id":"ITEM-3","itemData":{"DOI":"10.1016/j.heliyon.2020.e04102","ISSN":"24058440","abstract":"Over the past few decades, complementary medicine therapy using medicinal plants have been developed in healthcare. Phytochemical studies about medicinal plants have been conducted to verify their potency as medicinal remedies in modern therapeutics. Dipterocarpus littoralis commonly known as Meranti Jawa in Indonesia is traditionally used to treat diseases such as diarrhea, diabetic and malaria. This study aimed to isolate bioactive compounds from D. littoralis using bioguided fractionation method. The bioactivity measured were antioxidant, antidiabetic, and antiplasmodial activity. Alpha-glucosidase and alpha-amylase assays were applied to estimate the in vitro antidiabetic activity of D. littoralis. The antioxidant activities were determined by using the free radical scavenging assays 1,1-diphenyl-2-picrylhydrazyl (DPPH) and 2-2″-azino-bis(3-ethylbenzothiazoline-6-sulfonic acid) (ABTS). Analysis of total flavonoid and phenolic contents were expressed as Quercetin Equivalent (QE) and Gallic Acid Equivalent (GAE), respectively. The in vitro antiplasmodial activity test of methanol extract of D. littoralis was also conducted against Plasmodium falciparum strain 3D7. Purification of the ethyl acetate fraction of the methanol extract of D. littoralis resulted in an oligostilbenes namely α-viniferin (1). The structure of the α-viniferin was characterized by comprehensive spectral analysis including IR, 1D and 2D NMR, and in comparison with the literature data. Compound 1 showed an alpha-glucosidase and alpha-amylase inhibitory activity with IC50 values of 256.17 and 212.79 μg/mL, respectively. The in vitro antiplasmodial activity test against Plasmodium falciparum strain 3D7 at a concentration of 100 μg/mL revealed a strong antiplasmodial inhibitory activity with IC50 value of 2.76 μg/mL. Our findings indicated that α-viniferin (1) which is isolated from D. littoralis extract could be regarded as potential antidiabetic and antiplasmodial resources in the future.","author":[{"dropping-particle":"","family":"Lulan","given":"Theodore Y.K.","non-dropping-particle":"","parse-names":false,"suffix":""},{"dropping-particle":"","family":"Fatmawati","given":"Sri","non-dropping-particle":"","parse-names":false,"suffix":""},{"dropping-particle":"","family":"Santoso","given":"Mardi","non-dropping-particle":"","parse-names":false,"suffix":""},{"dropping-particle":"","family":"Ersam","given":"Taslim","non-dropping-particle":"","parse-names":false,"suffix":""}],"container-title":"Heliyon","id":"ITEM-3","issue":"5","issued":{"date-parts":[["2020"]]},"page":"e04102","publisher":"Elsevier Ltd","title":"α-VINIFERIN as a potential antidiabetic and antiplasmodial extracted from Dipterocarpus littoralis","type":"article-journal","volume":"6"},"uris":["http://www.mendeley.com/documents/?uuid=5d99f313-93cd-4cf5-8398-4747ca209cda"]},{"id":"ITEM-4","itemData":{"DOI":"10.1016/j.metop.2022.100201","ISSN":"25899368","abstract":"BACKGROUND Polycystic ovary syndrome (PCOS) is an endocrine disorder, affecting women of reproductive age. Ageratum conyzoïdes (AGC) is used traditionally in the treatment of fever, rheumatism, and ulcer. This study investigates the effects of AGC on ovarian-uterine in PCOS rats. METHODS Female rats were randomized into four groups (n = 6). Group A control received 2 ml distilled water. Group B received a single dose of 4 mg/kg body weight (bwt) i.p estradiol valerate (EV). Group C received 500 mg/kg bwt AGC and group D received a single dose of 4 mg/kg bwt i.p EV followed by 500 mg/kg bwt AGC orally for 30 days. Parameters tested include follicle-stimulating hormone (FSH), luteinizing hormone (LH), testosterone (T), estradiol (E2), progesterone (P), C-reactive protein (CRP), interleukin (IL)-6, IL-18 and tumor necrosis factor (TNF)- α, malondialdehyde (MDA), superoxide dismutase (SOD), Catalase (CAT), total protein (TP), total cholesterol (TC), triglycerides (TG), low-density lipoprotein cholesterol (LDL), high-density lipoprotein cholesterol (HDL), and ovary and uterus histomorphometric. RESULTS Ageratum conyzoides decrease insulin resistance, obesity indices, TC, TG, LDL, MDA, T, LH, FSH, CRP, IL-6, IL-18, and TNF- α in PCOS rats. And increase HDL, E2, P, TP, CAT, and SOD in PCOS rats. AGC improved ovary and uterus histo-architecture, tertiary, and Graafian follicles, corpus luteum and endometrial thickness increased,and cystic and atretic follicles decreased. CONCLUSION Ageratum conyzoides improved insulin sensitivity, antioxidant activities, hormonal imbalance, inflammatory makers, and histological changes in PCOS rats. Therefore AGC can be used as a potential adjuvant agent in the treatment of PCOS.","author":[{"dropping-particle":"","family":"Adelakun","given":"Sunday Aderemi","non-dropping-particle":"","parse-names":false,"suffix":""},{"dropping-particle":"","family":"Ukwenya","given":"Victor Okoliko","non-dropping-particle":"","parse-names":false,"suffix":""},{"dropping-particle":"","family":"Peter","given":"Akwu Bala","non-dropping-particle":"","parse-names":false,"suffix":""},{"dropping-particle":"","family":"Siyanbade","given":"Adewale Jacob","non-dropping-particle":"","parse-names":false,"suffix":""},{"dropping-particle":"","family":"Akinwumiju","given":"Comfort Oluwakorede","non-dropping-particle":"","parse-names":false,"suffix":""}],"container-title":"Metabolism Open","id":"ITEM-4","issued":{"date-parts":[["2022","9"]]},"page":"100201","publisher":"Elsevier BV","title":"Therapeutic effects of aqueous extract of bioactive active component of Ageratum conyzoides on the ovarian-uterine and hypophysis-gonadal axis in rat with polycystic ovary syndrome: Histomorphometric evaluation and biochemical assessment","type":"article-journal","volume":"15"},"uris":["http://www.mendeley.com/documents/?uuid=f5784603-1e52-3d4d-befa-d1fe6e6d88f5"]},{"id":"ITEM-5","itemData":{"DOI":"10.4314/bcse.v40i3.2","ISSN":"1726801X","abstract":"This study investigated the phytochemical composition, evaluated the acute toxicity, and potential fertility-enhancing effects of a hydroethanolic extract obtained from Ajuga iva (L.) aerial parts. The extraction yielded 23.8%, and analysis revealed a high concentration of phenolics (182.21± 0.51mg Eq GAE/g DW extract) and flavonoids (46.75± 0.85mg Eq QE/g DW extract). Using HPLC-ESI-MS/MS, we identified twenty-one metabolites, with phytoecdysteroids and flavonoids being the most abundant. No signs of mortality or toxicity were recorded over 14 days following a single orally administered dose of 2000 mg/kg. Notably, the extract significantly increased the weights of the ovaries and genital tract (p &lt; 0.01), resulting in a more than 2.5-fold rise compared to controls. Histological study confirmed enhanced follicular development, especially at the 20 mg/kg dose, characterized by a greater number of tertiary and Graafian follicles. Molecular docking analysis further revealed strong binding affinities of apigenin, naringenin-7-O-rutinoside, naringenin, campestanol trans-ferulate, and ajugasterone C with key reproductive hormone receptors, suggesting their possible role in stimulating folliculogenesis. Altogether, these findings highlight the promise of Ajuga iva (L.) as a natural fertility enhancer and support the need for further research.","author":[{"dropping-particle":"","family":"Salem","given":"Zineb","non-dropping-particle":"","parse-names":false,"suffix":""},{"dropping-particle":"","family":"Zermane","given":"Faiza","non-dropping-particle":"","parse-names":false,"suffix":""},{"dropping-particle":"","family":"Cheknane","given":"Benamar","non-dropping-particle":"","parse-names":false,"suffix":""},{"dropping-particle":"","family":"Chader","given":"Henni","non-dropping-particle":"","parse-names":false,"suffix":""},{"dropping-particle":"","family":"Djellouli","given":"Salim","non-dropping-particle":"","parse-names":false,"suffix":""},{"dropping-particle":"","family":"Touzout","given":"Nabil","non-dropping-particle":"","parse-names":false,"suffix":""},{"dropping-particle":"","family":"El-Beltagi","given":"Hossam S.","non-dropping-particle":"","parse-names":false,"suffix":""},{"dropping-particle":"","family":"Al-Dossary","given":"Othman","non-dropping-particle":"","parse-names":false,"suffix":""},{"dropping-particle":"","family":"Alsubaie","given":"Bader","non-dropping-particle":"","parse-names":false,"suffix":""},{"dropping-particle":"","family":"Rezk","given":"Adel A.","non-dropping-particle":"","parse-names":false,"suffix":""},{"dropping-particle":"","family":"Ismail","given":"Ahmed Mahmoud","non-dropping-particle":"","parse-names":false,"suffix":""},{"dropping-particle":"","family":"Elmenofy","given":"Wael","non-dropping-particle":"","parse-names":false,"suffix":""}],"container-title":"Bulletin of the Chemical Society of Ethiopia","id":"ITEM-5","issue":"3","issued":{"date-parts":[["2026"]]},"page":"501-517","publisher":"Chemical Society of Ethiopia","title":"Phytochemical characterization and female fertility-enhancing potential of ajugaiva (L.) extract: insights from in vivo and toxicological studies","type":"article-journal","volume":"40"},"uris":["http://www.mendeley.com/documents/?uuid=b7a95599-0103-3417-bb33-1f6eec6f8fcd"]}],"mendeley":{"formattedCitation":"(Adelakun et al., 2022; Ekozin et al., 2025; Lulan et al., 2020; Salem et al., 2026; Shen et al., 2023)","plainTextFormattedCitation":"(Adelakun et al., 2022; Ekozin et al., 2025; Lulan et al., 2020; Salem et al., 2026; Shen et al., 2023)","previouslyFormattedCitation":"(Adelakun et al., 2022; Ekozin et al., 2025; Lulan et al., 2020; Salem et al., 2026; Shen et al., 2023)"},"properties":{"noteIndex":0},"schema":"https://github.com/citation-style-language/schema/raw/master/csl-citation.json"}</w:instrText>
      </w:r>
      <w:r w:rsidRPr="00B54EE7">
        <w:rPr>
          <w:rFonts w:ascii="Arial" w:hAnsi="Arial" w:cs="Arial"/>
          <w:sz w:val="20"/>
          <w:szCs w:val="20"/>
        </w:rPr>
        <w:fldChar w:fldCharType="separate"/>
      </w:r>
      <w:r w:rsidRPr="00B54EE7">
        <w:rPr>
          <w:rFonts w:ascii="Arial" w:hAnsi="Arial" w:cs="Arial"/>
          <w:noProof/>
          <w:sz w:val="20"/>
          <w:szCs w:val="20"/>
        </w:rPr>
        <w:t>(Adelakun et al., 2022; Ekozin et al., 2025; Lulan et al., 2020; Salem et al., 2026; Shen et al., 2023)</w:t>
      </w:r>
      <w:r w:rsidRPr="00B54EE7">
        <w:rPr>
          <w:rFonts w:ascii="Arial" w:hAnsi="Arial" w:cs="Arial"/>
          <w:sz w:val="20"/>
          <w:szCs w:val="20"/>
        </w:rPr>
        <w:fldChar w:fldCharType="end"/>
      </w:r>
      <w:r w:rsidRPr="00B54EE7">
        <w:rPr>
          <w:rFonts w:ascii="Arial" w:hAnsi="Arial" w:cs="Arial"/>
          <w:sz w:val="20"/>
          <w:szCs w:val="20"/>
        </w:rPr>
        <w:t xml:space="preserve">. Quercetin works by upregulating proteins associated with cell proliferation, such as cyclins and growth factors, thereby increasing the overall follicle diameter. Additionally, the extract's vitamin C content plays a vital role in mitigating oxidative stress and modulating hormonal regulations, including estrogen levels. As a potent antioxidant, vitamin C neutralizes free radicals particularly those generated by excessive glutamate receptor activity in the ovaries ensuring the structural integrity and health of the Graafian follicles </w:t>
      </w:r>
      <w:r w:rsidRPr="00B54EE7">
        <w:rPr>
          <w:rFonts w:ascii="Arial" w:hAnsi="Arial" w:cs="Arial"/>
          <w:sz w:val="20"/>
          <w:szCs w:val="20"/>
        </w:rPr>
        <w:fldChar w:fldCharType="begin" w:fldLock="1"/>
      </w:r>
      <w:r w:rsidRPr="00B54EE7">
        <w:rPr>
          <w:rFonts w:ascii="Arial" w:hAnsi="Arial" w:cs="Arial"/>
          <w:sz w:val="20"/>
          <w:szCs w:val="20"/>
        </w:rPr>
        <w:instrText>ADDIN CSL_CITATION {"citationItems":[{"id":"ITEM-1","itemData":{"DOI":"10.1038/s41598-021-81682-x","ISSN":"20452322","PMID":"33536453","abstract":"Dragon fruit (Hylocereus spp.), an important tropical fruit belonging to the family Cactaceae, is rich in essential nutrients such as vitamins, minerals, complex carbohydrates, dietary fibres and antioxidants. This study aims to distinguish three dragon fruit species well adapted to Andaman and Nicobar Island through morphological (34 quantitative and 26 qualitative traits), biochemical (5 traits) and molecular (14 ISSR primers) characterization. Morphological characterization revealed that presence of considerable amount of genetic variations among them especially for fruit characters viz., colour of peel and pulp. Cladode characters such as number of spines (3–5), length of areoles (mm) as 1–4, margin ribs of cladode (convex or concave) and its waxiness (weak or strong white waxy or light waxy) could be used for identification of three Hylocereus spp. under present study. Highest co-efficient of variation (%) obtained for pulp weight (88.7), whereas, lowest in distance of anthers belowstigma (3.3). Fruit and pulp weight (g) ranged from 26.5–419.3 and 10.3–258.8 with mean value of 204.8 and 125.3, respectively. Comparatively, high phenol (71.3–161.3) and flavonoid (26.6–508.2) content observed in peels than pulp (32.5–130.0 and 45.0–258.2) of fruit indicating higher antioxidant potential. Highest total carotenoids (µg 100 g−1), β-carotene (µg 100 g−1) and xanthophyll (µg g−1) content obtained in pulp on DGF3 (33.8), DGF4 (55.9) and DGF3 (32.7), whereas, in peel on DGF2 (24.3), DGF4 (18.5) and DGF2 (24.1), respectively. DPPH-based scavenging activity (%) revealed higher scavenging activity of peels (55.6–81.2) than pulp (36.0–75.3) extracts. Comparatively, ABTS-based scavenging activity (%) was found more than DPPH-based one. Sixteen ISSR primers screened, 14 were produced 178 reproducible amplified bands. Number of amplified bands varied from 5 in UBC887 to 19 in UBC811 with an average of 12.71 bands per primer. Range of polymorphic bands and % polymorphism observed were 1–13 and 20.0–92.8, respectively. The polymorphic information content value of ISSR marker ranged from 0.42 (UBC895) to 0.91 (UBC 856). Cluster analysis distinguished three different Hylocereus species on the basis of geographic origin and pulp colour by forming separate groups and two genotypes each showed 52% (DGF1 and DGF3) and 76% (DGF2 and DGF4) genetic similarity. Key traits identified for distinguishing three different Hylocereus species were: Pulp/ peel colour of fruits, number…","author":[{"dropping-particle":"","family":"Abirami","given":"K.","non-dropping-particle":"","parse-names":false,"suffix":""},{"dropping-particle":"","family":"Swain","given":"S.","non-dropping-particle":"","parse-names":false,"suffix":""},{"dropping-particle":"","family":"Baskaran","given":"V.","non-dropping-particle":"","parse-names":false,"suffix":""},{"dropping-particle":"","family":"Venkatesan","given":"K.","non-dropping-particle":"","parse-names":false,"suffix":""},{"dropping-particle":"","family":"Sakthivel","given":"K.","non-dropping-particle":"","parse-names":false,"suffix":""},{"dropping-particle":"","family":"Bommayasamy","given":"N.","non-dropping-particle":"","parse-names":false,"suffix":""}],"container-title":"Scientific Reports","id":"ITEM-1","issue":"1","issued":{"date-parts":[["2021","12","1"]]},"publisher":"Nature Research","title":"Distinguishing three Dragon fruit (Hylocereus spp.) species grown in Andaman and Nicobar Islands of India using morphological, biochemical and molecular traits","type":"article-journal","volume":"11"},"uris":["http://www.mendeley.com/documents/?uuid=7898419f-ebb5-3a10-88b3-55ebb6fec912"]},{"id":"ITEM-2","itemData":{"DOI":"10.1016/j.ijbiomac.2025.149051","ISSN":"18790003","PMID":"41242448","abstract":"Dragon fruit production generates a substantial amount of agricultural waste, including peels, seeds, pulp residues, and foliage, which are often discarded despite their rich content of valuable bioactive compounds. Among these, polysaccharides are highly promising yet underexploited with diverse biological activities. This review comprehensively summarizes the types of polysaccharides found in dragon fruit waste, recent advancements in the extraction, purification, and functional evaluation of polysaccharides obtained from dragon fruit waste. These polysaccharides exhibit a wide range of biological activities, including strong antioxidant activity, anti-inflammatory effects, prebiotic properties beneficial for gut health, anti-diabetic and metabolic regulatory functions, wound healing promotion, and antibacterial actions. Because of the covalent combination of dragon fruit polysaccharide and betaine, it can effectively scavenge various free radicals, delay aging and cell damage, and make it have strong antioxidant capacity. On the contrary, the antioxidant capacity of ordinary fruit polysaccharides is limited, mainly relying on the synergistic effect of vitamin C, polyphenols and other components in fruits. What's more, the high-value applications of these polysaccharides across multiple sectors are also discussed, including their use as functional ingredients in the food industry, therapeutic agents in pharmaceutical and biomedical fields, active compounds in cosmetic and personal care formulations, and eco-friendly materials for environmental and agricultural applications. This review provides valuable insights and guidance for further research, development, and utilization of proposed to facilitate the full realization of dragon fruit waste polysaccharides as renewable resources for high-value applications.","author":[{"dropping-particle":"","family":"Cheong","given":"Kit Leong","non-dropping-particle":"","parse-names":false,"suffix":""},{"dropping-particle":"","family":"Li","given":"Jiajing","non-dropping-particle":"","parse-names":false,"suffix":""},{"dropping-particle":"","family":"Tang","given":"Dongqing","non-dropping-particle":"","parse-names":false,"suffix":""},{"dropping-particle":"","family":"Wang","given":"Min","non-dropping-particle":"","parse-names":false,"suffix":""},{"dropping-particle":"","family":"He","given":"Yunhua","non-dropping-particle":"","parse-names":false,"suffix":""},{"dropping-particle":"","family":"Liew","given":"Ahluk","non-dropping-particle":"","parse-names":false,"suffix":""},{"dropping-particle":"","family":"Ji","given":"Xiaolong","non-dropping-particle":"","parse-names":false,"suffix":""},{"dropping-particle":"","family":"Zhong","given":"Hai Jing","non-dropping-particle":"","parse-names":false,"suffix":""},{"dropping-particle":"","family":"Zhong","given":"Saiyi","non-dropping-particle":"","parse-names":false,"suffix":""},{"dropping-particle":"","family":"Sathuvan","given":"Malairaj","non-dropping-particle":"","parse-names":false,"suffix":""}],"container-title":"International Journal of Biological Macromolecules","id":"ITEM-2","issued":{"date-parts":[["2025","12","1"]]},"publisher":"Elsevier B.V.","title":"From waste to wealth: A review of emerging approaches for utilizing dragon fruit (pitaya) waste polysaccharides in value-added bioproducts","type":"article","volume":"334"},"uris":["http://www.mendeley.com/documents/?uuid=973daf05-369f-3459-80eb-8843b00b19ee"]},{"id":"ITEM-3","itemData":{"DOI":"10.1016/j.scienta.2021.110611","ISSN":"03044238","abstract":"Red-fleshed dragon fruit (Hylocereus polyrhizus) is a promising food with a functional appeal. This study investigated the changes in the bioactive compounds and antioxidant activity of the red-fleshed dragon fruit at eight development stages. In general, the levels of total phenolic compounds tested using Folin-Ciocalteu, and Fast Blue BB reagents, betacyanin, betaxanthin, anthocyanins, and antioxidant activity by TEAC, FRAP, and ß-carotene bleaching increased over the fruit development stages, whereas vitamin C content significantly decreased. Six phenolic compounds were identified, including catechin, vanillin, gallic acid, caffeic acid, chlorogenic acid, and ferulic acid. Catechin was the majority compound, followed by vanillin. All these compounds decreased during fruit development; chlorogenic and ferulic acids were only detected 30 days after anthesis. Based on the results, the suitable harvest period of red-fleshed dragon fruit is between 36 and 38 days after anthesis.","author":[{"dropping-particle":"","family":"Zitha","given":"Elídio Zaidine Maurício","non-dropping-particle":"","parse-names":false,"suffix":""},{"dropping-particle":"","family":"Magalhães","given":"Deniete Soares","non-dropping-particle":"","parse-names":false,"suffix":""},{"dropping-particle":"","family":"Lago","given":"Rafael Carvalho","non-dropping-particle":"do","parse-names":false,"suffix":""},{"dropping-particle":"","family":"Carvalho","given":"Elisângela Elena Nunes","non-dropping-particle":"","parse-names":false,"suffix":""},{"dropping-particle":"","family":"Pasqual","given":"Moacir","non-dropping-particle":"","parse-names":false,"suffix":""},{"dropping-particle":"","family":"Barros Vilas Boas","given":"Eduardo Valério","non-dropping-particle":"de","parse-names":false,"suffix":""}],"container-title":"Scientia Horticulturae","id":"ITEM-3","issued":{"date-parts":[["2022","1","3"]]},"publisher":"Elsevier B.V.","title":"Changes in the bioactive compounds and antioxidant activity in red-fleshed dragon fruit during its development","type":"article-journal","volume":"291"},"uris":["http://www.mendeley.com/documents/?uuid=b6674538-5222-373a-a1aa-d57338ea1068"]}],"mendeley":{"formattedCitation":"(Abirami et al., 2021; Cheong et al., 2025; Zitha et al., 2022)","plainTextFormattedCitation":"(Abirami et al., 2021; Cheong et al., 2025; Zitha et al., 2022)","previouslyFormattedCitation":"(Abirami et al., 2021; Cheong et al., 2025; Zitha et al., 2022)"},"properties":{"noteIndex":0},"schema":"https://github.com/citation-style-language/schema/raw/master/csl-citation.json"}</w:instrText>
      </w:r>
      <w:r w:rsidRPr="00B54EE7">
        <w:rPr>
          <w:rFonts w:ascii="Arial" w:hAnsi="Arial" w:cs="Arial"/>
          <w:sz w:val="20"/>
          <w:szCs w:val="20"/>
        </w:rPr>
        <w:fldChar w:fldCharType="separate"/>
      </w:r>
      <w:r w:rsidRPr="00B54EE7">
        <w:rPr>
          <w:rFonts w:ascii="Arial" w:hAnsi="Arial" w:cs="Arial"/>
          <w:noProof/>
          <w:sz w:val="20"/>
          <w:szCs w:val="20"/>
        </w:rPr>
        <w:t>(Abirami et al., 2021; Cheong et al., 2025; Zitha et al., 2022)</w:t>
      </w:r>
      <w:r w:rsidRPr="00B54EE7">
        <w:rPr>
          <w:rFonts w:ascii="Arial" w:hAnsi="Arial" w:cs="Arial"/>
          <w:sz w:val="20"/>
          <w:szCs w:val="20"/>
        </w:rPr>
        <w:fldChar w:fldCharType="end"/>
      </w:r>
      <w:r w:rsidRPr="00B54EE7">
        <w:rPr>
          <w:rFonts w:ascii="Arial" w:hAnsi="Arial" w:cs="Arial"/>
          <w:sz w:val="20"/>
          <w:szCs w:val="20"/>
        </w:rPr>
        <w:t>.</w:t>
      </w:r>
    </w:p>
    <w:p w14:paraId="0E995BF8" w14:textId="77777777" w:rsidR="00B54EE7" w:rsidRPr="00B54EE7" w:rsidRDefault="00B54EE7" w:rsidP="0074373E">
      <w:pPr>
        <w:pStyle w:val="NormalWeb"/>
        <w:spacing w:line="276" w:lineRule="auto"/>
        <w:jc w:val="center"/>
        <w:rPr>
          <w:rFonts w:ascii="Arial" w:hAnsi="Arial" w:cs="Arial"/>
          <w:sz w:val="20"/>
          <w:szCs w:val="20"/>
        </w:rPr>
      </w:pPr>
      <w:r w:rsidRPr="00B54EE7">
        <w:rPr>
          <w:rFonts w:ascii="Arial" w:hAnsi="Arial" w:cs="Arial"/>
          <w:noProof/>
          <w:sz w:val="20"/>
          <w:szCs w:val="20"/>
        </w:rPr>
        <w:drawing>
          <wp:inline distT="0" distB="0" distL="0" distR="0" wp14:anchorId="356FEB99" wp14:editId="01B58B21">
            <wp:extent cx="3773624" cy="3116829"/>
            <wp:effectExtent l="0" t="0" r="0" b="7620"/>
            <wp:docPr id="1768372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7697" cy="3153231"/>
                    </a:xfrm>
                    <a:prstGeom prst="rect">
                      <a:avLst/>
                    </a:prstGeom>
                    <a:noFill/>
                    <a:ln>
                      <a:noFill/>
                    </a:ln>
                  </pic:spPr>
                </pic:pic>
              </a:graphicData>
            </a:graphic>
          </wp:inline>
        </w:drawing>
      </w:r>
    </w:p>
    <w:p w14:paraId="2C69E54E" w14:textId="77777777" w:rsidR="00B54EE7" w:rsidRPr="0091117B" w:rsidRDefault="00B54EE7" w:rsidP="0074373E">
      <w:pPr>
        <w:pStyle w:val="NormalWeb"/>
        <w:spacing w:line="276" w:lineRule="auto"/>
        <w:jc w:val="both"/>
        <w:rPr>
          <w:rFonts w:ascii="Arial" w:hAnsi="Arial" w:cs="Arial"/>
          <w:b/>
          <w:bCs/>
          <w:sz w:val="20"/>
          <w:szCs w:val="20"/>
        </w:rPr>
      </w:pPr>
      <w:r w:rsidRPr="0091117B">
        <w:rPr>
          <w:rFonts w:ascii="Arial" w:hAnsi="Arial" w:cs="Arial"/>
          <w:b/>
          <w:bCs/>
          <w:sz w:val="20"/>
          <w:szCs w:val="20"/>
        </w:rPr>
        <w:t>Fig. 2. Histology of Graafian Follicles at 200x Magnification. Control (P0), 500 mg/kg BW (P1), 600 mg/kg BW (P2), and 700 mg/kg BW (P3) (Description: (1). Theca externa, (2). Antrum, (3). Granulosa cells, (4). Ovum)</w:t>
      </w:r>
    </w:p>
    <w:p w14:paraId="758E9B41" w14:textId="6BDB3005" w:rsidR="00B54EE7" w:rsidRPr="00471FD1" w:rsidRDefault="00662A23" w:rsidP="0074373E">
      <w:pPr>
        <w:pStyle w:val="ListParagraph"/>
        <w:numPr>
          <w:ilvl w:val="1"/>
          <w:numId w:val="31"/>
        </w:numPr>
        <w:tabs>
          <w:tab w:val="left" w:pos="426"/>
        </w:tabs>
        <w:spacing w:line="276" w:lineRule="auto"/>
        <w:ind w:left="142" w:hanging="142"/>
        <w:jc w:val="both"/>
        <w:rPr>
          <w:rFonts w:ascii="Arial" w:hAnsi="Arial" w:cs="Arial"/>
          <w:b/>
          <w:bCs/>
          <w:sz w:val="22"/>
          <w:szCs w:val="22"/>
        </w:rPr>
      </w:pPr>
      <w:r w:rsidRPr="00471FD1">
        <w:rPr>
          <w:rFonts w:ascii="Arial" w:hAnsi="Arial" w:cs="Arial"/>
          <w:b/>
          <w:bCs/>
          <w:sz w:val="22"/>
          <w:szCs w:val="22"/>
        </w:rPr>
        <w:lastRenderedPageBreak/>
        <w:t>Statistical Inference and Hypothesis Testing</w:t>
      </w:r>
    </w:p>
    <w:p w14:paraId="6C6DD321" w14:textId="77777777" w:rsidR="00591F0D" w:rsidRPr="001A4148" w:rsidRDefault="00591F0D" w:rsidP="00591F0D">
      <w:pPr>
        <w:pStyle w:val="NormalWeb"/>
        <w:spacing w:before="0" w:beforeAutospacing="0" w:line="276" w:lineRule="auto"/>
        <w:jc w:val="both"/>
        <w:rPr>
          <w:rFonts w:ascii="Arial" w:hAnsi="Arial" w:cs="Arial"/>
          <w:color w:val="EE0000"/>
          <w:sz w:val="20"/>
          <w:szCs w:val="20"/>
        </w:rPr>
      </w:pPr>
      <w:r w:rsidRPr="001A4148">
        <w:rPr>
          <w:rFonts w:ascii="Arial" w:hAnsi="Arial" w:cs="Arial"/>
          <w:color w:val="EE0000"/>
          <w:sz w:val="20"/>
          <w:szCs w:val="20"/>
        </w:rPr>
        <w:t>In this study, a series of inferential analyses were conducted systematically to ensure the validity of the findings. Initially, a normality test (Shapiro-Wilk) was performed to determine whether the Graafian follicle diameter data followed a normal distribution (</w:t>
      </w:r>
      <w:r w:rsidRPr="001A4148">
        <w:rPr>
          <w:rFonts w:ascii="Arial" w:hAnsi="Arial" w:cs="Arial"/>
          <w:b/>
          <w:bCs/>
          <w:color w:val="EE0000"/>
          <w:sz w:val="20"/>
          <w:szCs w:val="20"/>
        </w:rPr>
        <w:t>Table 3</w:t>
      </w:r>
      <w:r w:rsidRPr="001A4148">
        <w:rPr>
          <w:rFonts w:ascii="Arial" w:hAnsi="Arial" w:cs="Arial"/>
          <w:color w:val="EE0000"/>
          <w:sz w:val="20"/>
          <w:szCs w:val="20"/>
        </w:rPr>
        <w:t>). The results confirmed that the data met this assumption, allowing for the continuation of parametric analysis. This step is crucial, as ANOVA, the primary statistical method used, requires normally distributed data for the results to be valid and scientifically interpretable. Subsequently, a homogeneity of variance test was conducted to ensure that the variances across treatment groups (P0, P1, P2, and P3) were equal. The results indicated that the data were homogeneous, thereby fulfilling the fundamental assumptions for ANOVA (</w:t>
      </w:r>
      <w:r w:rsidRPr="001A4148">
        <w:rPr>
          <w:rFonts w:ascii="Arial" w:hAnsi="Arial" w:cs="Arial"/>
          <w:b/>
          <w:bCs/>
          <w:color w:val="EE0000"/>
          <w:sz w:val="20"/>
          <w:szCs w:val="20"/>
        </w:rPr>
        <w:t>Table 4</w:t>
      </w:r>
      <w:r w:rsidRPr="001A4148">
        <w:rPr>
          <w:rFonts w:ascii="Arial" w:hAnsi="Arial" w:cs="Arial"/>
          <w:color w:val="EE0000"/>
          <w:sz w:val="20"/>
          <w:szCs w:val="20"/>
        </w:rPr>
        <w:t xml:space="preserve">). </w:t>
      </w:r>
    </w:p>
    <w:p w14:paraId="6D47B129" w14:textId="40533132" w:rsidR="00591F0D" w:rsidRPr="001A4148" w:rsidRDefault="00591F0D" w:rsidP="00591F0D">
      <w:pPr>
        <w:pStyle w:val="NormalWeb"/>
        <w:spacing w:before="0" w:beforeAutospacing="0" w:line="276" w:lineRule="auto"/>
        <w:jc w:val="both"/>
        <w:rPr>
          <w:rFonts w:ascii="Arial" w:hAnsi="Arial" w:cs="Arial"/>
          <w:color w:val="EE0000"/>
          <w:sz w:val="20"/>
          <w:szCs w:val="20"/>
        </w:rPr>
      </w:pPr>
      <w:r w:rsidRPr="001A4148">
        <w:rPr>
          <w:rFonts w:ascii="Arial" w:hAnsi="Arial" w:cs="Arial"/>
          <w:color w:val="EE0000"/>
          <w:sz w:val="20"/>
          <w:szCs w:val="20"/>
        </w:rPr>
        <w:t>With both normality and homogeneity verified, a one-way analysis of variance was employed to test the hypothesis regarding the effect of dragon fruit extract on the Graafian follicle diameter in female Wistar rats (</w:t>
      </w:r>
      <w:r w:rsidRPr="001A4148">
        <w:rPr>
          <w:rFonts w:ascii="Arial" w:hAnsi="Arial" w:cs="Arial"/>
          <w:b/>
          <w:bCs/>
          <w:color w:val="EE0000"/>
          <w:sz w:val="20"/>
          <w:szCs w:val="20"/>
        </w:rPr>
        <w:t>Table 5</w:t>
      </w:r>
      <w:r w:rsidRPr="001A4148">
        <w:rPr>
          <w:rFonts w:ascii="Arial" w:hAnsi="Arial" w:cs="Arial"/>
          <w:color w:val="EE0000"/>
          <w:sz w:val="20"/>
          <w:szCs w:val="20"/>
        </w:rPr>
        <w:t>). The ANOVA results revealed significant differences between the groups (</w:t>
      </w:r>
      <w:r w:rsidRPr="001A4148">
        <w:rPr>
          <w:rStyle w:val="math-inline"/>
          <w:rFonts w:ascii="Arial" w:hAnsi="Arial" w:cs="Arial"/>
          <w:i/>
          <w:iCs/>
          <w:color w:val="EE0000"/>
          <w:sz w:val="20"/>
          <w:szCs w:val="20"/>
        </w:rPr>
        <w:t>p</w:t>
      </w:r>
      <w:r w:rsidRPr="001A4148">
        <w:rPr>
          <w:rStyle w:val="math-inline"/>
          <w:rFonts w:ascii="Arial" w:hAnsi="Arial" w:cs="Arial"/>
          <w:color w:val="EE0000"/>
          <w:sz w:val="20"/>
          <w:szCs w:val="20"/>
        </w:rPr>
        <w:t xml:space="preserve"> &lt; 0.05</w:t>
      </w:r>
      <w:r w:rsidRPr="001A4148">
        <w:rPr>
          <w:rFonts w:ascii="Arial" w:hAnsi="Arial" w:cs="Arial"/>
          <w:color w:val="EE0000"/>
          <w:sz w:val="20"/>
          <w:szCs w:val="20"/>
        </w:rPr>
        <w:t>), demonstrating that the extract had a substantial impact on follicle size. To determine the magnitude of this treatment effect, an effect size analysis was conducted using Eta-squared (</w:t>
      </w:r>
      <w:r w:rsidRPr="001A4148">
        <w:rPr>
          <w:rStyle w:val="math-inline"/>
          <w:rFonts w:ascii="Arial" w:hAnsi="Arial" w:cs="Arial"/>
          <w:color w:val="EE0000"/>
          <w:sz w:val="20"/>
          <w:szCs w:val="20"/>
        </w:rPr>
        <w:t>η</w:t>
      </w:r>
      <w:r w:rsidRPr="001A4148">
        <w:rPr>
          <w:rStyle w:val="math-inline"/>
          <w:rFonts w:ascii="Arial" w:hAnsi="Arial" w:cs="Arial"/>
          <w:color w:val="EE0000"/>
          <w:sz w:val="20"/>
          <w:szCs w:val="20"/>
          <w:vertAlign w:val="superscript"/>
        </w:rPr>
        <w:t>2</w:t>
      </w:r>
      <w:r w:rsidRPr="001A4148">
        <w:rPr>
          <w:rFonts w:ascii="Arial" w:hAnsi="Arial" w:cs="Arial"/>
          <w:color w:val="EE0000"/>
          <w:sz w:val="20"/>
          <w:szCs w:val="20"/>
        </w:rPr>
        <w:t xml:space="preserve">) derived from the ANOVA results. The calculation yielded an </w:t>
      </w:r>
      <w:r w:rsidRPr="001A4148">
        <w:rPr>
          <w:rStyle w:val="math-inline"/>
          <w:rFonts w:ascii="Arial" w:hAnsi="Arial" w:cs="Arial"/>
          <w:color w:val="EE0000"/>
          <w:sz w:val="20"/>
          <w:szCs w:val="20"/>
        </w:rPr>
        <w:t>η</w:t>
      </w:r>
      <w:r w:rsidRPr="001A4148">
        <w:rPr>
          <w:rStyle w:val="math-inline"/>
          <w:rFonts w:ascii="Arial" w:hAnsi="Arial" w:cs="Arial"/>
          <w:color w:val="EE0000"/>
          <w:sz w:val="20"/>
          <w:szCs w:val="20"/>
          <w:vertAlign w:val="superscript"/>
        </w:rPr>
        <w:t>2</w:t>
      </w:r>
      <w:r w:rsidRPr="001A4148">
        <w:rPr>
          <w:rFonts w:ascii="Arial" w:hAnsi="Arial" w:cs="Arial"/>
          <w:color w:val="EE0000"/>
          <w:sz w:val="20"/>
          <w:szCs w:val="20"/>
        </w:rPr>
        <w:t xml:space="preserve"> value of 0.87, indicating that 87% of the total variance in the diameter of Graafian follicles can be attributed to the administration of red dragon fruit extract. According to Cohen's guidelines, this represents a large effect size, suggesting that the dosage levels have a profound impact on follicular expansion beyond mere statistical significance.</w:t>
      </w:r>
    </w:p>
    <w:p w14:paraId="097C86C9" w14:textId="77777777" w:rsidR="00B54EE7" w:rsidRPr="0091117B" w:rsidRDefault="00B54EE7" w:rsidP="0074373E">
      <w:pPr>
        <w:spacing w:line="276" w:lineRule="auto"/>
        <w:jc w:val="center"/>
        <w:rPr>
          <w:rFonts w:ascii="Arial" w:hAnsi="Arial" w:cs="Arial"/>
          <w:b/>
        </w:rPr>
      </w:pPr>
      <w:r w:rsidRPr="0091117B">
        <w:rPr>
          <w:rFonts w:ascii="Arial" w:hAnsi="Arial" w:cs="Arial"/>
          <w:b/>
        </w:rPr>
        <w:t>Table</w:t>
      </w:r>
      <w:r w:rsidRPr="0091117B">
        <w:rPr>
          <w:rFonts w:ascii="Arial" w:hAnsi="Arial" w:cs="Arial"/>
          <w:b/>
          <w:spacing w:val="-1"/>
        </w:rPr>
        <w:t xml:space="preserve"> 3.</w:t>
      </w:r>
      <w:r w:rsidRPr="0091117B">
        <w:rPr>
          <w:rFonts w:ascii="Arial" w:hAnsi="Arial" w:cs="Arial"/>
          <w:b/>
        </w:rPr>
        <w:t xml:space="preserve"> Data Normality Test</w:t>
      </w:r>
    </w:p>
    <w:tbl>
      <w:tblPr>
        <w:tblW w:w="0" w:type="auto"/>
        <w:jc w:val="center"/>
        <w:tblLayout w:type="fixed"/>
        <w:tblCellMar>
          <w:left w:w="0" w:type="dxa"/>
          <w:right w:w="0" w:type="dxa"/>
        </w:tblCellMar>
        <w:tblLook w:val="01E0" w:firstRow="1" w:lastRow="1" w:firstColumn="1" w:lastColumn="1" w:noHBand="0" w:noVBand="0"/>
      </w:tblPr>
      <w:tblGrid>
        <w:gridCol w:w="2252"/>
        <w:gridCol w:w="2984"/>
        <w:gridCol w:w="1995"/>
      </w:tblGrid>
      <w:tr w:rsidR="00B54EE7" w:rsidRPr="00B54EE7" w14:paraId="6BFD6E0B" w14:textId="77777777" w:rsidTr="00FB3AFE">
        <w:trPr>
          <w:trHeight w:val="414"/>
          <w:jc w:val="center"/>
        </w:trPr>
        <w:tc>
          <w:tcPr>
            <w:tcW w:w="2252" w:type="dxa"/>
            <w:tcBorders>
              <w:top w:val="single" w:sz="4" w:space="0" w:color="000000"/>
              <w:bottom w:val="single" w:sz="4" w:space="0" w:color="000000"/>
            </w:tcBorders>
          </w:tcPr>
          <w:p w14:paraId="094B952E" w14:textId="77777777" w:rsidR="00B54EE7" w:rsidRPr="00B54EE7" w:rsidRDefault="00B54EE7" w:rsidP="0074373E">
            <w:pPr>
              <w:pStyle w:val="TableParagraph"/>
              <w:spacing w:line="276" w:lineRule="auto"/>
              <w:rPr>
                <w:rFonts w:ascii="Arial" w:hAnsi="Arial" w:cs="Arial"/>
                <w:sz w:val="20"/>
                <w:szCs w:val="20"/>
              </w:rPr>
            </w:pPr>
          </w:p>
        </w:tc>
        <w:tc>
          <w:tcPr>
            <w:tcW w:w="2984" w:type="dxa"/>
            <w:tcBorders>
              <w:top w:val="single" w:sz="4" w:space="0" w:color="000000"/>
              <w:bottom w:val="single" w:sz="4" w:space="0" w:color="000000"/>
            </w:tcBorders>
          </w:tcPr>
          <w:p w14:paraId="33A6B61E" w14:textId="77777777" w:rsidR="00B54EE7" w:rsidRPr="00B54EE7" w:rsidRDefault="00B54EE7" w:rsidP="0074373E">
            <w:pPr>
              <w:pStyle w:val="TableParagraph"/>
              <w:spacing w:line="276" w:lineRule="auto"/>
              <w:ind w:left="628"/>
              <w:rPr>
                <w:rFonts w:ascii="Arial" w:hAnsi="Arial" w:cs="Arial"/>
                <w:sz w:val="20"/>
                <w:szCs w:val="20"/>
              </w:rPr>
            </w:pPr>
            <w:r w:rsidRPr="00B54EE7">
              <w:rPr>
                <w:rFonts w:ascii="Arial" w:hAnsi="Arial" w:cs="Arial"/>
                <w:color w:val="202020"/>
                <w:spacing w:val="-2"/>
                <w:sz w:val="20"/>
                <w:szCs w:val="20"/>
              </w:rPr>
              <w:t>Shapiro-</w:t>
            </w:r>
            <w:r w:rsidRPr="00B54EE7">
              <w:rPr>
                <w:rFonts w:ascii="Arial" w:hAnsi="Arial" w:cs="Arial"/>
                <w:color w:val="202020"/>
                <w:spacing w:val="-4"/>
                <w:sz w:val="20"/>
                <w:szCs w:val="20"/>
              </w:rPr>
              <w:t>Wilk</w:t>
            </w:r>
          </w:p>
        </w:tc>
        <w:tc>
          <w:tcPr>
            <w:tcW w:w="1995" w:type="dxa"/>
            <w:tcBorders>
              <w:top w:val="single" w:sz="4" w:space="0" w:color="000000"/>
              <w:bottom w:val="single" w:sz="4" w:space="0" w:color="000000"/>
            </w:tcBorders>
          </w:tcPr>
          <w:p w14:paraId="1DA55D6A" w14:textId="77777777" w:rsidR="00B54EE7" w:rsidRPr="00B54EE7" w:rsidRDefault="00B54EE7" w:rsidP="0074373E">
            <w:pPr>
              <w:pStyle w:val="TableParagraph"/>
              <w:spacing w:line="276" w:lineRule="auto"/>
              <w:rPr>
                <w:rFonts w:ascii="Arial" w:hAnsi="Arial" w:cs="Arial"/>
                <w:sz w:val="20"/>
                <w:szCs w:val="20"/>
              </w:rPr>
            </w:pPr>
          </w:p>
        </w:tc>
      </w:tr>
      <w:tr w:rsidR="00B54EE7" w:rsidRPr="00B54EE7" w14:paraId="5B78A15C" w14:textId="77777777" w:rsidTr="00FB3AFE">
        <w:trPr>
          <w:trHeight w:val="412"/>
          <w:jc w:val="center"/>
        </w:trPr>
        <w:tc>
          <w:tcPr>
            <w:tcW w:w="2252" w:type="dxa"/>
            <w:tcBorders>
              <w:top w:val="single" w:sz="4" w:space="0" w:color="000000"/>
              <w:bottom w:val="single" w:sz="4" w:space="0" w:color="000000"/>
            </w:tcBorders>
          </w:tcPr>
          <w:p w14:paraId="74738139" w14:textId="77777777" w:rsidR="00B54EE7" w:rsidRPr="00B54EE7" w:rsidRDefault="00B54EE7" w:rsidP="0074373E">
            <w:pPr>
              <w:pStyle w:val="TableParagraph"/>
              <w:spacing w:line="276" w:lineRule="auto"/>
              <w:ind w:left="74"/>
              <w:rPr>
                <w:rFonts w:ascii="Arial" w:hAnsi="Arial" w:cs="Arial"/>
                <w:sz w:val="20"/>
                <w:szCs w:val="20"/>
              </w:rPr>
            </w:pPr>
            <w:r w:rsidRPr="00B54EE7">
              <w:rPr>
                <w:rFonts w:ascii="Arial" w:hAnsi="Arial" w:cs="Arial"/>
                <w:color w:val="202020"/>
                <w:spacing w:val="-2"/>
                <w:sz w:val="20"/>
                <w:szCs w:val="20"/>
              </w:rPr>
              <w:t>Statistic</w:t>
            </w:r>
          </w:p>
        </w:tc>
        <w:tc>
          <w:tcPr>
            <w:tcW w:w="2984" w:type="dxa"/>
            <w:tcBorders>
              <w:top w:val="single" w:sz="4" w:space="0" w:color="000000"/>
              <w:bottom w:val="single" w:sz="4" w:space="0" w:color="000000"/>
            </w:tcBorders>
          </w:tcPr>
          <w:p w14:paraId="0E3150D6" w14:textId="77777777" w:rsidR="00B54EE7" w:rsidRPr="00B54EE7" w:rsidRDefault="00B54EE7" w:rsidP="0074373E">
            <w:pPr>
              <w:pStyle w:val="TableParagraph"/>
              <w:spacing w:line="276" w:lineRule="auto"/>
              <w:ind w:left="20" w:right="1"/>
              <w:rPr>
                <w:rFonts w:ascii="Arial" w:hAnsi="Arial" w:cs="Arial"/>
                <w:sz w:val="20"/>
                <w:szCs w:val="20"/>
              </w:rPr>
            </w:pPr>
            <w:r w:rsidRPr="00B54EE7">
              <w:rPr>
                <w:rFonts w:ascii="Arial" w:hAnsi="Arial" w:cs="Arial"/>
                <w:color w:val="202020"/>
                <w:spacing w:val="-5"/>
                <w:sz w:val="20"/>
                <w:szCs w:val="20"/>
              </w:rPr>
              <w:t>df</w:t>
            </w:r>
          </w:p>
        </w:tc>
        <w:tc>
          <w:tcPr>
            <w:tcW w:w="1995" w:type="dxa"/>
            <w:tcBorders>
              <w:top w:val="single" w:sz="4" w:space="0" w:color="000000"/>
              <w:bottom w:val="single" w:sz="4" w:space="0" w:color="000000"/>
            </w:tcBorders>
          </w:tcPr>
          <w:p w14:paraId="14F6CF3A" w14:textId="77777777" w:rsidR="00B54EE7" w:rsidRPr="00B54EE7" w:rsidRDefault="00B54EE7" w:rsidP="0074373E">
            <w:pPr>
              <w:pStyle w:val="TableParagraph"/>
              <w:spacing w:line="276" w:lineRule="auto"/>
              <w:ind w:right="60"/>
              <w:rPr>
                <w:rFonts w:ascii="Arial" w:hAnsi="Arial" w:cs="Arial"/>
                <w:sz w:val="20"/>
                <w:szCs w:val="20"/>
              </w:rPr>
            </w:pPr>
            <w:r w:rsidRPr="00B54EE7">
              <w:rPr>
                <w:rFonts w:ascii="Arial" w:hAnsi="Arial" w:cs="Arial"/>
                <w:color w:val="202020"/>
                <w:spacing w:val="-4"/>
                <w:sz w:val="20"/>
                <w:szCs w:val="20"/>
              </w:rPr>
              <w:t>Sig.</w:t>
            </w:r>
          </w:p>
        </w:tc>
      </w:tr>
      <w:tr w:rsidR="00B54EE7" w:rsidRPr="00B54EE7" w14:paraId="0E8F9169" w14:textId="77777777" w:rsidTr="00FB3AFE">
        <w:trPr>
          <w:trHeight w:val="261"/>
          <w:jc w:val="center"/>
        </w:trPr>
        <w:tc>
          <w:tcPr>
            <w:tcW w:w="2252" w:type="dxa"/>
            <w:tcBorders>
              <w:top w:val="single" w:sz="4" w:space="0" w:color="000000"/>
            </w:tcBorders>
          </w:tcPr>
          <w:p w14:paraId="3DD33697" w14:textId="77777777" w:rsidR="00B54EE7" w:rsidRPr="00B54EE7" w:rsidRDefault="00B54EE7" w:rsidP="0074373E">
            <w:pPr>
              <w:pStyle w:val="TableParagraph"/>
              <w:spacing w:line="276" w:lineRule="auto"/>
              <w:ind w:left="74"/>
              <w:rPr>
                <w:rFonts w:ascii="Arial" w:hAnsi="Arial" w:cs="Arial"/>
                <w:sz w:val="20"/>
                <w:szCs w:val="20"/>
              </w:rPr>
            </w:pPr>
            <w:r w:rsidRPr="00B54EE7">
              <w:rPr>
                <w:rFonts w:ascii="Arial" w:hAnsi="Arial" w:cs="Arial"/>
                <w:color w:val="000104"/>
                <w:spacing w:val="-4"/>
                <w:sz w:val="20"/>
                <w:szCs w:val="20"/>
              </w:rPr>
              <w:t>.934</w:t>
            </w:r>
          </w:p>
        </w:tc>
        <w:tc>
          <w:tcPr>
            <w:tcW w:w="2984" w:type="dxa"/>
            <w:tcBorders>
              <w:top w:val="single" w:sz="4" w:space="0" w:color="000000"/>
            </w:tcBorders>
          </w:tcPr>
          <w:p w14:paraId="6AE21578" w14:textId="77777777" w:rsidR="00B54EE7" w:rsidRPr="00B54EE7" w:rsidRDefault="00B54EE7" w:rsidP="0074373E">
            <w:pPr>
              <w:pStyle w:val="TableParagraph"/>
              <w:spacing w:line="276" w:lineRule="auto"/>
              <w:ind w:left="20"/>
              <w:rPr>
                <w:rFonts w:ascii="Arial" w:hAnsi="Arial" w:cs="Arial"/>
                <w:sz w:val="20"/>
                <w:szCs w:val="20"/>
              </w:rPr>
            </w:pPr>
            <w:r w:rsidRPr="00B54EE7">
              <w:rPr>
                <w:rFonts w:ascii="Arial" w:hAnsi="Arial" w:cs="Arial"/>
                <w:color w:val="000104"/>
                <w:spacing w:val="-10"/>
                <w:sz w:val="20"/>
                <w:szCs w:val="20"/>
              </w:rPr>
              <w:t>6</w:t>
            </w:r>
          </w:p>
        </w:tc>
        <w:tc>
          <w:tcPr>
            <w:tcW w:w="1995" w:type="dxa"/>
            <w:tcBorders>
              <w:top w:val="single" w:sz="4" w:space="0" w:color="000000"/>
            </w:tcBorders>
          </w:tcPr>
          <w:p w14:paraId="7E5E9BE5" w14:textId="77777777" w:rsidR="00B54EE7" w:rsidRPr="00B54EE7" w:rsidRDefault="00B54EE7" w:rsidP="0074373E">
            <w:pPr>
              <w:pStyle w:val="TableParagraph"/>
              <w:spacing w:line="276" w:lineRule="auto"/>
              <w:ind w:right="58"/>
              <w:rPr>
                <w:rFonts w:ascii="Arial" w:hAnsi="Arial" w:cs="Arial"/>
                <w:sz w:val="20"/>
                <w:szCs w:val="20"/>
              </w:rPr>
            </w:pPr>
            <w:r w:rsidRPr="00B54EE7">
              <w:rPr>
                <w:rFonts w:ascii="Arial" w:hAnsi="Arial" w:cs="Arial"/>
                <w:color w:val="000104"/>
                <w:spacing w:val="-4"/>
                <w:sz w:val="20"/>
                <w:szCs w:val="20"/>
              </w:rPr>
              <w:t>.608</w:t>
            </w:r>
          </w:p>
        </w:tc>
      </w:tr>
      <w:tr w:rsidR="00B54EE7" w:rsidRPr="00B54EE7" w14:paraId="59E2F28F" w14:textId="77777777" w:rsidTr="00FB3AFE">
        <w:trPr>
          <w:trHeight w:val="310"/>
          <w:jc w:val="center"/>
        </w:trPr>
        <w:tc>
          <w:tcPr>
            <w:tcW w:w="2252" w:type="dxa"/>
          </w:tcPr>
          <w:p w14:paraId="34CA2E4E" w14:textId="77777777" w:rsidR="00B54EE7" w:rsidRPr="00B54EE7" w:rsidRDefault="00B54EE7" w:rsidP="0074373E">
            <w:pPr>
              <w:pStyle w:val="TableParagraph"/>
              <w:spacing w:before="49" w:line="276" w:lineRule="auto"/>
              <w:ind w:left="74"/>
              <w:rPr>
                <w:rFonts w:ascii="Arial" w:hAnsi="Arial" w:cs="Arial"/>
                <w:sz w:val="20"/>
                <w:szCs w:val="20"/>
              </w:rPr>
            </w:pPr>
            <w:r w:rsidRPr="00B54EE7">
              <w:rPr>
                <w:rFonts w:ascii="Arial" w:hAnsi="Arial" w:cs="Arial"/>
                <w:color w:val="000104"/>
                <w:spacing w:val="-4"/>
                <w:sz w:val="20"/>
                <w:szCs w:val="20"/>
              </w:rPr>
              <w:t>.873</w:t>
            </w:r>
          </w:p>
        </w:tc>
        <w:tc>
          <w:tcPr>
            <w:tcW w:w="2984" w:type="dxa"/>
          </w:tcPr>
          <w:p w14:paraId="4B5F32EA" w14:textId="77777777" w:rsidR="00B54EE7" w:rsidRPr="00B54EE7" w:rsidRDefault="00B54EE7" w:rsidP="0074373E">
            <w:pPr>
              <w:pStyle w:val="TableParagraph"/>
              <w:spacing w:before="49" w:line="276" w:lineRule="auto"/>
              <w:ind w:left="20"/>
              <w:rPr>
                <w:rFonts w:ascii="Arial" w:hAnsi="Arial" w:cs="Arial"/>
                <w:sz w:val="20"/>
                <w:szCs w:val="20"/>
              </w:rPr>
            </w:pPr>
            <w:r w:rsidRPr="00B54EE7">
              <w:rPr>
                <w:rFonts w:ascii="Arial" w:hAnsi="Arial" w:cs="Arial"/>
                <w:color w:val="000104"/>
                <w:spacing w:val="-10"/>
                <w:sz w:val="20"/>
                <w:szCs w:val="20"/>
              </w:rPr>
              <w:t>6</w:t>
            </w:r>
          </w:p>
        </w:tc>
        <w:tc>
          <w:tcPr>
            <w:tcW w:w="1995" w:type="dxa"/>
          </w:tcPr>
          <w:p w14:paraId="1E3106EA" w14:textId="77777777" w:rsidR="00B54EE7" w:rsidRPr="00B54EE7" w:rsidRDefault="00B54EE7" w:rsidP="0074373E">
            <w:pPr>
              <w:pStyle w:val="TableParagraph"/>
              <w:spacing w:before="49" w:line="276" w:lineRule="auto"/>
              <w:ind w:right="58"/>
              <w:rPr>
                <w:rFonts w:ascii="Arial" w:hAnsi="Arial" w:cs="Arial"/>
                <w:sz w:val="20"/>
                <w:szCs w:val="20"/>
              </w:rPr>
            </w:pPr>
            <w:r w:rsidRPr="00B54EE7">
              <w:rPr>
                <w:rFonts w:ascii="Arial" w:hAnsi="Arial" w:cs="Arial"/>
                <w:color w:val="000104"/>
                <w:spacing w:val="-4"/>
                <w:sz w:val="20"/>
                <w:szCs w:val="20"/>
              </w:rPr>
              <w:t>.237</w:t>
            </w:r>
          </w:p>
        </w:tc>
      </w:tr>
      <w:tr w:rsidR="00B54EE7" w:rsidRPr="00B54EE7" w14:paraId="0652C10C" w14:textId="77777777" w:rsidTr="00FB3AFE">
        <w:trPr>
          <w:trHeight w:val="309"/>
          <w:jc w:val="center"/>
        </w:trPr>
        <w:tc>
          <w:tcPr>
            <w:tcW w:w="2252" w:type="dxa"/>
          </w:tcPr>
          <w:p w14:paraId="72803096" w14:textId="77777777" w:rsidR="00B54EE7" w:rsidRPr="00B54EE7" w:rsidRDefault="00B54EE7" w:rsidP="0074373E">
            <w:pPr>
              <w:pStyle w:val="TableParagraph"/>
              <w:spacing w:before="48" w:line="276" w:lineRule="auto"/>
              <w:ind w:left="74"/>
              <w:rPr>
                <w:rFonts w:ascii="Arial" w:hAnsi="Arial" w:cs="Arial"/>
                <w:sz w:val="20"/>
                <w:szCs w:val="20"/>
              </w:rPr>
            </w:pPr>
            <w:r w:rsidRPr="00B54EE7">
              <w:rPr>
                <w:rFonts w:ascii="Arial" w:hAnsi="Arial" w:cs="Arial"/>
                <w:color w:val="000104"/>
                <w:spacing w:val="-4"/>
                <w:sz w:val="20"/>
                <w:szCs w:val="20"/>
              </w:rPr>
              <w:t>.867</w:t>
            </w:r>
          </w:p>
        </w:tc>
        <w:tc>
          <w:tcPr>
            <w:tcW w:w="2984" w:type="dxa"/>
          </w:tcPr>
          <w:p w14:paraId="3AD4E620" w14:textId="77777777" w:rsidR="00B54EE7" w:rsidRPr="00B54EE7" w:rsidRDefault="00B54EE7" w:rsidP="0074373E">
            <w:pPr>
              <w:pStyle w:val="TableParagraph"/>
              <w:spacing w:before="48" w:line="276" w:lineRule="auto"/>
              <w:ind w:left="20"/>
              <w:rPr>
                <w:rFonts w:ascii="Arial" w:hAnsi="Arial" w:cs="Arial"/>
                <w:sz w:val="20"/>
                <w:szCs w:val="20"/>
              </w:rPr>
            </w:pPr>
            <w:r w:rsidRPr="00B54EE7">
              <w:rPr>
                <w:rFonts w:ascii="Arial" w:hAnsi="Arial" w:cs="Arial"/>
                <w:color w:val="000104"/>
                <w:spacing w:val="-10"/>
                <w:sz w:val="20"/>
                <w:szCs w:val="20"/>
              </w:rPr>
              <w:t>6</w:t>
            </w:r>
          </w:p>
        </w:tc>
        <w:tc>
          <w:tcPr>
            <w:tcW w:w="1995" w:type="dxa"/>
          </w:tcPr>
          <w:p w14:paraId="148D2861" w14:textId="77777777" w:rsidR="00B54EE7" w:rsidRPr="00B54EE7" w:rsidRDefault="00B54EE7" w:rsidP="0074373E">
            <w:pPr>
              <w:pStyle w:val="TableParagraph"/>
              <w:spacing w:before="48" w:line="276" w:lineRule="auto"/>
              <w:ind w:right="58"/>
              <w:rPr>
                <w:rFonts w:ascii="Arial" w:hAnsi="Arial" w:cs="Arial"/>
                <w:sz w:val="20"/>
                <w:szCs w:val="20"/>
              </w:rPr>
            </w:pPr>
            <w:r w:rsidRPr="00B54EE7">
              <w:rPr>
                <w:rFonts w:ascii="Arial" w:hAnsi="Arial" w:cs="Arial"/>
                <w:color w:val="000104"/>
                <w:spacing w:val="-4"/>
                <w:sz w:val="20"/>
                <w:szCs w:val="20"/>
              </w:rPr>
              <w:t>.213</w:t>
            </w:r>
          </w:p>
        </w:tc>
      </w:tr>
      <w:tr w:rsidR="00B54EE7" w:rsidRPr="00B54EE7" w14:paraId="6CA35004" w14:textId="77777777" w:rsidTr="00FB3AFE">
        <w:trPr>
          <w:trHeight w:val="449"/>
          <w:jc w:val="center"/>
        </w:trPr>
        <w:tc>
          <w:tcPr>
            <w:tcW w:w="2252" w:type="dxa"/>
            <w:tcBorders>
              <w:bottom w:val="single" w:sz="4" w:space="0" w:color="000000"/>
            </w:tcBorders>
          </w:tcPr>
          <w:p w14:paraId="2FC4987E" w14:textId="77777777" w:rsidR="00B54EE7" w:rsidRPr="00B54EE7" w:rsidRDefault="00B54EE7" w:rsidP="0074373E">
            <w:pPr>
              <w:pStyle w:val="TableParagraph"/>
              <w:spacing w:before="48" w:line="276" w:lineRule="auto"/>
              <w:ind w:left="74"/>
              <w:rPr>
                <w:rFonts w:ascii="Arial" w:hAnsi="Arial" w:cs="Arial"/>
                <w:sz w:val="20"/>
                <w:szCs w:val="20"/>
              </w:rPr>
            </w:pPr>
            <w:r w:rsidRPr="00B54EE7">
              <w:rPr>
                <w:rFonts w:ascii="Arial" w:hAnsi="Arial" w:cs="Arial"/>
                <w:color w:val="000104"/>
                <w:spacing w:val="-4"/>
                <w:sz w:val="20"/>
                <w:szCs w:val="20"/>
              </w:rPr>
              <w:t>.876</w:t>
            </w:r>
          </w:p>
        </w:tc>
        <w:tc>
          <w:tcPr>
            <w:tcW w:w="2984" w:type="dxa"/>
            <w:tcBorders>
              <w:bottom w:val="single" w:sz="4" w:space="0" w:color="000000"/>
            </w:tcBorders>
          </w:tcPr>
          <w:p w14:paraId="241AD6EB" w14:textId="77777777" w:rsidR="00B54EE7" w:rsidRPr="00B54EE7" w:rsidRDefault="00B54EE7" w:rsidP="0074373E">
            <w:pPr>
              <w:pStyle w:val="TableParagraph"/>
              <w:spacing w:before="48" w:line="276" w:lineRule="auto"/>
              <w:ind w:left="20"/>
              <w:rPr>
                <w:rFonts w:ascii="Arial" w:hAnsi="Arial" w:cs="Arial"/>
                <w:sz w:val="20"/>
                <w:szCs w:val="20"/>
              </w:rPr>
            </w:pPr>
            <w:r w:rsidRPr="00B54EE7">
              <w:rPr>
                <w:rFonts w:ascii="Arial" w:hAnsi="Arial" w:cs="Arial"/>
                <w:color w:val="000104"/>
                <w:spacing w:val="-10"/>
                <w:sz w:val="20"/>
                <w:szCs w:val="20"/>
              </w:rPr>
              <w:t>6</w:t>
            </w:r>
          </w:p>
        </w:tc>
        <w:tc>
          <w:tcPr>
            <w:tcW w:w="1995" w:type="dxa"/>
            <w:tcBorders>
              <w:bottom w:val="single" w:sz="4" w:space="0" w:color="000000"/>
            </w:tcBorders>
          </w:tcPr>
          <w:p w14:paraId="34B3B13D" w14:textId="77777777" w:rsidR="00B54EE7" w:rsidRPr="00B54EE7" w:rsidRDefault="00B54EE7" w:rsidP="0074373E">
            <w:pPr>
              <w:pStyle w:val="TableParagraph"/>
              <w:spacing w:before="48" w:line="276" w:lineRule="auto"/>
              <w:ind w:right="58"/>
              <w:rPr>
                <w:rFonts w:ascii="Arial" w:hAnsi="Arial" w:cs="Arial"/>
                <w:sz w:val="20"/>
                <w:szCs w:val="20"/>
              </w:rPr>
            </w:pPr>
            <w:r w:rsidRPr="00B54EE7">
              <w:rPr>
                <w:rFonts w:ascii="Arial" w:hAnsi="Arial" w:cs="Arial"/>
                <w:color w:val="000104"/>
                <w:spacing w:val="-4"/>
                <w:sz w:val="20"/>
                <w:szCs w:val="20"/>
              </w:rPr>
              <w:t>.251</w:t>
            </w:r>
          </w:p>
        </w:tc>
      </w:tr>
    </w:tbl>
    <w:p w14:paraId="5041A802" w14:textId="77777777" w:rsidR="00B54EE7" w:rsidRDefault="00B54EE7" w:rsidP="0074373E">
      <w:pPr>
        <w:spacing w:line="276" w:lineRule="auto"/>
        <w:ind w:left="426"/>
        <w:rPr>
          <w:rFonts w:ascii="Arial" w:hAnsi="Arial" w:cs="Arial"/>
        </w:rPr>
      </w:pPr>
      <w:r w:rsidRPr="00B54EE7">
        <w:rPr>
          <w:rFonts w:ascii="Arial" w:hAnsi="Arial" w:cs="Arial"/>
          <w:i/>
          <w:iCs/>
        </w:rPr>
        <w:t>Sig. &gt; α (0.05), indicating that the data are normally distributed</w:t>
      </w:r>
      <w:r w:rsidRPr="00B54EE7">
        <w:rPr>
          <w:rFonts w:ascii="Arial" w:hAnsi="Arial" w:cs="Arial"/>
        </w:rPr>
        <w:t>.</w:t>
      </w:r>
    </w:p>
    <w:p w14:paraId="57A09310" w14:textId="77777777" w:rsidR="0091117B" w:rsidRPr="0091117B" w:rsidRDefault="0091117B" w:rsidP="0074373E">
      <w:pPr>
        <w:spacing w:line="276" w:lineRule="auto"/>
        <w:ind w:left="426"/>
        <w:rPr>
          <w:rFonts w:ascii="Arial" w:hAnsi="Arial" w:cs="Arial"/>
          <w:b/>
          <w:bCs/>
        </w:rPr>
      </w:pPr>
    </w:p>
    <w:p w14:paraId="01D726A1" w14:textId="77777777" w:rsidR="00B54EE7" w:rsidRPr="0091117B" w:rsidRDefault="00B54EE7" w:rsidP="0074373E">
      <w:pPr>
        <w:spacing w:before="2" w:line="276" w:lineRule="auto"/>
        <w:jc w:val="center"/>
        <w:rPr>
          <w:rFonts w:ascii="Arial" w:hAnsi="Arial" w:cs="Arial"/>
          <w:b/>
          <w:bCs/>
        </w:rPr>
      </w:pPr>
      <w:r w:rsidRPr="0091117B">
        <w:rPr>
          <w:rFonts w:ascii="Arial" w:hAnsi="Arial" w:cs="Arial"/>
          <w:b/>
          <w:bCs/>
        </w:rPr>
        <w:t>Table</w:t>
      </w:r>
      <w:r w:rsidRPr="0091117B">
        <w:rPr>
          <w:rFonts w:ascii="Arial" w:hAnsi="Arial" w:cs="Arial"/>
          <w:b/>
          <w:bCs/>
          <w:spacing w:val="-2"/>
        </w:rPr>
        <w:t xml:space="preserve"> </w:t>
      </w:r>
      <w:r w:rsidRPr="0091117B">
        <w:rPr>
          <w:rFonts w:ascii="Arial" w:hAnsi="Arial" w:cs="Arial"/>
          <w:b/>
          <w:bCs/>
        </w:rPr>
        <w:t>4.</w:t>
      </w:r>
      <w:r w:rsidRPr="0091117B">
        <w:rPr>
          <w:rFonts w:ascii="Arial" w:hAnsi="Arial" w:cs="Arial"/>
          <w:b/>
          <w:bCs/>
          <w:spacing w:val="-1"/>
        </w:rPr>
        <w:t xml:space="preserve"> </w:t>
      </w:r>
      <w:r w:rsidRPr="0091117B">
        <w:rPr>
          <w:rFonts w:ascii="Arial" w:hAnsi="Arial" w:cs="Arial"/>
          <w:b/>
          <w:bCs/>
        </w:rPr>
        <w:t>Test</w:t>
      </w:r>
      <w:r w:rsidRPr="0091117B">
        <w:rPr>
          <w:rFonts w:ascii="Arial" w:hAnsi="Arial" w:cs="Arial"/>
          <w:b/>
          <w:bCs/>
          <w:spacing w:val="-2"/>
        </w:rPr>
        <w:t xml:space="preserve"> </w:t>
      </w:r>
      <w:r w:rsidRPr="0091117B">
        <w:rPr>
          <w:rFonts w:ascii="Arial" w:hAnsi="Arial" w:cs="Arial"/>
          <w:b/>
          <w:bCs/>
        </w:rPr>
        <w:t>of</w:t>
      </w:r>
      <w:r w:rsidRPr="0091117B">
        <w:rPr>
          <w:rFonts w:ascii="Arial" w:hAnsi="Arial" w:cs="Arial"/>
          <w:b/>
          <w:bCs/>
          <w:spacing w:val="-1"/>
        </w:rPr>
        <w:t xml:space="preserve"> </w:t>
      </w:r>
      <w:r w:rsidRPr="0091117B">
        <w:rPr>
          <w:rFonts w:ascii="Arial" w:hAnsi="Arial" w:cs="Arial"/>
          <w:b/>
          <w:bCs/>
        </w:rPr>
        <w:t>Homogeneity</w:t>
      </w:r>
      <w:r w:rsidRPr="0091117B">
        <w:rPr>
          <w:rFonts w:ascii="Arial" w:hAnsi="Arial" w:cs="Arial"/>
          <w:b/>
          <w:bCs/>
          <w:spacing w:val="-2"/>
        </w:rPr>
        <w:t xml:space="preserve"> </w:t>
      </w:r>
      <w:r w:rsidRPr="0091117B">
        <w:rPr>
          <w:rFonts w:ascii="Arial" w:hAnsi="Arial" w:cs="Arial"/>
          <w:b/>
          <w:bCs/>
        </w:rPr>
        <w:t>of</w:t>
      </w:r>
      <w:r w:rsidRPr="0091117B">
        <w:rPr>
          <w:rFonts w:ascii="Arial" w:hAnsi="Arial" w:cs="Arial"/>
          <w:b/>
          <w:bCs/>
          <w:spacing w:val="2"/>
        </w:rPr>
        <w:t xml:space="preserve"> V</w:t>
      </w:r>
      <w:r w:rsidRPr="0091117B">
        <w:rPr>
          <w:rFonts w:ascii="Arial" w:hAnsi="Arial" w:cs="Arial"/>
          <w:b/>
          <w:bCs/>
          <w:spacing w:val="-2"/>
        </w:rPr>
        <w:t>ariances</w:t>
      </w:r>
    </w:p>
    <w:tbl>
      <w:tblPr>
        <w:tblW w:w="0" w:type="auto"/>
        <w:jc w:val="center"/>
        <w:tblLayout w:type="fixed"/>
        <w:tblCellMar>
          <w:left w:w="0" w:type="dxa"/>
          <w:right w:w="0" w:type="dxa"/>
        </w:tblCellMar>
        <w:tblLook w:val="01E0" w:firstRow="1" w:lastRow="1" w:firstColumn="1" w:lastColumn="1" w:noHBand="0" w:noVBand="0"/>
      </w:tblPr>
      <w:tblGrid>
        <w:gridCol w:w="2893"/>
        <w:gridCol w:w="1186"/>
        <w:gridCol w:w="1168"/>
        <w:gridCol w:w="2285"/>
      </w:tblGrid>
      <w:tr w:rsidR="00B54EE7" w:rsidRPr="00B54EE7" w14:paraId="6AEE0248" w14:textId="77777777" w:rsidTr="00FB3AFE">
        <w:trPr>
          <w:trHeight w:val="439"/>
          <w:jc w:val="center"/>
        </w:trPr>
        <w:tc>
          <w:tcPr>
            <w:tcW w:w="2893" w:type="dxa"/>
            <w:tcBorders>
              <w:top w:val="single" w:sz="4" w:space="0" w:color="000000"/>
            </w:tcBorders>
          </w:tcPr>
          <w:p w14:paraId="0F305151" w14:textId="668EE705" w:rsidR="00B54EE7" w:rsidRPr="00B54EE7" w:rsidRDefault="006C0214" w:rsidP="0074373E">
            <w:pPr>
              <w:pStyle w:val="TableParagraph"/>
              <w:spacing w:before="158" w:line="276" w:lineRule="auto"/>
              <w:ind w:left="14"/>
              <w:rPr>
                <w:rFonts w:ascii="Arial" w:hAnsi="Arial" w:cs="Arial"/>
                <w:i/>
                <w:sz w:val="20"/>
                <w:szCs w:val="20"/>
              </w:rPr>
            </w:pPr>
            <w:r w:rsidRPr="00B54EE7">
              <w:rPr>
                <w:rFonts w:ascii="Arial" w:hAnsi="Arial" w:cs="Arial"/>
                <w:sz w:val="20"/>
                <w:szCs w:val="20"/>
              </w:rPr>
              <w:t>D</w:t>
            </w:r>
            <w:r w:rsidR="00B54EE7" w:rsidRPr="00B54EE7">
              <w:rPr>
                <w:rFonts w:ascii="Arial" w:hAnsi="Arial" w:cs="Arial"/>
                <w:sz w:val="20"/>
                <w:szCs w:val="20"/>
              </w:rPr>
              <w:t>iameter</w:t>
            </w:r>
            <w:r>
              <w:rPr>
                <w:rFonts w:ascii="Arial" w:hAnsi="Arial" w:cs="Arial"/>
                <w:spacing w:val="-2"/>
                <w:sz w:val="20"/>
                <w:szCs w:val="20"/>
              </w:rPr>
              <w:t xml:space="preserve"> </w:t>
            </w:r>
            <w:r w:rsidRPr="006C0214">
              <w:rPr>
                <w:rFonts w:ascii="Arial" w:hAnsi="Arial" w:cs="Arial"/>
                <w:color w:val="EE0000"/>
                <w:spacing w:val="-2"/>
                <w:sz w:val="20"/>
                <w:szCs w:val="20"/>
                <w:lang w:val="en-US"/>
              </w:rPr>
              <w:t>Graafian follicle</w:t>
            </w:r>
          </w:p>
        </w:tc>
        <w:tc>
          <w:tcPr>
            <w:tcW w:w="1186" w:type="dxa"/>
            <w:tcBorders>
              <w:top w:val="single" w:sz="4" w:space="0" w:color="000000"/>
            </w:tcBorders>
          </w:tcPr>
          <w:p w14:paraId="4BAC4DF1" w14:textId="77777777" w:rsidR="00B54EE7" w:rsidRPr="00B54EE7" w:rsidRDefault="00B54EE7" w:rsidP="0074373E">
            <w:pPr>
              <w:pStyle w:val="TableParagraph"/>
              <w:spacing w:line="276" w:lineRule="auto"/>
              <w:rPr>
                <w:rFonts w:ascii="Arial" w:hAnsi="Arial" w:cs="Arial"/>
                <w:sz w:val="20"/>
                <w:szCs w:val="20"/>
              </w:rPr>
            </w:pPr>
          </w:p>
        </w:tc>
        <w:tc>
          <w:tcPr>
            <w:tcW w:w="1168" w:type="dxa"/>
            <w:tcBorders>
              <w:top w:val="single" w:sz="4" w:space="0" w:color="000000"/>
            </w:tcBorders>
          </w:tcPr>
          <w:p w14:paraId="2C36F543" w14:textId="77777777" w:rsidR="00B54EE7" w:rsidRPr="00B54EE7" w:rsidRDefault="00B54EE7" w:rsidP="0074373E">
            <w:pPr>
              <w:pStyle w:val="TableParagraph"/>
              <w:spacing w:line="276" w:lineRule="auto"/>
              <w:rPr>
                <w:rFonts w:ascii="Arial" w:hAnsi="Arial" w:cs="Arial"/>
                <w:sz w:val="20"/>
                <w:szCs w:val="20"/>
              </w:rPr>
            </w:pPr>
          </w:p>
        </w:tc>
        <w:tc>
          <w:tcPr>
            <w:tcW w:w="2285" w:type="dxa"/>
            <w:tcBorders>
              <w:top w:val="single" w:sz="4" w:space="0" w:color="000000"/>
            </w:tcBorders>
          </w:tcPr>
          <w:p w14:paraId="536BD598" w14:textId="77777777" w:rsidR="00B54EE7" w:rsidRPr="00B54EE7" w:rsidRDefault="00B54EE7" w:rsidP="0074373E">
            <w:pPr>
              <w:pStyle w:val="TableParagraph"/>
              <w:spacing w:line="276" w:lineRule="auto"/>
              <w:rPr>
                <w:rFonts w:ascii="Arial" w:hAnsi="Arial" w:cs="Arial"/>
                <w:sz w:val="20"/>
                <w:szCs w:val="20"/>
              </w:rPr>
            </w:pPr>
          </w:p>
        </w:tc>
      </w:tr>
      <w:tr w:rsidR="00B54EE7" w:rsidRPr="00B54EE7" w14:paraId="36E7F9D0" w14:textId="77777777" w:rsidTr="00FB3AFE">
        <w:trPr>
          <w:trHeight w:val="425"/>
          <w:jc w:val="center"/>
        </w:trPr>
        <w:tc>
          <w:tcPr>
            <w:tcW w:w="2893" w:type="dxa"/>
            <w:tcBorders>
              <w:bottom w:val="single" w:sz="4" w:space="0" w:color="000000"/>
            </w:tcBorders>
          </w:tcPr>
          <w:p w14:paraId="47DA6ABC" w14:textId="77777777" w:rsidR="00B54EE7" w:rsidRPr="00B54EE7" w:rsidRDefault="00B54EE7" w:rsidP="0074373E">
            <w:pPr>
              <w:pStyle w:val="TableParagraph"/>
              <w:spacing w:line="276" w:lineRule="auto"/>
              <w:ind w:left="802"/>
              <w:rPr>
                <w:rFonts w:ascii="Arial" w:hAnsi="Arial" w:cs="Arial"/>
                <w:sz w:val="20"/>
                <w:szCs w:val="20"/>
              </w:rPr>
            </w:pPr>
            <w:r w:rsidRPr="00B54EE7">
              <w:rPr>
                <w:rFonts w:ascii="Arial" w:hAnsi="Arial" w:cs="Arial"/>
                <w:sz w:val="20"/>
                <w:szCs w:val="20"/>
              </w:rPr>
              <w:t>Levene</w:t>
            </w:r>
            <w:r w:rsidRPr="00B54EE7">
              <w:rPr>
                <w:rFonts w:ascii="Arial" w:hAnsi="Arial" w:cs="Arial"/>
                <w:spacing w:val="-4"/>
                <w:sz w:val="20"/>
                <w:szCs w:val="20"/>
              </w:rPr>
              <w:t xml:space="preserve"> </w:t>
            </w:r>
            <w:r w:rsidRPr="00B54EE7">
              <w:rPr>
                <w:rFonts w:ascii="Arial" w:hAnsi="Arial" w:cs="Arial"/>
                <w:spacing w:val="-2"/>
                <w:sz w:val="20"/>
                <w:szCs w:val="20"/>
              </w:rPr>
              <w:t>Statistic</w:t>
            </w:r>
          </w:p>
        </w:tc>
        <w:tc>
          <w:tcPr>
            <w:tcW w:w="1186" w:type="dxa"/>
            <w:tcBorders>
              <w:bottom w:val="single" w:sz="4" w:space="0" w:color="000000"/>
            </w:tcBorders>
          </w:tcPr>
          <w:p w14:paraId="213D7B66" w14:textId="77777777" w:rsidR="00B54EE7" w:rsidRPr="00B54EE7" w:rsidRDefault="00B54EE7" w:rsidP="0074373E">
            <w:pPr>
              <w:pStyle w:val="TableParagraph"/>
              <w:spacing w:line="276" w:lineRule="auto"/>
              <w:ind w:left="237"/>
              <w:rPr>
                <w:rFonts w:ascii="Arial" w:hAnsi="Arial" w:cs="Arial"/>
                <w:sz w:val="20"/>
                <w:szCs w:val="20"/>
              </w:rPr>
            </w:pPr>
            <w:r w:rsidRPr="00B54EE7">
              <w:rPr>
                <w:rFonts w:ascii="Arial" w:hAnsi="Arial" w:cs="Arial"/>
                <w:spacing w:val="-5"/>
                <w:sz w:val="20"/>
                <w:szCs w:val="20"/>
              </w:rPr>
              <w:t>df1</w:t>
            </w:r>
          </w:p>
        </w:tc>
        <w:tc>
          <w:tcPr>
            <w:tcW w:w="1168" w:type="dxa"/>
            <w:tcBorders>
              <w:bottom w:val="single" w:sz="4" w:space="0" w:color="000000"/>
            </w:tcBorders>
          </w:tcPr>
          <w:p w14:paraId="4EB3CE5F" w14:textId="77777777" w:rsidR="00B54EE7" w:rsidRPr="00B54EE7" w:rsidRDefault="00B54EE7" w:rsidP="0074373E">
            <w:pPr>
              <w:pStyle w:val="TableParagraph"/>
              <w:spacing w:line="276" w:lineRule="auto"/>
              <w:ind w:left="313"/>
              <w:rPr>
                <w:rFonts w:ascii="Arial" w:hAnsi="Arial" w:cs="Arial"/>
                <w:sz w:val="20"/>
                <w:szCs w:val="20"/>
              </w:rPr>
            </w:pPr>
            <w:r w:rsidRPr="00B54EE7">
              <w:rPr>
                <w:rFonts w:ascii="Arial" w:hAnsi="Arial" w:cs="Arial"/>
                <w:spacing w:val="-5"/>
                <w:sz w:val="20"/>
                <w:szCs w:val="20"/>
              </w:rPr>
              <w:t>df2</w:t>
            </w:r>
          </w:p>
        </w:tc>
        <w:tc>
          <w:tcPr>
            <w:tcW w:w="2285" w:type="dxa"/>
            <w:tcBorders>
              <w:bottom w:val="single" w:sz="4" w:space="0" w:color="000000"/>
            </w:tcBorders>
          </w:tcPr>
          <w:p w14:paraId="6300F5F1" w14:textId="77777777" w:rsidR="00B54EE7" w:rsidRPr="00B54EE7" w:rsidRDefault="00B54EE7" w:rsidP="0074373E">
            <w:pPr>
              <w:pStyle w:val="TableParagraph"/>
              <w:spacing w:line="276" w:lineRule="auto"/>
              <w:ind w:left="555"/>
              <w:rPr>
                <w:rFonts w:ascii="Arial" w:hAnsi="Arial" w:cs="Arial"/>
                <w:sz w:val="20"/>
                <w:szCs w:val="20"/>
              </w:rPr>
            </w:pPr>
            <w:r w:rsidRPr="00B54EE7">
              <w:rPr>
                <w:rFonts w:ascii="Arial" w:hAnsi="Arial" w:cs="Arial"/>
                <w:spacing w:val="-4"/>
                <w:sz w:val="20"/>
                <w:szCs w:val="20"/>
              </w:rPr>
              <w:t>Sig.</w:t>
            </w:r>
          </w:p>
        </w:tc>
      </w:tr>
      <w:tr w:rsidR="00B54EE7" w:rsidRPr="00B54EE7" w14:paraId="241550CF" w14:textId="77777777" w:rsidTr="00FB3AFE">
        <w:trPr>
          <w:trHeight w:val="424"/>
          <w:jc w:val="center"/>
        </w:trPr>
        <w:tc>
          <w:tcPr>
            <w:tcW w:w="2893" w:type="dxa"/>
            <w:tcBorders>
              <w:top w:val="single" w:sz="4" w:space="0" w:color="000000"/>
              <w:bottom w:val="single" w:sz="4" w:space="0" w:color="000000"/>
            </w:tcBorders>
          </w:tcPr>
          <w:p w14:paraId="7C67838A" w14:textId="77777777" w:rsidR="00B54EE7" w:rsidRPr="00B54EE7" w:rsidRDefault="00B54EE7" w:rsidP="0074373E">
            <w:pPr>
              <w:pStyle w:val="TableParagraph"/>
              <w:spacing w:line="276" w:lineRule="auto"/>
              <w:ind w:left="249"/>
              <w:rPr>
                <w:rFonts w:ascii="Arial" w:hAnsi="Arial" w:cs="Arial"/>
                <w:sz w:val="20"/>
                <w:szCs w:val="20"/>
              </w:rPr>
            </w:pPr>
            <w:r w:rsidRPr="00B54EE7">
              <w:rPr>
                <w:rFonts w:ascii="Arial" w:hAnsi="Arial" w:cs="Arial"/>
                <w:spacing w:val="-2"/>
                <w:sz w:val="20"/>
                <w:szCs w:val="20"/>
              </w:rPr>
              <w:t>2.426</w:t>
            </w:r>
          </w:p>
        </w:tc>
        <w:tc>
          <w:tcPr>
            <w:tcW w:w="1186" w:type="dxa"/>
            <w:tcBorders>
              <w:top w:val="single" w:sz="4" w:space="0" w:color="000000"/>
              <w:bottom w:val="single" w:sz="4" w:space="0" w:color="000000"/>
            </w:tcBorders>
          </w:tcPr>
          <w:p w14:paraId="2A2E4350" w14:textId="77777777" w:rsidR="00B54EE7" w:rsidRPr="00B54EE7" w:rsidRDefault="00B54EE7" w:rsidP="0074373E">
            <w:pPr>
              <w:pStyle w:val="TableParagraph"/>
              <w:spacing w:line="276" w:lineRule="auto"/>
              <w:ind w:left="237" w:right="3"/>
              <w:rPr>
                <w:rFonts w:ascii="Arial" w:hAnsi="Arial" w:cs="Arial"/>
                <w:sz w:val="20"/>
                <w:szCs w:val="20"/>
              </w:rPr>
            </w:pPr>
            <w:r w:rsidRPr="00B54EE7">
              <w:rPr>
                <w:rFonts w:ascii="Arial" w:hAnsi="Arial" w:cs="Arial"/>
                <w:spacing w:val="-10"/>
                <w:sz w:val="20"/>
                <w:szCs w:val="20"/>
              </w:rPr>
              <w:t>3</w:t>
            </w:r>
          </w:p>
        </w:tc>
        <w:tc>
          <w:tcPr>
            <w:tcW w:w="1168" w:type="dxa"/>
            <w:tcBorders>
              <w:top w:val="single" w:sz="4" w:space="0" w:color="000000"/>
              <w:bottom w:val="single" w:sz="4" w:space="0" w:color="000000"/>
            </w:tcBorders>
          </w:tcPr>
          <w:p w14:paraId="4BD92968" w14:textId="77777777" w:rsidR="00B54EE7" w:rsidRPr="00B54EE7" w:rsidRDefault="00B54EE7" w:rsidP="0074373E">
            <w:pPr>
              <w:pStyle w:val="TableParagraph"/>
              <w:spacing w:line="276" w:lineRule="auto"/>
              <w:ind w:left="352"/>
              <w:rPr>
                <w:rFonts w:ascii="Arial" w:hAnsi="Arial" w:cs="Arial"/>
                <w:sz w:val="20"/>
                <w:szCs w:val="20"/>
              </w:rPr>
            </w:pPr>
            <w:r w:rsidRPr="00B54EE7">
              <w:rPr>
                <w:rFonts w:ascii="Arial" w:hAnsi="Arial" w:cs="Arial"/>
                <w:spacing w:val="-5"/>
                <w:sz w:val="20"/>
                <w:szCs w:val="20"/>
              </w:rPr>
              <w:t>20</w:t>
            </w:r>
          </w:p>
        </w:tc>
        <w:tc>
          <w:tcPr>
            <w:tcW w:w="2285" w:type="dxa"/>
            <w:tcBorders>
              <w:top w:val="single" w:sz="4" w:space="0" w:color="000000"/>
              <w:bottom w:val="single" w:sz="4" w:space="0" w:color="000000"/>
            </w:tcBorders>
          </w:tcPr>
          <w:p w14:paraId="65165059" w14:textId="77777777" w:rsidR="00B54EE7" w:rsidRPr="00B54EE7" w:rsidRDefault="00B54EE7" w:rsidP="0074373E">
            <w:pPr>
              <w:pStyle w:val="TableParagraph"/>
              <w:spacing w:line="276" w:lineRule="auto"/>
              <w:ind w:left="533"/>
              <w:rPr>
                <w:rFonts w:ascii="Arial" w:hAnsi="Arial" w:cs="Arial"/>
                <w:sz w:val="20"/>
                <w:szCs w:val="20"/>
              </w:rPr>
            </w:pPr>
            <w:r w:rsidRPr="00B54EE7">
              <w:rPr>
                <w:rFonts w:ascii="Arial" w:hAnsi="Arial" w:cs="Arial"/>
                <w:spacing w:val="-4"/>
                <w:sz w:val="20"/>
                <w:szCs w:val="20"/>
              </w:rPr>
              <w:t>0.096</w:t>
            </w:r>
          </w:p>
        </w:tc>
      </w:tr>
    </w:tbl>
    <w:p w14:paraId="60C9CCF2" w14:textId="04A57351" w:rsidR="00B54EE7" w:rsidRPr="009269D9" w:rsidRDefault="00610942" w:rsidP="009269D9">
      <w:pPr>
        <w:spacing w:line="276" w:lineRule="auto"/>
        <w:rPr>
          <w:rFonts w:ascii="Arial" w:hAnsi="Arial" w:cs="Arial"/>
        </w:rPr>
      </w:pPr>
      <w:r>
        <w:rPr>
          <w:rFonts w:ascii="Arial" w:hAnsi="Arial" w:cs="Arial"/>
        </w:rPr>
        <w:t xml:space="preserve">      </w:t>
      </w:r>
      <w:r w:rsidR="00B54EE7" w:rsidRPr="009269D9">
        <w:rPr>
          <w:rFonts w:ascii="Arial" w:hAnsi="Arial" w:cs="Arial"/>
        </w:rPr>
        <w:t xml:space="preserve">The </w:t>
      </w:r>
      <w:r w:rsidR="009269D9" w:rsidRPr="009269D9">
        <w:rPr>
          <w:rFonts w:ascii="Arial" w:hAnsi="Arial" w:cs="Arial"/>
          <w:i/>
          <w:iCs/>
        </w:rPr>
        <w:t>P</w:t>
      </w:r>
      <w:r w:rsidR="00B54EE7" w:rsidRPr="009269D9">
        <w:rPr>
          <w:rFonts w:ascii="Arial" w:hAnsi="Arial" w:cs="Arial"/>
          <w:i/>
          <w:iCs/>
        </w:rPr>
        <w:t>-value (Sig.) is 0.096 &gt; 0.05</w:t>
      </w:r>
      <w:r w:rsidR="00B54EE7" w:rsidRPr="009269D9">
        <w:rPr>
          <w:rFonts w:ascii="Arial" w:hAnsi="Arial" w:cs="Arial"/>
        </w:rPr>
        <w:t>, indicating that the data are homogeneous.</w:t>
      </w:r>
    </w:p>
    <w:p w14:paraId="6485D733" w14:textId="77777777" w:rsidR="00515D19" w:rsidRDefault="00515D19" w:rsidP="0074373E">
      <w:pPr>
        <w:spacing w:line="276" w:lineRule="auto"/>
        <w:jc w:val="both"/>
        <w:rPr>
          <w:rFonts w:ascii="Arial" w:hAnsi="Arial" w:cs="Arial"/>
        </w:rPr>
      </w:pPr>
    </w:p>
    <w:p w14:paraId="38C83F26" w14:textId="0E516B16" w:rsidR="00B54EE7" w:rsidRDefault="00B54EE7" w:rsidP="0074373E">
      <w:pPr>
        <w:spacing w:line="276" w:lineRule="auto"/>
        <w:jc w:val="both"/>
        <w:rPr>
          <w:rFonts w:ascii="Arial" w:hAnsi="Arial" w:cs="Arial"/>
        </w:rPr>
      </w:pPr>
      <w:r w:rsidRPr="00B54EE7">
        <w:rPr>
          <w:rFonts w:ascii="Arial" w:hAnsi="Arial" w:cs="Arial"/>
        </w:rPr>
        <w:t>To identify specific differences between treatment levels, a Duncan’s Multiple Range Test (DMRT) was performed as a post hoc analysis. The Duncan test results showed that each concentration of dragon fruit extract produced a significantly different effect on the follicle diameter (</w:t>
      </w:r>
      <w:r w:rsidRPr="00B54EE7">
        <w:rPr>
          <w:rFonts w:ascii="Arial" w:hAnsi="Arial" w:cs="Arial"/>
          <w:b/>
          <w:bCs/>
        </w:rPr>
        <w:t>Table 6</w:t>
      </w:r>
      <w:r w:rsidRPr="00B54EE7">
        <w:rPr>
          <w:rFonts w:ascii="Arial" w:hAnsi="Arial" w:cs="Arial"/>
        </w:rPr>
        <w:t xml:space="preserve">). In other words, increasing the extract concentration consistently led to a </w:t>
      </w:r>
      <w:r w:rsidRPr="00B54EE7">
        <w:rPr>
          <w:rFonts w:ascii="Arial" w:hAnsi="Arial" w:cs="Arial"/>
        </w:rPr>
        <w:lastRenderedPageBreak/>
        <w:t>larger follicle diameter. These findings reinforce the conclusion that the antioxidants and nutrients in dragon fruit play a vital role in supporting ovarian follicle development, thereby successfully proving the research hypothesis.</w:t>
      </w:r>
    </w:p>
    <w:p w14:paraId="20D8D5CF" w14:textId="77777777" w:rsidR="00883A32" w:rsidRDefault="00883A32" w:rsidP="0074373E">
      <w:pPr>
        <w:spacing w:line="276" w:lineRule="auto"/>
        <w:jc w:val="both"/>
        <w:rPr>
          <w:rFonts w:ascii="Arial" w:hAnsi="Arial" w:cs="Arial"/>
        </w:rPr>
      </w:pPr>
    </w:p>
    <w:p w14:paraId="4174380C" w14:textId="77777777" w:rsidR="00883A32" w:rsidRDefault="00883A32" w:rsidP="0074373E">
      <w:pPr>
        <w:spacing w:line="276" w:lineRule="auto"/>
        <w:jc w:val="both"/>
        <w:rPr>
          <w:rFonts w:ascii="Arial" w:hAnsi="Arial" w:cs="Arial"/>
        </w:rPr>
      </w:pPr>
    </w:p>
    <w:p w14:paraId="142FECE3" w14:textId="77777777" w:rsidR="00883A32" w:rsidRDefault="00883A32" w:rsidP="0074373E">
      <w:pPr>
        <w:spacing w:line="276" w:lineRule="auto"/>
        <w:jc w:val="both"/>
        <w:rPr>
          <w:rFonts w:ascii="Arial" w:hAnsi="Arial" w:cs="Arial"/>
        </w:rPr>
      </w:pPr>
    </w:p>
    <w:p w14:paraId="23D4FAF9" w14:textId="77777777" w:rsidR="00856B97" w:rsidRDefault="00856B97" w:rsidP="0074373E">
      <w:pPr>
        <w:spacing w:line="276" w:lineRule="auto"/>
        <w:jc w:val="both"/>
        <w:rPr>
          <w:rFonts w:ascii="Arial" w:hAnsi="Arial" w:cs="Arial"/>
        </w:rPr>
      </w:pPr>
    </w:p>
    <w:p w14:paraId="752B6979" w14:textId="77777777" w:rsidR="00B54EE7" w:rsidRPr="00856B97" w:rsidRDefault="00B54EE7" w:rsidP="0074373E">
      <w:pPr>
        <w:spacing w:before="2" w:line="276" w:lineRule="auto"/>
        <w:jc w:val="center"/>
        <w:rPr>
          <w:rFonts w:ascii="Arial" w:hAnsi="Arial" w:cs="Arial"/>
          <w:b/>
        </w:rPr>
      </w:pPr>
      <w:r w:rsidRPr="00856B97">
        <w:rPr>
          <w:rFonts w:ascii="Arial" w:hAnsi="Arial" w:cs="Arial"/>
          <w:b/>
        </w:rPr>
        <w:t xml:space="preserve">Table. 5. </w:t>
      </w:r>
      <w:r w:rsidRPr="00856B97">
        <w:rPr>
          <w:rFonts w:ascii="Arial" w:hAnsi="Arial" w:cs="Arial"/>
          <w:b/>
          <w:i/>
        </w:rPr>
        <w:t>Analysis of</w:t>
      </w:r>
      <w:r w:rsidRPr="00856B97">
        <w:rPr>
          <w:rFonts w:ascii="Arial" w:hAnsi="Arial" w:cs="Arial"/>
          <w:b/>
          <w:i/>
          <w:spacing w:val="-2"/>
        </w:rPr>
        <w:t xml:space="preserve"> </w:t>
      </w:r>
      <w:r w:rsidRPr="00856B97">
        <w:rPr>
          <w:rFonts w:ascii="Arial" w:hAnsi="Arial" w:cs="Arial"/>
          <w:b/>
          <w:i/>
        </w:rPr>
        <w:t>Variance</w:t>
      </w:r>
      <w:r w:rsidRPr="00856B97">
        <w:rPr>
          <w:rFonts w:ascii="Arial" w:hAnsi="Arial" w:cs="Arial"/>
          <w:b/>
          <w:i/>
          <w:spacing w:val="-1"/>
        </w:rPr>
        <w:t xml:space="preserve"> </w:t>
      </w:r>
      <w:r w:rsidRPr="00856B97">
        <w:rPr>
          <w:rFonts w:ascii="Arial" w:hAnsi="Arial" w:cs="Arial"/>
          <w:b/>
          <w:spacing w:val="-2"/>
        </w:rPr>
        <w:t>(ANOVA) test</w:t>
      </w:r>
    </w:p>
    <w:tbl>
      <w:tblPr>
        <w:tblStyle w:val="PlainTable4"/>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858"/>
        <w:gridCol w:w="592"/>
        <w:gridCol w:w="1437"/>
        <w:gridCol w:w="857"/>
        <w:gridCol w:w="683"/>
        <w:gridCol w:w="1503"/>
      </w:tblGrid>
      <w:tr w:rsidR="00B54EE7" w:rsidRPr="00B54EE7" w14:paraId="18E78EB5" w14:textId="77777777" w:rsidTr="00C62E0F">
        <w:trPr>
          <w:cnfStyle w:val="100000000000" w:firstRow="1" w:lastRow="0" w:firstColumn="0" w:lastColumn="0" w:oddVBand="0" w:evenVBand="0" w:oddHBand="0"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8280" w:type="dxa"/>
            <w:gridSpan w:val="7"/>
          </w:tcPr>
          <w:p w14:paraId="72BEB30A" w14:textId="013A93A5" w:rsidR="00B54EE7" w:rsidRPr="00B54EE7" w:rsidRDefault="006C0214" w:rsidP="0074373E">
            <w:pPr>
              <w:pStyle w:val="TableParagraph"/>
              <w:spacing w:before="9" w:line="276" w:lineRule="auto"/>
              <w:ind w:left="6" w:right="2"/>
              <w:rPr>
                <w:rFonts w:ascii="Arial" w:hAnsi="Arial" w:cs="Arial"/>
                <w:b w:val="0"/>
                <w:bCs w:val="0"/>
                <w:i/>
                <w:sz w:val="20"/>
                <w:szCs w:val="20"/>
              </w:rPr>
            </w:pPr>
            <w:r w:rsidRPr="00B54EE7">
              <w:rPr>
                <w:rFonts w:ascii="Arial" w:hAnsi="Arial" w:cs="Arial"/>
                <w:b w:val="0"/>
                <w:bCs w:val="0"/>
                <w:sz w:val="20"/>
                <w:szCs w:val="20"/>
              </w:rPr>
              <w:t>D</w:t>
            </w:r>
            <w:r w:rsidR="00B54EE7" w:rsidRPr="00B54EE7">
              <w:rPr>
                <w:rFonts w:ascii="Arial" w:hAnsi="Arial" w:cs="Arial"/>
                <w:b w:val="0"/>
                <w:bCs w:val="0"/>
                <w:sz w:val="20"/>
                <w:szCs w:val="20"/>
              </w:rPr>
              <w:t>iameter</w:t>
            </w:r>
            <w:r>
              <w:rPr>
                <w:rFonts w:ascii="Arial" w:hAnsi="Arial" w:cs="Arial"/>
                <w:b w:val="0"/>
                <w:bCs w:val="0"/>
                <w:spacing w:val="-2"/>
                <w:sz w:val="20"/>
                <w:szCs w:val="20"/>
              </w:rPr>
              <w:t xml:space="preserve"> </w:t>
            </w:r>
            <w:r w:rsidRPr="006C0214">
              <w:rPr>
                <w:rFonts w:ascii="Arial" w:hAnsi="Arial" w:cs="Arial"/>
                <w:b w:val="0"/>
                <w:bCs w:val="0"/>
                <w:color w:val="EE0000"/>
                <w:spacing w:val="-2"/>
                <w:sz w:val="20"/>
                <w:szCs w:val="20"/>
                <w:lang w:val="en-US"/>
              </w:rPr>
              <w:t>Graafian follicle</w:t>
            </w:r>
          </w:p>
        </w:tc>
      </w:tr>
      <w:tr w:rsidR="00B54EE7" w:rsidRPr="00B54EE7" w14:paraId="51F833E3" w14:textId="77777777" w:rsidTr="00C62E0F">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3208" w:type="dxa"/>
            <w:gridSpan w:val="2"/>
            <w:shd w:val="clear" w:color="auto" w:fill="auto"/>
            <w:vAlign w:val="center"/>
          </w:tcPr>
          <w:p w14:paraId="065A63D7" w14:textId="77777777" w:rsidR="00B54EE7" w:rsidRPr="00B54EE7" w:rsidRDefault="00B54EE7" w:rsidP="0074373E">
            <w:pPr>
              <w:pStyle w:val="TableParagraph"/>
              <w:spacing w:line="276" w:lineRule="auto"/>
              <w:rPr>
                <w:rFonts w:ascii="Arial" w:hAnsi="Arial" w:cs="Arial"/>
                <w:b w:val="0"/>
                <w:bCs w:val="0"/>
                <w:sz w:val="20"/>
                <w:szCs w:val="20"/>
              </w:rPr>
            </w:pPr>
            <w:r w:rsidRPr="00B54EE7">
              <w:rPr>
                <w:rFonts w:ascii="Arial" w:hAnsi="Arial" w:cs="Arial"/>
                <w:b w:val="0"/>
                <w:bCs w:val="0"/>
                <w:sz w:val="20"/>
                <w:szCs w:val="20"/>
                <w:lang w:val="en-US"/>
              </w:rPr>
              <w:t>Sum of Squares</w:t>
            </w:r>
          </w:p>
        </w:tc>
        <w:tc>
          <w:tcPr>
            <w:cnfStyle w:val="000010000000" w:firstRow="0" w:lastRow="0" w:firstColumn="0" w:lastColumn="0" w:oddVBand="1" w:evenVBand="0" w:oddHBand="0" w:evenHBand="0" w:firstRowFirstColumn="0" w:firstRowLastColumn="0" w:lastRowFirstColumn="0" w:lastRowLastColumn="0"/>
            <w:tcW w:w="592" w:type="dxa"/>
            <w:shd w:val="clear" w:color="auto" w:fill="auto"/>
            <w:vAlign w:val="center"/>
          </w:tcPr>
          <w:p w14:paraId="54B4D76A" w14:textId="77777777" w:rsidR="00B54EE7" w:rsidRPr="00B54EE7" w:rsidRDefault="00B54EE7" w:rsidP="0074373E">
            <w:pPr>
              <w:pStyle w:val="TableParagraph"/>
              <w:spacing w:line="276" w:lineRule="auto"/>
              <w:ind w:left="16" w:right="1"/>
              <w:rPr>
                <w:rFonts w:ascii="Arial" w:hAnsi="Arial" w:cs="Arial"/>
                <w:sz w:val="20"/>
                <w:szCs w:val="20"/>
              </w:rPr>
            </w:pPr>
            <w:r w:rsidRPr="00B54EE7">
              <w:rPr>
                <w:rFonts w:ascii="Arial" w:hAnsi="Arial" w:cs="Arial"/>
                <w:spacing w:val="-5"/>
                <w:sz w:val="20"/>
                <w:szCs w:val="20"/>
              </w:rPr>
              <w:t>df</w:t>
            </w:r>
          </w:p>
        </w:tc>
        <w:tc>
          <w:tcPr>
            <w:tcW w:w="1437" w:type="dxa"/>
            <w:shd w:val="clear" w:color="auto" w:fill="auto"/>
            <w:vAlign w:val="center"/>
          </w:tcPr>
          <w:p w14:paraId="38B8F312" w14:textId="77777777" w:rsidR="00B54EE7" w:rsidRPr="00B54EE7" w:rsidRDefault="00B54EE7" w:rsidP="0074373E">
            <w:pPr>
              <w:pStyle w:val="TableParagraph"/>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54EE7">
              <w:rPr>
                <w:rFonts w:ascii="Arial" w:hAnsi="Arial" w:cs="Arial"/>
                <w:sz w:val="20"/>
                <w:szCs w:val="20"/>
                <w:lang w:val="en-US"/>
              </w:rPr>
              <w:t>Mean Square</w:t>
            </w:r>
          </w:p>
        </w:tc>
        <w:tc>
          <w:tcPr>
            <w:cnfStyle w:val="000010000000" w:firstRow="0" w:lastRow="0" w:firstColumn="0" w:lastColumn="0" w:oddVBand="1" w:evenVBand="0" w:oddHBand="0" w:evenHBand="0" w:firstRowFirstColumn="0" w:firstRowLastColumn="0" w:lastRowFirstColumn="0" w:lastRowLastColumn="0"/>
            <w:tcW w:w="857" w:type="dxa"/>
            <w:shd w:val="clear" w:color="auto" w:fill="auto"/>
            <w:vAlign w:val="center"/>
          </w:tcPr>
          <w:p w14:paraId="2A51D328" w14:textId="77777777" w:rsidR="00B54EE7" w:rsidRPr="00B54EE7" w:rsidRDefault="00B54EE7" w:rsidP="0074373E">
            <w:pPr>
              <w:pStyle w:val="TableParagraph"/>
              <w:spacing w:line="276" w:lineRule="auto"/>
              <w:ind w:left="20" w:right="1"/>
              <w:rPr>
                <w:rFonts w:ascii="Arial" w:hAnsi="Arial" w:cs="Arial"/>
                <w:sz w:val="20"/>
                <w:szCs w:val="20"/>
              </w:rPr>
            </w:pPr>
            <w:r w:rsidRPr="00B54EE7">
              <w:rPr>
                <w:rFonts w:ascii="Arial" w:hAnsi="Arial" w:cs="Arial"/>
                <w:spacing w:val="-5"/>
                <w:sz w:val="20"/>
                <w:szCs w:val="20"/>
              </w:rPr>
              <w:t>F</w:t>
            </w:r>
            <w:r w:rsidRPr="00B54EE7">
              <w:rPr>
                <w:rFonts w:ascii="Arial" w:hAnsi="Arial" w:cs="Arial"/>
                <w:spacing w:val="-5"/>
                <w:sz w:val="20"/>
                <w:szCs w:val="20"/>
                <w:vertAlign w:val="subscript"/>
              </w:rPr>
              <w:t>h</w:t>
            </w:r>
          </w:p>
        </w:tc>
        <w:tc>
          <w:tcPr>
            <w:tcW w:w="683" w:type="dxa"/>
            <w:shd w:val="clear" w:color="auto" w:fill="auto"/>
            <w:vAlign w:val="center"/>
          </w:tcPr>
          <w:p w14:paraId="201E624D" w14:textId="77777777" w:rsidR="00B54EE7" w:rsidRPr="00B54EE7" w:rsidRDefault="00B54EE7" w:rsidP="0074373E">
            <w:pPr>
              <w:pStyle w:val="TableParagraph"/>
              <w:spacing w:line="276" w:lineRule="auto"/>
              <w:ind w:left="1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54EE7">
              <w:rPr>
                <w:rFonts w:ascii="Arial" w:hAnsi="Arial" w:cs="Arial"/>
                <w:spacing w:val="-5"/>
                <w:sz w:val="20"/>
                <w:szCs w:val="20"/>
              </w:rPr>
              <w:t>F</w:t>
            </w:r>
            <w:r w:rsidRPr="00B54EE7">
              <w:rPr>
                <w:rFonts w:ascii="Arial" w:hAnsi="Arial" w:cs="Arial"/>
                <w:spacing w:val="-5"/>
                <w:sz w:val="20"/>
                <w:szCs w:val="20"/>
                <w:vertAlign w:val="subscript"/>
              </w:rPr>
              <w:t>t</w:t>
            </w:r>
          </w:p>
        </w:tc>
        <w:tc>
          <w:tcPr>
            <w:cnfStyle w:val="000100000000" w:firstRow="0" w:lastRow="0" w:firstColumn="0" w:lastColumn="1" w:oddVBand="0" w:evenVBand="0" w:oddHBand="0" w:evenHBand="0" w:firstRowFirstColumn="0" w:firstRowLastColumn="0" w:lastRowFirstColumn="0" w:lastRowLastColumn="0"/>
            <w:tcW w:w="1503" w:type="dxa"/>
            <w:shd w:val="clear" w:color="auto" w:fill="auto"/>
            <w:vAlign w:val="center"/>
          </w:tcPr>
          <w:p w14:paraId="48ADE35D" w14:textId="77777777" w:rsidR="00B54EE7" w:rsidRPr="00B54EE7" w:rsidRDefault="00B54EE7" w:rsidP="0074373E">
            <w:pPr>
              <w:pStyle w:val="TableParagraph"/>
              <w:spacing w:line="276" w:lineRule="auto"/>
              <w:ind w:left="41" w:right="57"/>
              <w:rPr>
                <w:rFonts w:ascii="Arial" w:hAnsi="Arial" w:cs="Arial"/>
                <w:b w:val="0"/>
                <w:bCs w:val="0"/>
                <w:sz w:val="20"/>
                <w:szCs w:val="20"/>
              </w:rPr>
            </w:pPr>
            <w:r w:rsidRPr="00B54EE7">
              <w:rPr>
                <w:rFonts w:ascii="Arial" w:hAnsi="Arial" w:cs="Arial"/>
                <w:b w:val="0"/>
                <w:bCs w:val="0"/>
                <w:spacing w:val="-4"/>
                <w:sz w:val="20"/>
                <w:szCs w:val="20"/>
              </w:rPr>
              <w:t>Sig.</w:t>
            </w:r>
          </w:p>
        </w:tc>
      </w:tr>
      <w:tr w:rsidR="00B54EE7" w:rsidRPr="00B54EE7" w14:paraId="0D348984" w14:textId="77777777" w:rsidTr="00C62E0F">
        <w:trPr>
          <w:trHeight w:val="504"/>
          <w:jc w:val="center"/>
        </w:trPr>
        <w:tc>
          <w:tcPr>
            <w:cnfStyle w:val="001000000000" w:firstRow="0" w:lastRow="0" w:firstColumn="1" w:lastColumn="0" w:oddVBand="0" w:evenVBand="0" w:oddHBand="0" w:evenHBand="0" w:firstRowFirstColumn="0" w:firstRowLastColumn="0" w:lastRowFirstColumn="0" w:lastRowLastColumn="0"/>
            <w:tcW w:w="1350" w:type="dxa"/>
          </w:tcPr>
          <w:p w14:paraId="39EB61C8" w14:textId="77777777" w:rsidR="00B54EE7" w:rsidRPr="00B54EE7" w:rsidRDefault="00B54EE7" w:rsidP="0074373E">
            <w:pPr>
              <w:pStyle w:val="TableParagraph"/>
              <w:spacing w:before="145" w:line="276" w:lineRule="auto"/>
              <w:jc w:val="left"/>
              <w:rPr>
                <w:rFonts w:ascii="Arial" w:hAnsi="Arial" w:cs="Arial"/>
                <w:b w:val="0"/>
                <w:bCs w:val="0"/>
                <w:sz w:val="20"/>
                <w:szCs w:val="20"/>
              </w:rPr>
            </w:pPr>
            <w:r w:rsidRPr="00B54EE7">
              <w:rPr>
                <w:rFonts w:ascii="Arial" w:hAnsi="Arial" w:cs="Arial"/>
                <w:b w:val="0"/>
                <w:bCs w:val="0"/>
                <w:spacing w:val="-2"/>
                <w:sz w:val="20"/>
                <w:szCs w:val="20"/>
              </w:rPr>
              <w:t>Treatment</w:t>
            </w:r>
          </w:p>
        </w:tc>
        <w:tc>
          <w:tcPr>
            <w:cnfStyle w:val="000010000000" w:firstRow="0" w:lastRow="0" w:firstColumn="0" w:lastColumn="0" w:oddVBand="1" w:evenVBand="0" w:oddHBand="0" w:evenHBand="0" w:firstRowFirstColumn="0" w:firstRowLastColumn="0" w:lastRowFirstColumn="0" w:lastRowLastColumn="0"/>
            <w:tcW w:w="1858" w:type="dxa"/>
            <w:shd w:val="clear" w:color="auto" w:fill="auto"/>
          </w:tcPr>
          <w:p w14:paraId="16131917" w14:textId="77777777" w:rsidR="00B54EE7" w:rsidRPr="00B54EE7" w:rsidRDefault="00B54EE7" w:rsidP="0074373E">
            <w:pPr>
              <w:pStyle w:val="TableParagraph"/>
              <w:spacing w:line="276" w:lineRule="auto"/>
              <w:ind w:right="236"/>
              <w:jc w:val="right"/>
              <w:rPr>
                <w:rFonts w:ascii="Arial" w:hAnsi="Arial" w:cs="Arial"/>
                <w:sz w:val="20"/>
                <w:szCs w:val="20"/>
              </w:rPr>
            </w:pPr>
            <w:r w:rsidRPr="00B54EE7">
              <w:rPr>
                <w:rFonts w:ascii="Arial" w:hAnsi="Arial" w:cs="Arial"/>
                <w:spacing w:val="-2"/>
                <w:sz w:val="20"/>
                <w:szCs w:val="20"/>
              </w:rPr>
              <w:t>23834.818</w:t>
            </w:r>
          </w:p>
        </w:tc>
        <w:tc>
          <w:tcPr>
            <w:tcW w:w="592" w:type="dxa"/>
          </w:tcPr>
          <w:p w14:paraId="75B63C40" w14:textId="77777777" w:rsidR="00B54EE7" w:rsidRPr="00B54EE7" w:rsidRDefault="00B54EE7" w:rsidP="0074373E">
            <w:pPr>
              <w:pStyle w:val="TableParagraph"/>
              <w:spacing w:line="276" w:lineRule="auto"/>
              <w:ind w:left="1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4EE7">
              <w:rPr>
                <w:rFonts w:ascii="Arial" w:hAnsi="Arial" w:cs="Arial"/>
                <w:spacing w:val="-10"/>
                <w:sz w:val="20"/>
                <w:szCs w:val="20"/>
              </w:rPr>
              <w:t>3</w:t>
            </w:r>
          </w:p>
        </w:tc>
        <w:tc>
          <w:tcPr>
            <w:cnfStyle w:val="000010000000" w:firstRow="0" w:lastRow="0" w:firstColumn="0" w:lastColumn="0" w:oddVBand="1" w:evenVBand="0" w:oddHBand="0" w:evenHBand="0" w:firstRowFirstColumn="0" w:firstRowLastColumn="0" w:lastRowFirstColumn="0" w:lastRowLastColumn="0"/>
            <w:tcW w:w="1437" w:type="dxa"/>
            <w:shd w:val="clear" w:color="auto" w:fill="auto"/>
          </w:tcPr>
          <w:p w14:paraId="6B326C97" w14:textId="77777777" w:rsidR="00B54EE7" w:rsidRPr="00B54EE7" w:rsidRDefault="00B54EE7" w:rsidP="0074373E">
            <w:pPr>
              <w:pStyle w:val="TableParagraph"/>
              <w:spacing w:line="276" w:lineRule="auto"/>
              <w:ind w:right="8"/>
              <w:rPr>
                <w:rFonts w:ascii="Arial" w:hAnsi="Arial" w:cs="Arial"/>
                <w:sz w:val="20"/>
                <w:szCs w:val="20"/>
              </w:rPr>
            </w:pPr>
            <w:r w:rsidRPr="00B54EE7">
              <w:rPr>
                <w:rFonts w:ascii="Arial" w:hAnsi="Arial" w:cs="Arial"/>
                <w:spacing w:val="-2"/>
                <w:sz w:val="20"/>
                <w:szCs w:val="20"/>
              </w:rPr>
              <w:t>7944.939</w:t>
            </w:r>
          </w:p>
        </w:tc>
        <w:tc>
          <w:tcPr>
            <w:tcW w:w="857" w:type="dxa"/>
          </w:tcPr>
          <w:p w14:paraId="087CDB1D" w14:textId="77777777" w:rsidR="00B54EE7" w:rsidRPr="00B54EE7" w:rsidRDefault="00B54EE7" w:rsidP="0074373E">
            <w:pPr>
              <w:pStyle w:val="TableParagraph"/>
              <w:spacing w:line="276" w:lineRule="auto"/>
              <w:ind w:left="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4EE7">
              <w:rPr>
                <w:rFonts w:ascii="Arial" w:hAnsi="Arial" w:cs="Arial"/>
                <w:spacing w:val="-2"/>
                <w:sz w:val="20"/>
                <w:szCs w:val="20"/>
              </w:rPr>
              <w:t>46.75</w:t>
            </w:r>
          </w:p>
        </w:tc>
        <w:tc>
          <w:tcPr>
            <w:cnfStyle w:val="000010000000" w:firstRow="0" w:lastRow="0" w:firstColumn="0" w:lastColumn="0" w:oddVBand="1" w:evenVBand="0" w:oddHBand="0" w:evenHBand="0" w:firstRowFirstColumn="0" w:firstRowLastColumn="0" w:lastRowFirstColumn="0" w:lastRowLastColumn="0"/>
            <w:tcW w:w="683" w:type="dxa"/>
            <w:shd w:val="clear" w:color="auto" w:fill="auto"/>
          </w:tcPr>
          <w:p w14:paraId="38EE9D8F" w14:textId="77777777" w:rsidR="00B54EE7" w:rsidRPr="00B54EE7" w:rsidRDefault="00B54EE7" w:rsidP="0074373E">
            <w:pPr>
              <w:pStyle w:val="TableParagraph"/>
              <w:spacing w:line="276" w:lineRule="auto"/>
              <w:ind w:left="19" w:right="2"/>
              <w:rPr>
                <w:rFonts w:ascii="Arial" w:hAnsi="Arial" w:cs="Arial"/>
                <w:sz w:val="20"/>
                <w:szCs w:val="20"/>
              </w:rPr>
            </w:pPr>
            <w:r w:rsidRPr="00B54EE7">
              <w:rPr>
                <w:rFonts w:ascii="Arial" w:hAnsi="Arial" w:cs="Arial"/>
                <w:spacing w:val="-4"/>
                <w:sz w:val="20"/>
                <w:szCs w:val="20"/>
              </w:rPr>
              <w:t>3.10</w:t>
            </w:r>
          </w:p>
        </w:tc>
        <w:tc>
          <w:tcPr>
            <w:cnfStyle w:val="000100000000" w:firstRow="0" w:lastRow="0" w:firstColumn="0" w:lastColumn="1" w:oddVBand="0" w:evenVBand="0" w:oddHBand="0" w:evenHBand="0" w:firstRowFirstColumn="0" w:firstRowLastColumn="0" w:lastRowFirstColumn="0" w:lastRowLastColumn="0"/>
            <w:tcW w:w="1503" w:type="dxa"/>
          </w:tcPr>
          <w:p w14:paraId="351F4F5E" w14:textId="77777777" w:rsidR="00B54EE7" w:rsidRPr="00B54EE7" w:rsidRDefault="00B54EE7" w:rsidP="0074373E">
            <w:pPr>
              <w:pStyle w:val="TableParagraph"/>
              <w:spacing w:line="276" w:lineRule="auto"/>
              <w:ind w:left="57" w:right="16"/>
              <w:rPr>
                <w:rFonts w:ascii="Arial" w:hAnsi="Arial" w:cs="Arial"/>
                <w:b w:val="0"/>
                <w:bCs w:val="0"/>
                <w:sz w:val="20"/>
                <w:szCs w:val="20"/>
              </w:rPr>
            </w:pPr>
            <w:r w:rsidRPr="00B54EE7">
              <w:rPr>
                <w:rFonts w:ascii="Arial" w:hAnsi="Arial" w:cs="Arial"/>
                <w:b w:val="0"/>
                <w:bCs w:val="0"/>
                <w:spacing w:val="-4"/>
                <w:sz w:val="20"/>
                <w:szCs w:val="20"/>
              </w:rPr>
              <w:t>0.00</w:t>
            </w:r>
          </w:p>
        </w:tc>
      </w:tr>
      <w:tr w:rsidR="00B54EE7" w:rsidRPr="00B54EE7" w14:paraId="173E8A47" w14:textId="77777777" w:rsidTr="00C62E0F">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338C418E" w14:textId="77777777" w:rsidR="00B54EE7" w:rsidRPr="00B54EE7" w:rsidRDefault="00B54EE7" w:rsidP="0074373E">
            <w:pPr>
              <w:pStyle w:val="TableParagraph"/>
              <w:spacing w:before="82" w:line="276" w:lineRule="auto"/>
              <w:jc w:val="left"/>
              <w:rPr>
                <w:rFonts w:ascii="Arial" w:hAnsi="Arial" w:cs="Arial"/>
                <w:b w:val="0"/>
                <w:bCs w:val="0"/>
                <w:sz w:val="20"/>
                <w:szCs w:val="20"/>
              </w:rPr>
            </w:pPr>
            <w:r w:rsidRPr="00B54EE7">
              <w:rPr>
                <w:rFonts w:ascii="Arial" w:hAnsi="Arial" w:cs="Arial"/>
                <w:b w:val="0"/>
                <w:bCs w:val="0"/>
                <w:spacing w:val="-2"/>
                <w:sz w:val="20"/>
                <w:szCs w:val="20"/>
              </w:rPr>
              <w:t>Error</w:t>
            </w:r>
          </w:p>
        </w:tc>
        <w:tc>
          <w:tcPr>
            <w:cnfStyle w:val="000010000000" w:firstRow="0" w:lastRow="0" w:firstColumn="0" w:lastColumn="0" w:oddVBand="1" w:evenVBand="0" w:oddHBand="0" w:evenHBand="0" w:firstRowFirstColumn="0" w:firstRowLastColumn="0" w:lastRowFirstColumn="0" w:lastRowLastColumn="0"/>
            <w:tcW w:w="1858" w:type="dxa"/>
            <w:shd w:val="clear" w:color="auto" w:fill="auto"/>
          </w:tcPr>
          <w:p w14:paraId="26BBABB2" w14:textId="77777777" w:rsidR="00B54EE7" w:rsidRPr="00B54EE7" w:rsidRDefault="00B54EE7" w:rsidP="0074373E">
            <w:pPr>
              <w:pStyle w:val="TableParagraph"/>
              <w:spacing w:before="73" w:line="276" w:lineRule="auto"/>
              <w:ind w:right="310"/>
              <w:jc w:val="right"/>
              <w:rPr>
                <w:rFonts w:ascii="Arial" w:hAnsi="Arial" w:cs="Arial"/>
                <w:sz w:val="20"/>
                <w:szCs w:val="20"/>
              </w:rPr>
            </w:pPr>
            <w:r w:rsidRPr="00B54EE7">
              <w:rPr>
                <w:rFonts w:ascii="Arial" w:hAnsi="Arial" w:cs="Arial"/>
                <w:spacing w:val="-2"/>
                <w:sz w:val="20"/>
                <w:szCs w:val="20"/>
              </w:rPr>
              <w:t>3398.895</w:t>
            </w:r>
          </w:p>
        </w:tc>
        <w:tc>
          <w:tcPr>
            <w:tcW w:w="592" w:type="dxa"/>
            <w:shd w:val="clear" w:color="auto" w:fill="auto"/>
          </w:tcPr>
          <w:p w14:paraId="08B68D9B" w14:textId="77777777" w:rsidR="00B54EE7" w:rsidRPr="00B54EE7" w:rsidRDefault="00B54EE7" w:rsidP="0074373E">
            <w:pPr>
              <w:pStyle w:val="TableParagraph"/>
              <w:spacing w:before="73" w:line="276" w:lineRule="auto"/>
              <w:ind w:left="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54EE7">
              <w:rPr>
                <w:rFonts w:ascii="Arial" w:hAnsi="Arial" w:cs="Arial"/>
                <w:spacing w:val="-5"/>
                <w:sz w:val="20"/>
                <w:szCs w:val="20"/>
              </w:rPr>
              <w:t>20</w:t>
            </w:r>
          </w:p>
        </w:tc>
        <w:tc>
          <w:tcPr>
            <w:cnfStyle w:val="000010000000" w:firstRow="0" w:lastRow="0" w:firstColumn="0" w:lastColumn="0" w:oddVBand="1" w:evenVBand="0" w:oddHBand="0" w:evenHBand="0" w:firstRowFirstColumn="0" w:firstRowLastColumn="0" w:lastRowFirstColumn="0" w:lastRowLastColumn="0"/>
            <w:tcW w:w="1437" w:type="dxa"/>
            <w:shd w:val="clear" w:color="auto" w:fill="auto"/>
          </w:tcPr>
          <w:p w14:paraId="5E6320CA" w14:textId="77777777" w:rsidR="00B54EE7" w:rsidRPr="00B54EE7" w:rsidRDefault="00B54EE7" w:rsidP="0074373E">
            <w:pPr>
              <w:pStyle w:val="TableParagraph"/>
              <w:spacing w:before="73" w:line="276" w:lineRule="auto"/>
              <w:ind w:right="8"/>
              <w:rPr>
                <w:rFonts w:ascii="Arial" w:hAnsi="Arial" w:cs="Arial"/>
                <w:sz w:val="20"/>
                <w:szCs w:val="20"/>
              </w:rPr>
            </w:pPr>
            <w:r w:rsidRPr="00B54EE7">
              <w:rPr>
                <w:rFonts w:ascii="Arial" w:hAnsi="Arial" w:cs="Arial"/>
                <w:spacing w:val="-2"/>
                <w:sz w:val="20"/>
                <w:szCs w:val="20"/>
              </w:rPr>
              <w:t>169.945</w:t>
            </w:r>
          </w:p>
        </w:tc>
        <w:tc>
          <w:tcPr>
            <w:tcW w:w="857" w:type="dxa"/>
            <w:shd w:val="clear" w:color="auto" w:fill="auto"/>
          </w:tcPr>
          <w:p w14:paraId="1BEDC90A" w14:textId="77777777" w:rsidR="00B54EE7" w:rsidRPr="00B54EE7" w:rsidRDefault="00B54EE7" w:rsidP="0074373E">
            <w:pPr>
              <w:pStyle w:val="TableParagraph"/>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683" w:type="dxa"/>
            <w:shd w:val="clear" w:color="auto" w:fill="auto"/>
          </w:tcPr>
          <w:p w14:paraId="0C464E71" w14:textId="77777777" w:rsidR="00B54EE7" w:rsidRPr="00B54EE7" w:rsidRDefault="00B54EE7" w:rsidP="0074373E">
            <w:pPr>
              <w:pStyle w:val="TableParagraph"/>
              <w:spacing w:line="276" w:lineRule="auto"/>
              <w:jc w:val="left"/>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503" w:type="dxa"/>
            <w:shd w:val="clear" w:color="auto" w:fill="auto"/>
          </w:tcPr>
          <w:p w14:paraId="003BF54F" w14:textId="77777777" w:rsidR="00B54EE7" w:rsidRPr="00B54EE7" w:rsidRDefault="00B54EE7" w:rsidP="0074373E">
            <w:pPr>
              <w:pStyle w:val="TableParagraph"/>
              <w:spacing w:line="276" w:lineRule="auto"/>
              <w:jc w:val="left"/>
              <w:rPr>
                <w:rFonts w:ascii="Arial" w:hAnsi="Arial" w:cs="Arial"/>
                <w:b w:val="0"/>
                <w:bCs w:val="0"/>
                <w:sz w:val="20"/>
                <w:szCs w:val="20"/>
              </w:rPr>
            </w:pPr>
          </w:p>
        </w:tc>
      </w:tr>
      <w:tr w:rsidR="00B54EE7" w:rsidRPr="00B54EE7" w14:paraId="05FCFC93" w14:textId="77777777" w:rsidTr="00C62E0F">
        <w:trPr>
          <w:trHeight w:val="295"/>
          <w:jc w:val="center"/>
        </w:trPr>
        <w:tc>
          <w:tcPr>
            <w:cnfStyle w:val="001000000000" w:firstRow="0" w:lastRow="0" w:firstColumn="1" w:lastColumn="0" w:oddVBand="0" w:evenVBand="0" w:oddHBand="0" w:evenHBand="0" w:firstRowFirstColumn="0" w:firstRowLastColumn="0" w:lastRowFirstColumn="0" w:lastRowLastColumn="0"/>
            <w:tcW w:w="1350" w:type="dxa"/>
          </w:tcPr>
          <w:p w14:paraId="554B9092" w14:textId="77777777" w:rsidR="00B54EE7" w:rsidRPr="00B54EE7" w:rsidRDefault="00B54EE7" w:rsidP="0074373E">
            <w:pPr>
              <w:pStyle w:val="TableParagraph"/>
              <w:spacing w:line="276" w:lineRule="auto"/>
              <w:jc w:val="left"/>
              <w:rPr>
                <w:rFonts w:ascii="Arial" w:hAnsi="Arial" w:cs="Arial"/>
                <w:b w:val="0"/>
                <w:bCs w:val="0"/>
                <w:sz w:val="20"/>
                <w:szCs w:val="20"/>
              </w:rPr>
            </w:pPr>
            <w:r w:rsidRPr="00B54EE7">
              <w:rPr>
                <w:rFonts w:ascii="Arial" w:hAnsi="Arial" w:cs="Arial"/>
                <w:b w:val="0"/>
                <w:bCs w:val="0"/>
                <w:spacing w:val="-2"/>
                <w:sz w:val="20"/>
                <w:szCs w:val="20"/>
              </w:rPr>
              <w:t>Total</w:t>
            </w:r>
          </w:p>
        </w:tc>
        <w:tc>
          <w:tcPr>
            <w:cnfStyle w:val="000010000000" w:firstRow="0" w:lastRow="0" w:firstColumn="0" w:lastColumn="0" w:oddVBand="1" w:evenVBand="0" w:oddHBand="0" w:evenHBand="0" w:firstRowFirstColumn="0" w:firstRowLastColumn="0" w:lastRowFirstColumn="0" w:lastRowLastColumn="0"/>
            <w:tcW w:w="1858" w:type="dxa"/>
            <w:shd w:val="clear" w:color="auto" w:fill="auto"/>
          </w:tcPr>
          <w:p w14:paraId="4EF623E3" w14:textId="77777777" w:rsidR="00B54EE7" w:rsidRPr="00B54EE7" w:rsidRDefault="00B54EE7" w:rsidP="0074373E">
            <w:pPr>
              <w:pStyle w:val="TableParagraph"/>
              <w:spacing w:line="276" w:lineRule="auto"/>
              <w:ind w:right="205"/>
              <w:jc w:val="right"/>
              <w:rPr>
                <w:rFonts w:ascii="Arial" w:hAnsi="Arial" w:cs="Arial"/>
                <w:b/>
                <w:bCs/>
                <w:sz w:val="20"/>
                <w:szCs w:val="20"/>
              </w:rPr>
            </w:pPr>
            <w:r w:rsidRPr="00B54EE7">
              <w:rPr>
                <w:rFonts w:ascii="Arial" w:hAnsi="Arial" w:cs="Arial"/>
                <w:spacing w:val="-2"/>
                <w:sz w:val="20"/>
                <w:szCs w:val="20"/>
              </w:rPr>
              <w:t>27233.713</w:t>
            </w:r>
          </w:p>
        </w:tc>
        <w:tc>
          <w:tcPr>
            <w:tcW w:w="592" w:type="dxa"/>
          </w:tcPr>
          <w:p w14:paraId="53CB8844" w14:textId="77777777" w:rsidR="00B54EE7" w:rsidRPr="00B54EE7" w:rsidRDefault="00B54EE7" w:rsidP="0074373E">
            <w:pPr>
              <w:pStyle w:val="TableParagraph"/>
              <w:spacing w:line="276" w:lineRule="auto"/>
              <w:ind w:left="16"/>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54EE7">
              <w:rPr>
                <w:rFonts w:ascii="Arial" w:hAnsi="Arial" w:cs="Arial"/>
                <w:spacing w:val="-5"/>
                <w:sz w:val="20"/>
                <w:szCs w:val="20"/>
              </w:rPr>
              <w:t>23</w:t>
            </w:r>
          </w:p>
        </w:tc>
        <w:tc>
          <w:tcPr>
            <w:cnfStyle w:val="000010000000" w:firstRow="0" w:lastRow="0" w:firstColumn="0" w:lastColumn="0" w:oddVBand="1" w:evenVBand="0" w:oddHBand="0" w:evenHBand="0" w:firstRowFirstColumn="0" w:firstRowLastColumn="0" w:lastRowFirstColumn="0" w:lastRowLastColumn="0"/>
            <w:tcW w:w="1437" w:type="dxa"/>
            <w:shd w:val="clear" w:color="auto" w:fill="auto"/>
          </w:tcPr>
          <w:p w14:paraId="42377983" w14:textId="77777777" w:rsidR="00B54EE7" w:rsidRPr="00B54EE7" w:rsidRDefault="00B54EE7" w:rsidP="0074373E">
            <w:pPr>
              <w:pStyle w:val="TableParagraph"/>
              <w:spacing w:line="276" w:lineRule="auto"/>
              <w:jc w:val="left"/>
              <w:rPr>
                <w:rFonts w:ascii="Arial" w:hAnsi="Arial" w:cs="Arial"/>
                <w:b/>
                <w:bCs/>
                <w:sz w:val="20"/>
                <w:szCs w:val="20"/>
              </w:rPr>
            </w:pPr>
          </w:p>
        </w:tc>
        <w:tc>
          <w:tcPr>
            <w:tcW w:w="857" w:type="dxa"/>
          </w:tcPr>
          <w:p w14:paraId="653D6424" w14:textId="77777777" w:rsidR="00B54EE7" w:rsidRPr="00B54EE7" w:rsidRDefault="00B54EE7" w:rsidP="0074373E">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683" w:type="dxa"/>
            <w:shd w:val="clear" w:color="auto" w:fill="auto"/>
          </w:tcPr>
          <w:p w14:paraId="7F3792D7" w14:textId="77777777" w:rsidR="00B54EE7" w:rsidRPr="00B54EE7" w:rsidRDefault="00B54EE7" w:rsidP="0074373E">
            <w:pPr>
              <w:pStyle w:val="TableParagraph"/>
              <w:spacing w:line="276" w:lineRule="auto"/>
              <w:jc w:val="left"/>
              <w:rPr>
                <w:rFonts w:ascii="Arial" w:hAnsi="Arial" w:cs="Arial"/>
                <w:b/>
                <w:bCs/>
                <w:sz w:val="20"/>
                <w:szCs w:val="20"/>
              </w:rPr>
            </w:pPr>
          </w:p>
        </w:tc>
        <w:tc>
          <w:tcPr>
            <w:cnfStyle w:val="000100000000" w:firstRow="0" w:lastRow="0" w:firstColumn="0" w:lastColumn="1" w:oddVBand="0" w:evenVBand="0" w:oddHBand="0" w:evenHBand="0" w:firstRowFirstColumn="0" w:firstRowLastColumn="0" w:lastRowFirstColumn="0" w:lastRowLastColumn="0"/>
            <w:tcW w:w="1503" w:type="dxa"/>
          </w:tcPr>
          <w:p w14:paraId="1209332D" w14:textId="77777777" w:rsidR="00B54EE7" w:rsidRPr="00B54EE7" w:rsidRDefault="00B54EE7" w:rsidP="0074373E">
            <w:pPr>
              <w:pStyle w:val="TableParagraph"/>
              <w:spacing w:line="276" w:lineRule="auto"/>
              <w:jc w:val="left"/>
              <w:rPr>
                <w:rFonts w:ascii="Arial" w:hAnsi="Arial" w:cs="Arial"/>
                <w:b w:val="0"/>
                <w:bCs w:val="0"/>
                <w:sz w:val="20"/>
                <w:szCs w:val="20"/>
              </w:rPr>
            </w:pPr>
          </w:p>
        </w:tc>
      </w:tr>
      <w:tr w:rsidR="00C62E0F" w:rsidRPr="00B54EE7" w14:paraId="173F4983" w14:textId="77777777" w:rsidTr="00C62E0F">
        <w:trPr>
          <w:cnfStyle w:val="010000000000" w:firstRow="0" w:lastRow="1" w:firstColumn="0" w:lastColumn="0" w:oddVBand="0" w:evenVBand="0" w:oddHBand="0"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1350" w:type="dxa"/>
          </w:tcPr>
          <w:p w14:paraId="115017BF" w14:textId="2C181992" w:rsidR="00C62E0F" w:rsidRPr="00C62E0F" w:rsidRDefault="00C62E0F" w:rsidP="0074373E">
            <w:pPr>
              <w:pStyle w:val="TableParagraph"/>
              <w:spacing w:line="276" w:lineRule="auto"/>
              <w:jc w:val="left"/>
              <w:rPr>
                <w:rFonts w:ascii="Arial" w:hAnsi="Arial" w:cs="Arial"/>
                <w:b w:val="0"/>
                <w:bCs w:val="0"/>
                <w:spacing w:val="-2"/>
                <w:sz w:val="20"/>
                <w:szCs w:val="20"/>
              </w:rPr>
            </w:pPr>
            <w:r w:rsidRPr="00C62E0F">
              <w:rPr>
                <w:rFonts w:ascii="Arial" w:hAnsi="Arial" w:cs="Arial"/>
                <w:b w:val="0"/>
                <w:bCs w:val="0"/>
                <w:spacing w:val="-2"/>
                <w:sz w:val="20"/>
                <w:szCs w:val="20"/>
                <w:lang w:val="en-US"/>
              </w:rPr>
              <w:t>Eta-squared</w:t>
            </w:r>
          </w:p>
        </w:tc>
        <w:tc>
          <w:tcPr>
            <w:cnfStyle w:val="000010000000" w:firstRow="0" w:lastRow="0" w:firstColumn="0" w:lastColumn="0" w:oddVBand="1" w:evenVBand="0" w:oddHBand="0" w:evenHBand="0" w:firstRowFirstColumn="0" w:firstRowLastColumn="0" w:lastRowFirstColumn="0" w:lastRowLastColumn="0"/>
            <w:tcW w:w="1858" w:type="dxa"/>
            <w:shd w:val="clear" w:color="auto" w:fill="auto"/>
          </w:tcPr>
          <w:p w14:paraId="48ABA459" w14:textId="4A46AB0A" w:rsidR="00C62E0F" w:rsidRPr="00C62E0F" w:rsidRDefault="00C62E0F" w:rsidP="00C62E0F">
            <w:pPr>
              <w:pStyle w:val="TableParagraph"/>
              <w:spacing w:line="276" w:lineRule="auto"/>
              <w:ind w:right="205"/>
              <w:rPr>
                <w:rFonts w:ascii="Arial" w:hAnsi="Arial" w:cs="Arial"/>
                <w:b w:val="0"/>
                <w:bCs w:val="0"/>
                <w:spacing w:val="-2"/>
                <w:sz w:val="20"/>
                <w:szCs w:val="20"/>
              </w:rPr>
            </w:pPr>
            <w:r w:rsidRPr="00C62E0F">
              <w:rPr>
                <w:rFonts w:ascii="Arial" w:hAnsi="Arial" w:cs="Arial"/>
                <w:b w:val="0"/>
                <w:bCs w:val="0"/>
                <w:spacing w:val="-2"/>
                <w:sz w:val="20"/>
                <w:szCs w:val="20"/>
              </w:rPr>
              <w:t>0.87</w:t>
            </w:r>
          </w:p>
        </w:tc>
        <w:tc>
          <w:tcPr>
            <w:tcW w:w="592" w:type="dxa"/>
          </w:tcPr>
          <w:p w14:paraId="7BCCB961" w14:textId="77777777" w:rsidR="00C62E0F" w:rsidRPr="00B54EE7" w:rsidRDefault="00C62E0F" w:rsidP="0074373E">
            <w:pPr>
              <w:pStyle w:val="TableParagraph"/>
              <w:spacing w:line="276" w:lineRule="auto"/>
              <w:ind w:left="16"/>
              <w:cnfStyle w:val="010000000000" w:firstRow="0" w:lastRow="1" w:firstColumn="0" w:lastColumn="0" w:oddVBand="0" w:evenVBand="0" w:oddHBand="0" w:evenHBand="0" w:firstRowFirstColumn="0" w:firstRowLastColumn="0" w:lastRowFirstColumn="0" w:lastRowLastColumn="0"/>
              <w:rPr>
                <w:rFonts w:ascii="Arial" w:hAnsi="Arial" w:cs="Arial"/>
                <w:spacing w:val="-5"/>
                <w:sz w:val="20"/>
                <w:szCs w:val="20"/>
              </w:rPr>
            </w:pPr>
          </w:p>
        </w:tc>
        <w:tc>
          <w:tcPr>
            <w:cnfStyle w:val="000010000000" w:firstRow="0" w:lastRow="0" w:firstColumn="0" w:lastColumn="0" w:oddVBand="1" w:evenVBand="0" w:oddHBand="0" w:evenHBand="0" w:firstRowFirstColumn="0" w:firstRowLastColumn="0" w:lastRowFirstColumn="0" w:lastRowLastColumn="0"/>
            <w:tcW w:w="1437" w:type="dxa"/>
            <w:shd w:val="clear" w:color="auto" w:fill="auto"/>
          </w:tcPr>
          <w:p w14:paraId="77F0B047" w14:textId="77777777" w:rsidR="00C62E0F" w:rsidRPr="00B54EE7" w:rsidRDefault="00C62E0F" w:rsidP="0074373E">
            <w:pPr>
              <w:pStyle w:val="TableParagraph"/>
              <w:spacing w:line="276" w:lineRule="auto"/>
              <w:jc w:val="left"/>
              <w:rPr>
                <w:rFonts w:ascii="Arial" w:hAnsi="Arial" w:cs="Arial"/>
                <w:b w:val="0"/>
                <w:bCs w:val="0"/>
                <w:sz w:val="20"/>
                <w:szCs w:val="20"/>
              </w:rPr>
            </w:pPr>
          </w:p>
        </w:tc>
        <w:tc>
          <w:tcPr>
            <w:tcW w:w="857" w:type="dxa"/>
          </w:tcPr>
          <w:p w14:paraId="67A77F50" w14:textId="77777777" w:rsidR="00C62E0F" w:rsidRPr="00B54EE7" w:rsidRDefault="00C62E0F" w:rsidP="0074373E">
            <w:pPr>
              <w:pStyle w:val="TableParagraph"/>
              <w:spacing w:line="276" w:lineRule="auto"/>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83" w:type="dxa"/>
            <w:shd w:val="clear" w:color="auto" w:fill="auto"/>
          </w:tcPr>
          <w:p w14:paraId="1FCC1314" w14:textId="77777777" w:rsidR="00C62E0F" w:rsidRPr="00B54EE7" w:rsidRDefault="00C62E0F" w:rsidP="0074373E">
            <w:pPr>
              <w:pStyle w:val="TableParagraph"/>
              <w:spacing w:line="276" w:lineRule="auto"/>
              <w:jc w:val="left"/>
              <w:rPr>
                <w:rFonts w:ascii="Arial" w:hAnsi="Arial" w:cs="Arial"/>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1503" w:type="dxa"/>
          </w:tcPr>
          <w:p w14:paraId="7304B922" w14:textId="77777777" w:rsidR="00C62E0F" w:rsidRPr="00B54EE7" w:rsidRDefault="00C62E0F" w:rsidP="0074373E">
            <w:pPr>
              <w:pStyle w:val="TableParagraph"/>
              <w:spacing w:line="276" w:lineRule="auto"/>
              <w:jc w:val="left"/>
              <w:rPr>
                <w:rFonts w:ascii="Arial" w:hAnsi="Arial" w:cs="Arial"/>
                <w:b w:val="0"/>
                <w:bCs w:val="0"/>
                <w:sz w:val="20"/>
                <w:szCs w:val="20"/>
              </w:rPr>
            </w:pPr>
          </w:p>
        </w:tc>
      </w:tr>
    </w:tbl>
    <w:p w14:paraId="557241DB" w14:textId="1CBD6F5B" w:rsidR="00B54EE7" w:rsidRDefault="00B54EE7" w:rsidP="00610942">
      <w:pPr>
        <w:pStyle w:val="BodyText"/>
        <w:spacing w:before="137" w:line="276" w:lineRule="auto"/>
        <w:ind w:right="317"/>
        <w:jc w:val="both"/>
        <w:rPr>
          <w:rFonts w:ascii="Arial" w:hAnsi="Arial" w:cs="Arial"/>
        </w:rPr>
      </w:pPr>
      <w:r w:rsidRPr="00B54EE7">
        <w:rPr>
          <w:rFonts w:ascii="Arial" w:hAnsi="Arial" w:cs="Arial"/>
        </w:rPr>
        <w:t xml:space="preserve">Note: </w:t>
      </w:r>
      <w:r w:rsidRPr="009269D9">
        <w:rPr>
          <w:rFonts w:ascii="Arial" w:hAnsi="Arial" w:cs="Arial"/>
          <w:i/>
          <w:iCs/>
        </w:rPr>
        <w:t>F-calculated &gt; F-table (46.75 &gt; 3.10) and the p-value (Sig.) = 0.00 &lt; 0.05.</w:t>
      </w:r>
      <w:r w:rsidRPr="00B54EE7">
        <w:rPr>
          <w:rFonts w:ascii="Arial" w:hAnsi="Arial" w:cs="Arial"/>
        </w:rPr>
        <w:t xml:space="preserve"> Therefore, H</w:t>
      </w:r>
      <w:r w:rsidRPr="00B54EE7">
        <w:rPr>
          <w:rFonts w:ascii="Arial" w:hAnsi="Arial" w:cs="Arial"/>
          <w:vertAlign w:val="subscript"/>
        </w:rPr>
        <w:t>0</w:t>
      </w:r>
      <w:r w:rsidRPr="00B54EE7">
        <w:rPr>
          <w:rFonts w:ascii="Arial" w:hAnsi="Arial" w:cs="Arial"/>
        </w:rPr>
        <w:t xml:space="preserve"> is rejected and H</w:t>
      </w:r>
      <w:r w:rsidRPr="00B54EE7">
        <w:rPr>
          <w:rFonts w:ascii="Arial" w:hAnsi="Arial" w:cs="Arial"/>
          <w:vertAlign w:val="subscript"/>
        </w:rPr>
        <w:t>1</w:t>
      </w:r>
      <w:r w:rsidRPr="00B54EE7">
        <w:rPr>
          <w:rFonts w:ascii="Arial" w:hAnsi="Arial" w:cs="Arial"/>
        </w:rPr>
        <w:t xml:space="preserve"> is accepted, signifying that the red dragon fruit extract has a significant effect on the Graafian follicle diameter of white rats</w:t>
      </w:r>
    </w:p>
    <w:p w14:paraId="1B556014" w14:textId="77777777" w:rsidR="00B54EE7" w:rsidRPr="0091117B" w:rsidRDefault="00B54EE7" w:rsidP="0074373E">
      <w:pPr>
        <w:pStyle w:val="BodyText"/>
        <w:spacing w:before="140" w:line="276" w:lineRule="auto"/>
        <w:jc w:val="center"/>
        <w:rPr>
          <w:rFonts w:ascii="Arial" w:hAnsi="Arial" w:cs="Arial"/>
          <w:b/>
          <w:bCs/>
        </w:rPr>
      </w:pPr>
      <w:r w:rsidRPr="0091117B">
        <w:rPr>
          <w:rFonts w:ascii="Arial" w:hAnsi="Arial" w:cs="Arial"/>
          <w:b/>
          <w:bCs/>
        </w:rPr>
        <w:t>Table</w:t>
      </w:r>
      <w:r w:rsidRPr="0091117B">
        <w:rPr>
          <w:rFonts w:ascii="Arial" w:hAnsi="Arial" w:cs="Arial"/>
          <w:b/>
          <w:bCs/>
          <w:spacing w:val="-2"/>
        </w:rPr>
        <w:t xml:space="preserve">. </w:t>
      </w:r>
      <w:r w:rsidRPr="0091117B">
        <w:rPr>
          <w:rFonts w:ascii="Arial" w:hAnsi="Arial" w:cs="Arial"/>
          <w:b/>
          <w:bCs/>
        </w:rPr>
        <w:t>6. Duncan's post hoc test</w:t>
      </w:r>
    </w:p>
    <w:tbl>
      <w:tblPr>
        <w:tblStyle w:val="PlainTable4"/>
        <w:tblW w:w="8095" w:type="dxa"/>
        <w:jc w:val="center"/>
        <w:tblLayout w:type="fixed"/>
        <w:tblLook w:val="01E0" w:firstRow="1" w:lastRow="1" w:firstColumn="1" w:lastColumn="1" w:noHBand="0" w:noVBand="0"/>
      </w:tblPr>
      <w:tblGrid>
        <w:gridCol w:w="2790"/>
        <w:gridCol w:w="810"/>
        <w:gridCol w:w="1611"/>
        <w:gridCol w:w="2884"/>
      </w:tblGrid>
      <w:tr w:rsidR="00B54EE7" w:rsidRPr="00B54EE7" w14:paraId="74952B03" w14:textId="77777777" w:rsidTr="00FB3AFE">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bottom w:val="single" w:sz="4" w:space="0" w:color="auto"/>
            </w:tcBorders>
          </w:tcPr>
          <w:p w14:paraId="63426868" w14:textId="77777777" w:rsidR="00B54EE7" w:rsidRPr="00B54EE7" w:rsidRDefault="00B54EE7" w:rsidP="0074373E">
            <w:pPr>
              <w:pStyle w:val="TableParagraph"/>
              <w:spacing w:before="71" w:line="276" w:lineRule="auto"/>
              <w:ind w:left="492" w:right="427" w:hanging="27"/>
              <w:jc w:val="left"/>
              <w:rPr>
                <w:rFonts w:ascii="Arial" w:hAnsi="Arial" w:cs="Arial"/>
                <w:b w:val="0"/>
                <w:bCs w:val="0"/>
                <w:sz w:val="20"/>
                <w:szCs w:val="20"/>
              </w:rPr>
            </w:pPr>
            <w:r w:rsidRPr="00B54EE7">
              <w:rPr>
                <w:rFonts w:ascii="Arial" w:hAnsi="Arial" w:cs="Arial"/>
                <w:b w:val="0"/>
                <w:bCs w:val="0"/>
                <w:spacing w:val="-2"/>
                <w:sz w:val="20"/>
                <w:szCs w:val="20"/>
                <w:lang w:val="en-US"/>
              </w:rPr>
              <w:t>Treatment Group</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bottom w:val="single" w:sz="4" w:space="0" w:color="auto"/>
            </w:tcBorders>
            <w:shd w:val="clear" w:color="auto" w:fill="auto"/>
          </w:tcPr>
          <w:p w14:paraId="05AC55AC" w14:textId="77777777" w:rsidR="00B54EE7" w:rsidRPr="00B54EE7" w:rsidRDefault="00B54EE7" w:rsidP="0074373E">
            <w:pPr>
              <w:pStyle w:val="TableParagraph"/>
              <w:spacing w:before="71" w:line="276" w:lineRule="auto"/>
              <w:ind w:right="515"/>
              <w:jc w:val="right"/>
              <w:rPr>
                <w:rFonts w:ascii="Arial" w:hAnsi="Arial" w:cs="Arial"/>
                <w:b w:val="0"/>
                <w:bCs w:val="0"/>
                <w:sz w:val="20"/>
                <w:szCs w:val="20"/>
              </w:rPr>
            </w:pPr>
            <w:r w:rsidRPr="00B54EE7">
              <w:rPr>
                <w:rFonts w:ascii="Arial" w:hAnsi="Arial" w:cs="Arial"/>
                <w:b w:val="0"/>
                <w:bCs w:val="0"/>
                <w:spacing w:val="-10"/>
                <w:sz w:val="20"/>
                <w:szCs w:val="20"/>
              </w:rPr>
              <w:t>N</w:t>
            </w:r>
          </w:p>
        </w:tc>
        <w:tc>
          <w:tcPr>
            <w:tcW w:w="1611" w:type="dxa"/>
            <w:tcBorders>
              <w:top w:val="single" w:sz="4" w:space="0" w:color="auto"/>
              <w:bottom w:val="single" w:sz="4" w:space="0" w:color="auto"/>
            </w:tcBorders>
          </w:tcPr>
          <w:p w14:paraId="3F5F4C93" w14:textId="77777777" w:rsidR="00B54EE7" w:rsidRPr="00B54EE7" w:rsidRDefault="00B54EE7" w:rsidP="0074373E">
            <w:pPr>
              <w:pStyle w:val="TableParagraph"/>
              <w:spacing w:before="71" w:line="276" w:lineRule="auto"/>
              <w:ind w:left="30" w:right="62"/>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54EE7">
              <w:rPr>
                <w:rFonts w:ascii="Arial" w:hAnsi="Arial" w:cs="Arial"/>
                <w:b w:val="0"/>
                <w:bCs w:val="0"/>
                <w:sz w:val="20"/>
                <w:szCs w:val="20"/>
              </w:rPr>
              <w:t>Means</w:t>
            </w:r>
          </w:p>
        </w:tc>
        <w:tc>
          <w:tcPr>
            <w:cnfStyle w:val="000100000000" w:firstRow="0" w:lastRow="0" w:firstColumn="0" w:lastColumn="1" w:oddVBand="0" w:evenVBand="0" w:oddHBand="0" w:evenHBand="0" w:firstRowFirstColumn="0" w:firstRowLastColumn="0" w:lastRowFirstColumn="0" w:lastRowLastColumn="0"/>
            <w:tcW w:w="2884" w:type="dxa"/>
            <w:tcBorders>
              <w:top w:val="single" w:sz="4" w:space="0" w:color="auto"/>
              <w:bottom w:val="single" w:sz="4" w:space="0" w:color="auto"/>
            </w:tcBorders>
          </w:tcPr>
          <w:p w14:paraId="460979DF" w14:textId="77777777" w:rsidR="00B54EE7" w:rsidRPr="00B54EE7" w:rsidRDefault="00B54EE7" w:rsidP="0074373E">
            <w:pPr>
              <w:pStyle w:val="TableParagraph"/>
              <w:spacing w:before="71" w:line="276" w:lineRule="auto"/>
              <w:ind w:left="458" w:right="510" w:firstLine="26"/>
              <w:jc w:val="left"/>
              <w:rPr>
                <w:rFonts w:ascii="Arial" w:hAnsi="Arial" w:cs="Arial"/>
                <w:b w:val="0"/>
                <w:bCs w:val="0"/>
                <w:sz w:val="20"/>
                <w:szCs w:val="20"/>
              </w:rPr>
            </w:pPr>
            <w:r w:rsidRPr="00B54EE7">
              <w:rPr>
                <w:rFonts w:ascii="Arial" w:hAnsi="Arial" w:cs="Arial"/>
                <w:b w:val="0"/>
                <w:bCs w:val="0"/>
                <w:spacing w:val="-2"/>
                <w:sz w:val="20"/>
                <w:szCs w:val="20"/>
              </w:rPr>
              <w:t>Duncan notation</w:t>
            </w:r>
          </w:p>
        </w:tc>
      </w:tr>
      <w:tr w:rsidR="00B54EE7" w:rsidRPr="00B54EE7" w14:paraId="0F12DC5A" w14:textId="77777777" w:rsidTr="00FB3AFE">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tcBorders>
            <w:shd w:val="clear" w:color="auto" w:fill="auto"/>
          </w:tcPr>
          <w:p w14:paraId="19A00B7A" w14:textId="77777777" w:rsidR="00B54EE7" w:rsidRPr="00B54EE7" w:rsidRDefault="00B54EE7" w:rsidP="0074373E">
            <w:pPr>
              <w:pStyle w:val="TableParagraph"/>
              <w:spacing w:line="276" w:lineRule="auto"/>
              <w:ind w:right="807"/>
              <w:rPr>
                <w:rFonts w:ascii="Arial" w:hAnsi="Arial" w:cs="Arial"/>
                <w:b w:val="0"/>
                <w:bCs w:val="0"/>
                <w:sz w:val="20"/>
                <w:szCs w:val="20"/>
              </w:rPr>
            </w:pPr>
            <w:r w:rsidRPr="00B54EE7">
              <w:rPr>
                <w:rFonts w:ascii="Arial" w:hAnsi="Arial" w:cs="Arial"/>
                <w:b w:val="0"/>
                <w:bCs w:val="0"/>
                <w:spacing w:val="-5"/>
                <w:sz w:val="20"/>
                <w:szCs w:val="20"/>
              </w:rPr>
              <w:t>P</w:t>
            </w:r>
            <w:r w:rsidRPr="00B54EE7">
              <w:rPr>
                <w:rFonts w:ascii="Arial" w:hAnsi="Arial" w:cs="Arial"/>
                <w:b w:val="0"/>
                <w:bCs w:val="0"/>
                <w:spacing w:val="-5"/>
                <w:sz w:val="20"/>
                <w:szCs w:val="20"/>
                <w:vertAlign w:val="subscript"/>
              </w:rPr>
              <w:t>0</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tcBorders>
            <w:shd w:val="clear" w:color="auto" w:fill="auto"/>
          </w:tcPr>
          <w:p w14:paraId="2BE504B0" w14:textId="77777777" w:rsidR="00B54EE7" w:rsidRPr="00B54EE7" w:rsidRDefault="00B54EE7" w:rsidP="0074373E">
            <w:pPr>
              <w:pStyle w:val="TableParagraph"/>
              <w:spacing w:line="276" w:lineRule="auto"/>
              <w:ind w:right="474"/>
              <w:jc w:val="right"/>
              <w:rPr>
                <w:rFonts w:ascii="Arial" w:hAnsi="Arial" w:cs="Arial"/>
                <w:sz w:val="20"/>
                <w:szCs w:val="20"/>
              </w:rPr>
            </w:pPr>
            <w:r w:rsidRPr="00B54EE7">
              <w:rPr>
                <w:rFonts w:ascii="Arial" w:hAnsi="Arial" w:cs="Arial"/>
                <w:spacing w:val="-10"/>
                <w:sz w:val="20"/>
                <w:szCs w:val="20"/>
              </w:rPr>
              <w:t>6</w:t>
            </w:r>
          </w:p>
        </w:tc>
        <w:tc>
          <w:tcPr>
            <w:tcW w:w="1611" w:type="dxa"/>
            <w:tcBorders>
              <w:top w:val="single" w:sz="4" w:space="0" w:color="auto"/>
            </w:tcBorders>
            <w:shd w:val="clear" w:color="auto" w:fill="auto"/>
          </w:tcPr>
          <w:p w14:paraId="0BF1A4B7" w14:textId="77777777" w:rsidR="00B54EE7" w:rsidRPr="00B54EE7" w:rsidRDefault="00B54EE7" w:rsidP="0074373E">
            <w:pPr>
              <w:pStyle w:val="TableParagraph"/>
              <w:spacing w:line="276" w:lineRule="auto"/>
              <w:ind w:left="62" w:right="3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54EE7">
              <w:rPr>
                <w:rFonts w:ascii="Arial" w:hAnsi="Arial" w:cs="Arial"/>
                <w:spacing w:val="-2"/>
                <w:sz w:val="20"/>
                <w:szCs w:val="20"/>
              </w:rPr>
              <w:t>138.50</w:t>
            </w:r>
          </w:p>
        </w:tc>
        <w:tc>
          <w:tcPr>
            <w:cnfStyle w:val="000100000000" w:firstRow="0" w:lastRow="0" w:firstColumn="0" w:lastColumn="1" w:oddVBand="0" w:evenVBand="0" w:oddHBand="0" w:evenHBand="0" w:firstRowFirstColumn="0" w:firstRowLastColumn="0" w:lastRowFirstColumn="0" w:lastRowLastColumn="0"/>
            <w:tcW w:w="2884" w:type="dxa"/>
            <w:tcBorders>
              <w:top w:val="single" w:sz="4" w:space="0" w:color="auto"/>
            </w:tcBorders>
            <w:shd w:val="clear" w:color="auto" w:fill="auto"/>
          </w:tcPr>
          <w:p w14:paraId="5048AC9D" w14:textId="77777777" w:rsidR="00B54EE7" w:rsidRPr="00B54EE7" w:rsidRDefault="00B54EE7" w:rsidP="0074373E">
            <w:pPr>
              <w:pStyle w:val="TableParagraph"/>
              <w:spacing w:line="276" w:lineRule="auto"/>
              <w:ind w:left="2"/>
              <w:rPr>
                <w:rFonts w:ascii="Arial" w:hAnsi="Arial" w:cs="Arial"/>
                <w:b w:val="0"/>
                <w:bCs w:val="0"/>
                <w:sz w:val="20"/>
                <w:szCs w:val="20"/>
              </w:rPr>
            </w:pPr>
            <w:r w:rsidRPr="00B54EE7">
              <w:rPr>
                <w:rFonts w:ascii="Arial" w:hAnsi="Arial" w:cs="Arial"/>
                <w:b w:val="0"/>
                <w:bCs w:val="0"/>
                <w:spacing w:val="-10"/>
                <w:sz w:val="20"/>
                <w:szCs w:val="20"/>
              </w:rPr>
              <w:t>a</w:t>
            </w:r>
          </w:p>
        </w:tc>
      </w:tr>
      <w:tr w:rsidR="00B54EE7" w:rsidRPr="00B54EE7" w14:paraId="317B1C09" w14:textId="77777777" w:rsidTr="00FB3AFE">
        <w:trPr>
          <w:trHeight w:val="435"/>
          <w:jc w:val="center"/>
        </w:trPr>
        <w:tc>
          <w:tcPr>
            <w:cnfStyle w:val="001000000000" w:firstRow="0" w:lastRow="0" w:firstColumn="1" w:lastColumn="0" w:oddVBand="0" w:evenVBand="0" w:oddHBand="0" w:evenHBand="0" w:firstRowFirstColumn="0" w:firstRowLastColumn="0" w:lastRowFirstColumn="0" w:lastRowLastColumn="0"/>
            <w:tcW w:w="2790" w:type="dxa"/>
          </w:tcPr>
          <w:p w14:paraId="619C2FF3" w14:textId="77777777" w:rsidR="00B54EE7" w:rsidRPr="00B54EE7" w:rsidRDefault="00B54EE7" w:rsidP="0074373E">
            <w:pPr>
              <w:pStyle w:val="TableParagraph"/>
              <w:spacing w:before="75" w:line="276" w:lineRule="auto"/>
              <w:ind w:right="807"/>
              <w:rPr>
                <w:rFonts w:ascii="Arial" w:hAnsi="Arial" w:cs="Arial"/>
                <w:b w:val="0"/>
                <w:bCs w:val="0"/>
                <w:sz w:val="20"/>
                <w:szCs w:val="20"/>
              </w:rPr>
            </w:pPr>
            <w:r w:rsidRPr="00B54EE7">
              <w:rPr>
                <w:rFonts w:ascii="Arial" w:hAnsi="Arial" w:cs="Arial"/>
                <w:b w:val="0"/>
                <w:bCs w:val="0"/>
                <w:spacing w:val="-5"/>
                <w:sz w:val="20"/>
                <w:szCs w:val="20"/>
              </w:rPr>
              <w:t>P</w:t>
            </w:r>
            <w:r w:rsidRPr="00B54EE7">
              <w:rPr>
                <w:rFonts w:ascii="Arial" w:hAnsi="Arial" w:cs="Arial"/>
                <w:b w:val="0"/>
                <w:bCs w:val="0"/>
                <w:spacing w:val="-5"/>
                <w:sz w:val="20"/>
                <w:szCs w:val="20"/>
                <w:vertAlign w:val="subscript"/>
              </w:rPr>
              <w:t>1</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FE87384" w14:textId="77777777" w:rsidR="00B54EE7" w:rsidRPr="00B54EE7" w:rsidRDefault="00B54EE7" w:rsidP="0074373E">
            <w:pPr>
              <w:pStyle w:val="TableParagraph"/>
              <w:spacing w:before="75" w:line="276" w:lineRule="auto"/>
              <w:ind w:right="474"/>
              <w:jc w:val="right"/>
              <w:rPr>
                <w:rFonts w:ascii="Arial" w:hAnsi="Arial" w:cs="Arial"/>
                <w:sz w:val="20"/>
                <w:szCs w:val="20"/>
              </w:rPr>
            </w:pPr>
            <w:r w:rsidRPr="00B54EE7">
              <w:rPr>
                <w:rFonts w:ascii="Arial" w:hAnsi="Arial" w:cs="Arial"/>
                <w:spacing w:val="-10"/>
                <w:sz w:val="20"/>
                <w:szCs w:val="20"/>
              </w:rPr>
              <w:t>6</w:t>
            </w:r>
          </w:p>
        </w:tc>
        <w:tc>
          <w:tcPr>
            <w:tcW w:w="1611" w:type="dxa"/>
          </w:tcPr>
          <w:p w14:paraId="53A45A8E" w14:textId="77777777" w:rsidR="00B54EE7" w:rsidRPr="00B54EE7" w:rsidRDefault="00B54EE7" w:rsidP="0074373E">
            <w:pPr>
              <w:pStyle w:val="TableParagraph"/>
              <w:spacing w:before="75" w:line="276" w:lineRule="auto"/>
              <w:ind w:left="62" w:right="3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4EE7">
              <w:rPr>
                <w:rFonts w:ascii="Arial" w:hAnsi="Arial" w:cs="Arial"/>
                <w:spacing w:val="-2"/>
                <w:sz w:val="20"/>
                <w:szCs w:val="20"/>
              </w:rPr>
              <w:t>156.18</w:t>
            </w:r>
          </w:p>
        </w:tc>
        <w:tc>
          <w:tcPr>
            <w:cnfStyle w:val="000100000000" w:firstRow="0" w:lastRow="0" w:firstColumn="0" w:lastColumn="1" w:oddVBand="0" w:evenVBand="0" w:oddHBand="0" w:evenHBand="0" w:firstRowFirstColumn="0" w:firstRowLastColumn="0" w:lastRowFirstColumn="0" w:lastRowLastColumn="0"/>
            <w:tcW w:w="2884" w:type="dxa"/>
          </w:tcPr>
          <w:p w14:paraId="6332DDFD" w14:textId="77777777" w:rsidR="00B54EE7" w:rsidRPr="00B54EE7" w:rsidRDefault="00B54EE7" w:rsidP="0074373E">
            <w:pPr>
              <w:pStyle w:val="TableParagraph"/>
              <w:spacing w:before="75" w:line="276" w:lineRule="auto"/>
              <w:ind w:left="2" w:right="1"/>
              <w:rPr>
                <w:rFonts w:ascii="Arial" w:hAnsi="Arial" w:cs="Arial"/>
                <w:b w:val="0"/>
                <w:bCs w:val="0"/>
                <w:sz w:val="20"/>
                <w:szCs w:val="20"/>
              </w:rPr>
            </w:pPr>
            <w:r w:rsidRPr="00B54EE7">
              <w:rPr>
                <w:rFonts w:ascii="Arial" w:hAnsi="Arial" w:cs="Arial"/>
                <w:b w:val="0"/>
                <w:bCs w:val="0"/>
                <w:spacing w:val="-10"/>
                <w:sz w:val="20"/>
                <w:szCs w:val="20"/>
              </w:rPr>
              <w:t>b</w:t>
            </w:r>
          </w:p>
        </w:tc>
      </w:tr>
      <w:tr w:rsidR="00B54EE7" w:rsidRPr="00B54EE7" w14:paraId="25A113AC" w14:textId="77777777" w:rsidTr="00FB3AFE">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5AEF590A" w14:textId="77777777" w:rsidR="00B54EE7" w:rsidRPr="00B54EE7" w:rsidRDefault="00B54EE7" w:rsidP="0074373E">
            <w:pPr>
              <w:pStyle w:val="TableParagraph"/>
              <w:spacing w:before="74" w:line="276" w:lineRule="auto"/>
              <w:ind w:right="807"/>
              <w:rPr>
                <w:rFonts w:ascii="Arial" w:hAnsi="Arial" w:cs="Arial"/>
                <w:b w:val="0"/>
                <w:bCs w:val="0"/>
                <w:sz w:val="20"/>
                <w:szCs w:val="20"/>
              </w:rPr>
            </w:pPr>
            <w:r w:rsidRPr="00B54EE7">
              <w:rPr>
                <w:rFonts w:ascii="Arial" w:hAnsi="Arial" w:cs="Arial"/>
                <w:b w:val="0"/>
                <w:bCs w:val="0"/>
                <w:spacing w:val="-5"/>
                <w:sz w:val="20"/>
                <w:szCs w:val="20"/>
              </w:rPr>
              <w:t>P</w:t>
            </w:r>
            <w:r w:rsidRPr="00B54EE7">
              <w:rPr>
                <w:rFonts w:ascii="Arial" w:hAnsi="Arial" w:cs="Arial"/>
                <w:b w:val="0"/>
                <w:bCs w:val="0"/>
                <w:spacing w:val="-5"/>
                <w:sz w:val="20"/>
                <w:szCs w:val="20"/>
                <w:vertAlign w:val="subscript"/>
              </w:rPr>
              <w:t>2</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B37B152" w14:textId="77777777" w:rsidR="00B54EE7" w:rsidRPr="00B54EE7" w:rsidRDefault="00B54EE7" w:rsidP="0074373E">
            <w:pPr>
              <w:pStyle w:val="TableParagraph"/>
              <w:spacing w:before="74" w:line="276" w:lineRule="auto"/>
              <w:ind w:right="474"/>
              <w:jc w:val="right"/>
              <w:rPr>
                <w:rFonts w:ascii="Arial" w:hAnsi="Arial" w:cs="Arial"/>
                <w:sz w:val="20"/>
                <w:szCs w:val="20"/>
              </w:rPr>
            </w:pPr>
            <w:r w:rsidRPr="00B54EE7">
              <w:rPr>
                <w:rFonts w:ascii="Arial" w:hAnsi="Arial" w:cs="Arial"/>
                <w:spacing w:val="-10"/>
                <w:sz w:val="20"/>
                <w:szCs w:val="20"/>
              </w:rPr>
              <w:t>6</w:t>
            </w:r>
          </w:p>
        </w:tc>
        <w:tc>
          <w:tcPr>
            <w:tcW w:w="1611" w:type="dxa"/>
            <w:shd w:val="clear" w:color="auto" w:fill="auto"/>
          </w:tcPr>
          <w:p w14:paraId="129A64B8" w14:textId="77777777" w:rsidR="00B54EE7" w:rsidRPr="00B54EE7" w:rsidRDefault="00B54EE7" w:rsidP="0074373E">
            <w:pPr>
              <w:pStyle w:val="TableParagraph"/>
              <w:spacing w:before="74" w:line="276" w:lineRule="auto"/>
              <w:ind w:left="62" w:right="3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54EE7">
              <w:rPr>
                <w:rFonts w:ascii="Arial" w:hAnsi="Arial" w:cs="Arial"/>
                <w:spacing w:val="-2"/>
                <w:sz w:val="20"/>
                <w:szCs w:val="20"/>
              </w:rPr>
              <w:t>188.08</w:t>
            </w:r>
          </w:p>
        </w:tc>
        <w:tc>
          <w:tcPr>
            <w:cnfStyle w:val="000100000000" w:firstRow="0" w:lastRow="0" w:firstColumn="0" w:lastColumn="1" w:oddVBand="0" w:evenVBand="0" w:oddHBand="0" w:evenHBand="0" w:firstRowFirstColumn="0" w:firstRowLastColumn="0" w:lastRowFirstColumn="0" w:lastRowLastColumn="0"/>
            <w:tcW w:w="2884" w:type="dxa"/>
            <w:shd w:val="clear" w:color="auto" w:fill="auto"/>
          </w:tcPr>
          <w:p w14:paraId="481696B9" w14:textId="77777777" w:rsidR="00B54EE7" w:rsidRPr="00B54EE7" w:rsidRDefault="00B54EE7" w:rsidP="0074373E">
            <w:pPr>
              <w:pStyle w:val="TableParagraph"/>
              <w:spacing w:before="74" w:line="276" w:lineRule="auto"/>
              <w:ind w:left="2"/>
              <w:rPr>
                <w:rFonts w:ascii="Arial" w:hAnsi="Arial" w:cs="Arial"/>
                <w:b w:val="0"/>
                <w:bCs w:val="0"/>
                <w:sz w:val="20"/>
                <w:szCs w:val="20"/>
              </w:rPr>
            </w:pPr>
            <w:r w:rsidRPr="00B54EE7">
              <w:rPr>
                <w:rFonts w:ascii="Arial" w:hAnsi="Arial" w:cs="Arial"/>
                <w:b w:val="0"/>
                <w:bCs w:val="0"/>
                <w:spacing w:val="-10"/>
                <w:sz w:val="20"/>
                <w:szCs w:val="20"/>
              </w:rPr>
              <w:t>c</w:t>
            </w:r>
          </w:p>
        </w:tc>
      </w:tr>
      <w:tr w:rsidR="00B54EE7" w:rsidRPr="00B54EE7" w14:paraId="0420B2FE" w14:textId="77777777" w:rsidTr="00FB3AFE">
        <w:trPr>
          <w:cnfStyle w:val="010000000000" w:firstRow="0" w:lastRow="1" w:firstColumn="0" w:lastColumn="0" w:oddVBand="0" w:evenVBand="0" w:oddHBand="0"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2790" w:type="dxa"/>
            <w:tcBorders>
              <w:bottom w:val="single" w:sz="4" w:space="0" w:color="auto"/>
            </w:tcBorders>
          </w:tcPr>
          <w:p w14:paraId="2F7C6682" w14:textId="77777777" w:rsidR="00B54EE7" w:rsidRPr="00B54EE7" w:rsidRDefault="00B54EE7" w:rsidP="0074373E">
            <w:pPr>
              <w:pStyle w:val="TableParagraph"/>
              <w:spacing w:before="75" w:line="276" w:lineRule="auto"/>
              <w:ind w:right="807"/>
              <w:rPr>
                <w:rFonts w:ascii="Arial" w:hAnsi="Arial" w:cs="Arial"/>
                <w:b w:val="0"/>
                <w:bCs w:val="0"/>
                <w:sz w:val="20"/>
                <w:szCs w:val="20"/>
              </w:rPr>
            </w:pPr>
            <w:r w:rsidRPr="00B54EE7">
              <w:rPr>
                <w:rFonts w:ascii="Arial" w:hAnsi="Arial" w:cs="Arial"/>
                <w:b w:val="0"/>
                <w:bCs w:val="0"/>
                <w:spacing w:val="-5"/>
                <w:sz w:val="20"/>
                <w:szCs w:val="20"/>
              </w:rPr>
              <w:t>P</w:t>
            </w:r>
            <w:r w:rsidRPr="00B54EE7">
              <w:rPr>
                <w:rFonts w:ascii="Arial" w:hAnsi="Arial" w:cs="Arial"/>
                <w:b w:val="0"/>
                <w:bCs w:val="0"/>
                <w:spacing w:val="-5"/>
                <w:sz w:val="20"/>
                <w:szCs w:val="20"/>
                <w:vertAlign w:val="subscript"/>
              </w:rPr>
              <w:t>3</w:t>
            </w:r>
          </w:p>
        </w:tc>
        <w:tc>
          <w:tcPr>
            <w:cnfStyle w:val="000010000000" w:firstRow="0" w:lastRow="0" w:firstColumn="0" w:lastColumn="0" w:oddVBand="1" w:evenVBand="0" w:oddHBand="0" w:evenHBand="0" w:firstRowFirstColumn="0" w:firstRowLastColumn="0" w:lastRowFirstColumn="0" w:lastRowLastColumn="0"/>
            <w:tcW w:w="810" w:type="dxa"/>
            <w:tcBorders>
              <w:bottom w:val="single" w:sz="4" w:space="0" w:color="auto"/>
            </w:tcBorders>
            <w:shd w:val="clear" w:color="auto" w:fill="auto"/>
          </w:tcPr>
          <w:p w14:paraId="52754578" w14:textId="77777777" w:rsidR="00B54EE7" w:rsidRPr="00B54EE7" w:rsidRDefault="00B54EE7" w:rsidP="0074373E">
            <w:pPr>
              <w:pStyle w:val="TableParagraph"/>
              <w:spacing w:before="75" w:line="276" w:lineRule="auto"/>
              <w:ind w:right="474"/>
              <w:jc w:val="right"/>
              <w:rPr>
                <w:rFonts w:ascii="Arial" w:hAnsi="Arial" w:cs="Arial"/>
                <w:b w:val="0"/>
                <w:bCs w:val="0"/>
                <w:sz w:val="20"/>
                <w:szCs w:val="20"/>
              </w:rPr>
            </w:pPr>
            <w:r w:rsidRPr="00B54EE7">
              <w:rPr>
                <w:rFonts w:ascii="Arial" w:hAnsi="Arial" w:cs="Arial"/>
                <w:b w:val="0"/>
                <w:bCs w:val="0"/>
                <w:spacing w:val="-10"/>
                <w:sz w:val="20"/>
                <w:szCs w:val="20"/>
              </w:rPr>
              <w:t>6</w:t>
            </w:r>
          </w:p>
        </w:tc>
        <w:tc>
          <w:tcPr>
            <w:tcW w:w="1611" w:type="dxa"/>
            <w:tcBorders>
              <w:bottom w:val="single" w:sz="4" w:space="0" w:color="auto"/>
            </w:tcBorders>
          </w:tcPr>
          <w:p w14:paraId="77F6E7EE" w14:textId="77777777" w:rsidR="00B54EE7" w:rsidRPr="00B54EE7" w:rsidRDefault="00B54EE7" w:rsidP="0074373E">
            <w:pPr>
              <w:pStyle w:val="TableParagraph"/>
              <w:spacing w:before="75" w:line="276" w:lineRule="auto"/>
              <w:ind w:left="62" w:right="32"/>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B54EE7">
              <w:rPr>
                <w:rFonts w:ascii="Arial" w:hAnsi="Arial" w:cs="Arial"/>
                <w:b w:val="0"/>
                <w:bCs w:val="0"/>
                <w:spacing w:val="-2"/>
                <w:sz w:val="20"/>
                <w:szCs w:val="20"/>
              </w:rPr>
              <w:t>221.03</w:t>
            </w:r>
          </w:p>
        </w:tc>
        <w:tc>
          <w:tcPr>
            <w:cnfStyle w:val="000100000000" w:firstRow="0" w:lastRow="0" w:firstColumn="0" w:lastColumn="1" w:oddVBand="0" w:evenVBand="0" w:oddHBand="0" w:evenHBand="0" w:firstRowFirstColumn="0" w:firstRowLastColumn="0" w:lastRowFirstColumn="0" w:lastRowLastColumn="0"/>
            <w:tcW w:w="2884" w:type="dxa"/>
            <w:tcBorders>
              <w:bottom w:val="single" w:sz="4" w:space="0" w:color="auto"/>
            </w:tcBorders>
          </w:tcPr>
          <w:p w14:paraId="562C7F69" w14:textId="77777777" w:rsidR="00B54EE7" w:rsidRPr="00B54EE7" w:rsidRDefault="00B54EE7" w:rsidP="0074373E">
            <w:pPr>
              <w:pStyle w:val="TableParagraph"/>
              <w:spacing w:before="75" w:line="276" w:lineRule="auto"/>
              <w:ind w:left="2" w:right="1"/>
              <w:rPr>
                <w:rFonts w:ascii="Arial" w:hAnsi="Arial" w:cs="Arial"/>
                <w:b w:val="0"/>
                <w:bCs w:val="0"/>
                <w:sz w:val="20"/>
                <w:szCs w:val="20"/>
              </w:rPr>
            </w:pPr>
            <w:r w:rsidRPr="00B54EE7">
              <w:rPr>
                <w:rFonts w:ascii="Arial" w:hAnsi="Arial" w:cs="Arial"/>
                <w:b w:val="0"/>
                <w:bCs w:val="0"/>
                <w:spacing w:val="-10"/>
                <w:sz w:val="20"/>
                <w:szCs w:val="20"/>
              </w:rPr>
              <w:t>d</w:t>
            </w:r>
          </w:p>
        </w:tc>
      </w:tr>
    </w:tbl>
    <w:p w14:paraId="757F7790" w14:textId="437773C2" w:rsidR="00B54EE7" w:rsidRPr="00B54EE7" w:rsidRDefault="00B54EE7" w:rsidP="009269D9">
      <w:pPr>
        <w:spacing w:line="276" w:lineRule="auto"/>
        <w:jc w:val="both"/>
        <w:rPr>
          <w:rFonts w:ascii="Arial" w:hAnsi="Arial" w:cs="Arial"/>
        </w:rPr>
      </w:pPr>
      <w:r w:rsidRPr="00B54EE7">
        <w:rPr>
          <w:rFonts w:ascii="Arial" w:hAnsi="Arial" w:cs="Arial"/>
        </w:rPr>
        <w:t>Note: Different superscript letters (a, b, c, d) within the same column indicate a significant difference (</w:t>
      </w:r>
      <w:r w:rsidR="009269D9" w:rsidRPr="009269D9">
        <w:rPr>
          <w:rFonts w:ascii="Arial" w:hAnsi="Arial" w:cs="Arial"/>
          <w:i/>
          <w:iCs/>
        </w:rPr>
        <w:t>P</w:t>
      </w:r>
      <w:r w:rsidRPr="009269D9">
        <w:rPr>
          <w:rFonts w:ascii="Arial" w:hAnsi="Arial" w:cs="Arial"/>
          <w:i/>
          <w:iCs/>
        </w:rPr>
        <w:t xml:space="preserve"> &lt; 0.05</w:t>
      </w:r>
      <w:r w:rsidRPr="00B54EE7">
        <w:rPr>
          <w:rFonts w:ascii="Arial" w:hAnsi="Arial" w:cs="Arial"/>
        </w:rPr>
        <w:t>) between treatments.</w:t>
      </w:r>
    </w:p>
    <w:p w14:paraId="4311391A" w14:textId="77777777" w:rsidR="00515D19" w:rsidRDefault="00515D19" w:rsidP="0074373E">
      <w:pPr>
        <w:spacing w:line="276" w:lineRule="auto"/>
        <w:jc w:val="both"/>
        <w:rPr>
          <w:rFonts w:ascii="Arial" w:hAnsi="Arial" w:cs="Arial"/>
        </w:rPr>
      </w:pPr>
    </w:p>
    <w:p w14:paraId="361ABF7B" w14:textId="33CF1BF8" w:rsidR="00B54EE7" w:rsidRPr="00B54EE7" w:rsidRDefault="00B54EE7" w:rsidP="0074373E">
      <w:pPr>
        <w:spacing w:line="276" w:lineRule="auto"/>
        <w:jc w:val="both"/>
        <w:rPr>
          <w:rFonts w:ascii="Arial" w:hAnsi="Arial" w:cs="Arial"/>
        </w:rPr>
      </w:pPr>
      <w:r w:rsidRPr="00B54EE7">
        <w:rPr>
          <w:rFonts w:ascii="Arial" w:hAnsi="Arial" w:cs="Arial"/>
        </w:rPr>
        <w:t>Statistical analysis using Duncan’s Multiple Range Test reveals that the administration of red dragon fruit (</w:t>
      </w:r>
      <w:r w:rsidRPr="00B54EE7">
        <w:rPr>
          <w:rFonts w:ascii="Arial" w:hAnsi="Arial" w:cs="Arial"/>
          <w:i/>
          <w:iCs/>
        </w:rPr>
        <w:t xml:space="preserve">Hylocereus </w:t>
      </w:r>
      <w:proofErr w:type="spellStart"/>
      <w:r w:rsidRPr="00B54EE7">
        <w:rPr>
          <w:rFonts w:ascii="Arial" w:hAnsi="Arial" w:cs="Arial"/>
          <w:i/>
          <w:iCs/>
        </w:rPr>
        <w:t>polyrhizus</w:t>
      </w:r>
      <w:proofErr w:type="spellEnd"/>
      <w:r w:rsidRPr="00B54EE7">
        <w:rPr>
          <w:rFonts w:ascii="Arial" w:hAnsi="Arial" w:cs="Arial"/>
        </w:rPr>
        <w:t xml:space="preserve">) extract significantly impacts the diameter of </w:t>
      </w:r>
      <w:r w:rsidR="006C0214" w:rsidRPr="006C0214">
        <w:rPr>
          <w:rFonts w:ascii="Arial" w:hAnsi="Arial" w:cs="Arial"/>
          <w:color w:val="EE0000"/>
        </w:rPr>
        <w:t>Graafian follicle</w:t>
      </w:r>
      <w:r w:rsidRPr="00B54EE7">
        <w:rPr>
          <w:rFonts w:ascii="Arial" w:hAnsi="Arial" w:cs="Arial"/>
        </w:rPr>
        <w:t>. A distinct dose-dependent relationship was observed, where the P</w:t>
      </w:r>
      <w:r w:rsidRPr="00B54EE7">
        <w:rPr>
          <w:rFonts w:ascii="Arial" w:hAnsi="Arial" w:cs="Arial"/>
          <w:vertAlign w:val="subscript"/>
        </w:rPr>
        <w:t>3</w:t>
      </w:r>
      <w:r w:rsidRPr="00B54EE7">
        <w:rPr>
          <w:rFonts w:ascii="Arial" w:hAnsi="Arial" w:cs="Arial"/>
        </w:rPr>
        <w:t xml:space="preserve"> treatment group yielded the largest mean diameter of 221.03 </w:t>
      </w:r>
      <w:proofErr w:type="spellStart"/>
      <w:r w:rsidRPr="00B54EE7">
        <w:rPr>
          <w:rFonts w:ascii="Arial" w:hAnsi="Arial" w:cs="Arial"/>
        </w:rPr>
        <w:t>μm</w:t>
      </w:r>
      <w:proofErr w:type="spellEnd"/>
      <w:r w:rsidRPr="00B54EE7">
        <w:rPr>
          <w:rFonts w:ascii="Arial" w:hAnsi="Arial" w:cs="Arial"/>
        </w:rPr>
        <w:t xml:space="preserve">, indicating that higher concentrations of the extract correlate with enhanced follicular growth. This expansion is primarily driven by the rich profile of bioactive compounds found in dragon fruit, particularly flavonoids such as quercetin and pigments like </w:t>
      </w:r>
      <w:proofErr w:type="spellStart"/>
      <w:r w:rsidRPr="00B54EE7">
        <w:rPr>
          <w:rFonts w:ascii="Arial" w:hAnsi="Arial" w:cs="Arial"/>
        </w:rPr>
        <w:t>betalains</w:t>
      </w:r>
      <w:proofErr w:type="spellEnd"/>
      <w:r w:rsidRPr="00B54EE7">
        <w:rPr>
          <w:rFonts w:ascii="Arial" w:hAnsi="Arial" w:cs="Arial"/>
        </w:rPr>
        <w:t xml:space="preserve"> </w:t>
      </w:r>
      <w:r w:rsidRPr="00B54EE7">
        <w:rPr>
          <w:rFonts w:ascii="Arial" w:hAnsi="Arial" w:cs="Arial"/>
        </w:rPr>
        <w:fldChar w:fldCharType="begin" w:fldLock="1"/>
      </w:r>
      <w:r w:rsidRPr="00B54EE7">
        <w:rPr>
          <w:rFonts w:ascii="Arial" w:hAnsi="Arial" w:cs="Arial"/>
        </w:rPr>
        <w:instrText>ADDIN CSL_CITATION {"citationItems":[{"id":"ITEM-1","itemData":{"DOI":"10.1016/j.jafr.2025.102157","ISSN":"26661543","abstract":"Dragon fruit (Hylocereus spp.), a tropical cactus species, has gained global recognition for its exceptional adaptability to arid environments, high nutritional value, and emerging therapeutic potential. This review presents an integrated and up-to-date synthesis of recent advancements in agronomic practices, postharvest handling technologies, and biomedical research related to dragon fruit. Agronomic improvements such as high-density planting, drip fertigation, organic nutrient management, biostimulant use, and artificial flower induction have been shown to enhance yield, fruit quality, and resource efficiency under diverse agro-climatic conditions. Postharvest strategies including cold storage, modified atmosphere packaging, edible coatings, and non-thermal techniques such as cold plasma treatment are critically evaluated for their effectiveness in maintaining physicochemical quality, reducing microbial spoilage, and preserving important bioactive compounds during storage and transport. The review also examines the comprehensive nutritional profile, emphasizing its content of dietary fiber, vitamins, minerals, betalains, and phenolics, which contribute to its antioxidant, antidiabetic, and anticancer properties. In addition, recent molecular docking studies are summarized, revealing the potential of major phytopigments such as betacyanin and betaxanthin to interact with therapeutic targets like DNA topoisomerase I, cyclin-dependent kinase 6 (CDK6), alpha-amylase, and lysosomal acid alpha-glucosidase, suggesting possible applications in functional food development and pharmaceutical research. By bridging advancements in cultivation, postharvest preservation, and bioactivity research, this review provides a comprehensive foundation for future scientific inquiry, value addition, and sustainable commercialization of dragon fruit. Despite these advancements, challenges such as inconsistent cultivation practices, limited postharvest technologies, and the need for clinical validation of therapeutic claims persist. This review also highlights existing knowledge gaps and outlines future research directions to overcome these barriers and fully exploit the agricultural and biomedical potential of dragon fruit.","author":[{"dropping-particle":"","family":"Mondol","given":"Md Sabir Ahmed","non-dropping-particle":"","parse-names":false,"suffix":""},{"dropping-particle":"","family":"Akbar","given":"Ubaida","non-dropping-particle":"","parse-names":false,"suffix":""},{"dropping-particle":"","family":"Mandal","given":"Oksana","non-dropping-particle":"","parse-names":false,"suffix":""},{"dropping-particle":"","family":"Rani","given":"Amisha","non-dropping-particle":"","parse-names":false,"suffix":""},{"dropping-particle":"","family":"Dar","given":"Aamir Hussain","non-dropping-particle":"","parse-names":false,"suffix":""},{"dropping-particle":"","family":"Chatterjee","given":"Anilava","non-dropping-particle":"","parse-names":false,"suffix":""},{"dropping-particle":"","family":"Abdi","given":"Gholamreza","non-dropping-particle":"","parse-names":false,"suffix":""}],"container-title":"Journal of Agriculture and Food Research","id":"ITEM-1","issued":{"date-parts":[["2025","8","1"]]},"publisher":"Elsevier B.V.","title":"Advances in agronomic practices, postharvest technologies, and medicinal potential of dragon fruit (Hylocereus spp.): A comprehensive updated review","type":"article","volume":"22"},"uris":["http://www.mendeley.com/documents/?uuid=54ca5068-4bbd-3384-8dc5-45452869b27a"]},{"id":"ITEM-2","itemData":{"DOI":"10.47191/ijcsrr/V7-i6-102","ISSN":"2581-8341","abstract":"The dragon fruit peels (Hylocereus undatus) are typically thrown away as agricultural waste. The disposal of bio-wastes, like peels from dragon fruit and microbiological contamination during their mass breakdown, all contribute to environmental degradation. Peel can be used to extract naturally occurring colour for pigments. The objective of this study is to investigate the feasibility of using the peel of Hylocereus undatus as a coating material for wound healing. The extraction method and potential uses of the pigments derived from the peel will be explored. The study aimed to determine the phytochemical components of Hylocereus undatus (peel) extract and the peel can be utilized as a raw material for pigment extraction due to the betalain content. With the use of a magnetic stirrer extraction, the peel of Hylocereus undatus was extracted with aqueous extraction. Thin layer chromatographic techniques are used to identify the pigment components. In the present study, we recorded both UV-VIS and FT-IR profile of peel extract to known the various phytoconstituents and determine the functional group present in Hylocereus undatus (white dragon fruit). The pigment needs to be applied to the wound gauze, and the stain resistance should be evaluated by determining how well the wound gauze can withstand contamination from the outside coating. Furthermore, the pharmaceutical and nutraceutical sectors are interested in Hylocereus undatus peel due to its components, which may have potential health applications such as anti-inflammatory, antioxidant, antibacterial, and anti-cancer characteristics.","author":[{"dropping-particle":"","family":"Initha","given":"C","non-dropping-particle":"","parse-names":false,"suffix":""},{"dropping-particle":"","family":"Ebency","given":"Lebanon","non-dropping-particle":"","parse-names":false,"suffix":""},{"dropping-particle":"","family":"Vanitha","given":"N","non-dropping-particle":"","parse-names":false,"suffix":""},{"dropping-particle":"","family":"Saran","given":"T S","non-dropping-particle":"","parse-names":false,"suffix":""},{"dropping-particle":"","family":"Shobana","given":"Flory","non-dropping-particle":"","parse-names":false,"suffix":""}],"container-title":"International Journal of Current Science Research and Review","id":"ITEM-2","issue":"6","issued":{"date-parts":[["2024"]]},"title":"Development of Wound Gauze from Hylocereus undatus Dragon Fruit (Pigment) Peel Extract","type":"article-journal","volume":"7"},"uris":["http://www.mendeley.com/documents/?uuid=b106b288-5c61-3078-be8b-670400c02b18"]},{"id":"ITEM-3","itemData":{"DOI":"10.1016/j.foodchem.2025.147658","ISSN":"18737072","PMID":"41453279","abstract":"Ultrasonic-assisted extraction (UAE) was employed for the maximum recovery of betalain pigment from red dragon fruit pulp using response surface variables as temperature (25–65 °C), extraction time (5–25 min), number of extractions (1–5), and solid/mass ratio (1:5–1:15 v/v). UAE at 25 kHz increased the betacyanin yield by 32 % i.e. 15.18–20.03 mg/100 ml and betaxanthin by 30 % i.e. 6.39–8.31 mg/100 ml in fresh dragon fruit pulp respectively. The central composite rotatable design was found to be best fitted with data having a higher R2 (91 and 97 %), lower value of standard error and scattered plot. Maximum recovery of betalain pigment from pulp was obtained at 55 °C, 20 min, four extractions and 1:12.5 v/v because at higher temperature breakdown of compact tissues of fruit lead to the release of pigments and further increase in temperature (55 °C) can cause degradation of pigment. This study provides sustainable data for process design and industrial scale-up operations.","author":[{"dropping-particle":"","family":"Chauhan","given":"Bhawna","non-dropping-particle":"","parse-names":false,"suffix":""},{"dropping-particle":"","family":"Sharma","given":"Parul","non-dropping-particle":"","parse-names":false,"suffix":""},{"dropping-particle":"","family":"Oberoi","given":"Davinder Pal Singh","non-dropping-particle":"","parse-names":false,"suffix":""}],"container-title":"Food Chemistry","id":"ITEM-3","issued":{"date-parts":[["2026","2","15"]]},"publisher":"Elsevier Ltd","title":"Ultrasonic-assisted betalain extraction from red dragon fruit pulp (Hylocereus polyrhizus) using response surface methodology","type":"article-journal","volume":"502"},"uris":["http://www.mendeley.com/documents/?uuid=5956cce2-80d5-330d-b6a3-721093ad62b8"]},{"id":"ITEM-4","itemData":{"DOI":"10.1016/j.jssas.2015.02.001","ISSN":"1658077X","abstract":"The aim of this research was to optimize the operating parameters in microwave assisted extraction process (MIE) such as temperature, mass of the sample, extraction time on the betalain content from dragon fruit peel using response surface methodology (RSM). Three factors three levels Box-Behnken response surface design (BBD) was used for optimization and mathematical model development. Significant quadratic polynomial model was obtained (R2 = 0.9892 for betalain content) with high coefficient determination value and numerical optimization was employed to achieve optimum conditions which was found to be; temperature of 35 °C, mass of the sample of 20 g, and treatment time of 8 min. Under these conditions, 9 mg/L of betalain content was obtained and it was validated using experimental values.","author":[{"dropping-particle":"","family":"Thirugnanasambandham","given":"K.","non-dropping-particle":"","parse-names":false,"suffix":""},{"dropping-particle":"","family":"Sivakumar","given":"V.","non-dropping-particle":"","parse-names":false,"suffix":""}],"container-title":"Journal of the Saudi Society of Agricultural Sciences","id":"ITEM-4","issue":"1","issued":{"date-parts":[["2017","1","1"]]},"page":"41-48","publisher":"King Saud University","title":"Microwave assisted extraction process of betalain from dragon fruit and its antioxidant activities","type":"article-journal","volume":"16"},"uris":["http://www.mendeley.com/documents/?uuid=582513ce-e1c0-362e-a05f-7086a8a8cbcf"]}],"mendeley":{"formattedCitation":"(Chauhan et al., 2026; Initha et al., 2024; Mondol et al., 2025; Thirugnanasambandham &amp; Sivakumar, 2017)","plainTextFormattedCitation":"(Chauhan et al., 2026; Initha et al., 2024; Mondol et al., 2025; Thirugnanasambandham &amp; Sivakumar, 2017)","previouslyFormattedCitation":"(Chauhan et al., 2026; Initha et al., 2024; Mondol et al., 2025; Thirugnanasambandham &amp; Sivakumar, 2017)"},"properties":{"noteIndex":0},"schema":"https://github.com/citation-style-language/schema/raw/master/csl-citation.json"}</w:instrText>
      </w:r>
      <w:r w:rsidRPr="00B54EE7">
        <w:rPr>
          <w:rFonts w:ascii="Arial" w:hAnsi="Arial" w:cs="Arial"/>
        </w:rPr>
        <w:fldChar w:fldCharType="separate"/>
      </w:r>
      <w:r w:rsidRPr="00B54EE7">
        <w:rPr>
          <w:rFonts w:ascii="Arial" w:hAnsi="Arial" w:cs="Arial"/>
          <w:noProof/>
        </w:rPr>
        <w:t>(Chauhan et al., 2026; Initha et al., 2024; Mondol et al., 2025; Thirugnanasambandham &amp; Sivakumar, 2017)</w:t>
      </w:r>
      <w:r w:rsidRPr="00B54EE7">
        <w:rPr>
          <w:rFonts w:ascii="Arial" w:hAnsi="Arial" w:cs="Arial"/>
        </w:rPr>
        <w:fldChar w:fldCharType="end"/>
      </w:r>
      <w:r w:rsidRPr="00B54EE7">
        <w:rPr>
          <w:rFonts w:ascii="Arial" w:hAnsi="Arial" w:cs="Arial"/>
        </w:rPr>
        <w:t xml:space="preserve">. </w:t>
      </w:r>
      <w:r w:rsidR="00957D83" w:rsidRPr="00957D83">
        <w:rPr>
          <w:rFonts w:ascii="Arial" w:hAnsi="Arial" w:cs="Arial"/>
          <w:color w:val="EE0000"/>
        </w:rPr>
        <w:t>These compounds are hypothesized to modulate the endocrine system potentially through interactions with hormone receptors in target cells, which may influence the biological pathways required for cellular enlargement and the regulation of estrogen levels</w:t>
      </w:r>
      <w:r w:rsidRPr="00B54EE7">
        <w:rPr>
          <w:rFonts w:ascii="Arial" w:hAnsi="Arial" w:cs="Arial"/>
        </w:rPr>
        <w:t xml:space="preserve">. Research by </w:t>
      </w:r>
      <w:proofErr w:type="spellStart"/>
      <w:r w:rsidRPr="00B54EE7">
        <w:rPr>
          <w:rFonts w:ascii="Arial" w:hAnsi="Arial" w:cs="Arial"/>
        </w:rPr>
        <w:t>Angonese</w:t>
      </w:r>
      <w:proofErr w:type="spellEnd"/>
      <w:r w:rsidRPr="00B54EE7">
        <w:rPr>
          <w:rFonts w:ascii="Arial" w:hAnsi="Arial" w:cs="Arial"/>
        </w:rPr>
        <w:t xml:space="preserve"> et al. </w:t>
      </w:r>
      <w:r w:rsidRPr="00B54EE7">
        <w:rPr>
          <w:rFonts w:ascii="Arial" w:hAnsi="Arial" w:cs="Arial"/>
        </w:rPr>
        <w:fldChar w:fldCharType="begin" w:fldLock="1"/>
      </w:r>
      <w:r w:rsidRPr="00B54EE7">
        <w:rPr>
          <w:rFonts w:ascii="Arial" w:hAnsi="Arial" w:cs="Arial"/>
        </w:rPr>
        <w:instrText>ADDIN CSL_CITATION {"citationItems":[{"id":"ITEM-1","itemData":{"DOI":"10.1016/j.lwt.2021.111924","ISSN":"00236438","abstract":"This study aimed to characterize and compare pulps of two species of organic dragon fruits, Hylocereus undatus and Hylocereus polyrhizus, grown at the same edaphoclimatic conditions in terms of bioactive compounds and physicochemical aspects. No significant differences were observed between purple and white pulps concerning moisture, ascorbic acid concentration, and DPPH-assay antioxidant activity. Purple pulp demonstrated higher values for pH, Folin-Ciocalteau reducing capacity, and FRAP-assay antioxidant activity, lower acidity, and expressive total betalain content, suggesting higher bioactive potential. The main phenolic compounds identified in purple pulp were rutin, hesperidin, ferulic, and sinapic acids, while the white one was rich in chlorogenic acid. The major organic acids identified in both pulps were malic, citric, formic, pipecolic, and ascorbic. Pipecolic acid was detected in both, although more predominant in purple pulp, in remarkable concentrations, being the first report of it in the Cactaceae family. The found results indicate potential bioactivity, contributing to confirm the status of superfruit of these exotic fruits.","author":[{"dropping-particle":"","family":"Angonese","given":"Mariana","non-dropping-particle":"","parse-names":false,"suffix":""},{"dropping-particle":"","family":"Motta","given":"Gabriel Emiliano","non-dropping-particle":"","parse-names":false,"suffix":""},{"dropping-particle":"","family":"Silva de Farias","given":"Natália","non-dropping-particle":"","parse-names":false,"suffix":""},{"dropping-particle":"","family":"Molognoni","given":"Luciano","non-dropping-particle":"","parse-names":false,"suffix":""},{"dropping-particle":"","family":"Daguer","given":"Heitor","non-dropping-particle":"","parse-names":false,"suffix":""},{"dropping-particle":"","family":"Brugnerotto","given":"Patrícia","non-dropping-particle":"","parse-names":false,"suffix":""},{"dropping-particle":"","family":"Oliveira Costa","given":"Ana Carolina","non-dropping-particle":"de","parse-names":false,"suffix":""},{"dropping-particle":"","family":"Olivera Müller","given":"Carmen Maria","non-dropping-particle":"","parse-names":false,"suffix":""}],"container-title":"LWT","id":"ITEM-1","issued":{"date-parts":[["2021","9","1"]]},"publisher":"Academic Press","title":"Organic dragon fruits (Hylocereus undatus and Hylocereus polyrhizus) grown at the same edaphoclimatic conditions: Comparison of phenolic and organic acids profiles and antioxidant activities","type":"article-journal","volume":"149"},"uris":["http://www.mendeley.com/documents/?uuid=c4defaa7-e6f4-34fc-83c4-9bf2e16e5b4e"]}],"mendeley":{"formattedCitation":"(Angonese et al., 2021)","manualFormatting":"(2021)","plainTextFormattedCitation":"(Angonese et al., 2021)","previouslyFormattedCitation":"(Angonese et al., 2021)"},"properties":{"noteIndex":0},"schema":"https://github.com/citation-style-language/schema/raw/master/csl-citation.json"}</w:instrText>
      </w:r>
      <w:r w:rsidRPr="00B54EE7">
        <w:rPr>
          <w:rFonts w:ascii="Arial" w:hAnsi="Arial" w:cs="Arial"/>
        </w:rPr>
        <w:fldChar w:fldCharType="separate"/>
      </w:r>
      <w:r w:rsidRPr="00B54EE7">
        <w:rPr>
          <w:rFonts w:ascii="Arial" w:hAnsi="Arial" w:cs="Arial"/>
          <w:noProof/>
        </w:rPr>
        <w:t>(2021)</w:t>
      </w:r>
      <w:r w:rsidRPr="00B54EE7">
        <w:rPr>
          <w:rFonts w:ascii="Arial" w:hAnsi="Arial" w:cs="Arial"/>
        </w:rPr>
        <w:fldChar w:fldCharType="end"/>
      </w:r>
      <w:r w:rsidRPr="00B54EE7">
        <w:rPr>
          <w:rFonts w:ascii="Arial" w:hAnsi="Arial" w:cs="Arial"/>
        </w:rPr>
        <w:t xml:space="preserve">supports this by confirming that </w:t>
      </w:r>
      <w:r w:rsidRPr="00B54EE7">
        <w:rPr>
          <w:rFonts w:ascii="Arial" w:hAnsi="Arial" w:cs="Arial"/>
          <w:i/>
          <w:iCs/>
        </w:rPr>
        <w:t xml:space="preserve">Hylocereus </w:t>
      </w:r>
      <w:proofErr w:type="spellStart"/>
      <w:r w:rsidRPr="00B54EE7">
        <w:rPr>
          <w:rFonts w:ascii="Arial" w:hAnsi="Arial" w:cs="Arial"/>
          <w:i/>
          <w:iCs/>
        </w:rPr>
        <w:t>polyrhizus</w:t>
      </w:r>
      <w:proofErr w:type="spellEnd"/>
      <w:r w:rsidRPr="00B54EE7">
        <w:rPr>
          <w:rFonts w:ascii="Arial" w:hAnsi="Arial" w:cs="Arial"/>
        </w:rPr>
        <w:t xml:space="preserve"> contains a superior profile of phenolic compounds and </w:t>
      </w:r>
      <w:r w:rsidRPr="00B54EE7">
        <w:rPr>
          <w:rFonts w:ascii="Arial" w:hAnsi="Arial" w:cs="Arial"/>
        </w:rPr>
        <w:lastRenderedPageBreak/>
        <w:t>organic acids compared to other species, which are essential for maintaining cellular integrity during growth.</w:t>
      </w:r>
    </w:p>
    <w:p w14:paraId="3B30A860" w14:textId="0F68B0B0" w:rsidR="00B54EE7" w:rsidRPr="00B54EE7" w:rsidRDefault="00B54EE7" w:rsidP="009269D9">
      <w:pPr>
        <w:spacing w:line="276" w:lineRule="auto"/>
        <w:jc w:val="both"/>
        <w:rPr>
          <w:rFonts w:ascii="Arial" w:hAnsi="Arial" w:cs="Arial"/>
        </w:rPr>
      </w:pPr>
      <w:r w:rsidRPr="00B54EE7">
        <w:rPr>
          <w:rFonts w:ascii="Arial" w:hAnsi="Arial" w:cs="Arial"/>
        </w:rPr>
        <w:t xml:space="preserve">The physiological mechanism of this growth is further supported by the potent antioxidant activity inherent in dragon fruit. The </w:t>
      </w:r>
      <w:proofErr w:type="spellStart"/>
      <w:r w:rsidRPr="00B54EE7">
        <w:rPr>
          <w:rFonts w:ascii="Arial" w:hAnsi="Arial" w:cs="Arial"/>
        </w:rPr>
        <w:t>betacyanins</w:t>
      </w:r>
      <w:proofErr w:type="spellEnd"/>
      <w:r w:rsidRPr="00B54EE7">
        <w:rPr>
          <w:rFonts w:ascii="Arial" w:hAnsi="Arial" w:cs="Arial"/>
        </w:rPr>
        <w:t xml:space="preserve"> present in the extract serve as a defense mechanism against oxidative stress by neutralizing free radicals, such as peroxide radicals (ROO°), through the donation of electrons or hydrogen atoms</w:t>
      </w:r>
      <w:r w:rsidRPr="00B54EE7">
        <w:rPr>
          <w:rFonts w:ascii="Arial" w:hAnsi="Arial" w:cs="Arial"/>
        </w:rPr>
        <w:fldChar w:fldCharType="begin" w:fldLock="1"/>
      </w:r>
      <w:r w:rsidRPr="00B54EE7">
        <w:rPr>
          <w:rFonts w:ascii="Arial" w:hAnsi="Arial" w:cs="Arial"/>
        </w:rPr>
        <w:instrText>ADDIN CSL_CITATION {"citationItems":[{"id":"ITEM-1","itemData":{"DOI":"10.1016/j.foodchem.2025.146709","ISSN":"18737072","PMID":"41092620","abstract":"This study optimized pulsed electric field (PEF) and ultrasonic (US) pretreatments for enhancing juice extraction from red dragon fruit (Hylocereus polyrhizus). PEF parameters were varied using a Box-Behnken design, while US conditions were optimized using a 3-level factorial design. The impact of pretreatments on juice yield, betacyanin content, total phenolics, and antioxidant activity was evaluated. Optimal PEF conditions were 10 kV/cm, 20 μs pulse width, and 50 pulses (40 kJ/kg), while the best US treatment used 40 % amplitude (300 W output power) for 10 min. US pretreatment significantly improved juice yield (72.83 %), betacyanin content (10.08 %), total phenolic content (19.13 %), and DPPH radical scavenging activity (12.33 %) compared to untreated control juice. When directly comparing the two treatments, US pretreatment resulted in a 21.73 % higher juice yield, 6.67 % higher betacyanin content, 12.35 % higher TPC, and 3.08 % higher DPPH activity than PEF treatment, indicating its superior effectiveness in enhancing both quality and nutritional attributes of the juice. SEM analysis confirmed structural modifications, indicating enhanced cell disruption. The study demonstrates that US pretreatment is more effective than PEF in improving juice yield and bioactive retention, offering a promising non-thermal approach for juice processing industries.","author":[{"dropping-particle":"","family":"Nithya","given":"C.","non-dropping-particle":"","parse-names":false,"suffix":""},{"dropping-particle":"","family":"Sudheer","given":"S.","non-dropping-particle":"","parse-names":false,"suffix":""},{"dropping-particle":"","family":"Abdullah","given":"S.","non-dropping-particle":"","parse-names":false,"suffix":""},{"dropping-particle":"","family":"Lakshmi","given":"E. J.","non-dropping-particle":"","parse-names":false,"suffix":""}],"container-title":"Food Chemistry","id":"ITEM-1","issued":{"date-parts":[["2025","12","25"]]},"publisher":"Elsevier Ltd","title":"Enhancing juice yield and bioactive compounds in red dragon fruit juice through pulsed electric field and ultrasonic pre-treatments: process optimization and comparative evaluation","type":"article-journal","volume":"496"},"uris":["http://www.mendeley.com/documents/?uuid=e5ed8621-c36e-3331-90d8-749b2dfcb40e"]},{"id":"ITEM-2","itemData":{"DOI":"10.1016/j.crgsc.2025.100474","ISSN":"26660865","abstract":"This study is the first application of a combined sonication and enzyme extraction technique as green technology to recover biological compounds from the peel of red-fleshed dragon fruit, utilizing Response Surface Methodology (RSM) and Artificial Neural Network-Genetic Algorithm (ANN-GA). The peel of dragon fruit had sonication pretreatment for 10–30 min (X1), followed by hydrolysis using 0.1 % Pectinex Ultra SP-L enzyme at temperatures ranging from 30 to 60 °C (X2) for a duration of 60–120 min (X3). The Box-Behnken design was employed to structure the experiment. The levels of polyphenol, betacyanin, and antioxidant activity in the extract were utilized to assess the efficacy of the extraction method. The research demonstrated a substantial enhancement in efficiency by the application of ultrasound pretreatment during the enzymatic hydrolysis of dragon fruit peel. The study identified the ideal parameters for the extraction process using the ANN-GA approach, which include an ultrasonic duration of 27.5 min, an enzyme incubation temperature of 47.1 °C, and an enzyme incubation duration of 135.1 min. Under these conditions, the extract exhibited a total phenolic content of 165.34 mg GAE/g peel weight, betacyanin content of 131.87 mg/100 g peel weight, and an antioxidant activity of 0.92 mg TE/100 g by using DPPH radical scavenging activity assay. The research demonstrated that dual treatment enhances the extraction process of chemicals from by-products, particularly dragon fruit peel. The study established a foundation for future research on the utilization and integration of effective extraction technologies to enhance the quality of extracts for use in the food sector.","author":[{"dropping-particle":"","family":"Loan","given":"Le Thi Kim","non-dropping-particle":"","parse-names":false,"suffix":""},{"dropping-particle":"","family":"Thao","given":"Le Thi Nhu","non-dropping-particle":"","parse-names":false,"suffix":""},{"dropping-particle":"","family":"Vinh","given":"Bui The","non-dropping-particle":"","parse-names":false,"suffix":""},{"dropping-particle":"","family":"Mansamut","given":"Chaiyut","non-dropping-particle":"","parse-names":false,"suffix":""},{"dropping-particle":"Van","family":"Tai","given":"Ngo","non-dropping-particle":"","parse-names":false,"suffix":""}],"container-title":"Current Research in Green and Sustainable Chemistry","id":"ITEM-2","issued":{"date-parts":[["2025","1","1"]]},"publisher":"Elsevier B.V.","title":"Enhancing antioxidant extraction efficiency from red dragon fruit peel by green approach using novel optimization technique","type":"article-journal","volume":"11"},"uris":["http://www.mendeley.com/documents/?uuid=ee099a45-3b18-35a6-ab84-bd2b32c649db"]},{"id":"ITEM-3","itemData":{"DOI":"10.1016/j.fbp.2025.12.008","ISSN":"17443571","abstract":"Red dragon fruit (Hylocereus polyrhizus) with high betacyanins content is a potential commercial fruit that can be developed into a functional drink. The development of a functional product not only requires innovation but also needs to consider the sustainability of the raw materials and techniques employed. The present study aimed to employ mild and sustainable approaches via the incorporation of xanthan gum (XG) and carboxymethyl cellulose (CMC) hydrocolloid mixture solution and citric acid (CA) at optimum concentrations to modify the matrix of fermented red dragon fruit drink (FRDFD) to produce Improved-FRDFD-dH2O with improved long-term storage stability, bio-accessibility and antioxidant activity of the betacyanins. Results revealed that 0.4 % XG and 0.5 % CMC hydrocolloid mixture solution was able to synergistically cooperate with 0.2 % CA for providing the best food matrix environment for the maximum betacyanins stability (&lt;10 % degradation) throughout the 8-week storage period at 25°C. The simulated digestion study showed that the incorporation of 0.4 % XG and 0.5 % CMC hydrocolloid mixture solution and 0.2 % CA successfully improved the bio-accessibility (&gt;80 % retained) and preserved the high antioxidant activities of betanin throughout the digestive process (up to 94.18 % free radicals inhibited).","author":[{"dropping-particle":"","family":"Lim","given":"Teck Wei","non-dropping-particle":"","parse-names":false,"suffix":""},{"dropping-particle":"","family":"Lim","given":"Renee Lay Hong","non-dropping-particle":"","parse-names":false,"suffix":""},{"dropping-particle":"","family":"Pui","given":"Liew Phing","non-dropping-particle":"","parse-names":false,"suffix":""},{"dropping-particle":"","family":"Tan","given":"Chin Ping","non-dropping-particle":"","parse-names":false,"suffix":""},{"dropping-particle":"","family":"Ho","given":"Chun Wai","non-dropping-particle":"","parse-names":false,"suffix":""}],"container-title":"Food and Bioproducts Processing","id":"ITEM-3","issued":{"date-parts":[["2026","1","1"]]},"page":"157-166","publisher":"Institution of Chemical Engineers","title":"Improving betacyanins stability by sustainable application of xanthan gum, CMC and citric acid in fermented red dragon fruit drink: Long-term storage, bio-accessibility and antioxidant activity","type":"article-journal","volume":"155"},"uris":["http://www.mendeley.com/documents/?uuid=eaa3f27f-f985-37f4-932d-722c024ba6bd"]},{"id":"ITEM-4","itemData":{"DOI":"10.37349/eff.2026.1010118","author":[{"dropping-particle":"","family":"John","given":"Oliver Dean","non-dropping-particle":"","parse-names":false,"suffix":""},{"dropping-particle":"","family":"Sganzerla","given":"William Gustavo","non-dropping-particle":"","parse-names":false,"suffix":""},{"dropping-particle":"","family":"Priscilla","given":"Aline","non-dropping-particle":"","parse-names":false,"suffix":""},{"dropping-particle":"","family":"Bok","given":"Chui Yin","non-dropping-particle":"","parse-names":false,"suffix":""},{"dropping-particle":"","family":"Noah","given":"Ratna","non-dropping-particle":"","parse-names":false,"suffix":""},{"dropping-particle":"","family":"Walemba","given":"Elvin Muhindo","non-dropping-particle":"","parse-names":false,"suffix":""},{"dropping-particle":"","family":"Mushunje","given":"Annals Tatenda","non-dropping-particle":"","parse-names":false,"suffix":""}],"container-title":"Exploration of Foods and Foodomics","id":"ITEM-4","issued":{"date-parts":[["2026"]]},"page":"1-42","title":"Exploring betacyanins : characteristics , extractions , bioavailability , and bioactive potentials","type":"article-journal","volume":"4"},"uris":["http://www.mendeley.com/documents/?uuid=47b6dd54-3687-4eab-b5f7-402495bbff56"]}],"mendeley":{"formattedCitation":"(John et al., 2026; Lim et al., 2026; Loan et al., 2025; Nithya et al., 2025)","plainTextFormattedCitation":"(John et al., 2026; Lim et al., 2026; Loan et al., 2025; Nithya et al., 2025)","previouslyFormattedCitation":"(John et al., 2026; Lim et al., 2026; Loan et al., 2025; Nithya et al., 2025)"},"properties":{"noteIndex":0},"schema":"https://github.com/citation-style-language/schema/raw/master/csl-citation.json"}</w:instrText>
      </w:r>
      <w:r w:rsidRPr="00B54EE7">
        <w:rPr>
          <w:rFonts w:ascii="Arial" w:hAnsi="Arial" w:cs="Arial"/>
        </w:rPr>
        <w:fldChar w:fldCharType="separate"/>
      </w:r>
      <w:r w:rsidRPr="00B54EE7">
        <w:rPr>
          <w:rFonts w:ascii="Arial" w:hAnsi="Arial" w:cs="Arial"/>
          <w:noProof/>
        </w:rPr>
        <w:t>(John et al., 2026; Lim et al., 2026; Loan et al., 2025; Nithya et al., 2025)</w:t>
      </w:r>
      <w:r w:rsidRPr="00B54EE7">
        <w:rPr>
          <w:rFonts w:ascii="Arial" w:hAnsi="Arial" w:cs="Arial"/>
        </w:rPr>
        <w:fldChar w:fldCharType="end"/>
      </w:r>
      <w:r w:rsidRPr="00B54EE7">
        <w:rPr>
          <w:rFonts w:ascii="Arial" w:hAnsi="Arial" w:cs="Arial"/>
        </w:rPr>
        <w:t xml:space="preserve">. </w:t>
      </w:r>
      <w:r w:rsidR="00A5531C" w:rsidRPr="00A5531C">
        <w:rPr>
          <w:rFonts w:ascii="Arial" w:hAnsi="Arial" w:cs="Arial"/>
          <w:color w:val="EE0000"/>
        </w:rPr>
        <w:t xml:space="preserve">Based on literature, these </w:t>
      </w:r>
      <w:proofErr w:type="spellStart"/>
      <w:r w:rsidR="00A5531C" w:rsidRPr="00A5531C">
        <w:rPr>
          <w:rFonts w:ascii="Arial" w:hAnsi="Arial" w:cs="Arial"/>
          <w:color w:val="EE0000"/>
        </w:rPr>
        <w:t>betacyanins</w:t>
      </w:r>
      <w:proofErr w:type="spellEnd"/>
      <w:r w:rsidR="00A5531C" w:rsidRPr="00A5531C">
        <w:rPr>
          <w:rFonts w:ascii="Arial" w:hAnsi="Arial" w:cs="Arial"/>
          <w:color w:val="EE0000"/>
        </w:rPr>
        <w:t xml:space="preserve"> are suggested to potentially activate specialized signaling pathways (such as Nrf2-ARE) that may enhance cellular antioxidant defenses </w:t>
      </w:r>
      <w:r w:rsidRPr="00B54EE7">
        <w:rPr>
          <w:rFonts w:ascii="Arial" w:hAnsi="Arial" w:cs="Arial"/>
        </w:rPr>
        <w:fldChar w:fldCharType="begin" w:fldLock="1"/>
      </w:r>
      <w:r w:rsidRPr="00B54EE7">
        <w:rPr>
          <w:rFonts w:ascii="Arial" w:hAnsi="Arial" w:cs="Arial"/>
        </w:rPr>
        <w:instrText>ADDIN CSL_CITATION {"citationItems":[{"id":"ITEM-1","itemData":{"DOI":"10.1016/j.susmat.2024.e01086","ISSN":"22149937","abstract":"Red dragon fruit (RDF, Hylocereus polyrhizus) is high in betacyanins content but is understudied for its antioxidant mechanisms in liver cells. The present study aimed to investigate the antioxidant mechanisms of the stabilised betacyanins in a novel RDF functional drink, Improved-FRDFD-dH2O (produced from mild, sustainable approaches) using HepG2 cell line. Results revealed the betacyanins of Improved-FRDFD-dH2O (12.5% and 25%, v/v) showed the highest direct scavenging effect on intracellular ROS from 75.39% to &lt;31%. The antioxidant enzymes (SOD, CAT and GPx) activities in HepG2 cells were remarkably increased, with 12.5% and 25% Improved-FRDFD-dH2O demonstrating the greatest enhancing effects. RT-qPCR proved the betacyanins of Improved-FRDFD-dH2O possessed indirect antioxidant mechanisms, where the gene expressions associated with Nrf2-ARE pathway were upregulated by all the tested sample concentrations (highest fold: 6.82). Overall, the present findings highlighted the RDF's potential in functional product development with betacyanins as the prominent bioactive compound to provide direct and indirect antioxidative and hepatoprotective activities.","author":[{"dropping-particle":"","family":"Lim","given":"Teck Wei","non-dropping-particle":"","parse-names":false,"suffix":""},{"dropping-particle":"","family":"Lim","given":"Renee Lay Hong","non-dropping-particle":"","parse-names":false,"suffix":""},{"dropping-particle":"","family":"Pui","given":"Liew Phing","non-dropping-particle":"","parse-names":false,"suffix":""},{"dropping-particle":"","family":"Tan","given":"Chin Ping","non-dropping-particle":"","parse-names":false,"suffix":""},{"dropping-particle":"","family":"Ho","given":"Chun Wai","non-dropping-particle":"","parse-names":false,"suffix":""}],"container-title":"Sustainable Materials and Technologies","id":"ITEM-1","issued":{"date-parts":[["2024","9","1"]]},"publisher":"Elsevier B.V.","title":"Studies on the antioxidant mechanisms of betacyanins from improved fermented red dragon fruit (Hylocereus polyrhizus) drink in HepG2 cells","type":"article-journal","volume":"41"},"uris":["http://www.mendeley.com/documents/?uuid=ae3bcdb1-8321-3579-98c7-0fe32851427c"]},{"id":"ITEM-2","itemData":{"DOI":"10.1016/j.fufo.2024.100452","ISSN":"26668335","abstract":"Nowadays, the wide use of synthetic food colourant, Allura Red has elevated negative perceptions among consumers. As food industry players strive towards satisfying consumers’ demands, exploring new sustainable natural colourants with multifunctional properties (like betacyanins) has emerged as a novel concept. This study aimed to evaluate the potential of a functional fruit drink, Improved-FRDFD-dH2O [contained betacyanins of fermented red dragon fruit drink stabilised by 0.4 % xanthan gum and 0.5 % carboxymethyl cellulose hydrocolloid mixture solution and 0.2 % citric acid] to serve as a sustainable and stable functional liquid colourant in yoghurt. The 8-week refrigerated storage study revealed the betacyanins content in the yoghurt added with E162 experienced the lowest stabilities in terms of betacyanins content (&gt;30 % degradation), viscosity (&gt;15 % reduction), pH, LAB viability and antioxidant activity. In contrast, the Improved-FRDFD-dH2O was able to maintain the yoghurt's viscosity, syneresis, pH and LAB viability without any significant change. The betacyanins of Improved-FRDFD-dH2O had excellent stability in the yoghurt (&lt;5 % degradation), showing only a minimal difference (ΔE&lt;1.5) in total colour changes and being able to retain &gt;86 % of the initial antioxidant activity by the end of storage. These findings support the Improved-FRDFD-dH2O as a sustainable functional colourant with antioxidant properties for producing beneficial yoghurt.","author":[{"dropping-particle":"","family":"Lim","given":"Teck Wei","non-dropping-particle":"","parse-names":false,"suffix":""},{"dropping-particle":"","family":"Lim","given":"Renee Lay Hong","non-dropping-particle":"","parse-names":false,"suffix":""},{"dropping-particle":"","family":"Pui","given":"Liew Phing","non-dropping-particle":"","parse-names":false,"suffix":""},{"dropping-particle":"","family":"Tan","given":"Chin Ping","non-dropping-particle":"","parse-names":false,"suffix":""},{"dropping-particle":"","family":"Ho","given":"Chun Wai","non-dropping-particle":"","parse-names":false,"suffix":""}],"container-title":"Future Foods","id":"ITEM-2","issued":{"date-parts":[["2024","12","1"]]},"publisher":"Elsevier B.V.","title":"Evaluating the potential of stabilised betacyanins from fermented red dragon fruit (Hylocereus polyrhizus) drink: Sustainable colouration and antioxidant enhancement of stirred yoghurt","type":"article-journal","volume":"10"},"uris":["http://www.mendeley.com/documents/?uuid=7f9057ff-9c1f-3a6f-bf39-a8bb4d1c03ac"]},{"id":"ITEM-3","itemData":{"DOI":"10.3390/plants14070994","ISSN":"22237747","abstract":"Betalains are natural, hydrophilic pigments present in a variety of plants from the order Caryophyllales, extensively used as non-toxic food colorants and antioxidants. In recent decades, betalains have been intensively researched, with numerous studies confirming their anti-inflammatory, antioxidant, antimicrobial, and antinociceptive properties. More recently, due to a significant increase in the aging population worldwide, there has been growing interest in the study of preventive effects of betalains on age-related, degenerative brain diseases. The aim of this review is to evaluate the potential neuroprotective role of betalains in the prevention of neurodegenerative diseases like Alzheimer’s disease and Parkinson’s disease, as well as other types of neurodegenerative and ischemic brain injuries. Preclinical in vivo and in vitro pharmacological studies investigating the neuroprotective effects of betalains are reviewed, with a focus on the putative mechanisms of action. Available studies in humans are also presented.","author":[{"dropping-particle":"","family":"Ştefănescu","given":"Cristina","non-dropping-particle":"","parse-names":false,"suffix":""},{"dropping-particle":"","family":"Voştinaru","given":"Oliviu","non-dropping-particle":"","parse-names":false,"suffix":""},{"dropping-particle":"","family":"Mogoşan","given":"Cristina","non-dropping-particle":"","parse-names":false,"suffix":""},{"dropping-particle":"","family":"Crişan","given":"Gianina","non-dropping-particle":"","parse-names":false,"suffix":""},{"dropping-particle":"","family":"Balica","given":"Georgeta","non-dropping-particle":"","parse-names":false,"suffix":""}],"container-title":"Plants","id":"ITEM-3","issue":"7","issued":{"date-parts":[["2025"]]},"page":"1-19","title":"The Neuroprotective Potential of Betalains: A Focused Review","type":"article-journal","volume":"14"},"uris":["http://www.mendeley.com/documents/?uuid=a14efaf7-09f5-4939-b635-3ad70245e44f"]},{"id":"ITEM-4","itemData":{"DOI":"10.3390/antiox9100973","ISBN":"1902893662","ISSN":"20763921","abstract":"The nuclear factor erythroid 2-related factor 2 (Nrf2)/antioxidant response element (ARE) pathway is an important cell signaling mechanism in maintaining redox homeostasis in humans. The role of dietary flavonoids in activating Nrf2/ARE in relation to cancer chemoprevention or cancer promotion is not well established. Here we summarize the dual effects of flavonoids in cancer chemoprevention and cancer promotion with respect to the regulation of the Nrf2/ARE pathway, while underlying the possible cellular mechanisms. Luteolin, apigenin, quercetin, myricetin, rutin, naringenin, epicatechin, and genistein activate the Nrf2/ARE pathway in both normal and cancer cells. The hormetic effect of flavonoids has been observed due to their antioxidant or prooxidant activity, depending on the concentrations. Reported in vitro and in vivo investigations suggest that the activation of the Nrf2/ARE pathway by either endogenous or exogenous stimuli under normal physiological conditions contributes to redox homeostasis, which may provide a mechanism for cancer chemoprevention. However, some flavonoids, such as luteolin, apigenin, myricetin, quercetin, naringenin, epicatechin, genistein, and daidzein, at low concentrations (1.5 to 20 µM) facilitate cancer cell growth and proliferation in vitro. Paradoxically, some flavonoids, including luteolin, apigenin, and chrysin, inhibit the Nrf2/ARE pathway in vitro. Therefore, even though flavonoids play a major role in cancer chemoprevention, due to their possible inducement of cancer cell growth, the effects of dietary flavonoids on cancer pathophysiology in patients or appropriate experimental animal models should be investigated systematically.","author":[{"dropping-particle":"","family":"Suraweera","given":"Tharindu L.","non-dropping-particle":"","parse-names":false,"suffix":""},{"dropping-particle":"","family":"Vasantha Rupasinghe","given":"H. P.","non-dropping-particle":"","parse-names":false,"suffix":""},{"dropping-particle":"","family":"Dellaire","given":"Graham","non-dropping-particle":"","parse-names":false,"suffix":""},{"dropping-particle":"","family":"Xu","given":"Zhaolin","non-dropping-particle":"","parse-names":false,"suffix":""}],"container-title":"Antioxidants","id":"ITEM-4","issue":"10","issued":{"date-parts":[["2020"]]},"number-of-pages":"1-44","title":"Regulation of Nrf2/are pathway by dietary flavonoids: A friend or foe for cancer management?","type":"book","volume":"9"},"uris":["http://www.mendeley.com/documents/?uuid=77e0b699-1304-4fc8-b3f4-e30386a12c07"]}],"mendeley":{"formattedCitation":"(Lim et al., 2024a, 2024b; Ştefănescu et al., 2025; Suraweera et al., 2020)","plainTextFormattedCitation":"(Lim et al., 2024a, 2024b; Ştefănescu et al., 2025; Suraweera et al., 2020)","previouslyFormattedCitation":"(Lim et al., 2024a, 2024b; Ştefănescu et al., 2025; Suraweera et al., 2020)"},"properties":{"noteIndex":0},"schema":"https://github.com/citation-style-language/schema/raw/master/csl-citation.json"}</w:instrText>
      </w:r>
      <w:r w:rsidRPr="00B54EE7">
        <w:rPr>
          <w:rFonts w:ascii="Arial" w:hAnsi="Arial" w:cs="Arial"/>
        </w:rPr>
        <w:fldChar w:fldCharType="separate"/>
      </w:r>
      <w:r w:rsidRPr="00B54EE7">
        <w:rPr>
          <w:rFonts w:ascii="Arial" w:hAnsi="Arial" w:cs="Arial"/>
          <w:noProof/>
        </w:rPr>
        <w:t>(Lim et al., 2024a, 2024b; Ştefănescu et al., 2025; Suraweera et al., 2020)</w:t>
      </w:r>
      <w:r w:rsidRPr="00B54EE7">
        <w:rPr>
          <w:rFonts w:ascii="Arial" w:hAnsi="Arial" w:cs="Arial"/>
        </w:rPr>
        <w:fldChar w:fldCharType="end"/>
      </w:r>
      <w:r w:rsidRPr="00B54EE7">
        <w:rPr>
          <w:rFonts w:ascii="Arial" w:hAnsi="Arial" w:cs="Arial"/>
        </w:rPr>
        <w:t xml:space="preserve">. This protection is crucial for the ovarian environment; by reducing oxidative damage, the extract stimulates the anterior pituitary gland to secrete steroid hormones and initiate </w:t>
      </w:r>
      <w:proofErr w:type="spellStart"/>
      <w:r w:rsidRPr="00B54EE7">
        <w:rPr>
          <w:rFonts w:ascii="Arial" w:hAnsi="Arial" w:cs="Arial"/>
        </w:rPr>
        <w:t>folliculogenesis</w:t>
      </w:r>
      <w:proofErr w:type="spellEnd"/>
      <w:r w:rsidRPr="00B54EE7">
        <w:rPr>
          <w:rFonts w:ascii="Arial" w:hAnsi="Arial" w:cs="Arial"/>
        </w:rPr>
        <w:fldChar w:fldCharType="begin" w:fldLock="1"/>
      </w:r>
      <w:r w:rsidRPr="00B54EE7">
        <w:rPr>
          <w:rFonts w:ascii="Arial" w:hAnsi="Arial" w:cs="Arial"/>
        </w:rPr>
        <w:instrText>ADDIN CSL_CITATION {"citationItems":[{"id":"ITEM-1","itemData":{"DOI":"10.26599/FSHW.2022.9250093","ISSN":"22134530","abstract":"Betalains are natural coloring pigments with betalamic acid as the core structure of all subclasses. Besides their coloring properties, betalains exhibit various biological activities, including antioxidant and anti-inflammatory properties, which are highly imperative. Further in-vivo studies reported that betalains protect various body organs, leading to health enhancement. Body organs, including the heart, liver, kidney, lung, etc., are important for a healthy life. However, these organs can be affected or damaged by various stress factors, toxicants, and harmful substances. Recent studies have claimed that betalains could protect all vital organs of the body through antioxidant and anti-inflammatory mechanisms. This review article described the in-vivo antioxidant and anti-inflammatory activities of betalains in various cell-line or animal models. A comprehensive discussion has been provided on the mechanism of action of betalains in protecting various body organs, including cardio-protective effect, hepato-protective ability, renal protection capacity, repro-protective ability, neuro-protective effect, lung protection, and gut protection ability. Finally, future research directions and conclusions have been outlined.","author":[{"dropping-particle":"","family":"Nirmal","given":"Nilesh Prakash","non-dropping-particle":"","parse-names":false,"suffix":""},{"dropping-particle":"","family":"Medhe","given":"Seema","non-dropping-particle":"","parse-names":false,"suffix":""},{"dropping-particle":"","family":"Dahal","given":"Merina","non-dropping-particle":"","parse-names":false,"suffix":""},{"dropping-particle":"","family":"Koirala","given":"Pankaj","non-dropping-particle":"","parse-names":false,"suffix":""},{"dropping-particle":"","family":"Nirmal","given":"Siriwan","non-dropping-particle":"","parse-names":false,"suffix":""},{"dropping-particle":"","family":"Al-Asmari","given":"Fahad","non-dropping-particle":"","parse-names":false,"suffix":""},{"dropping-particle":"","family":"Xu","given":"Baojun","non-dropping-particle":"","parse-names":false,"suffix":""}],"container-title":"Food Science and Human Wellness","id":"ITEM-1","issue":"3","issued":{"date-parts":[["2024"]]},"page":"1109-1117","title":"Betalains protect various body organs through antioxidant and anti-inflammatory pathways","type":"article-journal","volume":"13"},"uris":["http://www.mendeley.com/documents/?uuid=05360a3c-8fa1-4dd5-bbfc-635b5cbc8341"]},{"id":"ITEM-2","itemData":{"DOI":"10.1016/j.tifs.2022.02.020","ISSN":"09242244","abstract":"Background: Betalains are phytochemicals of relevance to the food industry not only for their natural presence in foods and beverages but also due to their utility as food colorants. However, the use of betalains as functional ingredients has not been extended despite their demonstrated health-promoting properties. The use of betalains as nutraceuticals is an emerging field thanks to the accumulation of scientific evidence on their beneficial effects on health in humans and animal models. Scope and approach: In this review, all the health-promoting effects of betalains published to date are collected and discussed with a focus on their promising use as functional ingredients. All studies on animal models and humans are critically analyzed. Key findings and conclusions: The bioactive properties of betalains have been manifested in rodents, fish, and nematodes. Chemopreventive, antioxidant, and anti-inflammatory activities are some of the effects produced by betalains in vivo. Assays performed in humans remain limited, but their conclusions are highly promising in terms of the health-promoting potential of betalains, supporting the use of these compounds as functional ingredients.","author":[{"dropping-particle":"","family":"Martínez-Rodríguez","given":"Pedro","non-dropping-particle":"","parse-names":false,"suffix":""},{"dropping-particle":"","family":"Guerrero-Rubio","given":"M. Alejandra","non-dropping-particle":"","parse-names":false,"suffix":""},{"dropping-particle":"","family":"Henarejos-Escudero","given":"Paula","non-dropping-particle":"","parse-names":false,"suffix":""},{"dropping-particle":"","family":"García-Carmona","given":"Francisco","non-dropping-particle":"","parse-names":false,"suffix":""},{"dropping-particle":"","family":"Gandía-Herrero","given":"Fernando","non-dropping-particle":"","parse-names":false,"suffix":""}],"container-title":"Trends in Food Science and Technology","id":"ITEM-2","issue":"January","issued":{"date-parts":[["2022"]]},"page":"66-82","publisher":"Elsevier Ltd","title":"Health-promoting potential of betalains in vivo and their relevance as functional ingredients: A review","type":"article-journal","volume":"122"},"uris":["http://www.mendeley.com/documents/?uuid=0df9e56e-0777-4437-9b97-44e641536018"]}],"mendeley":{"formattedCitation":"(Martínez-Rodríguez et al., 2022; Nirmal et al., 2024)","plainTextFormattedCitation":"(Martínez-Rodríguez et al., 2022; Nirmal et al., 2024)","previouslyFormattedCitation":"(Martínez-Rodríguez et al., 2022; Nirmal et al., 2024)"},"properties":{"noteIndex":0},"schema":"https://github.com/citation-style-language/schema/raw/master/csl-citation.json"}</w:instrText>
      </w:r>
      <w:r w:rsidRPr="00B54EE7">
        <w:rPr>
          <w:rFonts w:ascii="Arial" w:hAnsi="Arial" w:cs="Arial"/>
        </w:rPr>
        <w:fldChar w:fldCharType="separate"/>
      </w:r>
      <w:r w:rsidRPr="00B54EE7">
        <w:rPr>
          <w:rFonts w:ascii="Arial" w:hAnsi="Arial" w:cs="Arial"/>
          <w:noProof/>
        </w:rPr>
        <w:t>(Martínez-Rodríguez et al., 2022; Nirmal et al., 2024)</w:t>
      </w:r>
      <w:r w:rsidRPr="00B54EE7">
        <w:rPr>
          <w:rFonts w:ascii="Arial" w:hAnsi="Arial" w:cs="Arial"/>
        </w:rPr>
        <w:fldChar w:fldCharType="end"/>
      </w:r>
      <w:r w:rsidRPr="00B54EE7">
        <w:rPr>
          <w:rFonts w:ascii="Arial" w:hAnsi="Arial" w:cs="Arial"/>
        </w:rPr>
        <w:t>. As the follicle count increases, the multiplication of granulosa cells leads to higher estrogen secretion, which eventually triggers the Luteinizing Hormone (LH) surge necessary for ovulation</w:t>
      </w:r>
      <w:r w:rsidRPr="00B54EE7">
        <w:rPr>
          <w:rFonts w:ascii="Arial" w:hAnsi="Arial" w:cs="Arial"/>
        </w:rPr>
        <w:fldChar w:fldCharType="begin" w:fldLock="1"/>
      </w:r>
      <w:r w:rsidRPr="00B54EE7">
        <w:rPr>
          <w:rFonts w:ascii="Arial" w:hAnsi="Arial" w:cs="Arial"/>
        </w:rPr>
        <w:instrText>ADDIN CSL_CITATION {"citationItems":[{"id":"ITEM-1","itemData":{"DOI":"10.1210/er.2015-1104","ISSN":"0163769X","PMID":"27459230","abstract":"Polycystic ovary syndrome (PCOS) was hypothesized to result from functional ovarian hyperandrogenism (FOH) due to dysregulation of androgen secretion in 1989-1995. Subsequent studies have supported and amplified this hypothesis. Whendefinedasotherwiseunexplainedhyperandrogenicoligoanovulation, two-thirdsofPCOScaseshave functionally typical FOH, characterized by 17-hydroxyprogesterone hyperresponsiveness to gonadotropin stimulation. Two-thirds of the remaining PCOS have FOH detectable by testosterone elevation after suppression of adrenal androgen production. About 3% of PCOS have a related isolated functional adrenal hyperandrogenism. The remaining PCOS cases are mild and lack evidence of steroid secretory abnormalities; most of these are obese, whichwe postulate to account for their atypical PCOS. Approximately half of normal women with polycystic ovarian morphology (PCOM) have subclinical FOH-related steroidogenic defects. Theca cells from polycystic ovaries of classic PCOS patients in long-term culture have an intrinsic steroidogenic dysregulation that can account for the steroidogenic abnormalities typical of FOH. These cells overexpress most steroidogenic enzymes, particularly cytochrome P450c17. Overexpression of a protein identified by genome-wide association screening, differentially expressed in normal and neoplastic development 1A.V2, in normal theca cells has reproduced this PCOS phenotype in vitro. A metabolic syndrome of obesity-related and/or intrinsic insulin resistance occurs in about half of PCOS patients, and the compensatory hyperinsulinism has tissue-selective effects, which include aggravation of hyperandrogenism. PCOS seems to arise as a complex trait that results from the interaction of diverse genetic and environmental factors. Heritable factors include PCOM, hyperandrogenemia, insulin resistance, and insulin secretory defects. Environmental factors include prenatal androgen exposureandpoor fetal growth, whereas acquired obesity is a major postnatal factor. The variety of pathways involved and lack of a common thread attests to the multifactorial nature and heterogeneity of the syndrome. Further research into the fundamental basis of the disorder will be necessary to optimally correct androgen levels, ovulation, and metabolic homeostasis.","author":[{"dropping-particle":"","family":"Rosenfield","given":"Robert L.","non-dropping-particle":"","parse-names":false,"suffix":""},{"dropping-particle":"","family":"Ehrmann","given":"David A.","non-dropping-particle":"","parse-names":false,"suffix":""}],"container-title":"Endocrine Reviews","id":"ITEM-1","issue":"5","issued":{"date-parts":[["2016"]]},"page":"467-520","title":"The Pathogenesis of Polycystic Ovary Syndrome (PCOS): The hypothesis of PCOS as functional ovarian hyperandrogenism revisited","type":"article-journal","volume":"37"},"uris":["http://www.mendeley.com/documents/?uuid=9217f55f-3272-4c9b-b362-e151eda1dfa1"]}],"mendeley":{"formattedCitation":"(Rosenfield &amp; Ehrmann, 2016)","plainTextFormattedCitation":"(Rosenfield &amp; Ehrmann, 2016)","previouslyFormattedCitation":"(Rosenfield &amp; Ehrmann, 2016)"},"properties":{"noteIndex":0},"schema":"https://github.com/citation-style-language/schema/raw/master/csl-citation.json"}</w:instrText>
      </w:r>
      <w:r w:rsidRPr="00B54EE7">
        <w:rPr>
          <w:rFonts w:ascii="Arial" w:hAnsi="Arial" w:cs="Arial"/>
        </w:rPr>
        <w:fldChar w:fldCharType="separate"/>
      </w:r>
      <w:r w:rsidRPr="00B54EE7">
        <w:rPr>
          <w:rFonts w:ascii="Arial" w:hAnsi="Arial" w:cs="Arial"/>
          <w:noProof/>
        </w:rPr>
        <w:t>(Rosenfield &amp; Ehrmann, 2016)</w:t>
      </w:r>
      <w:r w:rsidRPr="00B54EE7">
        <w:rPr>
          <w:rFonts w:ascii="Arial" w:hAnsi="Arial" w:cs="Arial"/>
        </w:rPr>
        <w:fldChar w:fldCharType="end"/>
      </w:r>
      <w:r w:rsidRPr="00B54EE7">
        <w:rPr>
          <w:rFonts w:ascii="Arial" w:hAnsi="Arial" w:cs="Arial"/>
        </w:rPr>
        <w:t>.</w:t>
      </w:r>
    </w:p>
    <w:p w14:paraId="4B43BF9C" w14:textId="1ED696B5" w:rsidR="0091117B" w:rsidRDefault="00B54EE7" w:rsidP="0074373E">
      <w:pPr>
        <w:spacing w:line="276" w:lineRule="auto"/>
        <w:jc w:val="both"/>
        <w:rPr>
          <w:rFonts w:ascii="Arial" w:hAnsi="Arial" w:cs="Arial"/>
        </w:rPr>
      </w:pPr>
      <w:r w:rsidRPr="00B54EE7">
        <w:rPr>
          <w:rFonts w:ascii="Arial" w:hAnsi="Arial" w:cs="Arial"/>
        </w:rPr>
        <w:t xml:space="preserve">Furthermore, the utilization of dragon fruit components including the peel, which is often discarded has been shown to provide high total phenolic and flavonoid content (53.32 mg QE/g) </w:t>
      </w:r>
      <w:r w:rsidRPr="00B54EE7">
        <w:rPr>
          <w:rFonts w:ascii="Arial" w:hAnsi="Arial" w:cs="Arial"/>
        </w:rPr>
        <w:fldChar w:fldCharType="begin" w:fldLock="1"/>
      </w:r>
      <w:r w:rsidRPr="00B54EE7">
        <w:rPr>
          <w:rFonts w:ascii="Arial" w:hAnsi="Arial" w:cs="Arial"/>
        </w:rPr>
        <w:instrText>ADDIN CSL_CITATION {"citationItems":[{"id":"ITEM-1","itemData":{"DOI":"10.1016/j.fufo.2025.100768","ISSN":"26668335","abstract":"This study valorizes red dragon fruit peel (an agro-industrial byproduct) as a useful ingredient in biscuits. Proximate analysis of the Red dragon fruit peel powder (RDFPP) revealed a high crude fiber (23.68 %), ash (10.60 %), and carbohydrates (43.32 %), along with bioactive components such as total phenolic content (0.34 mg GAE/g), flavonoids (53.32 mg QE/g) and antioxidant activity: 43.22 %). Fourier transform infrared spectroscopy identified functional groups associated with polysaccharides, phenolic content, flavonoids, and lipids in both peel and biscuits. Biscuits containing 0–9 % RDFPP were evaluated for physicochemical, bioactive, sensory, and microbiological qualities. Increasing RDFPP substitution increased ash (0.71 % to 2.27 %) and fiber (0.08 % to 0.74 %), while decreasing moisture (5.58 % to 4.21 %) and pH (5.34 to 5.03), enhancing shelf stability. Antioxidant activity and bioactive compounds increased proportionally, with 9 % RDFPP showing the highest values (total phenolic content: 0.50 mg GAE/g; total flavonoids: 1.99 ± 0.02 mg QE/g; DPPH: 38.79 %). Sensory evaluation indicated that 6 % RDFPP was the ideal acceptability level, after which color (darker, L*: 36.61) and taste declined due to betacyanin pigments and acidic significance. Scanning electron microscopy analysis revealed structural porosity at higher RDFPP levels, correlating with texture changes. Microbial shelf-life studies showed that RDFPP has antimicrobial properties, reducing bacterial growth in 9 % RDFPP biscuits (8.09 log10 CFU/g) compared to the control (8.45 log10 CFU/g) after 15 days. These findings highlighted the ability of RDFPP to enhance nutritional and functional properties of baked products. A 6 % RDFPP substitution optimized antioxidant enrichment, fiber fortification, and consumer acceptance, providing a sustainable solution for repurposing agricultural waste into value-added foods.","author":[{"dropping-particle":"","family":"Biswas","given":"Mrityunjoy","non-dropping-particle":"","parse-names":false,"suffix":""},{"dropping-particle":"","family":"Alam","given":"Mahfujul","non-dropping-particle":"","parse-names":false,"suffix":""},{"dropping-particle":"","family":"Akhtaruzzaman","given":"Md","non-dropping-particle":"","parse-names":false,"suffix":""},{"dropping-particle":"","family":"Ahmed","given":"Shafi","non-dropping-particle":"","parse-names":false,"suffix":""},{"dropping-particle":"","family":"Uddin","given":"M. Shalim","non-dropping-particle":"","parse-names":false,"suffix":""},{"dropping-particle":"","family":"Talukder","given":"AHMM Rhaman","non-dropping-particle":"","parse-names":false,"suffix":""},{"dropping-particle":"","family":"Alam","given":"Asraful","non-dropping-particle":"","parse-names":false,"suffix":""},{"dropping-particle":"","family":"Biswas","given":"Bikramjit","non-dropping-particle":"","parse-names":false,"suffix":""}],"container-title":"Future Foods","id":"ITEM-1","issued":{"date-parts":[["2025","12","1"]]},"publisher":"Elsevier B.V.","title":"Valorization of red dragon fruit peel (Hylocereus polyrhizus) as a functional ingredient for fortified biscuits: physicochemical, nutritional, and sensory implications","type":"article-journal","volume":"12"},"uris":["http://www.mendeley.com/documents/?uuid=71973daa-819f-3f40-b6ff-ffec4b536332"]}],"mendeley":{"formattedCitation":"(Biswas et al., 2025)","plainTextFormattedCitation":"(Biswas et al., 2025)","previouslyFormattedCitation":"(Biswas et al., 2025)"},"properties":{"noteIndex":0},"schema":"https://github.com/citation-style-language/schema/raw/master/csl-citation.json"}</w:instrText>
      </w:r>
      <w:r w:rsidRPr="00B54EE7">
        <w:rPr>
          <w:rFonts w:ascii="Arial" w:hAnsi="Arial" w:cs="Arial"/>
        </w:rPr>
        <w:fldChar w:fldCharType="separate"/>
      </w:r>
      <w:r w:rsidRPr="00B54EE7">
        <w:rPr>
          <w:rFonts w:ascii="Arial" w:hAnsi="Arial" w:cs="Arial"/>
          <w:noProof/>
        </w:rPr>
        <w:t>(Biswas et al., 2025)</w:t>
      </w:r>
      <w:r w:rsidRPr="00B54EE7">
        <w:rPr>
          <w:rFonts w:ascii="Arial" w:hAnsi="Arial" w:cs="Arial"/>
        </w:rPr>
        <w:fldChar w:fldCharType="end"/>
      </w:r>
      <w:r w:rsidRPr="00B54EE7">
        <w:rPr>
          <w:rFonts w:ascii="Arial" w:hAnsi="Arial" w:cs="Arial"/>
        </w:rPr>
        <w:t xml:space="preserve">. These findings reinforce the conclusion that </w:t>
      </w:r>
      <w:r w:rsidRPr="00B54EE7">
        <w:rPr>
          <w:rFonts w:ascii="Arial" w:hAnsi="Arial" w:cs="Arial"/>
          <w:i/>
          <w:iCs/>
        </w:rPr>
        <w:t xml:space="preserve">Hylocereus </w:t>
      </w:r>
      <w:proofErr w:type="spellStart"/>
      <w:r w:rsidRPr="00B54EE7">
        <w:rPr>
          <w:rFonts w:ascii="Arial" w:hAnsi="Arial" w:cs="Arial"/>
          <w:i/>
          <w:iCs/>
        </w:rPr>
        <w:t>polyrhizus</w:t>
      </w:r>
      <w:proofErr w:type="spellEnd"/>
      <w:r w:rsidRPr="00B54EE7">
        <w:rPr>
          <w:rFonts w:ascii="Arial" w:hAnsi="Arial" w:cs="Arial"/>
        </w:rPr>
        <w:t xml:space="preserve"> extract acts as an effective natural agent for improving follicular development and estradiol levels </w:t>
      </w:r>
      <w:r w:rsidRPr="00B54EE7">
        <w:rPr>
          <w:rFonts w:ascii="Arial" w:hAnsi="Arial" w:cs="Arial"/>
        </w:rPr>
        <w:fldChar w:fldCharType="begin" w:fldLock="1"/>
      </w:r>
      <w:r w:rsidRPr="00B54EE7">
        <w:rPr>
          <w:rFonts w:ascii="Arial" w:hAnsi="Arial" w:cs="Arial"/>
        </w:rPr>
        <w:instrText>ADDIN CSL_CITATION {"citationItems":[{"id":"ITEM-1","itemData":{"DOI":"10.1016/j.metop.2022.100201","ISSN":"25899368","abstract":"BACKGROUND Polycystic ovary syndrome (PCOS) is an endocrine disorder, affecting women of reproductive age. Ageratum conyzoïdes (AGC) is used traditionally in the treatment of fever, rheumatism, and ulcer. This study investigates the effects of AGC on ovarian-uterine in PCOS rats. METHODS Female rats were randomized into four groups (n = 6). Group A control received 2 ml distilled water. Group B received a single dose of 4 mg/kg body weight (bwt) i.p estradiol valerate (EV). Group C received 500 mg/kg bwt AGC and group D received a single dose of 4 mg/kg bwt i.p EV followed by 500 mg/kg bwt AGC orally for 30 days. Parameters tested include follicle-stimulating hormone (FSH), luteinizing hormone (LH), testosterone (T), estradiol (E2), progesterone (P), C-reactive protein (CRP), interleukin (IL)-6, IL-18 and tumor necrosis factor (TNF)- α, malondialdehyde (MDA), superoxide dismutase (SOD), Catalase (CAT), total protein (TP), total cholesterol (TC), triglycerides (TG), low-density lipoprotein cholesterol (LDL), high-density lipoprotein cholesterol (HDL), and ovary and uterus histomorphometric. RESULTS Ageratum conyzoides decrease insulin resistance, obesity indices, TC, TG, LDL, MDA, T, LH, FSH, CRP, IL-6, IL-18, and TNF- α in PCOS rats. And increase HDL, E2, P, TP, CAT, and SOD in PCOS rats. AGC improved ovary and uterus histo-architecture, tertiary, and Graafian follicles, corpus luteum and endometrial thickness increased,and cystic and atretic follicles decreased. CONCLUSION Ageratum conyzoides improved insulin sensitivity, antioxidant activities, hormonal imbalance, inflammatory makers, and histological changes in PCOS rats. Therefore AGC can be used as a potential adjuvant agent in the treatment of PCOS.","author":[{"dropping-particle":"","family":"Adelakun","given":"Sunday Aderemi","non-dropping-particle":"","parse-names":false,"suffix":""},{"dropping-particle":"","family":"Ukwenya","given":"Victor Okoliko","non-dropping-particle":"","parse-names":false,"suffix":""},{"dropping-particle":"","family":"Peter","given":"Akwu Bala","non-dropping-particle":"","parse-names":false,"suffix":""},{"dropping-particle":"","family":"Siyanbade","given":"Adewale Jacob","non-dropping-particle":"","parse-names":false,"suffix":""},{"dropping-particle":"","family":"Akinwumiju","given":"Comfort Oluwakorede","non-dropping-particle":"","parse-names":false,"suffix":""}],"container-title":"Metabolism Open","id":"ITEM-1","issued":{"date-parts":[["2022","9"]]},"page":"100201","publisher":"Elsevier BV","title":"Therapeutic effects of aqueous extract of bioactive active component of Ageratum conyzoides on the ovarian-uterine and hypophysis-gonadal axis in rat with polycystic ovary syndrome: Histomorphometric evaluation and biochemical assessment","type":"article-journal","volume":"15"},"uris":["http://www.mendeley.com/documents/?uuid=f5784603-1e52-3d4d-befa-d1fe6e6d88f5"]}],"mendeley":{"formattedCitation":"(Adelakun et al., 2022)","plainTextFormattedCitation":"(Adelakun et al., 2022)","previouslyFormattedCitation":"(Adelakun et al., 2022)"},"properties":{"noteIndex":0},"schema":"https://github.com/citation-style-language/schema/raw/master/csl-citation.json"}</w:instrText>
      </w:r>
      <w:r w:rsidRPr="00B54EE7">
        <w:rPr>
          <w:rFonts w:ascii="Arial" w:hAnsi="Arial" w:cs="Arial"/>
        </w:rPr>
        <w:fldChar w:fldCharType="separate"/>
      </w:r>
      <w:r w:rsidRPr="00B54EE7">
        <w:rPr>
          <w:rFonts w:ascii="Arial" w:hAnsi="Arial" w:cs="Arial"/>
          <w:noProof/>
        </w:rPr>
        <w:t>(Adelakun et al., 2022)</w:t>
      </w:r>
      <w:r w:rsidRPr="00B54EE7">
        <w:rPr>
          <w:rFonts w:ascii="Arial" w:hAnsi="Arial" w:cs="Arial"/>
        </w:rPr>
        <w:fldChar w:fldCharType="end"/>
      </w:r>
      <w:r w:rsidRPr="00B54EE7">
        <w:rPr>
          <w:rFonts w:ascii="Arial" w:hAnsi="Arial" w:cs="Arial"/>
        </w:rPr>
        <w:t xml:space="preserve">. By mitigating oxidative stress and modulating hormonal responses, dragon fruit extract provides a robust biological environment for reproductive health and cellular maturation </w:t>
      </w:r>
      <w:r w:rsidRPr="00B54EE7">
        <w:rPr>
          <w:rFonts w:ascii="Arial" w:hAnsi="Arial" w:cs="Arial"/>
        </w:rPr>
        <w:fldChar w:fldCharType="begin" w:fldLock="1"/>
      </w:r>
      <w:r w:rsidRPr="00B54EE7">
        <w:rPr>
          <w:rFonts w:ascii="Arial" w:hAnsi="Arial" w:cs="Arial"/>
        </w:rPr>
        <w:instrText>ADDIN CSL_CITATION {"citationItems":[{"id":"ITEM-1","itemData":{"DOI":"10.36709/ampibi.v10i3.360","abstract":"Abstrak: Fenomena infertilitas (ketidaksuburan) banyak dialami oleh masyarkat, berbagai alternatif pengobatan baik secara medis ataupun non medis banyak dilakukan. Salah satu alternative yang banyak dilakukan oleh masyarakat adalah pemanfaatan herbal, salah satunya adalah buah naga. Konsumsi buah naga (Hylocereus polyrhizus) diharapkan dapat membantu meningkatkan kesuburan. Penelitian ini bertujuan untuk mengetahui pemberian ekstrak buah naga (Hylocereus polyrhizus) terhadap jumlah sel granulosa pada tikus putih betina. Jenis penelitian adalah eksperimen (true experiment) menggunakan Rancangan Acak Lengkap. Populasi penelitian menggunakan 40 ekor tikus. Sampel diperoleh dengan teknik simple random sampling sebanyak 24 ekor tikus dengan kriteria sampel berat 150 sampai 200 gram, umur 12 sampai 13 minggu, jenis kelamin betina, dan dalam kondisi sehat. Teknik analisis data dilakukan secara deskriptif dan inferensial, uji hipotesis menggunakan uji ANOVA dengan taraf kepercayaan 95% (α = 0,05) dimana diperoleh Fhitung&gt; Ftabel dan uji lanjut Tukey/HSD (Honest Significant Difference). Hasil yang diperoleh menunjukkan bahwa ekstrak buah naga berpengaruh secara signifikan terhadap jumlah sel granulosa pada tikus putih betina. Semakin tinggi dosis ekstrak buah naga yang diberikan semakin semakin bertambah jumlah sel granulosa. Abstract: Phenomenon in the community many experience infertility, so that by consuming dragon fruit (Hylocereus polyrhizus) is expected to help improve fertility. This study aims to determine the administration of dragon fruit extract (Hylocereus polyrhizus). This type of research is an experiment (true experiment) using a completely randomised design. The study population used 40 rats. The sample was obtained by simple random sampling technique as many as 24 rats with sample criteria weighing 150 to 200 grams, age 12 to 13 weeks, female sex, and in healthy condition. Data analysis techniques were carried out descriptively and inferentially, hypothesis testing using ANOVA test with 95% confidence level (α = 0.05) where the calculated F was obtained &gt; Ftable and Tukey/HSD (Honest Significant Difference). The results obtained that dragon fruit extract has a significant effect on the number of granulosa cells in female white rats.","author":[{"dropping-particle":"","family":"Kolaka","given":"La","non-dropping-particle":"","parse-names":false,"suffix":""},{"dropping-particle":"","family":"Sirih","given":"Muhammad","non-dropping-particle":"","parse-names":false,"suffix":""}],"container-title":"AMPIBI: Jurnal Alumni Pendidikan Biologi","id":"ITEM-1","issue":"3","issued":{"date-parts":[["2025"]]},"page":"1-6","title":"Efectiveness of dragon fruit extract (Hylocereus polyrhizus) on the number of granulosa cells of female white rats (Rattus norvegicus)","type":"article-journal","volume":"10"},"uris":["http://www.mendeley.com/documents/?uuid=601da34d-dd75-32a3-98d0-2e5145d492e7"]},{"id":"ITEM-2","itemData":{"DOI":"10.1016/j.ijbiomac.2025.149051","ISSN":"18790003","PMID":"41242448","abstract":"Dragon fruit production generates a substantial amount of agricultural waste, including peels, seeds, pulp residues, and foliage, which are often discarded despite their rich content of valuable bioactive compounds. Among these, polysaccharides are highly promising yet underexploited with diverse biological activities. This review comprehensively summarizes the types of polysaccharides found in dragon fruit waste, recent advancements in the extraction, purification, and functional evaluation of polysaccharides obtained from dragon fruit waste. These polysaccharides exhibit a wide range of biological activities, including strong antioxidant activity, anti-inflammatory effects, prebiotic properties beneficial for gut health, anti-diabetic and metabolic regulatory functions, wound healing promotion, and antibacterial actions. Because of the covalent combination of dragon fruit polysaccharide and betaine, it can effectively scavenge various free radicals, delay aging and cell damage, and make it have strong antioxidant capacity. On the contrary, the antioxidant capacity of ordinary fruit polysaccharides is limited, mainly relying on the synergistic effect of vitamin C, polyphenols and other components in fruits. What's more, the high-value applications of these polysaccharides across multiple sectors are also discussed, including their use as functional ingredients in the food industry, therapeutic agents in pharmaceutical and biomedical fields, active compounds in cosmetic and personal care formulations, and eco-friendly materials for environmental and agricultural applications. This review provides valuable insights and guidance for further research, development, and utilization of proposed to facilitate the full realization of dragon fruit waste polysaccharides as renewable resources for high-value applications.","author":[{"dropping-particle":"","family":"Cheong","given":"Kit Leong","non-dropping-particle":"","parse-names":false,"suffix":""},{"dropping-particle":"","family":"Li","given":"Jiajing","non-dropping-particle":"","parse-names":false,"suffix":""},{"dropping-particle":"","family":"Tang","given":"Dongqing","non-dropping-particle":"","parse-names":false,"suffix":""},{"dropping-particle":"","family":"Wang","given":"Min","non-dropping-particle":"","parse-names":false,"suffix":""},{"dropping-particle":"","family":"He","given":"Yunhua","non-dropping-particle":"","parse-names":false,"suffix":""},{"dropping-particle":"","family":"Liew","given":"Ahluk","non-dropping-particle":"","parse-names":false,"suffix":""},{"dropping-particle":"","family":"Ji","given":"Xiaolong","non-dropping-particle":"","parse-names":false,"suffix":""},{"dropping-particle":"","family":"Zhong","given":"Hai Jing","non-dropping-particle":"","parse-names":false,"suffix":""},{"dropping-particle":"","family":"Zhong","given":"Saiyi","non-dropping-particle":"","parse-names":false,"suffix":""},{"dropping-particle":"","family":"Sathuvan","given":"Malairaj","non-dropping-particle":"","parse-names":false,"suffix":""}],"container-title":"International Journal of Biological Macromolecules","id":"ITEM-2","issued":{"date-parts":[["2025","12","1"]]},"publisher":"Elsevier B.V.","title":"From waste to wealth: A review of emerging approaches for utilizing dragon fruit (pitaya) waste polysaccharides in value-added bioproducts","type":"article","volume":"334"},"uris":["http://www.mendeley.com/documents/?uuid=973daf05-369f-3459-80eb-8843b00b19ee"]},{"id":"ITEM-3","itemData":{"DOI":"10.1016/j.heliyon.2019","abstract":"my (A.M. Som). Abstract Hylocereus undatus foliage is believed to contain antioxidants similar to its peel. Numerous studies have been conducted to determine the total phenolic content (TPC) and antioxidant activity on the Hylocereus undatus pulps and peels; however, similar studies on its foliage have yet to be investigated. In this study, Hylocereus undatus foliage and peels were extracted using two different solvents namely; chloroform and methanol through Folin-Ciocalteu method and Diphenyl-1-Ipicrylhydrazyl (DPPH) free radical scavenging assay for TPC and antioxidant activity, respectively. As for TPC, results revealed that the peels gave higher TPC in both methanol (48.15 mg GAE/100g extract) and chloroform (18.89 mg GAE/100g extract) extractions than foliage (30.3 mg GAE/100g extract and 5.92 mg GAE/100g extract, respectively). However, when a comparison was made between foliage and peels in terms of its scavenging effects in DPPH assay, the (http://creativecommons.org/licenses/by-nc-nd/4.0/). peels contained more antioxidants (18.71%) than foliage (38.3%) in the chloroform solvent extracts. This study shows that Hylocereus undatus foliage has a similar antioxidant activity as its peels and is potentially a natural antioxidant in food applications.","author":[{"dropping-particle":"","family":"Som","given":"Ayub Md","non-dropping-particle":"","parse-names":false,"suffix":""},{"dropping-particle":"","family":"Ahmat","given":"Norizan","non-dropping-particle":"","parse-names":false,"suffix":""},{"dropping-particle":"","family":"Amani","given":"Hairul","non-dropping-particle":"","parse-names":false,"suffix":""},{"dropping-particle":"","family":"Hamid","given":"Abdul","non-dropping-particle":"","parse-names":false,"suffix":""},{"dropping-particle":"","family":"Azizuddin","given":"Nurmardhiyyah","non-dropping-particle":"","parse-names":false,"suffix":""},{"dropping-particle":"","family":"Alam","given":"Puncak","non-dropping-particle":"","parse-names":false,"suffix":""}],"container-title":"Heliyon","id":"ITEM-3","issue":"01244","issued":{"date-parts":[["2019"]]},"page":"1-13","title":"A comparative study on foliage and peels of Hylocereus undatus (white dragon fruit) regarding their antioxidant activity and phenolic content","type":"article-journal"},"uris":["http://www.mendeley.com/documents/?uuid=8da4d60d-1e68-3b9b-b094-c99534fc625c"]}],"mendeley":{"formattedCitation":"(Cheong et al., 2025; Kolaka &amp; Sirih, 2025; Som et al., 2019)","plainTextFormattedCitation":"(Cheong et al., 2025; Kolaka &amp; Sirih, 2025; Som et al., 2019)","previouslyFormattedCitation":"(Cheong et al., 2025; Kolaka &amp; Sirih, 2025; Som et al., 2019)"},"properties":{"noteIndex":0},"schema":"https://github.com/citation-style-language/schema/raw/master/csl-citation.json"}</w:instrText>
      </w:r>
      <w:r w:rsidRPr="00B54EE7">
        <w:rPr>
          <w:rFonts w:ascii="Arial" w:hAnsi="Arial" w:cs="Arial"/>
        </w:rPr>
        <w:fldChar w:fldCharType="separate"/>
      </w:r>
      <w:r w:rsidRPr="00B54EE7">
        <w:rPr>
          <w:rFonts w:ascii="Arial" w:hAnsi="Arial" w:cs="Arial"/>
          <w:noProof/>
        </w:rPr>
        <w:t>(Cheong et al., 2025; Kolaka &amp; Sirih, 2025; Som et al., 2019)</w:t>
      </w:r>
      <w:r w:rsidRPr="00B54EE7">
        <w:rPr>
          <w:rFonts w:ascii="Arial" w:hAnsi="Arial" w:cs="Arial"/>
        </w:rPr>
        <w:fldChar w:fldCharType="end"/>
      </w:r>
      <w:r w:rsidRPr="00B54EE7">
        <w:rPr>
          <w:rFonts w:ascii="Arial" w:hAnsi="Arial" w:cs="Arial"/>
        </w:rPr>
        <w:t>.</w:t>
      </w:r>
      <w:r w:rsidR="0091117B" w:rsidRPr="0098357A">
        <w:rPr>
          <w:rFonts w:ascii="Arial" w:hAnsi="Arial" w:cs="Arial"/>
        </w:rPr>
        <w:t>]</w:t>
      </w:r>
    </w:p>
    <w:p w14:paraId="4C399D63" w14:textId="77777777" w:rsidR="0091117B" w:rsidRDefault="0091117B" w:rsidP="0074373E">
      <w:pPr>
        <w:spacing w:line="276" w:lineRule="auto"/>
        <w:jc w:val="both"/>
        <w:rPr>
          <w:rFonts w:ascii="Arial" w:hAnsi="Arial" w:cs="Arial"/>
        </w:rPr>
      </w:pPr>
    </w:p>
    <w:p w14:paraId="6DF10A29" w14:textId="55C4249E" w:rsidR="00B01FCD" w:rsidRPr="0091117B" w:rsidRDefault="00856B97" w:rsidP="0074373E">
      <w:pPr>
        <w:spacing w:line="276" w:lineRule="auto"/>
        <w:jc w:val="both"/>
        <w:rPr>
          <w:rFonts w:ascii="Arial" w:hAnsi="Arial" w:cs="Arial"/>
          <w:b/>
          <w:bCs/>
        </w:rPr>
      </w:pPr>
      <w:r w:rsidRPr="0091117B">
        <w:rPr>
          <w:rFonts w:ascii="Arial" w:hAnsi="Arial" w:cs="Arial"/>
          <w:b/>
          <w:bCs/>
        </w:rPr>
        <w:t xml:space="preserve">4. </w:t>
      </w:r>
      <w:r w:rsidR="00662A23" w:rsidRPr="0091117B">
        <w:rPr>
          <w:rFonts w:ascii="Arial" w:hAnsi="Arial" w:cs="Arial"/>
          <w:b/>
          <w:bCs/>
        </w:rPr>
        <w:t>Conclusion</w:t>
      </w:r>
    </w:p>
    <w:p w14:paraId="5017ECDA" w14:textId="4EF0AC11" w:rsidR="00610942" w:rsidRPr="00F936CE" w:rsidRDefault="00AC03BF" w:rsidP="0074373E">
      <w:pPr>
        <w:spacing w:line="276" w:lineRule="auto"/>
        <w:jc w:val="both"/>
        <w:rPr>
          <w:rFonts w:ascii="Arial" w:hAnsi="Arial" w:cs="Arial"/>
          <w:color w:val="EE0000"/>
        </w:rPr>
      </w:pPr>
      <w:r w:rsidRPr="00F936CE">
        <w:rPr>
          <w:rFonts w:ascii="Arial" w:hAnsi="Arial" w:cs="Arial"/>
          <w:color w:val="EE0000"/>
        </w:rPr>
        <w:t>Descriptive and inferential analyses (ANOVA) demonstrate that the administration of supplemental red dragon fruit (</w:t>
      </w:r>
      <w:r w:rsidRPr="00F936CE">
        <w:rPr>
          <w:rFonts w:ascii="Arial" w:hAnsi="Arial" w:cs="Arial"/>
          <w:i/>
          <w:iCs/>
          <w:color w:val="EE0000"/>
        </w:rPr>
        <w:t xml:space="preserve">Hylocereus </w:t>
      </w:r>
      <w:proofErr w:type="spellStart"/>
      <w:r w:rsidRPr="00F936CE">
        <w:rPr>
          <w:rFonts w:ascii="Arial" w:hAnsi="Arial" w:cs="Arial"/>
          <w:i/>
          <w:iCs/>
          <w:color w:val="EE0000"/>
        </w:rPr>
        <w:t>polyrhizus</w:t>
      </w:r>
      <w:proofErr w:type="spellEnd"/>
      <w:r w:rsidRPr="00F936CE">
        <w:rPr>
          <w:rFonts w:ascii="Arial" w:hAnsi="Arial" w:cs="Arial"/>
          <w:color w:val="EE0000"/>
        </w:rPr>
        <w:t xml:space="preserve">) extract is associated with a significant increase in the mean diameter of Graafian follicles in </w:t>
      </w:r>
      <w:r w:rsidR="00E67CCD">
        <w:rPr>
          <w:rFonts w:ascii="Arial" w:hAnsi="Arial" w:cs="Arial"/>
          <w:color w:val="EE0000"/>
        </w:rPr>
        <w:t>F</w:t>
      </w:r>
      <w:r w:rsidRPr="00F936CE">
        <w:rPr>
          <w:rFonts w:ascii="Arial" w:hAnsi="Arial" w:cs="Arial"/>
          <w:color w:val="EE0000"/>
        </w:rPr>
        <w:t>emale Wistar rats in a dose-dependent manner. Each treatment level (500, 600, and 700 mg/kg BW) resulted in significantly different follicular growth. While this expansion is statistically correlated with the increasing dosage, the effect is suggested to be potentially mediated by the potent antioxidant profile of the extract, which may help maintain the physiological environment necessary for follicular maturation</w:t>
      </w:r>
    </w:p>
    <w:p w14:paraId="5EF94EC1" w14:textId="77777777" w:rsidR="00AC03BF" w:rsidRDefault="00AC03BF" w:rsidP="0074373E">
      <w:pPr>
        <w:spacing w:line="276" w:lineRule="auto"/>
        <w:jc w:val="both"/>
        <w:rPr>
          <w:rFonts w:ascii="Arial" w:hAnsi="Arial" w:cs="Arial"/>
        </w:rPr>
      </w:pPr>
    </w:p>
    <w:p w14:paraId="2AA90B64" w14:textId="0AB209B7" w:rsidR="00856B97" w:rsidRPr="00856B97" w:rsidRDefault="005F4869" w:rsidP="0074373E">
      <w:pPr>
        <w:spacing w:line="276" w:lineRule="auto"/>
        <w:jc w:val="both"/>
        <w:rPr>
          <w:rFonts w:ascii="Arial" w:hAnsi="Arial" w:cs="Arial"/>
          <w:b/>
          <w:bCs/>
        </w:rPr>
      </w:pPr>
      <w:r w:rsidRPr="00856B97">
        <w:rPr>
          <w:rFonts w:ascii="Arial" w:hAnsi="Arial" w:cs="Arial"/>
          <w:b/>
          <w:bCs/>
        </w:rPr>
        <w:t xml:space="preserve">Disclaimer (Artificial Intelligence) </w:t>
      </w:r>
    </w:p>
    <w:p w14:paraId="3226C61C" w14:textId="77777777" w:rsidR="00856B97" w:rsidRDefault="00856B97" w:rsidP="0074373E">
      <w:pPr>
        <w:spacing w:line="276" w:lineRule="auto"/>
        <w:jc w:val="both"/>
        <w:rPr>
          <w:rFonts w:ascii="Arial" w:hAnsi="Arial" w:cs="Arial"/>
        </w:rPr>
      </w:pPr>
      <w:r w:rsidRPr="00856B97">
        <w:rPr>
          <w:rFonts w:ascii="Arial" w:hAnsi="Arial" w:cs="Arial"/>
        </w:rPr>
        <w:t xml:space="preserve">Author(s) hereby </w:t>
      </w:r>
      <w:proofErr w:type="gramStart"/>
      <w:r w:rsidRPr="00856B97">
        <w:rPr>
          <w:rFonts w:ascii="Arial" w:hAnsi="Arial" w:cs="Arial"/>
        </w:rPr>
        <w:t>declare</w:t>
      </w:r>
      <w:proofErr w:type="gramEnd"/>
      <w:r w:rsidRPr="00856B97">
        <w:rPr>
          <w:rFonts w:ascii="Arial" w:hAnsi="Arial" w:cs="Ari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15CE75" w14:textId="77777777" w:rsidR="00610942" w:rsidRPr="00856B97" w:rsidRDefault="00610942" w:rsidP="0074373E">
      <w:pPr>
        <w:spacing w:line="276" w:lineRule="auto"/>
        <w:jc w:val="both"/>
        <w:rPr>
          <w:rFonts w:ascii="Arial" w:hAnsi="Arial" w:cs="Arial"/>
        </w:rPr>
      </w:pPr>
    </w:p>
    <w:p w14:paraId="148ADE4A" w14:textId="77777777" w:rsidR="00856B97" w:rsidRPr="00856B97" w:rsidRDefault="00856B97" w:rsidP="0074373E">
      <w:pPr>
        <w:spacing w:line="276" w:lineRule="auto"/>
        <w:jc w:val="both"/>
        <w:rPr>
          <w:rFonts w:ascii="Arial" w:hAnsi="Arial" w:cs="Arial"/>
          <w:b/>
          <w:bCs/>
        </w:rPr>
      </w:pPr>
      <w:r w:rsidRPr="00856B97">
        <w:rPr>
          <w:rFonts w:ascii="Arial" w:hAnsi="Arial" w:cs="Arial"/>
          <w:b/>
          <w:bCs/>
        </w:rPr>
        <w:t xml:space="preserve">Details of the AI Usage are Given Below: </w:t>
      </w:r>
    </w:p>
    <w:p w14:paraId="2E7E869D" w14:textId="77777777" w:rsidR="00856B97" w:rsidRDefault="00856B97" w:rsidP="0074373E">
      <w:pPr>
        <w:spacing w:line="276" w:lineRule="auto"/>
        <w:jc w:val="both"/>
        <w:rPr>
          <w:rFonts w:ascii="Arial" w:hAnsi="Arial" w:cs="Arial"/>
        </w:rPr>
      </w:pPr>
      <w:r w:rsidRPr="00856B97">
        <w:rPr>
          <w:rFonts w:ascii="Arial" w:hAnsi="Arial" w:cs="Arial"/>
        </w:rPr>
        <w:t xml:space="preserve">During the preparation of this work, the author used Gemini AI in order to refine the English. After using this tool/service, the authors reviewed and edited the content as needed and take full responsibility for the content of the publication. </w:t>
      </w:r>
    </w:p>
    <w:p w14:paraId="57958688" w14:textId="77777777" w:rsidR="00610942" w:rsidRPr="00856B97" w:rsidRDefault="00610942" w:rsidP="0074373E">
      <w:pPr>
        <w:spacing w:line="276" w:lineRule="auto"/>
        <w:jc w:val="both"/>
        <w:rPr>
          <w:rFonts w:ascii="Arial" w:hAnsi="Arial" w:cs="Arial"/>
        </w:rPr>
      </w:pPr>
    </w:p>
    <w:p w14:paraId="2D225343" w14:textId="1A74DFD8" w:rsidR="005C784C" w:rsidRPr="0098357A" w:rsidRDefault="005F4869" w:rsidP="0074373E">
      <w:pPr>
        <w:pStyle w:val="ReferHead"/>
        <w:spacing w:after="0" w:line="276" w:lineRule="auto"/>
        <w:jc w:val="both"/>
        <w:rPr>
          <w:rFonts w:ascii="Arial" w:hAnsi="Arial" w:cs="Arial"/>
          <w:bCs/>
        </w:rPr>
      </w:pPr>
      <w:r w:rsidRPr="0098357A">
        <w:rPr>
          <w:rFonts w:ascii="Arial" w:hAnsi="Arial" w:cs="Arial"/>
          <w:bCs/>
          <w:caps w:val="0"/>
        </w:rPr>
        <w:lastRenderedPageBreak/>
        <w:t xml:space="preserve">Ethical Approval </w:t>
      </w:r>
    </w:p>
    <w:p w14:paraId="7EDDB41E" w14:textId="04AC5540" w:rsidR="0041027F" w:rsidRDefault="008671C6" w:rsidP="0074373E">
      <w:pPr>
        <w:pStyle w:val="ReferHead"/>
        <w:spacing w:after="0" w:line="276" w:lineRule="auto"/>
        <w:jc w:val="both"/>
        <w:rPr>
          <w:rFonts w:ascii="Arial" w:hAnsi="Arial" w:cs="Arial"/>
          <w:b w:val="0"/>
          <w:caps w:val="0"/>
          <w:sz w:val="20"/>
          <w:u w:val="single"/>
        </w:rPr>
      </w:pPr>
      <w:r w:rsidRPr="0098357A">
        <w:rPr>
          <w:rFonts w:ascii="Arial" w:hAnsi="Arial" w:cs="Arial"/>
          <w:b w:val="0"/>
          <w:caps w:val="0"/>
          <w:sz w:val="20"/>
          <w:u w:val="single"/>
        </w:rPr>
        <w:t xml:space="preserve">“All authors hereby declare that </w:t>
      </w:r>
      <w:r w:rsidR="0041027F" w:rsidRPr="0098357A">
        <w:rPr>
          <w:rFonts w:ascii="Arial" w:hAnsi="Arial" w:cs="Arial"/>
          <w:b w:val="0"/>
          <w:caps w:val="0"/>
          <w:sz w:val="20"/>
          <w:u w:val="single"/>
        </w:rPr>
        <w:t>"Principles of laboratory animal care" (NIH publication No. 85-23, revised 1985) were followed, as well as specific national laws where applicable.</w:t>
      </w:r>
      <w:r w:rsidRPr="0098357A">
        <w:rPr>
          <w:rFonts w:ascii="Arial" w:hAnsi="Arial" w:cs="Arial"/>
          <w:b w:val="0"/>
          <w:caps w:val="0"/>
          <w:sz w:val="20"/>
          <w:u w:val="single"/>
        </w:rPr>
        <w:t xml:space="preserve"> All experiments have been examined and approved by the appropriate ethics committee”</w:t>
      </w:r>
    </w:p>
    <w:p w14:paraId="2F0027DD" w14:textId="77777777" w:rsidR="00B84911" w:rsidRDefault="00B84911" w:rsidP="0074373E">
      <w:pPr>
        <w:pStyle w:val="ReferHead"/>
        <w:spacing w:after="0" w:line="276" w:lineRule="auto"/>
        <w:jc w:val="both"/>
        <w:rPr>
          <w:rFonts w:ascii="Arial" w:hAnsi="Arial" w:cs="Arial"/>
          <w:b w:val="0"/>
          <w:caps w:val="0"/>
          <w:sz w:val="20"/>
          <w:u w:val="single"/>
        </w:rPr>
      </w:pPr>
    </w:p>
    <w:p w14:paraId="5D4F5FBF" w14:textId="77777777" w:rsidR="007771A8" w:rsidRPr="003A29C6" w:rsidRDefault="007771A8" w:rsidP="007771A8">
      <w:pPr>
        <w:jc w:val="both"/>
        <w:outlineLvl w:val="0"/>
        <w:rPr>
          <w:rFonts w:ascii="Arial" w:hAnsi="Arial" w:cs="Arial"/>
        </w:rPr>
      </w:pPr>
      <w:r w:rsidRPr="003A29C6">
        <w:rPr>
          <w:rFonts w:ascii="Arial" w:hAnsi="Arial" w:cs="Arial"/>
          <w:b/>
          <w:bCs/>
        </w:rPr>
        <w:t>COMPETING INTERESTS DISCLAIMER:</w:t>
      </w:r>
    </w:p>
    <w:p w14:paraId="4918FCFA" w14:textId="77777777" w:rsidR="007771A8" w:rsidRDefault="007771A8" w:rsidP="007771A8">
      <w:r w:rsidRPr="00A10EDE">
        <w:t>Authors have declared that they have no known competing financial interests OR non-financial interests OR personal relationships that could have appeared to influence the work reported in this paper.</w:t>
      </w:r>
    </w:p>
    <w:p w14:paraId="5EADCD73" w14:textId="77777777" w:rsidR="007771A8" w:rsidRDefault="007771A8" w:rsidP="007771A8"/>
    <w:p w14:paraId="4CAF8B52" w14:textId="77777777" w:rsidR="007771A8" w:rsidRDefault="007771A8" w:rsidP="007771A8"/>
    <w:p w14:paraId="241397B4" w14:textId="5340F913" w:rsidR="00B01FCD" w:rsidRPr="0098357A" w:rsidRDefault="003E5A24" w:rsidP="0074373E">
      <w:pPr>
        <w:pStyle w:val="ReferHead"/>
        <w:spacing w:after="0" w:line="276" w:lineRule="auto"/>
        <w:jc w:val="both"/>
        <w:rPr>
          <w:rFonts w:ascii="Arial" w:hAnsi="Arial" w:cs="Arial"/>
        </w:rPr>
      </w:pPr>
      <w:r w:rsidRPr="0098357A">
        <w:rPr>
          <w:rFonts w:ascii="Arial" w:hAnsi="Arial" w:cs="Arial"/>
          <w:caps w:val="0"/>
        </w:rPr>
        <w:t>References</w:t>
      </w:r>
    </w:p>
    <w:p w14:paraId="1EAF9EDF" w14:textId="77777777" w:rsidR="00790ADA" w:rsidRPr="0098357A" w:rsidRDefault="00790ADA" w:rsidP="00441B6F">
      <w:pPr>
        <w:pStyle w:val="ReferHead"/>
        <w:spacing w:after="0"/>
        <w:jc w:val="both"/>
        <w:rPr>
          <w:rFonts w:ascii="Arial" w:hAnsi="Arial" w:cs="Arial"/>
        </w:rPr>
      </w:pPr>
    </w:p>
    <w:p w14:paraId="18A5D86A"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b/>
          <w:bCs/>
        </w:rPr>
        <w:fldChar w:fldCharType="begin" w:fldLock="1"/>
      </w:r>
      <w:r w:rsidRPr="00471FD1">
        <w:rPr>
          <w:rFonts w:ascii="Arial" w:hAnsi="Arial" w:cs="Arial"/>
          <w:b/>
          <w:bCs/>
        </w:rPr>
        <w:instrText xml:space="preserve">ADDIN Mendeley Bibliography CSL_BIBLIOGRAPHY </w:instrText>
      </w:r>
      <w:r w:rsidRPr="00471FD1">
        <w:rPr>
          <w:rFonts w:ascii="Arial" w:hAnsi="Arial" w:cs="Arial"/>
          <w:b/>
          <w:bCs/>
        </w:rPr>
        <w:fldChar w:fldCharType="separate"/>
      </w:r>
      <w:r w:rsidRPr="00471FD1">
        <w:rPr>
          <w:rFonts w:ascii="Arial" w:hAnsi="Arial" w:cs="Arial"/>
          <w:noProof/>
        </w:rPr>
        <w:t xml:space="preserve">Abirami, K., Swain, S., Baskaran, V., Venkatesan, K., Sakthivel, K., &amp; Bommayasamy, N. (2021). Distinguishing three Dragon fruit (Hylocereus spp.) species grown in Andaman and Nicobar Islands of India using morphological, biochemical and molecular traits. </w:t>
      </w:r>
      <w:r w:rsidRPr="00471FD1">
        <w:rPr>
          <w:rFonts w:ascii="Arial" w:hAnsi="Arial" w:cs="Arial"/>
          <w:i/>
          <w:iCs/>
          <w:noProof/>
        </w:rPr>
        <w:t>Scientific Reports</w:t>
      </w:r>
      <w:r w:rsidRPr="00471FD1">
        <w:rPr>
          <w:rFonts w:ascii="Arial" w:hAnsi="Arial" w:cs="Arial"/>
          <w:noProof/>
        </w:rPr>
        <w:t xml:space="preserve">, </w:t>
      </w:r>
      <w:r w:rsidRPr="00471FD1">
        <w:rPr>
          <w:rFonts w:ascii="Arial" w:hAnsi="Arial" w:cs="Arial"/>
          <w:i/>
          <w:iCs/>
          <w:noProof/>
        </w:rPr>
        <w:t>11</w:t>
      </w:r>
      <w:r w:rsidRPr="00471FD1">
        <w:rPr>
          <w:rFonts w:ascii="Arial" w:hAnsi="Arial" w:cs="Arial"/>
          <w:noProof/>
        </w:rPr>
        <w:t>(1). https://doi.org/10.1038/s41598-021-81682-x</w:t>
      </w:r>
    </w:p>
    <w:p w14:paraId="2D6C1BC6"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Adelakun, S. A., Ukwenya, V. O., Peter, A. B., Siyanbade, A. J., &amp; Akinwumiju, C. O. (2022). Therapeutic effects of aqueous extract of bioactive active component of Ageratum conyzoides on the ovarian-uterine and hypophysis-gonadal axis in rat with polycystic ovary syndrome: Histomorphometric evaluation and biochemical assessment. </w:t>
      </w:r>
      <w:r w:rsidRPr="00471FD1">
        <w:rPr>
          <w:rFonts w:ascii="Arial" w:hAnsi="Arial" w:cs="Arial"/>
          <w:i/>
          <w:iCs/>
          <w:noProof/>
        </w:rPr>
        <w:t>Metabolism Open</w:t>
      </w:r>
      <w:r w:rsidRPr="00471FD1">
        <w:rPr>
          <w:rFonts w:ascii="Arial" w:hAnsi="Arial" w:cs="Arial"/>
          <w:noProof/>
        </w:rPr>
        <w:t xml:space="preserve">, </w:t>
      </w:r>
      <w:r w:rsidRPr="00471FD1">
        <w:rPr>
          <w:rFonts w:ascii="Arial" w:hAnsi="Arial" w:cs="Arial"/>
          <w:i/>
          <w:iCs/>
          <w:noProof/>
        </w:rPr>
        <w:t>15</w:t>
      </w:r>
      <w:r w:rsidRPr="00471FD1">
        <w:rPr>
          <w:rFonts w:ascii="Arial" w:hAnsi="Arial" w:cs="Arial"/>
          <w:noProof/>
        </w:rPr>
        <w:t>, 100201. https://doi.org/10.1016/j.metop.2022.100201</w:t>
      </w:r>
    </w:p>
    <w:p w14:paraId="2772366D" w14:textId="68D30B85"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Angonese, M., Motta, G. E., Silva de Farias, N., Molognoni, L., Daguer, H., Brugnerotto, P., de Oliveira Costa, A. C., &amp; Olivera Müller, C. M. (2021).</w:t>
      </w:r>
      <w:r w:rsidR="00D16E11">
        <w:rPr>
          <w:rFonts w:ascii="Arial" w:hAnsi="Arial" w:cs="Arial"/>
          <w:noProof/>
        </w:rPr>
        <w:t xml:space="preserve"> </w:t>
      </w:r>
      <w:r w:rsidRPr="00471FD1">
        <w:rPr>
          <w:rFonts w:ascii="Arial" w:hAnsi="Arial" w:cs="Arial"/>
          <w:noProof/>
        </w:rPr>
        <w:t>Organic dragon fruits (</w:t>
      </w:r>
      <w:r w:rsidRPr="00D16E11">
        <w:rPr>
          <w:rFonts w:ascii="Arial" w:hAnsi="Arial" w:cs="Arial"/>
          <w:i/>
          <w:iCs/>
          <w:noProof/>
        </w:rPr>
        <w:t>Hylocereus undatus</w:t>
      </w:r>
      <w:r w:rsidRPr="00471FD1">
        <w:rPr>
          <w:rFonts w:ascii="Arial" w:hAnsi="Arial" w:cs="Arial"/>
          <w:noProof/>
        </w:rPr>
        <w:t xml:space="preserve"> and </w:t>
      </w:r>
      <w:r w:rsidRPr="00D16E11">
        <w:rPr>
          <w:rFonts w:ascii="Arial" w:hAnsi="Arial" w:cs="Arial"/>
          <w:i/>
          <w:iCs/>
          <w:noProof/>
        </w:rPr>
        <w:t>Hylocereus polyrhizus</w:t>
      </w:r>
      <w:r w:rsidRPr="00471FD1">
        <w:rPr>
          <w:rFonts w:ascii="Arial" w:hAnsi="Arial" w:cs="Arial"/>
          <w:noProof/>
        </w:rPr>
        <w:t xml:space="preserve">) grown at the same edaphoclimatic conditions: Comparison of phenolic and organic acids profiles and antioxidant activities. </w:t>
      </w:r>
      <w:r w:rsidRPr="00471FD1">
        <w:rPr>
          <w:rFonts w:ascii="Arial" w:hAnsi="Arial" w:cs="Arial"/>
          <w:i/>
          <w:iCs/>
          <w:noProof/>
        </w:rPr>
        <w:t>LWT</w:t>
      </w:r>
      <w:r w:rsidRPr="00471FD1">
        <w:rPr>
          <w:rFonts w:ascii="Arial" w:hAnsi="Arial" w:cs="Arial"/>
          <w:noProof/>
        </w:rPr>
        <w:t xml:space="preserve">, </w:t>
      </w:r>
      <w:r w:rsidRPr="00471FD1">
        <w:rPr>
          <w:rFonts w:ascii="Arial" w:hAnsi="Arial" w:cs="Arial"/>
          <w:i/>
          <w:iCs/>
          <w:noProof/>
        </w:rPr>
        <w:t>149</w:t>
      </w:r>
      <w:r w:rsidRPr="00471FD1">
        <w:rPr>
          <w:rFonts w:ascii="Arial" w:hAnsi="Arial" w:cs="Arial"/>
          <w:noProof/>
        </w:rPr>
        <w:t>. https://doi.org/10.1016/j.lwt.2021.111924</w:t>
      </w:r>
    </w:p>
    <w:p w14:paraId="639EAF9D"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Asranudin, Fatmawati, S., Purnomo, A. S., Holilah, &amp; Rohmah, A. A. (2020). Antioxidant Activity of Fruit Peel Waste Extracts. </w:t>
      </w:r>
      <w:r w:rsidRPr="00471FD1">
        <w:rPr>
          <w:rFonts w:ascii="Arial" w:hAnsi="Arial" w:cs="Arial"/>
          <w:i/>
          <w:iCs/>
          <w:noProof/>
        </w:rPr>
        <w:t>The 9th International Conference of the Indonesian Chemical Society ICICS 2021</w:t>
      </w:r>
      <w:r w:rsidRPr="00471FD1">
        <w:rPr>
          <w:rFonts w:ascii="Arial" w:hAnsi="Arial" w:cs="Arial"/>
          <w:noProof/>
        </w:rPr>
        <w:t xml:space="preserve">, </w:t>
      </w:r>
      <w:r w:rsidRPr="00471FD1">
        <w:rPr>
          <w:rFonts w:ascii="Arial" w:hAnsi="Arial" w:cs="Arial"/>
          <w:i/>
          <w:iCs/>
          <w:noProof/>
        </w:rPr>
        <w:t>8</w:t>
      </w:r>
      <w:r w:rsidRPr="00471FD1">
        <w:rPr>
          <w:rFonts w:ascii="Arial" w:hAnsi="Arial" w:cs="Arial"/>
          <w:noProof/>
        </w:rPr>
        <w:t>(1), 53–57. https://myjms.mohe.gov.my/index.php/joa/article/view/8434</w:t>
      </w:r>
    </w:p>
    <w:p w14:paraId="59C406D4"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Asranudin, Holilah, Purnomo, A. S., Allouss, D., Alaoui-elbalrhiti, I. El, Putra, S. R., Masruchin, N., &amp; Tamim, R. (2023). Improved functional properties of Dioscorea alata var. Purpurea flour after heat moisture treatment: Thermal, pasting, and granule stability. </w:t>
      </w:r>
      <w:r w:rsidRPr="00471FD1">
        <w:rPr>
          <w:rFonts w:ascii="Arial" w:hAnsi="Arial" w:cs="Arial"/>
          <w:i/>
          <w:iCs/>
          <w:noProof/>
        </w:rPr>
        <w:t>Food and Humanity</w:t>
      </w:r>
      <w:r w:rsidRPr="00471FD1">
        <w:rPr>
          <w:rFonts w:ascii="Arial" w:hAnsi="Arial" w:cs="Arial"/>
          <w:noProof/>
        </w:rPr>
        <w:t xml:space="preserve">, </w:t>
      </w:r>
      <w:r w:rsidRPr="00471FD1">
        <w:rPr>
          <w:rFonts w:ascii="Arial" w:hAnsi="Arial" w:cs="Arial"/>
          <w:i/>
          <w:iCs/>
          <w:noProof/>
        </w:rPr>
        <w:t>1</w:t>
      </w:r>
      <w:r w:rsidRPr="00471FD1">
        <w:rPr>
          <w:rFonts w:ascii="Arial" w:hAnsi="Arial" w:cs="Arial"/>
          <w:noProof/>
        </w:rPr>
        <w:t>(December 2022), 289–296. https://doi.org/10.1016/j.foohum.2023.06.007</w:t>
      </w:r>
    </w:p>
    <w:p w14:paraId="5046E954"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Batubara, M. S., Sabri, E., &amp; Tanjung, M. (2020). Pengaruh pemberian ekstrak daun andaliman (Zanthoxylum acanthopodium dc.) terhadap histologis ovarium mencit (Mus musculus L.). </w:t>
      </w:r>
      <w:r w:rsidRPr="00471FD1">
        <w:rPr>
          <w:rFonts w:ascii="Arial" w:hAnsi="Arial" w:cs="Arial"/>
          <w:i/>
          <w:iCs/>
          <w:noProof/>
        </w:rPr>
        <w:t>BIOLINK (Jurnal Biologi Lingkungan Industri Kesehatan)</w:t>
      </w:r>
      <w:r w:rsidRPr="00471FD1">
        <w:rPr>
          <w:rFonts w:ascii="Arial" w:hAnsi="Arial" w:cs="Arial"/>
          <w:noProof/>
        </w:rPr>
        <w:t xml:space="preserve">, </w:t>
      </w:r>
      <w:r w:rsidRPr="00471FD1">
        <w:rPr>
          <w:rFonts w:ascii="Arial" w:hAnsi="Arial" w:cs="Arial"/>
          <w:i/>
          <w:iCs/>
          <w:noProof/>
        </w:rPr>
        <w:t>6</w:t>
      </w:r>
      <w:r w:rsidRPr="00471FD1">
        <w:rPr>
          <w:rFonts w:ascii="Arial" w:hAnsi="Arial" w:cs="Arial"/>
          <w:noProof/>
        </w:rPr>
        <w:t>(2), 196–209. https://doi.org/10.31289/biolink.v6i2.2409</w:t>
      </w:r>
    </w:p>
    <w:p w14:paraId="4B720E16"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Biswas, M., Alam, M., Akhtaruzzaman, M., Ahmed, S., Uddin, M. S., Talukder, A. R., Alam, A., &amp; Biswas, B. (2025). Valorization of red dragon fruit peel (Hylocereus polyrhizus) as a functional ingredient for fortified biscuits: physicochemical, nutritional, and sensory implications. </w:t>
      </w:r>
      <w:r w:rsidRPr="00471FD1">
        <w:rPr>
          <w:rFonts w:ascii="Arial" w:hAnsi="Arial" w:cs="Arial"/>
          <w:i/>
          <w:iCs/>
          <w:noProof/>
        </w:rPr>
        <w:t>Future Foods</w:t>
      </w:r>
      <w:r w:rsidRPr="00471FD1">
        <w:rPr>
          <w:rFonts w:ascii="Arial" w:hAnsi="Arial" w:cs="Arial"/>
          <w:noProof/>
        </w:rPr>
        <w:t xml:space="preserve">, </w:t>
      </w:r>
      <w:r w:rsidRPr="00471FD1">
        <w:rPr>
          <w:rFonts w:ascii="Arial" w:hAnsi="Arial" w:cs="Arial"/>
          <w:i/>
          <w:iCs/>
          <w:noProof/>
        </w:rPr>
        <w:t>12</w:t>
      </w:r>
      <w:r w:rsidRPr="00471FD1">
        <w:rPr>
          <w:rFonts w:ascii="Arial" w:hAnsi="Arial" w:cs="Arial"/>
          <w:noProof/>
        </w:rPr>
        <w:t>. https://doi.org/10.1016/j.fufo.2025.100768</w:t>
      </w:r>
    </w:p>
    <w:p w14:paraId="71934246"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Boots, A. W., Haenen, G. R. M. M., &amp; Bast, A. (2008). Health effects of quercetin: From antioxidant to nutraceutical. </w:t>
      </w:r>
      <w:r w:rsidRPr="00471FD1">
        <w:rPr>
          <w:rFonts w:ascii="Arial" w:hAnsi="Arial" w:cs="Arial"/>
          <w:i/>
          <w:iCs/>
          <w:noProof/>
        </w:rPr>
        <w:t>European Journal of Pharmacology</w:t>
      </w:r>
      <w:r w:rsidRPr="00471FD1">
        <w:rPr>
          <w:rFonts w:ascii="Arial" w:hAnsi="Arial" w:cs="Arial"/>
          <w:noProof/>
        </w:rPr>
        <w:t xml:space="preserve">, </w:t>
      </w:r>
      <w:r w:rsidRPr="00471FD1">
        <w:rPr>
          <w:rFonts w:ascii="Arial" w:hAnsi="Arial" w:cs="Arial"/>
          <w:i/>
          <w:iCs/>
          <w:noProof/>
        </w:rPr>
        <w:t>585</w:t>
      </w:r>
      <w:r w:rsidRPr="00471FD1">
        <w:rPr>
          <w:rFonts w:ascii="Arial" w:hAnsi="Arial" w:cs="Arial"/>
          <w:noProof/>
        </w:rPr>
        <w:t>(2–3), 325–337. https://doi.org/10.1016/j.ejphar.2008.03.008</w:t>
      </w:r>
    </w:p>
    <w:p w14:paraId="396260EE"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Chauhan, B., Sharma, P., &amp; Oberoi, D. P. S. (2026). Ultrasonic-assisted betalain extraction </w:t>
      </w:r>
      <w:r w:rsidRPr="00471FD1">
        <w:rPr>
          <w:rFonts w:ascii="Arial" w:hAnsi="Arial" w:cs="Arial"/>
          <w:noProof/>
        </w:rPr>
        <w:lastRenderedPageBreak/>
        <w:t xml:space="preserve">from red dragon fruit pulp (Hylocereus polyrhizus) using response surface methodology. </w:t>
      </w:r>
      <w:r w:rsidRPr="00471FD1">
        <w:rPr>
          <w:rFonts w:ascii="Arial" w:hAnsi="Arial" w:cs="Arial"/>
          <w:i/>
          <w:iCs/>
          <w:noProof/>
        </w:rPr>
        <w:t>Food Chemistry</w:t>
      </w:r>
      <w:r w:rsidRPr="00471FD1">
        <w:rPr>
          <w:rFonts w:ascii="Arial" w:hAnsi="Arial" w:cs="Arial"/>
          <w:noProof/>
        </w:rPr>
        <w:t xml:space="preserve">, </w:t>
      </w:r>
      <w:r w:rsidRPr="00471FD1">
        <w:rPr>
          <w:rFonts w:ascii="Arial" w:hAnsi="Arial" w:cs="Arial"/>
          <w:i/>
          <w:iCs/>
          <w:noProof/>
        </w:rPr>
        <w:t>502</w:t>
      </w:r>
      <w:r w:rsidRPr="00471FD1">
        <w:rPr>
          <w:rFonts w:ascii="Arial" w:hAnsi="Arial" w:cs="Arial"/>
          <w:noProof/>
        </w:rPr>
        <w:t>. https://doi.org/10.1016/j.foodchem.2025.147658</w:t>
      </w:r>
    </w:p>
    <w:p w14:paraId="0E2D5AB6"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Cheok, C. Y., Mohd Adzahan, N., Abdul Rahman, R., Zainal Abedin, N. H., Hussain, N., Sulaiman, R., &amp; Chong, G. H. (2018). Current trends of tropical fruit waste utilization. </w:t>
      </w:r>
      <w:r w:rsidRPr="00471FD1">
        <w:rPr>
          <w:rFonts w:ascii="Arial" w:hAnsi="Arial" w:cs="Arial"/>
          <w:i/>
          <w:iCs/>
          <w:noProof/>
        </w:rPr>
        <w:t>Critical Reviews in Food Science and Nutrition</w:t>
      </w:r>
      <w:r w:rsidRPr="00471FD1">
        <w:rPr>
          <w:rFonts w:ascii="Arial" w:hAnsi="Arial" w:cs="Arial"/>
          <w:noProof/>
        </w:rPr>
        <w:t xml:space="preserve">, </w:t>
      </w:r>
      <w:r w:rsidRPr="00471FD1">
        <w:rPr>
          <w:rFonts w:ascii="Arial" w:hAnsi="Arial" w:cs="Arial"/>
          <w:i/>
          <w:iCs/>
          <w:noProof/>
        </w:rPr>
        <w:t>58</w:t>
      </w:r>
      <w:r w:rsidRPr="00471FD1">
        <w:rPr>
          <w:rFonts w:ascii="Arial" w:hAnsi="Arial" w:cs="Arial"/>
          <w:noProof/>
        </w:rPr>
        <w:t>(3), 335–361. https://doi.org/10.1080/10408398.2016.1176009</w:t>
      </w:r>
    </w:p>
    <w:p w14:paraId="7CFDC032"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Cheong, K. L., Li, J., Tang, D., Wang, M., He, Y., Liew, A., Ji, X., Zhong, H. J., Zhong, S., &amp; Sathuvan, M. (2025). From waste to wealth: A review of emerging approaches for utilizing dragon fruit (pitaya) waste polysaccharides in value-added bioproducts. In </w:t>
      </w:r>
      <w:r w:rsidRPr="00471FD1">
        <w:rPr>
          <w:rFonts w:ascii="Arial" w:hAnsi="Arial" w:cs="Arial"/>
          <w:i/>
          <w:iCs/>
          <w:noProof/>
        </w:rPr>
        <w:t>International Journal of Biological Macromolecules</w:t>
      </w:r>
      <w:r w:rsidRPr="00471FD1">
        <w:rPr>
          <w:rFonts w:ascii="Arial" w:hAnsi="Arial" w:cs="Arial"/>
          <w:noProof/>
        </w:rPr>
        <w:t xml:space="preserve"> (Vol. 334). Elsevier B.V. https://doi.org/10.1016/j.ijbiomac.2025.149051</w:t>
      </w:r>
    </w:p>
    <w:p w14:paraId="2DC33454"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Direito, R., Sousa, I., Antunes, F., Barbalho, S. M., Simões, S., Bronze, M. R., Reis, C., Gaspar, M. M., &amp; Figueira, M. E. (2025). Phytosomal delivery enhances bioactivity of Hylocereus costaricensis phenolic extract. </w:t>
      </w:r>
      <w:r w:rsidRPr="00471FD1">
        <w:rPr>
          <w:rFonts w:ascii="Arial" w:hAnsi="Arial" w:cs="Arial"/>
          <w:i/>
          <w:iCs/>
          <w:noProof/>
        </w:rPr>
        <w:t>Frontiers in Nutrition</w:t>
      </w:r>
      <w:r w:rsidRPr="00471FD1">
        <w:rPr>
          <w:rFonts w:ascii="Arial" w:hAnsi="Arial" w:cs="Arial"/>
          <w:noProof/>
        </w:rPr>
        <w:t xml:space="preserve">, </w:t>
      </w:r>
      <w:r w:rsidRPr="00471FD1">
        <w:rPr>
          <w:rFonts w:ascii="Arial" w:hAnsi="Arial" w:cs="Arial"/>
          <w:i/>
          <w:iCs/>
          <w:noProof/>
        </w:rPr>
        <w:t>12</w:t>
      </w:r>
      <w:r w:rsidRPr="00471FD1">
        <w:rPr>
          <w:rFonts w:ascii="Arial" w:hAnsi="Arial" w:cs="Arial"/>
          <w:noProof/>
        </w:rPr>
        <w:t>. https://doi.org/10.3389/fnut.2025.1659572</w:t>
      </w:r>
    </w:p>
    <w:p w14:paraId="34BB3F3A"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Ekozin, A. A., Isola, O. B., Onyijen, O. H., Omojoyegbe, R. T., Enerijiofi, K. E., &amp; Olaitan, E. O. (2025). Mechanistic insights into Ageratum conyzoides L. in preventing spontaneous abortion: A computational and pharmacological study. </w:t>
      </w:r>
      <w:r w:rsidRPr="00471FD1">
        <w:rPr>
          <w:rFonts w:ascii="Arial" w:hAnsi="Arial" w:cs="Arial"/>
          <w:i/>
          <w:iCs/>
          <w:noProof/>
        </w:rPr>
        <w:t>Pharmacological Research - Natural Products</w:t>
      </w:r>
      <w:r w:rsidRPr="00471FD1">
        <w:rPr>
          <w:rFonts w:ascii="Arial" w:hAnsi="Arial" w:cs="Arial"/>
          <w:noProof/>
        </w:rPr>
        <w:t xml:space="preserve">, </w:t>
      </w:r>
      <w:r w:rsidRPr="00471FD1">
        <w:rPr>
          <w:rFonts w:ascii="Arial" w:hAnsi="Arial" w:cs="Arial"/>
          <w:i/>
          <w:iCs/>
          <w:noProof/>
        </w:rPr>
        <w:t>6</w:t>
      </w:r>
      <w:r w:rsidRPr="00471FD1">
        <w:rPr>
          <w:rFonts w:ascii="Arial" w:hAnsi="Arial" w:cs="Arial"/>
          <w:noProof/>
        </w:rPr>
        <w:t>. https://doi.org/10.1016/j.prenap.2025.100143</w:t>
      </w:r>
    </w:p>
    <w:p w14:paraId="0E755D34"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Initha, C., Ebency, L., Vanitha, N., Saran, T. S., &amp; Shobana, F. (2024). Development of Wound Gauze from Hylocereus undatus Dragon Fruit (Pigment) Peel Extract. </w:t>
      </w:r>
      <w:r w:rsidRPr="00471FD1">
        <w:rPr>
          <w:rFonts w:ascii="Arial" w:hAnsi="Arial" w:cs="Arial"/>
          <w:i/>
          <w:iCs/>
          <w:noProof/>
        </w:rPr>
        <w:t>International Journal of Current Science Research and Review</w:t>
      </w:r>
      <w:r w:rsidRPr="00471FD1">
        <w:rPr>
          <w:rFonts w:ascii="Arial" w:hAnsi="Arial" w:cs="Arial"/>
          <w:noProof/>
        </w:rPr>
        <w:t xml:space="preserve">, </w:t>
      </w:r>
      <w:r w:rsidRPr="00471FD1">
        <w:rPr>
          <w:rFonts w:ascii="Arial" w:hAnsi="Arial" w:cs="Arial"/>
          <w:i/>
          <w:iCs/>
          <w:noProof/>
        </w:rPr>
        <w:t>7</w:t>
      </w:r>
      <w:r w:rsidRPr="00471FD1">
        <w:rPr>
          <w:rFonts w:ascii="Arial" w:hAnsi="Arial" w:cs="Arial"/>
          <w:noProof/>
        </w:rPr>
        <w:t>(6). https://doi.org/10.47191/ijcsrr/V7-i6-102</w:t>
      </w:r>
    </w:p>
    <w:p w14:paraId="47855228"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John, O. D., Sganzerla, W. G., Priscilla, A., Bok, C. Y., Noah, R., Walemba, E. M., &amp; Mushunje, A. T. (2026). Exploring betacyanins : characteristics , extractions , bioavailability , and bioactive potentials. </w:t>
      </w:r>
      <w:r w:rsidRPr="00471FD1">
        <w:rPr>
          <w:rFonts w:ascii="Arial" w:hAnsi="Arial" w:cs="Arial"/>
          <w:i/>
          <w:iCs/>
          <w:noProof/>
        </w:rPr>
        <w:t>Exploration of Foods and Foodomics</w:t>
      </w:r>
      <w:r w:rsidRPr="00471FD1">
        <w:rPr>
          <w:rFonts w:ascii="Arial" w:hAnsi="Arial" w:cs="Arial"/>
          <w:noProof/>
        </w:rPr>
        <w:t xml:space="preserve">, </w:t>
      </w:r>
      <w:r w:rsidRPr="00471FD1">
        <w:rPr>
          <w:rFonts w:ascii="Arial" w:hAnsi="Arial" w:cs="Arial"/>
          <w:i/>
          <w:iCs/>
          <w:noProof/>
        </w:rPr>
        <w:t>4</w:t>
      </w:r>
      <w:r w:rsidRPr="00471FD1">
        <w:rPr>
          <w:rFonts w:ascii="Arial" w:hAnsi="Arial" w:cs="Arial"/>
          <w:noProof/>
        </w:rPr>
        <w:t>, 1–42. https://doi.org/10.37349/eff.2026.1010118</w:t>
      </w:r>
    </w:p>
    <w:p w14:paraId="60ADA032"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kaygusuzoglu, E., Caglayan, C., Kandemir, F. M., Yıldırım, S., Kucukler, S., Kılınc, M. A., &amp; Saglam, Y. S. (2018). Zingerone ameliorates cisplatin</w:t>
      </w:r>
      <w:r w:rsidRPr="00471FD1">
        <w:rPr>
          <w:rFonts w:ascii="Cambria Math" w:hAnsi="Cambria Math" w:cs="Cambria Math"/>
          <w:noProof/>
        </w:rPr>
        <w:t>‐</w:t>
      </w:r>
      <w:r w:rsidRPr="00471FD1">
        <w:rPr>
          <w:rFonts w:ascii="Arial" w:hAnsi="Arial" w:cs="Arial"/>
          <w:noProof/>
        </w:rPr>
        <w:t xml:space="preserve">induced ovarian and uterine toxicity via suppression of sex hormone imbalances, oxidative stress, inflammation and apoptosis in female wistar rats. </w:t>
      </w:r>
      <w:r w:rsidRPr="00471FD1">
        <w:rPr>
          <w:rFonts w:ascii="Arial" w:hAnsi="Arial" w:cs="Arial"/>
          <w:i/>
          <w:iCs/>
          <w:noProof/>
        </w:rPr>
        <w:t>Biomedicine and Pharmacotherapy</w:t>
      </w:r>
      <w:r w:rsidRPr="00471FD1">
        <w:rPr>
          <w:rFonts w:ascii="Arial" w:hAnsi="Arial" w:cs="Arial"/>
          <w:noProof/>
        </w:rPr>
        <w:t xml:space="preserve">, </w:t>
      </w:r>
      <w:r w:rsidRPr="00471FD1">
        <w:rPr>
          <w:rFonts w:ascii="Arial" w:hAnsi="Arial" w:cs="Arial"/>
          <w:i/>
          <w:iCs/>
          <w:noProof/>
        </w:rPr>
        <w:t>102</w:t>
      </w:r>
      <w:r w:rsidRPr="00471FD1">
        <w:rPr>
          <w:rFonts w:ascii="Arial" w:hAnsi="Arial" w:cs="Arial"/>
          <w:noProof/>
        </w:rPr>
        <w:t>, 517–530. https://doi.org/10.1016/j.biopha.2018.03.119</w:t>
      </w:r>
    </w:p>
    <w:p w14:paraId="7FE78BEE"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Kolaka, L., &amp; Sirih, M. (2025). Efectiveness of dragon fruit extract (Hylocereus polyrhizus) on the number of granulosa cells of female white rats (Rattus norvegicus). </w:t>
      </w:r>
      <w:r w:rsidRPr="00471FD1">
        <w:rPr>
          <w:rFonts w:ascii="Arial" w:hAnsi="Arial" w:cs="Arial"/>
          <w:i/>
          <w:iCs/>
          <w:noProof/>
        </w:rPr>
        <w:t>AMPIBI: Jurnal Alumni Pendidikan Biologi</w:t>
      </w:r>
      <w:r w:rsidRPr="00471FD1">
        <w:rPr>
          <w:rFonts w:ascii="Arial" w:hAnsi="Arial" w:cs="Arial"/>
          <w:noProof/>
        </w:rPr>
        <w:t xml:space="preserve">, </w:t>
      </w:r>
      <w:r w:rsidRPr="00471FD1">
        <w:rPr>
          <w:rFonts w:ascii="Arial" w:hAnsi="Arial" w:cs="Arial"/>
          <w:i/>
          <w:iCs/>
          <w:noProof/>
        </w:rPr>
        <w:t>10</w:t>
      </w:r>
      <w:r w:rsidRPr="00471FD1">
        <w:rPr>
          <w:rFonts w:ascii="Arial" w:hAnsi="Arial" w:cs="Arial"/>
          <w:noProof/>
        </w:rPr>
        <w:t>(3), 1–6. https://doi.org/10.36709/ampibi.v10i3.360</w:t>
      </w:r>
    </w:p>
    <w:p w14:paraId="70F02DA2"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Lim, T. W., Lim, R. L. H., Pui, L. P., Tan, C. P., &amp; Ho, C. W. (2024a). Studies on the antioxidant mechanisms of betacyanins from improved fermented red dragon fruit (Hylocereus polyrhizus) drink in HepG2 cells. </w:t>
      </w:r>
      <w:r w:rsidRPr="00471FD1">
        <w:rPr>
          <w:rFonts w:ascii="Arial" w:hAnsi="Arial" w:cs="Arial"/>
          <w:i/>
          <w:iCs/>
          <w:noProof/>
        </w:rPr>
        <w:t>Sustainable Materials and Technologies</w:t>
      </w:r>
      <w:r w:rsidRPr="00471FD1">
        <w:rPr>
          <w:rFonts w:ascii="Arial" w:hAnsi="Arial" w:cs="Arial"/>
          <w:noProof/>
        </w:rPr>
        <w:t xml:space="preserve">, </w:t>
      </w:r>
      <w:r w:rsidRPr="00471FD1">
        <w:rPr>
          <w:rFonts w:ascii="Arial" w:hAnsi="Arial" w:cs="Arial"/>
          <w:i/>
          <w:iCs/>
          <w:noProof/>
        </w:rPr>
        <w:t>41</w:t>
      </w:r>
      <w:r w:rsidRPr="00471FD1">
        <w:rPr>
          <w:rFonts w:ascii="Arial" w:hAnsi="Arial" w:cs="Arial"/>
          <w:noProof/>
        </w:rPr>
        <w:t>. https://doi.org/10.1016/j.susmat.2024.e01086</w:t>
      </w:r>
    </w:p>
    <w:p w14:paraId="49138993"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Lim, T. W., Lim, R. L. H., Pui, L. P., Tan, C. P., &amp; Ho, C. W. (2024b). Evaluating the potential of stabilised betacyanins from fermented red dragon fruit (Hylocereus polyrhizus) drink: Sustainable colouration and antioxidant enhancement of stirred yoghurt. </w:t>
      </w:r>
      <w:r w:rsidRPr="00471FD1">
        <w:rPr>
          <w:rFonts w:ascii="Arial" w:hAnsi="Arial" w:cs="Arial"/>
          <w:i/>
          <w:iCs/>
          <w:noProof/>
        </w:rPr>
        <w:t>Future Foods</w:t>
      </w:r>
      <w:r w:rsidRPr="00471FD1">
        <w:rPr>
          <w:rFonts w:ascii="Arial" w:hAnsi="Arial" w:cs="Arial"/>
          <w:noProof/>
        </w:rPr>
        <w:t xml:space="preserve">, </w:t>
      </w:r>
      <w:r w:rsidRPr="00471FD1">
        <w:rPr>
          <w:rFonts w:ascii="Arial" w:hAnsi="Arial" w:cs="Arial"/>
          <w:i/>
          <w:iCs/>
          <w:noProof/>
        </w:rPr>
        <w:t>10</w:t>
      </w:r>
      <w:r w:rsidRPr="00471FD1">
        <w:rPr>
          <w:rFonts w:ascii="Arial" w:hAnsi="Arial" w:cs="Arial"/>
          <w:noProof/>
        </w:rPr>
        <w:t>. https://doi.org/10.1016/j.fufo.2024.100452</w:t>
      </w:r>
    </w:p>
    <w:p w14:paraId="0D91B1A2"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Lim, T. W., Lim, R. L. H., Pui, L. P., Tan, C. P., &amp; Ho, C. W. (2026). Improving betacyanins stability by sustainable application of xanthan gum, CMC and citric acid in fermented red dragon fruit drink: Long-term storage, bio-accessibility and antioxidant activity. </w:t>
      </w:r>
      <w:r w:rsidRPr="00471FD1">
        <w:rPr>
          <w:rFonts w:ascii="Arial" w:hAnsi="Arial" w:cs="Arial"/>
          <w:i/>
          <w:iCs/>
          <w:noProof/>
        </w:rPr>
        <w:t xml:space="preserve">Food and </w:t>
      </w:r>
      <w:r w:rsidRPr="00471FD1">
        <w:rPr>
          <w:rFonts w:ascii="Arial" w:hAnsi="Arial" w:cs="Arial"/>
          <w:i/>
          <w:iCs/>
          <w:noProof/>
        </w:rPr>
        <w:lastRenderedPageBreak/>
        <w:t>Bioproducts Processing</w:t>
      </w:r>
      <w:r w:rsidRPr="00471FD1">
        <w:rPr>
          <w:rFonts w:ascii="Arial" w:hAnsi="Arial" w:cs="Arial"/>
          <w:noProof/>
        </w:rPr>
        <w:t xml:space="preserve">, </w:t>
      </w:r>
      <w:r w:rsidRPr="00471FD1">
        <w:rPr>
          <w:rFonts w:ascii="Arial" w:hAnsi="Arial" w:cs="Arial"/>
          <w:i/>
          <w:iCs/>
          <w:noProof/>
        </w:rPr>
        <w:t>155</w:t>
      </w:r>
      <w:r w:rsidRPr="00471FD1">
        <w:rPr>
          <w:rFonts w:ascii="Arial" w:hAnsi="Arial" w:cs="Arial"/>
          <w:noProof/>
        </w:rPr>
        <w:t>, 157–166. https://doi.org/10.1016/j.fbp.2025.12.008</w:t>
      </w:r>
    </w:p>
    <w:p w14:paraId="2958568A"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Loan, L. T. K., Thao, L. T. N., Vinh, B. T., Mansamut, C., &amp; Tai, N. Van. (2025). Enhancing antioxidant extraction efficiency from red dragon fruit peel by green approach using novel optimization technique. </w:t>
      </w:r>
      <w:r w:rsidRPr="00471FD1">
        <w:rPr>
          <w:rFonts w:ascii="Arial" w:hAnsi="Arial" w:cs="Arial"/>
          <w:i/>
          <w:iCs/>
          <w:noProof/>
        </w:rPr>
        <w:t>Current Research in Green and Sustainable Chemistry</w:t>
      </w:r>
      <w:r w:rsidRPr="00471FD1">
        <w:rPr>
          <w:rFonts w:ascii="Arial" w:hAnsi="Arial" w:cs="Arial"/>
          <w:noProof/>
        </w:rPr>
        <w:t xml:space="preserve">, </w:t>
      </w:r>
      <w:r w:rsidRPr="00471FD1">
        <w:rPr>
          <w:rFonts w:ascii="Arial" w:hAnsi="Arial" w:cs="Arial"/>
          <w:i/>
          <w:iCs/>
          <w:noProof/>
        </w:rPr>
        <w:t>11</w:t>
      </w:r>
      <w:r w:rsidRPr="00471FD1">
        <w:rPr>
          <w:rFonts w:ascii="Arial" w:hAnsi="Arial" w:cs="Arial"/>
          <w:noProof/>
        </w:rPr>
        <w:t>. https://doi.org/10.1016/j.crgsc.2025.100474</w:t>
      </w:r>
    </w:p>
    <w:p w14:paraId="3CFCB8EF"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Lulan, T. Y. K., Fatmawati, S., Santoso, M., &amp; Ersam, T. (2020). α-VINIFERIN as a potential antidiabetic and antiplasmodial extracted from Dipterocarpus littoralis. </w:t>
      </w:r>
      <w:r w:rsidRPr="00471FD1">
        <w:rPr>
          <w:rFonts w:ascii="Arial" w:hAnsi="Arial" w:cs="Arial"/>
          <w:i/>
          <w:iCs/>
          <w:noProof/>
        </w:rPr>
        <w:t>Heliyon</w:t>
      </w:r>
      <w:r w:rsidRPr="00471FD1">
        <w:rPr>
          <w:rFonts w:ascii="Arial" w:hAnsi="Arial" w:cs="Arial"/>
          <w:noProof/>
        </w:rPr>
        <w:t xml:space="preserve">, </w:t>
      </w:r>
      <w:r w:rsidRPr="00471FD1">
        <w:rPr>
          <w:rFonts w:ascii="Arial" w:hAnsi="Arial" w:cs="Arial"/>
          <w:i/>
          <w:iCs/>
          <w:noProof/>
        </w:rPr>
        <w:t>6</w:t>
      </w:r>
      <w:r w:rsidRPr="00471FD1">
        <w:rPr>
          <w:rFonts w:ascii="Arial" w:hAnsi="Arial" w:cs="Arial"/>
          <w:noProof/>
        </w:rPr>
        <w:t>(5), e04102. https://doi.org/10.1016/j.heliyon.2020.e04102</w:t>
      </w:r>
    </w:p>
    <w:p w14:paraId="464F89A2"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Martínez-Rodríguez, P., Guerrero-Rubio, M. A., Henarejos-Escudero, P., García-Carmona, F., &amp; Gandía-Herrero, F. (2022). Health-promoting potential of betalains in vivo and their relevance as functional ingredients: A review. </w:t>
      </w:r>
      <w:r w:rsidRPr="00471FD1">
        <w:rPr>
          <w:rFonts w:ascii="Arial" w:hAnsi="Arial" w:cs="Arial"/>
          <w:i/>
          <w:iCs/>
          <w:noProof/>
        </w:rPr>
        <w:t>Trends in Food Science and Technology</w:t>
      </w:r>
      <w:r w:rsidRPr="00471FD1">
        <w:rPr>
          <w:rFonts w:ascii="Arial" w:hAnsi="Arial" w:cs="Arial"/>
          <w:noProof/>
        </w:rPr>
        <w:t xml:space="preserve">, </w:t>
      </w:r>
      <w:r w:rsidRPr="00471FD1">
        <w:rPr>
          <w:rFonts w:ascii="Arial" w:hAnsi="Arial" w:cs="Arial"/>
          <w:i/>
          <w:iCs/>
          <w:noProof/>
        </w:rPr>
        <w:t>122</w:t>
      </w:r>
      <w:r w:rsidRPr="00471FD1">
        <w:rPr>
          <w:rFonts w:ascii="Arial" w:hAnsi="Arial" w:cs="Arial"/>
          <w:noProof/>
        </w:rPr>
        <w:t>(January), 66–82. https://doi.org/10.1016/j.tifs.2022.02.020</w:t>
      </w:r>
    </w:p>
    <w:p w14:paraId="745FD966"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Mondol, M. S. A., Akbar, U., Mandal, O., Rani, A., Dar, A. H., Chatterjee, A., &amp; Abdi, G. (2025). Advances in agronomic practices, postharvest technologies, and medicinal potential of dragon fruit (Hylocereus spp.): A comprehensive updated review. In </w:t>
      </w:r>
      <w:r w:rsidRPr="00471FD1">
        <w:rPr>
          <w:rFonts w:ascii="Arial" w:hAnsi="Arial" w:cs="Arial"/>
          <w:i/>
          <w:iCs/>
          <w:noProof/>
        </w:rPr>
        <w:t>Journal of Agriculture and Food Research</w:t>
      </w:r>
      <w:r w:rsidRPr="00471FD1">
        <w:rPr>
          <w:rFonts w:ascii="Arial" w:hAnsi="Arial" w:cs="Arial"/>
          <w:noProof/>
        </w:rPr>
        <w:t xml:space="preserve"> (Vol. 22). Elsevier B.V. https://doi.org/10.1016/j.jafr.2025.102157</w:t>
      </w:r>
    </w:p>
    <w:p w14:paraId="1C241E2F"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Nirmal, N. P., Medhe, S., Dahal, M., Koirala, P., Nirmal, S., Al-Asmari, F., &amp; Xu, B. (2024). Betalains protect various body organs through antioxidant and anti-inflammatory pathways. </w:t>
      </w:r>
      <w:r w:rsidRPr="00471FD1">
        <w:rPr>
          <w:rFonts w:ascii="Arial" w:hAnsi="Arial" w:cs="Arial"/>
          <w:i/>
          <w:iCs/>
          <w:noProof/>
        </w:rPr>
        <w:t>Food Science and Human Wellness</w:t>
      </w:r>
      <w:r w:rsidRPr="00471FD1">
        <w:rPr>
          <w:rFonts w:ascii="Arial" w:hAnsi="Arial" w:cs="Arial"/>
          <w:noProof/>
        </w:rPr>
        <w:t xml:space="preserve">, </w:t>
      </w:r>
      <w:r w:rsidRPr="00471FD1">
        <w:rPr>
          <w:rFonts w:ascii="Arial" w:hAnsi="Arial" w:cs="Arial"/>
          <w:i/>
          <w:iCs/>
          <w:noProof/>
        </w:rPr>
        <w:t>13</w:t>
      </w:r>
      <w:r w:rsidRPr="00471FD1">
        <w:rPr>
          <w:rFonts w:ascii="Arial" w:hAnsi="Arial" w:cs="Arial"/>
          <w:noProof/>
        </w:rPr>
        <w:t>(3), 1109–1117. https://doi.org/10.26599/FSHW.2022.9250093</w:t>
      </w:r>
    </w:p>
    <w:p w14:paraId="30A6BBEE"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Nithya, C., Sudheer, S., Abdullah, S., &amp; Lakshmi, E. J. (2025). Enhancing juice yield and bioactive compounds in red dragon fruit juice through pulsed electric field and ultrasonic pre-treatments: process optimization and comparative evaluation. </w:t>
      </w:r>
      <w:r w:rsidRPr="00471FD1">
        <w:rPr>
          <w:rFonts w:ascii="Arial" w:hAnsi="Arial" w:cs="Arial"/>
          <w:i/>
          <w:iCs/>
          <w:noProof/>
        </w:rPr>
        <w:t>Food Chemistry</w:t>
      </w:r>
      <w:r w:rsidRPr="00471FD1">
        <w:rPr>
          <w:rFonts w:ascii="Arial" w:hAnsi="Arial" w:cs="Arial"/>
          <w:noProof/>
        </w:rPr>
        <w:t xml:space="preserve">, </w:t>
      </w:r>
      <w:r w:rsidRPr="00471FD1">
        <w:rPr>
          <w:rFonts w:ascii="Arial" w:hAnsi="Arial" w:cs="Arial"/>
          <w:i/>
          <w:iCs/>
          <w:noProof/>
        </w:rPr>
        <w:t>496</w:t>
      </w:r>
      <w:r w:rsidRPr="00471FD1">
        <w:rPr>
          <w:rFonts w:ascii="Arial" w:hAnsi="Arial" w:cs="Arial"/>
          <w:noProof/>
        </w:rPr>
        <w:t>. https://doi.org/10.1016/j.foodchem.2025.146709</w:t>
      </w:r>
    </w:p>
    <w:p w14:paraId="07845E8C"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Oyshi, S. A., Jahan, R. A., Aktar, F., Sultan, M. Z., Chowdhury, A. A., Chowdhury, J. A., Kabir, S., &amp; Amran, M. S. (2025). Preparation and evaluation of the biosynthetic procedure of iron oxide and magnesium oxide nanoparticles using Hylocereus undatus fruit peel extract and their anticancer properties. </w:t>
      </w:r>
      <w:r w:rsidRPr="00471FD1">
        <w:rPr>
          <w:rFonts w:ascii="Arial" w:hAnsi="Arial" w:cs="Arial"/>
          <w:i/>
          <w:iCs/>
          <w:noProof/>
        </w:rPr>
        <w:t>RSC Advances</w:t>
      </w:r>
      <w:r w:rsidRPr="00471FD1">
        <w:rPr>
          <w:rFonts w:ascii="Arial" w:hAnsi="Arial" w:cs="Arial"/>
          <w:noProof/>
        </w:rPr>
        <w:t xml:space="preserve">, </w:t>
      </w:r>
      <w:r w:rsidRPr="00471FD1">
        <w:rPr>
          <w:rFonts w:ascii="Arial" w:hAnsi="Arial" w:cs="Arial"/>
          <w:i/>
          <w:iCs/>
          <w:noProof/>
        </w:rPr>
        <w:t>15</w:t>
      </w:r>
      <w:r w:rsidRPr="00471FD1">
        <w:rPr>
          <w:rFonts w:ascii="Arial" w:hAnsi="Arial" w:cs="Arial"/>
          <w:noProof/>
        </w:rPr>
        <w:t>(19), 15366–15374. https://doi.org/10.1039/d4ra07411d</w:t>
      </w:r>
    </w:p>
    <w:p w14:paraId="7C2BE677"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Riba, N., Singh, M. K., Rai, D. C., &amp; Lal, S. (2025). Bioactive profiling of valorized yoghurt incorporated with dragon fruit peel powder using LC-MS metabolomics. </w:t>
      </w:r>
      <w:r w:rsidRPr="00471FD1">
        <w:rPr>
          <w:rFonts w:ascii="Arial" w:hAnsi="Arial" w:cs="Arial"/>
          <w:i/>
          <w:iCs/>
          <w:noProof/>
        </w:rPr>
        <w:t>Food Chemistry Advances</w:t>
      </w:r>
      <w:r w:rsidRPr="00471FD1">
        <w:rPr>
          <w:rFonts w:ascii="Arial" w:hAnsi="Arial" w:cs="Arial"/>
          <w:noProof/>
        </w:rPr>
        <w:t xml:space="preserve">, </w:t>
      </w:r>
      <w:r w:rsidRPr="00471FD1">
        <w:rPr>
          <w:rFonts w:ascii="Arial" w:hAnsi="Arial" w:cs="Arial"/>
          <w:i/>
          <w:iCs/>
          <w:noProof/>
        </w:rPr>
        <w:t>9</w:t>
      </w:r>
      <w:r w:rsidRPr="00471FD1">
        <w:rPr>
          <w:rFonts w:ascii="Arial" w:hAnsi="Arial" w:cs="Arial"/>
          <w:noProof/>
        </w:rPr>
        <w:t>. https://doi.org/10.1016/j.focha.2025.101156</w:t>
      </w:r>
    </w:p>
    <w:p w14:paraId="3B35599E"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Rindi Antina, R., Hendarto, H., &amp; Widjiati. (2017). Ekstrak etanol moringa oleifera lam terhadap folikulogenesis pada mencit model endometriosis. In </w:t>
      </w:r>
      <w:r w:rsidRPr="00471FD1">
        <w:rPr>
          <w:rFonts w:ascii="Arial" w:hAnsi="Arial" w:cs="Arial"/>
          <w:i/>
          <w:iCs/>
          <w:noProof/>
        </w:rPr>
        <w:t>Jurnal Biosains Pascasarjana</w:t>
      </w:r>
      <w:r w:rsidRPr="00471FD1">
        <w:rPr>
          <w:rFonts w:ascii="Arial" w:hAnsi="Arial" w:cs="Arial"/>
          <w:noProof/>
        </w:rPr>
        <w:t xml:space="preserve"> (Vol. 19, Issue 3).</w:t>
      </w:r>
    </w:p>
    <w:p w14:paraId="08BBDBF1"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Rosenfield, R. L., &amp; Ehrmann, D. A. (2016). The Pathogenesis of Polycystic Ovary Syndrome (PCOS): The hypothesis of PCOS as functional ovarian hyperandrogenism revisited. </w:t>
      </w:r>
      <w:r w:rsidRPr="00471FD1">
        <w:rPr>
          <w:rFonts w:ascii="Arial" w:hAnsi="Arial" w:cs="Arial"/>
          <w:i/>
          <w:iCs/>
          <w:noProof/>
        </w:rPr>
        <w:t>Endocrine Reviews</w:t>
      </w:r>
      <w:r w:rsidRPr="00471FD1">
        <w:rPr>
          <w:rFonts w:ascii="Arial" w:hAnsi="Arial" w:cs="Arial"/>
          <w:noProof/>
        </w:rPr>
        <w:t xml:space="preserve">, </w:t>
      </w:r>
      <w:r w:rsidRPr="00471FD1">
        <w:rPr>
          <w:rFonts w:ascii="Arial" w:hAnsi="Arial" w:cs="Arial"/>
          <w:i/>
          <w:iCs/>
          <w:noProof/>
        </w:rPr>
        <w:t>37</w:t>
      </w:r>
      <w:r w:rsidRPr="00471FD1">
        <w:rPr>
          <w:rFonts w:ascii="Arial" w:hAnsi="Arial" w:cs="Arial"/>
          <w:noProof/>
        </w:rPr>
        <w:t>(5), 467–520. https://doi.org/10.1210/er.2015-1104</w:t>
      </w:r>
    </w:p>
    <w:p w14:paraId="29F1625A"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Sadimantara, M. S., Asranudin, Sadimantara, F. N., Sakir, &amp; Suwarjoyowirayatno, R. (2018). Karakteristik Organoleptik, Sifat Kimia dan Aktivitas Antioksidan Teh Formulasi Daun Kakao dan Kayu Manis. </w:t>
      </w:r>
      <w:r w:rsidRPr="00471FD1">
        <w:rPr>
          <w:rFonts w:ascii="Arial" w:hAnsi="Arial" w:cs="Arial"/>
          <w:i/>
          <w:iCs/>
          <w:noProof/>
        </w:rPr>
        <w:t>J. Sains Dan Teknologi Pangan</w:t>
      </w:r>
      <w:r w:rsidRPr="00471FD1">
        <w:rPr>
          <w:rFonts w:ascii="Arial" w:hAnsi="Arial" w:cs="Arial"/>
          <w:noProof/>
        </w:rPr>
        <w:t xml:space="preserve">, </w:t>
      </w:r>
      <w:r w:rsidRPr="00471FD1">
        <w:rPr>
          <w:rFonts w:ascii="Arial" w:hAnsi="Arial" w:cs="Arial"/>
          <w:i/>
          <w:iCs/>
          <w:noProof/>
        </w:rPr>
        <w:t>3</w:t>
      </w:r>
      <w:r w:rsidRPr="00471FD1">
        <w:rPr>
          <w:rFonts w:ascii="Arial" w:hAnsi="Arial" w:cs="Arial"/>
          <w:noProof/>
        </w:rPr>
        <w:t>(5), 1702–1712.</w:t>
      </w:r>
    </w:p>
    <w:p w14:paraId="2C56DA35"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Salem, Z., Zermane, F., Cheknane, B., Chader, H., Djellouli, S., Touzout, N., El-Beltagi, H. S., Al-Dossary, O., Alsubaie, B., Rezk, A. A., Ismail, A. M., &amp; Elmenofy, W. (2026). Phytochemical characterization and female fertility-enhancing potential of ajugaiva (L.) extract: insights from in vivo and toxicological studies. </w:t>
      </w:r>
      <w:r w:rsidRPr="00471FD1">
        <w:rPr>
          <w:rFonts w:ascii="Arial" w:hAnsi="Arial" w:cs="Arial"/>
          <w:i/>
          <w:iCs/>
          <w:noProof/>
        </w:rPr>
        <w:t xml:space="preserve">Bulletin of the Chemical Society </w:t>
      </w:r>
      <w:r w:rsidRPr="00471FD1">
        <w:rPr>
          <w:rFonts w:ascii="Arial" w:hAnsi="Arial" w:cs="Arial"/>
          <w:i/>
          <w:iCs/>
          <w:noProof/>
        </w:rPr>
        <w:lastRenderedPageBreak/>
        <w:t>of Ethiopia</w:t>
      </w:r>
      <w:r w:rsidRPr="00471FD1">
        <w:rPr>
          <w:rFonts w:ascii="Arial" w:hAnsi="Arial" w:cs="Arial"/>
          <w:noProof/>
        </w:rPr>
        <w:t xml:space="preserve">, </w:t>
      </w:r>
      <w:r w:rsidRPr="00471FD1">
        <w:rPr>
          <w:rFonts w:ascii="Arial" w:hAnsi="Arial" w:cs="Arial"/>
          <w:i/>
          <w:iCs/>
          <w:noProof/>
        </w:rPr>
        <w:t>40</w:t>
      </w:r>
      <w:r w:rsidRPr="00471FD1">
        <w:rPr>
          <w:rFonts w:ascii="Arial" w:hAnsi="Arial" w:cs="Arial"/>
          <w:noProof/>
        </w:rPr>
        <w:t>(3), 501–517. https://doi.org/10.4314/bcse.v40i3.2</w:t>
      </w:r>
    </w:p>
    <w:p w14:paraId="1AFDEFFC"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Shen, M., Li, T., Feng, Y., Wu, P., Serrano, B. R., Barcenas, A. R., Qu, L., &amp; Zhao, W. (2023). Effects of quercetin on granulosa cells from prehierarchical follicles by modulating MAPK signaling pathway in chicken. </w:t>
      </w:r>
      <w:r w:rsidRPr="00471FD1">
        <w:rPr>
          <w:rFonts w:ascii="Arial" w:hAnsi="Arial" w:cs="Arial"/>
          <w:i/>
          <w:iCs/>
          <w:noProof/>
        </w:rPr>
        <w:t>Poultry Science</w:t>
      </w:r>
      <w:r w:rsidRPr="00471FD1">
        <w:rPr>
          <w:rFonts w:ascii="Arial" w:hAnsi="Arial" w:cs="Arial"/>
          <w:noProof/>
        </w:rPr>
        <w:t xml:space="preserve">, </w:t>
      </w:r>
      <w:r w:rsidRPr="00471FD1">
        <w:rPr>
          <w:rFonts w:ascii="Arial" w:hAnsi="Arial" w:cs="Arial"/>
          <w:i/>
          <w:iCs/>
          <w:noProof/>
        </w:rPr>
        <w:t>102</w:t>
      </w:r>
      <w:r w:rsidRPr="00471FD1">
        <w:rPr>
          <w:rFonts w:ascii="Arial" w:hAnsi="Arial" w:cs="Arial"/>
          <w:noProof/>
        </w:rPr>
        <w:t>(7). https://doi.org/10.1016/j.psj.2023.102736</w:t>
      </w:r>
    </w:p>
    <w:p w14:paraId="1AEC4A06"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Som, A. M., Ahmat, N., Amani, H., Hamid, A., Azizuddin, N., &amp; Alam, P. (2019). A comparative study on foliage and peels of Hylocereus undatus (white dragon fruit) regarding their antioxidant activity and phenolic content. </w:t>
      </w:r>
      <w:r w:rsidRPr="00471FD1">
        <w:rPr>
          <w:rFonts w:ascii="Arial" w:hAnsi="Arial" w:cs="Arial"/>
          <w:i/>
          <w:iCs/>
          <w:noProof/>
        </w:rPr>
        <w:t>Heliyon</w:t>
      </w:r>
      <w:r w:rsidRPr="00471FD1">
        <w:rPr>
          <w:rFonts w:ascii="Arial" w:hAnsi="Arial" w:cs="Arial"/>
          <w:noProof/>
        </w:rPr>
        <w:t xml:space="preserve">, </w:t>
      </w:r>
      <w:r w:rsidRPr="00471FD1">
        <w:rPr>
          <w:rFonts w:ascii="Arial" w:hAnsi="Arial" w:cs="Arial"/>
          <w:i/>
          <w:iCs/>
          <w:noProof/>
        </w:rPr>
        <w:t>01244</w:t>
      </w:r>
      <w:r w:rsidRPr="00471FD1">
        <w:rPr>
          <w:rFonts w:ascii="Arial" w:hAnsi="Arial" w:cs="Arial"/>
          <w:noProof/>
        </w:rPr>
        <w:t>, 1–13. https://doi.org/10.1016/j.heliyon.2019</w:t>
      </w:r>
    </w:p>
    <w:p w14:paraId="75E099D9"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Ştefănescu, C., Voştinaru, O., Mogoşan, C., Crişan, G., &amp; Balica, G. (2025). The Neuroprotective Potential of Betalains: A Focused Review. </w:t>
      </w:r>
      <w:r w:rsidRPr="00471FD1">
        <w:rPr>
          <w:rFonts w:ascii="Arial" w:hAnsi="Arial" w:cs="Arial"/>
          <w:i/>
          <w:iCs/>
          <w:noProof/>
        </w:rPr>
        <w:t>Plants</w:t>
      </w:r>
      <w:r w:rsidRPr="00471FD1">
        <w:rPr>
          <w:rFonts w:ascii="Arial" w:hAnsi="Arial" w:cs="Arial"/>
          <w:noProof/>
        </w:rPr>
        <w:t xml:space="preserve">, </w:t>
      </w:r>
      <w:r w:rsidRPr="00471FD1">
        <w:rPr>
          <w:rFonts w:ascii="Arial" w:hAnsi="Arial" w:cs="Arial"/>
          <w:i/>
          <w:iCs/>
          <w:noProof/>
        </w:rPr>
        <w:t>14</w:t>
      </w:r>
      <w:r w:rsidRPr="00471FD1">
        <w:rPr>
          <w:rFonts w:ascii="Arial" w:hAnsi="Arial" w:cs="Arial"/>
          <w:noProof/>
        </w:rPr>
        <w:t>(7), 1–19. https://doi.org/10.3390/plants14070994</w:t>
      </w:r>
    </w:p>
    <w:p w14:paraId="447B1996"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Suraweera, T. L., Vasantha Rupasinghe, H. P., Dellaire, G., &amp; Xu, Z. (2020). Regulation of Nrf2/are pathway by dietary flavonoids: A friend or foe for cancer management? In </w:t>
      </w:r>
      <w:r w:rsidRPr="00471FD1">
        <w:rPr>
          <w:rFonts w:ascii="Arial" w:hAnsi="Arial" w:cs="Arial"/>
          <w:i/>
          <w:iCs/>
          <w:noProof/>
        </w:rPr>
        <w:t>Antioxidants</w:t>
      </w:r>
      <w:r w:rsidRPr="00471FD1">
        <w:rPr>
          <w:rFonts w:ascii="Arial" w:hAnsi="Arial" w:cs="Arial"/>
          <w:noProof/>
        </w:rPr>
        <w:t xml:space="preserve"> (Vol. 9, Issue 10). https://doi.org/10.3390/antiox9100973</w:t>
      </w:r>
    </w:p>
    <w:p w14:paraId="41915DCB"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Thirugnanasambandham, K., &amp; Sivakumar, V. (2017). Microwave assisted extraction process of betalain from dragon fruit and its antioxidant activities. </w:t>
      </w:r>
      <w:r w:rsidRPr="00471FD1">
        <w:rPr>
          <w:rFonts w:ascii="Arial" w:hAnsi="Arial" w:cs="Arial"/>
          <w:i/>
          <w:iCs/>
          <w:noProof/>
        </w:rPr>
        <w:t>Journal of the Saudi Society of Agricultural Sciences</w:t>
      </w:r>
      <w:r w:rsidRPr="00471FD1">
        <w:rPr>
          <w:rFonts w:ascii="Arial" w:hAnsi="Arial" w:cs="Arial"/>
          <w:noProof/>
        </w:rPr>
        <w:t xml:space="preserve">, </w:t>
      </w:r>
      <w:r w:rsidRPr="00471FD1">
        <w:rPr>
          <w:rFonts w:ascii="Arial" w:hAnsi="Arial" w:cs="Arial"/>
          <w:i/>
          <w:iCs/>
          <w:noProof/>
        </w:rPr>
        <w:t>16</w:t>
      </w:r>
      <w:r w:rsidRPr="00471FD1">
        <w:rPr>
          <w:rFonts w:ascii="Arial" w:hAnsi="Arial" w:cs="Arial"/>
          <w:noProof/>
        </w:rPr>
        <w:t>(1), 41–48. https://doi.org/10.1016/j.jssas.2015.02.001</w:t>
      </w:r>
    </w:p>
    <w:p w14:paraId="00C80779"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Wong, F., Sugiritama, W., Ayu, G., Ratnayanti, D., Ayu, I., Wahyuniari, I., Nyoman, G., Wiryawan, S., Studi, P., Kedokteran, S., Dokter, D. P., Kedokteran, F., &amp; Udayana, U. (2023). Efek pemberian kulit buah naga merah (Hylocereus polyrhizus) terhadap tebal endometrium dan miometrium tikus model menopause. </w:t>
      </w:r>
      <w:r w:rsidRPr="00471FD1">
        <w:rPr>
          <w:rFonts w:ascii="Arial" w:hAnsi="Arial" w:cs="Arial"/>
          <w:i/>
          <w:iCs/>
          <w:noProof/>
        </w:rPr>
        <w:t>Jurnal Medika Udayana</w:t>
      </w:r>
      <w:r w:rsidRPr="00471FD1">
        <w:rPr>
          <w:rFonts w:ascii="Arial" w:hAnsi="Arial" w:cs="Arial"/>
          <w:noProof/>
        </w:rPr>
        <w:t xml:space="preserve">, </w:t>
      </w:r>
      <w:r w:rsidRPr="00471FD1">
        <w:rPr>
          <w:rFonts w:ascii="Arial" w:hAnsi="Arial" w:cs="Arial"/>
          <w:i/>
          <w:iCs/>
          <w:noProof/>
        </w:rPr>
        <w:t>12</w:t>
      </w:r>
      <w:r w:rsidRPr="00471FD1">
        <w:rPr>
          <w:rFonts w:ascii="Arial" w:hAnsi="Arial" w:cs="Arial"/>
          <w:noProof/>
        </w:rPr>
        <w:t>(5), 2023. https://doi.org/10.24843.MU.2023.V12.i6.P15</w:t>
      </w:r>
    </w:p>
    <w:p w14:paraId="14D34E74" w14:textId="77777777" w:rsidR="00471FD1" w:rsidRPr="00471FD1" w:rsidRDefault="00471FD1" w:rsidP="00DD1E0A">
      <w:pPr>
        <w:widowControl w:val="0"/>
        <w:autoSpaceDE w:val="0"/>
        <w:autoSpaceDN w:val="0"/>
        <w:adjustRightInd w:val="0"/>
        <w:spacing w:line="276" w:lineRule="auto"/>
        <w:ind w:left="480" w:hanging="480"/>
        <w:jc w:val="both"/>
        <w:rPr>
          <w:rFonts w:ascii="Arial" w:hAnsi="Arial" w:cs="Arial"/>
          <w:noProof/>
        </w:rPr>
      </w:pPr>
      <w:r w:rsidRPr="00471FD1">
        <w:rPr>
          <w:rFonts w:ascii="Arial" w:hAnsi="Arial" w:cs="Arial"/>
          <w:noProof/>
        </w:rPr>
        <w:t xml:space="preserve">Xie, L., Wang, X., Ma, X., Shen, K., Zhang, X., &amp; Wang, X. (2025). Dynamic changes in ROS-antioxidant-metabolite network in dragon fruit infected with Neoscytalidium dimidiatum. </w:t>
      </w:r>
      <w:r w:rsidRPr="00471FD1">
        <w:rPr>
          <w:rFonts w:ascii="Arial" w:hAnsi="Arial" w:cs="Arial"/>
          <w:i/>
          <w:iCs/>
          <w:noProof/>
        </w:rPr>
        <w:t>Food Chemistry: X</w:t>
      </w:r>
      <w:r w:rsidRPr="00471FD1">
        <w:rPr>
          <w:rFonts w:ascii="Arial" w:hAnsi="Arial" w:cs="Arial"/>
          <w:noProof/>
        </w:rPr>
        <w:t xml:space="preserve">, </w:t>
      </w:r>
      <w:r w:rsidRPr="00471FD1">
        <w:rPr>
          <w:rFonts w:ascii="Arial" w:hAnsi="Arial" w:cs="Arial"/>
          <w:i/>
          <w:iCs/>
          <w:noProof/>
        </w:rPr>
        <w:t>30</w:t>
      </w:r>
      <w:r w:rsidRPr="00471FD1">
        <w:rPr>
          <w:rFonts w:ascii="Arial" w:hAnsi="Arial" w:cs="Arial"/>
          <w:noProof/>
        </w:rPr>
        <w:t>. https://doi.org/10.1016/j.fochx.2025.102957</w:t>
      </w:r>
    </w:p>
    <w:p w14:paraId="4EC41335" w14:textId="7FF465EB" w:rsidR="004D4277" w:rsidRPr="0098357A" w:rsidRDefault="00471FD1" w:rsidP="00DD1E0A">
      <w:pPr>
        <w:widowControl w:val="0"/>
        <w:autoSpaceDE w:val="0"/>
        <w:autoSpaceDN w:val="0"/>
        <w:adjustRightInd w:val="0"/>
        <w:spacing w:line="276" w:lineRule="auto"/>
        <w:ind w:left="480" w:hanging="480"/>
        <w:jc w:val="both"/>
        <w:rPr>
          <w:rFonts w:ascii="Arial" w:hAnsi="Arial" w:cs="Arial"/>
          <w:b/>
        </w:rPr>
        <w:sectPr w:rsidR="004D4277" w:rsidRPr="0098357A" w:rsidSect="006672F1">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471FD1">
        <w:rPr>
          <w:rFonts w:ascii="Arial" w:hAnsi="Arial" w:cs="Arial"/>
          <w:noProof/>
        </w:rPr>
        <w:t xml:space="preserve">Zitha, E. Z. M., Magalhães, D. S., do Lago, R. C., Carvalho, E. E. N., Pasqual, M., &amp; de Barros Vilas Boas, E. V. (2022). Changes in the bioactive compounds and antioxidant activity in red-fleshed dragon fruit during its development. </w:t>
      </w:r>
      <w:r w:rsidRPr="00471FD1">
        <w:rPr>
          <w:rFonts w:ascii="Arial" w:hAnsi="Arial" w:cs="Arial"/>
          <w:i/>
          <w:iCs/>
          <w:noProof/>
        </w:rPr>
        <w:t>Scientia Horticulturae</w:t>
      </w:r>
      <w:r w:rsidRPr="00471FD1">
        <w:rPr>
          <w:rFonts w:ascii="Arial" w:hAnsi="Arial" w:cs="Arial"/>
          <w:noProof/>
        </w:rPr>
        <w:t xml:space="preserve">, </w:t>
      </w:r>
      <w:r w:rsidRPr="00471FD1">
        <w:rPr>
          <w:rFonts w:ascii="Arial" w:hAnsi="Arial" w:cs="Arial"/>
          <w:i/>
          <w:iCs/>
          <w:noProof/>
        </w:rPr>
        <w:t>291</w:t>
      </w:r>
      <w:r w:rsidRPr="00471FD1">
        <w:rPr>
          <w:rFonts w:ascii="Arial" w:hAnsi="Arial" w:cs="Arial"/>
          <w:noProof/>
        </w:rPr>
        <w:t>. https://doi.org/10.1016/j.scienta.2021.110611</w:t>
      </w:r>
      <w:r w:rsidRPr="00471FD1">
        <w:rPr>
          <w:rFonts w:ascii="Arial" w:hAnsi="Arial" w:cs="Arial"/>
          <w:b/>
          <w:bCs/>
        </w:rPr>
        <w:fldChar w:fldCharType="end"/>
      </w:r>
    </w:p>
    <w:p w14:paraId="5321BCD8" w14:textId="77777777" w:rsidR="00B01FCD" w:rsidRPr="0098357A" w:rsidRDefault="00B01FCD" w:rsidP="00DD1E0A">
      <w:pPr>
        <w:pStyle w:val="Appendix"/>
        <w:spacing w:after="0" w:line="276" w:lineRule="auto"/>
        <w:jc w:val="both"/>
        <w:rPr>
          <w:rFonts w:ascii="Arial" w:hAnsi="Arial" w:cs="Arial"/>
          <w:b w:val="0"/>
        </w:rPr>
      </w:pPr>
    </w:p>
    <w:sectPr w:rsidR="00B01FCD" w:rsidRPr="0098357A" w:rsidSect="006672F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91A3" w14:textId="77777777" w:rsidR="0049674D" w:rsidRDefault="0049674D" w:rsidP="00C37E61">
      <w:r>
        <w:separator/>
      </w:r>
    </w:p>
  </w:endnote>
  <w:endnote w:type="continuationSeparator" w:id="0">
    <w:p w14:paraId="080BBF80" w14:textId="77777777" w:rsidR="0049674D" w:rsidRDefault="004967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438A" w14:textId="77777777" w:rsidR="006672F1" w:rsidRDefault="00667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9034" w14:textId="77777777" w:rsidR="006672F1" w:rsidRDefault="00667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EB74" w14:textId="2A86FC46" w:rsidR="00754C9A" w:rsidRPr="006672F1" w:rsidRDefault="00754C9A" w:rsidP="006672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059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A906" w14:textId="77777777" w:rsidR="0049674D" w:rsidRDefault="0049674D" w:rsidP="00C37E61">
      <w:r>
        <w:separator/>
      </w:r>
    </w:p>
  </w:footnote>
  <w:footnote w:type="continuationSeparator" w:id="0">
    <w:p w14:paraId="3C5FDF41" w14:textId="77777777" w:rsidR="0049674D" w:rsidRDefault="004967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3E9A" w14:textId="23AC7E32" w:rsidR="006672F1" w:rsidRDefault="00000000">
    <w:pPr>
      <w:pStyle w:val="Header"/>
    </w:pPr>
    <w:r>
      <w:rPr>
        <w:noProof/>
      </w:rPr>
      <w:pict w14:anchorId="4051F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4214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63B9" w14:textId="3F45D7E5" w:rsidR="006672F1" w:rsidRDefault="00000000">
    <w:pPr>
      <w:pStyle w:val="Header"/>
    </w:pPr>
    <w:r>
      <w:rPr>
        <w:noProof/>
      </w:rPr>
      <w:pict w14:anchorId="26DE7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4214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EFBD" w14:textId="258BD036" w:rsidR="00296529" w:rsidRPr="00296529" w:rsidRDefault="00000000" w:rsidP="00296529">
    <w:pPr>
      <w:ind w:left="2160"/>
      <w:jc w:val="center"/>
      <w:rPr>
        <w:rFonts w:ascii="Times New Roman" w:eastAsia="Calibri" w:hAnsi="Times New Roman"/>
        <w:i/>
        <w:sz w:val="18"/>
        <w:szCs w:val="22"/>
      </w:rPr>
    </w:pPr>
    <w:r>
      <w:rPr>
        <w:noProof/>
      </w:rPr>
      <w:pict w14:anchorId="4FDB2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4214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24E1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E1576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E38CB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9966E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0E58E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7588B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D8D6" w14:textId="00206618" w:rsidR="006672F1" w:rsidRDefault="00000000">
    <w:pPr>
      <w:pStyle w:val="Header"/>
    </w:pPr>
    <w:r>
      <w:rPr>
        <w:noProof/>
      </w:rPr>
      <w:pict w14:anchorId="18B55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4214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2A4C" w14:textId="50716D9D" w:rsidR="006672F1" w:rsidRDefault="00000000">
    <w:pPr>
      <w:pStyle w:val="Header"/>
    </w:pPr>
    <w:r>
      <w:rPr>
        <w:noProof/>
      </w:rPr>
      <w:pict w14:anchorId="5DF30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4214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3A99" w14:textId="1489C11C" w:rsidR="006672F1" w:rsidRDefault="00000000">
    <w:pPr>
      <w:pStyle w:val="Header"/>
    </w:pPr>
    <w:r>
      <w:rPr>
        <w:noProof/>
      </w:rPr>
      <w:pict w14:anchorId="340DE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4214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52E50"/>
    <w:multiLevelType w:val="multilevel"/>
    <w:tmpl w:val="E7BCC2E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624258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5655571">
    <w:abstractNumId w:val="16"/>
  </w:num>
  <w:num w:numId="3" w16cid:durableId="321079037">
    <w:abstractNumId w:val="24"/>
  </w:num>
  <w:num w:numId="4" w16cid:durableId="14570899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63359312">
    <w:abstractNumId w:val="7"/>
  </w:num>
  <w:num w:numId="6" w16cid:durableId="1168864675">
    <w:abstractNumId w:val="6"/>
  </w:num>
  <w:num w:numId="7" w16cid:durableId="1518351497">
    <w:abstractNumId w:val="1"/>
  </w:num>
  <w:num w:numId="8" w16cid:durableId="1924139785">
    <w:abstractNumId w:val="13"/>
  </w:num>
  <w:num w:numId="9" w16cid:durableId="937903329">
    <w:abstractNumId w:val="26"/>
  </w:num>
  <w:num w:numId="10" w16cid:durableId="1113938041">
    <w:abstractNumId w:val="2"/>
  </w:num>
  <w:num w:numId="11" w16cid:durableId="1862472744">
    <w:abstractNumId w:val="19"/>
  </w:num>
  <w:num w:numId="12" w16cid:durableId="649362436">
    <w:abstractNumId w:val="3"/>
  </w:num>
  <w:num w:numId="13" w16cid:durableId="591741080">
    <w:abstractNumId w:val="18"/>
  </w:num>
  <w:num w:numId="14" w16cid:durableId="646207657">
    <w:abstractNumId w:val="8"/>
  </w:num>
  <w:num w:numId="15" w16cid:durableId="1320307915">
    <w:abstractNumId w:val="22"/>
  </w:num>
  <w:num w:numId="16" w16cid:durableId="1260406728">
    <w:abstractNumId w:val="5"/>
  </w:num>
  <w:num w:numId="17" w16cid:durableId="481389952">
    <w:abstractNumId w:val="23"/>
  </w:num>
  <w:num w:numId="18" w16cid:durableId="271595682">
    <w:abstractNumId w:val="15"/>
  </w:num>
  <w:num w:numId="19" w16cid:durableId="1482582059">
    <w:abstractNumId w:val="29"/>
  </w:num>
  <w:num w:numId="20" w16cid:durableId="351952491">
    <w:abstractNumId w:val="12"/>
  </w:num>
  <w:num w:numId="21" w16cid:durableId="1264604959">
    <w:abstractNumId w:val="9"/>
  </w:num>
  <w:num w:numId="22" w16cid:durableId="303583926">
    <w:abstractNumId w:val="14"/>
  </w:num>
  <w:num w:numId="23" w16cid:durableId="83841893">
    <w:abstractNumId w:val="20"/>
  </w:num>
  <w:num w:numId="24" w16cid:durableId="213591710">
    <w:abstractNumId w:val="27"/>
  </w:num>
  <w:num w:numId="25" w16cid:durableId="1053775717">
    <w:abstractNumId w:val="4"/>
  </w:num>
  <w:num w:numId="26" w16cid:durableId="1243489597">
    <w:abstractNumId w:val="17"/>
  </w:num>
  <w:num w:numId="27" w16cid:durableId="782923750">
    <w:abstractNumId w:val="21"/>
  </w:num>
  <w:num w:numId="28" w16cid:durableId="862858646">
    <w:abstractNumId w:val="28"/>
  </w:num>
  <w:num w:numId="29" w16cid:durableId="606275966">
    <w:abstractNumId w:val="25"/>
  </w:num>
  <w:num w:numId="30" w16cid:durableId="416562250">
    <w:abstractNumId w:val="10"/>
  </w:num>
  <w:num w:numId="31" w16cid:durableId="2067295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GuidePreference" w:val="-1"/>
  </w:docVars>
  <w:rsids>
    <w:rsidRoot w:val="00AA6219"/>
    <w:rsid w:val="00000F8F"/>
    <w:rsid w:val="00015BCA"/>
    <w:rsid w:val="00030174"/>
    <w:rsid w:val="00036986"/>
    <w:rsid w:val="0004579C"/>
    <w:rsid w:val="00071F36"/>
    <w:rsid w:val="000A47FA"/>
    <w:rsid w:val="000A65D3"/>
    <w:rsid w:val="000B1E33"/>
    <w:rsid w:val="000C78C9"/>
    <w:rsid w:val="000D689F"/>
    <w:rsid w:val="000E7B7B"/>
    <w:rsid w:val="000E7D62"/>
    <w:rsid w:val="00103357"/>
    <w:rsid w:val="001063DD"/>
    <w:rsid w:val="0011597C"/>
    <w:rsid w:val="00123C9F"/>
    <w:rsid w:val="00126190"/>
    <w:rsid w:val="00130F17"/>
    <w:rsid w:val="0013154C"/>
    <w:rsid w:val="001320BF"/>
    <w:rsid w:val="001340C4"/>
    <w:rsid w:val="00163BC4"/>
    <w:rsid w:val="00191062"/>
    <w:rsid w:val="00192B72"/>
    <w:rsid w:val="001A29D8"/>
    <w:rsid w:val="001A4148"/>
    <w:rsid w:val="001A5CAA"/>
    <w:rsid w:val="001B0427"/>
    <w:rsid w:val="001B2E32"/>
    <w:rsid w:val="001D3A51"/>
    <w:rsid w:val="001D5716"/>
    <w:rsid w:val="001E10D2"/>
    <w:rsid w:val="001E2152"/>
    <w:rsid w:val="001E25B4"/>
    <w:rsid w:val="001E44FE"/>
    <w:rsid w:val="001F3758"/>
    <w:rsid w:val="001F4F54"/>
    <w:rsid w:val="00200595"/>
    <w:rsid w:val="00204835"/>
    <w:rsid w:val="002120D5"/>
    <w:rsid w:val="0021717F"/>
    <w:rsid w:val="00231920"/>
    <w:rsid w:val="0023195C"/>
    <w:rsid w:val="0024282C"/>
    <w:rsid w:val="002460DC"/>
    <w:rsid w:val="00250985"/>
    <w:rsid w:val="00254A8E"/>
    <w:rsid w:val="002556F6"/>
    <w:rsid w:val="00283105"/>
    <w:rsid w:val="00284C4C"/>
    <w:rsid w:val="00287E68"/>
    <w:rsid w:val="00296529"/>
    <w:rsid w:val="00296D5F"/>
    <w:rsid w:val="002B27FB"/>
    <w:rsid w:val="002B59A8"/>
    <w:rsid w:val="002B685A"/>
    <w:rsid w:val="002C57D2"/>
    <w:rsid w:val="002E0D56"/>
    <w:rsid w:val="002F57BB"/>
    <w:rsid w:val="00315186"/>
    <w:rsid w:val="0033343E"/>
    <w:rsid w:val="0034077F"/>
    <w:rsid w:val="003512C2"/>
    <w:rsid w:val="00371FB6"/>
    <w:rsid w:val="003763C1"/>
    <w:rsid w:val="00376BBE"/>
    <w:rsid w:val="0039224F"/>
    <w:rsid w:val="003A43A4"/>
    <w:rsid w:val="003A4ABB"/>
    <w:rsid w:val="003A7E18"/>
    <w:rsid w:val="003C4C86"/>
    <w:rsid w:val="003C6258"/>
    <w:rsid w:val="003E2904"/>
    <w:rsid w:val="003E5A24"/>
    <w:rsid w:val="00401927"/>
    <w:rsid w:val="0041027F"/>
    <w:rsid w:val="00412475"/>
    <w:rsid w:val="00423789"/>
    <w:rsid w:val="00437062"/>
    <w:rsid w:val="00440F43"/>
    <w:rsid w:val="00441B6F"/>
    <w:rsid w:val="00446221"/>
    <w:rsid w:val="00450AF8"/>
    <w:rsid w:val="00450E62"/>
    <w:rsid w:val="004539DB"/>
    <w:rsid w:val="00456ED9"/>
    <w:rsid w:val="00467226"/>
    <w:rsid w:val="00471A80"/>
    <w:rsid w:val="00471FD1"/>
    <w:rsid w:val="0049674D"/>
    <w:rsid w:val="004C7813"/>
    <w:rsid w:val="004D305E"/>
    <w:rsid w:val="004D4277"/>
    <w:rsid w:val="00502516"/>
    <w:rsid w:val="00505F06"/>
    <w:rsid w:val="00506828"/>
    <w:rsid w:val="00512133"/>
    <w:rsid w:val="00515D19"/>
    <w:rsid w:val="00526B0B"/>
    <w:rsid w:val="0053056E"/>
    <w:rsid w:val="00554FDA"/>
    <w:rsid w:val="00564C1E"/>
    <w:rsid w:val="005720C3"/>
    <w:rsid w:val="0057465B"/>
    <w:rsid w:val="00581F3A"/>
    <w:rsid w:val="005873FF"/>
    <w:rsid w:val="00587743"/>
    <w:rsid w:val="00591F0D"/>
    <w:rsid w:val="005936DC"/>
    <w:rsid w:val="005967DC"/>
    <w:rsid w:val="005B50EA"/>
    <w:rsid w:val="005C784C"/>
    <w:rsid w:val="005D17F6"/>
    <w:rsid w:val="005D2A55"/>
    <w:rsid w:val="005E19F4"/>
    <w:rsid w:val="005E5539"/>
    <w:rsid w:val="005F4869"/>
    <w:rsid w:val="00602BF5"/>
    <w:rsid w:val="00610942"/>
    <w:rsid w:val="00610991"/>
    <w:rsid w:val="00617FDD"/>
    <w:rsid w:val="00633614"/>
    <w:rsid w:val="00633F68"/>
    <w:rsid w:val="00636EB2"/>
    <w:rsid w:val="006375B8"/>
    <w:rsid w:val="00645B4F"/>
    <w:rsid w:val="00662A23"/>
    <w:rsid w:val="0066510A"/>
    <w:rsid w:val="006672F1"/>
    <w:rsid w:val="00673F9F"/>
    <w:rsid w:val="00686953"/>
    <w:rsid w:val="00687DEA"/>
    <w:rsid w:val="00687E67"/>
    <w:rsid w:val="006967F7"/>
    <w:rsid w:val="006A250C"/>
    <w:rsid w:val="006B1318"/>
    <w:rsid w:val="006B21D3"/>
    <w:rsid w:val="006B57D0"/>
    <w:rsid w:val="006C0214"/>
    <w:rsid w:val="006D30FF"/>
    <w:rsid w:val="006D6940"/>
    <w:rsid w:val="006F11EC"/>
    <w:rsid w:val="0070082C"/>
    <w:rsid w:val="007369E6"/>
    <w:rsid w:val="0074373E"/>
    <w:rsid w:val="00746E59"/>
    <w:rsid w:val="00754C9A"/>
    <w:rsid w:val="0075599A"/>
    <w:rsid w:val="00761D52"/>
    <w:rsid w:val="00766DD9"/>
    <w:rsid w:val="007678F6"/>
    <w:rsid w:val="007771A8"/>
    <w:rsid w:val="0077749E"/>
    <w:rsid w:val="00790ADA"/>
    <w:rsid w:val="0079453A"/>
    <w:rsid w:val="007962FC"/>
    <w:rsid w:val="007A7234"/>
    <w:rsid w:val="007C399D"/>
    <w:rsid w:val="007D2288"/>
    <w:rsid w:val="007E088F"/>
    <w:rsid w:val="007E5575"/>
    <w:rsid w:val="007F7B32"/>
    <w:rsid w:val="00804BC2"/>
    <w:rsid w:val="0081431A"/>
    <w:rsid w:val="00823A07"/>
    <w:rsid w:val="0083216F"/>
    <w:rsid w:val="00856B97"/>
    <w:rsid w:val="00860000"/>
    <w:rsid w:val="00862AB9"/>
    <w:rsid w:val="00863BD3"/>
    <w:rsid w:val="008641ED"/>
    <w:rsid w:val="00866D66"/>
    <w:rsid w:val="008671C6"/>
    <w:rsid w:val="00875803"/>
    <w:rsid w:val="00881EBB"/>
    <w:rsid w:val="00883A32"/>
    <w:rsid w:val="008B459E"/>
    <w:rsid w:val="008B6534"/>
    <w:rsid w:val="008D3DB9"/>
    <w:rsid w:val="008E13AE"/>
    <w:rsid w:val="008E1506"/>
    <w:rsid w:val="008E710C"/>
    <w:rsid w:val="008F69D6"/>
    <w:rsid w:val="00902823"/>
    <w:rsid w:val="00906F9A"/>
    <w:rsid w:val="0091117B"/>
    <w:rsid w:val="00915CA6"/>
    <w:rsid w:val="009172C8"/>
    <w:rsid w:val="009175EA"/>
    <w:rsid w:val="009269D9"/>
    <w:rsid w:val="00927834"/>
    <w:rsid w:val="00946689"/>
    <w:rsid w:val="009500A6"/>
    <w:rsid w:val="00957C18"/>
    <w:rsid w:val="00957D83"/>
    <w:rsid w:val="009659BA"/>
    <w:rsid w:val="00983040"/>
    <w:rsid w:val="0098357A"/>
    <w:rsid w:val="009A3ED2"/>
    <w:rsid w:val="009B3FB9"/>
    <w:rsid w:val="009B635F"/>
    <w:rsid w:val="009C2465"/>
    <w:rsid w:val="009D35A0"/>
    <w:rsid w:val="009D7EB7"/>
    <w:rsid w:val="009E048A"/>
    <w:rsid w:val="009E08E9"/>
    <w:rsid w:val="009E3DB9"/>
    <w:rsid w:val="009E6E2E"/>
    <w:rsid w:val="009E6E35"/>
    <w:rsid w:val="009F0EDA"/>
    <w:rsid w:val="00A03B96"/>
    <w:rsid w:val="00A05B19"/>
    <w:rsid w:val="00A1134E"/>
    <w:rsid w:val="00A201B9"/>
    <w:rsid w:val="00A24827"/>
    <w:rsid w:val="00A24E7E"/>
    <w:rsid w:val="00A255AE"/>
    <w:rsid w:val="00A258C3"/>
    <w:rsid w:val="00A347C0"/>
    <w:rsid w:val="00A51431"/>
    <w:rsid w:val="00A539AD"/>
    <w:rsid w:val="00A5531C"/>
    <w:rsid w:val="00A94063"/>
    <w:rsid w:val="00A9627B"/>
    <w:rsid w:val="00AA6219"/>
    <w:rsid w:val="00AA74E0"/>
    <w:rsid w:val="00AB63E3"/>
    <w:rsid w:val="00AB6EF9"/>
    <w:rsid w:val="00AB703F"/>
    <w:rsid w:val="00AC03BF"/>
    <w:rsid w:val="00AC6BB8"/>
    <w:rsid w:val="00AE008F"/>
    <w:rsid w:val="00AE3229"/>
    <w:rsid w:val="00B01FCD"/>
    <w:rsid w:val="00B1138C"/>
    <w:rsid w:val="00B12F38"/>
    <w:rsid w:val="00B14971"/>
    <w:rsid w:val="00B1776C"/>
    <w:rsid w:val="00B52583"/>
    <w:rsid w:val="00B52896"/>
    <w:rsid w:val="00B54EE7"/>
    <w:rsid w:val="00B624C8"/>
    <w:rsid w:val="00B8339D"/>
    <w:rsid w:val="00B84911"/>
    <w:rsid w:val="00B95236"/>
    <w:rsid w:val="00B96BD9"/>
    <w:rsid w:val="00BA1B01"/>
    <w:rsid w:val="00BA2641"/>
    <w:rsid w:val="00BA5885"/>
    <w:rsid w:val="00BB37AA"/>
    <w:rsid w:val="00BC53A0"/>
    <w:rsid w:val="00BE62AD"/>
    <w:rsid w:val="00BF121F"/>
    <w:rsid w:val="00BF1F80"/>
    <w:rsid w:val="00C166EF"/>
    <w:rsid w:val="00C17EB0"/>
    <w:rsid w:val="00C21DF0"/>
    <w:rsid w:val="00C27F5F"/>
    <w:rsid w:val="00C30A0F"/>
    <w:rsid w:val="00C31731"/>
    <w:rsid w:val="00C37E61"/>
    <w:rsid w:val="00C62E0F"/>
    <w:rsid w:val="00C70F1B"/>
    <w:rsid w:val="00C71A47"/>
    <w:rsid w:val="00C7464C"/>
    <w:rsid w:val="00C85588"/>
    <w:rsid w:val="00CB1DBC"/>
    <w:rsid w:val="00CC4CA3"/>
    <w:rsid w:val="00CD0EA3"/>
    <w:rsid w:val="00CD6755"/>
    <w:rsid w:val="00CD6856"/>
    <w:rsid w:val="00CE0089"/>
    <w:rsid w:val="00CE793C"/>
    <w:rsid w:val="00CF193C"/>
    <w:rsid w:val="00D03355"/>
    <w:rsid w:val="00D16E11"/>
    <w:rsid w:val="00D173F1"/>
    <w:rsid w:val="00D25FB8"/>
    <w:rsid w:val="00D67654"/>
    <w:rsid w:val="00D74CB0"/>
    <w:rsid w:val="00D80FCB"/>
    <w:rsid w:val="00D8295D"/>
    <w:rsid w:val="00D93201"/>
    <w:rsid w:val="00D9532E"/>
    <w:rsid w:val="00DA0B0B"/>
    <w:rsid w:val="00DC2A65"/>
    <w:rsid w:val="00DC73E9"/>
    <w:rsid w:val="00DC7A03"/>
    <w:rsid w:val="00DD1E0A"/>
    <w:rsid w:val="00DD3FBB"/>
    <w:rsid w:val="00DE1094"/>
    <w:rsid w:val="00DE15F0"/>
    <w:rsid w:val="00DE5663"/>
    <w:rsid w:val="00DE78AA"/>
    <w:rsid w:val="00E053D0"/>
    <w:rsid w:val="00E07159"/>
    <w:rsid w:val="00E15994"/>
    <w:rsid w:val="00E23205"/>
    <w:rsid w:val="00E3114E"/>
    <w:rsid w:val="00E31A70"/>
    <w:rsid w:val="00E35B02"/>
    <w:rsid w:val="00E66496"/>
    <w:rsid w:val="00E66B35"/>
    <w:rsid w:val="00E66E10"/>
    <w:rsid w:val="00E67CCD"/>
    <w:rsid w:val="00E73014"/>
    <w:rsid w:val="00E769F6"/>
    <w:rsid w:val="00E8407C"/>
    <w:rsid w:val="00E84F3C"/>
    <w:rsid w:val="00EA012C"/>
    <w:rsid w:val="00EB0F30"/>
    <w:rsid w:val="00EC6A55"/>
    <w:rsid w:val="00ED0288"/>
    <w:rsid w:val="00EE52CB"/>
    <w:rsid w:val="00EF048B"/>
    <w:rsid w:val="00EF581D"/>
    <w:rsid w:val="00EF7FD8"/>
    <w:rsid w:val="00F06F59"/>
    <w:rsid w:val="00F17988"/>
    <w:rsid w:val="00F469F0"/>
    <w:rsid w:val="00F53273"/>
    <w:rsid w:val="00F577F2"/>
    <w:rsid w:val="00F755E4"/>
    <w:rsid w:val="00F77D02"/>
    <w:rsid w:val="00F936CE"/>
    <w:rsid w:val="00F95030"/>
    <w:rsid w:val="00FB3A86"/>
    <w:rsid w:val="00FC57BA"/>
    <w:rsid w:val="00FD36C8"/>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C2A6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B0F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DA0B0B"/>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DA0B0B"/>
    <w:rPr>
      <w:rFonts w:asciiTheme="minorHAnsi" w:eastAsiaTheme="minorHAnsi" w:hAnsiTheme="minorHAnsi" w:cstheme="minorBidi"/>
      <w:kern w:val="2"/>
      <w:sz w:val="24"/>
      <w:szCs w:val="24"/>
      <w14:ligatures w14:val="standardContextual"/>
    </w:rPr>
  </w:style>
  <w:style w:type="character" w:customStyle="1" w:styleId="Heading2Char">
    <w:name w:val="Heading 2 Char"/>
    <w:basedOn w:val="DefaultParagraphFont"/>
    <w:link w:val="Heading2"/>
    <w:semiHidden/>
    <w:rsid w:val="00EB0F3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B0F30"/>
    <w:pPr>
      <w:spacing w:before="100" w:beforeAutospacing="1" w:after="100" w:afterAutospacing="1"/>
    </w:pPr>
    <w:rPr>
      <w:rFonts w:ascii="Times New Roman" w:hAnsi="Times New Roman"/>
      <w:sz w:val="24"/>
      <w:szCs w:val="24"/>
    </w:rPr>
  </w:style>
  <w:style w:type="character" w:customStyle="1" w:styleId="citation-240">
    <w:name w:val="citation-240"/>
    <w:basedOn w:val="DefaultParagraphFont"/>
    <w:rsid w:val="00EB0F30"/>
  </w:style>
  <w:style w:type="character" w:customStyle="1" w:styleId="citation-239">
    <w:name w:val="citation-239"/>
    <w:basedOn w:val="DefaultParagraphFont"/>
    <w:rsid w:val="00EB0F30"/>
  </w:style>
  <w:style w:type="character" w:customStyle="1" w:styleId="citation-238">
    <w:name w:val="citation-238"/>
    <w:basedOn w:val="DefaultParagraphFont"/>
    <w:rsid w:val="00EB0F30"/>
  </w:style>
  <w:style w:type="character" w:customStyle="1" w:styleId="citation-237">
    <w:name w:val="citation-237"/>
    <w:basedOn w:val="DefaultParagraphFont"/>
    <w:rsid w:val="00EB0F30"/>
  </w:style>
  <w:style w:type="character" w:customStyle="1" w:styleId="citation-236">
    <w:name w:val="citation-236"/>
    <w:basedOn w:val="DefaultParagraphFont"/>
    <w:rsid w:val="00EB0F30"/>
  </w:style>
  <w:style w:type="character" w:customStyle="1" w:styleId="citation-235">
    <w:name w:val="citation-235"/>
    <w:basedOn w:val="DefaultParagraphFont"/>
    <w:rsid w:val="00EB0F30"/>
  </w:style>
  <w:style w:type="character" w:customStyle="1" w:styleId="citation-234">
    <w:name w:val="citation-234"/>
    <w:basedOn w:val="DefaultParagraphFont"/>
    <w:rsid w:val="00EB0F30"/>
  </w:style>
  <w:style w:type="character" w:customStyle="1" w:styleId="citation-233">
    <w:name w:val="citation-233"/>
    <w:basedOn w:val="DefaultParagraphFont"/>
    <w:rsid w:val="00EB0F30"/>
  </w:style>
  <w:style w:type="character" w:customStyle="1" w:styleId="citation-232">
    <w:name w:val="citation-232"/>
    <w:basedOn w:val="DefaultParagraphFont"/>
    <w:rsid w:val="00EB0F30"/>
  </w:style>
  <w:style w:type="character" w:customStyle="1" w:styleId="citation-231">
    <w:name w:val="citation-231"/>
    <w:basedOn w:val="DefaultParagraphFont"/>
    <w:rsid w:val="00EB0F30"/>
  </w:style>
  <w:style w:type="character" w:customStyle="1" w:styleId="citation-230">
    <w:name w:val="citation-230"/>
    <w:basedOn w:val="DefaultParagraphFont"/>
    <w:rsid w:val="00EB0F30"/>
  </w:style>
  <w:style w:type="character" w:customStyle="1" w:styleId="citation-229">
    <w:name w:val="citation-229"/>
    <w:basedOn w:val="DefaultParagraphFont"/>
    <w:rsid w:val="00EB0F30"/>
  </w:style>
  <w:style w:type="paragraph" w:styleId="BodyText">
    <w:name w:val="Body Text"/>
    <w:basedOn w:val="Normal"/>
    <w:link w:val="BodyTextChar"/>
    <w:semiHidden/>
    <w:unhideWhenUsed/>
    <w:rsid w:val="00B54EE7"/>
    <w:pPr>
      <w:spacing w:after="120"/>
    </w:pPr>
  </w:style>
  <w:style w:type="character" w:customStyle="1" w:styleId="BodyTextChar">
    <w:name w:val="Body Text Char"/>
    <w:basedOn w:val="DefaultParagraphFont"/>
    <w:link w:val="BodyText"/>
    <w:semiHidden/>
    <w:rsid w:val="00B54EE7"/>
    <w:rPr>
      <w:rFonts w:ascii="Helvetica" w:hAnsi="Helvetica"/>
    </w:rPr>
  </w:style>
  <w:style w:type="paragraph" w:styleId="ListParagraph">
    <w:name w:val="List Paragraph"/>
    <w:basedOn w:val="Normal"/>
    <w:uiPriority w:val="34"/>
    <w:qFormat/>
    <w:rsid w:val="00B54EE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customStyle="1" w:styleId="TableParagraph">
    <w:name w:val="Table Paragraph"/>
    <w:basedOn w:val="Normal"/>
    <w:uiPriority w:val="1"/>
    <w:qFormat/>
    <w:rsid w:val="00B54EE7"/>
    <w:pPr>
      <w:widowControl w:val="0"/>
      <w:autoSpaceDE w:val="0"/>
      <w:autoSpaceDN w:val="0"/>
      <w:jc w:val="center"/>
    </w:pPr>
    <w:rPr>
      <w:rFonts w:ascii="Times New Roman" w:hAnsi="Times New Roman"/>
      <w:sz w:val="22"/>
      <w:szCs w:val="22"/>
      <w:lang w:val="id"/>
    </w:rPr>
  </w:style>
  <w:style w:type="character" w:customStyle="1" w:styleId="math-inline">
    <w:name w:val="math-inline"/>
    <w:basedOn w:val="DefaultParagraphFont"/>
    <w:rsid w:val="0059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ACD9460D834980A23E755BE76F77B4"/>
        <w:category>
          <w:name w:val="General"/>
          <w:gallery w:val="placeholder"/>
        </w:category>
        <w:types>
          <w:type w:val="bbPlcHdr"/>
        </w:types>
        <w:behaviors>
          <w:behavior w:val="content"/>
        </w:behaviors>
        <w:guid w:val="{3C71C2EC-C114-4453-B235-134A17DEC29F}"/>
      </w:docPartPr>
      <w:docPartBody>
        <w:p w:rsidR="00000000" w:rsidRDefault="0020394E" w:rsidP="0020394E">
          <w:pPr>
            <w:pStyle w:val="BDACD9460D834980A23E755BE76F77B4"/>
          </w:pPr>
          <w:r w:rsidRPr="00A853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4E"/>
    <w:rsid w:val="00015BCA"/>
    <w:rsid w:val="0020394E"/>
    <w:rsid w:val="0087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94E"/>
    <w:rPr>
      <w:color w:val="666666"/>
    </w:rPr>
  </w:style>
  <w:style w:type="paragraph" w:customStyle="1" w:styleId="BDACD9460D834980A23E755BE76F77B4">
    <w:name w:val="BDACD9460D834980A23E755BE76F77B4"/>
    <w:rsid w:val="00203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AA1CE0-37A6-406E-B225-F35671286CEA}">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6744954752"/>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DCD7B-6110-41A4-B326-E2165B42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273</TotalTime>
  <Pages>16</Pages>
  <Words>42009</Words>
  <Characters>257096</Characters>
  <Application>Microsoft Office Word</Application>
  <DocSecurity>0</DocSecurity>
  <Lines>5141</Lines>
  <Paragraphs>2020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297085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ASRANUDIN</cp:lastModifiedBy>
  <cp:revision>100</cp:revision>
  <cp:lastPrinted>2026-04-21T02:29:00Z</cp:lastPrinted>
  <dcterms:created xsi:type="dcterms:W3CDTF">2026-04-14T12:54:00Z</dcterms:created>
  <dcterms:modified xsi:type="dcterms:W3CDTF">2026-04-21T04:20:00Z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http://www.zotero.org/styles/biocatalysis-and-agricultural-biotechnology</vt:lpwstr>
  </property>
  <property fmtid="{D5CDD505-2E9C-101B-9397-08002B2CF9AE}" pid="5" name="Mendeley Recent Style Name 1_1">
    <vt:lpwstr>Biocatalysis and Agricultural Biotechnology</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http://www.zotero.org/styles/elsevier-harvard</vt:lpwstr>
  </property>
  <property fmtid="{D5CDD505-2E9C-101B-9397-08002B2CF9AE}" pid="9" name="Mendeley Recent Style Name 3_1">
    <vt:lpwstr>Elsevier - Harvard (with titles)</vt:lpwstr>
  </property>
  <property fmtid="{D5CDD505-2E9C-101B-9397-08002B2CF9AE}" pid="10" name="Mendeley Recent Style Id 4_1">
    <vt:lpwstr>http://www.zotero.org/styles/journal-of-cleaner-production</vt:lpwstr>
  </property>
  <property fmtid="{D5CDD505-2E9C-101B-9397-08002B2CF9AE}" pid="11" name="Mendeley Recent Style Name 4_1">
    <vt:lpwstr>Journal of Cleaner Production</vt:lpwstr>
  </property>
  <property fmtid="{D5CDD505-2E9C-101B-9397-08002B2CF9AE}" pid="12" name="Mendeley Recent Style Id 5_1">
    <vt:lpwstr>http://www.zotero.org/styles/journal-of-environmental-chemical-engineering</vt:lpwstr>
  </property>
  <property fmtid="{D5CDD505-2E9C-101B-9397-08002B2CF9AE}" pid="13" name="Mendeley Recent Style Name 5_1">
    <vt:lpwstr>Journal of Environmental Chemical Engineering</vt:lpwstr>
  </property>
  <property fmtid="{D5CDD505-2E9C-101B-9397-08002B2CF9AE}" pid="14" name="Mendeley Recent Style Id 6_1">
    <vt:lpwstr>http://www.zotero.org/styles/materials-chemistry-and-physics</vt:lpwstr>
  </property>
  <property fmtid="{D5CDD505-2E9C-101B-9397-08002B2CF9AE}" pid="15" name="Mendeley Recent Style Name 6_1">
    <vt:lpwstr>Materials Chemistry and Physics</vt:lpwstr>
  </property>
  <property fmtid="{D5CDD505-2E9C-101B-9397-08002B2CF9AE}" pid="16" name="Mendeley Recent Style Id 7_1">
    <vt:lpwstr>http://www.zotero.org/styles/sustainable-chemistry-and-pharmacy</vt:lpwstr>
  </property>
  <property fmtid="{D5CDD505-2E9C-101B-9397-08002B2CF9AE}" pid="17" name="Mendeley Recent Style Name 7_1">
    <vt:lpwstr>Sustainable Chemistry and Pharmacy</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http://www.zotero.org/styles/world-journal-of-microbiology-and-biotechnology</vt:lpwstr>
  </property>
  <property fmtid="{D5CDD505-2E9C-101B-9397-08002B2CF9AE}" pid="21" name="Mendeley Recent Style Name 9_1">
    <vt:lpwstr>World Journal of Microbiology and Biotechnology</vt:lpwstr>
  </property>
</Properties>
</file>