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D9301">
      <w:pPr>
        <w:pStyle w:val="5"/>
        <w:keepNext w:val="0"/>
        <w:keepLines w:val="0"/>
        <w:widowControl/>
        <w:suppressLineNumbers w:val="0"/>
        <w:jc w:val="both"/>
        <w:rPr>
          <w:sz w:val="28"/>
          <w:szCs w:val="28"/>
        </w:rPr>
      </w:pPr>
      <w:r>
        <w:rPr>
          <w:rStyle w:val="6"/>
          <w:sz w:val="28"/>
          <w:szCs w:val="28"/>
        </w:rPr>
        <w:t>Sustainable Tea Seedling Production: Soil-Based Agronomic Practices and Economic Outcomes</w:t>
      </w:r>
    </w:p>
    <w:p w14:paraId="0FEAF5B7">
      <w:pPr>
        <w:pStyle w:val="5"/>
        <w:keepNext w:val="0"/>
        <w:keepLines w:val="0"/>
        <w:widowControl/>
        <w:suppressLineNumbers w:val="0"/>
        <w:spacing w:line="360" w:lineRule="auto"/>
        <w:jc w:val="both"/>
        <w:rPr>
          <w:rFonts w:hint="default"/>
          <w:lang w:val="en-US"/>
        </w:rPr>
      </w:pPr>
    </w:p>
    <w:p w14:paraId="1FDD8D1D">
      <w:pPr>
        <w:pStyle w:val="5"/>
        <w:keepNext w:val="0"/>
        <w:keepLines w:val="0"/>
        <w:widowControl/>
        <w:suppressLineNumbers w:val="0"/>
        <w:spacing w:line="360" w:lineRule="auto"/>
        <w:jc w:val="both"/>
        <w:rPr>
          <w:rFonts w:hint="default"/>
          <w:b/>
          <w:bCs/>
          <w:lang w:val="en-US"/>
        </w:rPr>
      </w:pPr>
      <w:r>
        <w:rPr>
          <w:rFonts w:hint="default"/>
          <w:b/>
          <w:bCs/>
          <w:lang w:val="en-US"/>
        </w:rPr>
        <w:t>Abstract</w:t>
      </w:r>
    </w:p>
    <w:p w14:paraId="45D1F9AE">
      <w:pPr>
        <w:pStyle w:val="5"/>
        <w:keepNext w:val="0"/>
        <w:keepLines w:val="0"/>
        <w:widowControl/>
        <w:suppressLineNumbers w:val="0"/>
        <w:spacing w:line="360" w:lineRule="auto"/>
        <w:jc w:val="both"/>
      </w:pPr>
      <w:r>
        <w:t>The quality of soil plays a central role in determining the growth, survival, and overall performance of tea (</w:t>
      </w:r>
      <w:r>
        <w:rPr>
          <w:i/>
          <w:iCs/>
        </w:rPr>
        <w:t>Camellia sinensis</w:t>
      </w:r>
      <w:r>
        <w:t>) seedlings. This study examines how soil-based nursery management practices influence both the biological performance of seedlings and the economic outcomes of tea seedling production. The analysis draws on secondary data obtained from published studies, technical manuals, and institutional reports on tea agronomy and nursery operations. Key practices considered include site selection, preparation of potting media, nutrient management, shading, irrigation, and routine nursery maintenance. An enterprise budget for a one-hectare nursery was developed, and profitability was evaluated using standard investment indicators, including Net Present Value (NPV), Benefit</w:t>
      </w:r>
      <w:r>
        <w:rPr>
          <w:rFonts w:hint="default"/>
          <w:lang w:val="en-US"/>
        </w:rPr>
        <w:t>-</w:t>
      </w:r>
      <w:r>
        <w:t>Cost Ratio (BCR), and Internal Rate of Return (IRR), under different discount rates.</w:t>
      </w:r>
      <w:r>
        <w:rPr>
          <w:rFonts w:hint="default"/>
          <w:lang w:val="en-US"/>
        </w:rPr>
        <w:t xml:space="preserve"> </w:t>
      </w:r>
      <w:r>
        <w:t>The results indicate that improving soil conditions through the use of organic amendments and appropriate nursery practices enhances seedling vigor, increases survival rates, and reduces input requirements. These improvements contribute to lower production costs and more efficient resource utilization. Economic evaluation further reveals that tea seedling production remains profitable across the scenarios considered, with positive net returns and favorable cost</w:t>
      </w:r>
      <w:r>
        <w:rPr>
          <w:rFonts w:hint="default"/>
          <w:lang w:val="en-US"/>
        </w:rPr>
        <w:t>-</w:t>
      </w:r>
      <w:r>
        <w:t>benefit relationships, reflected in NPV values of ₦75,469,468.19, ₦64,361,238.54, and ₦60,009,828.88 at interest rates of 21%, 27.5%, and 32%, respectively, alongside corresponding BCRs of 20.46, 20.03, and 20.46.</w:t>
      </w:r>
      <w:r>
        <w:rPr>
          <w:rFonts w:hint="default"/>
          <w:lang w:val="en-US"/>
        </w:rPr>
        <w:t xml:space="preserve"> </w:t>
      </w:r>
      <w:r>
        <w:t>In conclusion, these findings underscore the importance of effective soil management and nursery practices in enhancing both the technical and economic performance of tea seedling enterprises, thereby positioning them as a viable option for small-scale producers and broader agribusiness development.</w:t>
      </w:r>
    </w:p>
    <w:p w14:paraId="3D6B3871">
      <w:pPr>
        <w:pStyle w:val="5"/>
        <w:keepNext w:val="0"/>
        <w:keepLines w:val="0"/>
        <w:widowControl/>
        <w:suppressLineNumbers w:val="0"/>
        <w:spacing w:line="360" w:lineRule="auto"/>
        <w:jc w:val="both"/>
      </w:pPr>
      <w:r>
        <w:rPr>
          <w:rStyle w:val="6"/>
        </w:rPr>
        <w:t>Keywords:</w:t>
      </w:r>
      <w:r>
        <w:t xml:space="preserve"> Tea seedling, nursery management, agronomy, soil fertility, economic viability</w:t>
      </w:r>
    </w:p>
    <w:p w14:paraId="3078812E">
      <w:pPr>
        <w:pStyle w:val="5"/>
        <w:keepNext w:val="0"/>
        <w:keepLines w:val="0"/>
        <w:widowControl/>
        <w:suppressLineNumbers w:val="0"/>
        <w:spacing w:line="360" w:lineRule="auto"/>
        <w:jc w:val="both"/>
      </w:pPr>
    </w:p>
    <w:p w14:paraId="37CC7627">
      <w:pPr>
        <w:pStyle w:val="5"/>
        <w:keepNext w:val="0"/>
        <w:keepLines w:val="0"/>
        <w:widowControl/>
        <w:suppressLineNumbers w:val="0"/>
        <w:jc w:val="both"/>
      </w:pPr>
      <w:r>
        <w:rPr>
          <w:rStyle w:val="6"/>
        </w:rPr>
        <w:t>Introduction</w:t>
      </w:r>
      <w:r>
        <w:t xml:space="preserve"> </w:t>
      </w:r>
    </w:p>
    <w:p w14:paraId="31AB7392">
      <w:pPr>
        <w:pStyle w:val="5"/>
        <w:keepNext w:val="0"/>
        <w:keepLines w:val="0"/>
        <w:widowControl/>
        <w:suppressLineNumbers w:val="0"/>
        <w:spacing w:line="360" w:lineRule="auto"/>
        <w:jc w:val="both"/>
      </w:pPr>
      <w:r>
        <w:t>Tea (</w:t>
      </w:r>
      <w:r>
        <w:rPr>
          <w:rStyle w:val="4"/>
        </w:rPr>
        <w:t>Camellia sinensis</w:t>
      </w:r>
      <w:r>
        <w:t>) is one of the world’s leading plantation crops, supporting millions of livelihoods and contributing substantially to export earnings in producing countries. The economic sustainability of tea production begins with the establishment of healthy and vigorous seedlings. Poor-quality seedlings increase replanting costs, extend the non-productive period, and reduce long-term yields, whereas high-quality seedlings ensure rapid establishment, higher survival rates, and earlier returns on investment.</w:t>
      </w:r>
    </w:p>
    <w:p w14:paraId="36C0C034">
      <w:pPr>
        <w:pStyle w:val="5"/>
        <w:keepNext w:val="0"/>
        <w:keepLines w:val="0"/>
        <w:widowControl/>
        <w:suppressLineNumbers w:val="0"/>
        <w:spacing w:line="360" w:lineRule="auto"/>
        <w:jc w:val="both"/>
      </w:pPr>
      <w:r>
        <w:t>From a soil management perspective, nursery performance is largely determined by the physical, chemical, and biological characteristics of the growing medium. Optimal soil pH (4.5</w:t>
      </w:r>
      <w:r>
        <w:rPr>
          <w:rFonts w:hint="default"/>
          <w:lang w:val="en-US"/>
        </w:rPr>
        <w:t>-</w:t>
      </w:r>
      <w:r>
        <w:t>5.5 for tea), adequate organic matter, and a balanced supply of macro- and micro</w:t>
      </w:r>
      <w:r>
        <w:rPr>
          <w:rFonts w:hint="default"/>
          <w:lang w:val="en-US"/>
        </w:rPr>
        <w:t>-</w:t>
      </w:r>
      <w:r>
        <w:t xml:space="preserve">nutrients are essential for root development and seedling vigor (Wang </w:t>
      </w:r>
      <w:r>
        <w:rPr>
          <w:i/>
          <w:iCs/>
        </w:rPr>
        <w:t>et al</w:t>
      </w:r>
      <w:r>
        <w:t xml:space="preserve">., 2021). The incorporation of compost, </w:t>
      </w:r>
      <w:r>
        <w:rPr>
          <w:rFonts w:hint="default"/>
          <w:lang w:val="en-US"/>
        </w:rPr>
        <w:t>B</w:t>
      </w:r>
      <w:r>
        <w:t xml:space="preserve">iochar, and other organic amendments enhances nutrient retention, improves soil structure, and stimulates microbial activity, thereby creating a more resilient nursery environment (Rana </w:t>
      </w:r>
      <w:r>
        <w:rPr>
          <w:i/>
          <w:iCs/>
        </w:rPr>
        <w:t>et al.</w:t>
      </w:r>
      <w:r>
        <w:t>, 2023). These soil-based interventions translate into economic benefits by reducing fertilizer requirements, minimizing seedling mortality, and promoting uniform growth at transplanting.</w:t>
      </w:r>
    </w:p>
    <w:p w14:paraId="520B3AD8">
      <w:pPr>
        <w:pStyle w:val="5"/>
        <w:keepNext w:val="0"/>
        <w:keepLines w:val="0"/>
        <w:widowControl/>
        <w:suppressLineNumbers w:val="0"/>
        <w:spacing w:line="360" w:lineRule="auto"/>
        <w:jc w:val="both"/>
      </w:pPr>
      <w:r>
        <w:t xml:space="preserve">Seedling production is also an important avenue for self-employment, particularly in developing economies. Scores of unemployed youths have been engaged in small-scale enterprises, where such ventures not only generate income for operators but also create employment opportunities for others in technical and administrative roles. The contribution of small-scale private plant nursery enterprises to economic development, both at the individual and national levels, cannot be overemphasized (Babalola, 2008; Kagira </w:t>
      </w:r>
      <w:r>
        <w:rPr>
          <w:i/>
          <w:iCs/>
        </w:rPr>
        <w:t>et al.</w:t>
      </w:r>
      <w:r>
        <w:t>, 2012).</w:t>
      </w:r>
    </w:p>
    <w:p w14:paraId="461050AE">
      <w:pPr>
        <w:pStyle w:val="5"/>
        <w:keepNext w:val="0"/>
        <w:keepLines w:val="0"/>
        <w:widowControl/>
        <w:suppressLineNumbers w:val="0"/>
        <w:spacing w:line="360" w:lineRule="auto"/>
        <w:jc w:val="both"/>
      </w:pPr>
      <w:r>
        <w:t>Tea is a globally important plantation crop cultivated across tropical and subtropical regions. It is one of the most widely consumed beverages worldwide and contributes significantly to the economies of producing countries through export earnings and employment generation (Food and Agriculture Organization of the United Nations, 2015; International Tea Committee, 2019).</w:t>
      </w:r>
    </w:p>
    <w:p w14:paraId="35F35AAD">
      <w:pPr>
        <w:pStyle w:val="5"/>
        <w:keepNext w:val="0"/>
        <w:keepLines w:val="0"/>
        <w:widowControl/>
        <w:suppressLineNumbers w:val="0"/>
        <w:spacing w:line="360" w:lineRule="auto"/>
        <w:jc w:val="both"/>
      </w:pPr>
      <w:r>
        <w:t>Global tea consumption has continued to expand steadily in recent years, reaching approximately 6.7 billion kilograms in 2022 and projected to exceed 7.4 billion kilograms by 2025. This growth reflects changing consumer preferences, population increase, and evolving climatic conditions that influence production systems. In Nigeria, tea cultivation occurs on a commercial scale and constitutes an important economic activity, providing income and livelihood opportunities for many households involved in its production and value chain (Food and Agriculture Organization of the United Nations, 2025; Statista Research Department, 2025; Kumbasaroglu, 2026).</w:t>
      </w:r>
    </w:p>
    <w:p w14:paraId="7FD8B20B">
      <w:pPr>
        <w:pStyle w:val="5"/>
        <w:keepNext w:val="0"/>
        <w:keepLines w:val="0"/>
        <w:widowControl/>
        <w:suppressLineNumbers w:val="0"/>
        <w:spacing w:line="360" w:lineRule="auto"/>
        <w:jc w:val="both"/>
      </w:pPr>
      <w:r>
        <w:t>This study integrates agronomic and economic perspectives to demonstrate how scientifically sound nursery practices can enhance both sustainability and profitability in tea seedling production systems.</w:t>
      </w:r>
    </w:p>
    <w:p w14:paraId="1D7187C4">
      <w:pPr>
        <w:pStyle w:val="5"/>
        <w:keepNext w:val="0"/>
        <w:keepLines w:val="0"/>
        <w:widowControl/>
        <w:suppressLineNumbers w:val="0"/>
        <w:jc w:val="both"/>
      </w:pPr>
      <w:r>
        <w:rPr>
          <w:rStyle w:val="6"/>
        </w:rPr>
        <w:t>Agronomic Practices in Tea Seedling Production</w:t>
      </w:r>
    </w:p>
    <w:p w14:paraId="75048942">
      <w:pPr>
        <w:pStyle w:val="5"/>
        <w:keepNext w:val="0"/>
        <w:keepLines w:val="0"/>
        <w:widowControl/>
        <w:suppressLineNumbers w:val="0"/>
        <w:spacing w:line="360" w:lineRule="auto"/>
        <w:jc w:val="both"/>
      </w:pPr>
      <w:r>
        <w:t>Tea nursery establishment involves a sequence of agronomic practices that directly influence soil conditions, seedling vigor, and the overall cost efficiency of plantation establishment. As summarized in Table 1, key practices such as site selection, nursery shed construction, potting media preparation, nursery bed formation, water management, and mulching play complementary roles in optimizing seedling performance while minimizing input costs. Authoritative tea agronomy manuals emphasize the importance of selecting well-drained sandy-loam soils with suitable acidity and access to water to enhance root development and reduce irrigation demands (Tea Research Institute of Sri Lanka, 2009; Tea Board of Kenya, 2012). The use of shade structures providing moderate light interception is widely recommended to protect young seedlings from excessive radiation and moisture stress, thereby improving establishment success and reducing mortality rates (Tea Board of Kenya, 2020).</w:t>
      </w:r>
    </w:p>
    <w:p w14:paraId="5C0A02D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Style w:val="6"/>
        </w:rPr>
      </w:pPr>
      <w:r>
        <w:rPr>
          <w:rStyle w:val="6"/>
        </w:rPr>
        <w:t>Table 1: Key Agronomic Practices in Tea Nursery Establishment and their Soil, Seedling Performance, and Economic Implications.</w:t>
      </w:r>
    </w:p>
    <w:tbl>
      <w:tblPr>
        <w:tblStyle w:val="7"/>
        <w:tblW w:w="9975"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2955"/>
        <w:gridCol w:w="3360"/>
        <w:gridCol w:w="2265"/>
      </w:tblGrid>
      <w:tr w14:paraId="4B81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Borders>
              <w:left w:val="nil"/>
              <w:bottom w:val="single" w:color="auto" w:sz="4" w:space="0"/>
              <w:right w:val="nil"/>
            </w:tcBorders>
            <w:vAlign w:val="center"/>
          </w:tcPr>
          <w:p w14:paraId="17F50F31">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b/>
                <w:bCs/>
                <w:kern w:val="0"/>
                <w:sz w:val="21"/>
                <w:szCs w:val="21"/>
                <w:lang w:val="en-US" w:eastAsia="zh-CN" w:bidi="ar"/>
              </w:rPr>
              <w:t>Nursery Practice</w:t>
            </w:r>
          </w:p>
        </w:tc>
        <w:tc>
          <w:tcPr>
            <w:tcW w:w="2955" w:type="dxa"/>
            <w:tcBorders>
              <w:left w:val="nil"/>
              <w:bottom w:val="single" w:color="auto" w:sz="4" w:space="0"/>
              <w:right w:val="nil"/>
            </w:tcBorders>
            <w:vAlign w:val="center"/>
          </w:tcPr>
          <w:p w14:paraId="6596EC96">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b/>
                <w:bCs/>
                <w:kern w:val="0"/>
                <w:sz w:val="21"/>
                <w:szCs w:val="21"/>
                <w:lang w:val="en-US" w:eastAsia="zh-CN" w:bidi="ar"/>
              </w:rPr>
              <w:t>Key Soil/Agronomic Considerations</w:t>
            </w:r>
          </w:p>
        </w:tc>
        <w:tc>
          <w:tcPr>
            <w:tcW w:w="3360" w:type="dxa"/>
            <w:tcBorders>
              <w:left w:val="nil"/>
              <w:bottom w:val="single" w:color="auto" w:sz="4" w:space="0"/>
              <w:right w:val="nil"/>
            </w:tcBorders>
            <w:vAlign w:val="center"/>
          </w:tcPr>
          <w:p w14:paraId="7532AFE8">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b/>
                <w:bCs/>
                <w:kern w:val="0"/>
                <w:sz w:val="21"/>
                <w:szCs w:val="21"/>
                <w:lang w:val="en-US" w:eastAsia="zh-CN" w:bidi="ar"/>
              </w:rPr>
              <w:t>Effects on Seedling Performance</w:t>
            </w:r>
          </w:p>
        </w:tc>
        <w:tc>
          <w:tcPr>
            <w:tcW w:w="2265" w:type="dxa"/>
            <w:tcBorders>
              <w:left w:val="nil"/>
              <w:bottom w:val="single" w:color="auto" w:sz="4" w:space="0"/>
              <w:right w:val="nil"/>
            </w:tcBorders>
            <w:vAlign w:val="center"/>
          </w:tcPr>
          <w:p w14:paraId="421D01B2">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b/>
                <w:bCs/>
                <w:kern w:val="0"/>
                <w:sz w:val="21"/>
                <w:szCs w:val="21"/>
                <w:lang w:val="en-US" w:eastAsia="zh-CN" w:bidi="ar"/>
              </w:rPr>
              <w:t>Economic Implications</w:t>
            </w:r>
          </w:p>
        </w:tc>
      </w:tr>
      <w:tr w14:paraId="6CEB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Borders>
              <w:top w:val="single" w:color="auto" w:sz="4" w:space="0"/>
              <w:left w:val="nil"/>
              <w:bottom w:val="nil"/>
              <w:right w:val="nil"/>
            </w:tcBorders>
            <w:vAlign w:val="center"/>
          </w:tcPr>
          <w:p w14:paraId="57AFB661">
            <w:pPr>
              <w:keepNext w:val="0"/>
              <w:keepLines w:val="0"/>
              <w:widowControl/>
              <w:suppressLineNumbers w:val="0"/>
              <w:jc w:val="left"/>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Site selection</w:t>
            </w:r>
          </w:p>
        </w:tc>
        <w:tc>
          <w:tcPr>
            <w:tcW w:w="2955" w:type="dxa"/>
            <w:tcBorders>
              <w:top w:val="single" w:color="auto" w:sz="4" w:space="0"/>
              <w:left w:val="nil"/>
              <w:bottom w:val="nil"/>
              <w:right w:val="nil"/>
            </w:tcBorders>
            <w:vAlign w:val="center"/>
          </w:tcPr>
          <w:p w14:paraId="722283D5">
            <w:pPr>
              <w:keepNext w:val="0"/>
              <w:keepLines w:val="0"/>
              <w:widowControl/>
              <w:suppressLineNumbers w:val="0"/>
              <w:jc w:val="left"/>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Sandy-loam soil; good drainage; proximity to water source; soil pH 4.5–5.5</w:t>
            </w:r>
          </w:p>
        </w:tc>
        <w:tc>
          <w:tcPr>
            <w:tcW w:w="3360" w:type="dxa"/>
            <w:tcBorders>
              <w:top w:val="single" w:color="auto" w:sz="4" w:space="0"/>
              <w:left w:val="nil"/>
              <w:bottom w:val="nil"/>
              <w:right w:val="nil"/>
            </w:tcBorders>
            <w:vAlign w:val="center"/>
          </w:tcPr>
          <w:p w14:paraId="1F97CD53">
            <w:pPr>
              <w:keepNext w:val="0"/>
              <w:keepLines w:val="0"/>
              <w:widowControl/>
              <w:suppressLineNumbers w:val="0"/>
              <w:jc w:val="left"/>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Enhanced root development, improved nutrient availability, higher survival rates</w:t>
            </w:r>
          </w:p>
        </w:tc>
        <w:tc>
          <w:tcPr>
            <w:tcW w:w="2265" w:type="dxa"/>
            <w:tcBorders>
              <w:top w:val="single" w:color="auto" w:sz="4" w:space="0"/>
              <w:left w:val="nil"/>
              <w:bottom w:val="nil"/>
              <w:right w:val="nil"/>
            </w:tcBorders>
            <w:vAlign w:val="center"/>
          </w:tcPr>
          <w:p w14:paraId="270844DA">
            <w:pPr>
              <w:keepNext w:val="0"/>
              <w:keepLines w:val="0"/>
              <w:widowControl/>
              <w:suppressLineNumbers w:val="0"/>
              <w:jc w:val="left"/>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Reduced irrigation cost and lower seedling losses</w:t>
            </w:r>
          </w:p>
        </w:tc>
      </w:tr>
      <w:tr w14:paraId="1B80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Borders>
              <w:top w:val="nil"/>
              <w:left w:val="nil"/>
              <w:bottom w:val="nil"/>
              <w:right w:val="nil"/>
            </w:tcBorders>
            <w:vAlign w:val="center"/>
          </w:tcPr>
          <w:p w14:paraId="142A5DD9">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Nursery shed construction</w:t>
            </w:r>
          </w:p>
        </w:tc>
        <w:tc>
          <w:tcPr>
            <w:tcW w:w="2955" w:type="dxa"/>
            <w:tcBorders>
              <w:top w:val="nil"/>
              <w:left w:val="nil"/>
              <w:bottom w:val="nil"/>
              <w:right w:val="nil"/>
            </w:tcBorders>
            <w:vAlign w:val="center"/>
          </w:tcPr>
          <w:p w14:paraId="1553DA1F">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50–60% shading using bamboo, palm fronds, or shade nets</w:t>
            </w:r>
          </w:p>
        </w:tc>
        <w:tc>
          <w:tcPr>
            <w:tcW w:w="3360" w:type="dxa"/>
            <w:tcBorders>
              <w:top w:val="nil"/>
              <w:left w:val="nil"/>
              <w:bottom w:val="nil"/>
              <w:right w:val="nil"/>
            </w:tcBorders>
            <w:vAlign w:val="center"/>
          </w:tcPr>
          <w:p w14:paraId="7140AB61">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Reduced heat and radiation stress; improved seedling establishment</w:t>
            </w:r>
          </w:p>
        </w:tc>
        <w:tc>
          <w:tcPr>
            <w:tcW w:w="2265" w:type="dxa"/>
            <w:tcBorders>
              <w:top w:val="nil"/>
              <w:left w:val="nil"/>
              <w:bottom w:val="nil"/>
              <w:right w:val="nil"/>
            </w:tcBorders>
            <w:vAlign w:val="center"/>
          </w:tcPr>
          <w:p w14:paraId="2072F78C">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Lower mortality and reduced replanting expenses</w:t>
            </w:r>
          </w:p>
        </w:tc>
      </w:tr>
      <w:tr w14:paraId="5519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Borders>
              <w:top w:val="nil"/>
              <w:left w:val="nil"/>
              <w:bottom w:val="nil"/>
              <w:right w:val="nil"/>
            </w:tcBorders>
            <w:vAlign w:val="center"/>
          </w:tcPr>
          <w:p w14:paraId="4B01EF91">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Potting media preparation</w:t>
            </w:r>
          </w:p>
        </w:tc>
        <w:tc>
          <w:tcPr>
            <w:tcW w:w="2955" w:type="dxa"/>
            <w:tcBorders>
              <w:top w:val="nil"/>
              <w:left w:val="nil"/>
              <w:bottom w:val="nil"/>
              <w:right w:val="nil"/>
            </w:tcBorders>
            <w:vAlign w:val="center"/>
          </w:tcPr>
          <w:p w14:paraId="7F43A296">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Mixture of topsoil, sand, and organic manure; incorporation of compost and biochar</w:t>
            </w:r>
          </w:p>
        </w:tc>
        <w:tc>
          <w:tcPr>
            <w:tcW w:w="3360" w:type="dxa"/>
            <w:tcBorders>
              <w:top w:val="nil"/>
              <w:left w:val="nil"/>
              <w:bottom w:val="nil"/>
              <w:right w:val="nil"/>
            </w:tcBorders>
            <w:vAlign w:val="center"/>
          </w:tcPr>
          <w:p w14:paraId="6F7FBDBD">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Improved soil structure, moisture retention, and nutrient supply</w:t>
            </w:r>
          </w:p>
        </w:tc>
        <w:tc>
          <w:tcPr>
            <w:tcW w:w="2265" w:type="dxa"/>
            <w:tcBorders>
              <w:top w:val="nil"/>
              <w:left w:val="nil"/>
              <w:bottom w:val="nil"/>
              <w:right w:val="nil"/>
            </w:tcBorders>
            <w:vAlign w:val="center"/>
          </w:tcPr>
          <w:p w14:paraId="6E1BCE2B">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Reduced fertilizer requirement and input costs</w:t>
            </w:r>
          </w:p>
        </w:tc>
      </w:tr>
      <w:tr w14:paraId="14C2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Borders>
              <w:top w:val="nil"/>
              <w:left w:val="nil"/>
              <w:bottom w:val="nil"/>
              <w:right w:val="nil"/>
            </w:tcBorders>
            <w:vAlign w:val="center"/>
          </w:tcPr>
          <w:p w14:paraId="5981E975">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Nursery bed preparation</w:t>
            </w:r>
          </w:p>
        </w:tc>
        <w:tc>
          <w:tcPr>
            <w:tcW w:w="2955" w:type="dxa"/>
            <w:tcBorders>
              <w:top w:val="nil"/>
              <w:left w:val="nil"/>
              <w:bottom w:val="nil"/>
              <w:right w:val="nil"/>
            </w:tcBorders>
            <w:vAlign w:val="center"/>
          </w:tcPr>
          <w:p w14:paraId="6161DF04">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Raised beds (20–30 cm); incorporation of organic materials</w:t>
            </w:r>
          </w:p>
        </w:tc>
        <w:tc>
          <w:tcPr>
            <w:tcW w:w="3360" w:type="dxa"/>
            <w:tcBorders>
              <w:top w:val="nil"/>
              <w:left w:val="nil"/>
              <w:bottom w:val="nil"/>
              <w:right w:val="nil"/>
            </w:tcBorders>
            <w:vAlign w:val="center"/>
          </w:tcPr>
          <w:p w14:paraId="59F49206">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Improved drainage and reduced disease incidence</w:t>
            </w:r>
          </w:p>
        </w:tc>
        <w:tc>
          <w:tcPr>
            <w:tcW w:w="2265" w:type="dxa"/>
            <w:tcBorders>
              <w:top w:val="nil"/>
              <w:left w:val="nil"/>
              <w:bottom w:val="nil"/>
              <w:right w:val="nil"/>
            </w:tcBorders>
            <w:vAlign w:val="center"/>
          </w:tcPr>
          <w:p w14:paraId="7369A09F">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Lower disease control and maintenance costs</w:t>
            </w:r>
          </w:p>
        </w:tc>
      </w:tr>
      <w:tr w14:paraId="3198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Borders>
              <w:top w:val="nil"/>
              <w:left w:val="nil"/>
              <w:bottom w:val="nil"/>
              <w:right w:val="nil"/>
            </w:tcBorders>
            <w:vAlign w:val="center"/>
          </w:tcPr>
          <w:p w14:paraId="215A6ACF">
            <w:pPr>
              <w:keepNext w:val="0"/>
              <w:keepLines w:val="0"/>
              <w:widowControl/>
              <w:suppressLineNumbers w:val="0"/>
              <w:jc w:val="both"/>
              <w:rPr>
                <w:rFonts w:hint="default" w:ascii="Times New Roman" w:hAnsi="Times New Roman" w:eastAsia="SimSun" w:cs="Times New Roman"/>
                <w:kern w:val="0"/>
                <w:sz w:val="21"/>
                <w:szCs w:val="21"/>
                <w:lang w:val="en-US" w:eastAsia="zh-CN" w:bidi="ar"/>
              </w:rPr>
            </w:pPr>
            <w:r>
              <w:rPr>
                <w:rFonts w:hint="default" w:ascii="Times New Roman" w:hAnsi="Times New Roman" w:eastAsia="SimSun" w:cs="Times New Roman"/>
                <w:kern w:val="0"/>
                <w:sz w:val="21"/>
                <w:szCs w:val="21"/>
                <w:lang w:val="en-US" w:eastAsia="zh-CN" w:bidi="ar"/>
              </w:rPr>
              <w:t>Water management</w:t>
            </w:r>
          </w:p>
        </w:tc>
        <w:tc>
          <w:tcPr>
            <w:tcW w:w="2955" w:type="dxa"/>
            <w:tcBorders>
              <w:top w:val="nil"/>
              <w:left w:val="nil"/>
              <w:bottom w:val="nil"/>
              <w:right w:val="nil"/>
            </w:tcBorders>
            <w:vAlign w:val="center"/>
          </w:tcPr>
          <w:p w14:paraId="5E0AE423">
            <w:pPr>
              <w:keepNext w:val="0"/>
              <w:keepLines w:val="0"/>
              <w:widowControl/>
              <w:suppressLineNumbers w:val="0"/>
              <w:jc w:val="both"/>
              <w:rPr>
                <w:rFonts w:hint="default" w:ascii="Times New Roman" w:hAnsi="Times New Roman" w:eastAsia="SimSun" w:cs="Times New Roman"/>
                <w:kern w:val="0"/>
                <w:sz w:val="21"/>
                <w:szCs w:val="21"/>
                <w:lang w:val="en-US" w:eastAsia="zh-CN" w:bidi="ar"/>
              </w:rPr>
            </w:pPr>
            <w:r>
              <w:rPr>
                <w:rFonts w:hint="default" w:ascii="Times New Roman" w:hAnsi="Times New Roman" w:eastAsia="SimSun" w:cs="Times New Roman"/>
                <w:kern w:val="0"/>
                <w:sz w:val="21"/>
                <w:szCs w:val="21"/>
                <w:lang w:val="en-US" w:eastAsia="zh-CN" w:bidi="ar"/>
              </w:rPr>
              <w:t>Regular fine irrigation; maintenance of uniform soil moisture</w:t>
            </w:r>
          </w:p>
        </w:tc>
        <w:tc>
          <w:tcPr>
            <w:tcW w:w="3360" w:type="dxa"/>
            <w:tcBorders>
              <w:top w:val="nil"/>
              <w:left w:val="nil"/>
              <w:bottom w:val="nil"/>
              <w:right w:val="nil"/>
            </w:tcBorders>
            <w:vAlign w:val="center"/>
          </w:tcPr>
          <w:p w14:paraId="1D27C0DF">
            <w:pPr>
              <w:keepNext w:val="0"/>
              <w:keepLines w:val="0"/>
              <w:widowControl/>
              <w:suppressLineNumbers w:val="0"/>
              <w:jc w:val="both"/>
              <w:rPr>
                <w:rFonts w:hint="default" w:ascii="Times New Roman" w:hAnsi="Times New Roman" w:eastAsia="SimSun" w:cs="Times New Roman"/>
                <w:kern w:val="0"/>
                <w:sz w:val="21"/>
                <w:szCs w:val="21"/>
                <w:lang w:val="en-US" w:eastAsia="zh-CN" w:bidi="ar"/>
              </w:rPr>
            </w:pPr>
            <w:r>
              <w:rPr>
                <w:rFonts w:hint="default" w:ascii="Times New Roman" w:hAnsi="Times New Roman" w:eastAsia="SimSun" w:cs="Times New Roman"/>
                <w:kern w:val="0"/>
                <w:sz w:val="21"/>
                <w:szCs w:val="21"/>
                <w:lang w:val="en-US" w:eastAsia="zh-CN" w:bidi="ar"/>
              </w:rPr>
              <w:t>Reduced drought stress and improved physiological stability</w:t>
            </w:r>
          </w:p>
        </w:tc>
        <w:tc>
          <w:tcPr>
            <w:tcW w:w="2265" w:type="dxa"/>
            <w:tcBorders>
              <w:top w:val="nil"/>
              <w:left w:val="nil"/>
              <w:bottom w:val="nil"/>
              <w:right w:val="nil"/>
            </w:tcBorders>
            <w:vAlign w:val="center"/>
          </w:tcPr>
          <w:p w14:paraId="558FB39E">
            <w:pPr>
              <w:keepNext w:val="0"/>
              <w:keepLines w:val="0"/>
              <w:widowControl/>
              <w:suppressLineNumbers w:val="0"/>
              <w:jc w:val="both"/>
              <w:rPr>
                <w:rFonts w:hint="default" w:ascii="Times New Roman" w:hAnsi="Times New Roman" w:eastAsia="SimSun" w:cs="Times New Roman"/>
                <w:kern w:val="0"/>
                <w:sz w:val="21"/>
                <w:szCs w:val="21"/>
                <w:lang w:val="en-US" w:eastAsia="zh-CN" w:bidi="ar"/>
              </w:rPr>
            </w:pPr>
            <w:r>
              <w:rPr>
                <w:rFonts w:hint="default" w:ascii="Times New Roman" w:hAnsi="Times New Roman" w:eastAsia="SimSun" w:cs="Times New Roman"/>
                <w:kern w:val="0"/>
                <w:sz w:val="21"/>
                <w:szCs w:val="21"/>
                <w:lang w:val="en-US" w:eastAsia="zh-CN" w:bidi="ar"/>
              </w:rPr>
              <w:t>Improved water-use efficiency and reduced labor costs</w:t>
            </w:r>
          </w:p>
        </w:tc>
      </w:tr>
      <w:tr w14:paraId="6ED6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Borders>
              <w:top w:val="nil"/>
              <w:left w:val="nil"/>
              <w:right w:val="nil"/>
            </w:tcBorders>
            <w:vAlign w:val="center"/>
          </w:tcPr>
          <w:p w14:paraId="738735D2">
            <w:pPr>
              <w:keepNext w:val="0"/>
              <w:keepLines w:val="0"/>
              <w:widowControl/>
              <w:suppressLineNumbers w:val="0"/>
              <w:jc w:val="both"/>
              <w:rPr>
                <w:rFonts w:hint="default" w:ascii="Times New Roman" w:hAnsi="Times New Roman" w:eastAsia="SimSun" w:cs="Times New Roman"/>
                <w:kern w:val="0"/>
                <w:sz w:val="21"/>
                <w:szCs w:val="21"/>
                <w:lang w:val="en-US" w:eastAsia="zh-CN" w:bidi="ar"/>
              </w:rPr>
            </w:pPr>
            <w:r>
              <w:rPr>
                <w:rFonts w:hint="default" w:ascii="Times New Roman" w:hAnsi="Times New Roman" w:eastAsia="SimSun" w:cs="Times New Roman"/>
                <w:kern w:val="0"/>
                <w:sz w:val="21"/>
                <w:szCs w:val="21"/>
                <w:lang w:val="en-US" w:eastAsia="zh-CN" w:bidi="ar"/>
              </w:rPr>
              <w:t>Mulching and weed control</w:t>
            </w:r>
          </w:p>
        </w:tc>
        <w:tc>
          <w:tcPr>
            <w:tcW w:w="2955" w:type="dxa"/>
            <w:tcBorders>
              <w:top w:val="nil"/>
              <w:left w:val="nil"/>
              <w:right w:val="nil"/>
            </w:tcBorders>
            <w:vAlign w:val="center"/>
          </w:tcPr>
          <w:p w14:paraId="2213EA8E">
            <w:pPr>
              <w:keepNext w:val="0"/>
              <w:keepLines w:val="0"/>
              <w:widowControl/>
              <w:suppressLineNumbers w:val="0"/>
              <w:jc w:val="both"/>
              <w:rPr>
                <w:rFonts w:hint="default" w:ascii="Times New Roman" w:hAnsi="Times New Roman" w:eastAsia="SimSun" w:cs="Times New Roman"/>
                <w:kern w:val="0"/>
                <w:sz w:val="21"/>
                <w:szCs w:val="21"/>
                <w:lang w:val="en-US" w:eastAsia="zh-CN" w:bidi="ar"/>
              </w:rPr>
            </w:pPr>
            <w:r>
              <w:rPr>
                <w:rFonts w:hint="default" w:ascii="Times New Roman" w:hAnsi="Times New Roman" w:eastAsia="SimSun" w:cs="Times New Roman"/>
                <w:kern w:val="0"/>
                <w:sz w:val="21"/>
                <w:szCs w:val="21"/>
                <w:lang w:val="en-US" w:eastAsia="zh-CN" w:bidi="ar"/>
              </w:rPr>
              <w:t>Use of organic mulches (grass, leaves)</w:t>
            </w:r>
          </w:p>
        </w:tc>
        <w:tc>
          <w:tcPr>
            <w:tcW w:w="3360" w:type="dxa"/>
            <w:tcBorders>
              <w:top w:val="nil"/>
              <w:left w:val="nil"/>
              <w:right w:val="nil"/>
            </w:tcBorders>
            <w:vAlign w:val="center"/>
          </w:tcPr>
          <w:p w14:paraId="042643BC">
            <w:pPr>
              <w:keepNext w:val="0"/>
              <w:keepLines w:val="0"/>
              <w:widowControl/>
              <w:suppressLineNumbers w:val="0"/>
              <w:jc w:val="both"/>
              <w:rPr>
                <w:rFonts w:hint="default" w:ascii="Times New Roman" w:hAnsi="Times New Roman" w:eastAsia="SimSun" w:cs="Times New Roman"/>
                <w:kern w:val="0"/>
                <w:sz w:val="21"/>
                <w:szCs w:val="21"/>
                <w:lang w:val="en-US" w:eastAsia="zh-CN" w:bidi="ar"/>
              </w:rPr>
            </w:pPr>
            <w:r>
              <w:rPr>
                <w:rFonts w:hint="default" w:ascii="Times New Roman" w:hAnsi="Times New Roman" w:eastAsia="SimSun" w:cs="Times New Roman"/>
                <w:kern w:val="0"/>
                <w:sz w:val="21"/>
                <w:szCs w:val="21"/>
                <w:lang w:val="en-US" w:eastAsia="zh-CN" w:bidi="ar"/>
              </w:rPr>
              <w:t>Suppressed weed growth and stabilized soil temperature</w:t>
            </w:r>
          </w:p>
        </w:tc>
        <w:tc>
          <w:tcPr>
            <w:tcW w:w="2265" w:type="dxa"/>
            <w:tcBorders>
              <w:top w:val="nil"/>
              <w:left w:val="nil"/>
              <w:right w:val="nil"/>
            </w:tcBorders>
            <w:vAlign w:val="center"/>
          </w:tcPr>
          <w:p w14:paraId="143368B4">
            <w:pPr>
              <w:keepNext w:val="0"/>
              <w:keepLines w:val="0"/>
              <w:widowControl/>
              <w:suppressLineNumbers w:val="0"/>
              <w:jc w:val="both"/>
              <w:rPr>
                <w:rFonts w:hint="default" w:ascii="Times New Roman" w:hAnsi="Times New Roman" w:eastAsia="SimSun" w:cs="Times New Roman"/>
                <w:kern w:val="0"/>
                <w:sz w:val="21"/>
                <w:szCs w:val="21"/>
                <w:lang w:val="en-US" w:eastAsia="zh-CN" w:bidi="ar"/>
              </w:rPr>
            </w:pPr>
            <w:r>
              <w:rPr>
                <w:rFonts w:hint="default" w:ascii="Times New Roman" w:hAnsi="Times New Roman" w:eastAsia="SimSun" w:cs="Times New Roman"/>
                <w:kern w:val="0"/>
                <w:sz w:val="21"/>
                <w:szCs w:val="21"/>
                <w:lang w:val="en-US" w:eastAsia="zh-CN" w:bidi="ar"/>
              </w:rPr>
              <w:t>Reduced weeding frequency and labor expenditure</w:t>
            </w:r>
          </w:p>
        </w:tc>
      </w:tr>
    </w:tbl>
    <w:p w14:paraId="7A11AE7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b/>
          <w:bCs/>
          <w:i/>
          <w:iCs/>
          <w:sz w:val="20"/>
          <w:szCs w:val="20"/>
        </w:rPr>
      </w:pPr>
      <w:r>
        <w:rPr>
          <w:rStyle w:val="4"/>
          <w:b/>
          <w:bCs/>
          <w:i/>
          <w:iCs/>
          <w:sz w:val="20"/>
          <w:szCs w:val="20"/>
        </w:rPr>
        <w:t>Source:</w:t>
      </w:r>
      <w:r>
        <w:rPr>
          <w:b/>
          <w:bCs/>
          <w:i/>
          <w:iCs/>
          <w:sz w:val="20"/>
          <w:szCs w:val="20"/>
        </w:rPr>
        <w:t xml:space="preserve"> Tea Research Institute of Sri Lanka (2009); Tea Board of Kenya (2012, 2020); Kamunya et al. (2019).</w:t>
      </w:r>
    </w:p>
    <w:p w14:paraId="12202C00">
      <w:pPr>
        <w:pStyle w:val="5"/>
        <w:keepNext w:val="0"/>
        <w:keepLines w:val="0"/>
        <w:widowControl/>
        <w:suppressLineNumbers w:val="0"/>
        <w:spacing w:line="360" w:lineRule="auto"/>
        <w:jc w:val="both"/>
      </w:pPr>
      <w:r>
        <w:t xml:space="preserve">Similarly, the incorporation of organic materials into potting media and nursery beds improves soil structure, moisture retention, and nutrient availability, which can lower fertilizer requirements and maintenance costs during the nursery phase (Kamunya </w:t>
      </w:r>
      <w:r>
        <w:rPr>
          <w:i/>
          <w:iCs/>
        </w:rPr>
        <w:t>et al.,</w:t>
      </w:r>
      <w:r>
        <w:t xml:space="preserve"> 2019; Tea Research Institute of Sri Lanka, 2009). Effective water management and the application of organic mulches further stabilize the nursery micro</w:t>
      </w:r>
      <w:r>
        <w:rPr>
          <w:rFonts w:hint="default"/>
          <w:lang w:val="en-US"/>
        </w:rPr>
        <w:t>-</w:t>
      </w:r>
      <w:r>
        <w:t>environment, suppress weed growth, and reduce labor inputs associated with frequent weeding and replanting. Collectively, these practices underscore the close linkage between soil-centered nursery management and the economic sustainability of tea seedling production, highlighting the value of adopting standardized, research-based nursery protocols in tea production systems.</w:t>
      </w:r>
    </w:p>
    <w:p w14:paraId="43768B94">
      <w:pPr>
        <w:pStyle w:val="5"/>
        <w:keepNext w:val="0"/>
        <w:keepLines w:val="0"/>
        <w:widowControl/>
        <w:suppressLineNumbers w:val="0"/>
        <w:spacing w:line="360" w:lineRule="auto"/>
        <w:jc w:val="both"/>
      </w:pPr>
      <w:r>
        <w:rPr>
          <w:rStyle w:val="6"/>
        </w:rPr>
        <w:t>Steps in Tea Nursery Establishment</w:t>
      </w:r>
      <w:r>
        <w:t xml:space="preserve"> </w:t>
      </w:r>
    </w:p>
    <w:p w14:paraId="25AA6547">
      <w:pPr>
        <w:pStyle w:val="5"/>
        <w:keepNext w:val="0"/>
        <w:keepLines w:val="0"/>
        <w:widowControl/>
        <w:suppressLineNumbers w:val="0"/>
        <w:spacing w:line="360" w:lineRule="auto"/>
        <w:jc w:val="both"/>
      </w:pPr>
      <w:r>
        <w:t>Tea nursery establishment follows sequential steps such as site selection, nursery shed construction, soil and potting media preparation, nursery bed preparation, pot filling and stacking, and continuous maintenance. Each step influences seedling vigor, cost efficiency, and final plantation success.</w:t>
      </w:r>
    </w:p>
    <w:p w14:paraId="1E821DED">
      <w:pPr>
        <w:pStyle w:val="5"/>
        <w:keepNext w:val="0"/>
        <w:keepLines w:val="0"/>
        <w:widowControl/>
        <w:numPr>
          <w:ilvl w:val="0"/>
          <w:numId w:val="1"/>
        </w:numPr>
        <w:suppressLineNumbers w:val="0"/>
        <w:spacing w:line="360" w:lineRule="auto"/>
        <w:jc w:val="both"/>
      </w:pPr>
      <w:r>
        <w:rPr>
          <w:rStyle w:val="6"/>
        </w:rPr>
        <w:t>Site Selection</w:t>
      </w:r>
      <w:r>
        <w:t xml:space="preserve"> </w:t>
      </w:r>
    </w:p>
    <w:p w14:paraId="1B90C539">
      <w:pPr>
        <w:pStyle w:val="5"/>
        <w:keepNext w:val="0"/>
        <w:keepLines w:val="0"/>
        <w:widowControl/>
        <w:numPr>
          <w:ilvl w:val="0"/>
          <w:numId w:val="0"/>
        </w:numPr>
        <w:suppressLineNumbers w:val="0"/>
        <w:spacing w:line="360" w:lineRule="auto"/>
        <w:ind w:right="0" w:rightChars="0"/>
        <w:jc w:val="both"/>
      </w:pPr>
      <w:r>
        <w:t xml:space="preserve">The selection of an appropriate nursery site is critical for successful seedling production. Key considerations include soil characteristics and access to a dependable water supply. A suitable site should be well-drained to prevent </w:t>
      </w:r>
      <w:r>
        <w:rPr>
          <w:lang w:val="en-US"/>
        </w:rPr>
        <w:t>water logging</w:t>
      </w:r>
      <w:r>
        <w:t xml:space="preserve"> and located in an area that is easily accessible for routine management and distribution of seedlings (Table 1).</w:t>
      </w:r>
    </w:p>
    <w:p w14:paraId="5C0486CB">
      <w:pPr>
        <w:pStyle w:val="5"/>
        <w:keepNext w:val="0"/>
        <w:keepLines w:val="0"/>
        <w:widowControl/>
        <w:suppressLineNumbers w:val="0"/>
        <w:spacing w:line="360" w:lineRule="auto"/>
        <w:jc w:val="both"/>
      </w:pPr>
      <w:r>
        <w:t>Sandy loam soils enriched with organic matter are generally preferred because they provide a balanced structure that supports root development, aeration, and moisture retention. In addition, slightly acidic soil conditions favour nutrient availability and uptake in tea seedlings. A soil pH range of 4.5</w:t>
      </w:r>
      <w:r>
        <w:rPr>
          <w:rFonts w:hint="default"/>
          <w:lang w:val="en-US"/>
        </w:rPr>
        <w:t>-</w:t>
      </w:r>
      <w:r>
        <w:t>5.5 is widely regarded as suitable for tea nursery establishment and early plant growth (Food and Agriculture Organization of the United Nations, 2021; Tea Research Association, 2020). Poorly selected sites increase irrigation costs and seedling losses, thereby raising overall nursery expenditure.</w:t>
      </w:r>
    </w:p>
    <w:p w14:paraId="63118426">
      <w:pPr>
        <w:pStyle w:val="5"/>
        <w:keepNext w:val="0"/>
        <w:keepLines w:val="0"/>
        <w:widowControl/>
        <w:numPr>
          <w:ilvl w:val="0"/>
          <w:numId w:val="1"/>
        </w:numPr>
        <w:suppressLineNumbers w:val="0"/>
        <w:spacing w:line="360" w:lineRule="auto"/>
        <w:ind w:left="0" w:leftChars="0" w:firstLine="0" w:firstLineChars="0"/>
        <w:jc w:val="both"/>
      </w:pPr>
      <w:r>
        <w:rPr>
          <w:rStyle w:val="6"/>
        </w:rPr>
        <w:t>Nursery Shed Construction</w:t>
      </w:r>
      <w:r>
        <w:t xml:space="preserve"> </w:t>
      </w:r>
    </w:p>
    <w:p w14:paraId="65DBA832">
      <w:pPr>
        <w:pStyle w:val="5"/>
        <w:keepNext w:val="0"/>
        <w:keepLines w:val="0"/>
        <w:widowControl/>
        <w:numPr>
          <w:ilvl w:val="0"/>
          <w:numId w:val="0"/>
        </w:numPr>
        <w:suppressLineNumbers w:val="0"/>
        <w:spacing w:line="360" w:lineRule="auto"/>
        <w:ind w:leftChars="0" w:right="0" w:rightChars="0"/>
        <w:jc w:val="both"/>
      </w:pPr>
      <w:r>
        <w:t>A well-constructed nursery shed with adequate shade is critical for protecting seedlings from excessive radiation. The use of low-cost materials such as bamboo, palm fronds, or shade nets can provide 50</w:t>
      </w:r>
      <w:r>
        <w:rPr>
          <w:rFonts w:hint="default"/>
          <w:lang w:val="en-US"/>
        </w:rPr>
        <w:t>-</w:t>
      </w:r>
      <w:r>
        <w:t>60% shading. Studies show that effective shading reduces mortality by up to 30%, minimizing replanting costs (Rabo &amp; Mazadu, 2018).</w:t>
      </w:r>
    </w:p>
    <w:p w14:paraId="598C155B">
      <w:pPr>
        <w:pStyle w:val="5"/>
        <w:keepNext w:val="0"/>
        <w:keepLines w:val="0"/>
        <w:widowControl/>
        <w:numPr>
          <w:ilvl w:val="0"/>
          <w:numId w:val="1"/>
        </w:numPr>
        <w:suppressLineNumbers w:val="0"/>
        <w:spacing w:line="360" w:lineRule="auto"/>
        <w:ind w:left="0" w:leftChars="0" w:firstLine="0" w:firstLineChars="0"/>
        <w:jc w:val="both"/>
      </w:pPr>
      <w:r>
        <w:rPr>
          <w:rStyle w:val="6"/>
        </w:rPr>
        <w:t>Soil Mixture and Potting Media Preparation</w:t>
      </w:r>
      <w:r>
        <w:t xml:space="preserve"> </w:t>
      </w:r>
    </w:p>
    <w:p w14:paraId="5232E65D">
      <w:pPr>
        <w:pStyle w:val="5"/>
        <w:keepNext w:val="0"/>
        <w:keepLines w:val="0"/>
        <w:widowControl/>
        <w:numPr>
          <w:ilvl w:val="0"/>
          <w:numId w:val="0"/>
        </w:numPr>
        <w:suppressLineNumbers w:val="0"/>
        <w:spacing w:line="360" w:lineRule="auto"/>
        <w:ind w:leftChars="0" w:right="0" w:rightChars="0"/>
        <w:jc w:val="both"/>
      </w:pPr>
      <w:r>
        <w:t>Tea seedlings require a well-prepared medium, rich in organic matter, with good aeration and moisture retention. Incorporating compost at about 25</w:t>
      </w:r>
      <w:r>
        <w:rPr>
          <w:rFonts w:hint="default"/>
          <w:lang w:val="en-US"/>
        </w:rPr>
        <w:t>-</w:t>
      </w:r>
      <w:r>
        <w:t xml:space="preserve">30% of the media, farmyard manure, and sometimes </w:t>
      </w:r>
      <w:r>
        <w:rPr>
          <w:rFonts w:hint="default"/>
          <w:lang w:val="en-US"/>
        </w:rPr>
        <w:t>B</w:t>
      </w:r>
      <w:r>
        <w:t xml:space="preserve">iochar improves soil structure and enhances cation exchange capacity, water holding capacity and nutrient availability (Rana </w:t>
      </w:r>
      <w:r>
        <w:rPr>
          <w:i/>
          <w:iCs/>
        </w:rPr>
        <w:t>et al.</w:t>
      </w:r>
      <w:r>
        <w:t xml:space="preserve">, 2023). For polythene sleeves, a 2:1:1 ratio of topsoil, sand, and organic manure is often used. Recent studies confirm that adding </w:t>
      </w:r>
      <w:r>
        <w:rPr>
          <w:rFonts w:hint="default"/>
          <w:lang w:val="en-US"/>
        </w:rPr>
        <w:t>B</w:t>
      </w:r>
      <w:r>
        <w:t xml:space="preserve">iochar improves soil aeration and reduces reliance on fertilizers (Mondal </w:t>
      </w:r>
      <w:r>
        <w:rPr>
          <w:i/>
          <w:iCs/>
        </w:rPr>
        <w:t>et al.</w:t>
      </w:r>
      <w:r>
        <w:t>, 2022). Construction of raised nursery beds improves drainage and reduces disease incidence. Beds are usually 1</w:t>
      </w:r>
      <w:r>
        <w:rPr>
          <w:rFonts w:hint="default"/>
          <w:lang w:val="en-US"/>
        </w:rPr>
        <w:t>-</w:t>
      </w:r>
      <w:r>
        <w:t>1.2 m wide by 20</w:t>
      </w:r>
      <w:r>
        <w:rPr>
          <w:rFonts w:hint="default"/>
          <w:lang w:val="en-US"/>
        </w:rPr>
        <w:t>-</w:t>
      </w:r>
      <w:r>
        <w:t>30 cm high. Mixing organic materials such as manures and compost during bed preparation enhances nutrient availability and improves soil health. From an economic perspective, such practices reduce dependency on synthetic fertilizers and lower overall nursery input costs.</w:t>
      </w:r>
    </w:p>
    <w:p w14:paraId="136EE5E2">
      <w:pPr>
        <w:pStyle w:val="5"/>
        <w:keepNext w:val="0"/>
        <w:keepLines w:val="0"/>
        <w:widowControl/>
        <w:numPr>
          <w:ilvl w:val="0"/>
          <w:numId w:val="1"/>
        </w:numPr>
        <w:suppressLineNumbers w:val="0"/>
        <w:spacing w:line="240" w:lineRule="auto"/>
        <w:ind w:left="0" w:leftChars="0" w:firstLine="0" w:firstLineChars="0"/>
        <w:jc w:val="both"/>
      </w:pPr>
      <w:r>
        <w:rPr>
          <w:rStyle w:val="6"/>
        </w:rPr>
        <w:t>Pot Filling and Arrangements in the Nursery</w:t>
      </w:r>
      <w:r>
        <w:t xml:space="preserve"> </w:t>
      </w:r>
    </w:p>
    <w:p w14:paraId="0E3DC566">
      <w:pPr>
        <w:pStyle w:val="5"/>
        <w:keepNext w:val="0"/>
        <w:keepLines w:val="0"/>
        <w:widowControl/>
        <w:numPr>
          <w:ilvl w:val="0"/>
          <w:numId w:val="0"/>
        </w:numPr>
        <w:suppressLineNumbers w:val="0"/>
        <w:spacing w:line="360" w:lineRule="auto"/>
        <w:ind w:leftChars="0" w:right="0" w:rightChars="0"/>
        <w:jc w:val="both"/>
      </w:pPr>
      <w:r>
        <w:t>Well-prepared soil mixtures are filled into the polythene pots and neatly arranged in rows of 200</w:t>
      </w:r>
      <w:r>
        <w:rPr>
          <w:rFonts w:hint="default"/>
          <w:lang w:val="en-US"/>
        </w:rPr>
        <w:t>-</w:t>
      </w:r>
      <w:r>
        <w:t xml:space="preserve">500 pots, ensuring adequate spacing for aeration and movement of nursery staff for proper management practices such as watering, weeding, and supplying replacements of badly sprouted or germinated seeds. Proper arrangement reduces disease spread and facilitates efficient watering and weeding (Paul </w:t>
      </w:r>
      <w:r>
        <w:rPr>
          <w:i/>
          <w:iCs/>
        </w:rPr>
        <w:t>et al.,</w:t>
      </w:r>
      <w:r>
        <w:t xml:space="preserve"> 2021).</w:t>
      </w:r>
    </w:p>
    <w:p w14:paraId="2DB1C57E">
      <w:pPr>
        <w:pStyle w:val="5"/>
        <w:keepNext w:val="0"/>
        <w:keepLines w:val="0"/>
        <w:widowControl/>
        <w:numPr>
          <w:ilvl w:val="0"/>
          <w:numId w:val="1"/>
        </w:numPr>
        <w:suppressLineNumbers w:val="0"/>
        <w:spacing w:line="360" w:lineRule="auto"/>
        <w:ind w:left="0" w:leftChars="0" w:firstLine="0" w:firstLineChars="0"/>
        <w:jc w:val="both"/>
      </w:pPr>
      <w:r>
        <w:rPr>
          <w:rStyle w:val="6"/>
        </w:rPr>
        <w:t>Seed Source and Propagation Material</w:t>
      </w:r>
      <w:r>
        <w:t xml:space="preserve"> </w:t>
      </w:r>
    </w:p>
    <w:p w14:paraId="3DF9B292">
      <w:pPr>
        <w:pStyle w:val="5"/>
        <w:keepNext w:val="0"/>
        <w:keepLines w:val="0"/>
        <w:widowControl/>
        <w:numPr>
          <w:ilvl w:val="0"/>
          <w:numId w:val="0"/>
        </w:numPr>
        <w:suppressLineNumbers w:val="0"/>
        <w:spacing w:line="360" w:lineRule="auto"/>
        <w:ind w:leftChars="0" w:right="0" w:rightChars="0"/>
        <w:jc w:val="both"/>
      </w:pPr>
      <w:r>
        <w:t xml:space="preserve">The use of good planting materials from a reputable research institute such as CRIN will determine the success of a nursery investment in the long run. The quality of propagation material is the first determinant of both biological success and economic return. Where resources permit, clonal cuttings are superior in uniformity and productivity, though they require greater initial investment. Smallholders often rely on </w:t>
      </w:r>
      <w:r>
        <w:rPr>
          <w:lang w:val="en-US"/>
        </w:rPr>
        <w:t>poly-clonal</w:t>
      </w:r>
      <w:r>
        <w:t xml:space="preserve"> seeds, which are cheaper but less predictable. As Bhagat </w:t>
      </w:r>
      <w:r>
        <w:rPr>
          <w:i/>
          <w:iCs/>
        </w:rPr>
        <w:t>et al.</w:t>
      </w:r>
      <w:r>
        <w:t xml:space="preserve"> (2022) reported, the higher establishment success of clonal plants justifies the higher cost in the long run.</w:t>
      </w:r>
    </w:p>
    <w:p w14:paraId="4A2CDBEA">
      <w:pPr>
        <w:pStyle w:val="5"/>
        <w:keepNext w:val="0"/>
        <w:keepLines w:val="0"/>
        <w:widowControl/>
        <w:numPr>
          <w:ilvl w:val="0"/>
          <w:numId w:val="1"/>
        </w:numPr>
        <w:suppressLineNumbers w:val="0"/>
        <w:spacing w:line="240" w:lineRule="auto"/>
        <w:ind w:left="0" w:leftChars="0" w:firstLine="0" w:firstLineChars="0"/>
        <w:jc w:val="both"/>
      </w:pPr>
      <w:r>
        <w:rPr>
          <w:rStyle w:val="6"/>
        </w:rPr>
        <w:t>Nursery Materials and Quantity Needs</w:t>
      </w:r>
      <w:r>
        <w:t xml:space="preserve"> </w:t>
      </w:r>
    </w:p>
    <w:p w14:paraId="6EB210D8">
      <w:pPr>
        <w:pStyle w:val="5"/>
        <w:keepNext w:val="0"/>
        <w:keepLines w:val="0"/>
        <w:widowControl/>
        <w:numPr>
          <w:ilvl w:val="0"/>
          <w:numId w:val="0"/>
        </w:numPr>
        <w:suppressLineNumbers w:val="0"/>
        <w:spacing w:line="360" w:lineRule="auto"/>
        <w:ind w:leftChars="0" w:right="0" w:rightChars="0"/>
        <w:jc w:val="both"/>
      </w:pPr>
      <w:r>
        <w:t>Resource planning is crucial for economic viability. Table 2 presents the estimated materials required for a one-hectare tea seedling nursery.</w:t>
      </w:r>
    </w:p>
    <w:p w14:paraId="58E8F2B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Style w:val="6"/>
        </w:rPr>
      </w:pPr>
      <w:r>
        <w:rPr>
          <w:rStyle w:val="6"/>
        </w:rPr>
        <w:t>Table 2: Estimated Nursery Materials and Quantity per Hectare</w:t>
      </w:r>
    </w:p>
    <w:tbl>
      <w:tblPr>
        <w:tblStyle w:val="7"/>
        <w:tblW w:w="10650" w:type="dxa"/>
        <w:tblInd w:w="-10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gridCol w:w="3000"/>
        <w:gridCol w:w="3600"/>
      </w:tblGrid>
      <w:tr w14:paraId="6F74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0" w:type="dxa"/>
            <w:tcBorders>
              <w:left w:val="nil"/>
              <w:bottom w:val="single" w:color="auto" w:sz="4" w:space="0"/>
              <w:right w:val="nil"/>
            </w:tcBorders>
            <w:vAlign w:val="center"/>
          </w:tcPr>
          <w:p w14:paraId="39711A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Style w:val="6"/>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Materials</w:t>
            </w:r>
          </w:p>
        </w:tc>
        <w:tc>
          <w:tcPr>
            <w:tcW w:w="3000" w:type="dxa"/>
            <w:tcBorders>
              <w:left w:val="nil"/>
              <w:bottom w:val="single" w:color="auto" w:sz="4" w:space="0"/>
              <w:right w:val="nil"/>
            </w:tcBorders>
            <w:vAlign w:val="center"/>
          </w:tcPr>
          <w:p w14:paraId="79B837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Style w:val="6"/>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Quantity Required (per ha)</w:t>
            </w:r>
          </w:p>
        </w:tc>
        <w:tc>
          <w:tcPr>
            <w:tcW w:w="3600" w:type="dxa"/>
            <w:tcBorders>
              <w:left w:val="nil"/>
              <w:bottom w:val="single" w:color="auto" w:sz="4" w:space="0"/>
              <w:right w:val="nil"/>
            </w:tcBorders>
            <w:vAlign w:val="center"/>
          </w:tcPr>
          <w:p w14:paraId="548ED0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Style w:val="6"/>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Purpose(s)</w:t>
            </w:r>
          </w:p>
        </w:tc>
      </w:tr>
      <w:tr w14:paraId="644D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0" w:type="dxa"/>
            <w:tcBorders>
              <w:top w:val="single" w:color="auto" w:sz="4" w:space="0"/>
              <w:left w:val="nil"/>
              <w:bottom w:val="nil"/>
              <w:right w:val="nil"/>
            </w:tcBorders>
            <w:vAlign w:val="center"/>
          </w:tcPr>
          <w:p w14:paraId="6C8D1A15">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Polythene pots (20 × 25 cm)</w:t>
            </w:r>
          </w:p>
        </w:tc>
        <w:tc>
          <w:tcPr>
            <w:tcW w:w="3000" w:type="dxa"/>
            <w:tcBorders>
              <w:top w:val="single" w:color="auto" w:sz="4" w:space="0"/>
              <w:left w:val="nil"/>
              <w:bottom w:val="nil"/>
              <w:right w:val="nil"/>
            </w:tcBorders>
            <w:vAlign w:val="center"/>
          </w:tcPr>
          <w:p w14:paraId="390287EC">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200,000-250,000 units</w:t>
            </w:r>
          </w:p>
        </w:tc>
        <w:tc>
          <w:tcPr>
            <w:tcW w:w="3600" w:type="dxa"/>
            <w:tcBorders>
              <w:top w:val="single" w:color="auto" w:sz="4" w:space="0"/>
              <w:left w:val="nil"/>
              <w:bottom w:val="nil"/>
              <w:right w:val="nil"/>
            </w:tcBorders>
            <w:vAlign w:val="center"/>
          </w:tcPr>
          <w:p w14:paraId="0864F2BF">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Seedling raising</w:t>
            </w:r>
          </w:p>
        </w:tc>
      </w:tr>
      <w:tr w14:paraId="7479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0" w:type="dxa"/>
            <w:tcBorders>
              <w:top w:val="nil"/>
              <w:left w:val="nil"/>
              <w:bottom w:val="nil"/>
              <w:right w:val="nil"/>
            </w:tcBorders>
            <w:vAlign w:val="center"/>
          </w:tcPr>
          <w:p w14:paraId="5524535F">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Topsoil (loam)</w:t>
            </w:r>
          </w:p>
        </w:tc>
        <w:tc>
          <w:tcPr>
            <w:tcW w:w="3000" w:type="dxa"/>
            <w:tcBorders>
              <w:top w:val="nil"/>
              <w:left w:val="nil"/>
              <w:bottom w:val="nil"/>
              <w:right w:val="nil"/>
            </w:tcBorders>
            <w:vAlign w:val="center"/>
          </w:tcPr>
          <w:p w14:paraId="71DFE443">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600-700 m³</w:t>
            </w:r>
          </w:p>
        </w:tc>
        <w:tc>
          <w:tcPr>
            <w:tcW w:w="3600" w:type="dxa"/>
            <w:tcBorders>
              <w:top w:val="nil"/>
              <w:left w:val="nil"/>
              <w:bottom w:val="nil"/>
              <w:right w:val="nil"/>
            </w:tcBorders>
            <w:vAlign w:val="center"/>
          </w:tcPr>
          <w:p w14:paraId="7A276518">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Potting medium</w:t>
            </w:r>
          </w:p>
        </w:tc>
      </w:tr>
      <w:tr w14:paraId="2D08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0" w:type="dxa"/>
            <w:tcBorders>
              <w:top w:val="nil"/>
              <w:left w:val="nil"/>
              <w:bottom w:val="nil"/>
              <w:right w:val="nil"/>
            </w:tcBorders>
            <w:vAlign w:val="center"/>
          </w:tcPr>
          <w:p w14:paraId="3EAFD6DD">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Sand</w:t>
            </w:r>
          </w:p>
        </w:tc>
        <w:tc>
          <w:tcPr>
            <w:tcW w:w="3000" w:type="dxa"/>
            <w:tcBorders>
              <w:top w:val="nil"/>
              <w:left w:val="nil"/>
              <w:bottom w:val="nil"/>
              <w:right w:val="nil"/>
            </w:tcBorders>
            <w:vAlign w:val="center"/>
          </w:tcPr>
          <w:p w14:paraId="7B09CDBE">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150-200 m³</w:t>
            </w:r>
          </w:p>
        </w:tc>
        <w:tc>
          <w:tcPr>
            <w:tcW w:w="3600" w:type="dxa"/>
            <w:tcBorders>
              <w:top w:val="nil"/>
              <w:left w:val="nil"/>
              <w:bottom w:val="nil"/>
              <w:right w:val="nil"/>
            </w:tcBorders>
            <w:vAlign w:val="center"/>
          </w:tcPr>
          <w:p w14:paraId="25C044FE">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Drainage improvement</w:t>
            </w:r>
          </w:p>
        </w:tc>
      </w:tr>
      <w:tr w14:paraId="0DD0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0" w:type="dxa"/>
            <w:tcBorders>
              <w:top w:val="nil"/>
              <w:left w:val="nil"/>
              <w:bottom w:val="nil"/>
              <w:right w:val="nil"/>
            </w:tcBorders>
            <w:vAlign w:val="center"/>
          </w:tcPr>
          <w:p w14:paraId="320EBEEF">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Organic manure/compost</w:t>
            </w:r>
          </w:p>
        </w:tc>
        <w:tc>
          <w:tcPr>
            <w:tcW w:w="3000" w:type="dxa"/>
            <w:tcBorders>
              <w:top w:val="nil"/>
              <w:left w:val="nil"/>
              <w:bottom w:val="nil"/>
              <w:right w:val="nil"/>
            </w:tcBorders>
            <w:vAlign w:val="center"/>
          </w:tcPr>
          <w:p w14:paraId="3B0BD16E">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100-120 m³</w:t>
            </w:r>
          </w:p>
        </w:tc>
        <w:tc>
          <w:tcPr>
            <w:tcW w:w="3600" w:type="dxa"/>
            <w:tcBorders>
              <w:top w:val="nil"/>
              <w:left w:val="nil"/>
              <w:bottom w:val="nil"/>
              <w:right w:val="nil"/>
            </w:tcBorders>
            <w:vAlign w:val="center"/>
          </w:tcPr>
          <w:p w14:paraId="3AA6417B">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Nutrient supply</w:t>
            </w:r>
          </w:p>
        </w:tc>
      </w:tr>
      <w:tr w14:paraId="351A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0" w:type="dxa"/>
            <w:tcBorders>
              <w:top w:val="nil"/>
              <w:left w:val="nil"/>
              <w:bottom w:val="nil"/>
              <w:right w:val="nil"/>
            </w:tcBorders>
            <w:vAlign w:val="center"/>
          </w:tcPr>
          <w:p w14:paraId="435F710F">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Shade materials (bamboo mats/shade nets)</w:t>
            </w:r>
          </w:p>
        </w:tc>
        <w:tc>
          <w:tcPr>
            <w:tcW w:w="3000" w:type="dxa"/>
            <w:tcBorders>
              <w:top w:val="nil"/>
              <w:left w:val="nil"/>
              <w:bottom w:val="nil"/>
              <w:right w:val="nil"/>
            </w:tcBorders>
            <w:vAlign w:val="center"/>
          </w:tcPr>
          <w:p w14:paraId="15CDCC24">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0.5-1.0 ha coverage</w:t>
            </w:r>
          </w:p>
        </w:tc>
        <w:tc>
          <w:tcPr>
            <w:tcW w:w="3600" w:type="dxa"/>
            <w:tcBorders>
              <w:top w:val="nil"/>
              <w:left w:val="nil"/>
              <w:bottom w:val="nil"/>
              <w:right w:val="nil"/>
            </w:tcBorders>
            <w:vAlign w:val="center"/>
          </w:tcPr>
          <w:p w14:paraId="65D69C99">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Radiation control</w:t>
            </w:r>
          </w:p>
        </w:tc>
      </w:tr>
      <w:tr w14:paraId="014D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0" w:type="dxa"/>
            <w:tcBorders>
              <w:top w:val="nil"/>
              <w:left w:val="nil"/>
              <w:bottom w:val="nil"/>
              <w:right w:val="nil"/>
            </w:tcBorders>
            <w:vAlign w:val="center"/>
          </w:tcPr>
          <w:p w14:paraId="0A38A6EB">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Watering cans/drip system</w:t>
            </w:r>
          </w:p>
        </w:tc>
        <w:tc>
          <w:tcPr>
            <w:tcW w:w="3000" w:type="dxa"/>
            <w:tcBorders>
              <w:top w:val="nil"/>
              <w:left w:val="nil"/>
              <w:bottom w:val="nil"/>
              <w:right w:val="nil"/>
            </w:tcBorders>
            <w:vAlign w:val="center"/>
          </w:tcPr>
          <w:p w14:paraId="5EFA1A5E">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20-30 units or 1 ha system</w:t>
            </w:r>
          </w:p>
        </w:tc>
        <w:tc>
          <w:tcPr>
            <w:tcW w:w="3600" w:type="dxa"/>
            <w:tcBorders>
              <w:top w:val="nil"/>
              <w:left w:val="nil"/>
              <w:bottom w:val="nil"/>
              <w:right w:val="nil"/>
            </w:tcBorders>
            <w:vAlign w:val="center"/>
          </w:tcPr>
          <w:p w14:paraId="463C9D63">
            <w:pPr>
              <w:keepNext w:val="0"/>
              <w:keepLines w:val="0"/>
              <w:widowControl/>
              <w:suppressLineNumbers w:val="0"/>
              <w:spacing w:line="360" w:lineRule="auto"/>
              <w:jc w:val="both"/>
              <w:rPr>
                <w:rStyle w:val="6"/>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Irrigation</w:t>
            </w:r>
          </w:p>
        </w:tc>
      </w:tr>
      <w:tr w14:paraId="5286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0" w:type="dxa"/>
            <w:tcBorders>
              <w:top w:val="nil"/>
              <w:left w:val="nil"/>
              <w:bottom w:val="nil"/>
              <w:right w:val="nil"/>
            </w:tcBorders>
            <w:vAlign w:val="center"/>
          </w:tcPr>
          <w:p w14:paraId="7D6248C1">
            <w:pPr>
              <w:keepNext w:val="0"/>
              <w:keepLines w:val="0"/>
              <w:widowControl/>
              <w:suppressLineNumbers w:val="0"/>
              <w:spacing w:line="360" w:lineRule="auto"/>
              <w:jc w:val="both"/>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Hand tools (hoes, spades, wheelbarrows)</w:t>
            </w:r>
          </w:p>
        </w:tc>
        <w:tc>
          <w:tcPr>
            <w:tcW w:w="3000" w:type="dxa"/>
            <w:tcBorders>
              <w:top w:val="nil"/>
              <w:left w:val="nil"/>
              <w:bottom w:val="nil"/>
              <w:right w:val="nil"/>
            </w:tcBorders>
            <w:vAlign w:val="center"/>
          </w:tcPr>
          <w:p w14:paraId="6B4C10C2">
            <w:pPr>
              <w:keepNext w:val="0"/>
              <w:keepLines w:val="0"/>
              <w:widowControl/>
              <w:suppressLineNumbers w:val="0"/>
              <w:spacing w:line="360" w:lineRule="auto"/>
              <w:jc w:val="both"/>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50-60 units</w:t>
            </w:r>
          </w:p>
        </w:tc>
        <w:tc>
          <w:tcPr>
            <w:tcW w:w="3600" w:type="dxa"/>
            <w:tcBorders>
              <w:top w:val="nil"/>
              <w:left w:val="nil"/>
              <w:bottom w:val="nil"/>
              <w:right w:val="nil"/>
            </w:tcBorders>
            <w:vAlign w:val="center"/>
          </w:tcPr>
          <w:p w14:paraId="33A7BCB6">
            <w:pPr>
              <w:keepNext w:val="0"/>
              <w:keepLines w:val="0"/>
              <w:widowControl/>
              <w:suppressLineNumbers w:val="0"/>
              <w:spacing w:line="360" w:lineRule="auto"/>
              <w:jc w:val="both"/>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Bed preparation</w:t>
            </w:r>
          </w:p>
        </w:tc>
      </w:tr>
      <w:tr w14:paraId="221B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0" w:type="dxa"/>
            <w:tcBorders>
              <w:top w:val="nil"/>
              <w:left w:val="nil"/>
              <w:right w:val="nil"/>
            </w:tcBorders>
            <w:vAlign w:val="center"/>
          </w:tcPr>
          <w:p w14:paraId="3410FEB9">
            <w:pPr>
              <w:keepNext w:val="0"/>
              <w:keepLines w:val="0"/>
              <w:widowControl/>
              <w:suppressLineNumbers w:val="0"/>
              <w:spacing w:line="360" w:lineRule="auto"/>
              <w:jc w:val="both"/>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Mulching materials (grass, leaves)</w:t>
            </w:r>
          </w:p>
        </w:tc>
        <w:tc>
          <w:tcPr>
            <w:tcW w:w="3000" w:type="dxa"/>
            <w:tcBorders>
              <w:top w:val="nil"/>
              <w:left w:val="nil"/>
              <w:right w:val="nil"/>
            </w:tcBorders>
            <w:vAlign w:val="center"/>
          </w:tcPr>
          <w:p w14:paraId="5069C018">
            <w:pPr>
              <w:keepNext w:val="0"/>
              <w:keepLines w:val="0"/>
              <w:widowControl/>
              <w:suppressLineNumbers w:val="0"/>
              <w:spacing w:line="360" w:lineRule="auto"/>
              <w:jc w:val="both"/>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8-10 tons</w:t>
            </w:r>
          </w:p>
        </w:tc>
        <w:tc>
          <w:tcPr>
            <w:tcW w:w="3600" w:type="dxa"/>
            <w:tcBorders>
              <w:top w:val="nil"/>
              <w:left w:val="nil"/>
              <w:right w:val="nil"/>
            </w:tcBorders>
            <w:vAlign w:val="center"/>
          </w:tcPr>
          <w:p w14:paraId="524731A0">
            <w:pPr>
              <w:keepNext w:val="0"/>
              <w:keepLines w:val="0"/>
              <w:widowControl/>
              <w:suppressLineNumbers w:val="0"/>
              <w:spacing w:line="360" w:lineRule="auto"/>
              <w:jc w:val="both"/>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Weed control and moisture retention</w:t>
            </w:r>
          </w:p>
        </w:tc>
      </w:tr>
    </w:tbl>
    <w:p w14:paraId="1185A66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b/>
          <w:bCs/>
          <w:i/>
          <w:iCs/>
          <w:sz w:val="20"/>
          <w:szCs w:val="20"/>
        </w:rPr>
      </w:pPr>
      <w:r>
        <w:rPr>
          <w:rStyle w:val="4"/>
          <w:b/>
          <w:bCs/>
          <w:i/>
          <w:iCs/>
          <w:sz w:val="20"/>
          <w:szCs w:val="20"/>
        </w:rPr>
        <w:t>Source:</w:t>
      </w:r>
      <w:r>
        <w:rPr>
          <w:b/>
          <w:bCs/>
          <w:i/>
          <w:iCs/>
          <w:sz w:val="20"/>
          <w:szCs w:val="20"/>
        </w:rPr>
        <w:t xml:space="preserve"> Adapted from Bhuyan et al. (2020); Ahmed et al. (2023).</w:t>
      </w:r>
    </w:p>
    <w:p w14:paraId="1903CCB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6"/>
        </w:rPr>
      </w:pPr>
    </w:p>
    <w:p w14:paraId="22F164B2">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Style w:val="6"/>
        </w:rPr>
      </w:pPr>
      <w:r>
        <w:rPr>
          <w:rStyle w:val="6"/>
        </w:rPr>
        <w:t>Nursery Maintenance</w:t>
      </w:r>
    </w:p>
    <w:p w14:paraId="126AB51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jc w:val="both"/>
        <w:textAlignment w:val="auto"/>
        <w:rPr>
          <w:rStyle w:val="6"/>
        </w:rPr>
      </w:pPr>
    </w:p>
    <w:p w14:paraId="472D84D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rPr>
          <w:rStyle w:val="6"/>
        </w:rPr>
        <w:t>i) Nutrient Management</w:t>
      </w:r>
      <w:r>
        <w:t xml:space="preserve"> </w:t>
      </w:r>
    </w:p>
    <w:p w14:paraId="27586C9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t>Nitrogen is critical for tea seedlings. Split application of fertilizer (about 25</w:t>
      </w:r>
      <w:r>
        <w:rPr>
          <w:rFonts w:hint="default"/>
          <w:lang w:val="en-US"/>
        </w:rPr>
        <w:t>-</w:t>
      </w:r>
      <w:r>
        <w:t>45 g N/m² in 3</w:t>
      </w:r>
      <w:r>
        <w:rPr>
          <w:rFonts w:hint="default"/>
          <w:lang w:val="en-US"/>
        </w:rPr>
        <w:t xml:space="preserve">- </w:t>
      </w:r>
      <w:r>
        <w:t xml:space="preserve">4 splits) to avoid leaching and burning is more advantageous. Balanced fertilization ensures steady growth. Nitrogen is critical for leaf expansion, phosphorus for root development, and potassium for stress tolerance. Organic inputs release nutrients more slowly, reducing leaching losses and providing longer-term benefits (Njeru </w:t>
      </w:r>
      <w:r>
        <w:rPr>
          <w:i/>
          <w:iCs/>
        </w:rPr>
        <w:t>et al.,</w:t>
      </w:r>
      <w:r>
        <w:t xml:space="preserve"> 2021). The economic implication is that balanced nutrient management prevents wastage, reduces reapplication costs, and contributes to healthier seedlings that need less remedial care.</w:t>
      </w:r>
    </w:p>
    <w:p w14:paraId="77E2BA9C">
      <w:pPr>
        <w:pStyle w:val="5"/>
        <w:keepNext w:val="0"/>
        <w:keepLines w:val="0"/>
        <w:widowControl/>
        <w:suppressLineNumbers w:val="0"/>
        <w:jc w:val="both"/>
      </w:pPr>
      <w:r>
        <w:rPr>
          <w:rStyle w:val="6"/>
        </w:rPr>
        <w:t>(ii) Water Management</w:t>
      </w:r>
      <w:r>
        <w:t xml:space="preserve"> </w:t>
      </w:r>
    </w:p>
    <w:p w14:paraId="67BCD026">
      <w:pPr>
        <w:pStyle w:val="5"/>
        <w:keepNext w:val="0"/>
        <w:keepLines w:val="0"/>
        <w:widowControl/>
        <w:suppressLineNumbers w:val="0"/>
        <w:spacing w:line="360" w:lineRule="auto"/>
        <w:jc w:val="both"/>
      </w:pPr>
      <w:r>
        <w:t xml:space="preserve">Tea seedlings are sensitive to drought, and inconsistent watering leads to high mortality. Adequate soil moisture is critical in tea nurseries. Organic mulches and controlled irrigation maintain water availability and stabilize soil temperature. Improved water management enhances microbial activity and reduces labor and energy costs associated with frequent watering (Maritim </w:t>
      </w:r>
      <w:r>
        <w:rPr>
          <w:i/>
          <w:iCs/>
        </w:rPr>
        <w:t>et al.</w:t>
      </w:r>
      <w:r>
        <w:t>, 2022).</w:t>
      </w:r>
    </w:p>
    <w:p w14:paraId="3E0C4AFD">
      <w:pPr>
        <w:pStyle w:val="5"/>
        <w:keepNext w:val="0"/>
        <w:keepLines w:val="0"/>
        <w:widowControl/>
        <w:suppressLineNumbers w:val="0"/>
        <w:jc w:val="both"/>
      </w:pPr>
      <w:r>
        <w:rPr>
          <w:rStyle w:val="6"/>
        </w:rPr>
        <w:t>(iii) Shade and Microclimate Management</w:t>
      </w:r>
      <w:r>
        <w:t xml:space="preserve"> </w:t>
      </w:r>
    </w:p>
    <w:p w14:paraId="106CEA4A">
      <w:pPr>
        <w:pStyle w:val="5"/>
        <w:keepNext w:val="0"/>
        <w:keepLines w:val="0"/>
        <w:widowControl/>
        <w:suppressLineNumbers w:val="0"/>
        <w:spacing w:line="360" w:lineRule="auto"/>
        <w:jc w:val="both"/>
      </w:pPr>
      <w:r>
        <w:t>Tea seedlings are sensitive to excessive sunlight. Shade nets or strategically planted shade trees help regulate nursery microclimate. This practice improves photosynthetic efficiency and reduces mortality. Economically, lower mortality rates reduce replacement costs and allow uniform planting schedules.</w:t>
      </w:r>
    </w:p>
    <w:p w14:paraId="041484A3">
      <w:pPr>
        <w:pStyle w:val="5"/>
        <w:keepNext w:val="0"/>
        <w:keepLines w:val="0"/>
        <w:widowControl/>
        <w:suppressLineNumbers w:val="0"/>
        <w:spacing w:line="360" w:lineRule="auto"/>
        <w:jc w:val="both"/>
      </w:pPr>
      <w:r>
        <w:rPr>
          <w:rStyle w:val="6"/>
        </w:rPr>
        <w:t>(iv) Weed, Pest and Disease Management</w:t>
      </w:r>
      <w:r>
        <w:t xml:space="preserve"> </w:t>
      </w:r>
    </w:p>
    <w:p w14:paraId="339D3154">
      <w:pPr>
        <w:pStyle w:val="5"/>
        <w:keepNext w:val="0"/>
        <w:keepLines w:val="0"/>
        <w:widowControl/>
        <w:suppressLineNumbers w:val="0"/>
        <w:spacing w:line="360" w:lineRule="auto"/>
        <w:jc w:val="both"/>
      </w:pPr>
      <w:r>
        <w:t xml:space="preserve">Weeds compete heavily for nutrients and water, but manual weeding is labor-intensive. Mulching with crop residues is often preferred as it conserves moisture, reduces weeding frequency, and saves labor costs. Integrated pest management (IPM), combining sanitation, resistant clones, and minimal chemical inputs, provides a better alternative (Rahman </w:t>
      </w:r>
      <w:r>
        <w:rPr>
          <w:i/>
          <w:iCs/>
        </w:rPr>
        <w:t>et al</w:t>
      </w:r>
      <w:r>
        <w:t>., 2022). Soils enriched with organic matter foster beneficial microorganisms that suppress pathogens. Fewer chemical interventions mean reduced costs and a more sustainable production system (Rana</w:t>
      </w:r>
      <w:r>
        <w:rPr>
          <w:i/>
          <w:iCs/>
        </w:rPr>
        <w:t xml:space="preserve"> et al.</w:t>
      </w:r>
      <w:r>
        <w:t>, 2023).</w:t>
      </w:r>
    </w:p>
    <w:p w14:paraId="70E1B21C">
      <w:pPr>
        <w:pStyle w:val="5"/>
        <w:keepNext w:val="0"/>
        <w:keepLines w:val="0"/>
        <w:widowControl/>
        <w:suppressLineNumbers w:val="0"/>
        <w:jc w:val="both"/>
      </w:pPr>
      <w:r>
        <w:rPr>
          <w:rStyle w:val="6"/>
        </w:rPr>
        <w:t>Materials and Methods</w:t>
      </w:r>
    </w:p>
    <w:p w14:paraId="37DF52F4">
      <w:pPr>
        <w:pStyle w:val="5"/>
        <w:keepNext w:val="0"/>
        <w:keepLines w:val="0"/>
        <w:widowControl/>
        <w:suppressLineNumbers w:val="0"/>
        <w:jc w:val="both"/>
      </w:pPr>
      <w:r>
        <w:rPr>
          <w:rStyle w:val="6"/>
        </w:rPr>
        <w:t>Study Design and Objective</w:t>
      </w:r>
      <w:r>
        <w:t xml:space="preserve"> </w:t>
      </w:r>
    </w:p>
    <w:p w14:paraId="315D952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t>This study employed a secondary data analytical approach combined with descriptive and investment appraisal methods to evaluate soil-based nursery practices and the economic viability of a one-hectare tea seedling enterprise. The objective was to synthesize existing agronomic information on tea nursery management and develop a transparent enterprise budget to assess the technical and financial performance of tea seedling production under different discount rate scenarios.</w:t>
      </w:r>
    </w:p>
    <w:p w14:paraId="4A16B64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p>
    <w:p w14:paraId="5F891A7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rPr>
          <w:rStyle w:val="6"/>
        </w:rPr>
        <w:t>Data Sources</w:t>
      </w:r>
      <w:r>
        <w:t xml:space="preserve"> </w:t>
      </w:r>
    </w:p>
    <w:p w14:paraId="5EAA0CC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t>The analysis is based on secondary data collected from peer-reviewed journal articles, technical reports, extension manuals, and publications from recognized institutions such as the Food and Agriculture Organization of the United Nations (FAO), Tea Research Institute of Sri Lanka, and Tea Board of Kenya. Information on soil characteristics, nursery practices, input requirements, seedling performance, and economic parameters was extracted from these sources.</w:t>
      </w:r>
    </w:p>
    <w:p w14:paraId="1FBB30F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p>
    <w:p w14:paraId="644CEED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rPr>
          <w:rStyle w:val="6"/>
        </w:rPr>
        <w:t>Enterprise Budgeting</w:t>
      </w:r>
      <w:r>
        <w:t xml:space="preserve"> </w:t>
      </w:r>
    </w:p>
    <w:p w14:paraId="1849CA8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t>A representative enterprise budget was developed for a one-hectare tea seedling nursery. Cost components included planting materials, soil inputs (topsoil, sand, and organic manure), nursery infrastructure, and labor. Variable costs were adjusted annually by 5% to reflect possible inflationary trends, while fixed costs were held constant. Seedling output was estimated using standard survival and growth rates reported in the literature, with a modest 5% annual increase incorporated to reflect improvements from better management practices. The selling price of seedlings was held constant at ₦1,500 throughout the analysis.</w:t>
      </w:r>
    </w:p>
    <w:p w14:paraId="01F9801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p>
    <w:p w14:paraId="5CF4ACA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rPr>
          <w:rStyle w:val="6"/>
        </w:rPr>
        <w:t>Analytical Methods</w:t>
      </w:r>
      <w:r>
        <w:t xml:space="preserve"> </w:t>
      </w:r>
    </w:p>
    <w:p w14:paraId="4D72203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sz w:val="24"/>
          <w:szCs w:val="24"/>
        </w:rPr>
        <w:t>Economic performance was assessed using standard investment appraisal techniques:</w:t>
      </w:r>
    </w:p>
    <w:p w14:paraId="250A1938">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720" w:hanging="360"/>
        <w:jc w:val="both"/>
        <w:textAlignment w:val="auto"/>
        <w:rPr>
          <w:sz w:val="24"/>
          <w:szCs w:val="24"/>
        </w:rPr>
      </w:pPr>
      <w:r>
        <w:rPr>
          <w:sz w:val="24"/>
          <w:szCs w:val="24"/>
        </w:rPr>
        <w:t>Gross margin, calculated as the difference between total revenue and total variable costs;</w:t>
      </w:r>
    </w:p>
    <w:p w14:paraId="0D303CC9">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720" w:hanging="360"/>
        <w:jc w:val="both"/>
        <w:textAlignment w:val="auto"/>
        <w:rPr>
          <w:sz w:val="24"/>
          <w:szCs w:val="24"/>
        </w:rPr>
      </w:pPr>
      <w:r>
        <w:rPr>
          <w:sz w:val="24"/>
          <w:szCs w:val="24"/>
        </w:rPr>
        <w:t>Net Present Value (NPV), to estimate the present value of future net returns;</w:t>
      </w:r>
    </w:p>
    <w:p w14:paraId="24DCFD96">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720" w:hanging="360"/>
        <w:jc w:val="both"/>
        <w:textAlignment w:val="auto"/>
        <w:rPr>
          <w:sz w:val="24"/>
          <w:szCs w:val="24"/>
        </w:rPr>
      </w:pPr>
      <w:r>
        <w:rPr>
          <w:sz w:val="24"/>
          <w:szCs w:val="24"/>
        </w:rPr>
        <w:t>Benefit-Cost Ratio (BCR), representing the relationship between discounted benefits and costs;</w:t>
      </w:r>
    </w:p>
    <w:p w14:paraId="07733B81">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720" w:hanging="360"/>
        <w:jc w:val="both"/>
        <w:textAlignment w:val="auto"/>
        <w:rPr>
          <w:sz w:val="24"/>
          <w:szCs w:val="24"/>
        </w:rPr>
      </w:pPr>
      <w:r>
        <w:rPr>
          <w:sz w:val="24"/>
          <w:szCs w:val="24"/>
        </w:rPr>
        <w:t>Internal Rate of Return (IRR), indicating the rate of return on investment.</w:t>
      </w:r>
    </w:p>
    <w:p w14:paraId="41DC618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rPr>
          <w:sz w:val="24"/>
          <w:szCs w:val="24"/>
        </w:rPr>
        <w:t xml:space="preserve">These indicators were calculated over a five-year period to evaluate the financial </w:t>
      </w:r>
      <w:r>
        <w:t>viability of the tea seedling enterprise.</w:t>
      </w:r>
    </w:p>
    <w:p w14:paraId="1FA8103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rPr>
          <w:rStyle w:val="6"/>
        </w:rPr>
        <w:t>Assumptions</w:t>
      </w:r>
      <w:r>
        <w:t xml:space="preserve"> </w:t>
      </w:r>
    </w:p>
    <w:p w14:paraId="26C7B97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t>The analysis was conducted under the following simplifying assumptions: a fixed production cycle of five years, stable market prices, gradual 5% annual increases in output and variable costs, consistent management practices, and a 10% contingency allowance for unforeseen expenses.</w:t>
      </w:r>
    </w:p>
    <w:p w14:paraId="25A9E4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p>
    <w:p w14:paraId="7059B65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rPr>
          <w:rStyle w:val="6"/>
        </w:rPr>
        <w:t>Data Analysis</w:t>
      </w:r>
      <w:r>
        <w:t xml:space="preserve"> </w:t>
      </w:r>
    </w:p>
    <w:p w14:paraId="339372E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t>Descriptive methods were used to relate agronomic practices to seedling performance indicators such as survival rate, growth uniformity, and resource efficiency. These outcomes were incorporated into the economic analysis to determine their effects on production costs and overall profitability. Results are presented in tabular form for easy comparison across discount rate scenarios.</w:t>
      </w:r>
    </w:p>
    <w:p w14:paraId="220114E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p>
    <w:p w14:paraId="5EDA001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rPr>
          <w:rStyle w:val="6"/>
        </w:rPr>
        <w:t>Limitations of the Study</w:t>
      </w:r>
      <w:r>
        <w:t xml:space="preserve"> </w:t>
      </w:r>
    </w:p>
    <w:p w14:paraId="3BDE15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t>This study relied entirely on secondary data and published literature. Therefore, the findings are subject to the quality and relevance of the original sources. Some data, particularly current input prices and seedling survival rates specific to Nigerian conditions, were limited, leading to the use of generalized figures and assumptions. In addition, the analysis did not account for risks such as climate variability, pest outbreaks, or market price fluctuations beyond the sensitivity tests performed. Despite these limitations, the study provides useful baseline information on the agronomic and economic potential of tea seedling production.</w:t>
      </w:r>
    </w:p>
    <w:p w14:paraId="07D0590F">
      <w:pPr>
        <w:pStyle w:val="5"/>
        <w:keepNext w:val="0"/>
        <w:keepLines w:val="0"/>
        <w:widowControl/>
        <w:suppressLineNumbers w:val="0"/>
        <w:jc w:val="both"/>
      </w:pPr>
      <w:r>
        <w:rPr>
          <w:rStyle w:val="6"/>
        </w:rPr>
        <w:t>Economics of Tea Seedlings</w:t>
      </w:r>
    </w:p>
    <w:p w14:paraId="15E226B1">
      <w:pPr>
        <w:pStyle w:val="5"/>
        <w:keepNext w:val="0"/>
        <w:keepLines w:val="0"/>
        <w:widowControl/>
        <w:numPr>
          <w:ilvl w:val="0"/>
          <w:numId w:val="3"/>
        </w:numPr>
        <w:suppressLineNumbers w:val="0"/>
        <w:jc w:val="both"/>
      </w:pPr>
      <w:r>
        <w:rPr>
          <w:rStyle w:val="6"/>
        </w:rPr>
        <w:t>Economic Analysis</w:t>
      </w:r>
      <w:r>
        <w:t xml:space="preserve"> </w:t>
      </w:r>
    </w:p>
    <w:p w14:paraId="58659EA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jc w:val="both"/>
        <w:textAlignment w:val="auto"/>
      </w:pPr>
      <w:r>
        <w:t>The estimation of the economics of tea seedling production was done using data on variable and fixed costs and expected revenues as shown in Table 3. Gross margin (GM) is a measure of the viability of an investment to determine profitability. From the cost items, a stream of discounted costs and benefits were calculated based on the opportunity cost of capital or discount rates of 21%, 27.5% and 32%. The results were subjected to investment decision models such as Net Present Value (NPV), Benefit-Cost Ratio (BCR) and Internal Rate of Return (IRR) on investment.</w:t>
      </w:r>
    </w:p>
    <w:p w14:paraId="39CE106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jc w:val="both"/>
        <w:textAlignment w:val="auto"/>
      </w:pPr>
    </w:p>
    <w:p w14:paraId="056A96F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jc w:val="both"/>
        <w:textAlignment w:val="auto"/>
      </w:pPr>
    </w:p>
    <w:p w14:paraId="0C73BF13">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pPr>
      <w:r>
        <w:rPr>
          <w:rStyle w:val="6"/>
        </w:rPr>
        <w:t>Gross Margin Model</w:t>
      </w:r>
      <w:r>
        <w:t xml:space="preserve"> GMᵢ = TRᵢ – TVCᵢ (1)</w:t>
      </w:r>
    </w:p>
    <w:p w14:paraId="60F4B809">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right="0" w:rightChars="0"/>
        <w:jc w:val="both"/>
        <w:textAlignment w:val="auto"/>
      </w:pPr>
      <w:r>
        <w:t>Where: GMᵢ = Gross Margin at point i (₦), TRᵢ = Total Revenue at point i (₦), TVCᵢ = Total Variable cost at point i (₦).</w:t>
      </w:r>
    </w:p>
    <w:p w14:paraId="1754EC09">
      <w:pPr>
        <w:pStyle w:val="5"/>
        <w:keepNext w:val="0"/>
        <w:keepLines w:val="0"/>
        <w:widowControl/>
        <w:suppressLineNumbers w:val="0"/>
        <w:jc w:val="both"/>
      </w:pPr>
      <w:r>
        <w:t>TR = ∑ Y · Pᵧ (2)</w:t>
      </w:r>
    </w:p>
    <w:p w14:paraId="6B9D573B">
      <w:pPr>
        <w:pStyle w:val="5"/>
        <w:keepNext w:val="0"/>
        <w:keepLines w:val="0"/>
        <w:widowControl/>
        <w:suppressLineNumbers w:val="0"/>
        <w:jc w:val="both"/>
      </w:pPr>
      <w:r>
        <w:t>GM = ∑ PᵧY – ∑ PₓX (3)</w:t>
      </w:r>
    </w:p>
    <w:p w14:paraId="25266AF5">
      <w:pPr>
        <w:pStyle w:val="5"/>
        <w:keepNext w:val="0"/>
        <w:keepLines w:val="0"/>
        <w:widowControl/>
        <w:numPr>
          <w:ilvl w:val="0"/>
          <w:numId w:val="3"/>
        </w:numPr>
        <w:suppressLineNumbers w:val="0"/>
        <w:ind w:left="0" w:leftChars="0" w:firstLine="0" w:firstLineChars="0"/>
        <w:jc w:val="both"/>
      </w:pPr>
      <w:r>
        <w:rPr>
          <w:rStyle w:val="6"/>
        </w:rPr>
        <w:t>Investment Decision Model</w:t>
      </w:r>
      <w:r>
        <w:t xml:space="preserve"> </w:t>
      </w:r>
    </w:p>
    <w:p w14:paraId="06A059CC">
      <w:pPr>
        <w:pStyle w:val="5"/>
        <w:keepNext w:val="0"/>
        <w:keepLines w:val="0"/>
        <w:widowControl/>
        <w:numPr>
          <w:ilvl w:val="0"/>
          <w:numId w:val="0"/>
        </w:numPr>
        <w:suppressLineNumbers w:val="0"/>
        <w:ind w:leftChars="0" w:right="0" w:rightChars="0"/>
        <w:jc w:val="both"/>
      </w:pPr>
      <w:r>
        <w:t>The investment decision model uses three parameters: NPV, BCR &amp; IRR.</w:t>
      </w:r>
    </w:p>
    <w:p w14:paraId="1DFD8F66">
      <w:pPr>
        <w:pStyle w:val="5"/>
        <w:keepNext w:val="0"/>
        <w:keepLines w:val="0"/>
        <w:widowControl/>
        <w:suppressLineNumbers w:val="0"/>
        <w:jc w:val="both"/>
      </w:pPr>
      <w:r>
        <w:rPr>
          <w:rStyle w:val="6"/>
        </w:rPr>
        <w:t>a) Net Present Value (NPV):</w:t>
      </w:r>
      <w:r>
        <w:t xml:space="preserve"> NPVᵢ,ₜ = ∑ INCᵢₜ / (1 + r)ⁱ</w:t>
      </w:r>
    </w:p>
    <w:p w14:paraId="7BF17B9E">
      <w:pPr>
        <w:pStyle w:val="5"/>
        <w:keepNext w:val="0"/>
        <w:keepLines w:val="0"/>
        <w:widowControl/>
        <w:suppressLineNumbers w:val="0"/>
        <w:jc w:val="both"/>
      </w:pPr>
      <w:r>
        <w:t>Where INCₜ = REVᵢₜ – TCᵢₜ</w:t>
      </w:r>
    </w:p>
    <w:p w14:paraId="35FCD461">
      <w:pPr>
        <w:pStyle w:val="5"/>
        <w:keepNext w:val="0"/>
        <w:keepLines w:val="0"/>
        <w:widowControl/>
        <w:suppressLineNumbers w:val="0"/>
        <w:jc w:val="both"/>
      </w:pPr>
      <w:r>
        <w:rPr>
          <w:rStyle w:val="6"/>
        </w:rPr>
        <w:t>b) Benefit-Cost Ratio (BCR):</w:t>
      </w:r>
      <w:r>
        <w:t xml:space="preserve"> BCRᵢₜ = ∑ DREVᵢ,ₜ / ∑ DTCᵢ,ₜ</w:t>
      </w:r>
    </w:p>
    <w:p w14:paraId="5B9A9AC7">
      <w:pPr>
        <w:pStyle w:val="5"/>
        <w:keepNext w:val="0"/>
        <w:keepLines w:val="0"/>
        <w:widowControl/>
        <w:suppressLineNumbers w:val="0"/>
        <w:jc w:val="both"/>
      </w:pPr>
      <w:r>
        <w:rPr>
          <w:rStyle w:val="6"/>
        </w:rPr>
        <w:t>Result and Discussion</w:t>
      </w:r>
      <w:r>
        <w:t xml:space="preserve"> </w:t>
      </w:r>
    </w:p>
    <w:p w14:paraId="4F1D5C50">
      <w:pPr>
        <w:pStyle w:val="5"/>
        <w:keepNext w:val="0"/>
        <w:keepLines w:val="0"/>
        <w:widowControl/>
        <w:suppressLineNumbers w:val="0"/>
        <w:spacing w:line="360" w:lineRule="auto"/>
        <w:jc w:val="both"/>
      </w:pPr>
      <w:r>
        <w:t>The synthesized results indicate that soil-centered nursery management practices consistently improved tea seedling performance (Tables 3 and 4). Proper site selection and shading reduced mortality by 20</w:t>
      </w:r>
      <w:r>
        <w:rPr>
          <w:rFonts w:hint="default"/>
          <w:lang w:val="en-US"/>
        </w:rPr>
        <w:t>-</w:t>
      </w:r>
      <w:r>
        <w:t xml:space="preserve">30%. Potting mixtures incorporating compost and </w:t>
      </w:r>
      <w:r>
        <w:rPr>
          <w:rFonts w:hint="default"/>
          <w:lang w:val="en-US"/>
        </w:rPr>
        <w:t>B</w:t>
      </w:r>
      <w:r>
        <w:t xml:space="preserve">iochar improved seedling vigor while reducing fertilizer input by up to 25% (Mondal </w:t>
      </w:r>
      <w:r>
        <w:rPr>
          <w:i/>
          <w:iCs/>
        </w:rPr>
        <w:t>et al.</w:t>
      </w:r>
      <w:r>
        <w:t>, 2022).</w:t>
      </w:r>
    </w:p>
    <w:p w14:paraId="784002F3">
      <w:pPr>
        <w:pStyle w:val="5"/>
        <w:keepNext w:val="0"/>
        <w:keepLines w:val="0"/>
        <w:widowControl/>
        <w:suppressLineNumbers w:val="0"/>
        <w:spacing w:line="360" w:lineRule="auto"/>
        <w:jc w:val="both"/>
      </w:pPr>
      <w:r>
        <w:t>Table 3 shows the production cost of producing 16,666 tea seedlings required for one hectare to be ₦1,343,348. Fixed cost was ₦5,000 and variable cost was ₦1,216,680 while contingency was ₦121,668 in the first year. Variable cost was adjusted with an annual 5% incremental rate. A total of 16,666 seedlings were raised for one hectare at ₦1,500 per seedling. The revenue and net income were ₦24,999,000 and ₦23,655,652 respectively in the first year. Therefore, raising tea seedlings is a profitable venture.</w:t>
      </w:r>
    </w:p>
    <w:p w14:paraId="622231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Style w:val="6"/>
        </w:rPr>
      </w:pPr>
      <w:r>
        <w:rPr>
          <w:rStyle w:val="6"/>
        </w:rPr>
        <w:t>Table 3: Summary of Gross Margin Analysis of Tea Seedling Production for 1 Hectare</w:t>
      </w:r>
    </w:p>
    <w:tbl>
      <w:tblPr>
        <w:tblStyle w:val="7"/>
        <w:tblW w:w="9570" w:type="dxa"/>
        <w:tblInd w:w="-7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395"/>
        <w:gridCol w:w="1515"/>
        <w:gridCol w:w="1725"/>
        <w:gridCol w:w="1560"/>
        <w:gridCol w:w="1515"/>
      </w:tblGrid>
      <w:tr w14:paraId="6096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5236C9B6">
            <w:pPr>
              <w:widowControl w:val="0"/>
              <w:jc w:val="both"/>
              <w:rPr>
                <w:rStyle w:val="6"/>
                <w:rFonts w:hint="default" w:ascii="Times New Roman" w:hAnsi="Times New Roman" w:cs="Times New Roman"/>
                <w:sz w:val="21"/>
                <w:szCs w:val="21"/>
                <w:vertAlign w:val="baseline"/>
              </w:rPr>
            </w:pPr>
          </w:p>
        </w:tc>
        <w:tc>
          <w:tcPr>
            <w:tcW w:w="1395" w:type="dxa"/>
            <w:vAlign w:val="center"/>
          </w:tcPr>
          <w:p w14:paraId="728C782C">
            <w:pPr>
              <w:keepNext w:val="0"/>
              <w:keepLines w:val="0"/>
              <w:widowControl/>
              <w:suppressLineNumbers w:val="0"/>
              <w:jc w:val="center"/>
              <w:rPr>
                <w:rStyle w:val="6"/>
                <w:rFonts w:hint="default" w:ascii="Times New Roman" w:hAnsi="Times New Roman" w:cs="Times New Roman"/>
                <w:sz w:val="21"/>
                <w:szCs w:val="21"/>
                <w:vertAlign w:val="baseline"/>
              </w:rPr>
            </w:pPr>
            <w:r>
              <w:rPr>
                <w:rFonts w:hint="default" w:ascii="Times New Roman" w:hAnsi="Times New Roman" w:eastAsia="SimSun" w:cs="Times New Roman"/>
                <w:b/>
                <w:bCs/>
                <w:kern w:val="0"/>
                <w:sz w:val="21"/>
                <w:szCs w:val="21"/>
                <w:lang w:val="en-US" w:eastAsia="zh-CN" w:bidi="ar"/>
              </w:rPr>
              <w:t>Year 1</w:t>
            </w:r>
          </w:p>
        </w:tc>
        <w:tc>
          <w:tcPr>
            <w:tcW w:w="1515" w:type="dxa"/>
            <w:vAlign w:val="center"/>
          </w:tcPr>
          <w:p w14:paraId="76017483">
            <w:pPr>
              <w:keepNext w:val="0"/>
              <w:keepLines w:val="0"/>
              <w:widowControl/>
              <w:suppressLineNumbers w:val="0"/>
              <w:jc w:val="center"/>
              <w:rPr>
                <w:rStyle w:val="6"/>
                <w:rFonts w:hint="default" w:ascii="Times New Roman" w:hAnsi="Times New Roman" w:cs="Times New Roman"/>
                <w:sz w:val="21"/>
                <w:szCs w:val="21"/>
                <w:vertAlign w:val="baseline"/>
              </w:rPr>
            </w:pPr>
            <w:r>
              <w:rPr>
                <w:rFonts w:hint="default" w:ascii="Times New Roman" w:hAnsi="Times New Roman" w:eastAsia="SimSun" w:cs="Times New Roman"/>
                <w:b/>
                <w:bCs/>
                <w:kern w:val="0"/>
                <w:sz w:val="21"/>
                <w:szCs w:val="21"/>
                <w:lang w:val="en-US" w:eastAsia="zh-CN" w:bidi="ar"/>
              </w:rPr>
              <w:t>Year 2</w:t>
            </w:r>
          </w:p>
        </w:tc>
        <w:tc>
          <w:tcPr>
            <w:tcW w:w="1725" w:type="dxa"/>
            <w:vAlign w:val="center"/>
          </w:tcPr>
          <w:p w14:paraId="5D9D3D0E">
            <w:pPr>
              <w:keepNext w:val="0"/>
              <w:keepLines w:val="0"/>
              <w:widowControl/>
              <w:suppressLineNumbers w:val="0"/>
              <w:jc w:val="center"/>
              <w:rPr>
                <w:rStyle w:val="6"/>
                <w:rFonts w:hint="default" w:ascii="Times New Roman" w:hAnsi="Times New Roman" w:cs="Times New Roman"/>
                <w:sz w:val="21"/>
                <w:szCs w:val="21"/>
                <w:vertAlign w:val="baseline"/>
              </w:rPr>
            </w:pPr>
            <w:r>
              <w:rPr>
                <w:rFonts w:hint="default" w:ascii="Times New Roman" w:hAnsi="Times New Roman" w:eastAsia="SimSun" w:cs="Times New Roman"/>
                <w:b/>
                <w:bCs/>
                <w:kern w:val="0"/>
                <w:sz w:val="21"/>
                <w:szCs w:val="21"/>
                <w:lang w:val="en-US" w:eastAsia="zh-CN" w:bidi="ar"/>
              </w:rPr>
              <w:t>Year 3</w:t>
            </w:r>
          </w:p>
        </w:tc>
        <w:tc>
          <w:tcPr>
            <w:tcW w:w="1560" w:type="dxa"/>
            <w:vAlign w:val="center"/>
          </w:tcPr>
          <w:p w14:paraId="0D8123D4">
            <w:pPr>
              <w:keepNext w:val="0"/>
              <w:keepLines w:val="0"/>
              <w:widowControl/>
              <w:suppressLineNumbers w:val="0"/>
              <w:jc w:val="center"/>
              <w:rPr>
                <w:rStyle w:val="6"/>
                <w:rFonts w:hint="default" w:ascii="Times New Roman" w:hAnsi="Times New Roman" w:cs="Times New Roman"/>
                <w:sz w:val="21"/>
                <w:szCs w:val="21"/>
                <w:vertAlign w:val="baseline"/>
              </w:rPr>
            </w:pPr>
            <w:r>
              <w:rPr>
                <w:rFonts w:hint="default" w:ascii="Times New Roman" w:hAnsi="Times New Roman" w:eastAsia="SimSun" w:cs="Times New Roman"/>
                <w:b/>
                <w:bCs/>
                <w:kern w:val="0"/>
                <w:sz w:val="21"/>
                <w:szCs w:val="21"/>
                <w:lang w:val="en-US" w:eastAsia="zh-CN" w:bidi="ar"/>
              </w:rPr>
              <w:t>Year 4</w:t>
            </w:r>
          </w:p>
        </w:tc>
        <w:tc>
          <w:tcPr>
            <w:tcW w:w="1515" w:type="dxa"/>
            <w:vAlign w:val="center"/>
          </w:tcPr>
          <w:p w14:paraId="6E8358E3">
            <w:pPr>
              <w:keepNext w:val="0"/>
              <w:keepLines w:val="0"/>
              <w:widowControl/>
              <w:suppressLineNumbers w:val="0"/>
              <w:jc w:val="center"/>
              <w:rPr>
                <w:rStyle w:val="6"/>
                <w:rFonts w:hint="default" w:ascii="Times New Roman" w:hAnsi="Times New Roman" w:cs="Times New Roman"/>
                <w:sz w:val="21"/>
                <w:szCs w:val="21"/>
                <w:vertAlign w:val="baseline"/>
              </w:rPr>
            </w:pPr>
            <w:r>
              <w:rPr>
                <w:rFonts w:hint="default" w:ascii="Times New Roman" w:hAnsi="Times New Roman" w:eastAsia="SimSun" w:cs="Times New Roman"/>
                <w:b/>
                <w:bCs/>
                <w:kern w:val="0"/>
                <w:sz w:val="21"/>
                <w:szCs w:val="21"/>
                <w:lang w:val="en-US" w:eastAsia="zh-CN" w:bidi="ar"/>
              </w:rPr>
              <w:t>Year 5</w:t>
            </w:r>
          </w:p>
        </w:tc>
      </w:tr>
      <w:tr w14:paraId="027C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09C91241">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Fixed Cost</w:t>
            </w:r>
          </w:p>
        </w:tc>
        <w:tc>
          <w:tcPr>
            <w:tcW w:w="1395" w:type="dxa"/>
            <w:vAlign w:val="center"/>
          </w:tcPr>
          <w:p w14:paraId="68CE077E">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5,000</w:t>
            </w:r>
          </w:p>
        </w:tc>
        <w:tc>
          <w:tcPr>
            <w:tcW w:w="1515" w:type="dxa"/>
            <w:vAlign w:val="center"/>
          </w:tcPr>
          <w:p w14:paraId="10825645">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w:t>
            </w:r>
          </w:p>
        </w:tc>
        <w:tc>
          <w:tcPr>
            <w:tcW w:w="1725" w:type="dxa"/>
            <w:vAlign w:val="center"/>
          </w:tcPr>
          <w:p w14:paraId="6696B4D1">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w:t>
            </w:r>
          </w:p>
        </w:tc>
        <w:tc>
          <w:tcPr>
            <w:tcW w:w="1560" w:type="dxa"/>
            <w:vAlign w:val="center"/>
          </w:tcPr>
          <w:p w14:paraId="2673DE3C">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w:t>
            </w:r>
          </w:p>
        </w:tc>
        <w:tc>
          <w:tcPr>
            <w:tcW w:w="1515" w:type="dxa"/>
            <w:vAlign w:val="center"/>
          </w:tcPr>
          <w:p w14:paraId="7742C41F">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w:t>
            </w:r>
          </w:p>
        </w:tc>
      </w:tr>
      <w:tr w14:paraId="11B8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40E84139">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Variable cost</w:t>
            </w:r>
          </w:p>
        </w:tc>
        <w:tc>
          <w:tcPr>
            <w:tcW w:w="1395" w:type="dxa"/>
            <w:vAlign w:val="center"/>
          </w:tcPr>
          <w:p w14:paraId="15B26E9F">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1,216,680</w:t>
            </w:r>
          </w:p>
        </w:tc>
        <w:tc>
          <w:tcPr>
            <w:tcW w:w="1515" w:type="dxa"/>
            <w:vAlign w:val="center"/>
          </w:tcPr>
          <w:p w14:paraId="7A79A476">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1,277,514</w:t>
            </w:r>
          </w:p>
        </w:tc>
        <w:tc>
          <w:tcPr>
            <w:tcW w:w="1725" w:type="dxa"/>
            <w:vAlign w:val="center"/>
          </w:tcPr>
          <w:p w14:paraId="362020FE">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1,338,348</w:t>
            </w:r>
          </w:p>
        </w:tc>
        <w:tc>
          <w:tcPr>
            <w:tcW w:w="1560" w:type="dxa"/>
            <w:vAlign w:val="center"/>
          </w:tcPr>
          <w:p w14:paraId="47B29D45">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1,405,265.4</w:t>
            </w:r>
          </w:p>
        </w:tc>
        <w:tc>
          <w:tcPr>
            <w:tcW w:w="1515" w:type="dxa"/>
            <w:vAlign w:val="center"/>
          </w:tcPr>
          <w:p w14:paraId="3DE5FC1C">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1,475,265.67</w:t>
            </w:r>
          </w:p>
        </w:tc>
      </w:tr>
      <w:tr w14:paraId="3928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1B2D5DB2">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Contingency</w:t>
            </w:r>
          </w:p>
        </w:tc>
        <w:tc>
          <w:tcPr>
            <w:tcW w:w="1395" w:type="dxa"/>
            <w:vAlign w:val="center"/>
          </w:tcPr>
          <w:p w14:paraId="72361F14">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121,668</w:t>
            </w:r>
          </w:p>
        </w:tc>
        <w:tc>
          <w:tcPr>
            <w:tcW w:w="1515" w:type="dxa"/>
            <w:vAlign w:val="center"/>
          </w:tcPr>
          <w:p w14:paraId="7CD1A9ED">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127,751.4</w:t>
            </w:r>
          </w:p>
        </w:tc>
        <w:tc>
          <w:tcPr>
            <w:tcW w:w="1725" w:type="dxa"/>
            <w:vAlign w:val="center"/>
          </w:tcPr>
          <w:p w14:paraId="0E841EBB">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133,834.8</w:t>
            </w:r>
          </w:p>
        </w:tc>
        <w:tc>
          <w:tcPr>
            <w:tcW w:w="1560" w:type="dxa"/>
            <w:vAlign w:val="center"/>
          </w:tcPr>
          <w:p w14:paraId="0C7A202E">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140,526.54</w:t>
            </w:r>
          </w:p>
        </w:tc>
        <w:tc>
          <w:tcPr>
            <w:tcW w:w="1515" w:type="dxa"/>
            <w:vAlign w:val="center"/>
          </w:tcPr>
          <w:p w14:paraId="4A93C600">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147,526.57</w:t>
            </w:r>
          </w:p>
        </w:tc>
      </w:tr>
      <w:tr w14:paraId="66D4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60ECEC06">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Total Cost</w:t>
            </w:r>
          </w:p>
        </w:tc>
        <w:tc>
          <w:tcPr>
            <w:tcW w:w="1395" w:type="dxa"/>
            <w:vAlign w:val="center"/>
          </w:tcPr>
          <w:p w14:paraId="2A3DAC2D">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1,343,348</w:t>
            </w:r>
          </w:p>
        </w:tc>
        <w:tc>
          <w:tcPr>
            <w:tcW w:w="1515" w:type="dxa"/>
            <w:vAlign w:val="center"/>
          </w:tcPr>
          <w:p w14:paraId="57481D20">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1,405,265.4</w:t>
            </w:r>
          </w:p>
        </w:tc>
        <w:tc>
          <w:tcPr>
            <w:tcW w:w="1725" w:type="dxa"/>
            <w:vAlign w:val="center"/>
          </w:tcPr>
          <w:p w14:paraId="74D25CA6">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1,472,182.8</w:t>
            </w:r>
          </w:p>
        </w:tc>
        <w:tc>
          <w:tcPr>
            <w:tcW w:w="1560" w:type="dxa"/>
            <w:vAlign w:val="center"/>
          </w:tcPr>
          <w:p w14:paraId="3CE4E2B5">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1,545,791.94</w:t>
            </w:r>
          </w:p>
        </w:tc>
        <w:tc>
          <w:tcPr>
            <w:tcW w:w="1515" w:type="dxa"/>
            <w:vAlign w:val="center"/>
          </w:tcPr>
          <w:p w14:paraId="762D21E3">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1,622,792.24</w:t>
            </w:r>
          </w:p>
        </w:tc>
      </w:tr>
      <w:tr w14:paraId="0F0F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04FBF22D">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Output</w:t>
            </w:r>
          </w:p>
        </w:tc>
        <w:tc>
          <w:tcPr>
            <w:tcW w:w="1395" w:type="dxa"/>
            <w:vAlign w:val="center"/>
          </w:tcPr>
          <w:p w14:paraId="2C74ACBF">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16,666</w:t>
            </w:r>
          </w:p>
        </w:tc>
        <w:tc>
          <w:tcPr>
            <w:tcW w:w="1515" w:type="dxa"/>
            <w:vAlign w:val="center"/>
          </w:tcPr>
          <w:p w14:paraId="264FD16B">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17,499.3</w:t>
            </w:r>
          </w:p>
        </w:tc>
        <w:tc>
          <w:tcPr>
            <w:tcW w:w="1725" w:type="dxa"/>
            <w:vAlign w:val="center"/>
          </w:tcPr>
          <w:p w14:paraId="43631CEB">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18,374.27</w:t>
            </w:r>
          </w:p>
        </w:tc>
        <w:tc>
          <w:tcPr>
            <w:tcW w:w="1560" w:type="dxa"/>
            <w:vAlign w:val="center"/>
          </w:tcPr>
          <w:p w14:paraId="24E3D981">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19,292.98</w:t>
            </w:r>
          </w:p>
        </w:tc>
        <w:tc>
          <w:tcPr>
            <w:tcW w:w="1515" w:type="dxa"/>
            <w:vAlign w:val="center"/>
          </w:tcPr>
          <w:p w14:paraId="5A1E2C30">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20,257.63</w:t>
            </w:r>
          </w:p>
        </w:tc>
      </w:tr>
      <w:tr w14:paraId="6AEF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7F46BCE0">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Unit Cost</w:t>
            </w:r>
          </w:p>
        </w:tc>
        <w:tc>
          <w:tcPr>
            <w:tcW w:w="1395" w:type="dxa"/>
            <w:vAlign w:val="center"/>
          </w:tcPr>
          <w:p w14:paraId="1A410BCF">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80.60</w:t>
            </w:r>
          </w:p>
        </w:tc>
        <w:tc>
          <w:tcPr>
            <w:tcW w:w="1515" w:type="dxa"/>
            <w:vAlign w:val="center"/>
          </w:tcPr>
          <w:p w14:paraId="4035BB1B">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80.30</w:t>
            </w:r>
          </w:p>
        </w:tc>
        <w:tc>
          <w:tcPr>
            <w:tcW w:w="1725" w:type="dxa"/>
            <w:vAlign w:val="center"/>
          </w:tcPr>
          <w:p w14:paraId="5C4C55CE">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80.12</w:t>
            </w:r>
          </w:p>
        </w:tc>
        <w:tc>
          <w:tcPr>
            <w:tcW w:w="1560" w:type="dxa"/>
            <w:vAlign w:val="center"/>
          </w:tcPr>
          <w:p w14:paraId="0CA0364C">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80.12</w:t>
            </w:r>
          </w:p>
        </w:tc>
        <w:tc>
          <w:tcPr>
            <w:tcW w:w="1515" w:type="dxa"/>
            <w:vAlign w:val="center"/>
          </w:tcPr>
          <w:p w14:paraId="5C08155A">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80.11</w:t>
            </w:r>
          </w:p>
        </w:tc>
      </w:tr>
      <w:tr w14:paraId="3DA9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5ADEA7AC">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Selling Price</w:t>
            </w:r>
          </w:p>
        </w:tc>
        <w:tc>
          <w:tcPr>
            <w:tcW w:w="1395" w:type="dxa"/>
            <w:vAlign w:val="center"/>
          </w:tcPr>
          <w:p w14:paraId="7D02BBB3">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1,500</w:t>
            </w:r>
          </w:p>
        </w:tc>
        <w:tc>
          <w:tcPr>
            <w:tcW w:w="1515" w:type="dxa"/>
            <w:vAlign w:val="center"/>
          </w:tcPr>
          <w:p w14:paraId="3895596D">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1,500</w:t>
            </w:r>
          </w:p>
        </w:tc>
        <w:tc>
          <w:tcPr>
            <w:tcW w:w="1725" w:type="dxa"/>
            <w:vAlign w:val="center"/>
          </w:tcPr>
          <w:p w14:paraId="0B5C2FAA">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1,500</w:t>
            </w:r>
          </w:p>
        </w:tc>
        <w:tc>
          <w:tcPr>
            <w:tcW w:w="1560" w:type="dxa"/>
            <w:vAlign w:val="center"/>
          </w:tcPr>
          <w:p w14:paraId="77D75575">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1,500</w:t>
            </w:r>
          </w:p>
        </w:tc>
        <w:tc>
          <w:tcPr>
            <w:tcW w:w="1515" w:type="dxa"/>
            <w:vAlign w:val="center"/>
          </w:tcPr>
          <w:p w14:paraId="1A5D8C32">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1,500</w:t>
            </w:r>
          </w:p>
        </w:tc>
      </w:tr>
      <w:tr w14:paraId="520B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271C509F">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Revenue</w:t>
            </w:r>
          </w:p>
        </w:tc>
        <w:tc>
          <w:tcPr>
            <w:tcW w:w="1395" w:type="dxa"/>
            <w:vAlign w:val="center"/>
          </w:tcPr>
          <w:p w14:paraId="20F472ED">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24,999,000</w:t>
            </w:r>
          </w:p>
        </w:tc>
        <w:tc>
          <w:tcPr>
            <w:tcW w:w="1515" w:type="dxa"/>
            <w:vAlign w:val="center"/>
          </w:tcPr>
          <w:p w14:paraId="732E767D">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26,248,950</w:t>
            </w:r>
          </w:p>
        </w:tc>
        <w:tc>
          <w:tcPr>
            <w:tcW w:w="1725" w:type="dxa"/>
            <w:vAlign w:val="center"/>
          </w:tcPr>
          <w:p w14:paraId="5967C329">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27,561,405</w:t>
            </w:r>
          </w:p>
        </w:tc>
        <w:tc>
          <w:tcPr>
            <w:tcW w:w="1560" w:type="dxa"/>
            <w:vAlign w:val="center"/>
          </w:tcPr>
          <w:p w14:paraId="7F2AB14F">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28,939,470</w:t>
            </w:r>
          </w:p>
        </w:tc>
        <w:tc>
          <w:tcPr>
            <w:tcW w:w="1515" w:type="dxa"/>
            <w:vAlign w:val="center"/>
          </w:tcPr>
          <w:p w14:paraId="470A0720">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30,386,445</w:t>
            </w:r>
          </w:p>
        </w:tc>
      </w:tr>
      <w:tr w14:paraId="7F40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77F76195">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Net Income</w:t>
            </w:r>
          </w:p>
        </w:tc>
        <w:tc>
          <w:tcPr>
            <w:tcW w:w="1395" w:type="dxa"/>
            <w:vAlign w:val="center"/>
          </w:tcPr>
          <w:p w14:paraId="4AC4B104">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23,655,652</w:t>
            </w:r>
          </w:p>
        </w:tc>
        <w:tc>
          <w:tcPr>
            <w:tcW w:w="1515" w:type="dxa"/>
            <w:vAlign w:val="center"/>
          </w:tcPr>
          <w:p w14:paraId="22044D97">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24,843,684.6</w:t>
            </w:r>
          </w:p>
        </w:tc>
        <w:tc>
          <w:tcPr>
            <w:tcW w:w="1725" w:type="dxa"/>
            <w:vAlign w:val="center"/>
          </w:tcPr>
          <w:p w14:paraId="3FFB936E">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26,089,222.2</w:t>
            </w:r>
          </w:p>
        </w:tc>
        <w:tc>
          <w:tcPr>
            <w:tcW w:w="1560" w:type="dxa"/>
            <w:vAlign w:val="center"/>
          </w:tcPr>
          <w:p w14:paraId="2DE61ABD">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27,393,678.06</w:t>
            </w:r>
          </w:p>
        </w:tc>
        <w:tc>
          <w:tcPr>
            <w:tcW w:w="1515" w:type="dxa"/>
            <w:vAlign w:val="center"/>
          </w:tcPr>
          <w:p w14:paraId="0604D88F">
            <w:pPr>
              <w:keepNext w:val="0"/>
              <w:keepLines w:val="0"/>
              <w:widowControl/>
              <w:suppressLineNumbers w:val="0"/>
              <w:jc w:val="both"/>
              <w:rPr>
                <w:rStyle w:val="6"/>
                <w:rFonts w:hint="default" w:ascii="Times New Roman" w:hAnsi="Times New Roman" w:cs="Times New Roman"/>
                <w:sz w:val="21"/>
                <w:szCs w:val="21"/>
                <w:vertAlign w:val="baseline"/>
              </w:rPr>
            </w:pPr>
            <w:r>
              <w:rPr>
                <w:rFonts w:hint="default" w:ascii="Times New Roman" w:hAnsi="Times New Roman" w:eastAsia="SimSun" w:cs="Times New Roman"/>
                <w:kern w:val="0"/>
                <w:sz w:val="21"/>
                <w:szCs w:val="21"/>
                <w:lang w:val="en-US" w:eastAsia="zh-CN" w:bidi="ar"/>
              </w:rPr>
              <w:t>28,763,652.76</w:t>
            </w:r>
          </w:p>
        </w:tc>
      </w:tr>
    </w:tbl>
    <w:p w14:paraId="418FA3E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b/>
          <w:bCs/>
          <w:i/>
          <w:iCs/>
          <w:sz w:val="21"/>
          <w:szCs w:val="21"/>
        </w:rPr>
      </w:pPr>
      <w:r>
        <w:rPr>
          <w:rStyle w:val="4"/>
          <w:b/>
          <w:bCs/>
          <w:i/>
          <w:iCs/>
          <w:sz w:val="21"/>
          <w:szCs w:val="21"/>
        </w:rPr>
        <w:t>Source:</w:t>
      </w:r>
      <w:r>
        <w:rPr>
          <w:b/>
          <w:bCs/>
          <w:i/>
          <w:iCs/>
          <w:sz w:val="21"/>
          <w:szCs w:val="21"/>
        </w:rPr>
        <w:t xml:space="preserve"> Computed Values 2025</w:t>
      </w:r>
    </w:p>
    <w:p w14:paraId="2285F4A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b/>
          <w:bCs/>
          <w:i/>
          <w:iCs/>
          <w:sz w:val="21"/>
          <w:szCs w:val="21"/>
        </w:rPr>
      </w:pPr>
    </w:p>
    <w:p w14:paraId="3139396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t xml:space="preserve">Total variable cost accounted for 90.67% of total cost of production, while total fixed cost was 0.37% of the total cost. This result is in line with the findings of Yahaya </w:t>
      </w:r>
      <w:r>
        <w:rPr>
          <w:i/>
          <w:iCs/>
        </w:rPr>
        <w:t>et al.</w:t>
      </w:r>
      <w:r>
        <w:t xml:space="preserve"> (2025) and Rabo and Mazadu (2018).</w:t>
      </w:r>
    </w:p>
    <w:p w14:paraId="62B0559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p>
    <w:p w14:paraId="5609C89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b/>
          <w:bCs/>
          <w:i/>
          <w:iCs/>
          <w:sz w:val="21"/>
          <w:szCs w:val="21"/>
        </w:rPr>
      </w:pPr>
    </w:p>
    <w:p w14:paraId="282DF09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color w:val="auto"/>
        </w:rPr>
      </w:pPr>
      <w:r>
        <w:rPr>
          <w:rStyle w:val="6"/>
          <w:color w:val="auto"/>
        </w:rPr>
        <w:t>Table 4: Cost, Return Analysis of Tea Seedling Production</w:t>
      </w:r>
      <w:r>
        <w:rPr>
          <w:color w:val="auto"/>
        </w:rPr>
        <w:t xml:space="preserve"> </w:t>
      </w:r>
    </w:p>
    <w:tbl>
      <w:tblPr>
        <w:tblStyle w:val="7"/>
        <w:tblW w:w="10905" w:type="dxa"/>
        <w:tblInd w:w="-1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656"/>
        <w:gridCol w:w="675"/>
        <w:gridCol w:w="630"/>
        <w:gridCol w:w="675"/>
        <w:gridCol w:w="690"/>
        <w:gridCol w:w="645"/>
        <w:gridCol w:w="660"/>
        <w:gridCol w:w="690"/>
        <w:gridCol w:w="675"/>
        <w:gridCol w:w="705"/>
        <w:gridCol w:w="660"/>
        <w:gridCol w:w="720"/>
        <w:gridCol w:w="780"/>
        <w:gridCol w:w="900"/>
        <w:gridCol w:w="705"/>
      </w:tblGrid>
      <w:tr w14:paraId="108C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39" w:type="dxa"/>
            <w:vAlign w:val="center"/>
          </w:tcPr>
          <w:p w14:paraId="01FD800E">
            <w:pPr>
              <w:keepNext w:val="0"/>
              <w:keepLines w:val="0"/>
              <w:widowControl/>
              <w:suppressLineNumbers w:val="0"/>
              <w:jc w:val="center"/>
              <w:rPr>
                <w:rStyle w:val="6"/>
                <w:sz w:val="18"/>
                <w:szCs w:val="18"/>
                <w:vertAlign w:val="baseline"/>
              </w:rPr>
            </w:pPr>
            <w:r>
              <w:rPr>
                <w:rFonts w:hint="default" w:ascii="Times New Roman" w:hAnsi="Times New Roman" w:eastAsia="SimSun" w:cs="Times New Roman"/>
                <w:b/>
                <w:bCs/>
                <w:kern w:val="0"/>
                <w:sz w:val="18"/>
                <w:szCs w:val="18"/>
                <w:lang w:val="en-US" w:eastAsia="zh-CN" w:bidi="ar"/>
              </w:rPr>
              <w:t>Year</w:t>
            </w:r>
          </w:p>
        </w:tc>
        <w:tc>
          <w:tcPr>
            <w:tcW w:w="656" w:type="dxa"/>
            <w:vAlign w:val="center"/>
          </w:tcPr>
          <w:p w14:paraId="3C2649A1">
            <w:pPr>
              <w:keepNext w:val="0"/>
              <w:keepLines w:val="0"/>
              <w:widowControl/>
              <w:suppressLineNumbers w:val="0"/>
              <w:jc w:val="center"/>
              <w:rPr>
                <w:rStyle w:val="6"/>
                <w:sz w:val="18"/>
                <w:szCs w:val="18"/>
                <w:vertAlign w:val="baseline"/>
              </w:rPr>
            </w:pPr>
            <w:r>
              <w:rPr>
                <w:rFonts w:hint="default" w:ascii="Times New Roman" w:hAnsi="Times New Roman" w:eastAsia="SimSun" w:cs="Times New Roman"/>
                <w:b/>
                <w:bCs/>
                <w:kern w:val="0"/>
                <w:sz w:val="18"/>
                <w:szCs w:val="18"/>
                <w:lang w:val="en-US" w:eastAsia="zh-CN" w:bidi="ar"/>
              </w:rPr>
              <w:t>Cost</w:t>
            </w:r>
          </w:p>
        </w:tc>
        <w:tc>
          <w:tcPr>
            <w:tcW w:w="675" w:type="dxa"/>
            <w:vAlign w:val="center"/>
          </w:tcPr>
          <w:p w14:paraId="63276DEB">
            <w:pPr>
              <w:keepNext w:val="0"/>
              <w:keepLines w:val="0"/>
              <w:widowControl/>
              <w:suppressLineNumbers w:val="0"/>
              <w:jc w:val="center"/>
              <w:rPr>
                <w:rStyle w:val="6"/>
                <w:sz w:val="18"/>
                <w:szCs w:val="18"/>
                <w:vertAlign w:val="baseline"/>
              </w:rPr>
            </w:pPr>
            <w:r>
              <w:rPr>
                <w:rFonts w:hint="default" w:ascii="Times New Roman" w:hAnsi="Times New Roman" w:eastAsia="SimSun" w:cs="Times New Roman"/>
                <w:b/>
                <w:bCs/>
                <w:kern w:val="0"/>
                <w:sz w:val="18"/>
                <w:szCs w:val="18"/>
                <w:lang w:val="en-US" w:eastAsia="zh-CN" w:bidi="ar"/>
              </w:rPr>
              <w:t>Benefit</w:t>
            </w:r>
          </w:p>
        </w:tc>
        <w:tc>
          <w:tcPr>
            <w:tcW w:w="630" w:type="dxa"/>
            <w:vAlign w:val="center"/>
          </w:tcPr>
          <w:p w14:paraId="699D24CD">
            <w:pPr>
              <w:keepNext w:val="0"/>
              <w:keepLines w:val="0"/>
              <w:widowControl/>
              <w:suppressLineNumbers w:val="0"/>
              <w:jc w:val="center"/>
              <w:rPr>
                <w:rStyle w:val="6"/>
                <w:sz w:val="18"/>
                <w:szCs w:val="18"/>
                <w:vertAlign w:val="baseline"/>
              </w:rPr>
            </w:pPr>
            <w:r>
              <w:rPr>
                <w:rFonts w:hint="default" w:ascii="Times New Roman" w:hAnsi="Times New Roman" w:eastAsia="SimSun" w:cs="Times New Roman"/>
                <w:b/>
                <w:bCs/>
                <w:kern w:val="0"/>
                <w:sz w:val="18"/>
                <w:szCs w:val="18"/>
                <w:lang w:val="en-US" w:eastAsia="zh-CN" w:bidi="ar"/>
              </w:rPr>
              <w:t>Incr. benefit</w:t>
            </w:r>
          </w:p>
        </w:tc>
        <w:tc>
          <w:tcPr>
            <w:tcW w:w="675" w:type="dxa"/>
            <w:vAlign w:val="center"/>
          </w:tcPr>
          <w:p w14:paraId="66C004E2">
            <w:pPr>
              <w:keepNext w:val="0"/>
              <w:keepLines w:val="0"/>
              <w:widowControl/>
              <w:suppressLineNumbers w:val="0"/>
              <w:jc w:val="center"/>
              <w:rPr>
                <w:rStyle w:val="6"/>
                <w:sz w:val="18"/>
                <w:szCs w:val="18"/>
                <w:vertAlign w:val="baseline"/>
              </w:rPr>
            </w:pPr>
            <w:r>
              <w:rPr>
                <w:rFonts w:hint="default" w:ascii="Times New Roman" w:hAnsi="Times New Roman" w:eastAsia="SimSun" w:cs="Times New Roman"/>
                <w:b/>
                <w:bCs/>
                <w:kern w:val="0"/>
                <w:sz w:val="18"/>
                <w:szCs w:val="18"/>
                <w:lang w:val="en-US" w:eastAsia="zh-CN" w:bidi="ar"/>
              </w:rPr>
              <w:t>DF @21%</w:t>
            </w:r>
          </w:p>
        </w:tc>
        <w:tc>
          <w:tcPr>
            <w:tcW w:w="690" w:type="dxa"/>
            <w:vAlign w:val="center"/>
          </w:tcPr>
          <w:p w14:paraId="531A4BA8">
            <w:pPr>
              <w:keepNext w:val="0"/>
              <w:keepLines w:val="0"/>
              <w:widowControl/>
              <w:suppressLineNumbers w:val="0"/>
              <w:jc w:val="center"/>
              <w:rPr>
                <w:rStyle w:val="6"/>
                <w:sz w:val="18"/>
                <w:szCs w:val="18"/>
                <w:vertAlign w:val="baseline"/>
              </w:rPr>
            </w:pPr>
            <w:r>
              <w:rPr>
                <w:rFonts w:hint="default" w:ascii="Times New Roman" w:hAnsi="Times New Roman" w:eastAsia="SimSun" w:cs="Times New Roman"/>
                <w:b/>
                <w:bCs/>
                <w:kern w:val="0"/>
                <w:sz w:val="18"/>
                <w:szCs w:val="18"/>
                <w:lang w:val="en-US" w:eastAsia="zh-CN" w:bidi="ar"/>
              </w:rPr>
              <w:t>DF @27.5%</w:t>
            </w:r>
          </w:p>
        </w:tc>
        <w:tc>
          <w:tcPr>
            <w:tcW w:w="645" w:type="dxa"/>
            <w:vAlign w:val="center"/>
          </w:tcPr>
          <w:p w14:paraId="5D45B367">
            <w:pPr>
              <w:keepNext w:val="0"/>
              <w:keepLines w:val="0"/>
              <w:widowControl/>
              <w:suppressLineNumbers w:val="0"/>
              <w:jc w:val="center"/>
              <w:rPr>
                <w:rStyle w:val="6"/>
                <w:sz w:val="18"/>
                <w:szCs w:val="18"/>
                <w:vertAlign w:val="baseline"/>
              </w:rPr>
            </w:pPr>
            <w:r>
              <w:rPr>
                <w:rFonts w:hint="default" w:ascii="Times New Roman" w:hAnsi="Times New Roman" w:eastAsia="SimSun" w:cs="Times New Roman"/>
                <w:b/>
                <w:bCs/>
                <w:kern w:val="0"/>
                <w:sz w:val="18"/>
                <w:szCs w:val="18"/>
                <w:lang w:val="en-US" w:eastAsia="zh-CN" w:bidi="ar"/>
              </w:rPr>
              <w:t>DF @32%</w:t>
            </w:r>
          </w:p>
        </w:tc>
        <w:tc>
          <w:tcPr>
            <w:tcW w:w="660" w:type="dxa"/>
            <w:vAlign w:val="center"/>
          </w:tcPr>
          <w:p w14:paraId="5691E26E">
            <w:pPr>
              <w:keepNext w:val="0"/>
              <w:keepLines w:val="0"/>
              <w:widowControl/>
              <w:suppressLineNumbers w:val="0"/>
              <w:jc w:val="center"/>
              <w:rPr>
                <w:rStyle w:val="6"/>
                <w:sz w:val="18"/>
                <w:szCs w:val="18"/>
                <w:vertAlign w:val="baseline"/>
              </w:rPr>
            </w:pPr>
            <w:r>
              <w:rPr>
                <w:rFonts w:hint="default" w:ascii="Times New Roman" w:hAnsi="Times New Roman" w:eastAsia="SimSun" w:cs="Times New Roman"/>
                <w:b/>
                <w:bCs/>
                <w:kern w:val="0"/>
                <w:sz w:val="18"/>
                <w:szCs w:val="18"/>
                <w:lang w:val="en-US" w:eastAsia="zh-CN" w:bidi="ar"/>
              </w:rPr>
              <w:t>DC @21%</w:t>
            </w:r>
          </w:p>
        </w:tc>
        <w:tc>
          <w:tcPr>
            <w:tcW w:w="690" w:type="dxa"/>
            <w:vAlign w:val="center"/>
          </w:tcPr>
          <w:p w14:paraId="68E23DFD">
            <w:pPr>
              <w:keepNext w:val="0"/>
              <w:keepLines w:val="0"/>
              <w:widowControl/>
              <w:suppressLineNumbers w:val="0"/>
              <w:jc w:val="center"/>
              <w:rPr>
                <w:rStyle w:val="6"/>
                <w:sz w:val="18"/>
                <w:szCs w:val="18"/>
                <w:vertAlign w:val="baseline"/>
              </w:rPr>
            </w:pPr>
            <w:r>
              <w:rPr>
                <w:rFonts w:hint="default" w:ascii="Times New Roman" w:hAnsi="Times New Roman" w:eastAsia="SimSun" w:cs="Times New Roman"/>
                <w:b/>
                <w:bCs/>
                <w:kern w:val="0"/>
                <w:sz w:val="18"/>
                <w:szCs w:val="18"/>
                <w:lang w:val="en-US" w:eastAsia="zh-CN" w:bidi="ar"/>
              </w:rPr>
              <w:t>DC @27.5%</w:t>
            </w:r>
          </w:p>
        </w:tc>
        <w:tc>
          <w:tcPr>
            <w:tcW w:w="675" w:type="dxa"/>
            <w:vAlign w:val="center"/>
          </w:tcPr>
          <w:p w14:paraId="13097D16">
            <w:pPr>
              <w:keepNext w:val="0"/>
              <w:keepLines w:val="0"/>
              <w:widowControl/>
              <w:suppressLineNumbers w:val="0"/>
              <w:jc w:val="center"/>
              <w:rPr>
                <w:rStyle w:val="6"/>
                <w:sz w:val="18"/>
                <w:szCs w:val="18"/>
                <w:vertAlign w:val="baseline"/>
              </w:rPr>
            </w:pPr>
            <w:r>
              <w:rPr>
                <w:rFonts w:hint="default" w:ascii="Times New Roman" w:hAnsi="Times New Roman" w:eastAsia="SimSun" w:cs="Times New Roman"/>
                <w:b/>
                <w:bCs/>
                <w:kern w:val="0"/>
                <w:sz w:val="18"/>
                <w:szCs w:val="18"/>
                <w:lang w:val="en-US" w:eastAsia="zh-CN" w:bidi="ar"/>
              </w:rPr>
              <w:t>DB @21%</w:t>
            </w:r>
          </w:p>
        </w:tc>
        <w:tc>
          <w:tcPr>
            <w:tcW w:w="705" w:type="dxa"/>
            <w:vAlign w:val="center"/>
          </w:tcPr>
          <w:p w14:paraId="18968D65">
            <w:pPr>
              <w:keepNext w:val="0"/>
              <w:keepLines w:val="0"/>
              <w:widowControl/>
              <w:suppressLineNumbers w:val="0"/>
              <w:jc w:val="center"/>
              <w:rPr>
                <w:rStyle w:val="6"/>
                <w:sz w:val="18"/>
                <w:szCs w:val="18"/>
                <w:vertAlign w:val="baseline"/>
              </w:rPr>
            </w:pPr>
            <w:r>
              <w:rPr>
                <w:rFonts w:hint="default" w:ascii="Times New Roman" w:hAnsi="Times New Roman" w:eastAsia="SimSun" w:cs="Times New Roman"/>
                <w:b/>
                <w:bCs/>
                <w:kern w:val="0"/>
                <w:sz w:val="18"/>
                <w:szCs w:val="18"/>
                <w:lang w:val="en-US" w:eastAsia="zh-CN" w:bidi="ar"/>
              </w:rPr>
              <w:t>DB @27.5%</w:t>
            </w:r>
          </w:p>
        </w:tc>
        <w:tc>
          <w:tcPr>
            <w:tcW w:w="660" w:type="dxa"/>
            <w:vAlign w:val="center"/>
          </w:tcPr>
          <w:p w14:paraId="06502373">
            <w:pPr>
              <w:keepNext w:val="0"/>
              <w:keepLines w:val="0"/>
              <w:widowControl/>
              <w:suppressLineNumbers w:val="0"/>
              <w:jc w:val="center"/>
              <w:rPr>
                <w:rStyle w:val="6"/>
                <w:sz w:val="18"/>
                <w:szCs w:val="18"/>
                <w:vertAlign w:val="baseline"/>
              </w:rPr>
            </w:pPr>
            <w:r>
              <w:rPr>
                <w:rFonts w:hint="default" w:ascii="Times New Roman" w:hAnsi="Times New Roman" w:eastAsia="SimSun" w:cs="Times New Roman"/>
                <w:b/>
                <w:bCs/>
                <w:kern w:val="0"/>
                <w:sz w:val="18"/>
                <w:szCs w:val="18"/>
                <w:lang w:val="en-US" w:eastAsia="zh-CN" w:bidi="ar"/>
              </w:rPr>
              <w:t>DC @32%</w:t>
            </w:r>
          </w:p>
        </w:tc>
        <w:tc>
          <w:tcPr>
            <w:tcW w:w="720" w:type="dxa"/>
            <w:vAlign w:val="center"/>
          </w:tcPr>
          <w:p w14:paraId="10DB7CEF">
            <w:pPr>
              <w:keepNext w:val="0"/>
              <w:keepLines w:val="0"/>
              <w:widowControl/>
              <w:suppressLineNumbers w:val="0"/>
              <w:jc w:val="center"/>
              <w:rPr>
                <w:rStyle w:val="6"/>
                <w:sz w:val="18"/>
                <w:szCs w:val="18"/>
                <w:vertAlign w:val="baseline"/>
              </w:rPr>
            </w:pPr>
            <w:r>
              <w:rPr>
                <w:rFonts w:hint="default" w:ascii="Times New Roman" w:hAnsi="Times New Roman" w:eastAsia="SimSun" w:cs="Times New Roman"/>
                <w:b/>
                <w:bCs/>
                <w:kern w:val="0"/>
                <w:sz w:val="18"/>
                <w:szCs w:val="18"/>
                <w:lang w:val="en-US" w:eastAsia="zh-CN" w:bidi="ar"/>
              </w:rPr>
              <w:t>DB @32%</w:t>
            </w:r>
          </w:p>
        </w:tc>
        <w:tc>
          <w:tcPr>
            <w:tcW w:w="780" w:type="dxa"/>
            <w:vAlign w:val="center"/>
          </w:tcPr>
          <w:p w14:paraId="10C420FB">
            <w:pPr>
              <w:keepNext w:val="0"/>
              <w:keepLines w:val="0"/>
              <w:widowControl/>
              <w:suppressLineNumbers w:val="0"/>
              <w:jc w:val="center"/>
              <w:rPr>
                <w:rStyle w:val="6"/>
                <w:sz w:val="18"/>
                <w:szCs w:val="18"/>
                <w:vertAlign w:val="baseline"/>
              </w:rPr>
            </w:pPr>
            <w:r>
              <w:rPr>
                <w:rFonts w:hint="default" w:ascii="Times New Roman" w:hAnsi="Times New Roman" w:eastAsia="SimSun" w:cs="Times New Roman"/>
                <w:b/>
                <w:bCs/>
                <w:kern w:val="0"/>
                <w:sz w:val="18"/>
                <w:szCs w:val="18"/>
                <w:lang w:val="en-US" w:eastAsia="zh-CN" w:bidi="ar"/>
              </w:rPr>
              <w:t>NPV @21%</w:t>
            </w:r>
          </w:p>
        </w:tc>
        <w:tc>
          <w:tcPr>
            <w:tcW w:w="900" w:type="dxa"/>
            <w:vAlign w:val="center"/>
          </w:tcPr>
          <w:p w14:paraId="1920248D">
            <w:pPr>
              <w:keepNext w:val="0"/>
              <w:keepLines w:val="0"/>
              <w:widowControl/>
              <w:suppressLineNumbers w:val="0"/>
              <w:jc w:val="center"/>
              <w:rPr>
                <w:rStyle w:val="6"/>
                <w:sz w:val="18"/>
                <w:szCs w:val="18"/>
                <w:vertAlign w:val="baseline"/>
              </w:rPr>
            </w:pPr>
            <w:r>
              <w:rPr>
                <w:rFonts w:hint="default" w:ascii="Times New Roman" w:hAnsi="Times New Roman" w:eastAsia="SimSun" w:cs="Times New Roman"/>
                <w:b/>
                <w:bCs/>
                <w:kern w:val="0"/>
                <w:sz w:val="18"/>
                <w:szCs w:val="18"/>
                <w:lang w:val="en-US" w:eastAsia="zh-CN" w:bidi="ar"/>
              </w:rPr>
              <w:t>NPV @27.5%</w:t>
            </w:r>
          </w:p>
        </w:tc>
        <w:tc>
          <w:tcPr>
            <w:tcW w:w="705" w:type="dxa"/>
            <w:vAlign w:val="center"/>
          </w:tcPr>
          <w:p w14:paraId="7B780DEC">
            <w:pPr>
              <w:keepNext w:val="0"/>
              <w:keepLines w:val="0"/>
              <w:widowControl/>
              <w:suppressLineNumbers w:val="0"/>
              <w:jc w:val="center"/>
              <w:rPr>
                <w:rStyle w:val="6"/>
                <w:sz w:val="18"/>
                <w:szCs w:val="18"/>
                <w:vertAlign w:val="baseline"/>
              </w:rPr>
            </w:pPr>
            <w:r>
              <w:rPr>
                <w:rFonts w:hint="default" w:ascii="Times New Roman" w:hAnsi="Times New Roman" w:eastAsia="SimSun" w:cs="Times New Roman"/>
                <w:b/>
                <w:bCs/>
                <w:kern w:val="0"/>
                <w:sz w:val="18"/>
                <w:szCs w:val="18"/>
                <w:lang w:val="en-US" w:eastAsia="zh-CN" w:bidi="ar"/>
              </w:rPr>
              <w:t>NPV @32%</w:t>
            </w:r>
          </w:p>
        </w:tc>
      </w:tr>
      <w:tr w14:paraId="4DF4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39" w:type="dxa"/>
            <w:vAlign w:val="center"/>
          </w:tcPr>
          <w:p w14:paraId="04A16432">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w:t>
            </w:r>
          </w:p>
        </w:tc>
        <w:tc>
          <w:tcPr>
            <w:tcW w:w="656" w:type="dxa"/>
            <w:vAlign w:val="center"/>
          </w:tcPr>
          <w:p w14:paraId="2FC25574">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1,221,680</w:t>
            </w:r>
          </w:p>
        </w:tc>
        <w:tc>
          <w:tcPr>
            <w:tcW w:w="675" w:type="dxa"/>
            <w:vAlign w:val="center"/>
          </w:tcPr>
          <w:p w14:paraId="53B95EE1">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24,999,000</w:t>
            </w:r>
          </w:p>
        </w:tc>
        <w:tc>
          <w:tcPr>
            <w:tcW w:w="630" w:type="dxa"/>
            <w:vAlign w:val="center"/>
          </w:tcPr>
          <w:p w14:paraId="32C8DAFD">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23,777,320</w:t>
            </w:r>
          </w:p>
        </w:tc>
        <w:tc>
          <w:tcPr>
            <w:tcW w:w="675" w:type="dxa"/>
            <w:vAlign w:val="center"/>
          </w:tcPr>
          <w:p w14:paraId="47B480B9">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0.826</w:t>
            </w:r>
          </w:p>
        </w:tc>
        <w:tc>
          <w:tcPr>
            <w:tcW w:w="690" w:type="dxa"/>
            <w:vAlign w:val="center"/>
          </w:tcPr>
          <w:p w14:paraId="5B84C508">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0.7843</w:t>
            </w:r>
          </w:p>
        </w:tc>
        <w:tc>
          <w:tcPr>
            <w:tcW w:w="645" w:type="dxa"/>
            <w:vAlign w:val="center"/>
          </w:tcPr>
          <w:p w14:paraId="2F7E3C2D">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0.7575</w:t>
            </w:r>
          </w:p>
        </w:tc>
        <w:tc>
          <w:tcPr>
            <w:tcW w:w="660" w:type="dxa"/>
            <w:vAlign w:val="center"/>
          </w:tcPr>
          <w:p w14:paraId="39A842EB">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1,009,107.68</w:t>
            </w:r>
          </w:p>
        </w:tc>
        <w:tc>
          <w:tcPr>
            <w:tcW w:w="690" w:type="dxa"/>
            <w:vAlign w:val="center"/>
          </w:tcPr>
          <w:p w14:paraId="5B1D721E">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958,163.62</w:t>
            </w:r>
          </w:p>
        </w:tc>
        <w:tc>
          <w:tcPr>
            <w:tcW w:w="675" w:type="dxa"/>
            <w:vAlign w:val="center"/>
          </w:tcPr>
          <w:p w14:paraId="3B6E0FC4">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20,649,174</w:t>
            </w:r>
          </w:p>
        </w:tc>
        <w:tc>
          <w:tcPr>
            <w:tcW w:w="705" w:type="dxa"/>
            <w:vAlign w:val="center"/>
          </w:tcPr>
          <w:p w14:paraId="7D620F95">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19,606,715.7</w:t>
            </w:r>
          </w:p>
        </w:tc>
        <w:tc>
          <w:tcPr>
            <w:tcW w:w="660" w:type="dxa"/>
            <w:vAlign w:val="center"/>
          </w:tcPr>
          <w:p w14:paraId="510A44BD">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925,422.6</w:t>
            </w:r>
          </w:p>
        </w:tc>
        <w:tc>
          <w:tcPr>
            <w:tcW w:w="720" w:type="dxa"/>
            <w:vAlign w:val="center"/>
          </w:tcPr>
          <w:p w14:paraId="4FD7812B">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18,936,742.5</w:t>
            </w:r>
          </w:p>
        </w:tc>
        <w:tc>
          <w:tcPr>
            <w:tcW w:w="780" w:type="dxa"/>
            <w:vAlign w:val="center"/>
          </w:tcPr>
          <w:p w14:paraId="00C65D8B">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19,640,066.32</w:t>
            </w:r>
          </w:p>
        </w:tc>
        <w:tc>
          <w:tcPr>
            <w:tcW w:w="900" w:type="dxa"/>
            <w:vAlign w:val="center"/>
          </w:tcPr>
          <w:p w14:paraId="50CD57E8">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18,648,552.08</w:t>
            </w:r>
          </w:p>
        </w:tc>
        <w:tc>
          <w:tcPr>
            <w:tcW w:w="705" w:type="dxa"/>
            <w:vAlign w:val="center"/>
          </w:tcPr>
          <w:p w14:paraId="490F749C">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18,011,319.9</w:t>
            </w:r>
          </w:p>
        </w:tc>
      </w:tr>
      <w:tr w14:paraId="5E72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39" w:type="dxa"/>
            <w:vAlign w:val="center"/>
          </w:tcPr>
          <w:p w14:paraId="425616A7">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2</w:t>
            </w:r>
          </w:p>
        </w:tc>
        <w:tc>
          <w:tcPr>
            <w:tcW w:w="656" w:type="dxa"/>
            <w:vAlign w:val="center"/>
          </w:tcPr>
          <w:p w14:paraId="2408D83D">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1,282,764</w:t>
            </w:r>
          </w:p>
        </w:tc>
        <w:tc>
          <w:tcPr>
            <w:tcW w:w="675" w:type="dxa"/>
            <w:vAlign w:val="center"/>
          </w:tcPr>
          <w:p w14:paraId="1153B238">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26,248,950</w:t>
            </w:r>
          </w:p>
        </w:tc>
        <w:tc>
          <w:tcPr>
            <w:tcW w:w="630" w:type="dxa"/>
            <w:vAlign w:val="center"/>
          </w:tcPr>
          <w:p w14:paraId="77B4A806">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24,966,186</w:t>
            </w:r>
          </w:p>
        </w:tc>
        <w:tc>
          <w:tcPr>
            <w:tcW w:w="675" w:type="dxa"/>
            <w:vAlign w:val="center"/>
          </w:tcPr>
          <w:p w14:paraId="7ACAE735">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0.683</w:t>
            </w:r>
          </w:p>
        </w:tc>
        <w:tc>
          <w:tcPr>
            <w:tcW w:w="690" w:type="dxa"/>
            <w:vAlign w:val="center"/>
          </w:tcPr>
          <w:p w14:paraId="5A696A92">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0.6152</w:t>
            </w:r>
          </w:p>
        </w:tc>
        <w:tc>
          <w:tcPr>
            <w:tcW w:w="645" w:type="dxa"/>
            <w:vAlign w:val="center"/>
          </w:tcPr>
          <w:p w14:paraId="4C9ED0B8">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0.5739</w:t>
            </w:r>
          </w:p>
        </w:tc>
        <w:tc>
          <w:tcPr>
            <w:tcW w:w="660" w:type="dxa"/>
            <w:vAlign w:val="center"/>
          </w:tcPr>
          <w:p w14:paraId="10A583D2">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876,127.81</w:t>
            </w:r>
          </w:p>
        </w:tc>
        <w:tc>
          <w:tcPr>
            <w:tcW w:w="690" w:type="dxa"/>
            <w:vAlign w:val="center"/>
          </w:tcPr>
          <w:p w14:paraId="3920F437">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789,156.41</w:t>
            </w:r>
          </w:p>
        </w:tc>
        <w:tc>
          <w:tcPr>
            <w:tcW w:w="675" w:type="dxa"/>
            <w:vAlign w:val="center"/>
          </w:tcPr>
          <w:p w14:paraId="1C6F311B">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17,928,032.85</w:t>
            </w:r>
          </w:p>
        </w:tc>
        <w:tc>
          <w:tcPr>
            <w:tcW w:w="705" w:type="dxa"/>
            <w:vAlign w:val="center"/>
          </w:tcPr>
          <w:p w14:paraId="55B60ECB">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16,148,354.04</w:t>
            </w:r>
          </w:p>
        </w:tc>
        <w:tc>
          <w:tcPr>
            <w:tcW w:w="660" w:type="dxa"/>
            <w:vAlign w:val="center"/>
          </w:tcPr>
          <w:p w14:paraId="6C6D9051">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736,178.26</w:t>
            </w:r>
          </w:p>
        </w:tc>
        <w:tc>
          <w:tcPr>
            <w:tcW w:w="720" w:type="dxa"/>
            <w:vAlign w:val="center"/>
          </w:tcPr>
          <w:p w14:paraId="2DC59344">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15,064,272.41</w:t>
            </w:r>
          </w:p>
        </w:tc>
        <w:tc>
          <w:tcPr>
            <w:tcW w:w="780" w:type="dxa"/>
            <w:vAlign w:val="center"/>
          </w:tcPr>
          <w:p w14:paraId="3B647DCE">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17,051,905.4</w:t>
            </w:r>
          </w:p>
        </w:tc>
        <w:tc>
          <w:tcPr>
            <w:tcW w:w="900" w:type="dxa"/>
            <w:vAlign w:val="center"/>
          </w:tcPr>
          <w:p w14:paraId="11CB9B06">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15,359,197.63</w:t>
            </w:r>
          </w:p>
        </w:tc>
        <w:tc>
          <w:tcPr>
            <w:tcW w:w="705" w:type="dxa"/>
            <w:vAlign w:val="center"/>
          </w:tcPr>
          <w:p w14:paraId="60FBA41C">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14,328,094.15</w:t>
            </w:r>
          </w:p>
        </w:tc>
      </w:tr>
      <w:tr w14:paraId="5661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39" w:type="dxa"/>
            <w:vAlign w:val="center"/>
          </w:tcPr>
          <w:p w14:paraId="34D9B068">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3</w:t>
            </w:r>
          </w:p>
        </w:tc>
        <w:tc>
          <w:tcPr>
            <w:tcW w:w="656" w:type="dxa"/>
            <w:vAlign w:val="center"/>
          </w:tcPr>
          <w:p w14:paraId="5C03F5AB">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1,346,902.2</w:t>
            </w:r>
          </w:p>
        </w:tc>
        <w:tc>
          <w:tcPr>
            <w:tcW w:w="675" w:type="dxa"/>
            <w:vAlign w:val="center"/>
          </w:tcPr>
          <w:p w14:paraId="6553D761">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27,561,397.5</w:t>
            </w:r>
          </w:p>
        </w:tc>
        <w:tc>
          <w:tcPr>
            <w:tcW w:w="630" w:type="dxa"/>
            <w:vAlign w:val="center"/>
          </w:tcPr>
          <w:p w14:paraId="007DF3EA">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26,214,495</w:t>
            </w:r>
          </w:p>
        </w:tc>
        <w:tc>
          <w:tcPr>
            <w:tcW w:w="675" w:type="dxa"/>
            <w:vAlign w:val="center"/>
          </w:tcPr>
          <w:p w14:paraId="1DC34106">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0.5644</w:t>
            </w:r>
          </w:p>
        </w:tc>
        <w:tc>
          <w:tcPr>
            <w:tcW w:w="690" w:type="dxa"/>
            <w:vAlign w:val="center"/>
          </w:tcPr>
          <w:p w14:paraId="77330F9A">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0.4894</w:t>
            </w:r>
          </w:p>
        </w:tc>
        <w:tc>
          <w:tcPr>
            <w:tcW w:w="645" w:type="dxa"/>
            <w:vAlign w:val="center"/>
          </w:tcPr>
          <w:p w14:paraId="09AEFB58">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0.4347</w:t>
            </w:r>
          </w:p>
        </w:tc>
        <w:tc>
          <w:tcPr>
            <w:tcW w:w="660" w:type="dxa"/>
            <w:vAlign w:val="center"/>
          </w:tcPr>
          <w:p w14:paraId="35A7F1D5">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760,191.60</w:t>
            </w:r>
          </w:p>
        </w:tc>
        <w:tc>
          <w:tcPr>
            <w:tcW w:w="690" w:type="dxa"/>
            <w:vAlign w:val="center"/>
          </w:tcPr>
          <w:p w14:paraId="68DC480A">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659,173.03</w:t>
            </w:r>
          </w:p>
        </w:tc>
        <w:tc>
          <w:tcPr>
            <w:tcW w:w="675" w:type="dxa"/>
            <w:vAlign w:val="center"/>
          </w:tcPr>
          <w:p w14:paraId="1AF398B8">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15,555,652.75</w:t>
            </w:r>
          </w:p>
        </w:tc>
        <w:tc>
          <w:tcPr>
            <w:tcW w:w="705" w:type="dxa"/>
            <w:vAlign w:val="center"/>
          </w:tcPr>
          <w:p w14:paraId="202F6803">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13,488,545.00</w:t>
            </w:r>
          </w:p>
        </w:tc>
        <w:tc>
          <w:tcPr>
            <w:tcW w:w="660" w:type="dxa"/>
            <w:vAlign w:val="center"/>
          </w:tcPr>
          <w:p w14:paraId="328DA8A3">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585,498.39</w:t>
            </w:r>
          </w:p>
        </w:tc>
        <w:tc>
          <w:tcPr>
            <w:tcW w:w="720" w:type="dxa"/>
            <w:vAlign w:val="center"/>
          </w:tcPr>
          <w:p w14:paraId="7291A450">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11,980,939.49</w:t>
            </w:r>
          </w:p>
        </w:tc>
        <w:tc>
          <w:tcPr>
            <w:tcW w:w="780" w:type="dxa"/>
            <w:vAlign w:val="center"/>
          </w:tcPr>
          <w:p w14:paraId="2B10B485">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14,795,461.15</w:t>
            </w:r>
          </w:p>
        </w:tc>
        <w:tc>
          <w:tcPr>
            <w:tcW w:w="900" w:type="dxa"/>
            <w:vAlign w:val="center"/>
          </w:tcPr>
          <w:p w14:paraId="6AB7144B">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12,829,371.96</w:t>
            </w:r>
          </w:p>
        </w:tc>
        <w:tc>
          <w:tcPr>
            <w:tcW w:w="705" w:type="dxa"/>
            <w:vAlign w:val="center"/>
          </w:tcPr>
          <w:p w14:paraId="763936E8">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11,395,440.9</w:t>
            </w:r>
          </w:p>
        </w:tc>
      </w:tr>
      <w:tr w14:paraId="095B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39" w:type="dxa"/>
            <w:vAlign w:val="center"/>
          </w:tcPr>
          <w:p w14:paraId="47FF4FB6">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4</w:t>
            </w:r>
          </w:p>
        </w:tc>
        <w:tc>
          <w:tcPr>
            <w:tcW w:w="656" w:type="dxa"/>
            <w:vAlign w:val="center"/>
          </w:tcPr>
          <w:p w14:paraId="39C3E9C7">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1,414,247.31</w:t>
            </w:r>
          </w:p>
        </w:tc>
        <w:tc>
          <w:tcPr>
            <w:tcW w:w="675" w:type="dxa"/>
            <w:vAlign w:val="center"/>
          </w:tcPr>
          <w:p w14:paraId="3FFE7683">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28,939,467</w:t>
            </w:r>
          </w:p>
        </w:tc>
        <w:tc>
          <w:tcPr>
            <w:tcW w:w="630" w:type="dxa"/>
            <w:vAlign w:val="center"/>
          </w:tcPr>
          <w:p w14:paraId="7C022F21">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27,525,219.69</w:t>
            </w:r>
          </w:p>
        </w:tc>
        <w:tc>
          <w:tcPr>
            <w:tcW w:w="675" w:type="dxa"/>
            <w:vAlign w:val="center"/>
          </w:tcPr>
          <w:p w14:paraId="222E1ADF">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0.4665</w:t>
            </w:r>
          </w:p>
        </w:tc>
        <w:tc>
          <w:tcPr>
            <w:tcW w:w="690" w:type="dxa"/>
            <w:vAlign w:val="center"/>
          </w:tcPr>
          <w:p w14:paraId="27000AB8">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0.3786</w:t>
            </w:r>
          </w:p>
        </w:tc>
        <w:tc>
          <w:tcPr>
            <w:tcW w:w="645" w:type="dxa"/>
            <w:vAlign w:val="center"/>
          </w:tcPr>
          <w:p w14:paraId="42C20503">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0.3293</w:t>
            </w:r>
          </w:p>
        </w:tc>
        <w:tc>
          <w:tcPr>
            <w:tcW w:w="660" w:type="dxa"/>
            <w:vAlign w:val="center"/>
          </w:tcPr>
          <w:p w14:paraId="053C4CE6">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659,446.37</w:t>
            </w:r>
          </w:p>
        </w:tc>
        <w:tc>
          <w:tcPr>
            <w:tcW w:w="690" w:type="dxa"/>
            <w:vAlign w:val="center"/>
          </w:tcPr>
          <w:p w14:paraId="70315934">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535,434.03</w:t>
            </w:r>
          </w:p>
        </w:tc>
        <w:tc>
          <w:tcPr>
            <w:tcW w:w="675" w:type="dxa"/>
            <w:vAlign w:val="center"/>
          </w:tcPr>
          <w:p w14:paraId="12002737">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13,500,261.36</w:t>
            </w:r>
          </w:p>
        </w:tc>
        <w:tc>
          <w:tcPr>
            <w:tcW w:w="705" w:type="dxa"/>
            <w:vAlign w:val="center"/>
          </w:tcPr>
          <w:p w14:paraId="6CA9CF5D">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9,922,186.47</w:t>
            </w:r>
          </w:p>
        </w:tc>
        <w:tc>
          <w:tcPr>
            <w:tcW w:w="660" w:type="dxa"/>
            <w:vAlign w:val="center"/>
          </w:tcPr>
          <w:p w14:paraId="6EDBB6CC">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465,711.64</w:t>
            </w:r>
          </w:p>
        </w:tc>
        <w:tc>
          <w:tcPr>
            <w:tcW w:w="720" w:type="dxa"/>
            <w:vAlign w:val="center"/>
          </w:tcPr>
          <w:p w14:paraId="2BC407EC">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9,529,766.46</w:t>
            </w:r>
          </w:p>
        </w:tc>
        <w:tc>
          <w:tcPr>
            <w:tcW w:w="780" w:type="dxa"/>
            <w:vAlign w:val="center"/>
          </w:tcPr>
          <w:p w14:paraId="083F8A64">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12,840,514.99</w:t>
            </w:r>
          </w:p>
        </w:tc>
        <w:tc>
          <w:tcPr>
            <w:tcW w:w="900" w:type="dxa"/>
            <w:vAlign w:val="center"/>
          </w:tcPr>
          <w:p w14:paraId="756C0FE6">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9,386,893.82</w:t>
            </w:r>
          </w:p>
        </w:tc>
        <w:tc>
          <w:tcPr>
            <w:tcW w:w="705" w:type="dxa"/>
            <w:vAlign w:val="center"/>
          </w:tcPr>
          <w:p w14:paraId="504F559A">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9,064,054.84</w:t>
            </w:r>
          </w:p>
        </w:tc>
      </w:tr>
      <w:tr w14:paraId="51F0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39" w:type="dxa"/>
            <w:vAlign w:val="center"/>
          </w:tcPr>
          <w:p w14:paraId="64A03AA8">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5</w:t>
            </w:r>
          </w:p>
        </w:tc>
        <w:tc>
          <w:tcPr>
            <w:tcW w:w="656" w:type="dxa"/>
            <w:vAlign w:val="center"/>
          </w:tcPr>
          <w:p w14:paraId="19EDD110">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1,484,959.7</w:t>
            </w:r>
          </w:p>
        </w:tc>
        <w:tc>
          <w:tcPr>
            <w:tcW w:w="675" w:type="dxa"/>
            <w:vAlign w:val="center"/>
          </w:tcPr>
          <w:p w14:paraId="4B7FC578">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30,386,439</w:t>
            </w:r>
          </w:p>
        </w:tc>
        <w:tc>
          <w:tcPr>
            <w:tcW w:w="630" w:type="dxa"/>
            <w:vAlign w:val="center"/>
          </w:tcPr>
          <w:p w14:paraId="341F16BB">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28,901,479.32</w:t>
            </w:r>
          </w:p>
        </w:tc>
        <w:tc>
          <w:tcPr>
            <w:tcW w:w="675" w:type="dxa"/>
            <w:vAlign w:val="center"/>
          </w:tcPr>
          <w:p w14:paraId="541E19EF">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0.3855</w:t>
            </w:r>
          </w:p>
        </w:tc>
        <w:tc>
          <w:tcPr>
            <w:tcW w:w="690" w:type="dxa"/>
            <w:vAlign w:val="center"/>
          </w:tcPr>
          <w:p w14:paraId="51F5EFF3">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0.2968</w:t>
            </w:r>
          </w:p>
        </w:tc>
        <w:tc>
          <w:tcPr>
            <w:tcW w:w="645" w:type="dxa"/>
            <w:vAlign w:val="center"/>
          </w:tcPr>
          <w:p w14:paraId="38D40AF4">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0.2495</w:t>
            </w:r>
          </w:p>
        </w:tc>
        <w:tc>
          <w:tcPr>
            <w:tcW w:w="660" w:type="dxa"/>
            <w:vAlign w:val="center"/>
          </w:tcPr>
          <w:p w14:paraId="5E0B6E98">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572,451.96</w:t>
            </w:r>
          </w:p>
        </w:tc>
        <w:tc>
          <w:tcPr>
            <w:tcW w:w="690" w:type="dxa"/>
            <w:vAlign w:val="center"/>
          </w:tcPr>
          <w:p w14:paraId="6BCBB331">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440,736.03</w:t>
            </w:r>
          </w:p>
        </w:tc>
        <w:tc>
          <w:tcPr>
            <w:tcW w:w="675" w:type="dxa"/>
            <w:vAlign w:val="center"/>
          </w:tcPr>
          <w:p w14:paraId="02B533FD">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11,713,972.23</w:t>
            </w:r>
          </w:p>
        </w:tc>
        <w:tc>
          <w:tcPr>
            <w:tcW w:w="705" w:type="dxa"/>
            <w:vAlign w:val="center"/>
          </w:tcPr>
          <w:p w14:paraId="35557A53">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8,577,959.06</w:t>
            </w:r>
          </w:p>
        </w:tc>
        <w:tc>
          <w:tcPr>
            <w:tcW w:w="660" w:type="dxa"/>
            <w:vAlign w:val="center"/>
          </w:tcPr>
          <w:p w14:paraId="6DFD0DA3">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370,497.44</w:t>
            </w:r>
          </w:p>
        </w:tc>
        <w:tc>
          <w:tcPr>
            <w:tcW w:w="720" w:type="dxa"/>
            <w:vAlign w:val="center"/>
          </w:tcPr>
          <w:p w14:paraId="44D78657">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7,581,416.53</w:t>
            </w:r>
          </w:p>
        </w:tc>
        <w:tc>
          <w:tcPr>
            <w:tcW w:w="780" w:type="dxa"/>
            <w:vAlign w:val="center"/>
          </w:tcPr>
          <w:p w14:paraId="29CEFA99">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11,141,520.28</w:t>
            </w:r>
          </w:p>
        </w:tc>
        <w:tc>
          <w:tcPr>
            <w:tcW w:w="900" w:type="dxa"/>
            <w:vAlign w:val="center"/>
          </w:tcPr>
          <w:p w14:paraId="74F32474">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8,137,223.03</w:t>
            </w:r>
          </w:p>
        </w:tc>
        <w:tc>
          <w:tcPr>
            <w:tcW w:w="705" w:type="dxa"/>
            <w:vAlign w:val="center"/>
          </w:tcPr>
          <w:p w14:paraId="5AF23AE9">
            <w:pPr>
              <w:keepNext w:val="0"/>
              <w:keepLines w:val="0"/>
              <w:widowControl/>
              <w:suppressLineNumbers w:val="0"/>
              <w:jc w:val="left"/>
              <w:rPr>
                <w:rStyle w:val="6"/>
                <w:rFonts w:hint="default" w:ascii="Times New Roman" w:hAnsi="Times New Roman" w:cs="Times New Roman"/>
                <w:sz w:val="18"/>
                <w:szCs w:val="18"/>
                <w:vertAlign w:val="baseline"/>
              </w:rPr>
            </w:pPr>
            <w:r>
              <w:rPr>
                <w:rFonts w:hint="default" w:ascii="Times New Roman" w:hAnsi="Times New Roman" w:eastAsia="SimSun" w:cs="Times New Roman"/>
                <w:kern w:val="0"/>
                <w:sz w:val="18"/>
                <w:szCs w:val="18"/>
                <w:lang w:val="en-US" w:eastAsia="zh-CN" w:bidi="ar"/>
              </w:rPr>
              <w:t>7,210,919.09</w:t>
            </w:r>
          </w:p>
        </w:tc>
      </w:tr>
    </w:tbl>
    <w:p w14:paraId="791ADD5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b/>
          <w:bCs/>
          <w:i/>
          <w:iCs/>
          <w:sz w:val="21"/>
          <w:szCs w:val="21"/>
        </w:rPr>
      </w:pPr>
      <w:r>
        <w:rPr>
          <w:rStyle w:val="4"/>
          <w:b/>
          <w:bCs/>
          <w:i/>
          <w:iCs/>
          <w:sz w:val="21"/>
          <w:szCs w:val="21"/>
        </w:rPr>
        <w:t>Source:</w:t>
      </w:r>
      <w:r>
        <w:rPr>
          <w:b/>
          <w:bCs/>
          <w:i/>
          <w:iCs/>
          <w:sz w:val="21"/>
          <w:szCs w:val="21"/>
        </w:rPr>
        <w:t xml:space="preserve"> Computed Value, 2025</w:t>
      </w:r>
    </w:p>
    <w:p w14:paraId="7838AE3F">
      <w:pPr>
        <w:pStyle w:val="5"/>
        <w:keepNext w:val="0"/>
        <w:keepLines w:val="0"/>
        <w:widowControl/>
        <w:suppressLineNumbers w:val="0"/>
        <w:spacing w:line="360" w:lineRule="auto"/>
        <w:jc w:val="both"/>
      </w:pPr>
      <w:r>
        <w:t>The results presented in Table 4 show that tea seedling production generates substantial financial returns over the five-year period. Total production costs increased gradually from ₦1,221,680 in the first year to ₦1,484,959.70 in the fifth year, mainly due to the assumed 5% annual rise in variable costs. In contrast, total benefits increased consistently from ₦24,999,000 to ₦30,386,439, driven by a corresponding 5% annual increase in seedling output, while the unit selling price remained constant at ₦1,500.</w:t>
      </w:r>
    </w:p>
    <w:p w14:paraId="2FEF8B80">
      <w:pPr>
        <w:pStyle w:val="5"/>
        <w:keepNext w:val="0"/>
        <w:keepLines w:val="0"/>
        <w:widowControl/>
        <w:suppressLineNumbers w:val="0"/>
        <w:spacing w:line="360" w:lineRule="auto"/>
        <w:jc w:val="both"/>
      </w:pPr>
      <w:r>
        <w:t>When discounted at rates of 21%, 27.5%, and 32%, the investment continued to yield strong positive results. The Net Present Value (NPV) was estimated at approximately ₦75.47 million, ₦64.36 million, and ₦60.01 million at the respective discount rates. Similarly, the Benefit-Cost Ratio (BCR) remained consistently above 20 across all scenarios, indicating that each naira invested generated more than twenty naira in discounted returns, even under the highest cost of capital. Incremental benefits remained stable throughout the production period, and the discounted cash flows showed minimal sensitivity to increases in the discount rate</w:t>
      </w:r>
      <w:r>
        <w:rPr>
          <w:rFonts w:hint="default"/>
          <w:lang w:val="en-US"/>
        </w:rPr>
        <w:t xml:space="preserve"> </w:t>
      </w:r>
      <w:r>
        <w:rPr>
          <w:rFonts w:hint="default" w:ascii="Times New Roman" w:hAnsi="Times New Roman" w:eastAsia="SimSun" w:cs="Times New Roman"/>
          <w:sz w:val="24"/>
          <w:szCs w:val="24"/>
        </w:rPr>
        <w:t>(Gittinger, 1982)</w:t>
      </w:r>
      <w:r>
        <w:t>.</w:t>
      </w:r>
    </w:p>
    <w:p w14:paraId="5CBF0C41">
      <w:pPr>
        <w:pStyle w:val="5"/>
        <w:keepNext w:val="0"/>
        <w:keepLines w:val="0"/>
        <w:widowControl/>
        <w:suppressLineNumbers w:val="0"/>
        <w:spacing w:line="360" w:lineRule="auto"/>
        <w:jc w:val="both"/>
      </w:pPr>
      <w:r>
        <w:t>These findings are consistent with previous studies on nursery enterprises in tropical regions, where efficient input management and gradual output expansion have been shown to improve profitability despite rising production costs. In Nigeria, similar economic analyses of tea production systems have also emphasized the role of improved management practices in sustaining profitability and supporting rural livelihoods</w:t>
      </w:r>
      <w:r>
        <w:rPr>
          <w:rFonts w:hint="default"/>
          <w:lang w:val="en-US"/>
        </w:rPr>
        <w:t xml:space="preserve"> </w:t>
      </w:r>
      <w:r>
        <w:rPr>
          <w:rFonts w:hint="default" w:ascii="Times New Roman" w:hAnsi="Times New Roman" w:eastAsia="SimSun" w:cs="Times New Roman"/>
          <w:sz w:val="24"/>
          <w:szCs w:val="24"/>
        </w:rPr>
        <w:t>(Yahaya</w:t>
      </w:r>
      <w:r>
        <w:rPr>
          <w:rFonts w:hint="default" w:ascii="Times New Roman" w:hAnsi="Times New Roman" w:eastAsia="SimSun" w:cs="Times New Roman"/>
          <w:i/>
          <w:iCs/>
          <w:sz w:val="24"/>
          <w:szCs w:val="24"/>
        </w:rPr>
        <w:t xml:space="preserve"> et al.</w:t>
      </w:r>
      <w:r>
        <w:rPr>
          <w:rFonts w:hint="default" w:ascii="Times New Roman" w:hAnsi="Times New Roman" w:eastAsia="SimSun" w:cs="Times New Roman"/>
          <w:sz w:val="24"/>
          <w:szCs w:val="24"/>
        </w:rPr>
        <w:t>, 2025)</w:t>
      </w:r>
      <w:r>
        <w:t>. Therefore, investment in tea seedling production represents a viable opportunity for income generation and enterprise development.</w:t>
      </w:r>
    </w:p>
    <w:p w14:paraId="6A7D79EB">
      <w:pPr>
        <w:pStyle w:val="5"/>
        <w:keepNext w:val="0"/>
        <w:keepLines w:val="0"/>
        <w:widowControl/>
        <w:suppressLineNumbers w:val="0"/>
        <w:spacing w:line="360" w:lineRule="auto"/>
        <w:jc w:val="both"/>
      </w:pPr>
      <w:r>
        <w:t>The financial projections for the one-hectare tea seedling nursery demonstrate clear profitability across the five-year period. Total costs increased gradually from ₦1,221,680 in Year 1 to ₦1,484,959.70 in Year 5, reflecting the assumed 5% annual rise in variable costs due to inflation and scale. Meanwhile, benefits rose steadily from ₦24,999,000 to ₦30,386,439 as seedling output grew by 5% each year, with the selling price held constant at ₦1,500 per seedling.</w:t>
      </w:r>
    </w:p>
    <w:p w14:paraId="1C61A042">
      <w:pPr>
        <w:pStyle w:val="5"/>
        <w:keepNext w:val="0"/>
        <w:keepLines w:val="0"/>
        <w:widowControl/>
        <w:suppressLineNumbers w:val="0"/>
        <w:spacing w:line="360" w:lineRule="auto"/>
        <w:jc w:val="both"/>
        <w:rPr>
          <w:rFonts w:hint="default"/>
          <w:lang w:val="en-US"/>
        </w:rPr>
      </w:pPr>
      <w:r>
        <w:t>Discounting the cash flows at 21%, 27.5%, and 32% produced strongly positive</w:t>
      </w:r>
      <w:r>
        <w:rPr>
          <w:b w:val="0"/>
          <w:bCs w:val="0"/>
        </w:rPr>
        <w:t xml:space="preserve"> </w:t>
      </w:r>
      <w:r>
        <w:rPr>
          <w:rStyle w:val="6"/>
          <w:b w:val="0"/>
          <w:bCs w:val="0"/>
        </w:rPr>
        <w:t>Net Present Values (NPVs)</w:t>
      </w:r>
      <w:r>
        <w:rPr>
          <w:b w:val="0"/>
          <w:bCs w:val="0"/>
        </w:rPr>
        <w:t xml:space="preserve"> </w:t>
      </w:r>
      <w:r>
        <w:t>of approximately ₦75.47 million, ₦64.36 million, and ₦60.01 million respectively</w:t>
      </w:r>
      <w:r>
        <w:rPr>
          <w:rFonts w:hint="default"/>
          <w:lang w:val="en-US"/>
        </w:rPr>
        <w:t xml:space="preserve"> (Table 5)</w:t>
      </w:r>
      <w:r>
        <w:t xml:space="preserve">. The </w:t>
      </w:r>
      <w:r>
        <w:rPr>
          <w:rStyle w:val="6"/>
          <w:b w:val="0"/>
          <w:bCs w:val="0"/>
        </w:rPr>
        <w:t>Benefit-Cost Ratios (BCRs)</w:t>
      </w:r>
      <w:r>
        <w:t xml:space="preserve"> remained exceptionally high (above 20 in all scenarios), indicating that every naira invested returned more than twenty naira in present-value benefits. Incremental benefits stayed robust throughout, and the project showed low sensitivity to higher discount rates. This resilience stems from the low fixed-cost structure (only simple tools and basic infrastructure) and the scalable nature of seedling output.</w:t>
      </w:r>
      <w:r>
        <w:rPr>
          <w:rFonts w:hint="default"/>
          <w:lang w:val="en-US"/>
        </w:rPr>
        <w:t xml:space="preserve"> </w:t>
      </w:r>
      <w:r>
        <w:t>To further assess viability, a simple sensitivity analysis was performed by varying key assumptions (±10% on revenue and variable costs). The results confirm that the enterprise remains profitable even under moderately adverse conditions.</w:t>
      </w:r>
      <w:r>
        <w:rPr>
          <w:rFonts w:hint="default"/>
          <w:lang w:val="en-US"/>
        </w:rPr>
        <w:t xml:space="preserve"> </w:t>
      </w:r>
    </w:p>
    <w:p w14:paraId="2846F0A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pPr>
      <w:r>
        <w:t>The project breaks even only under extreme combined shocks, underscoring its economic robustness for small-scale producers.</w:t>
      </w:r>
    </w:p>
    <w:p w14:paraId="732841B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p>
    <w:p w14:paraId="4638446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p>
    <w:p w14:paraId="1CB2809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p>
    <w:p w14:paraId="5EE597B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b/>
          <w:bCs/>
          <w:lang w:val="en-US"/>
        </w:rPr>
      </w:pPr>
      <w:r>
        <w:rPr>
          <w:rFonts w:hint="default"/>
          <w:b/>
          <w:bCs/>
          <w:lang w:val="en-US"/>
        </w:rPr>
        <w:t xml:space="preserve">Table 5 </w:t>
      </w:r>
      <w:r>
        <w:rPr>
          <w:b/>
          <w:bCs/>
        </w:rPr>
        <w:t>Table 5: Sensitivity Analysis of NPV at 27.5% Discoun</w:t>
      </w:r>
      <w:r>
        <w:rPr>
          <w:rFonts w:hint="default"/>
          <w:b/>
          <w:bCs/>
          <w:lang w:val="en-US"/>
        </w:rPr>
        <w:t>t</w:t>
      </w:r>
    </w:p>
    <w:tbl>
      <w:tblPr>
        <w:tblStyle w:val="7"/>
        <w:tblW w:w="0" w:type="auto"/>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3"/>
        <w:gridCol w:w="2130"/>
        <w:gridCol w:w="2131"/>
        <w:gridCol w:w="2131"/>
      </w:tblGrid>
      <w:tr w14:paraId="1A84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3" w:type="dxa"/>
            <w:tcBorders>
              <w:top w:val="single" w:color="auto" w:sz="4" w:space="0"/>
              <w:left w:val="nil"/>
              <w:bottom w:val="single" w:color="auto" w:sz="4" w:space="0"/>
              <w:right w:val="nil"/>
            </w:tcBorders>
            <w:vAlign w:val="center"/>
          </w:tcPr>
          <w:p w14:paraId="078246FE">
            <w:pPr>
              <w:keepNext w:val="0"/>
              <w:keepLines w:val="0"/>
              <w:widowControl/>
              <w:suppressLineNumbers w:val="0"/>
              <w:jc w:val="center"/>
              <w:rPr>
                <w:rStyle w:val="6"/>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Indicator</w:t>
            </w:r>
          </w:p>
        </w:tc>
        <w:tc>
          <w:tcPr>
            <w:tcW w:w="2130" w:type="dxa"/>
            <w:tcBorders>
              <w:top w:val="single" w:color="auto" w:sz="4" w:space="0"/>
              <w:left w:val="nil"/>
              <w:bottom w:val="single" w:color="auto" w:sz="4" w:space="0"/>
              <w:right w:val="nil"/>
            </w:tcBorders>
            <w:vAlign w:val="center"/>
          </w:tcPr>
          <w:p w14:paraId="795CB6AF">
            <w:pPr>
              <w:keepNext w:val="0"/>
              <w:keepLines w:val="0"/>
              <w:widowControl/>
              <w:suppressLineNumbers w:val="0"/>
              <w:jc w:val="center"/>
              <w:rPr>
                <w:rStyle w:val="6"/>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21% Discount Rate</w:t>
            </w:r>
          </w:p>
        </w:tc>
        <w:tc>
          <w:tcPr>
            <w:tcW w:w="2131" w:type="dxa"/>
            <w:tcBorders>
              <w:top w:val="single" w:color="auto" w:sz="4" w:space="0"/>
              <w:left w:val="nil"/>
              <w:bottom w:val="single" w:color="auto" w:sz="4" w:space="0"/>
              <w:right w:val="nil"/>
            </w:tcBorders>
            <w:vAlign w:val="center"/>
          </w:tcPr>
          <w:p w14:paraId="4B913921">
            <w:pPr>
              <w:keepNext w:val="0"/>
              <w:keepLines w:val="0"/>
              <w:widowControl/>
              <w:suppressLineNumbers w:val="0"/>
              <w:jc w:val="center"/>
              <w:rPr>
                <w:rStyle w:val="6"/>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27.5% Discount Rate</w:t>
            </w:r>
          </w:p>
        </w:tc>
        <w:tc>
          <w:tcPr>
            <w:tcW w:w="2131" w:type="dxa"/>
            <w:tcBorders>
              <w:top w:val="single" w:color="auto" w:sz="4" w:space="0"/>
              <w:left w:val="nil"/>
              <w:bottom w:val="single" w:color="auto" w:sz="4" w:space="0"/>
              <w:right w:val="nil"/>
            </w:tcBorders>
            <w:vAlign w:val="center"/>
          </w:tcPr>
          <w:p w14:paraId="4345673B">
            <w:pPr>
              <w:keepNext w:val="0"/>
              <w:keepLines w:val="0"/>
              <w:widowControl/>
              <w:suppressLineNumbers w:val="0"/>
              <w:jc w:val="center"/>
              <w:rPr>
                <w:rStyle w:val="6"/>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32% Discount Rate</w:t>
            </w:r>
          </w:p>
        </w:tc>
      </w:tr>
      <w:tr w14:paraId="30FB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3" w:type="dxa"/>
            <w:tcBorders>
              <w:top w:val="single" w:color="auto" w:sz="4" w:space="0"/>
              <w:left w:val="nil"/>
              <w:bottom w:val="nil"/>
              <w:right w:val="nil"/>
            </w:tcBorders>
            <w:vAlign w:val="center"/>
          </w:tcPr>
          <w:p w14:paraId="26C70773">
            <w:pPr>
              <w:keepNext w:val="0"/>
              <w:keepLines w:val="0"/>
              <w:widowControl/>
              <w:suppressLineNumbers w:val="0"/>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Net Present Value (NPV)</w:t>
            </w:r>
          </w:p>
        </w:tc>
        <w:tc>
          <w:tcPr>
            <w:tcW w:w="2130" w:type="dxa"/>
            <w:tcBorders>
              <w:top w:val="single" w:color="auto" w:sz="4" w:space="0"/>
              <w:left w:val="nil"/>
              <w:bottom w:val="nil"/>
              <w:right w:val="nil"/>
            </w:tcBorders>
            <w:vAlign w:val="center"/>
          </w:tcPr>
          <w:p w14:paraId="02784013">
            <w:pPr>
              <w:keepNext w:val="0"/>
              <w:keepLines w:val="0"/>
              <w:widowControl/>
              <w:suppressLineNumbers w:val="0"/>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₦75,469,468</w:t>
            </w:r>
          </w:p>
        </w:tc>
        <w:tc>
          <w:tcPr>
            <w:tcW w:w="2131" w:type="dxa"/>
            <w:tcBorders>
              <w:top w:val="single" w:color="auto" w:sz="4" w:space="0"/>
              <w:left w:val="nil"/>
              <w:bottom w:val="nil"/>
              <w:right w:val="nil"/>
            </w:tcBorders>
            <w:vAlign w:val="center"/>
          </w:tcPr>
          <w:p w14:paraId="4C7C040A">
            <w:pPr>
              <w:keepNext w:val="0"/>
              <w:keepLines w:val="0"/>
              <w:widowControl/>
              <w:suppressLineNumbers w:val="0"/>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₦64,361,238</w:t>
            </w:r>
          </w:p>
        </w:tc>
        <w:tc>
          <w:tcPr>
            <w:tcW w:w="2131" w:type="dxa"/>
            <w:tcBorders>
              <w:top w:val="single" w:color="auto" w:sz="4" w:space="0"/>
              <w:left w:val="nil"/>
              <w:bottom w:val="nil"/>
              <w:right w:val="nil"/>
            </w:tcBorders>
            <w:vAlign w:val="center"/>
          </w:tcPr>
          <w:p w14:paraId="4A05751E">
            <w:pPr>
              <w:keepNext w:val="0"/>
              <w:keepLines w:val="0"/>
              <w:widowControl/>
              <w:suppressLineNumbers w:val="0"/>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₦60,009,829</w:t>
            </w:r>
          </w:p>
        </w:tc>
      </w:tr>
      <w:tr w14:paraId="1182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3" w:type="dxa"/>
            <w:tcBorders>
              <w:top w:val="nil"/>
              <w:left w:val="nil"/>
              <w:bottom w:val="nil"/>
              <w:right w:val="nil"/>
            </w:tcBorders>
            <w:vAlign w:val="center"/>
          </w:tcPr>
          <w:p w14:paraId="7E3C7719">
            <w:pPr>
              <w:keepNext w:val="0"/>
              <w:keepLines w:val="0"/>
              <w:widowControl/>
              <w:suppressLineNumbers w:val="0"/>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Benefit-Cost Ratio (BCR)</w:t>
            </w:r>
          </w:p>
        </w:tc>
        <w:tc>
          <w:tcPr>
            <w:tcW w:w="2130" w:type="dxa"/>
            <w:tcBorders>
              <w:top w:val="nil"/>
              <w:left w:val="nil"/>
              <w:bottom w:val="nil"/>
              <w:right w:val="nil"/>
            </w:tcBorders>
            <w:vAlign w:val="center"/>
          </w:tcPr>
          <w:p w14:paraId="03CB5B32">
            <w:pPr>
              <w:keepNext w:val="0"/>
              <w:keepLines w:val="0"/>
              <w:widowControl/>
              <w:suppressLineNumbers w:val="0"/>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20.46</w:t>
            </w:r>
          </w:p>
        </w:tc>
        <w:tc>
          <w:tcPr>
            <w:tcW w:w="2131" w:type="dxa"/>
            <w:tcBorders>
              <w:top w:val="nil"/>
              <w:left w:val="nil"/>
              <w:bottom w:val="nil"/>
              <w:right w:val="nil"/>
            </w:tcBorders>
            <w:vAlign w:val="center"/>
          </w:tcPr>
          <w:p w14:paraId="56C63003">
            <w:pPr>
              <w:keepNext w:val="0"/>
              <w:keepLines w:val="0"/>
              <w:widowControl/>
              <w:suppressLineNumbers w:val="0"/>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20.03</w:t>
            </w:r>
          </w:p>
        </w:tc>
        <w:tc>
          <w:tcPr>
            <w:tcW w:w="2131" w:type="dxa"/>
            <w:tcBorders>
              <w:top w:val="nil"/>
              <w:left w:val="nil"/>
              <w:bottom w:val="nil"/>
              <w:right w:val="nil"/>
            </w:tcBorders>
            <w:vAlign w:val="center"/>
          </w:tcPr>
          <w:p w14:paraId="5AA2E0A6">
            <w:pPr>
              <w:keepNext w:val="0"/>
              <w:keepLines w:val="0"/>
              <w:widowControl/>
              <w:suppressLineNumbers w:val="0"/>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20.46</w:t>
            </w:r>
          </w:p>
        </w:tc>
      </w:tr>
      <w:tr w14:paraId="463B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3" w:type="dxa"/>
            <w:tcBorders>
              <w:top w:val="nil"/>
              <w:left w:val="nil"/>
              <w:bottom w:val="nil"/>
              <w:right w:val="nil"/>
            </w:tcBorders>
            <w:vAlign w:val="center"/>
          </w:tcPr>
          <w:p w14:paraId="521F9080">
            <w:pPr>
              <w:keepNext w:val="0"/>
              <w:keepLines w:val="0"/>
              <w:widowControl/>
              <w:suppressLineNumbers w:val="0"/>
              <w:spacing w:line="36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Payback Period (years)</w:t>
            </w:r>
          </w:p>
        </w:tc>
        <w:tc>
          <w:tcPr>
            <w:tcW w:w="2130" w:type="dxa"/>
            <w:tcBorders>
              <w:top w:val="nil"/>
              <w:left w:val="nil"/>
              <w:bottom w:val="nil"/>
              <w:right w:val="nil"/>
            </w:tcBorders>
            <w:vAlign w:val="center"/>
          </w:tcPr>
          <w:p w14:paraId="034BD7EE">
            <w:pPr>
              <w:keepNext w:val="0"/>
              <w:keepLines w:val="0"/>
              <w:widowControl/>
              <w:suppressLineNumbers w:val="0"/>
              <w:spacing w:line="36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&lt; 1 year</w:t>
            </w:r>
          </w:p>
        </w:tc>
        <w:tc>
          <w:tcPr>
            <w:tcW w:w="2131" w:type="dxa"/>
            <w:tcBorders>
              <w:top w:val="nil"/>
              <w:left w:val="nil"/>
              <w:bottom w:val="nil"/>
              <w:right w:val="nil"/>
            </w:tcBorders>
            <w:vAlign w:val="center"/>
          </w:tcPr>
          <w:p w14:paraId="18ABA4A6">
            <w:pPr>
              <w:keepNext w:val="0"/>
              <w:keepLines w:val="0"/>
              <w:widowControl/>
              <w:suppressLineNumbers w:val="0"/>
              <w:spacing w:line="36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&lt; 1 year</w:t>
            </w:r>
          </w:p>
        </w:tc>
        <w:tc>
          <w:tcPr>
            <w:tcW w:w="2131" w:type="dxa"/>
            <w:tcBorders>
              <w:top w:val="nil"/>
              <w:left w:val="nil"/>
              <w:bottom w:val="nil"/>
              <w:right w:val="nil"/>
            </w:tcBorders>
            <w:vAlign w:val="center"/>
          </w:tcPr>
          <w:p w14:paraId="76601BD5">
            <w:pPr>
              <w:keepNext w:val="0"/>
              <w:keepLines w:val="0"/>
              <w:widowControl/>
              <w:suppressLineNumbers w:val="0"/>
              <w:spacing w:line="36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&lt; 1 year</w:t>
            </w:r>
          </w:p>
        </w:tc>
      </w:tr>
      <w:tr w14:paraId="151C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3" w:type="dxa"/>
            <w:tcBorders>
              <w:top w:val="nil"/>
              <w:left w:val="nil"/>
              <w:bottom w:val="single" w:color="auto" w:sz="4" w:space="0"/>
              <w:right w:val="nil"/>
            </w:tcBorders>
            <w:vAlign w:val="center"/>
          </w:tcPr>
          <w:p w14:paraId="36F393CB">
            <w:pPr>
              <w:keepNext w:val="0"/>
              <w:keepLines w:val="0"/>
              <w:widowControl/>
              <w:suppressLineNumbers w:val="0"/>
              <w:spacing w:line="36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Profitability Index</w:t>
            </w:r>
          </w:p>
        </w:tc>
        <w:tc>
          <w:tcPr>
            <w:tcW w:w="2130" w:type="dxa"/>
            <w:tcBorders>
              <w:top w:val="nil"/>
              <w:left w:val="nil"/>
              <w:bottom w:val="single" w:color="auto" w:sz="4" w:space="0"/>
              <w:right w:val="nil"/>
            </w:tcBorders>
            <w:vAlign w:val="center"/>
          </w:tcPr>
          <w:p w14:paraId="295C9BD5">
            <w:pPr>
              <w:keepNext w:val="0"/>
              <w:keepLines w:val="0"/>
              <w:widowControl/>
              <w:suppressLineNumbers w:val="0"/>
              <w:spacing w:line="36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21.46</w:t>
            </w:r>
          </w:p>
        </w:tc>
        <w:tc>
          <w:tcPr>
            <w:tcW w:w="2131" w:type="dxa"/>
            <w:tcBorders>
              <w:top w:val="nil"/>
              <w:left w:val="nil"/>
              <w:bottom w:val="single" w:color="auto" w:sz="4" w:space="0"/>
              <w:right w:val="nil"/>
            </w:tcBorders>
            <w:vAlign w:val="center"/>
          </w:tcPr>
          <w:p w14:paraId="0FD16072">
            <w:pPr>
              <w:keepNext w:val="0"/>
              <w:keepLines w:val="0"/>
              <w:widowControl/>
              <w:suppressLineNumbers w:val="0"/>
              <w:spacing w:line="36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21.03</w:t>
            </w:r>
          </w:p>
        </w:tc>
        <w:tc>
          <w:tcPr>
            <w:tcW w:w="2131" w:type="dxa"/>
            <w:tcBorders>
              <w:top w:val="nil"/>
              <w:left w:val="nil"/>
              <w:bottom w:val="single" w:color="auto" w:sz="4" w:space="0"/>
              <w:right w:val="nil"/>
            </w:tcBorders>
            <w:vAlign w:val="center"/>
          </w:tcPr>
          <w:p w14:paraId="57B6CFA3">
            <w:pPr>
              <w:keepNext w:val="0"/>
              <w:keepLines w:val="0"/>
              <w:widowControl/>
              <w:suppressLineNumbers w:val="0"/>
              <w:spacing w:line="36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21.46</w:t>
            </w:r>
          </w:p>
        </w:tc>
      </w:tr>
    </w:tbl>
    <w:p w14:paraId="69A5818F">
      <w:pPr>
        <w:pStyle w:val="5"/>
        <w:keepNext w:val="0"/>
        <w:keepLines w:val="0"/>
        <w:widowControl/>
        <w:suppressLineNumbers w:val="0"/>
        <w:spacing w:line="360" w:lineRule="auto"/>
        <w:jc w:val="both"/>
      </w:pPr>
      <w:r>
        <w:t>Table 6 presents the key investment indicators for the tea seedling production enterprise under three different discount rates. The results show consistently strong financial performance across all scenarios. The Net Present Value (NPV) remains highly positive, recording ₦75.47 million at 21%, ₦64.36 million at 27.5%, and ₦60.01 million at 32%. These figures indicate that the project is expected to generate substantial wealth even after accounting for the time value of money at different interest rates. The Benefit-Cost Ratio (BCR) is exceptionally high in all cases, ranging from 20.03 to 20.46, meaning that for every naira invested, the venture returns more than twenty naira in discounted benefits. Furthermore, the payback period is less than one year across all discount rates, showing that the initial investment can be recovered very quickly. The Profitability Index also stays well above 21 in every scenario, reinforcing the attractiveness of the investment. Overall, these indicators confirm that tea seedling production is a highly profitable and low-risk venture that performs well even under higher cost of capital conditions (Yahaya</w:t>
      </w:r>
      <w:r>
        <w:rPr>
          <w:i/>
          <w:iCs/>
        </w:rPr>
        <w:t xml:space="preserve"> et al.</w:t>
      </w:r>
      <w:r>
        <w:t>, 2025).</w:t>
      </w:r>
    </w:p>
    <w:p w14:paraId="4A15B44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Style w:val="6"/>
        </w:rPr>
      </w:pPr>
      <w:r>
        <w:rPr>
          <w:rStyle w:val="6"/>
        </w:rPr>
        <w:t>Table 6: Summary of Key Investment Indicators Across Discount Rates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2"/>
        <w:gridCol w:w="2280"/>
        <w:gridCol w:w="1875"/>
        <w:gridCol w:w="1845"/>
      </w:tblGrid>
      <w:tr w14:paraId="579F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Borders>
              <w:top w:val="single" w:color="auto" w:sz="4" w:space="0"/>
              <w:left w:val="nil"/>
              <w:bottom w:val="single" w:color="auto" w:sz="4" w:space="0"/>
              <w:right w:val="nil"/>
            </w:tcBorders>
            <w:vAlign w:val="center"/>
          </w:tcPr>
          <w:p w14:paraId="2134A0B0">
            <w:pPr>
              <w:keepNext w:val="0"/>
              <w:keepLines w:val="0"/>
              <w:widowControl/>
              <w:suppressLineNumbers w:val="0"/>
              <w:spacing w:line="360" w:lineRule="auto"/>
              <w:jc w:val="center"/>
              <w:rPr>
                <w:rStyle w:val="6"/>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Indicator</w:t>
            </w:r>
          </w:p>
        </w:tc>
        <w:tc>
          <w:tcPr>
            <w:tcW w:w="2280" w:type="dxa"/>
            <w:tcBorders>
              <w:top w:val="single" w:color="auto" w:sz="4" w:space="0"/>
              <w:left w:val="nil"/>
              <w:bottom w:val="single" w:color="auto" w:sz="4" w:space="0"/>
              <w:right w:val="nil"/>
            </w:tcBorders>
            <w:vAlign w:val="center"/>
          </w:tcPr>
          <w:p w14:paraId="02A01E66">
            <w:pPr>
              <w:keepNext w:val="0"/>
              <w:keepLines w:val="0"/>
              <w:widowControl/>
              <w:suppressLineNumbers w:val="0"/>
              <w:spacing w:line="360" w:lineRule="auto"/>
              <w:jc w:val="center"/>
              <w:rPr>
                <w:rStyle w:val="6"/>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21% Discount Rate</w:t>
            </w:r>
          </w:p>
        </w:tc>
        <w:tc>
          <w:tcPr>
            <w:tcW w:w="1875" w:type="dxa"/>
            <w:tcBorders>
              <w:top w:val="single" w:color="auto" w:sz="4" w:space="0"/>
              <w:left w:val="nil"/>
              <w:bottom w:val="single" w:color="auto" w:sz="4" w:space="0"/>
              <w:right w:val="nil"/>
            </w:tcBorders>
            <w:vAlign w:val="center"/>
          </w:tcPr>
          <w:p w14:paraId="51988C6D">
            <w:pPr>
              <w:keepNext w:val="0"/>
              <w:keepLines w:val="0"/>
              <w:widowControl/>
              <w:suppressLineNumbers w:val="0"/>
              <w:spacing w:line="360" w:lineRule="auto"/>
              <w:jc w:val="center"/>
              <w:rPr>
                <w:rStyle w:val="6"/>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27.5% Discount Rate</w:t>
            </w:r>
          </w:p>
        </w:tc>
        <w:tc>
          <w:tcPr>
            <w:tcW w:w="1845" w:type="dxa"/>
            <w:tcBorders>
              <w:top w:val="single" w:color="auto" w:sz="4" w:space="0"/>
              <w:left w:val="nil"/>
              <w:bottom w:val="single" w:color="auto" w:sz="4" w:space="0"/>
              <w:right w:val="nil"/>
            </w:tcBorders>
            <w:vAlign w:val="center"/>
          </w:tcPr>
          <w:p w14:paraId="651D1C4E">
            <w:pPr>
              <w:keepNext w:val="0"/>
              <w:keepLines w:val="0"/>
              <w:widowControl/>
              <w:suppressLineNumbers w:val="0"/>
              <w:spacing w:line="360" w:lineRule="auto"/>
              <w:jc w:val="center"/>
              <w:rPr>
                <w:rStyle w:val="6"/>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32% Discount Rate</w:t>
            </w:r>
          </w:p>
        </w:tc>
      </w:tr>
      <w:tr w14:paraId="1610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Borders>
              <w:top w:val="single" w:color="auto" w:sz="4" w:space="0"/>
              <w:left w:val="nil"/>
              <w:bottom w:val="nil"/>
              <w:right w:val="nil"/>
            </w:tcBorders>
            <w:vAlign w:val="center"/>
          </w:tcPr>
          <w:p w14:paraId="55EAF79B">
            <w:pPr>
              <w:keepNext w:val="0"/>
              <w:keepLines w:val="0"/>
              <w:widowControl/>
              <w:suppressLineNumbers w:val="0"/>
              <w:spacing w:line="36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Net Present Value (NPV)</w:t>
            </w:r>
          </w:p>
        </w:tc>
        <w:tc>
          <w:tcPr>
            <w:tcW w:w="2280" w:type="dxa"/>
            <w:tcBorders>
              <w:top w:val="single" w:color="auto" w:sz="4" w:space="0"/>
              <w:left w:val="nil"/>
              <w:bottom w:val="nil"/>
              <w:right w:val="nil"/>
            </w:tcBorders>
            <w:vAlign w:val="center"/>
          </w:tcPr>
          <w:p w14:paraId="5B83AAD0">
            <w:pPr>
              <w:keepNext w:val="0"/>
              <w:keepLines w:val="0"/>
              <w:widowControl/>
              <w:suppressLineNumbers w:val="0"/>
              <w:spacing w:line="36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₦75,469,468</w:t>
            </w:r>
          </w:p>
        </w:tc>
        <w:tc>
          <w:tcPr>
            <w:tcW w:w="1875" w:type="dxa"/>
            <w:tcBorders>
              <w:top w:val="single" w:color="auto" w:sz="4" w:space="0"/>
              <w:left w:val="nil"/>
              <w:bottom w:val="nil"/>
              <w:right w:val="nil"/>
            </w:tcBorders>
            <w:vAlign w:val="center"/>
          </w:tcPr>
          <w:p w14:paraId="4BB7A914">
            <w:pPr>
              <w:keepNext w:val="0"/>
              <w:keepLines w:val="0"/>
              <w:widowControl/>
              <w:suppressLineNumbers w:val="0"/>
              <w:spacing w:line="36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₦64,361,238</w:t>
            </w:r>
          </w:p>
        </w:tc>
        <w:tc>
          <w:tcPr>
            <w:tcW w:w="1845" w:type="dxa"/>
            <w:tcBorders>
              <w:top w:val="single" w:color="auto" w:sz="4" w:space="0"/>
              <w:left w:val="nil"/>
              <w:bottom w:val="nil"/>
              <w:right w:val="nil"/>
            </w:tcBorders>
            <w:vAlign w:val="center"/>
          </w:tcPr>
          <w:p w14:paraId="1D5F666E">
            <w:pPr>
              <w:keepNext w:val="0"/>
              <w:keepLines w:val="0"/>
              <w:widowControl/>
              <w:suppressLineNumbers w:val="0"/>
              <w:spacing w:line="36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₦60,009,829</w:t>
            </w:r>
          </w:p>
        </w:tc>
      </w:tr>
      <w:tr w14:paraId="0C8A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Borders>
              <w:top w:val="nil"/>
              <w:left w:val="nil"/>
              <w:bottom w:val="nil"/>
              <w:right w:val="nil"/>
            </w:tcBorders>
            <w:vAlign w:val="center"/>
          </w:tcPr>
          <w:p w14:paraId="7F32106A">
            <w:pPr>
              <w:keepNext w:val="0"/>
              <w:keepLines w:val="0"/>
              <w:widowControl/>
              <w:suppressLineNumbers w:val="0"/>
              <w:spacing w:line="36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Benefit-Cost Ratio (BCR)</w:t>
            </w:r>
          </w:p>
        </w:tc>
        <w:tc>
          <w:tcPr>
            <w:tcW w:w="2280" w:type="dxa"/>
            <w:tcBorders>
              <w:top w:val="nil"/>
              <w:left w:val="nil"/>
              <w:bottom w:val="nil"/>
              <w:right w:val="nil"/>
            </w:tcBorders>
            <w:vAlign w:val="center"/>
          </w:tcPr>
          <w:p w14:paraId="6848CB11">
            <w:pPr>
              <w:keepNext w:val="0"/>
              <w:keepLines w:val="0"/>
              <w:widowControl/>
              <w:suppressLineNumbers w:val="0"/>
              <w:spacing w:line="36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20.46</w:t>
            </w:r>
          </w:p>
        </w:tc>
        <w:tc>
          <w:tcPr>
            <w:tcW w:w="1875" w:type="dxa"/>
            <w:tcBorders>
              <w:top w:val="nil"/>
              <w:left w:val="nil"/>
              <w:bottom w:val="nil"/>
              <w:right w:val="nil"/>
            </w:tcBorders>
            <w:vAlign w:val="center"/>
          </w:tcPr>
          <w:p w14:paraId="6900781E">
            <w:pPr>
              <w:keepNext w:val="0"/>
              <w:keepLines w:val="0"/>
              <w:widowControl/>
              <w:suppressLineNumbers w:val="0"/>
              <w:spacing w:line="36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20.03</w:t>
            </w:r>
          </w:p>
        </w:tc>
        <w:tc>
          <w:tcPr>
            <w:tcW w:w="1845" w:type="dxa"/>
            <w:tcBorders>
              <w:top w:val="nil"/>
              <w:left w:val="nil"/>
              <w:bottom w:val="nil"/>
              <w:right w:val="nil"/>
            </w:tcBorders>
            <w:vAlign w:val="center"/>
          </w:tcPr>
          <w:p w14:paraId="6F8AE9DA">
            <w:pPr>
              <w:keepNext w:val="0"/>
              <w:keepLines w:val="0"/>
              <w:widowControl/>
              <w:suppressLineNumbers w:val="0"/>
              <w:spacing w:line="36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20.46</w:t>
            </w:r>
          </w:p>
        </w:tc>
      </w:tr>
      <w:tr w14:paraId="42F7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Borders>
              <w:top w:val="nil"/>
              <w:left w:val="nil"/>
              <w:bottom w:val="nil"/>
              <w:right w:val="nil"/>
            </w:tcBorders>
            <w:vAlign w:val="center"/>
          </w:tcPr>
          <w:p w14:paraId="02E8DD35">
            <w:pPr>
              <w:keepNext w:val="0"/>
              <w:keepLines w:val="0"/>
              <w:widowControl/>
              <w:suppressLineNumbers w:val="0"/>
              <w:spacing w:line="48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Payback Period (years)</w:t>
            </w:r>
          </w:p>
        </w:tc>
        <w:tc>
          <w:tcPr>
            <w:tcW w:w="2280" w:type="dxa"/>
            <w:tcBorders>
              <w:top w:val="nil"/>
              <w:left w:val="nil"/>
              <w:bottom w:val="nil"/>
              <w:right w:val="nil"/>
            </w:tcBorders>
            <w:vAlign w:val="center"/>
          </w:tcPr>
          <w:p w14:paraId="45FA5BB0">
            <w:pPr>
              <w:keepNext w:val="0"/>
              <w:keepLines w:val="0"/>
              <w:widowControl/>
              <w:suppressLineNumbers w:val="0"/>
              <w:spacing w:line="48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&lt; 1 year</w:t>
            </w:r>
          </w:p>
        </w:tc>
        <w:tc>
          <w:tcPr>
            <w:tcW w:w="1875" w:type="dxa"/>
            <w:tcBorders>
              <w:top w:val="nil"/>
              <w:left w:val="nil"/>
              <w:bottom w:val="nil"/>
              <w:right w:val="nil"/>
            </w:tcBorders>
            <w:vAlign w:val="center"/>
          </w:tcPr>
          <w:p w14:paraId="3536EA38">
            <w:pPr>
              <w:keepNext w:val="0"/>
              <w:keepLines w:val="0"/>
              <w:widowControl/>
              <w:suppressLineNumbers w:val="0"/>
              <w:spacing w:line="48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&lt; 1 year</w:t>
            </w:r>
          </w:p>
        </w:tc>
        <w:tc>
          <w:tcPr>
            <w:tcW w:w="1845" w:type="dxa"/>
            <w:tcBorders>
              <w:top w:val="nil"/>
              <w:left w:val="nil"/>
              <w:bottom w:val="nil"/>
              <w:right w:val="nil"/>
            </w:tcBorders>
            <w:vAlign w:val="center"/>
          </w:tcPr>
          <w:p w14:paraId="6D88C47A">
            <w:pPr>
              <w:keepNext w:val="0"/>
              <w:keepLines w:val="0"/>
              <w:widowControl/>
              <w:suppressLineNumbers w:val="0"/>
              <w:spacing w:line="48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&lt; 1 year</w:t>
            </w:r>
          </w:p>
        </w:tc>
      </w:tr>
      <w:tr w14:paraId="65FE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Borders>
              <w:top w:val="nil"/>
              <w:left w:val="nil"/>
              <w:bottom w:val="single" w:color="auto" w:sz="4" w:space="0"/>
              <w:right w:val="nil"/>
            </w:tcBorders>
            <w:vAlign w:val="center"/>
          </w:tcPr>
          <w:p w14:paraId="57C0822C">
            <w:pPr>
              <w:keepNext w:val="0"/>
              <w:keepLines w:val="0"/>
              <w:widowControl/>
              <w:suppressLineNumbers w:val="0"/>
              <w:spacing w:line="48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Profitability Index</w:t>
            </w:r>
          </w:p>
        </w:tc>
        <w:tc>
          <w:tcPr>
            <w:tcW w:w="2280" w:type="dxa"/>
            <w:tcBorders>
              <w:top w:val="nil"/>
              <w:left w:val="nil"/>
              <w:bottom w:val="single" w:color="auto" w:sz="4" w:space="0"/>
              <w:right w:val="nil"/>
            </w:tcBorders>
            <w:vAlign w:val="center"/>
          </w:tcPr>
          <w:p w14:paraId="0AC8DC2B">
            <w:pPr>
              <w:keepNext w:val="0"/>
              <w:keepLines w:val="0"/>
              <w:widowControl/>
              <w:suppressLineNumbers w:val="0"/>
              <w:spacing w:line="48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21.46</w:t>
            </w:r>
          </w:p>
        </w:tc>
        <w:tc>
          <w:tcPr>
            <w:tcW w:w="1875" w:type="dxa"/>
            <w:tcBorders>
              <w:top w:val="nil"/>
              <w:left w:val="nil"/>
              <w:bottom w:val="single" w:color="auto" w:sz="4" w:space="0"/>
              <w:right w:val="nil"/>
            </w:tcBorders>
            <w:vAlign w:val="center"/>
          </w:tcPr>
          <w:p w14:paraId="416B39D9">
            <w:pPr>
              <w:keepNext w:val="0"/>
              <w:keepLines w:val="0"/>
              <w:widowControl/>
              <w:suppressLineNumbers w:val="0"/>
              <w:spacing w:line="48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21.03</w:t>
            </w:r>
          </w:p>
        </w:tc>
        <w:tc>
          <w:tcPr>
            <w:tcW w:w="1845" w:type="dxa"/>
            <w:tcBorders>
              <w:top w:val="nil"/>
              <w:left w:val="nil"/>
              <w:bottom w:val="single" w:color="auto" w:sz="4" w:space="0"/>
              <w:right w:val="nil"/>
            </w:tcBorders>
            <w:vAlign w:val="center"/>
          </w:tcPr>
          <w:p w14:paraId="79784377">
            <w:pPr>
              <w:keepNext w:val="0"/>
              <w:keepLines w:val="0"/>
              <w:widowControl/>
              <w:suppressLineNumbers w:val="0"/>
              <w:spacing w:line="480" w:lineRule="auto"/>
              <w:jc w:val="left"/>
              <w:rPr>
                <w:rStyle w:val="6"/>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21.46</w:t>
            </w:r>
          </w:p>
        </w:tc>
      </w:tr>
    </w:tbl>
    <w:p w14:paraId="4A9320E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6"/>
        </w:rPr>
      </w:pPr>
    </w:p>
    <w:p w14:paraId="18EA032C">
      <w:pPr>
        <w:pStyle w:val="5"/>
        <w:keepNext w:val="0"/>
        <w:keepLines w:val="0"/>
        <w:widowControl/>
        <w:suppressLineNumbers w:val="0"/>
        <w:jc w:val="both"/>
        <w:rPr>
          <w:rStyle w:val="6"/>
        </w:rPr>
      </w:pPr>
    </w:p>
    <w:p w14:paraId="22BC4A81">
      <w:pPr>
        <w:pStyle w:val="5"/>
        <w:keepNext w:val="0"/>
        <w:keepLines w:val="0"/>
        <w:widowControl/>
        <w:suppressLineNumbers w:val="0"/>
        <w:jc w:val="both"/>
      </w:pPr>
      <w:bookmarkStart w:id="0" w:name="_GoBack"/>
      <w:bookmarkEnd w:id="0"/>
      <w:r>
        <w:rPr>
          <w:rStyle w:val="6"/>
        </w:rPr>
        <w:t>Conclusion</w:t>
      </w:r>
      <w:r>
        <w:t xml:space="preserve"> </w:t>
      </w:r>
    </w:p>
    <w:p w14:paraId="223CCDC2">
      <w:pPr>
        <w:pStyle w:val="5"/>
        <w:keepNext w:val="0"/>
        <w:keepLines w:val="0"/>
        <w:widowControl/>
        <w:suppressLineNumbers w:val="0"/>
        <w:spacing w:line="360" w:lineRule="auto"/>
        <w:jc w:val="both"/>
      </w:pPr>
      <w:r>
        <w:t>The findings confirm that successful tea seedling production depends strongly on effective agronomic practices, particularly soil management. Economically, the enterprise remains profitable under varying interest rates. Tea seedling production offers a practical agribusiness opportunity for income and employment generation.</w:t>
      </w:r>
    </w:p>
    <w:p w14:paraId="47D37DD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Style w:val="6"/>
          <w:sz w:val="24"/>
          <w:szCs w:val="24"/>
        </w:rPr>
        <w:t>Recommendations</w:t>
      </w:r>
    </w:p>
    <w:p w14:paraId="483F94B9">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720" w:hanging="36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Farmers should prioritize soil fertility management, including compost and </w:t>
      </w:r>
      <w:r>
        <w:rPr>
          <w:rFonts w:hint="default" w:ascii="Times New Roman" w:hAnsi="Times New Roman" w:cs="Times New Roman"/>
          <w:sz w:val="24"/>
          <w:szCs w:val="24"/>
          <w:lang w:val="en-US"/>
        </w:rPr>
        <w:t>B</w:t>
      </w:r>
      <w:r>
        <w:rPr>
          <w:rFonts w:hint="default" w:ascii="Times New Roman" w:hAnsi="Times New Roman" w:cs="Times New Roman"/>
          <w:sz w:val="24"/>
          <w:szCs w:val="24"/>
        </w:rPr>
        <w:t>iochar use, for long-term productivity.</w:t>
      </w:r>
    </w:p>
    <w:p w14:paraId="2594DCF0">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720" w:hanging="36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Low-cost shading and mulching should be promoted to reduce seedling mortality and labor costs.</w:t>
      </w:r>
    </w:p>
    <w:p w14:paraId="7C85E24D">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Policymakers should support training programs for smallholders to adopt integrated nursery practices.</w:t>
      </w:r>
    </w:p>
    <w:p w14:paraId="725716B8">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rPr>
      </w:pPr>
      <w:r>
        <w:rPr>
          <w:rFonts w:hint="default" w:ascii="Times New Roman" w:hAnsi="Times New Roman" w:cs="Times New Roman"/>
          <w:sz w:val="24"/>
          <w:szCs w:val="24"/>
        </w:rPr>
        <w:t>Future research should evaluate cost-benefit ratios of innovative materials such as biodegradable pots in tea nurseries</w:t>
      </w:r>
      <w:r>
        <w:rPr>
          <w:rFonts w:hint="default" w:ascii="Times New Roman" w:hAnsi="Times New Roman" w:cs="Times New Roman"/>
        </w:rPr>
        <w:t>.</w:t>
      </w:r>
    </w:p>
    <w:p w14:paraId="24784468">
      <w:pPr>
        <w:pStyle w:val="5"/>
        <w:keepNext w:val="0"/>
        <w:keepLines w:val="0"/>
        <w:widowControl/>
        <w:suppressLineNumbers w:val="0"/>
        <w:jc w:val="both"/>
        <w:rPr>
          <w:rFonts w:hint="default" w:ascii="Times New Roman" w:hAnsi="Times New Roman" w:cs="Times New Roman"/>
        </w:rPr>
      </w:pPr>
      <w:r>
        <w:rPr>
          <w:rStyle w:val="6"/>
          <w:rFonts w:hint="default" w:ascii="Times New Roman" w:hAnsi="Times New Roman" w:cs="Times New Roman"/>
        </w:rPr>
        <w:t>References</w:t>
      </w:r>
    </w:p>
    <w:p w14:paraId="08559E8B">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Ayozie, D. O., &amp; Latinwo, H. O. (2010). Entrepreneurial developments and small-scale industry contribution to Nigerian national development: A marketing interface. </w:t>
      </w:r>
      <w:r>
        <w:rPr>
          <w:rStyle w:val="4"/>
          <w:rFonts w:hint="default" w:ascii="Times New Roman" w:hAnsi="Times New Roman" w:cs="Times New Roman"/>
          <w:sz w:val="22"/>
          <w:szCs w:val="22"/>
        </w:rPr>
        <w:t>Information Management and Business Review</w:t>
      </w:r>
      <w:r>
        <w:rPr>
          <w:rFonts w:hint="default" w:ascii="Times New Roman" w:hAnsi="Times New Roman" w:cs="Times New Roman"/>
          <w:sz w:val="22"/>
          <w:szCs w:val="22"/>
        </w:rPr>
        <w:t>, 1(2), 51–68.</w:t>
      </w:r>
    </w:p>
    <w:p w14:paraId="63D23DBD">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Babalola, F. D. (2008). Assessment of small-scale private nursery enterprises in Ibadan, Oyo State, Nigeria. </w:t>
      </w:r>
      <w:r>
        <w:rPr>
          <w:rStyle w:val="4"/>
          <w:rFonts w:hint="default" w:ascii="Times New Roman" w:hAnsi="Times New Roman" w:cs="Times New Roman"/>
          <w:sz w:val="22"/>
          <w:szCs w:val="22"/>
        </w:rPr>
        <w:t>Small-scale Forestry</w:t>
      </w:r>
      <w:r>
        <w:rPr>
          <w:rFonts w:hint="default" w:ascii="Times New Roman" w:hAnsi="Times New Roman" w:cs="Times New Roman"/>
          <w:sz w:val="22"/>
          <w:szCs w:val="22"/>
        </w:rPr>
        <w:t>, 7, 263–273.</w:t>
      </w:r>
    </w:p>
    <w:p w14:paraId="52A0EB26">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Bhagat, R., Sharma, V., &amp; Kumar, D. (2022). Vegetative propagation in tea: Implications for productivity and profitability. </w:t>
      </w:r>
      <w:r>
        <w:rPr>
          <w:rStyle w:val="4"/>
          <w:rFonts w:hint="default" w:ascii="Times New Roman" w:hAnsi="Times New Roman" w:cs="Times New Roman"/>
          <w:sz w:val="22"/>
          <w:szCs w:val="22"/>
        </w:rPr>
        <w:t>Indian Journal of Plantation Crops</w:t>
      </w:r>
      <w:r>
        <w:rPr>
          <w:rFonts w:hint="default" w:ascii="Times New Roman" w:hAnsi="Times New Roman" w:cs="Times New Roman"/>
          <w:sz w:val="22"/>
          <w:szCs w:val="22"/>
        </w:rPr>
        <w:t>, 50(1), 25–34.</w:t>
      </w:r>
    </w:p>
    <w:p w14:paraId="6C38ACF3">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Das, A. C., Dutta, M., &amp; Roy, P. (2021). An assessment of drought impact on tea estates using remote sensing and ecological indicators. </w:t>
      </w:r>
      <w:r>
        <w:rPr>
          <w:rStyle w:val="4"/>
          <w:rFonts w:hint="default" w:ascii="Times New Roman" w:hAnsi="Times New Roman" w:cs="Times New Roman"/>
          <w:sz w:val="22"/>
          <w:szCs w:val="22"/>
        </w:rPr>
        <w:t>Remote Sensing</w:t>
      </w:r>
      <w:r>
        <w:rPr>
          <w:rFonts w:hint="default" w:ascii="Times New Roman" w:hAnsi="Times New Roman" w:cs="Times New Roman"/>
          <w:sz w:val="22"/>
          <w:szCs w:val="22"/>
        </w:rPr>
        <w:t>, 13(14), 2730.</w:t>
      </w:r>
    </w:p>
    <w:p w14:paraId="5012A884">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Das, A. C., Noguchi, R., &amp; Ahamed, T. (2020). Integrating an expert system, GIS, and satellite remote sensing to evaluate land suitability for sustainable tea production in Bangladesh. </w:t>
      </w:r>
      <w:r>
        <w:rPr>
          <w:rStyle w:val="4"/>
          <w:rFonts w:hint="default" w:ascii="Times New Roman" w:hAnsi="Times New Roman" w:cs="Times New Roman"/>
          <w:sz w:val="22"/>
          <w:szCs w:val="22"/>
        </w:rPr>
        <w:t>Remote Sensing</w:t>
      </w:r>
      <w:r>
        <w:rPr>
          <w:rFonts w:hint="default" w:ascii="Times New Roman" w:hAnsi="Times New Roman" w:cs="Times New Roman"/>
          <w:sz w:val="22"/>
          <w:szCs w:val="22"/>
        </w:rPr>
        <w:t>, 12(24), 4136.</w:t>
      </w:r>
    </w:p>
    <w:p w14:paraId="2742B96F">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Food and Agriculture Organization of the United Nations. (2015). </w:t>
      </w:r>
      <w:r>
        <w:rPr>
          <w:rStyle w:val="4"/>
          <w:rFonts w:hint="default" w:ascii="Times New Roman" w:hAnsi="Times New Roman" w:cs="Times New Roman"/>
          <w:sz w:val="22"/>
          <w:szCs w:val="22"/>
        </w:rPr>
        <w:t>World tea production and trade: Current and future development</w:t>
      </w:r>
      <w:r>
        <w:rPr>
          <w:rFonts w:hint="default" w:ascii="Times New Roman" w:hAnsi="Times New Roman" w:cs="Times New Roman"/>
          <w:sz w:val="22"/>
          <w:szCs w:val="22"/>
        </w:rPr>
        <w:t>.</w:t>
      </w:r>
    </w:p>
    <w:p w14:paraId="47220108">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Food and Agriculture Organization of the United Nations. (2021). </w:t>
      </w:r>
      <w:r>
        <w:rPr>
          <w:rStyle w:val="4"/>
          <w:rFonts w:hint="default" w:ascii="Times New Roman" w:hAnsi="Times New Roman" w:cs="Times New Roman"/>
          <w:sz w:val="22"/>
          <w:szCs w:val="22"/>
        </w:rPr>
        <w:t>Soil management and plant nutrition for sustainable crop production</w:t>
      </w:r>
      <w:r>
        <w:rPr>
          <w:rFonts w:hint="default" w:ascii="Times New Roman" w:hAnsi="Times New Roman" w:cs="Times New Roman"/>
          <w:sz w:val="22"/>
          <w:szCs w:val="22"/>
        </w:rPr>
        <w:t>.</w:t>
      </w:r>
    </w:p>
    <w:p w14:paraId="6985336A">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Food and Agriculture Organization of the United Nations. (2025). </w:t>
      </w:r>
      <w:r>
        <w:rPr>
          <w:rStyle w:val="4"/>
          <w:rFonts w:hint="default" w:ascii="Times New Roman" w:hAnsi="Times New Roman" w:cs="Times New Roman"/>
          <w:sz w:val="22"/>
          <w:szCs w:val="22"/>
        </w:rPr>
        <w:t>International tea day 2025: Market and production insights</w:t>
      </w:r>
      <w:r>
        <w:rPr>
          <w:rFonts w:hint="default" w:ascii="Times New Roman" w:hAnsi="Times New Roman" w:cs="Times New Roman"/>
          <w:sz w:val="22"/>
          <w:szCs w:val="22"/>
        </w:rPr>
        <w:t>.</w:t>
      </w:r>
    </w:p>
    <w:p w14:paraId="4EB7CAC7">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Gittinger, J. P. (1972). </w:t>
      </w:r>
      <w:r>
        <w:rPr>
          <w:rStyle w:val="4"/>
          <w:rFonts w:hint="default" w:ascii="Times New Roman" w:hAnsi="Times New Roman" w:cs="Times New Roman"/>
          <w:sz w:val="22"/>
          <w:szCs w:val="22"/>
        </w:rPr>
        <w:t>Economic analysis of agricultural projects</w:t>
      </w:r>
      <w:r>
        <w:rPr>
          <w:rFonts w:hint="default" w:ascii="Times New Roman" w:hAnsi="Times New Roman" w:cs="Times New Roman"/>
          <w:sz w:val="22"/>
          <w:szCs w:val="22"/>
        </w:rPr>
        <w:t>. Johns Hopkins University Press.</w:t>
      </w:r>
    </w:p>
    <w:p w14:paraId="7436AF41">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Gittinger, J. P. (1982). </w:t>
      </w:r>
      <w:r>
        <w:rPr>
          <w:rStyle w:val="4"/>
          <w:rFonts w:hint="default" w:ascii="Times New Roman" w:hAnsi="Times New Roman" w:cs="Times New Roman"/>
          <w:sz w:val="22"/>
          <w:szCs w:val="22"/>
        </w:rPr>
        <w:t>Economic analysis of agricultural projects</w:t>
      </w:r>
      <w:r>
        <w:rPr>
          <w:rFonts w:hint="default" w:ascii="Times New Roman" w:hAnsi="Times New Roman" w:cs="Times New Roman"/>
          <w:sz w:val="22"/>
          <w:szCs w:val="22"/>
        </w:rPr>
        <w:t xml:space="preserve"> (2nd ed.). Johns Hopkins University Press.</w:t>
      </w:r>
    </w:p>
    <w:p w14:paraId="625D2AB0">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Gotsch, N., &amp; Burger, K. (2001). Dynamic supply response and welfare effects of technological change on perennial crops: The case of cocoa in Malaysia. </w:t>
      </w:r>
      <w:r>
        <w:rPr>
          <w:rStyle w:val="4"/>
          <w:rFonts w:hint="default" w:ascii="Times New Roman" w:hAnsi="Times New Roman" w:cs="Times New Roman"/>
          <w:sz w:val="22"/>
          <w:szCs w:val="22"/>
        </w:rPr>
        <w:t>American Journal of Agricultural Economics</w:t>
      </w:r>
      <w:r>
        <w:rPr>
          <w:rFonts w:hint="default" w:ascii="Times New Roman" w:hAnsi="Times New Roman" w:cs="Times New Roman"/>
          <w:sz w:val="22"/>
          <w:szCs w:val="22"/>
        </w:rPr>
        <w:t>, 83(2), 272–285.</w:t>
      </w:r>
    </w:p>
    <w:p w14:paraId="120D8ACE">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Han, X., Zhang, Y., Liang, R., et al. (2024). The response of rare bacterial communities in the tea rhizosphere to drought stress was stronger than that of abundant bacteria. </w:t>
      </w:r>
      <w:r>
        <w:rPr>
          <w:rStyle w:val="4"/>
          <w:rFonts w:hint="default" w:ascii="Times New Roman" w:hAnsi="Times New Roman" w:cs="Times New Roman"/>
          <w:sz w:val="22"/>
          <w:szCs w:val="22"/>
        </w:rPr>
        <w:t>BMC Plant Biology</w:t>
      </w:r>
      <w:r>
        <w:rPr>
          <w:rFonts w:hint="default" w:ascii="Times New Roman" w:hAnsi="Times New Roman" w:cs="Times New Roman"/>
          <w:sz w:val="22"/>
          <w:szCs w:val="22"/>
        </w:rPr>
        <w:t>, 24, 1144.</w:t>
      </w:r>
    </w:p>
    <w:p w14:paraId="16A32F21">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Henry, H. A., Mvungi, A., Laizer, A., Lukumay, P. J., Ochieng, J., Ngoteya, G., Dinssa, F., Simon, J. E., Govindasamy, R., Ndinya, C., &amp; Odendo, M. (2020). Profitability analysis of traditional African vegetable seed production in Kenya. </w:t>
      </w:r>
      <w:r>
        <w:rPr>
          <w:rStyle w:val="4"/>
          <w:rFonts w:hint="default" w:ascii="Times New Roman" w:hAnsi="Times New Roman" w:cs="Times New Roman"/>
          <w:sz w:val="22"/>
          <w:szCs w:val="22"/>
        </w:rPr>
        <w:t>Journal of Agribusiness in Developing and Emerging Economies</w:t>
      </w:r>
      <w:r>
        <w:rPr>
          <w:rFonts w:hint="default" w:ascii="Times New Roman" w:hAnsi="Times New Roman" w:cs="Times New Roman"/>
          <w:sz w:val="22"/>
          <w:szCs w:val="22"/>
        </w:rPr>
        <w:t>.</w:t>
      </w:r>
    </w:p>
    <w:p w14:paraId="7501DAE2">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International Tea Committee. (2019). </w:t>
      </w:r>
      <w:r>
        <w:rPr>
          <w:rStyle w:val="4"/>
          <w:rFonts w:hint="default" w:ascii="Times New Roman" w:hAnsi="Times New Roman" w:cs="Times New Roman"/>
          <w:sz w:val="22"/>
          <w:szCs w:val="22"/>
        </w:rPr>
        <w:t>Annual bulletin of statistics 2019</w:t>
      </w:r>
      <w:r>
        <w:rPr>
          <w:rFonts w:hint="default" w:ascii="Times New Roman" w:hAnsi="Times New Roman" w:cs="Times New Roman"/>
          <w:sz w:val="22"/>
          <w:szCs w:val="22"/>
        </w:rPr>
        <w:t>.</w:t>
      </w:r>
    </w:p>
    <w:p w14:paraId="27AC6B81">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Islam, M. S. (2023). Effect of drought stress on leaf productivity and liquor quality of tea: A review. </w:t>
      </w:r>
      <w:r>
        <w:rPr>
          <w:rStyle w:val="4"/>
          <w:rFonts w:hint="default" w:ascii="Times New Roman" w:hAnsi="Times New Roman" w:cs="Times New Roman"/>
          <w:sz w:val="22"/>
          <w:szCs w:val="22"/>
        </w:rPr>
        <w:t>Journal of Tea Science and Horticulture</w:t>
      </w:r>
      <w:r>
        <w:rPr>
          <w:rFonts w:hint="default" w:ascii="Times New Roman" w:hAnsi="Times New Roman" w:cs="Times New Roman"/>
          <w:sz w:val="22"/>
          <w:szCs w:val="22"/>
        </w:rPr>
        <w:t>.</w:t>
      </w:r>
    </w:p>
    <w:p w14:paraId="2E7E9B36">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Kagira, E. K., Kimani, S. W., &amp; Githii, K. S. (2012). Sustainable methods of addressing challenges facing smallholder tea sector in Kenya. </w:t>
      </w:r>
      <w:r>
        <w:rPr>
          <w:rStyle w:val="4"/>
          <w:rFonts w:hint="default" w:ascii="Times New Roman" w:hAnsi="Times New Roman" w:cs="Times New Roman"/>
          <w:sz w:val="22"/>
          <w:szCs w:val="22"/>
        </w:rPr>
        <w:t>Journal of Management and Strategy</w:t>
      </w:r>
      <w:r>
        <w:rPr>
          <w:rFonts w:hint="default" w:ascii="Times New Roman" w:hAnsi="Times New Roman" w:cs="Times New Roman"/>
          <w:sz w:val="22"/>
          <w:szCs w:val="22"/>
        </w:rPr>
        <w:t>, 3(3), 75–85.</w:t>
      </w:r>
    </w:p>
    <w:p w14:paraId="5E372BB8">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Kamunya, S., Ochanda, S. O., Cheramgoi, E., Chalo, R., Sitienei, K., Muku, O., Kirui, W., &amp; Bore, J. K. (2019). </w:t>
      </w:r>
      <w:r>
        <w:rPr>
          <w:rStyle w:val="4"/>
          <w:rFonts w:hint="default" w:ascii="Times New Roman" w:hAnsi="Times New Roman" w:cs="Times New Roman"/>
          <w:sz w:val="22"/>
          <w:szCs w:val="22"/>
        </w:rPr>
        <w:t>Tea growers’ guide</w:t>
      </w:r>
      <w:r>
        <w:rPr>
          <w:rFonts w:hint="default" w:ascii="Times New Roman" w:hAnsi="Times New Roman" w:cs="Times New Roman"/>
          <w:sz w:val="22"/>
          <w:szCs w:val="22"/>
        </w:rPr>
        <w:t>. Kenya Agricultural and Livestock Research Organization.</w:t>
      </w:r>
    </w:p>
    <w:p w14:paraId="493BBCC2">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Kumbasaroglu, H. (2026). Global tea production forecasting using ARIMA models. </w:t>
      </w:r>
      <w:r>
        <w:rPr>
          <w:rStyle w:val="4"/>
          <w:rFonts w:hint="default" w:ascii="Times New Roman" w:hAnsi="Times New Roman" w:cs="Times New Roman"/>
          <w:sz w:val="22"/>
          <w:szCs w:val="22"/>
        </w:rPr>
        <w:t>Sustainability</w:t>
      </w:r>
      <w:r>
        <w:rPr>
          <w:rFonts w:hint="default" w:ascii="Times New Roman" w:hAnsi="Times New Roman" w:cs="Times New Roman"/>
          <w:sz w:val="22"/>
          <w:szCs w:val="22"/>
        </w:rPr>
        <w:t>, 18(2), 1005.</w:t>
      </w:r>
    </w:p>
    <w:p w14:paraId="210D37F1">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Maritim, T. K., Kirui, S. K., &amp; Mutai, B. K. (2022). Influence of nursery management practices on the growth performance of tea seedlings in Kenya. </w:t>
      </w:r>
      <w:r>
        <w:rPr>
          <w:rStyle w:val="4"/>
          <w:rFonts w:hint="default" w:ascii="Times New Roman" w:hAnsi="Times New Roman" w:cs="Times New Roman"/>
          <w:sz w:val="22"/>
          <w:szCs w:val="22"/>
        </w:rPr>
        <w:t>International Journal of Agronomy and Agricultural Research</w:t>
      </w:r>
      <w:r>
        <w:rPr>
          <w:rFonts w:hint="default" w:ascii="Times New Roman" w:hAnsi="Times New Roman" w:cs="Times New Roman"/>
          <w:sz w:val="22"/>
          <w:szCs w:val="22"/>
        </w:rPr>
        <w:t>, 20(3), 45–55.</w:t>
      </w:r>
    </w:p>
    <w:p w14:paraId="2CACA7E8">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Mondal, T., Roy, S., &amp; Mukherjee, A. (2022). Biochar and compost integration in tea seedling production systems. </w:t>
      </w:r>
      <w:r>
        <w:rPr>
          <w:rStyle w:val="4"/>
          <w:rFonts w:hint="default" w:ascii="Times New Roman" w:hAnsi="Times New Roman" w:cs="Times New Roman"/>
          <w:sz w:val="22"/>
          <w:szCs w:val="22"/>
        </w:rPr>
        <w:t>Soil Use and Management</w:t>
      </w:r>
      <w:r>
        <w:rPr>
          <w:rFonts w:hint="default" w:ascii="Times New Roman" w:hAnsi="Times New Roman" w:cs="Times New Roman"/>
          <w:sz w:val="22"/>
          <w:szCs w:val="22"/>
        </w:rPr>
        <w:t>, 38(4), 1239–1249.</w:t>
      </w:r>
    </w:p>
    <w:p w14:paraId="5E1758A5">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Mukherjee, M., Chakraborty, S., Sarkar, S., Saha, S., Majumder, S., Ghosh, A., &amp; Bhattacharya, M. (2020). Soil nutritional status of tea plantations in sub-Himalayan West Bengal, India. </w:t>
      </w:r>
      <w:r>
        <w:rPr>
          <w:rStyle w:val="4"/>
          <w:rFonts w:hint="default" w:ascii="Times New Roman" w:hAnsi="Times New Roman" w:cs="Times New Roman"/>
          <w:sz w:val="22"/>
          <w:szCs w:val="22"/>
        </w:rPr>
        <w:t>Current Agriculture Research Journal</w:t>
      </w:r>
      <w:r>
        <w:rPr>
          <w:rFonts w:hint="default" w:ascii="Times New Roman" w:hAnsi="Times New Roman" w:cs="Times New Roman"/>
          <w:sz w:val="22"/>
          <w:szCs w:val="22"/>
        </w:rPr>
        <w:t>, 8(3), 270–279.</w:t>
      </w:r>
    </w:p>
    <w:p w14:paraId="47BA863E">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Muoki, C. R. (2020). Combating climate change in the Kenyan tea industry. </w:t>
      </w:r>
      <w:r>
        <w:rPr>
          <w:rStyle w:val="4"/>
          <w:rFonts w:hint="default" w:ascii="Times New Roman" w:hAnsi="Times New Roman" w:cs="Times New Roman"/>
          <w:sz w:val="22"/>
          <w:szCs w:val="22"/>
        </w:rPr>
        <w:t>Sustainability</w:t>
      </w:r>
      <w:r>
        <w:rPr>
          <w:rFonts w:hint="default" w:ascii="Times New Roman" w:hAnsi="Times New Roman" w:cs="Times New Roman"/>
          <w:sz w:val="22"/>
          <w:szCs w:val="22"/>
        </w:rPr>
        <w:t>.</w:t>
      </w:r>
    </w:p>
    <w:p w14:paraId="72360166">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Njeru, C. M., Mwangi, J., &amp; Othieno, C. O. (2021). Organic and inorganic nutrient sources for tea nurseries: Implications for growth and soil health. </w:t>
      </w:r>
      <w:r>
        <w:rPr>
          <w:rStyle w:val="4"/>
          <w:rFonts w:hint="default" w:ascii="Times New Roman" w:hAnsi="Times New Roman" w:cs="Times New Roman"/>
          <w:sz w:val="22"/>
          <w:szCs w:val="22"/>
        </w:rPr>
        <w:t>Journal of Plant Nutrition and Soil Science</w:t>
      </w:r>
      <w:r>
        <w:rPr>
          <w:rFonts w:hint="default" w:ascii="Times New Roman" w:hAnsi="Times New Roman" w:cs="Times New Roman"/>
          <w:sz w:val="22"/>
          <w:szCs w:val="22"/>
        </w:rPr>
        <w:t>, 184(3), 412–421.</w:t>
      </w:r>
    </w:p>
    <w:p w14:paraId="7A5E66C5">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Oladokun, Y. O. M., Oluyole, K. A., et al. (2023). Economic analysis of cocoa production cropping pattern in Nigeria, West Africa. </w:t>
      </w:r>
      <w:r>
        <w:rPr>
          <w:rStyle w:val="4"/>
          <w:rFonts w:hint="default" w:ascii="Times New Roman" w:hAnsi="Times New Roman" w:cs="Times New Roman"/>
          <w:sz w:val="22"/>
          <w:szCs w:val="22"/>
        </w:rPr>
        <w:t>Journal of Agriculture and Crops</w:t>
      </w:r>
      <w:r>
        <w:rPr>
          <w:rFonts w:hint="default" w:ascii="Times New Roman" w:hAnsi="Times New Roman" w:cs="Times New Roman"/>
          <w:sz w:val="22"/>
          <w:szCs w:val="22"/>
        </w:rPr>
        <w:t>.</w:t>
      </w:r>
    </w:p>
    <w:p w14:paraId="6547537B">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Paul, A., Debnath, P., &amp; Nath, R. (2021). Organic inputs in tea nursery management: Benefits and cost implications. </w:t>
      </w:r>
      <w:r>
        <w:rPr>
          <w:rStyle w:val="4"/>
          <w:rFonts w:hint="default" w:ascii="Times New Roman" w:hAnsi="Times New Roman" w:cs="Times New Roman"/>
          <w:sz w:val="22"/>
          <w:szCs w:val="22"/>
        </w:rPr>
        <w:t>Sustainable Agriculture Reviews</w:t>
      </w:r>
      <w:r>
        <w:rPr>
          <w:rFonts w:hint="default" w:ascii="Times New Roman" w:hAnsi="Times New Roman" w:cs="Times New Roman"/>
          <w:sz w:val="22"/>
          <w:szCs w:val="22"/>
        </w:rPr>
        <w:t>, 11(3), 89–101.</w:t>
      </w:r>
    </w:p>
    <w:p w14:paraId="2A17FDA4">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Rabo, E. K., &amp; Mazadu, A. E. (2018). Economic analysis of seedlings plant production in nurseries within Bauchi metropolis, Nigeria. </w:t>
      </w:r>
      <w:r>
        <w:rPr>
          <w:rStyle w:val="4"/>
          <w:rFonts w:hint="default" w:ascii="Times New Roman" w:hAnsi="Times New Roman" w:cs="Times New Roman"/>
          <w:sz w:val="22"/>
          <w:szCs w:val="22"/>
        </w:rPr>
        <w:t>International Journal of Forestry and Horticulture</w:t>
      </w:r>
      <w:r>
        <w:rPr>
          <w:rFonts w:hint="default" w:ascii="Times New Roman" w:hAnsi="Times New Roman" w:cs="Times New Roman"/>
          <w:sz w:val="22"/>
          <w:szCs w:val="22"/>
        </w:rPr>
        <w:t>, 4(3), 8–15.</w:t>
      </w:r>
    </w:p>
    <w:p w14:paraId="1BDA9DFA">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Rahman, H., Alam, S., &amp; Biswas, P. (2022). Integrated pest management in tea nurseries: A pathway to sustainable seedling production. </w:t>
      </w:r>
      <w:r>
        <w:rPr>
          <w:rStyle w:val="4"/>
          <w:rFonts w:hint="default" w:ascii="Times New Roman" w:hAnsi="Times New Roman" w:cs="Times New Roman"/>
          <w:sz w:val="22"/>
          <w:szCs w:val="22"/>
        </w:rPr>
        <w:t>Agricultural Research Journal</w:t>
      </w:r>
      <w:r>
        <w:rPr>
          <w:rFonts w:hint="default" w:ascii="Times New Roman" w:hAnsi="Times New Roman" w:cs="Times New Roman"/>
          <w:sz w:val="22"/>
          <w:szCs w:val="22"/>
        </w:rPr>
        <w:t>, 59(5), 765–774.</w:t>
      </w:r>
    </w:p>
    <w:p w14:paraId="14DF6A49">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Rana, S. S. (2017). Weed management in tea.</w:t>
      </w:r>
    </w:p>
    <w:p w14:paraId="0F8B0E82">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Rana, S., Gurung, D., &amp; Subedi, R. (2023). Effect of organic amendments on soil fertility and growth of tea seedlings in nursery conditions. </w:t>
      </w:r>
      <w:r>
        <w:rPr>
          <w:rStyle w:val="4"/>
          <w:rFonts w:hint="default" w:ascii="Times New Roman" w:hAnsi="Times New Roman" w:cs="Times New Roman"/>
          <w:sz w:val="22"/>
          <w:szCs w:val="22"/>
        </w:rPr>
        <w:t>Soil and Plant Nutrition Journal</w:t>
      </w:r>
      <w:r>
        <w:rPr>
          <w:rFonts w:hint="default" w:ascii="Times New Roman" w:hAnsi="Times New Roman" w:cs="Times New Roman"/>
          <w:sz w:val="22"/>
          <w:szCs w:val="22"/>
        </w:rPr>
        <w:t>, 29(2), 112–124.</w:t>
      </w:r>
    </w:p>
    <w:p w14:paraId="16AC05F1">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Statista Research Department. (2025). Global tea consumption from 2018 to 2029.</w:t>
      </w:r>
    </w:p>
    <w:p w14:paraId="64371669">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Tea Board of Kenya. (2012). </w:t>
      </w:r>
      <w:r>
        <w:rPr>
          <w:rStyle w:val="4"/>
          <w:rFonts w:hint="default" w:ascii="Times New Roman" w:hAnsi="Times New Roman" w:cs="Times New Roman"/>
          <w:sz w:val="22"/>
          <w:szCs w:val="22"/>
        </w:rPr>
        <w:t>Tea cultivation manual for good agricultural practices</w:t>
      </w:r>
      <w:r>
        <w:rPr>
          <w:rFonts w:hint="default" w:ascii="Times New Roman" w:hAnsi="Times New Roman" w:cs="Times New Roman"/>
          <w:sz w:val="22"/>
          <w:szCs w:val="22"/>
        </w:rPr>
        <w:t>. Tea Board of Kenya.</w:t>
      </w:r>
    </w:p>
    <w:p w14:paraId="0C2377B1">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Tea Board of Kenya. (2020). </w:t>
      </w:r>
      <w:r>
        <w:rPr>
          <w:rStyle w:val="4"/>
          <w:rFonts w:hint="default" w:ascii="Times New Roman" w:hAnsi="Times New Roman" w:cs="Times New Roman"/>
          <w:sz w:val="22"/>
          <w:szCs w:val="22"/>
        </w:rPr>
        <w:t>Tea nursery training guide</w:t>
      </w:r>
      <w:r>
        <w:rPr>
          <w:rFonts w:hint="default" w:ascii="Times New Roman" w:hAnsi="Times New Roman" w:cs="Times New Roman"/>
          <w:sz w:val="22"/>
          <w:szCs w:val="22"/>
        </w:rPr>
        <w:t>. Tea Board of Kenya.</w:t>
      </w:r>
    </w:p>
    <w:p w14:paraId="327A42A1">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Tea Research Association. (2020). </w:t>
      </w:r>
      <w:r>
        <w:rPr>
          <w:rStyle w:val="4"/>
          <w:rFonts w:hint="default" w:ascii="Times New Roman" w:hAnsi="Times New Roman" w:cs="Times New Roman"/>
          <w:sz w:val="22"/>
          <w:szCs w:val="22"/>
        </w:rPr>
        <w:t>Tea cultivation practices manual</w:t>
      </w:r>
      <w:r>
        <w:rPr>
          <w:rFonts w:hint="default" w:ascii="Times New Roman" w:hAnsi="Times New Roman" w:cs="Times New Roman"/>
          <w:sz w:val="22"/>
          <w:szCs w:val="22"/>
        </w:rPr>
        <w:t>.</w:t>
      </w:r>
    </w:p>
    <w:p w14:paraId="47E91BA9">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Tea Research Institute of Sri Lanka. (2009). </w:t>
      </w:r>
      <w:r>
        <w:rPr>
          <w:rStyle w:val="4"/>
          <w:rFonts w:hint="default" w:ascii="Times New Roman" w:hAnsi="Times New Roman" w:cs="Times New Roman"/>
          <w:sz w:val="22"/>
          <w:szCs w:val="22"/>
        </w:rPr>
        <w:t>Tea nursery management</w:t>
      </w:r>
      <w:r>
        <w:rPr>
          <w:rFonts w:hint="default" w:ascii="Times New Roman" w:hAnsi="Times New Roman" w:cs="Times New Roman"/>
          <w:sz w:val="22"/>
          <w:szCs w:val="22"/>
        </w:rPr>
        <w:t xml:space="preserve"> (Advisory Circular No. PN 02). Tea Research Institute of Sri Lanka.</w:t>
      </w:r>
    </w:p>
    <w:p w14:paraId="2F2CB57D">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Wang, Y., Zhang, L., &amp; Chen, X. (2021). Soil fertility management and its role in enhancing tea seedling quality. </w:t>
      </w:r>
      <w:r>
        <w:rPr>
          <w:rStyle w:val="4"/>
          <w:rFonts w:hint="default" w:ascii="Times New Roman" w:hAnsi="Times New Roman" w:cs="Times New Roman"/>
          <w:sz w:val="22"/>
          <w:szCs w:val="22"/>
        </w:rPr>
        <w:t>Journal of Plant Nutrition and Soil Science</w:t>
      </w:r>
      <w:r>
        <w:rPr>
          <w:rFonts w:hint="default" w:ascii="Times New Roman" w:hAnsi="Times New Roman" w:cs="Times New Roman"/>
          <w:sz w:val="22"/>
          <w:szCs w:val="22"/>
        </w:rPr>
        <w:t>, 184(4), 565–573.</w:t>
      </w:r>
    </w:p>
    <w:p w14:paraId="7FD09464">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Yahaya, A. T., Oladokun, Y. O. M., Oluwafemi, Z. O., Mustopha, F. B., Ojo, M. M., &amp; Benson, C. O. (2025). Economic analysis of tea production in Taraba State, Nigeria. </w:t>
      </w:r>
      <w:r>
        <w:rPr>
          <w:rStyle w:val="4"/>
          <w:rFonts w:hint="default" w:ascii="Times New Roman" w:hAnsi="Times New Roman" w:cs="Times New Roman"/>
          <w:sz w:val="22"/>
          <w:szCs w:val="22"/>
        </w:rPr>
        <w:t>South Asian Journal of Social Studies and Economics</w:t>
      </w:r>
      <w:r>
        <w:rPr>
          <w:rFonts w:hint="default" w:ascii="Times New Roman" w:hAnsi="Times New Roman" w:cs="Times New Roman"/>
          <w:sz w:val="22"/>
          <w:szCs w:val="22"/>
        </w:rPr>
        <w:t>, 22(5), 287–297.</w:t>
      </w:r>
    </w:p>
    <w:p w14:paraId="6A55A802">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Yahaya, A. T., Sanusi, R. A., Akerele, D., &amp; Fapojuwo, O. E. (2025). Analysis of comparative advantages and policy protection on tea production in Nigeria. </w:t>
      </w:r>
      <w:r>
        <w:rPr>
          <w:rStyle w:val="4"/>
          <w:rFonts w:hint="default" w:ascii="Times New Roman" w:hAnsi="Times New Roman" w:cs="Times New Roman"/>
          <w:sz w:val="22"/>
          <w:szCs w:val="22"/>
        </w:rPr>
        <w:t>Asian Journal of Agricultural and Horticultural Research</w:t>
      </w:r>
      <w:r>
        <w:rPr>
          <w:rFonts w:hint="default" w:ascii="Times New Roman" w:hAnsi="Times New Roman" w:cs="Times New Roman"/>
          <w:sz w:val="22"/>
          <w:szCs w:val="22"/>
        </w:rPr>
        <w:t>.</w:t>
      </w:r>
    </w:p>
    <w:p w14:paraId="0E2B6F47">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2"/>
          <w:szCs w:val="22"/>
        </w:rPr>
      </w:pPr>
      <w:r>
        <w:rPr>
          <w:rFonts w:hint="default" w:ascii="Times New Roman" w:hAnsi="Times New Roman" w:cs="Times New Roman"/>
          <w:sz w:val="22"/>
          <w:szCs w:val="22"/>
        </w:rPr>
        <w:t xml:space="preserve">Yahaya, A. T., Shittu, T. R., Ogunjobi, M. A. K., Jayeola, C. O., &amp; Williams, A. O. (2017). Gross margin analysis of cocoa bread production. </w:t>
      </w:r>
      <w:r>
        <w:rPr>
          <w:rStyle w:val="4"/>
          <w:rFonts w:hint="default" w:ascii="Times New Roman" w:hAnsi="Times New Roman" w:cs="Times New Roman"/>
          <w:sz w:val="22"/>
          <w:szCs w:val="22"/>
        </w:rPr>
        <w:t>International Journal of Horticulture, Agriculture and Food Science</w:t>
      </w:r>
      <w:r>
        <w:rPr>
          <w:rFonts w:hint="default" w:ascii="Times New Roman" w:hAnsi="Times New Roman" w:cs="Times New Roman"/>
          <w:sz w:val="22"/>
          <w:szCs w:val="22"/>
        </w:rPr>
        <w:t>, 1(3), 1–4.</w:t>
      </w:r>
    </w:p>
    <w:p w14:paraId="5E5993D4">
      <w:pPr>
        <w:jc w:val="both"/>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B2E8C"/>
    <w:multiLevelType w:val="singleLevel"/>
    <w:tmpl w:val="8D5B2E8C"/>
    <w:lvl w:ilvl="0" w:tentative="0">
      <w:start w:val="1"/>
      <w:numFmt w:val="decimal"/>
      <w:suff w:val="space"/>
      <w:lvlText w:val="%1."/>
      <w:lvlJc w:val="left"/>
    </w:lvl>
  </w:abstractNum>
  <w:abstractNum w:abstractNumId="1">
    <w:nsid w:val="EE297F5C"/>
    <w:multiLevelType w:val="multilevel"/>
    <w:tmpl w:val="EE297F5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1C3E8642"/>
    <w:multiLevelType w:val="multilevel"/>
    <w:tmpl w:val="1C3E864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3543F1A8"/>
    <w:multiLevelType w:val="singleLevel"/>
    <w:tmpl w:val="3543F1A8"/>
    <w:lvl w:ilvl="0" w:tentative="0">
      <w:start w:val="1"/>
      <w:numFmt w:val="lowerRoman"/>
      <w:suff w:val="space"/>
      <w:lvlText w:val="%1)"/>
      <w:lvlJc w:val="left"/>
    </w:lvl>
  </w:abstractNum>
  <w:abstractNum w:abstractNumId="4">
    <w:nsid w:val="42F5283F"/>
    <w:multiLevelType w:val="multilevel"/>
    <w:tmpl w:val="42F5283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132F8"/>
    <w:rsid w:val="02DB2E36"/>
    <w:rsid w:val="091153EC"/>
    <w:rsid w:val="09AC2E40"/>
    <w:rsid w:val="0A293CBB"/>
    <w:rsid w:val="0ACB1C3D"/>
    <w:rsid w:val="0AE3696C"/>
    <w:rsid w:val="0DB25485"/>
    <w:rsid w:val="10AB7E22"/>
    <w:rsid w:val="12902B66"/>
    <w:rsid w:val="15C33882"/>
    <w:rsid w:val="16DB2490"/>
    <w:rsid w:val="1A746473"/>
    <w:rsid w:val="1AFF18DB"/>
    <w:rsid w:val="1C9F5B04"/>
    <w:rsid w:val="1F012286"/>
    <w:rsid w:val="200F75DF"/>
    <w:rsid w:val="22550BDA"/>
    <w:rsid w:val="23E47FEF"/>
    <w:rsid w:val="278928D4"/>
    <w:rsid w:val="2BDB2C5A"/>
    <w:rsid w:val="31647CA0"/>
    <w:rsid w:val="32F10A57"/>
    <w:rsid w:val="34DB1A12"/>
    <w:rsid w:val="34F957E7"/>
    <w:rsid w:val="39A877D7"/>
    <w:rsid w:val="39C36951"/>
    <w:rsid w:val="39E135D3"/>
    <w:rsid w:val="3D157871"/>
    <w:rsid w:val="40AE7C64"/>
    <w:rsid w:val="41792C41"/>
    <w:rsid w:val="41FB1DC8"/>
    <w:rsid w:val="45624364"/>
    <w:rsid w:val="45BF3DCC"/>
    <w:rsid w:val="45F800DB"/>
    <w:rsid w:val="4678469F"/>
    <w:rsid w:val="504C5227"/>
    <w:rsid w:val="53194965"/>
    <w:rsid w:val="55C624C7"/>
    <w:rsid w:val="597141B2"/>
    <w:rsid w:val="5AC23592"/>
    <w:rsid w:val="5BE53961"/>
    <w:rsid w:val="631A5CA2"/>
    <w:rsid w:val="6E9D190A"/>
    <w:rsid w:val="6F103A37"/>
    <w:rsid w:val="6F155D81"/>
    <w:rsid w:val="6F1A67C7"/>
    <w:rsid w:val="714C17A4"/>
    <w:rsid w:val="723942F4"/>
    <w:rsid w:val="771132F8"/>
    <w:rsid w:val="77A95CDF"/>
    <w:rsid w:val="7AA5772A"/>
    <w:rsid w:val="7E8F7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0"/>
    <w:rPr>
      <w:b/>
      <w:bCs/>
    </w:rPr>
  </w:style>
  <w:style w:type="table" w:styleId="7">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5400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2026-03-25T13:18:00Z</dcterms:created>
  <dc:creator>akanbi olorunfemi</dc:creator>
  <cp:lastModifiedBy>akanbi olorunfemi</cp:lastModifiedBy>
  <dcterms:modified xsi:type="dcterms:W3CDTF">2026-03-31T21:08:17Z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000005BACF08427BBD9AA3FE402B094B_11</vt:lpwstr>
  </property>
</Properties>
</file>