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7B" w:rsidRDefault="002A02F6">
      <w:pPr>
        <w:pStyle w:val="Heading1"/>
      </w:pPr>
      <w:r>
        <w:t xml:space="preserve">Prevalence and antimicrobial resistance profiling of </w:t>
      </w:r>
      <w:r>
        <w:rPr>
          <w:rStyle w:val="Emphasis"/>
        </w:rPr>
        <w:t>Staphylococcus aureus</w:t>
      </w:r>
      <w:r>
        <w:t xml:space="preserve"> in irrigation waters in Aliero and Jega LGAs, Kebbi State, Nigeria</w:t>
      </w:r>
    </w:p>
    <w:p w:rsidR="00B5307B" w:rsidRDefault="00B5307B">
      <w:pPr>
        <w:spacing w:after="100" w:afterAutospacing="1" w:line="276" w:lineRule="auto"/>
        <w:jc w:val="both"/>
        <w:rPr>
          <w:rFonts w:ascii="Times New Roman" w:hAnsi="Times New Roman"/>
          <w:sz w:val="24"/>
          <w:szCs w:val="24"/>
          <w:lang w:val="en-GB" w:eastAsia="en-GB"/>
        </w:rPr>
      </w:pPr>
    </w:p>
    <w:p w:rsidR="00B5307B" w:rsidRDefault="002A02F6">
      <w:pPr>
        <w:spacing w:after="100" w:afterAutospacing="1" w:line="276" w:lineRule="auto"/>
        <w:jc w:val="both"/>
        <w:rPr>
          <w:rFonts w:ascii="Times New Roman" w:hAnsi="Times New Roman"/>
          <w:b/>
          <w:sz w:val="24"/>
          <w:szCs w:val="24"/>
          <w:lang w:val="en-GB" w:eastAsia="en-GB"/>
        </w:rPr>
      </w:pPr>
      <w:r>
        <w:rPr>
          <w:rFonts w:ascii="Times New Roman" w:hAnsi="Times New Roman"/>
          <w:b/>
          <w:sz w:val="24"/>
          <w:szCs w:val="24"/>
          <w:lang w:val="en-GB" w:eastAsia="en-GB"/>
        </w:rPr>
        <w:t>Abstract</w:t>
      </w:r>
      <w:bookmarkStart w:id="0" w:name="_GoBack"/>
      <w:bookmarkEnd w:id="0"/>
    </w:p>
    <w:p w:rsidR="00B5307B" w:rsidRDefault="00B5307B">
      <w:pPr>
        <w:spacing w:after="100" w:afterAutospacing="1" w:line="276" w:lineRule="auto"/>
        <w:jc w:val="both"/>
        <w:rPr>
          <w:rFonts w:ascii="Times New Roman" w:hAnsi="Times New Roman"/>
          <w:sz w:val="24"/>
          <w:szCs w:val="24"/>
          <w:lang w:val="en-GB" w:eastAsia="en-GB"/>
        </w:rPr>
      </w:pPr>
    </w:p>
    <w:p w:rsidR="00B5307B" w:rsidRDefault="002A02F6">
      <w:pPr>
        <w:spacing w:after="100" w:afterAutospacing="1" w:line="276" w:lineRule="auto"/>
        <w:jc w:val="both"/>
        <w:rPr>
          <w:rFonts w:ascii="Times New Roman" w:hAnsi="Times New Roman"/>
          <w:sz w:val="24"/>
          <w:szCs w:val="24"/>
          <w:lang w:val="en-GB" w:eastAsia="en-GB"/>
        </w:rPr>
      </w:pPr>
      <w:r>
        <w:rPr>
          <w:rFonts w:ascii="Times New Roman" w:hAnsi="Times New Roman"/>
          <w:sz w:val="24"/>
          <w:szCs w:val="24"/>
          <w:lang w:val="en-GB" w:eastAsia="en-GB"/>
        </w:rPr>
        <w:t xml:space="preserve">This study assessed the microbiological quality of irrigation water in Jega and Alero Local Government Areas, focusing on well </w:t>
      </w:r>
      <w:r>
        <w:rPr>
          <w:rFonts w:ascii="Times New Roman" w:hAnsi="Times New Roman"/>
          <w:sz w:val="24"/>
          <w:szCs w:val="24"/>
          <w:lang w:eastAsia="en-GB"/>
        </w:rPr>
        <w:t xml:space="preserve">water </w:t>
      </w:r>
      <w:r>
        <w:rPr>
          <w:rFonts w:ascii="Times New Roman" w:hAnsi="Times New Roman"/>
          <w:sz w:val="24"/>
          <w:szCs w:val="24"/>
          <w:lang w:val="en-GB" w:eastAsia="en-GB"/>
        </w:rPr>
        <w:t xml:space="preserve">fed and stagnant water-fed ponds. A total of 80 water samples were analyzed for bacterial contamination, with </w:t>
      </w:r>
      <w:r>
        <w:rPr>
          <w:rFonts w:ascii="Times New Roman" w:hAnsi="Times New Roman"/>
          <w:i/>
          <w:iCs/>
          <w:sz w:val="24"/>
          <w:szCs w:val="24"/>
          <w:lang w:val="en-GB" w:eastAsia="en-GB"/>
        </w:rPr>
        <w:t>Staphylococcus aureus</w:t>
      </w:r>
      <w:r>
        <w:rPr>
          <w:rFonts w:ascii="Times New Roman" w:hAnsi="Times New Roman"/>
          <w:sz w:val="24"/>
          <w:szCs w:val="24"/>
          <w:lang w:val="en-GB" w:eastAsia="en-GB"/>
        </w:rPr>
        <w:t xml:space="preserve"> and </w:t>
      </w:r>
      <w:r>
        <w:rPr>
          <w:rFonts w:ascii="Times New Roman" w:hAnsi="Times New Roman"/>
          <w:i/>
          <w:iCs/>
          <w:sz w:val="24"/>
          <w:szCs w:val="24"/>
          <w:lang w:val="en-GB" w:eastAsia="en-GB"/>
        </w:rPr>
        <w:t>Staphylococcus epidermidis</w:t>
      </w:r>
      <w:r>
        <w:rPr>
          <w:rFonts w:ascii="Times New Roman" w:hAnsi="Times New Roman"/>
          <w:sz w:val="24"/>
          <w:szCs w:val="24"/>
          <w:lang w:val="en-GB" w:eastAsia="en-GB"/>
        </w:rPr>
        <w:t xml:space="preserve"> identified as the most frequently isolated organisms. Stagnant </w:t>
      </w:r>
      <w:r>
        <w:rPr>
          <w:rFonts w:ascii="Times New Roman" w:hAnsi="Times New Roman"/>
          <w:sz w:val="24"/>
          <w:szCs w:val="24"/>
          <w:lang w:eastAsia="en-GB"/>
        </w:rPr>
        <w:t xml:space="preserve">water </w:t>
      </w:r>
      <w:r>
        <w:rPr>
          <w:rFonts w:ascii="Times New Roman" w:hAnsi="Times New Roman"/>
          <w:sz w:val="24"/>
          <w:szCs w:val="24"/>
          <w:lang w:val="en-GB" w:eastAsia="en-GB"/>
        </w:rPr>
        <w:t xml:space="preserve">fed ponds exhibited significantly higher microbial loads, reaching a maximum of 1.8 × 10⁶ CFU/mL, and accounted for a greater proportion of bacterial isolates (63.4%) compared to well water-fed ponds (36.6%). </w:t>
      </w:r>
      <w:r>
        <w:rPr>
          <w:rFonts w:ascii="Times New Roman" w:hAnsi="Times New Roman"/>
          <w:i/>
          <w:iCs/>
          <w:sz w:val="24"/>
          <w:szCs w:val="24"/>
          <w:lang w:val="en-GB" w:eastAsia="en-GB"/>
        </w:rPr>
        <w:t>S. aureus</w:t>
      </w:r>
      <w:r>
        <w:rPr>
          <w:rFonts w:ascii="Times New Roman" w:hAnsi="Times New Roman"/>
          <w:sz w:val="24"/>
          <w:szCs w:val="24"/>
          <w:lang w:val="en-GB" w:eastAsia="en-GB"/>
        </w:rPr>
        <w:t xml:space="preserve"> alone constituted 56.1% of all identified isolates, underscoring considerable public health and agricultural risks associated with the use of microbiologically contaminated irrigation water. Prolonged exposure to such water sources may facilitate the spread of waterborne pathogens, threatening both crop safety and consumer health. These findings emphasize the urgent need for routine microbiological monitoring, improved water management practices, and the implementation of targeted intervention strategies to effectively reduce microbial contamination levels within irrigation systems across the study areas.</w:t>
      </w:r>
    </w:p>
    <w:p w:rsidR="00B5307B" w:rsidRDefault="002A02F6">
      <w:pPr>
        <w:spacing w:after="100" w:afterAutospacing="1" w:line="276" w:lineRule="auto"/>
        <w:jc w:val="both"/>
        <w:rPr>
          <w:rFonts w:ascii="Times New Roman" w:hAnsi="Times New Roman"/>
          <w:sz w:val="24"/>
          <w:szCs w:val="24"/>
          <w:lang w:val="en-GB" w:eastAsia="en-GB"/>
        </w:rPr>
      </w:pPr>
      <w:r>
        <w:rPr>
          <w:rFonts w:ascii="Times New Roman" w:hAnsi="Times New Roman"/>
          <w:b/>
          <w:bCs/>
          <w:sz w:val="24"/>
          <w:szCs w:val="24"/>
          <w:lang w:val="en-GB" w:eastAsia="en-GB"/>
        </w:rPr>
        <w:t>Keywords:</w:t>
      </w:r>
      <w:r>
        <w:rPr>
          <w:rFonts w:ascii="Times New Roman" w:hAnsi="Times New Roman"/>
          <w:sz w:val="24"/>
          <w:szCs w:val="24"/>
          <w:lang w:val="en-GB" w:eastAsia="en-GB"/>
        </w:rPr>
        <w:t xml:space="preserve"> </w:t>
      </w:r>
      <w:r>
        <w:rPr>
          <w:rFonts w:ascii="Times New Roman" w:hAnsi="Times New Roman"/>
          <w:i/>
          <w:iCs/>
          <w:sz w:val="24"/>
          <w:szCs w:val="24"/>
          <w:lang w:val="en-GB" w:eastAsia="en-GB"/>
        </w:rPr>
        <w:t>Staphylococcus aureus</w:t>
      </w:r>
      <w:r>
        <w:rPr>
          <w:rFonts w:ascii="Times New Roman" w:hAnsi="Times New Roman"/>
          <w:sz w:val="24"/>
          <w:szCs w:val="24"/>
          <w:lang w:val="en-GB" w:eastAsia="en-GB"/>
        </w:rPr>
        <w:t xml:space="preserve">, </w:t>
      </w:r>
      <w:r>
        <w:rPr>
          <w:rFonts w:ascii="Times New Roman" w:hAnsi="Times New Roman"/>
          <w:i/>
          <w:iCs/>
          <w:sz w:val="24"/>
          <w:szCs w:val="24"/>
          <w:lang w:val="en-GB" w:eastAsia="en-GB"/>
        </w:rPr>
        <w:t>Staphylococcus epidermidis</w:t>
      </w:r>
      <w:r>
        <w:rPr>
          <w:rFonts w:ascii="Times New Roman" w:hAnsi="Times New Roman"/>
          <w:sz w:val="24"/>
          <w:szCs w:val="24"/>
          <w:lang w:val="en-GB" w:eastAsia="en-GB"/>
        </w:rPr>
        <w:t>, irrigation water, antimicrobial resistance, Kebbi State, Nigeria</w:t>
      </w:r>
    </w:p>
    <w:p w:rsidR="00B5307B" w:rsidRDefault="002A02F6">
      <w:pPr>
        <w:pStyle w:val="Heading3"/>
        <w:spacing w:line="276" w:lineRule="auto"/>
        <w:jc w:val="both"/>
        <w:rPr>
          <w:rFonts w:ascii="Times New Roman" w:hAnsi="Times New Roman" w:cs="Times New Roman"/>
          <w:b/>
          <w:color w:val="auto"/>
          <w:lang w:val="en-GB"/>
        </w:rPr>
      </w:pPr>
      <w:r>
        <w:rPr>
          <w:rFonts w:ascii="Times New Roman" w:hAnsi="Times New Roman" w:cs="Times New Roman"/>
          <w:b/>
          <w:color w:val="auto"/>
        </w:rPr>
        <w:t>Introduction</w:t>
      </w:r>
    </w:p>
    <w:p w:rsidR="00B5307B" w:rsidRDefault="002A02F6">
      <w:pPr>
        <w:pStyle w:val="NormalWeb"/>
        <w:spacing w:line="276" w:lineRule="auto"/>
        <w:jc w:val="both"/>
      </w:pPr>
      <w:r>
        <w:t>The microbiological quality of irrigation water is a decisive factor of food safety and health of people. Irrigation water may provide a channel through which environmental pathogenic microorganisms are carried into crops and this becomes a major threat to the consumer when there is consumption of the contaminated produce (</w:t>
      </w:r>
      <w:r>
        <w:rPr>
          <w:color w:val="222222"/>
          <w:shd w:val="clear" w:color="auto" w:fill="FFFFFF"/>
        </w:rPr>
        <w:t xml:space="preserve">Malakar </w:t>
      </w:r>
      <w:r>
        <w:rPr>
          <w:i/>
          <w:color w:val="222222"/>
          <w:shd w:val="clear" w:color="auto" w:fill="FFFFFF"/>
        </w:rPr>
        <w:t>et al</w:t>
      </w:r>
      <w:r>
        <w:rPr>
          <w:color w:val="222222"/>
          <w:shd w:val="clear" w:color="auto" w:fill="FFFFFF"/>
        </w:rPr>
        <w:t>., 2019)</w:t>
      </w:r>
      <w:r>
        <w:t xml:space="preserve">. Of particular interest in this group of pathogens is </w:t>
      </w:r>
      <w:r>
        <w:rPr>
          <w:i/>
        </w:rPr>
        <w:t>Staphylococcus aureus</w:t>
      </w:r>
      <w:r>
        <w:t xml:space="preserve"> because of its capacity to survive in the environment, survival in diverse conditions and induction of foodborne infections and human infections (Phan </w:t>
      </w:r>
      <w:r>
        <w:rPr>
          <w:i/>
        </w:rPr>
        <w:t>et al</w:t>
      </w:r>
      <w:r>
        <w:t xml:space="preserve">., 2025). This fact is demonstrated by the occurrence of </w:t>
      </w:r>
      <w:r>
        <w:rPr>
          <w:i/>
        </w:rPr>
        <w:t>S. aureus</w:t>
      </w:r>
      <w:r>
        <w:t xml:space="preserve"> in irrigation water and there is the likelihood that water sources are reservoirs of bacteria including antibiotic-resistant strains (Moussé </w:t>
      </w:r>
      <w:r>
        <w:rPr>
          <w:i/>
        </w:rPr>
        <w:t>et al</w:t>
      </w:r>
      <w:r>
        <w:t xml:space="preserve">., 2020). The irrigation systems which are dependent on stagnant water feeds which are housed in ponds or surface water source are particularly susceptible to microbial contamination. The reasons include the build-up of organic matter, the absence of water flow, the exposure to human and animal life, and the improper management of waste, which provide good environments to sustain and enhance the growth of bacteria. Pathogenic microorganisms are able to survive in such environments and there are high chances that they may contaminate crops irrigated by such sources of water </w:t>
      </w:r>
      <w:r>
        <w:lastRenderedPageBreak/>
        <w:t>(</w:t>
      </w:r>
      <w:r>
        <w:rPr>
          <w:color w:val="1B1B1B"/>
          <w:shd w:val="clear" w:color="auto" w:fill="FFFFFF"/>
        </w:rPr>
        <w:t xml:space="preserve">Alegbeleye, </w:t>
      </w:r>
      <w:r>
        <w:rPr>
          <w:i/>
          <w:color w:val="1B1B1B"/>
          <w:shd w:val="clear" w:color="auto" w:fill="FFFFFF"/>
        </w:rPr>
        <w:t>et al</w:t>
      </w:r>
      <w:r>
        <w:rPr>
          <w:color w:val="1B1B1B"/>
          <w:shd w:val="clear" w:color="auto" w:fill="FFFFFF"/>
        </w:rPr>
        <w:t>., 2018)</w:t>
      </w:r>
      <w:r>
        <w:t xml:space="preserve">. Antimicrobial resistance is a new world issue, and the identification of resistant strains of </w:t>
      </w:r>
      <w:r>
        <w:rPr>
          <w:i/>
        </w:rPr>
        <w:t>S. aureus</w:t>
      </w:r>
      <w:r>
        <w:t xml:space="preserve"> in irrigation water highlights the environmental aspect of the issue. Irrigation water contains resistant bacteria that may be used as a vehicle where antimicrobial resistance genes are transferred to other places by way of agricultural ecosystems and ultimately to people by consuming infected food (</w:t>
      </w:r>
      <w:r>
        <w:rPr>
          <w:color w:val="1B1B1B"/>
          <w:shd w:val="clear" w:color="auto" w:fill="FFFFFF"/>
        </w:rPr>
        <w:t xml:space="preserve">Meradji </w:t>
      </w:r>
      <w:r>
        <w:rPr>
          <w:i/>
          <w:color w:val="1B1B1B"/>
          <w:shd w:val="clear" w:color="auto" w:fill="FFFFFF"/>
        </w:rPr>
        <w:t>et al</w:t>
      </w:r>
      <w:r>
        <w:rPr>
          <w:color w:val="1B1B1B"/>
          <w:shd w:val="clear" w:color="auto" w:fill="FFFFFF"/>
        </w:rPr>
        <w:t>., 2025)</w:t>
      </w:r>
      <w:r>
        <w:t>. The problem of resistance traits spread through indiscriminate use of antibiotics in human and animal population is further increased, and monitoring of irrigation water on the presence of resistant pathogens is an urgent health concern of the population (</w:t>
      </w:r>
      <w:r>
        <w:rPr>
          <w:color w:val="212121"/>
          <w:shd w:val="clear" w:color="auto" w:fill="FFFFFF"/>
        </w:rPr>
        <w:t xml:space="preserve">Stocker </w:t>
      </w:r>
      <w:r>
        <w:rPr>
          <w:i/>
          <w:color w:val="212121"/>
          <w:shd w:val="clear" w:color="auto" w:fill="FFFFFF"/>
        </w:rPr>
        <w:t>et al</w:t>
      </w:r>
      <w:r>
        <w:rPr>
          <w:color w:val="212121"/>
          <w:shd w:val="clear" w:color="auto" w:fill="FFFFFF"/>
        </w:rPr>
        <w:t>., 2025)</w:t>
      </w:r>
      <w:r>
        <w:t xml:space="preserve">. Irrigation farming is the major part of agricultural production in Kebbi State, Nigeria, where the sources of irrigation of vegetables and crops are generally the well water fed ponds and stagnant water fed ponds. Although of significance, there is a dearth of information on the prevalence and antimicrobial resistance of </w:t>
      </w:r>
      <w:r>
        <w:rPr>
          <w:i/>
        </w:rPr>
        <w:t>S. aureus</w:t>
      </w:r>
      <w:r>
        <w:t xml:space="preserve"> in such water sources (Sahabi </w:t>
      </w:r>
      <w:r>
        <w:rPr>
          <w:i/>
        </w:rPr>
        <w:t>et al</w:t>
      </w:r>
      <w:r>
        <w:t xml:space="preserve">., 2017). The presence and nature of </w:t>
      </w:r>
      <w:r>
        <w:rPr>
          <w:i/>
        </w:rPr>
        <w:t>S. aureus</w:t>
      </w:r>
      <w:r>
        <w:t xml:space="preserve"> in irrigation water is also the key to creating measures that will reduce contamination, protect the quality of crops, and mitigate the threat of antimicrobial resistance transmission (</w:t>
      </w:r>
      <w:r>
        <w:rPr>
          <w:color w:val="222222"/>
          <w:shd w:val="clear" w:color="auto" w:fill="FFFFFF"/>
        </w:rPr>
        <w:t xml:space="preserve">Sassi </w:t>
      </w:r>
      <w:r>
        <w:rPr>
          <w:i/>
          <w:color w:val="222222"/>
          <w:shd w:val="clear" w:color="auto" w:fill="FFFFFF"/>
        </w:rPr>
        <w:t>et al</w:t>
      </w:r>
      <w:r>
        <w:rPr>
          <w:color w:val="222222"/>
          <w:shd w:val="clear" w:color="auto" w:fill="FFFFFF"/>
        </w:rPr>
        <w:t>., 2025)</w:t>
      </w:r>
      <w:r>
        <w:t xml:space="preserve">. The current study was aimed at exploring the prevalence, distribution, and antimicrobial resistance pattern of </w:t>
      </w:r>
      <w:r>
        <w:rPr>
          <w:i/>
        </w:rPr>
        <w:t>Staphylococcus aureus</w:t>
      </w:r>
      <w:r>
        <w:t xml:space="preserve"> on irrigation waters in Aliero and Jega Local Government Areas of Kebbi State. The study will offer essential information about the safety of irrigation water by analyzing the diverse sources of water and the microbial load present therein, inform the agricultural management activities and assist the health interventions of people in alleviating the risks of pathogenic and resistant bacteria in the agricultural setting.</w:t>
      </w:r>
    </w:p>
    <w:p w:rsidR="00B5307B" w:rsidRDefault="002A02F6">
      <w:pPr>
        <w:pStyle w:val="Heading1"/>
      </w:pPr>
      <w:r>
        <w:t>Methodology</w:t>
      </w:r>
    </w:p>
    <w:p w:rsidR="00B5307B" w:rsidRDefault="002A02F6">
      <w:pPr>
        <w:pStyle w:val="Heading1"/>
      </w:pPr>
      <w:r>
        <w:t>Study Areas</w:t>
      </w:r>
    </w:p>
    <w:p w:rsidR="00B5307B" w:rsidRDefault="002A02F6">
      <w:pPr>
        <w:spacing w:before="240" w:beforeAutospacing="0" w:after="240" w:line="276" w:lineRule="auto"/>
        <w:jc w:val="both"/>
        <w:rPr>
          <w:rFonts w:ascii="Times New Roman" w:hAnsi="Times New Roman"/>
          <w:sz w:val="24"/>
          <w:szCs w:val="24"/>
          <w:shd w:val="clear" w:color="auto" w:fill="FFFFFF"/>
        </w:rPr>
      </w:pPr>
      <w:r>
        <w:rPr>
          <w:rFonts w:ascii="Times New Roman" w:hAnsi="Times New Roman"/>
          <w:spacing w:val="5"/>
          <w:sz w:val="24"/>
          <w:szCs w:val="24"/>
        </w:rPr>
        <w:t>Aliero is a town in northern Nigeria's Kebbi State. Located in the southeast of Kebbi State 12°16′42″N 4°27′6″E (</w:t>
      </w:r>
      <w:r>
        <w:rPr>
          <w:rFonts w:ascii="Times New Roman" w:hAnsi="Times New Roman"/>
          <w:sz w:val="24"/>
          <w:szCs w:val="24"/>
        </w:rPr>
        <w:t>Soluap, 2023).</w:t>
      </w:r>
      <w:r>
        <w:rPr>
          <w:rFonts w:ascii="Times New Roman" w:hAnsi="Times New Roman"/>
          <w:spacing w:val="5"/>
          <w:sz w:val="24"/>
          <w:szCs w:val="24"/>
        </w:rPr>
        <w:t xml:space="preserve"> The town is the headquarters of Aliero Local Government Area. Most of the people in Aliero LGA are farmers, with emphasis on vegetation, especially onion and pepper. The town has the largest onion market in northwest Nigeria and is a major producer of onions in Nigeria. Aliero town is surrounded by mango trees </w:t>
      </w:r>
      <w:r>
        <w:rPr>
          <w:rFonts w:ascii="Times New Roman" w:hAnsi="Times New Roman"/>
          <w:sz w:val="24"/>
          <w:szCs w:val="24"/>
          <w:shd w:val="clear" w:color="auto" w:fill="FFFFFF"/>
        </w:rPr>
        <w:t xml:space="preserve">(Umar </w:t>
      </w:r>
      <w:r>
        <w:rPr>
          <w:rFonts w:ascii="Times New Roman" w:hAnsi="Times New Roman"/>
          <w:i/>
          <w:sz w:val="24"/>
          <w:szCs w:val="24"/>
          <w:shd w:val="clear" w:color="auto" w:fill="FFFFFF"/>
        </w:rPr>
        <w:t xml:space="preserve">et al., </w:t>
      </w:r>
      <w:r>
        <w:rPr>
          <w:rFonts w:ascii="Times New Roman" w:hAnsi="Times New Roman"/>
          <w:sz w:val="24"/>
          <w:szCs w:val="24"/>
          <w:shd w:val="clear" w:color="auto" w:fill="FFFFFF"/>
        </w:rPr>
        <w:t>2023)</w:t>
      </w:r>
      <w:r>
        <w:rPr>
          <w:rFonts w:ascii="Times New Roman" w:hAnsi="Times New Roman"/>
          <w:spacing w:val="5"/>
          <w:sz w:val="24"/>
          <w:szCs w:val="24"/>
        </w:rPr>
        <w:t>.</w:t>
      </w:r>
    </w:p>
    <w:p w:rsidR="00B5307B" w:rsidRDefault="002A02F6">
      <w:pPr>
        <w:spacing w:before="240" w:beforeAutospacing="0" w:after="240" w:line="276" w:lineRule="auto"/>
        <w:jc w:val="both"/>
        <w:rPr>
          <w:rFonts w:ascii="Times New Roman" w:hAnsi="Times New Roman"/>
          <w:sz w:val="24"/>
          <w:szCs w:val="24"/>
        </w:rPr>
      </w:pPr>
      <w:r>
        <w:rPr>
          <w:rFonts w:ascii="Times New Roman" w:hAnsi="Times New Roman"/>
          <w:sz w:val="24"/>
          <w:szCs w:val="24"/>
        </w:rPr>
        <w:t xml:space="preserve">Jega local government area is domiciled in Kebbi State, North-west geopolitical zone of Nigeria and has its headquarters in the town of Jega. Jega LGA. </w:t>
      </w:r>
      <w:r>
        <w:rPr>
          <w:rFonts w:ascii="Times New Roman" w:hAnsi="Times New Roman"/>
          <w:color w:val="202122"/>
          <w:sz w:val="24"/>
          <w:szCs w:val="24"/>
          <w:shd w:val="clear" w:color="auto" w:fill="FFFFFF"/>
        </w:rPr>
        <w:t>It has an area of 891 km</w:t>
      </w:r>
      <w:r>
        <w:rPr>
          <w:rFonts w:ascii="Times New Roman" w:hAnsi="Times New Roman"/>
          <w:color w:val="202122"/>
          <w:sz w:val="24"/>
          <w:szCs w:val="24"/>
          <w:shd w:val="clear" w:color="auto" w:fill="FFFFFF"/>
          <w:vertAlign w:val="superscript"/>
        </w:rPr>
        <w:t>2</w:t>
      </w:r>
      <w:r>
        <w:rPr>
          <w:rFonts w:ascii="Times New Roman" w:hAnsi="Times New Roman"/>
          <w:color w:val="202122"/>
          <w:sz w:val="24"/>
          <w:szCs w:val="24"/>
          <w:shd w:val="clear" w:color="auto" w:fill="FFFFFF"/>
        </w:rPr>
        <w:t> and a population of 193,352 at the 2006 census (Wikpedia, 2026)</w:t>
      </w:r>
      <w:r>
        <w:rPr>
          <w:rFonts w:ascii="Times New Roman" w:hAnsi="Times New Roman"/>
          <w:sz w:val="24"/>
          <w:szCs w:val="24"/>
        </w:rPr>
        <w:t>. Farming is a major occupation of the people of Jega LGA with crops such as rice and wheat grown in large quantities within the area (Manpower Nigeria, 2023).</w:t>
      </w:r>
    </w:p>
    <w:p w:rsidR="00B5307B" w:rsidRDefault="002A02F6">
      <w:pPr>
        <w:pStyle w:val="Heading1"/>
      </w:pPr>
      <w:bookmarkStart w:id="1" w:name="_Toc187234224"/>
      <w:r>
        <w:t>Collection of Samples</w:t>
      </w:r>
      <w:bookmarkEnd w:id="1"/>
    </w:p>
    <w:p w:rsidR="00B5307B" w:rsidRDefault="002A02F6">
      <w:pPr>
        <w:spacing w:before="240" w:beforeAutospacing="0" w:after="240" w:line="276" w:lineRule="auto"/>
        <w:jc w:val="both"/>
        <w:rPr>
          <w:rFonts w:ascii="Times New Roman" w:hAnsi="Times New Roman"/>
          <w:sz w:val="24"/>
          <w:szCs w:val="24"/>
        </w:rPr>
      </w:pPr>
      <w:bookmarkStart w:id="2" w:name="_Toc170379387"/>
      <w:bookmarkStart w:id="3" w:name="_Toc185509382"/>
      <w:bookmarkStart w:id="4" w:name="_Toc187234225"/>
      <w:r>
        <w:rPr>
          <w:rFonts w:ascii="Times New Roman" w:hAnsi="Times New Roman"/>
          <w:sz w:val="24"/>
          <w:szCs w:val="24"/>
        </w:rPr>
        <w:t xml:space="preserve">A total of 80 irrigation water samples, with 40 collected from each of two Local Government Areas, were obtained from eight different sites used for irrigation farming. In Aliero Local Government, samples were taken from Aleiro town, Sabiyal, Rafin Bauna, and Dan Warai, while in Jega Local Government; the sites included Gadan Omo, Yarga, Dan Gamaji, and </w:t>
      </w:r>
      <w:r>
        <w:rPr>
          <w:rFonts w:ascii="Times New Roman" w:hAnsi="Times New Roman"/>
          <w:sz w:val="24"/>
          <w:szCs w:val="24"/>
        </w:rPr>
        <w:lastRenderedPageBreak/>
        <w:t>Gadan Rowan Kanwa. The samples were collected in sterilized plastic containers and transported to the Microbiology Postgraduate Laboratory at Kebbi State University of Science and Technology, Aliero, for further analysis.</w:t>
      </w:r>
      <w:bookmarkEnd w:id="2"/>
      <w:bookmarkEnd w:id="3"/>
      <w:bookmarkEnd w:id="4"/>
    </w:p>
    <w:p w:rsidR="00B5307B" w:rsidRDefault="002A02F6">
      <w:pPr>
        <w:pStyle w:val="Heading1"/>
      </w:pPr>
      <w:r>
        <w:t>Microbiological Analysis</w:t>
      </w:r>
    </w:p>
    <w:p w:rsidR="00B5307B" w:rsidRDefault="002A02F6">
      <w:pPr>
        <w:autoSpaceDE w:val="0"/>
        <w:autoSpaceDN w:val="0"/>
        <w:adjustRightInd w:val="0"/>
        <w:spacing w:before="240" w:beforeAutospacing="0" w:after="240" w:line="276" w:lineRule="auto"/>
        <w:jc w:val="both"/>
        <w:rPr>
          <w:rFonts w:ascii="Times New Roman" w:hAnsi="Times New Roman"/>
          <w:sz w:val="24"/>
          <w:szCs w:val="24"/>
        </w:rPr>
      </w:pPr>
      <w:r>
        <w:rPr>
          <w:rFonts w:ascii="Times New Roman" w:hAnsi="Times New Roman"/>
          <w:sz w:val="24"/>
          <w:szCs w:val="24"/>
        </w:rPr>
        <w:t>The water samples were serially diluted up to 10</w:t>
      </w:r>
      <w:r>
        <w:rPr>
          <w:rFonts w:ascii="Times New Roman" w:hAnsi="Times New Roman"/>
          <w:sz w:val="24"/>
          <w:szCs w:val="24"/>
          <w:vertAlign w:val="superscript"/>
        </w:rPr>
        <w:t>-4</w:t>
      </w:r>
      <w:r>
        <w:rPr>
          <w:rFonts w:ascii="Times New Roman" w:hAnsi="Times New Roman"/>
          <w:sz w:val="24"/>
          <w:szCs w:val="24"/>
        </w:rPr>
        <w:t xml:space="preserve">dilutions and plated on mannitol salt Agar plates. Zero point one millimeter (0.1ml) of diluted sample were spread onto the surface of mannitol salt Agar medium and incubate at 37ºC for 24 hours. After incubation, the plates were observed, and colonies were counted. A colony counter was employed, ensuring each colony was counted only once (Yadav </w:t>
      </w:r>
      <w:r>
        <w:rPr>
          <w:rFonts w:ascii="Times New Roman" w:hAnsi="Times New Roman"/>
          <w:i/>
          <w:sz w:val="24"/>
          <w:szCs w:val="24"/>
        </w:rPr>
        <w:t xml:space="preserve">et al., </w:t>
      </w:r>
      <w:r>
        <w:rPr>
          <w:rFonts w:ascii="Times New Roman" w:hAnsi="Times New Roman"/>
          <w:sz w:val="24"/>
          <w:szCs w:val="24"/>
        </w:rPr>
        <w:t>2020). The original microbial count per unit volume was calculated based on the dilution factor and the number of colonies counted. Results were reported in colony-forming units per milliliter (CFU/ml).</w:t>
      </w:r>
    </w:p>
    <w:p w:rsidR="00B5307B" w:rsidRDefault="002A02F6">
      <w:pPr>
        <w:shd w:val="clear" w:color="auto" w:fill="FFFFFF"/>
        <w:spacing w:before="240" w:beforeAutospacing="0" w:after="240" w:line="276" w:lineRule="auto"/>
        <w:jc w:val="both"/>
        <w:rPr>
          <w:rFonts w:ascii="Times New Roman" w:hAnsi="Times New Roman"/>
          <w:sz w:val="24"/>
          <w:szCs w:val="24"/>
        </w:rPr>
      </w:pPr>
      <w:r>
        <w:rPr>
          <w:rFonts w:ascii="Times New Roman" w:hAnsi="Times New Roman"/>
          <w:sz w:val="24"/>
          <w:szCs w:val="24"/>
        </w:rPr>
        <w:t xml:space="preserve"> The formula can be expressed as:</w:t>
      </w:r>
    </w:p>
    <w:p w:rsidR="00B5307B" w:rsidRDefault="002A02F6">
      <w:pPr>
        <w:shd w:val="clear" w:color="auto" w:fill="FFFFFF"/>
        <w:spacing w:before="240" w:beforeAutospacing="0" w:after="240" w:line="276" w:lineRule="auto"/>
        <w:jc w:val="both"/>
        <w:rPr>
          <w:rFonts w:ascii="Times New Roman" w:hAnsi="Times New Roman"/>
          <w:sz w:val="24"/>
          <w:szCs w:val="24"/>
          <w:lang w:eastAsia="zh-CN"/>
        </w:rPr>
      </w:pPr>
      <w:r>
        <w:rPr>
          <w:rFonts w:ascii="Times New Roman" w:hAnsi="Times New Roman"/>
          <w:sz w:val="24"/>
          <w:szCs w:val="24"/>
        </w:rPr>
        <w:t>CFU/ml = (Number of coloniesdilution factor) / volume of culture plate </w:t>
      </w:r>
      <w:r>
        <w:rPr>
          <w:rFonts w:ascii="Times New Roman" w:hAnsi="Times New Roman"/>
          <w:sz w:val="24"/>
          <w:szCs w:val="24"/>
          <w:lang w:eastAsia="zh-CN"/>
        </w:rPr>
        <w:t>(</w:t>
      </w:r>
      <w:r>
        <w:rPr>
          <w:rFonts w:ascii="Times New Roman" w:hAnsi="Times New Roman"/>
          <w:sz w:val="24"/>
          <w:szCs w:val="24"/>
          <w:shd w:val="clear" w:color="auto" w:fill="FFFFFF"/>
        </w:rPr>
        <w:t>Gunasekaran, 2007</w:t>
      </w:r>
      <w:r>
        <w:rPr>
          <w:rFonts w:ascii="Times New Roman" w:hAnsi="Times New Roman"/>
          <w:sz w:val="24"/>
          <w:szCs w:val="24"/>
          <w:lang w:eastAsia="zh-CN"/>
        </w:rPr>
        <w:t>).</w:t>
      </w:r>
    </w:p>
    <w:p w:rsidR="00B5307B" w:rsidRDefault="002A02F6">
      <w:pPr>
        <w:spacing w:before="240" w:beforeAutospacing="0" w:after="240" w:line="276" w:lineRule="auto"/>
        <w:jc w:val="both"/>
        <w:rPr>
          <w:rFonts w:ascii="Times New Roman" w:hAnsi="Times New Roman"/>
          <w:sz w:val="24"/>
          <w:szCs w:val="24"/>
          <w:lang w:val="en-GB"/>
        </w:rPr>
      </w:pPr>
      <w:r>
        <w:rPr>
          <w:rFonts w:ascii="Times New Roman" w:hAnsi="Times New Roman"/>
          <w:sz w:val="24"/>
          <w:szCs w:val="24"/>
          <w:lang w:val="en-GB"/>
        </w:rPr>
        <w:t>Given that:  0.1 mL, 14 colonies and the dilution factor for tube 4 which is 10,000</w:t>
      </w:r>
    </w:p>
    <w:p w:rsidR="00B5307B" w:rsidRDefault="002A02F6">
      <w:pPr>
        <w:spacing w:before="240" w:beforeAutospacing="0" w:after="240" w:line="276" w:lineRule="auto"/>
        <w:jc w:val="both"/>
        <w:rPr>
          <w:rFonts w:ascii="Times New Roman" w:hAnsi="Times New Roman"/>
          <w:sz w:val="24"/>
          <w:szCs w:val="24"/>
          <w:lang w:val="en-GB"/>
        </w:rPr>
      </w:pPr>
      <w:r>
        <w:rPr>
          <w:rFonts w:ascii="Times New Roman" w:hAnsi="Times New Roman"/>
          <w:sz w:val="24"/>
          <w:szCs w:val="24"/>
          <w:lang w:val="en-GB"/>
        </w:rPr>
        <w:t>Using the formula:</w:t>
      </w:r>
    </w:p>
    <w:p w:rsidR="00B5307B" w:rsidRDefault="002A02F6">
      <w:pPr>
        <w:spacing w:before="240" w:beforeAutospacing="0" w:after="240" w:line="276" w:lineRule="auto"/>
        <w:ind w:left="720"/>
        <w:jc w:val="both"/>
        <w:rPr>
          <w:rFonts w:ascii="Times New Roman" w:hAnsi="Times New Roman"/>
          <w:sz w:val="24"/>
          <w:szCs w:val="24"/>
          <w:lang w:val="en-GB"/>
        </w:rPr>
      </w:pPr>
      <w:r>
        <w:rPr>
          <w:rFonts w:ascii="Times New Roman" w:hAnsi="Times New Roman"/>
          <w:sz w:val="24"/>
          <w:szCs w:val="24"/>
          <w:lang w:val="en-GB"/>
        </w:rPr>
        <w:t>CFU/mL=14colonies×10, 000 / 0.1 mL</w:t>
      </w:r>
    </w:p>
    <w:p w:rsidR="00B5307B" w:rsidRDefault="002A02F6">
      <w:pPr>
        <w:spacing w:before="240" w:beforeAutospacing="0" w:after="240" w:line="276" w:lineRule="auto"/>
        <w:ind w:left="720"/>
        <w:jc w:val="both"/>
        <w:rPr>
          <w:rFonts w:ascii="Times New Roman" w:hAnsi="Times New Roman"/>
          <w:sz w:val="24"/>
          <w:szCs w:val="24"/>
          <w:lang w:val="en-GB"/>
        </w:rPr>
      </w:pPr>
      <w:r>
        <w:rPr>
          <w:rFonts w:ascii="Times New Roman" w:hAnsi="Times New Roman"/>
          <w:sz w:val="24"/>
          <w:szCs w:val="24"/>
          <w:lang w:val="en-GB"/>
        </w:rPr>
        <w:t>CFU/mL=1, 40,000 / 0.1</w:t>
      </w:r>
    </w:p>
    <w:p w:rsidR="00B5307B" w:rsidRDefault="002A02F6">
      <w:pPr>
        <w:spacing w:before="240" w:beforeAutospacing="0" w:after="240" w:line="276" w:lineRule="auto"/>
        <w:ind w:left="720"/>
        <w:jc w:val="both"/>
        <w:rPr>
          <w:rFonts w:ascii="Times New Roman" w:hAnsi="Times New Roman"/>
          <w:sz w:val="24"/>
          <w:szCs w:val="24"/>
          <w:vertAlign w:val="superscript"/>
          <w:lang w:val="en-GB"/>
        </w:rPr>
      </w:pPr>
      <w:r>
        <w:rPr>
          <w:rFonts w:ascii="Times New Roman" w:hAnsi="Times New Roman"/>
          <w:sz w:val="24"/>
          <w:szCs w:val="24"/>
          <w:lang w:val="en-GB"/>
        </w:rPr>
        <w:t>CFU/mL=1,400,000. That is 1.4×10</w:t>
      </w:r>
      <w:r>
        <w:rPr>
          <w:rFonts w:ascii="Times New Roman" w:hAnsi="Times New Roman"/>
          <w:sz w:val="24"/>
          <w:szCs w:val="24"/>
          <w:vertAlign w:val="superscript"/>
          <w:lang w:val="en-GB"/>
        </w:rPr>
        <w:t xml:space="preserve">6 </w:t>
      </w:r>
      <w:r>
        <w:rPr>
          <w:rFonts w:ascii="Times New Roman" w:hAnsi="Times New Roman"/>
          <w:sz w:val="24"/>
          <w:szCs w:val="24"/>
          <w:lang w:val="en-GB"/>
        </w:rPr>
        <w:t>in standard form.</w:t>
      </w:r>
    </w:p>
    <w:p w:rsidR="00B5307B" w:rsidRDefault="002A02F6">
      <w:pPr>
        <w:spacing w:before="240" w:beforeAutospacing="0" w:after="240" w:line="276" w:lineRule="auto"/>
        <w:jc w:val="both"/>
        <w:rPr>
          <w:rFonts w:ascii="Times New Roman" w:hAnsi="Times New Roman"/>
          <w:sz w:val="24"/>
          <w:szCs w:val="24"/>
          <w:lang w:val="en-GB"/>
        </w:rPr>
      </w:pPr>
      <w:r>
        <w:rPr>
          <w:rFonts w:ascii="Times New Roman" w:hAnsi="Times New Roman"/>
          <w:sz w:val="24"/>
          <w:szCs w:val="24"/>
          <w:lang w:val="en-GB"/>
        </w:rPr>
        <w:t>Thus, the concentration of bacteria in the original sample, based on the colonies grown from tube 4, is 1.4×10</w:t>
      </w:r>
      <w:r>
        <w:rPr>
          <w:rFonts w:ascii="Times New Roman" w:hAnsi="Times New Roman"/>
          <w:sz w:val="24"/>
          <w:szCs w:val="24"/>
          <w:vertAlign w:val="superscript"/>
          <w:lang w:val="en-GB"/>
        </w:rPr>
        <w:t>6</w:t>
      </w:r>
      <w:r>
        <w:rPr>
          <w:rFonts w:ascii="Times New Roman" w:hAnsi="Times New Roman"/>
          <w:sz w:val="24"/>
          <w:szCs w:val="24"/>
          <w:lang w:val="en-GB"/>
        </w:rPr>
        <w:t xml:space="preserve"> CFU/mL.</w:t>
      </w:r>
    </w:p>
    <w:p w:rsidR="00B5307B" w:rsidRDefault="002A02F6">
      <w:pPr>
        <w:shd w:val="clear" w:color="auto" w:fill="FFFFFF"/>
        <w:spacing w:before="240" w:beforeAutospacing="0" w:after="240" w:line="276" w:lineRule="auto"/>
        <w:jc w:val="both"/>
        <w:rPr>
          <w:rFonts w:ascii="Times New Roman" w:hAnsi="Times New Roman"/>
          <w:sz w:val="24"/>
          <w:szCs w:val="24"/>
        </w:rPr>
      </w:pPr>
      <w:bookmarkStart w:id="5" w:name="_Toc136932251"/>
      <w:r>
        <w:rPr>
          <w:rFonts w:ascii="Times New Roman" w:hAnsi="Times New Roman"/>
          <w:sz w:val="24"/>
          <w:szCs w:val="24"/>
          <w:lang w:eastAsia="zh-CN"/>
        </w:rPr>
        <w:t>The subculture was done according to barges manual which a colony was picked from a culture plate using a sterilized wire loop, and transfer to a new prepared sterilized nutrient agar media using streak plate method (</w:t>
      </w:r>
      <w:r>
        <w:rPr>
          <w:rFonts w:ascii="Times New Roman" w:hAnsi="Times New Roman"/>
          <w:sz w:val="24"/>
          <w:szCs w:val="24"/>
          <w:shd w:val="clear" w:color="auto" w:fill="FFFFFF"/>
        </w:rPr>
        <w:t>Gunasekaran, 2007</w:t>
      </w:r>
      <w:r>
        <w:rPr>
          <w:rFonts w:ascii="Times New Roman" w:hAnsi="Times New Roman"/>
          <w:sz w:val="24"/>
          <w:szCs w:val="24"/>
          <w:lang w:eastAsia="zh-CN"/>
        </w:rPr>
        <w:t xml:space="preserve">).  </w:t>
      </w:r>
      <w:r>
        <w:rPr>
          <w:rFonts w:ascii="Times New Roman" w:hAnsi="Times New Roman"/>
          <w:sz w:val="24"/>
          <w:szCs w:val="24"/>
        </w:rPr>
        <w:t>Morphological characteristics were determined by Gram’s Staining.</w:t>
      </w:r>
    </w:p>
    <w:p w:rsidR="00B5307B" w:rsidRDefault="002A02F6">
      <w:pPr>
        <w:pStyle w:val="Heading1"/>
      </w:pPr>
      <w:bookmarkStart w:id="6" w:name="_Toc170379389"/>
      <w:bookmarkStart w:id="7" w:name="_Toc187234227"/>
      <w:r>
        <w:t>3.4.1 Gram Staining</w:t>
      </w:r>
      <w:bookmarkEnd w:id="5"/>
      <w:bookmarkEnd w:id="6"/>
      <w:bookmarkEnd w:id="7"/>
    </w:p>
    <w:p w:rsidR="00B5307B" w:rsidRDefault="002A02F6">
      <w:pPr>
        <w:spacing w:before="240" w:beforeAutospacing="0" w:after="240" w:line="276" w:lineRule="auto"/>
        <w:ind w:left="9" w:right="719"/>
        <w:jc w:val="both"/>
        <w:rPr>
          <w:rFonts w:ascii="Times New Roman" w:hAnsi="Times New Roman"/>
          <w:sz w:val="24"/>
          <w:szCs w:val="24"/>
        </w:rPr>
      </w:pPr>
      <w:r>
        <w:rPr>
          <w:rFonts w:ascii="Times New Roman" w:hAnsi="Times New Roman"/>
          <w:sz w:val="24"/>
          <w:szCs w:val="24"/>
        </w:rPr>
        <w:t xml:space="preserve">A smear was prepared from the 24-hour culture of the pure colonies, where a pinch of well separated colony was placed directly into a drop of normal saline on a clean, dried, grease free slide, and then allowed to air-dry. The smear was heat-fixed by passing the slide over a Bunsen flame for three quick successions. Crystal violet solution was then applied and allowed to stand for one minute, then washed with slow-running tap water and then lugol’s iodine solution (mordant) was applied and allowed to act for also one minute. The slide was than washed with tap water and decolorized with 95% alcohol for 30sec. The slide was rinsed with tap water and then counterstained with safranin for another 30sec. The slides was finally rinsed with slow-running tap water, allowed to </w:t>
      </w:r>
      <w:r>
        <w:rPr>
          <w:rFonts w:ascii="Times New Roman" w:hAnsi="Times New Roman"/>
          <w:sz w:val="24"/>
          <w:szCs w:val="24"/>
        </w:rPr>
        <w:lastRenderedPageBreak/>
        <w:t xml:space="preserve">air-dry and then examined microscopically under oil immersion objective len (x100). Gram positive microorganisms appeared dark purple while gram negative microorganisms appeared pink. Their morphology and arrangement were also recorded (Thairu </w:t>
      </w:r>
      <w:r>
        <w:rPr>
          <w:rFonts w:ascii="Times New Roman" w:hAnsi="Times New Roman"/>
          <w:i/>
          <w:sz w:val="24"/>
          <w:szCs w:val="24"/>
        </w:rPr>
        <w:t xml:space="preserve">et al., </w:t>
      </w:r>
      <w:r>
        <w:rPr>
          <w:rFonts w:ascii="Times New Roman" w:hAnsi="Times New Roman"/>
          <w:sz w:val="24"/>
          <w:szCs w:val="24"/>
        </w:rPr>
        <w:t>2014).</w:t>
      </w:r>
    </w:p>
    <w:p w:rsidR="00B5307B" w:rsidRDefault="002A02F6">
      <w:pPr>
        <w:spacing w:before="240" w:beforeAutospacing="0" w:after="240" w:line="276"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Result</w:t>
      </w:r>
    </w:p>
    <w:p w:rsidR="00B5307B" w:rsidRDefault="002A02F6">
      <w:pPr>
        <w:pStyle w:val="Heading1"/>
      </w:pPr>
      <w:bookmarkStart w:id="8" w:name="_Toc187234243"/>
      <w:r>
        <w:t>Isolation of Bacteria</w:t>
      </w:r>
      <w:bookmarkEnd w:id="8"/>
    </w:p>
    <w:p w:rsidR="00B5307B" w:rsidRDefault="002A02F6">
      <w:pPr>
        <w:pStyle w:val="NormalWeb"/>
        <w:spacing w:line="276" w:lineRule="auto"/>
        <w:jc w:val="both"/>
      </w:pPr>
      <w:bookmarkStart w:id="9" w:name="_Toc170379408"/>
      <w:r>
        <w:t>The study focuses on evaluating the quality of irrigation water in two local government areas, Jega and Aliero. A total of 80 water samples were analyzed, with 40 samples collected from each area. The sampling strategy ensured that the water sources commonly used for irrigation in these localities specifically, well water fed ponds and stagnant water fed ponds were included. This comprehensive approach aimed to provide a representative understanding of the water quality and the presence of microbes across both regions.</w:t>
      </w:r>
    </w:p>
    <w:p w:rsidR="00B5307B" w:rsidRDefault="002A02F6">
      <w:pPr>
        <w:pStyle w:val="NormalWeb"/>
        <w:spacing w:line="276" w:lineRule="auto"/>
        <w:jc w:val="both"/>
      </w:pPr>
      <w:r>
        <w:t>To enhance the accuracy of the findings, water samples were collected from four distinct locations within each local government area. This systematic sampling helped capture variations in environmental conditions and microbial contamination across different parts of Jega and Aliero.</w:t>
      </w:r>
    </w:p>
    <w:p w:rsidR="00B5307B" w:rsidRDefault="002A02F6">
      <w:pPr>
        <w:pStyle w:val="NormalWeb"/>
        <w:spacing w:line="276" w:lineRule="auto"/>
        <w:jc w:val="both"/>
      </w:pPr>
      <w:r>
        <w:t>The findings related to the environmental characteristics of the irrigation water sources, along with the results of microbial isolation from these samples, are presented in Tables 1 and 2. These tables summarize the types of water sources assessed, the conditions under which they were sampled, and the microbial isolates identified, offering valuable insights into the water quality and potential risks associated with microbial contamination in these irrigation systems.</w:t>
      </w:r>
    </w:p>
    <w:bookmarkEnd w:id="9"/>
    <w:p w:rsidR="00B5307B" w:rsidRDefault="002A02F6">
      <w:pPr>
        <w:pStyle w:val="NormalWeb"/>
        <w:spacing w:line="276" w:lineRule="auto"/>
        <w:jc w:val="both"/>
      </w:pPr>
      <w:r>
        <w:t>The analysis of microbial contamination in irrigation water sources revealed notable differences in microbial loads between stagnant water fed ponds and well water fed ponds in the study areas of Jega and Aliero. Using serial dilution and quantifying colony-forming units (CFUs) at a dilution factor of 10</w:t>
      </w:r>
      <w:r>
        <w:rPr>
          <w:rFonts w:ascii="Cambria Math" w:hAnsi="Cambria Math" w:cs="Cambria Math"/>
        </w:rPr>
        <w:t>⁻⁴</w:t>
      </w:r>
      <w:r>
        <w:t>, the results indicated that stagnant water fed ponds consistently harbored the highest number of microbial colonies per sample in both regions.</w:t>
      </w:r>
    </w:p>
    <w:p w:rsidR="00B5307B" w:rsidRDefault="002A02F6">
      <w:pPr>
        <w:pStyle w:val="NormalWeb"/>
        <w:spacing w:line="276" w:lineRule="auto"/>
        <w:jc w:val="both"/>
      </w:pPr>
      <w:r>
        <w:t>The findings, detailed in Tables 3 and 4, demonstrate a significant disparity in colony counts between the two types of water sources. Stagnant ponds exhibited a substantially greater microbial load than well water-fed ponds, reflecting the susceptibility of stagnant water to microbial proliferation due to its environmental conditions.</w:t>
      </w:r>
    </w:p>
    <w:p w:rsidR="00B5307B" w:rsidRDefault="002A02F6">
      <w:pPr>
        <w:pStyle w:val="NormalWeb"/>
        <w:spacing w:line="276" w:lineRule="auto"/>
        <w:jc w:val="both"/>
      </w:pPr>
      <w:r>
        <w:t>This elevated microbial contamination in stagnant water fed ponds raises concerns about potential health and agricultural risks. The use of these water sources for irrigation in Jega and Aliero could introduce pathogenic microorganisms into the food supply chain or agricultural ecosystems, emphasizing the need for targeted interventions and improved water management practices to mitigate these risks.</w:t>
      </w:r>
    </w:p>
    <w:p w:rsidR="00B5307B" w:rsidRDefault="00B5307B">
      <w:pPr>
        <w:spacing w:before="240" w:beforeAutospacing="0" w:after="240" w:line="276" w:lineRule="auto"/>
        <w:jc w:val="both"/>
        <w:rPr>
          <w:rFonts w:ascii="Times New Roman" w:hAnsi="Times New Roman"/>
          <w:b/>
          <w:sz w:val="24"/>
          <w:szCs w:val="24"/>
        </w:rPr>
      </w:pPr>
    </w:p>
    <w:p w:rsidR="00B5307B" w:rsidRDefault="00B5307B">
      <w:pPr>
        <w:spacing w:before="240" w:beforeAutospacing="0" w:after="240" w:line="276" w:lineRule="auto"/>
        <w:jc w:val="both"/>
        <w:rPr>
          <w:rFonts w:ascii="Times New Roman" w:hAnsi="Times New Roman"/>
          <w:b/>
          <w:sz w:val="24"/>
          <w:szCs w:val="24"/>
        </w:rPr>
      </w:pPr>
    </w:p>
    <w:p w:rsidR="00B5307B" w:rsidRDefault="00B5307B">
      <w:pPr>
        <w:spacing w:before="240" w:beforeAutospacing="0" w:after="240" w:line="276" w:lineRule="auto"/>
        <w:jc w:val="both"/>
        <w:rPr>
          <w:rFonts w:ascii="Times New Roman" w:hAnsi="Times New Roman"/>
          <w:b/>
          <w:sz w:val="24"/>
          <w:szCs w:val="24"/>
        </w:rPr>
      </w:pPr>
    </w:p>
    <w:p w:rsidR="00B5307B" w:rsidRDefault="002A02F6">
      <w:pPr>
        <w:spacing w:before="240" w:beforeAutospacing="0" w:after="240" w:line="276" w:lineRule="auto"/>
        <w:jc w:val="both"/>
        <w:rPr>
          <w:rFonts w:ascii="Times New Roman" w:hAnsi="Times New Roman"/>
          <w:b/>
          <w:sz w:val="24"/>
          <w:szCs w:val="24"/>
        </w:rPr>
      </w:pPr>
      <w:r>
        <w:rPr>
          <w:rFonts w:ascii="Times New Roman" w:hAnsi="Times New Roman"/>
          <w:b/>
          <w:sz w:val="24"/>
          <w:szCs w:val="24"/>
        </w:rPr>
        <w:t xml:space="preserve">Table 1: Frequency of occurrence for positive samples of </w:t>
      </w:r>
      <w:r>
        <w:rPr>
          <w:rFonts w:ascii="Times New Roman" w:hAnsi="Times New Roman"/>
          <w:b/>
          <w:i/>
          <w:sz w:val="24"/>
          <w:szCs w:val="24"/>
        </w:rPr>
        <w:t>S. aureus</w:t>
      </w:r>
      <w:r>
        <w:rPr>
          <w:rFonts w:ascii="Times New Roman" w:hAnsi="Times New Roman"/>
          <w:b/>
          <w:sz w:val="24"/>
          <w:szCs w:val="24"/>
        </w:rPr>
        <w:t xml:space="preserve"> in Jega</w:t>
      </w:r>
    </w:p>
    <w:tbl>
      <w:tblPr>
        <w:tblW w:w="978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22"/>
        <w:gridCol w:w="2355"/>
        <w:gridCol w:w="3686"/>
        <w:gridCol w:w="3118"/>
      </w:tblGrid>
      <w:tr w:rsidR="00B5307B">
        <w:trPr>
          <w:tblHeader/>
          <w:tblCellSpacing w:w="15" w:type="dxa"/>
        </w:trPr>
        <w:tc>
          <w:tcPr>
            <w:tcW w:w="0" w:type="auto"/>
            <w:vAlign w:val="center"/>
            <w:hideMark/>
          </w:tcPr>
          <w:p w:rsidR="00B5307B" w:rsidRDefault="002A02F6">
            <w:pPr>
              <w:spacing w:line="276" w:lineRule="auto"/>
              <w:rPr>
                <w:rFonts w:ascii="Times New Roman" w:hAnsi="Times New Roman"/>
                <w:b/>
                <w:bCs/>
                <w:sz w:val="24"/>
                <w:szCs w:val="24"/>
                <w:lang w:eastAsia="en-GB"/>
              </w:rPr>
            </w:pPr>
            <w:bookmarkStart w:id="10" w:name="_Toc187234244"/>
            <w:r>
              <w:rPr>
                <w:rFonts w:ascii="Times New Roman" w:hAnsi="Times New Roman"/>
                <w:b/>
                <w:bCs/>
                <w:sz w:val="24"/>
                <w:szCs w:val="24"/>
                <w:lang w:eastAsia="en-GB"/>
              </w:rPr>
              <w:t>S/N</w:t>
            </w:r>
          </w:p>
        </w:tc>
        <w:tc>
          <w:tcPr>
            <w:tcW w:w="2325" w:type="dxa"/>
            <w:vAlign w:val="center"/>
            <w:hideMark/>
          </w:tcPr>
          <w:p w:rsidR="00B5307B" w:rsidRDefault="002A02F6">
            <w:pPr>
              <w:spacing w:line="276" w:lineRule="auto"/>
              <w:rPr>
                <w:rFonts w:ascii="Times New Roman" w:hAnsi="Times New Roman"/>
                <w:b/>
                <w:bCs/>
                <w:sz w:val="24"/>
                <w:szCs w:val="24"/>
                <w:lang w:eastAsia="en-GB"/>
              </w:rPr>
            </w:pPr>
            <w:r>
              <w:rPr>
                <w:rFonts w:ascii="Times New Roman" w:hAnsi="Times New Roman"/>
                <w:b/>
                <w:bCs/>
                <w:sz w:val="24"/>
                <w:szCs w:val="24"/>
                <w:lang w:eastAsia="en-GB"/>
              </w:rPr>
              <w:t>Sample Sites</w:t>
            </w:r>
          </w:p>
        </w:tc>
        <w:tc>
          <w:tcPr>
            <w:tcW w:w="3656" w:type="dxa"/>
            <w:vAlign w:val="center"/>
            <w:hideMark/>
          </w:tcPr>
          <w:p w:rsidR="00B5307B" w:rsidRDefault="002A02F6">
            <w:pPr>
              <w:spacing w:line="276" w:lineRule="auto"/>
              <w:rPr>
                <w:rFonts w:ascii="Times New Roman" w:hAnsi="Times New Roman"/>
                <w:b/>
                <w:bCs/>
                <w:sz w:val="24"/>
                <w:szCs w:val="24"/>
                <w:lang w:eastAsia="en-GB"/>
              </w:rPr>
            </w:pPr>
            <w:r>
              <w:rPr>
                <w:rFonts w:ascii="Times New Roman" w:hAnsi="Times New Roman"/>
                <w:b/>
                <w:bCs/>
                <w:sz w:val="24"/>
                <w:szCs w:val="24"/>
                <w:lang w:eastAsia="en-GB"/>
              </w:rPr>
              <w:t>No. of Samples Examined n (%)</w:t>
            </w:r>
          </w:p>
        </w:tc>
        <w:tc>
          <w:tcPr>
            <w:tcW w:w="3073" w:type="dxa"/>
            <w:vAlign w:val="center"/>
            <w:hideMark/>
          </w:tcPr>
          <w:p w:rsidR="00B5307B" w:rsidRDefault="002A02F6">
            <w:pPr>
              <w:spacing w:line="276" w:lineRule="auto"/>
              <w:rPr>
                <w:rFonts w:ascii="Times New Roman" w:hAnsi="Times New Roman"/>
                <w:b/>
                <w:bCs/>
                <w:sz w:val="24"/>
                <w:szCs w:val="24"/>
                <w:lang w:eastAsia="en-GB"/>
              </w:rPr>
            </w:pPr>
            <w:r>
              <w:rPr>
                <w:rFonts w:ascii="Times New Roman" w:hAnsi="Times New Roman"/>
                <w:b/>
                <w:bCs/>
                <w:sz w:val="24"/>
                <w:szCs w:val="24"/>
                <w:lang w:eastAsia="en-GB"/>
              </w:rPr>
              <w:t>No. of Positive Samples n (%)</w:t>
            </w:r>
          </w:p>
        </w:tc>
      </w:tr>
      <w:tr w:rsidR="00B5307B">
        <w:trPr>
          <w:tblCellSpacing w:w="15" w:type="dxa"/>
        </w:trPr>
        <w:tc>
          <w:tcPr>
            <w:tcW w:w="0" w:type="auto"/>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1</w:t>
            </w:r>
          </w:p>
        </w:tc>
        <w:tc>
          <w:tcPr>
            <w:tcW w:w="232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Gadan Omo</w:t>
            </w:r>
          </w:p>
        </w:tc>
        <w:tc>
          <w:tcPr>
            <w:tcW w:w="3656"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water fed pond: 5 (12.5%)</w:t>
            </w:r>
            <w:r>
              <w:rPr>
                <w:rFonts w:ascii="Times New Roman" w:hAnsi="Times New Roman"/>
                <w:sz w:val="24"/>
                <w:szCs w:val="24"/>
                <w:lang w:eastAsia="en-GB"/>
              </w:rPr>
              <w:br/>
              <w:t>Stagnant water fed pond: 5 (12.5%)</w:t>
            </w:r>
          </w:p>
        </w:tc>
        <w:tc>
          <w:tcPr>
            <w:tcW w:w="3073"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1 (20.0%)</w:t>
            </w:r>
            <w:r>
              <w:rPr>
                <w:rFonts w:ascii="Times New Roman" w:hAnsi="Times New Roman"/>
                <w:sz w:val="24"/>
                <w:szCs w:val="24"/>
                <w:lang w:eastAsia="en-GB"/>
              </w:rPr>
              <w:br/>
              <w:t>Stagnant: 2 (40.0%)</w:t>
            </w:r>
          </w:p>
        </w:tc>
      </w:tr>
      <w:tr w:rsidR="00B5307B">
        <w:trPr>
          <w:tblCellSpacing w:w="15" w:type="dxa"/>
        </w:trPr>
        <w:tc>
          <w:tcPr>
            <w:tcW w:w="0" w:type="auto"/>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2</w:t>
            </w:r>
          </w:p>
        </w:tc>
        <w:tc>
          <w:tcPr>
            <w:tcW w:w="232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Yarga</w:t>
            </w:r>
          </w:p>
        </w:tc>
        <w:tc>
          <w:tcPr>
            <w:tcW w:w="3656"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water fed pond: 5 (12.5%)</w:t>
            </w:r>
            <w:r>
              <w:rPr>
                <w:rFonts w:ascii="Times New Roman" w:hAnsi="Times New Roman"/>
                <w:sz w:val="24"/>
                <w:szCs w:val="24"/>
                <w:lang w:eastAsia="en-GB"/>
              </w:rPr>
              <w:br/>
              <w:t>Stagnant water fed pond: 5 (12.5%)</w:t>
            </w:r>
          </w:p>
        </w:tc>
        <w:tc>
          <w:tcPr>
            <w:tcW w:w="3073"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2 (40.0%)</w:t>
            </w:r>
            <w:r>
              <w:rPr>
                <w:rFonts w:ascii="Times New Roman" w:hAnsi="Times New Roman"/>
                <w:sz w:val="24"/>
                <w:szCs w:val="24"/>
                <w:lang w:eastAsia="en-GB"/>
              </w:rPr>
              <w:br/>
              <w:t>Stagnant: 3 (60.0%)</w:t>
            </w:r>
          </w:p>
        </w:tc>
      </w:tr>
      <w:tr w:rsidR="00B5307B">
        <w:trPr>
          <w:tblCellSpacing w:w="15" w:type="dxa"/>
        </w:trPr>
        <w:tc>
          <w:tcPr>
            <w:tcW w:w="0" w:type="auto"/>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3</w:t>
            </w:r>
          </w:p>
        </w:tc>
        <w:tc>
          <w:tcPr>
            <w:tcW w:w="232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Dan Gamaji</w:t>
            </w:r>
          </w:p>
        </w:tc>
        <w:tc>
          <w:tcPr>
            <w:tcW w:w="3656"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water fed pond: 10 (25.0%)</w:t>
            </w:r>
          </w:p>
        </w:tc>
        <w:tc>
          <w:tcPr>
            <w:tcW w:w="3073"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6 (60.0%)</w:t>
            </w:r>
          </w:p>
        </w:tc>
      </w:tr>
      <w:tr w:rsidR="00B5307B">
        <w:trPr>
          <w:tblCellSpacing w:w="15" w:type="dxa"/>
        </w:trPr>
        <w:tc>
          <w:tcPr>
            <w:tcW w:w="0" w:type="auto"/>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4</w:t>
            </w:r>
          </w:p>
        </w:tc>
        <w:tc>
          <w:tcPr>
            <w:tcW w:w="232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Gadan Ruwan Kanwa</w:t>
            </w:r>
          </w:p>
        </w:tc>
        <w:tc>
          <w:tcPr>
            <w:tcW w:w="3656"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water fed pond: 5 (12.5%)</w:t>
            </w:r>
            <w:r>
              <w:rPr>
                <w:rFonts w:ascii="Times New Roman" w:hAnsi="Times New Roman"/>
                <w:sz w:val="24"/>
                <w:szCs w:val="24"/>
                <w:lang w:eastAsia="en-GB"/>
              </w:rPr>
              <w:br/>
              <w:t>Stagnant water fed pond: 5 (12.5%)</w:t>
            </w:r>
          </w:p>
        </w:tc>
        <w:tc>
          <w:tcPr>
            <w:tcW w:w="3073"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3 (60.0%)</w:t>
            </w:r>
            <w:r>
              <w:rPr>
                <w:rFonts w:ascii="Times New Roman" w:hAnsi="Times New Roman"/>
                <w:sz w:val="24"/>
                <w:szCs w:val="24"/>
                <w:lang w:eastAsia="en-GB"/>
              </w:rPr>
              <w:br/>
              <w:t>Stagnant: 4 (80.0%)</w:t>
            </w:r>
          </w:p>
        </w:tc>
      </w:tr>
      <w:tr w:rsidR="00B5307B">
        <w:trPr>
          <w:tblCellSpacing w:w="15" w:type="dxa"/>
        </w:trPr>
        <w:tc>
          <w:tcPr>
            <w:tcW w:w="0" w:type="auto"/>
            <w:vAlign w:val="center"/>
            <w:hideMark/>
          </w:tcPr>
          <w:p w:rsidR="00B5307B" w:rsidRDefault="002A02F6">
            <w:pPr>
              <w:spacing w:line="276" w:lineRule="auto"/>
              <w:jc w:val="both"/>
              <w:rPr>
                <w:rFonts w:ascii="Times New Roman" w:hAnsi="Times New Roman"/>
                <w:sz w:val="24"/>
                <w:szCs w:val="24"/>
                <w:lang w:eastAsia="en-GB"/>
              </w:rPr>
            </w:pPr>
            <w:r>
              <w:rPr>
                <w:rFonts w:ascii="Times New Roman" w:hAnsi="Times New Roman"/>
                <w:b/>
                <w:bCs/>
                <w:sz w:val="24"/>
                <w:szCs w:val="24"/>
                <w:lang w:eastAsia="en-GB"/>
              </w:rPr>
              <w:t>Total</w:t>
            </w:r>
          </w:p>
        </w:tc>
        <w:tc>
          <w:tcPr>
            <w:tcW w:w="2325" w:type="dxa"/>
            <w:vAlign w:val="center"/>
            <w:hideMark/>
          </w:tcPr>
          <w:p w:rsidR="00B5307B" w:rsidRDefault="00B5307B">
            <w:pPr>
              <w:spacing w:line="276" w:lineRule="auto"/>
              <w:jc w:val="both"/>
              <w:rPr>
                <w:rFonts w:ascii="Times New Roman" w:hAnsi="Times New Roman"/>
                <w:sz w:val="24"/>
                <w:szCs w:val="24"/>
                <w:lang w:eastAsia="en-GB"/>
              </w:rPr>
            </w:pPr>
          </w:p>
        </w:tc>
        <w:tc>
          <w:tcPr>
            <w:tcW w:w="3656" w:type="dxa"/>
            <w:vAlign w:val="center"/>
            <w:hideMark/>
          </w:tcPr>
          <w:p w:rsidR="00B5307B" w:rsidRDefault="002A02F6">
            <w:pPr>
              <w:spacing w:line="276" w:lineRule="auto"/>
              <w:jc w:val="both"/>
              <w:rPr>
                <w:rFonts w:ascii="Times New Roman" w:hAnsi="Times New Roman"/>
                <w:sz w:val="24"/>
                <w:szCs w:val="24"/>
                <w:lang w:eastAsia="en-GB"/>
              </w:rPr>
            </w:pPr>
            <w:r>
              <w:rPr>
                <w:rFonts w:ascii="Times New Roman" w:hAnsi="Times New Roman"/>
                <w:sz w:val="24"/>
                <w:szCs w:val="24"/>
                <w:lang w:eastAsia="en-GB"/>
              </w:rPr>
              <w:t>40 (100%)</w:t>
            </w:r>
          </w:p>
        </w:tc>
        <w:tc>
          <w:tcPr>
            <w:tcW w:w="3073" w:type="dxa"/>
            <w:vAlign w:val="center"/>
            <w:hideMark/>
          </w:tcPr>
          <w:p w:rsidR="00B5307B" w:rsidRDefault="002A02F6">
            <w:pPr>
              <w:spacing w:line="276" w:lineRule="auto"/>
              <w:jc w:val="both"/>
              <w:rPr>
                <w:rFonts w:ascii="Times New Roman" w:hAnsi="Times New Roman"/>
                <w:sz w:val="24"/>
                <w:szCs w:val="24"/>
                <w:lang w:eastAsia="en-GB"/>
              </w:rPr>
            </w:pPr>
            <w:r>
              <w:rPr>
                <w:rFonts w:ascii="Times New Roman" w:hAnsi="Times New Roman"/>
                <w:sz w:val="24"/>
                <w:szCs w:val="24"/>
                <w:lang w:eastAsia="en-GB"/>
              </w:rPr>
              <w:t>18 (43.9%)</w:t>
            </w:r>
          </w:p>
        </w:tc>
      </w:tr>
    </w:tbl>
    <w:p w:rsidR="00B5307B" w:rsidRDefault="002A02F6">
      <w:pPr>
        <w:spacing w:before="240" w:beforeAutospacing="0" w:after="240" w:line="276" w:lineRule="auto"/>
        <w:jc w:val="both"/>
        <w:rPr>
          <w:rFonts w:ascii="Times New Roman" w:hAnsi="Times New Roman"/>
          <w:b/>
          <w:sz w:val="24"/>
          <w:szCs w:val="24"/>
        </w:rPr>
      </w:pPr>
      <w:r>
        <w:rPr>
          <w:rFonts w:ascii="Times New Roman" w:hAnsi="Times New Roman"/>
          <w:b/>
          <w:sz w:val="24"/>
          <w:szCs w:val="24"/>
        </w:rPr>
        <w:t xml:space="preserve">Table 2: Frequency of occurrence for positive samples of </w:t>
      </w:r>
      <w:r>
        <w:rPr>
          <w:rFonts w:ascii="Times New Roman" w:hAnsi="Times New Roman"/>
          <w:b/>
          <w:i/>
          <w:sz w:val="24"/>
          <w:szCs w:val="24"/>
        </w:rPr>
        <w:t>S. aureus</w:t>
      </w:r>
      <w:r>
        <w:rPr>
          <w:rFonts w:ascii="Times New Roman" w:hAnsi="Times New Roman"/>
          <w:b/>
          <w:sz w:val="24"/>
          <w:szCs w:val="24"/>
        </w:rPr>
        <w:t xml:space="preserve"> in Aliero</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22"/>
        <w:gridCol w:w="1505"/>
        <w:gridCol w:w="3685"/>
        <w:gridCol w:w="3214"/>
      </w:tblGrid>
      <w:tr w:rsidR="00B5307B">
        <w:trPr>
          <w:tblHeader/>
          <w:tblCellSpacing w:w="15" w:type="dxa"/>
        </w:trPr>
        <w:tc>
          <w:tcPr>
            <w:tcW w:w="0" w:type="auto"/>
            <w:vAlign w:val="center"/>
            <w:hideMark/>
          </w:tcPr>
          <w:bookmarkEnd w:id="10"/>
          <w:p w:rsidR="00B5307B" w:rsidRDefault="002A02F6">
            <w:pPr>
              <w:spacing w:line="276" w:lineRule="auto"/>
              <w:rPr>
                <w:rFonts w:ascii="Times New Roman" w:hAnsi="Times New Roman"/>
                <w:b/>
                <w:bCs/>
                <w:sz w:val="24"/>
                <w:szCs w:val="24"/>
                <w:lang w:eastAsia="en-GB"/>
              </w:rPr>
            </w:pPr>
            <w:r>
              <w:rPr>
                <w:rFonts w:ascii="Times New Roman" w:hAnsi="Times New Roman"/>
                <w:b/>
                <w:bCs/>
                <w:sz w:val="24"/>
                <w:szCs w:val="24"/>
                <w:lang w:eastAsia="en-GB"/>
              </w:rPr>
              <w:t>S/N</w:t>
            </w:r>
          </w:p>
        </w:tc>
        <w:tc>
          <w:tcPr>
            <w:tcW w:w="1475" w:type="dxa"/>
            <w:vAlign w:val="center"/>
            <w:hideMark/>
          </w:tcPr>
          <w:p w:rsidR="00B5307B" w:rsidRDefault="002A02F6">
            <w:pPr>
              <w:spacing w:line="276" w:lineRule="auto"/>
              <w:rPr>
                <w:rFonts w:ascii="Times New Roman" w:hAnsi="Times New Roman"/>
                <w:b/>
                <w:bCs/>
                <w:sz w:val="24"/>
                <w:szCs w:val="24"/>
                <w:lang w:eastAsia="en-GB"/>
              </w:rPr>
            </w:pPr>
            <w:r>
              <w:rPr>
                <w:rFonts w:ascii="Times New Roman" w:hAnsi="Times New Roman"/>
                <w:b/>
                <w:bCs/>
                <w:sz w:val="24"/>
                <w:szCs w:val="24"/>
                <w:lang w:eastAsia="en-GB"/>
              </w:rPr>
              <w:t>Sample Sites</w:t>
            </w:r>
          </w:p>
        </w:tc>
        <w:tc>
          <w:tcPr>
            <w:tcW w:w="3655" w:type="dxa"/>
            <w:vAlign w:val="center"/>
            <w:hideMark/>
          </w:tcPr>
          <w:p w:rsidR="00B5307B" w:rsidRDefault="002A02F6">
            <w:pPr>
              <w:spacing w:line="276" w:lineRule="auto"/>
              <w:rPr>
                <w:rFonts w:ascii="Times New Roman" w:hAnsi="Times New Roman"/>
                <w:b/>
                <w:bCs/>
                <w:sz w:val="24"/>
                <w:szCs w:val="24"/>
                <w:lang w:eastAsia="en-GB"/>
              </w:rPr>
            </w:pPr>
            <w:r>
              <w:rPr>
                <w:rFonts w:ascii="Times New Roman" w:hAnsi="Times New Roman"/>
                <w:b/>
                <w:bCs/>
                <w:sz w:val="24"/>
                <w:szCs w:val="24"/>
                <w:lang w:eastAsia="en-GB"/>
              </w:rPr>
              <w:t>No. of Samples Examined n (%)</w:t>
            </w:r>
          </w:p>
        </w:tc>
        <w:tc>
          <w:tcPr>
            <w:tcW w:w="3169" w:type="dxa"/>
            <w:vAlign w:val="center"/>
            <w:hideMark/>
          </w:tcPr>
          <w:p w:rsidR="00B5307B" w:rsidRDefault="002A02F6">
            <w:pPr>
              <w:spacing w:line="276" w:lineRule="auto"/>
              <w:rPr>
                <w:rFonts w:ascii="Times New Roman" w:hAnsi="Times New Roman"/>
                <w:b/>
                <w:bCs/>
                <w:sz w:val="24"/>
                <w:szCs w:val="24"/>
                <w:lang w:eastAsia="en-GB"/>
              </w:rPr>
            </w:pPr>
            <w:r>
              <w:rPr>
                <w:rFonts w:ascii="Times New Roman" w:hAnsi="Times New Roman"/>
                <w:b/>
                <w:bCs/>
                <w:sz w:val="24"/>
                <w:szCs w:val="24"/>
                <w:lang w:eastAsia="en-GB"/>
              </w:rPr>
              <w:t>No. of Positive Samples n (%)</w:t>
            </w:r>
          </w:p>
        </w:tc>
      </w:tr>
      <w:tr w:rsidR="00B5307B">
        <w:trPr>
          <w:tblCellSpacing w:w="15" w:type="dxa"/>
        </w:trPr>
        <w:tc>
          <w:tcPr>
            <w:tcW w:w="0" w:type="auto"/>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1</w:t>
            </w:r>
          </w:p>
        </w:tc>
        <w:tc>
          <w:tcPr>
            <w:tcW w:w="147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Aliero</w:t>
            </w:r>
          </w:p>
        </w:tc>
        <w:tc>
          <w:tcPr>
            <w:tcW w:w="365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water fed pond: 5 (12.5%)</w:t>
            </w:r>
            <w:r>
              <w:rPr>
                <w:rFonts w:ascii="Times New Roman" w:hAnsi="Times New Roman"/>
                <w:sz w:val="24"/>
                <w:szCs w:val="24"/>
                <w:lang w:eastAsia="en-GB"/>
              </w:rPr>
              <w:br/>
              <w:t>Stagnant water fed pond: 5 (12.5%)</w:t>
            </w:r>
          </w:p>
        </w:tc>
        <w:tc>
          <w:tcPr>
            <w:tcW w:w="3169"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3 (60.0%)</w:t>
            </w:r>
            <w:r>
              <w:rPr>
                <w:rFonts w:ascii="Times New Roman" w:hAnsi="Times New Roman"/>
                <w:sz w:val="24"/>
                <w:szCs w:val="24"/>
                <w:lang w:eastAsia="en-GB"/>
              </w:rPr>
              <w:br/>
              <w:t>Stagnant: 5 (100%)</w:t>
            </w:r>
          </w:p>
        </w:tc>
      </w:tr>
      <w:tr w:rsidR="00B5307B">
        <w:trPr>
          <w:tblCellSpacing w:w="15" w:type="dxa"/>
        </w:trPr>
        <w:tc>
          <w:tcPr>
            <w:tcW w:w="0" w:type="auto"/>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2</w:t>
            </w:r>
          </w:p>
        </w:tc>
        <w:tc>
          <w:tcPr>
            <w:tcW w:w="147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Sabiyal</w:t>
            </w:r>
          </w:p>
        </w:tc>
        <w:tc>
          <w:tcPr>
            <w:tcW w:w="365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water fed pond: 5 (12.5%)</w:t>
            </w:r>
            <w:r>
              <w:rPr>
                <w:rFonts w:ascii="Times New Roman" w:hAnsi="Times New Roman"/>
                <w:sz w:val="24"/>
                <w:szCs w:val="24"/>
                <w:lang w:eastAsia="en-GB"/>
              </w:rPr>
              <w:br/>
              <w:t>Stagnant water fed pond: 5 (12.5%)</w:t>
            </w:r>
          </w:p>
        </w:tc>
        <w:tc>
          <w:tcPr>
            <w:tcW w:w="3169"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1 (20.0%)</w:t>
            </w:r>
            <w:r>
              <w:rPr>
                <w:rFonts w:ascii="Times New Roman" w:hAnsi="Times New Roman"/>
                <w:sz w:val="24"/>
                <w:szCs w:val="24"/>
                <w:lang w:eastAsia="en-GB"/>
              </w:rPr>
              <w:br/>
              <w:t>Stagnant: 4 (80.0%)</w:t>
            </w:r>
          </w:p>
        </w:tc>
      </w:tr>
      <w:tr w:rsidR="00B5307B">
        <w:trPr>
          <w:tblCellSpacing w:w="15" w:type="dxa"/>
        </w:trPr>
        <w:tc>
          <w:tcPr>
            <w:tcW w:w="0" w:type="auto"/>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3</w:t>
            </w:r>
          </w:p>
        </w:tc>
        <w:tc>
          <w:tcPr>
            <w:tcW w:w="147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Rafin Bauna</w:t>
            </w:r>
          </w:p>
        </w:tc>
        <w:tc>
          <w:tcPr>
            <w:tcW w:w="365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water fed pond: 5 (12.5%)</w:t>
            </w:r>
            <w:r>
              <w:rPr>
                <w:rFonts w:ascii="Times New Roman" w:hAnsi="Times New Roman"/>
                <w:sz w:val="24"/>
                <w:szCs w:val="24"/>
                <w:lang w:eastAsia="en-GB"/>
              </w:rPr>
              <w:br/>
              <w:t>Stagnant water fed pond: 5 (12.5%)</w:t>
            </w:r>
          </w:p>
        </w:tc>
        <w:tc>
          <w:tcPr>
            <w:tcW w:w="3169"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2 (40.0%)</w:t>
            </w:r>
            <w:r>
              <w:rPr>
                <w:rFonts w:ascii="Times New Roman" w:hAnsi="Times New Roman"/>
                <w:sz w:val="24"/>
                <w:szCs w:val="24"/>
                <w:lang w:eastAsia="en-GB"/>
              </w:rPr>
              <w:br/>
              <w:t>Stagnant: 5 (100%)</w:t>
            </w:r>
          </w:p>
        </w:tc>
      </w:tr>
      <w:tr w:rsidR="00B5307B">
        <w:trPr>
          <w:tblCellSpacing w:w="15" w:type="dxa"/>
        </w:trPr>
        <w:tc>
          <w:tcPr>
            <w:tcW w:w="0" w:type="auto"/>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4</w:t>
            </w:r>
          </w:p>
        </w:tc>
        <w:tc>
          <w:tcPr>
            <w:tcW w:w="147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Dan Warai</w:t>
            </w:r>
          </w:p>
        </w:tc>
        <w:tc>
          <w:tcPr>
            <w:tcW w:w="365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water fed pond: 10 (25.0%)</w:t>
            </w:r>
          </w:p>
        </w:tc>
        <w:tc>
          <w:tcPr>
            <w:tcW w:w="3169"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Well: 6 (60.0%)</w:t>
            </w:r>
          </w:p>
        </w:tc>
      </w:tr>
      <w:tr w:rsidR="00B5307B">
        <w:trPr>
          <w:tblCellSpacing w:w="15" w:type="dxa"/>
        </w:trPr>
        <w:tc>
          <w:tcPr>
            <w:tcW w:w="0" w:type="auto"/>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b/>
                <w:bCs/>
                <w:sz w:val="24"/>
                <w:szCs w:val="24"/>
                <w:lang w:eastAsia="en-GB"/>
              </w:rPr>
              <w:t>Total</w:t>
            </w:r>
          </w:p>
        </w:tc>
        <w:tc>
          <w:tcPr>
            <w:tcW w:w="1475" w:type="dxa"/>
            <w:vAlign w:val="center"/>
            <w:hideMark/>
          </w:tcPr>
          <w:p w:rsidR="00B5307B" w:rsidRDefault="00B5307B">
            <w:pPr>
              <w:spacing w:line="276" w:lineRule="auto"/>
              <w:rPr>
                <w:rFonts w:ascii="Times New Roman" w:hAnsi="Times New Roman"/>
                <w:sz w:val="24"/>
                <w:szCs w:val="24"/>
                <w:lang w:eastAsia="en-GB"/>
              </w:rPr>
            </w:pPr>
          </w:p>
        </w:tc>
        <w:tc>
          <w:tcPr>
            <w:tcW w:w="3655"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40 (100%)</w:t>
            </w:r>
          </w:p>
        </w:tc>
        <w:tc>
          <w:tcPr>
            <w:tcW w:w="3169" w:type="dxa"/>
            <w:vAlign w:val="center"/>
            <w:hideMark/>
          </w:tcPr>
          <w:p w:rsidR="00B5307B" w:rsidRDefault="002A02F6">
            <w:pPr>
              <w:spacing w:line="276" w:lineRule="auto"/>
              <w:rPr>
                <w:rFonts w:ascii="Times New Roman" w:hAnsi="Times New Roman"/>
                <w:sz w:val="24"/>
                <w:szCs w:val="24"/>
                <w:lang w:eastAsia="en-GB"/>
              </w:rPr>
            </w:pPr>
            <w:r>
              <w:rPr>
                <w:rFonts w:ascii="Times New Roman" w:hAnsi="Times New Roman"/>
                <w:sz w:val="24"/>
                <w:szCs w:val="24"/>
                <w:lang w:eastAsia="en-GB"/>
              </w:rPr>
              <w:t>23 (56.1%)</w:t>
            </w:r>
          </w:p>
        </w:tc>
      </w:tr>
    </w:tbl>
    <w:p w:rsidR="00B5307B" w:rsidRDefault="00B5307B">
      <w:pPr>
        <w:spacing w:before="0" w:beforeAutospacing="0" w:after="240" w:line="276" w:lineRule="auto"/>
        <w:jc w:val="both"/>
        <w:rPr>
          <w:rFonts w:ascii="Times New Roman" w:hAnsi="Times New Roman"/>
          <w:b/>
          <w:sz w:val="24"/>
          <w:szCs w:val="24"/>
        </w:rPr>
      </w:pPr>
    </w:p>
    <w:p w:rsidR="00B5307B" w:rsidRDefault="00B5307B">
      <w:pPr>
        <w:spacing w:before="0" w:beforeAutospacing="0" w:after="240" w:line="276" w:lineRule="auto"/>
        <w:jc w:val="both"/>
        <w:rPr>
          <w:rFonts w:ascii="Times New Roman" w:hAnsi="Times New Roman"/>
          <w:b/>
          <w:sz w:val="24"/>
          <w:szCs w:val="24"/>
        </w:rPr>
      </w:pPr>
    </w:p>
    <w:p w:rsidR="00B5307B" w:rsidRDefault="00B5307B">
      <w:pPr>
        <w:spacing w:before="0" w:beforeAutospacing="0" w:after="240" w:line="276" w:lineRule="auto"/>
        <w:jc w:val="both"/>
        <w:rPr>
          <w:rFonts w:ascii="Times New Roman" w:hAnsi="Times New Roman"/>
          <w:b/>
          <w:sz w:val="24"/>
          <w:szCs w:val="24"/>
        </w:rPr>
      </w:pPr>
    </w:p>
    <w:p w:rsidR="00B5307B" w:rsidRDefault="00B5307B">
      <w:pPr>
        <w:spacing w:before="0" w:beforeAutospacing="0" w:after="240" w:line="276" w:lineRule="auto"/>
        <w:jc w:val="both"/>
        <w:rPr>
          <w:rFonts w:ascii="Times New Roman" w:hAnsi="Times New Roman"/>
          <w:b/>
          <w:sz w:val="24"/>
          <w:szCs w:val="24"/>
        </w:rPr>
      </w:pPr>
    </w:p>
    <w:p w:rsidR="00B5307B" w:rsidRDefault="00B5307B">
      <w:pPr>
        <w:spacing w:before="0" w:beforeAutospacing="0" w:after="240" w:line="276" w:lineRule="auto"/>
        <w:jc w:val="both"/>
        <w:rPr>
          <w:rFonts w:ascii="Times New Roman" w:hAnsi="Times New Roman"/>
          <w:b/>
          <w:sz w:val="24"/>
          <w:szCs w:val="24"/>
        </w:rPr>
      </w:pPr>
    </w:p>
    <w:p w:rsidR="00B5307B" w:rsidRDefault="00B5307B">
      <w:pPr>
        <w:spacing w:before="0" w:beforeAutospacing="0" w:after="240" w:line="276" w:lineRule="auto"/>
        <w:jc w:val="both"/>
        <w:rPr>
          <w:rFonts w:ascii="Times New Roman" w:hAnsi="Times New Roman"/>
          <w:b/>
          <w:sz w:val="24"/>
          <w:szCs w:val="24"/>
        </w:rPr>
      </w:pPr>
    </w:p>
    <w:p w:rsidR="00B5307B" w:rsidRDefault="00B5307B">
      <w:pPr>
        <w:spacing w:before="0" w:beforeAutospacing="0" w:after="240" w:line="276" w:lineRule="auto"/>
        <w:jc w:val="both"/>
        <w:rPr>
          <w:rFonts w:ascii="Times New Roman" w:hAnsi="Times New Roman"/>
          <w:b/>
          <w:sz w:val="24"/>
          <w:szCs w:val="24"/>
        </w:rPr>
      </w:pPr>
    </w:p>
    <w:p w:rsidR="00B5307B" w:rsidRDefault="002A02F6">
      <w:pPr>
        <w:spacing w:before="0" w:beforeAutospacing="0" w:after="240" w:line="276" w:lineRule="auto"/>
        <w:jc w:val="both"/>
        <w:rPr>
          <w:rFonts w:ascii="Times New Roman" w:hAnsi="Times New Roman"/>
          <w:b/>
          <w:sz w:val="24"/>
          <w:szCs w:val="24"/>
        </w:rPr>
      </w:pPr>
      <w:r>
        <w:rPr>
          <w:rFonts w:ascii="Times New Roman" w:hAnsi="Times New Roman"/>
          <w:b/>
          <w:sz w:val="24"/>
          <w:szCs w:val="24"/>
        </w:rPr>
        <w:t xml:space="preserve">Table 3: Colony Forming Units </w:t>
      </w:r>
      <w:r>
        <w:rPr>
          <w:rStyle w:val="Strong"/>
          <w:rFonts w:ascii="Times New Roman" w:hAnsi="Times New Roman"/>
          <w:bCs w:val="0"/>
          <w:sz w:val="24"/>
          <w:szCs w:val="24"/>
        </w:rPr>
        <w:t>(CFU/mL)</w:t>
      </w:r>
      <w:r>
        <w:rPr>
          <w:rFonts w:ascii="Times New Roman" w:hAnsi="Times New Roman"/>
          <w:b/>
          <w:sz w:val="24"/>
          <w:szCs w:val="24"/>
        </w:rPr>
        <w:t xml:space="preserve"> of </w:t>
      </w:r>
      <w:r>
        <w:rPr>
          <w:rFonts w:ascii="Times New Roman" w:hAnsi="Times New Roman"/>
          <w:b/>
          <w:i/>
          <w:sz w:val="24"/>
          <w:szCs w:val="24"/>
        </w:rPr>
        <w:t xml:space="preserve">S. aureus </w:t>
      </w:r>
      <w:r>
        <w:rPr>
          <w:rFonts w:ascii="Times New Roman" w:hAnsi="Times New Roman"/>
          <w:b/>
          <w:sz w:val="24"/>
          <w:szCs w:val="24"/>
        </w:rPr>
        <w:t>Isolates of Jega and Aliero L.G.A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3260"/>
        <w:gridCol w:w="2126"/>
      </w:tblGrid>
      <w:tr w:rsidR="00B5307B">
        <w:trPr>
          <w:tblHeader/>
          <w:tblCellSpacing w:w="15" w:type="dxa"/>
        </w:trPr>
        <w:tc>
          <w:tcPr>
            <w:tcW w:w="2649" w:type="dxa"/>
            <w:vAlign w:val="center"/>
            <w:hideMark/>
          </w:tcPr>
          <w:p w:rsidR="00B5307B" w:rsidRDefault="002A02F6">
            <w:pPr>
              <w:spacing w:after="0" w:line="276" w:lineRule="auto"/>
              <w:jc w:val="both"/>
              <w:rPr>
                <w:rFonts w:ascii="Times New Roman" w:hAnsi="Times New Roman"/>
                <w:b/>
                <w:bCs/>
                <w:sz w:val="24"/>
                <w:szCs w:val="24"/>
                <w:lang w:eastAsia="en-GB"/>
              </w:rPr>
            </w:pPr>
            <w:r>
              <w:rPr>
                <w:rFonts w:ascii="Times New Roman" w:hAnsi="Times New Roman"/>
                <w:b/>
                <w:bCs/>
                <w:sz w:val="24"/>
                <w:szCs w:val="24"/>
                <w:lang w:eastAsia="en-GB"/>
              </w:rPr>
              <w:t>Sample ID</w:t>
            </w:r>
          </w:p>
        </w:tc>
        <w:tc>
          <w:tcPr>
            <w:tcW w:w="3230" w:type="dxa"/>
            <w:vAlign w:val="center"/>
            <w:hideMark/>
          </w:tcPr>
          <w:p w:rsidR="00B5307B" w:rsidRDefault="002A02F6">
            <w:pPr>
              <w:spacing w:after="0" w:line="276" w:lineRule="auto"/>
              <w:jc w:val="both"/>
              <w:rPr>
                <w:rFonts w:ascii="Times New Roman" w:hAnsi="Times New Roman"/>
                <w:b/>
                <w:bCs/>
                <w:sz w:val="24"/>
                <w:szCs w:val="24"/>
                <w:lang w:eastAsia="en-GB"/>
              </w:rPr>
            </w:pPr>
            <w:r>
              <w:rPr>
                <w:rFonts w:ascii="Times New Roman" w:hAnsi="Times New Roman"/>
                <w:b/>
                <w:bCs/>
                <w:sz w:val="24"/>
                <w:szCs w:val="24"/>
                <w:lang w:eastAsia="en-GB"/>
              </w:rPr>
              <w:t>Number of Colonies Counted</w:t>
            </w:r>
          </w:p>
        </w:tc>
        <w:tc>
          <w:tcPr>
            <w:tcW w:w="2081" w:type="dxa"/>
            <w:vAlign w:val="center"/>
            <w:hideMark/>
          </w:tcPr>
          <w:p w:rsidR="00B5307B" w:rsidRDefault="002A02F6">
            <w:pPr>
              <w:spacing w:after="0" w:line="276" w:lineRule="auto"/>
              <w:jc w:val="both"/>
              <w:rPr>
                <w:rFonts w:ascii="Times New Roman" w:hAnsi="Times New Roman"/>
                <w:b/>
                <w:bCs/>
                <w:sz w:val="24"/>
                <w:szCs w:val="24"/>
                <w:lang w:eastAsia="en-GB"/>
              </w:rPr>
            </w:pPr>
            <w:r>
              <w:rPr>
                <w:rFonts w:ascii="Times New Roman" w:hAnsi="Times New Roman"/>
                <w:b/>
                <w:bCs/>
                <w:sz w:val="24"/>
                <w:szCs w:val="24"/>
                <w:lang w:eastAsia="en-GB"/>
              </w:rPr>
              <w:t>CFU/mL</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JWFP32</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8</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8 × 10</w:t>
            </w:r>
            <w:r>
              <w:rPr>
                <w:rFonts w:ascii="Cambria Math" w:hAnsi="Cambria Math" w:cs="Cambria Math"/>
                <w:sz w:val="24"/>
                <w:szCs w:val="24"/>
              </w:rPr>
              <w:t>⁵</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JWFP27</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9</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9 × 10</w:t>
            </w:r>
            <w:r>
              <w:rPr>
                <w:rFonts w:ascii="Cambria Math" w:hAnsi="Cambria Math" w:cs="Cambria Math"/>
                <w:sz w:val="24"/>
                <w:szCs w:val="24"/>
              </w:rPr>
              <w:t>⁵</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JWFP10</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6</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6 × 10</w:t>
            </w:r>
            <w:r>
              <w:rPr>
                <w:rFonts w:ascii="Cambria Math" w:hAnsi="Cambria Math" w:cs="Cambria Math"/>
                <w:sz w:val="24"/>
                <w:szCs w:val="24"/>
              </w:rPr>
              <w:t>⁵</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JSFP35</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14</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1.4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JSFP18</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16</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1.6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JSFP11</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13</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1.3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JSFP28</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15</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1.5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JSFP6</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14</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1.4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AWFP35</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5</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5 × 10</w:t>
            </w:r>
            <w:r>
              <w:rPr>
                <w:rFonts w:ascii="Cambria Math" w:hAnsi="Cambria Math" w:cs="Cambria Math"/>
                <w:sz w:val="24"/>
                <w:szCs w:val="24"/>
              </w:rPr>
              <w:t>⁵</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AWFP22</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7</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7 × 10</w:t>
            </w:r>
            <w:r>
              <w:rPr>
                <w:rFonts w:ascii="Cambria Math" w:hAnsi="Cambria Math" w:cs="Cambria Math"/>
                <w:sz w:val="24"/>
                <w:szCs w:val="24"/>
              </w:rPr>
              <w:t>⁵</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AWFP9</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7</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7 × 10</w:t>
            </w:r>
            <w:r>
              <w:rPr>
                <w:rFonts w:ascii="Cambria Math" w:hAnsi="Cambria Math" w:cs="Cambria Math"/>
                <w:sz w:val="24"/>
                <w:szCs w:val="24"/>
              </w:rPr>
              <w:t>⁵</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AWFP27</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6</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6 × 10</w:t>
            </w:r>
            <w:r>
              <w:rPr>
                <w:rFonts w:ascii="Cambria Math" w:hAnsi="Cambria Math" w:cs="Cambria Math"/>
                <w:sz w:val="24"/>
                <w:szCs w:val="24"/>
              </w:rPr>
              <w:t>⁵</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AWFP14</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4</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4 × 10</w:t>
            </w:r>
            <w:r>
              <w:rPr>
                <w:rFonts w:ascii="Cambria Math" w:hAnsi="Cambria Math" w:cs="Cambria Math"/>
                <w:sz w:val="24"/>
                <w:szCs w:val="24"/>
              </w:rPr>
              <w:t>⁵</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AWFP2</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5</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5 × 10</w:t>
            </w:r>
            <w:r>
              <w:rPr>
                <w:rFonts w:ascii="Cambria Math" w:hAnsi="Cambria Math" w:cs="Cambria Math"/>
                <w:sz w:val="24"/>
                <w:szCs w:val="24"/>
              </w:rPr>
              <w:t>⁵</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ASFP18</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17</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1.7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ASFP11</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12</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1.2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ASFP30</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15</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1.5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ASFP5</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13</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1.3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ASFP40</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18</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1.8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ASFP33</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11</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1.1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ASFP28</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14</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1.4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ASFP13</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16</w:t>
            </w:r>
          </w:p>
        </w:tc>
        <w:tc>
          <w:tcPr>
            <w:tcW w:w="2081"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1.6 × 10</w:t>
            </w:r>
            <w:r>
              <w:rPr>
                <w:rFonts w:ascii="Cambria Math" w:hAnsi="Cambria Math" w:cs="Cambria Math"/>
                <w:sz w:val="24"/>
                <w:szCs w:val="24"/>
              </w:rPr>
              <w:t>⁶</w:t>
            </w:r>
          </w:p>
        </w:tc>
      </w:tr>
      <w:tr w:rsidR="00B5307B">
        <w:trPr>
          <w:tblCellSpacing w:w="15" w:type="dxa"/>
        </w:trPr>
        <w:tc>
          <w:tcPr>
            <w:tcW w:w="2649"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ASFP24</w:t>
            </w:r>
          </w:p>
        </w:tc>
        <w:tc>
          <w:tcPr>
            <w:tcW w:w="3230" w:type="dxa"/>
            <w:vAlign w:val="center"/>
            <w:hideMark/>
          </w:tcPr>
          <w:p w:rsidR="00B5307B" w:rsidRDefault="002A02F6">
            <w:pPr>
              <w:spacing w:after="0" w:line="276" w:lineRule="auto"/>
              <w:jc w:val="both"/>
              <w:rPr>
                <w:rFonts w:ascii="Times New Roman" w:hAnsi="Times New Roman"/>
                <w:sz w:val="24"/>
                <w:szCs w:val="24"/>
              </w:rPr>
            </w:pPr>
            <w:r>
              <w:rPr>
                <w:rFonts w:ascii="Times New Roman" w:hAnsi="Times New Roman"/>
                <w:sz w:val="24"/>
                <w:szCs w:val="24"/>
              </w:rPr>
              <w:t>15</w:t>
            </w:r>
          </w:p>
        </w:tc>
        <w:tc>
          <w:tcPr>
            <w:tcW w:w="2081" w:type="dxa"/>
            <w:vAlign w:val="center"/>
            <w:hideMark/>
          </w:tcPr>
          <w:p w:rsidR="00B5307B" w:rsidRDefault="002A02F6">
            <w:pPr>
              <w:pStyle w:val="ListParagraph"/>
              <w:numPr>
                <w:ilvl w:val="1"/>
                <w:numId w:val="1"/>
              </w:numPr>
              <w:spacing w:after="0" w:line="276" w:lineRule="auto"/>
              <w:jc w:val="both"/>
              <w:rPr>
                <w:rFonts w:ascii="Times New Roman" w:hAnsi="Times New Roman"/>
                <w:sz w:val="24"/>
                <w:szCs w:val="24"/>
              </w:rPr>
            </w:pPr>
            <w:r>
              <w:rPr>
                <w:rFonts w:ascii="Times New Roman" w:hAnsi="Times New Roman"/>
                <w:sz w:val="24"/>
                <w:szCs w:val="24"/>
              </w:rPr>
              <w:t>× 10</w:t>
            </w:r>
            <w:r>
              <w:rPr>
                <w:rFonts w:ascii="Cambria Math" w:hAnsi="Cambria Math" w:cs="Cambria Math"/>
                <w:sz w:val="24"/>
                <w:szCs w:val="24"/>
              </w:rPr>
              <w:t>⁶</w:t>
            </w:r>
          </w:p>
        </w:tc>
      </w:tr>
    </w:tbl>
    <w:p w:rsidR="00B5307B" w:rsidRDefault="002A02F6">
      <w:pPr>
        <w:spacing w:before="0" w:beforeAutospacing="0" w:after="240" w:line="276" w:lineRule="auto"/>
        <w:jc w:val="both"/>
        <w:rPr>
          <w:rFonts w:ascii="Times New Roman" w:hAnsi="Times New Roman"/>
          <w:b/>
          <w:sz w:val="24"/>
          <w:szCs w:val="24"/>
        </w:rPr>
      </w:pPr>
      <w:r>
        <w:rPr>
          <w:rFonts w:ascii="Times New Roman" w:hAnsi="Times New Roman"/>
          <w:b/>
          <w:sz w:val="24"/>
          <w:szCs w:val="24"/>
        </w:rPr>
        <w:t xml:space="preserve">KEY: </w:t>
      </w:r>
      <w:r>
        <w:rPr>
          <w:rFonts w:ascii="Times New Roman" w:hAnsi="Times New Roman"/>
          <w:sz w:val="24"/>
          <w:szCs w:val="24"/>
          <w:lang w:val="en-GB"/>
        </w:rPr>
        <w:t xml:space="preserve">JSFP = </w:t>
      </w:r>
      <w:r>
        <w:rPr>
          <w:rFonts w:ascii="Times New Roman" w:hAnsi="Times New Roman"/>
          <w:sz w:val="24"/>
          <w:szCs w:val="24"/>
        </w:rPr>
        <w:t>Aliero Stagnant Fed-pond;</w:t>
      </w:r>
      <w:r>
        <w:rPr>
          <w:rFonts w:ascii="Times New Roman" w:hAnsi="Times New Roman"/>
          <w:sz w:val="24"/>
          <w:szCs w:val="24"/>
          <w:lang w:val="en-GB"/>
        </w:rPr>
        <w:t xml:space="preserve"> AWFP =</w:t>
      </w:r>
      <w:r>
        <w:rPr>
          <w:rFonts w:ascii="Times New Roman" w:hAnsi="Times New Roman"/>
          <w:sz w:val="24"/>
          <w:szCs w:val="24"/>
        </w:rPr>
        <w:t>Aliero Well-fed Pond;</w:t>
      </w:r>
      <w:r>
        <w:rPr>
          <w:rFonts w:ascii="Times New Roman" w:hAnsi="Times New Roman"/>
          <w:sz w:val="24"/>
          <w:szCs w:val="24"/>
          <w:lang w:val="en-GB"/>
        </w:rPr>
        <w:t xml:space="preserve"> Jega Stagnant Fed-</w:t>
      </w:r>
      <w:r>
        <w:rPr>
          <w:rFonts w:ascii="Times New Roman" w:hAnsi="Times New Roman"/>
          <w:sz w:val="24"/>
          <w:szCs w:val="24"/>
          <w:lang w:val="en-GB"/>
        </w:rPr>
        <w:tab/>
        <w:t xml:space="preserve">pond; JWFP = </w:t>
      </w:r>
      <w:r>
        <w:rPr>
          <w:rFonts w:ascii="Times New Roman" w:hAnsi="Times New Roman"/>
          <w:sz w:val="24"/>
          <w:szCs w:val="24"/>
        </w:rPr>
        <w:t>Jega Well-fed Pond.</w:t>
      </w:r>
    </w:p>
    <w:p w:rsidR="00B5307B" w:rsidRDefault="00B5307B">
      <w:pPr>
        <w:spacing w:before="0" w:beforeAutospacing="0" w:after="240" w:line="276" w:lineRule="auto"/>
        <w:jc w:val="both"/>
        <w:rPr>
          <w:rFonts w:ascii="Times New Roman" w:hAnsi="Times New Roman"/>
          <w:b/>
          <w:sz w:val="24"/>
          <w:szCs w:val="24"/>
        </w:rPr>
      </w:pPr>
    </w:p>
    <w:p w:rsidR="00B5307B" w:rsidRDefault="00B5307B">
      <w:pPr>
        <w:spacing w:before="0" w:beforeAutospacing="0" w:after="240" w:line="276" w:lineRule="auto"/>
        <w:jc w:val="both"/>
        <w:rPr>
          <w:rFonts w:ascii="Times New Roman" w:hAnsi="Times New Roman"/>
          <w:b/>
          <w:sz w:val="24"/>
          <w:szCs w:val="24"/>
        </w:rPr>
      </w:pPr>
    </w:p>
    <w:p w:rsidR="00B5307B" w:rsidRDefault="00B5307B">
      <w:pPr>
        <w:spacing w:before="0" w:beforeAutospacing="0" w:after="240" w:line="276" w:lineRule="auto"/>
        <w:jc w:val="both"/>
        <w:rPr>
          <w:rFonts w:ascii="Times New Roman" w:hAnsi="Times New Roman"/>
          <w:b/>
          <w:sz w:val="24"/>
          <w:szCs w:val="24"/>
        </w:rPr>
      </w:pPr>
    </w:p>
    <w:p w:rsidR="00B5307B" w:rsidRDefault="00B5307B">
      <w:pPr>
        <w:spacing w:before="0" w:beforeAutospacing="0" w:after="240" w:line="276" w:lineRule="auto"/>
        <w:jc w:val="both"/>
        <w:rPr>
          <w:rFonts w:ascii="Times New Roman" w:hAnsi="Times New Roman"/>
          <w:b/>
          <w:sz w:val="24"/>
          <w:szCs w:val="24"/>
        </w:rPr>
      </w:pPr>
    </w:p>
    <w:p w:rsidR="00B5307B" w:rsidRDefault="00B5307B">
      <w:pPr>
        <w:spacing w:before="0" w:beforeAutospacing="0" w:after="240" w:line="276" w:lineRule="auto"/>
        <w:jc w:val="both"/>
        <w:rPr>
          <w:rFonts w:ascii="Times New Roman" w:hAnsi="Times New Roman"/>
          <w:b/>
          <w:sz w:val="24"/>
          <w:szCs w:val="24"/>
        </w:rPr>
      </w:pPr>
    </w:p>
    <w:p w:rsidR="00B5307B" w:rsidRDefault="00B5307B">
      <w:pPr>
        <w:spacing w:before="0" w:beforeAutospacing="0" w:after="240" w:line="276" w:lineRule="auto"/>
        <w:jc w:val="both"/>
        <w:rPr>
          <w:rFonts w:ascii="Times New Roman" w:hAnsi="Times New Roman"/>
          <w:b/>
          <w:sz w:val="24"/>
          <w:szCs w:val="24"/>
        </w:rPr>
      </w:pPr>
    </w:p>
    <w:p w:rsidR="00B5307B" w:rsidRDefault="002A02F6">
      <w:pPr>
        <w:spacing w:before="0" w:beforeAutospacing="0" w:after="240" w:line="276" w:lineRule="auto"/>
        <w:jc w:val="both"/>
        <w:rPr>
          <w:rFonts w:ascii="Times New Roman" w:hAnsi="Times New Roman"/>
          <w:sz w:val="24"/>
          <w:szCs w:val="24"/>
        </w:rPr>
      </w:pPr>
      <w:r>
        <w:rPr>
          <w:rFonts w:ascii="Times New Roman" w:hAnsi="Times New Roman"/>
          <w:b/>
          <w:sz w:val="24"/>
          <w:szCs w:val="24"/>
        </w:rPr>
        <w:t>Table 4: Colony Forming Units (</w:t>
      </w:r>
      <w:r>
        <w:rPr>
          <w:rFonts w:ascii="Times New Roman" w:hAnsi="Times New Roman"/>
          <w:b/>
          <w:bCs/>
          <w:sz w:val="24"/>
          <w:szCs w:val="24"/>
          <w:lang w:eastAsia="en-GB"/>
        </w:rPr>
        <w:t>CFU/mL</w:t>
      </w:r>
      <w:r>
        <w:rPr>
          <w:rFonts w:ascii="Times New Roman" w:hAnsi="Times New Roman"/>
          <w:b/>
          <w:sz w:val="24"/>
          <w:szCs w:val="24"/>
        </w:rPr>
        <w:t xml:space="preserve">) of </w:t>
      </w:r>
      <w:r>
        <w:rPr>
          <w:rFonts w:ascii="Times New Roman" w:hAnsi="Times New Roman"/>
          <w:b/>
          <w:i/>
          <w:sz w:val="24"/>
          <w:szCs w:val="24"/>
        </w:rPr>
        <w:t xml:space="preserve">S. epidermidis </w:t>
      </w:r>
      <w:r>
        <w:rPr>
          <w:rFonts w:ascii="Times New Roman" w:hAnsi="Times New Roman"/>
          <w:b/>
          <w:sz w:val="24"/>
          <w:szCs w:val="24"/>
        </w:rPr>
        <w:t>Isolates of Jega and Aliero L.G.A</w:t>
      </w:r>
    </w:p>
    <w:tbl>
      <w:tblPr>
        <w:tblStyle w:val="LightShading1"/>
        <w:tblW w:w="7470" w:type="dxa"/>
        <w:tblInd w:w="952" w:type="dxa"/>
        <w:tblBorders>
          <w:top w:val="single" w:sz="4" w:space="0" w:color="auto"/>
          <w:bottom w:val="single" w:sz="4" w:space="0" w:color="auto"/>
        </w:tblBorders>
        <w:tblLook w:val="0620" w:firstRow="1" w:lastRow="0" w:firstColumn="0" w:lastColumn="0" w:noHBand="1" w:noVBand="1"/>
      </w:tblPr>
      <w:tblGrid>
        <w:gridCol w:w="1980"/>
        <w:gridCol w:w="2790"/>
        <w:gridCol w:w="2700"/>
      </w:tblGrid>
      <w:tr w:rsidR="00B5307B" w:rsidTr="00B5307B">
        <w:trPr>
          <w:cnfStyle w:val="100000000000" w:firstRow="1" w:lastRow="0" w:firstColumn="0" w:lastColumn="0" w:oddVBand="0" w:evenVBand="0" w:oddHBand="0" w:evenHBand="0" w:firstRowFirstColumn="0" w:firstRowLastColumn="0" w:lastRowFirstColumn="0" w:lastRowLastColumn="0"/>
          <w:trHeight w:val="276"/>
        </w:trPr>
        <w:tc>
          <w:tcPr>
            <w:tcW w:w="1980" w:type="dxa"/>
            <w:tcBorders>
              <w:top w:val="none" w:sz="0" w:space="0" w:color="auto"/>
              <w:left w:val="none" w:sz="0" w:space="0" w:color="auto"/>
              <w:bottom w:val="none" w:sz="0" w:space="0" w:color="auto"/>
              <w:right w:val="none" w:sz="0" w:space="0" w:color="auto"/>
            </w:tcBorders>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Sample ID</w:t>
            </w:r>
          </w:p>
        </w:tc>
        <w:tc>
          <w:tcPr>
            <w:tcW w:w="2790" w:type="dxa"/>
            <w:tcBorders>
              <w:top w:val="none" w:sz="0" w:space="0" w:color="auto"/>
              <w:left w:val="none" w:sz="0" w:space="0" w:color="auto"/>
              <w:bottom w:val="none" w:sz="0" w:space="0" w:color="auto"/>
              <w:right w:val="none" w:sz="0" w:space="0" w:color="auto"/>
            </w:tcBorders>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Number of Colonies Counted</w:t>
            </w:r>
          </w:p>
        </w:tc>
        <w:tc>
          <w:tcPr>
            <w:tcW w:w="2700" w:type="dxa"/>
            <w:tcBorders>
              <w:top w:val="none" w:sz="0" w:space="0" w:color="auto"/>
              <w:left w:val="none" w:sz="0" w:space="0" w:color="auto"/>
              <w:bottom w:val="none" w:sz="0" w:space="0" w:color="auto"/>
              <w:right w:val="none" w:sz="0" w:space="0" w:color="auto"/>
            </w:tcBorders>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CFU/mL</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JSFP39</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16</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1.6 × 10</w:t>
            </w:r>
            <w:r>
              <w:rPr>
                <w:rFonts w:ascii="Cambria Math" w:hAnsi="Cambria Math" w:cs="Cambria Math"/>
                <w:sz w:val="24"/>
                <w:szCs w:val="24"/>
                <w:lang w:eastAsia="en-GB"/>
              </w:rPr>
              <w:t>⁶</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JSFP37</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14</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1.4 × 10</w:t>
            </w:r>
            <w:r>
              <w:rPr>
                <w:rFonts w:ascii="Cambria Math" w:hAnsi="Cambria Math" w:cs="Cambria Math"/>
                <w:sz w:val="24"/>
                <w:szCs w:val="24"/>
                <w:lang w:eastAsia="en-GB"/>
              </w:rPr>
              <w:t>⁶</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JSFP24</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13</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1.3 × 10</w:t>
            </w:r>
            <w:r>
              <w:rPr>
                <w:rFonts w:ascii="Cambria Math" w:hAnsi="Cambria Math" w:cs="Cambria Math"/>
                <w:sz w:val="24"/>
                <w:szCs w:val="24"/>
                <w:lang w:eastAsia="en-GB"/>
              </w:rPr>
              <w:t>⁶</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JWFP9</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7</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7 × 10</w:t>
            </w:r>
            <w:r>
              <w:rPr>
                <w:rFonts w:ascii="Cambria Math" w:hAnsi="Cambria Math" w:cs="Cambria Math"/>
                <w:sz w:val="24"/>
                <w:szCs w:val="24"/>
                <w:lang w:eastAsia="en-GB"/>
              </w:rPr>
              <w:t>⁵</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JWFP21</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8</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8 × 10</w:t>
            </w:r>
            <w:r>
              <w:rPr>
                <w:rFonts w:ascii="Cambria Math" w:hAnsi="Cambria Math" w:cs="Cambria Math"/>
                <w:sz w:val="24"/>
                <w:szCs w:val="24"/>
                <w:lang w:eastAsia="en-GB"/>
              </w:rPr>
              <w:t>⁵</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JWFP5</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5</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5 × 10</w:t>
            </w:r>
            <w:r>
              <w:rPr>
                <w:rFonts w:ascii="Cambria Math" w:hAnsi="Cambria Math" w:cs="Cambria Math"/>
                <w:sz w:val="24"/>
                <w:szCs w:val="24"/>
                <w:lang w:eastAsia="en-GB"/>
              </w:rPr>
              <w:t>⁵</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AWFPF34</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4</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4 × 10</w:t>
            </w:r>
            <w:r>
              <w:rPr>
                <w:rFonts w:ascii="Cambria Math" w:hAnsi="Cambria Math" w:cs="Cambria Math"/>
                <w:sz w:val="24"/>
                <w:szCs w:val="24"/>
                <w:lang w:eastAsia="en-GB"/>
              </w:rPr>
              <w:t>⁵</w:t>
            </w:r>
          </w:p>
        </w:tc>
      </w:tr>
      <w:tr w:rsidR="00B5307B" w:rsidTr="00B5307B">
        <w:trPr>
          <w:trHeight w:val="246"/>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AWFPF25</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3</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3 × 10</w:t>
            </w:r>
            <w:r>
              <w:rPr>
                <w:rFonts w:ascii="Cambria Math" w:hAnsi="Cambria Math" w:cs="Cambria Math"/>
                <w:sz w:val="24"/>
                <w:szCs w:val="24"/>
                <w:lang w:eastAsia="en-GB"/>
              </w:rPr>
              <w:t>⁵</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AWFPF12</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5</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5 × 10</w:t>
            </w:r>
            <w:r>
              <w:rPr>
                <w:rFonts w:ascii="Cambria Math" w:hAnsi="Cambria Math" w:cs="Cambria Math"/>
                <w:sz w:val="24"/>
                <w:szCs w:val="24"/>
                <w:lang w:eastAsia="en-GB"/>
              </w:rPr>
              <w:t>⁵</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ASFPF26</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17</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1.7 × 10</w:t>
            </w:r>
            <w:r>
              <w:rPr>
                <w:rFonts w:ascii="Cambria Math" w:hAnsi="Cambria Math" w:cs="Cambria Math"/>
                <w:sz w:val="24"/>
                <w:szCs w:val="24"/>
                <w:lang w:eastAsia="en-GB"/>
              </w:rPr>
              <w:t>⁶</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ASFPF8</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12</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1.2 × 10</w:t>
            </w:r>
            <w:r>
              <w:rPr>
                <w:rFonts w:ascii="Cambria Math" w:hAnsi="Cambria Math" w:cs="Cambria Math"/>
                <w:sz w:val="24"/>
                <w:szCs w:val="24"/>
                <w:lang w:eastAsia="en-GB"/>
              </w:rPr>
              <w:t>⁶</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ASFPF37</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16</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1.6 × 10</w:t>
            </w:r>
            <w:r>
              <w:rPr>
                <w:rFonts w:ascii="Cambria Math" w:hAnsi="Cambria Math" w:cs="Cambria Math"/>
                <w:sz w:val="24"/>
                <w:szCs w:val="24"/>
                <w:lang w:eastAsia="en-GB"/>
              </w:rPr>
              <w:t>⁶</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ASFPF21</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14</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1.4 × 10</w:t>
            </w:r>
            <w:r>
              <w:rPr>
                <w:rFonts w:ascii="Cambria Math" w:hAnsi="Cambria Math" w:cs="Cambria Math"/>
                <w:sz w:val="24"/>
                <w:szCs w:val="24"/>
                <w:lang w:eastAsia="en-GB"/>
              </w:rPr>
              <w:t>⁶</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ASFPF7</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15</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1.5 × 10</w:t>
            </w:r>
            <w:r>
              <w:rPr>
                <w:rFonts w:ascii="Cambria Math" w:hAnsi="Cambria Math" w:cs="Cambria Math"/>
                <w:sz w:val="24"/>
                <w:szCs w:val="24"/>
                <w:lang w:eastAsia="en-GB"/>
              </w:rPr>
              <w:t>⁶</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ASFPF19</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17</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1.7 × 10</w:t>
            </w:r>
            <w:r>
              <w:rPr>
                <w:rFonts w:ascii="Cambria Math" w:hAnsi="Cambria Math" w:cs="Cambria Math"/>
                <w:sz w:val="24"/>
                <w:szCs w:val="24"/>
                <w:lang w:eastAsia="en-GB"/>
              </w:rPr>
              <w:t>⁶</w:t>
            </w:r>
          </w:p>
        </w:tc>
      </w:tr>
      <w:tr w:rsidR="00B5307B" w:rsidTr="00B5307B">
        <w:trPr>
          <w:trHeight w:val="246"/>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ASFPF36</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12</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1.2 × 10</w:t>
            </w:r>
            <w:r>
              <w:rPr>
                <w:rFonts w:ascii="Cambria Math" w:hAnsi="Cambria Math" w:cs="Cambria Math"/>
                <w:sz w:val="24"/>
                <w:szCs w:val="24"/>
                <w:lang w:eastAsia="en-GB"/>
              </w:rPr>
              <w:t>⁶</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ASFPF10</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15</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1.5 × 10</w:t>
            </w:r>
            <w:r>
              <w:rPr>
                <w:rFonts w:ascii="Cambria Math" w:hAnsi="Cambria Math" w:cs="Cambria Math"/>
                <w:sz w:val="24"/>
                <w:szCs w:val="24"/>
                <w:lang w:eastAsia="en-GB"/>
              </w:rPr>
              <w:t>⁶</w:t>
            </w:r>
          </w:p>
        </w:tc>
      </w:tr>
      <w:tr w:rsidR="00B5307B" w:rsidTr="00B5307B">
        <w:trPr>
          <w:trHeight w:val="261"/>
        </w:trPr>
        <w:tc>
          <w:tcPr>
            <w:tcW w:w="198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ASFPF29</w:t>
            </w:r>
          </w:p>
        </w:tc>
        <w:tc>
          <w:tcPr>
            <w:tcW w:w="279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13</w:t>
            </w:r>
          </w:p>
        </w:tc>
        <w:tc>
          <w:tcPr>
            <w:tcW w:w="2700" w:type="dxa"/>
            <w:vAlign w:val="center"/>
          </w:tcPr>
          <w:p w:rsidR="00B5307B" w:rsidRDefault="002A02F6">
            <w:pPr>
              <w:spacing w:after="0" w:line="276" w:lineRule="auto"/>
              <w:jc w:val="both"/>
              <w:rPr>
                <w:rFonts w:ascii="Times New Roman" w:hAnsi="Times New Roman"/>
                <w:sz w:val="24"/>
                <w:szCs w:val="24"/>
                <w:lang w:eastAsia="en-GB"/>
              </w:rPr>
            </w:pPr>
            <w:r>
              <w:rPr>
                <w:rFonts w:ascii="Times New Roman" w:hAnsi="Times New Roman"/>
                <w:sz w:val="24"/>
                <w:szCs w:val="24"/>
                <w:lang w:eastAsia="en-GB"/>
              </w:rPr>
              <w:t>1.3 × 10</w:t>
            </w:r>
            <w:r>
              <w:rPr>
                <w:rFonts w:ascii="Cambria Math" w:hAnsi="Cambria Math" w:cs="Cambria Math"/>
                <w:sz w:val="24"/>
                <w:szCs w:val="24"/>
                <w:lang w:eastAsia="en-GB"/>
              </w:rPr>
              <w:t>⁶</w:t>
            </w:r>
          </w:p>
        </w:tc>
      </w:tr>
    </w:tbl>
    <w:p w:rsidR="00B5307B" w:rsidRDefault="002A02F6">
      <w:pPr>
        <w:spacing w:before="0" w:beforeAutospacing="0" w:after="240" w:line="276" w:lineRule="auto"/>
        <w:jc w:val="both"/>
        <w:rPr>
          <w:rFonts w:ascii="Times New Roman" w:hAnsi="Times New Roman"/>
          <w:sz w:val="24"/>
          <w:szCs w:val="24"/>
        </w:rPr>
      </w:pPr>
      <w:r>
        <w:rPr>
          <w:rFonts w:ascii="Times New Roman" w:hAnsi="Times New Roman"/>
          <w:b/>
          <w:sz w:val="24"/>
          <w:szCs w:val="24"/>
        </w:rPr>
        <w:t xml:space="preserve">KEY: </w:t>
      </w:r>
      <w:r>
        <w:rPr>
          <w:rFonts w:ascii="Times New Roman" w:hAnsi="Times New Roman"/>
          <w:sz w:val="24"/>
          <w:szCs w:val="24"/>
          <w:lang w:val="en-GB"/>
        </w:rPr>
        <w:t xml:space="preserve">JSFP = </w:t>
      </w:r>
      <w:r>
        <w:rPr>
          <w:rFonts w:ascii="Times New Roman" w:hAnsi="Times New Roman"/>
          <w:sz w:val="24"/>
          <w:szCs w:val="24"/>
        </w:rPr>
        <w:t>Aliero Stagnant Fed-pond;</w:t>
      </w:r>
      <w:r>
        <w:rPr>
          <w:rFonts w:ascii="Times New Roman" w:hAnsi="Times New Roman"/>
          <w:sz w:val="24"/>
          <w:szCs w:val="24"/>
          <w:lang w:val="en-GB"/>
        </w:rPr>
        <w:t xml:space="preserve"> AWFP =</w:t>
      </w:r>
      <w:r>
        <w:rPr>
          <w:rFonts w:ascii="Times New Roman" w:hAnsi="Times New Roman"/>
          <w:sz w:val="24"/>
          <w:szCs w:val="24"/>
        </w:rPr>
        <w:t>Aliero Well-fed Pond;</w:t>
      </w:r>
      <w:r>
        <w:rPr>
          <w:rFonts w:ascii="Times New Roman" w:hAnsi="Times New Roman"/>
          <w:sz w:val="24"/>
          <w:szCs w:val="24"/>
          <w:lang w:val="en-GB"/>
        </w:rPr>
        <w:t xml:space="preserve"> Jega Stagnant Fed-</w:t>
      </w:r>
      <w:r>
        <w:rPr>
          <w:rFonts w:ascii="Times New Roman" w:hAnsi="Times New Roman"/>
          <w:sz w:val="24"/>
          <w:szCs w:val="24"/>
          <w:lang w:val="en-GB"/>
        </w:rPr>
        <w:tab/>
        <w:t xml:space="preserve">pond; JWFP = </w:t>
      </w:r>
      <w:r>
        <w:rPr>
          <w:rFonts w:ascii="Times New Roman" w:hAnsi="Times New Roman"/>
          <w:sz w:val="24"/>
          <w:szCs w:val="24"/>
        </w:rPr>
        <w:t>Jega Well-fed Pond.</w:t>
      </w:r>
    </w:p>
    <w:p w:rsidR="00B5307B" w:rsidRDefault="002A02F6">
      <w:pPr>
        <w:pStyle w:val="Heading1"/>
      </w:pPr>
      <w:r>
        <w:rPr>
          <w:bCs/>
          <w:lang w:eastAsia="zh-CN"/>
        </w:rPr>
        <w:t xml:space="preserve">Frequency of occurrence of </w:t>
      </w:r>
      <w:r>
        <w:rPr>
          <w:i/>
        </w:rPr>
        <w:t xml:space="preserve">S. aureus </w:t>
      </w:r>
      <w:r>
        <w:t xml:space="preserve">and </w:t>
      </w:r>
      <w:r>
        <w:rPr>
          <w:i/>
        </w:rPr>
        <w:t xml:space="preserve">S. epidermidis </w:t>
      </w:r>
      <w:r>
        <w:t>among the two different water sources.</w:t>
      </w:r>
    </w:p>
    <w:p w:rsidR="00B5307B" w:rsidRDefault="002A02F6">
      <w:pPr>
        <w:spacing w:before="240" w:beforeAutospacing="0" w:after="240" w:line="276"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The frequency of occurrence of </w:t>
      </w:r>
      <w:r>
        <w:rPr>
          <w:rFonts w:ascii="Times New Roman" w:hAnsi="Times New Roman"/>
          <w:i/>
          <w:sz w:val="24"/>
          <w:szCs w:val="24"/>
          <w:shd w:val="clear" w:color="auto" w:fill="FFFFFF"/>
        </w:rPr>
        <w:t>S. aureus</w:t>
      </w:r>
      <w:r>
        <w:rPr>
          <w:rFonts w:ascii="Times New Roman" w:hAnsi="Times New Roman"/>
          <w:sz w:val="24"/>
          <w:szCs w:val="24"/>
          <w:shd w:val="clear" w:color="auto" w:fill="FFFFFF"/>
        </w:rPr>
        <w:t xml:space="preserve"> and </w:t>
      </w:r>
      <w:r>
        <w:rPr>
          <w:rFonts w:ascii="Times New Roman" w:hAnsi="Times New Roman"/>
          <w:i/>
          <w:sz w:val="24"/>
          <w:szCs w:val="24"/>
          <w:shd w:val="clear" w:color="auto" w:fill="FFFFFF"/>
        </w:rPr>
        <w:t>S. epidermidis</w:t>
      </w:r>
      <w:r>
        <w:rPr>
          <w:rFonts w:ascii="Times New Roman" w:hAnsi="Times New Roman"/>
          <w:sz w:val="24"/>
          <w:szCs w:val="24"/>
          <w:shd w:val="clear" w:color="auto" w:fill="FFFFFF"/>
        </w:rPr>
        <w:t xml:space="preserve"> was observed among the two distinct water sources. Among the 41 isolates (51.25%), </w:t>
      </w:r>
      <w:r>
        <w:rPr>
          <w:rFonts w:ascii="Times New Roman" w:hAnsi="Times New Roman"/>
          <w:i/>
          <w:sz w:val="24"/>
          <w:szCs w:val="24"/>
          <w:shd w:val="clear" w:color="auto" w:fill="FFFFFF"/>
        </w:rPr>
        <w:t>S. aureus</w:t>
      </w:r>
      <w:r>
        <w:rPr>
          <w:rFonts w:ascii="Times New Roman" w:hAnsi="Times New Roman"/>
          <w:sz w:val="24"/>
          <w:szCs w:val="24"/>
          <w:shd w:val="clear" w:color="auto" w:fill="FFFFFF"/>
        </w:rPr>
        <w:t xml:space="preserve"> was the predominant organism, identified in 23 cases (56.10%), and followed by </w:t>
      </w:r>
      <w:r>
        <w:rPr>
          <w:rFonts w:ascii="Times New Roman" w:hAnsi="Times New Roman"/>
          <w:i/>
          <w:sz w:val="24"/>
          <w:szCs w:val="24"/>
          <w:shd w:val="clear" w:color="auto" w:fill="FFFFFF"/>
        </w:rPr>
        <w:t>S. epidermidis</w:t>
      </w:r>
      <w:r>
        <w:rPr>
          <w:rFonts w:ascii="Times New Roman" w:hAnsi="Times New Roman"/>
          <w:sz w:val="24"/>
          <w:szCs w:val="24"/>
          <w:shd w:val="clear" w:color="auto" w:fill="FFFFFF"/>
        </w:rPr>
        <w:t xml:space="preserve">, with a prevalence of 18 cases (43.90%). The bacterial isolates were most frequently found in samples from stagnant water fed ponds, accounting for 26 cases (63.41%), followed by samples from well water fed ponds, which accounted for 15 cases (36.59%). Regarding </w:t>
      </w:r>
      <w:r>
        <w:rPr>
          <w:rFonts w:ascii="Times New Roman" w:hAnsi="Times New Roman"/>
          <w:i/>
          <w:sz w:val="24"/>
          <w:szCs w:val="24"/>
          <w:shd w:val="clear" w:color="auto" w:fill="FFFFFF"/>
        </w:rPr>
        <w:t>S. aureus</w:t>
      </w:r>
      <w:r>
        <w:rPr>
          <w:rFonts w:ascii="Times New Roman" w:hAnsi="Times New Roman"/>
          <w:sz w:val="24"/>
          <w:szCs w:val="24"/>
          <w:shd w:val="clear" w:color="auto" w:fill="FFFFFF"/>
        </w:rPr>
        <w:t xml:space="preserve"> specifically, it was predominantly isolated from stagnant water fed pond samples, comprising 14 cases (53.85%), while it was least isolated from well water fed pond samples, with 9 cases (60.00%).</w:t>
      </w:r>
    </w:p>
    <w:p w:rsidR="00B5307B" w:rsidRDefault="00B5307B">
      <w:pPr>
        <w:spacing w:before="240" w:beforeAutospacing="0" w:after="240" w:line="276" w:lineRule="auto"/>
        <w:jc w:val="both"/>
        <w:rPr>
          <w:rFonts w:ascii="Times New Roman" w:hAnsi="Times New Roman"/>
          <w:b/>
          <w:sz w:val="24"/>
          <w:szCs w:val="24"/>
        </w:rPr>
      </w:pPr>
    </w:p>
    <w:p w:rsidR="00B5307B" w:rsidRDefault="00B5307B">
      <w:pPr>
        <w:spacing w:before="240" w:beforeAutospacing="0" w:after="240" w:line="276" w:lineRule="auto"/>
        <w:jc w:val="both"/>
        <w:rPr>
          <w:rFonts w:ascii="Times New Roman" w:hAnsi="Times New Roman"/>
          <w:b/>
          <w:sz w:val="24"/>
          <w:szCs w:val="24"/>
        </w:rPr>
      </w:pPr>
    </w:p>
    <w:p w:rsidR="00B5307B" w:rsidRDefault="00B5307B">
      <w:pPr>
        <w:spacing w:before="240" w:beforeAutospacing="0" w:after="240" w:line="276" w:lineRule="auto"/>
        <w:jc w:val="both"/>
        <w:rPr>
          <w:rFonts w:ascii="Times New Roman" w:hAnsi="Times New Roman"/>
          <w:b/>
          <w:sz w:val="24"/>
          <w:szCs w:val="24"/>
        </w:rPr>
      </w:pPr>
    </w:p>
    <w:p w:rsidR="00B5307B" w:rsidRDefault="00B5307B">
      <w:pPr>
        <w:spacing w:before="240" w:beforeAutospacing="0" w:after="240" w:line="276" w:lineRule="auto"/>
        <w:jc w:val="both"/>
        <w:rPr>
          <w:rFonts w:ascii="Times New Roman" w:hAnsi="Times New Roman"/>
          <w:b/>
          <w:sz w:val="24"/>
          <w:szCs w:val="24"/>
        </w:rPr>
      </w:pPr>
    </w:p>
    <w:p w:rsidR="00B5307B" w:rsidRDefault="002A02F6">
      <w:pPr>
        <w:spacing w:before="240" w:beforeAutospacing="0" w:after="240" w:line="276" w:lineRule="auto"/>
        <w:jc w:val="both"/>
        <w:rPr>
          <w:rFonts w:ascii="Times New Roman" w:hAnsi="Times New Roman"/>
          <w:b/>
          <w:sz w:val="24"/>
          <w:szCs w:val="24"/>
        </w:rPr>
      </w:pPr>
      <w:r>
        <w:rPr>
          <w:rFonts w:ascii="Times New Roman" w:hAnsi="Times New Roman"/>
          <w:b/>
          <w:sz w:val="24"/>
          <w:szCs w:val="24"/>
        </w:rPr>
        <w:t xml:space="preserve">Table 5: Distribution of </w:t>
      </w:r>
      <w:r>
        <w:rPr>
          <w:rFonts w:ascii="Times New Roman" w:hAnsi="Times New Roman"/>
          <w:b/>
          <w:i/>
          <w:sz w:val="24"/>
          <w:szCs w:val="24"/>
        </w:rPr>
        <w:t>S. aureus</w:t>
      </w:r>
      <w:r>
        <w:rPr>
          <w:rFonts w:ascii="Times New Roman" w:hAnsi="Times New Roman"/>
          <w:b/>
          <w:sz w:val="24"/>
          <w:szCs w:val="24"/>
        </w:rPr>
        <w:t xml:space="preserve"> and </w:t>
      </w:r>
      <w:r>
        <w:rPr>
          <w:rFonts w:ascii="Times New Roman" w:hAnsi="Times New Roman"/>
          <w:b/>
          <w:i/>
          <w:sz w:val="24"/>
          <w:szCs w:val="24"/>
        </w:rPr>
        <w:t>S. epidermidis</w:t>
      </w:r>
      <w:r>
        <w:rPr>
          <w:rFonts w:ascii="Times New Roman" w:hAnsi="Times New Roman"/>
          <w:b/>
          <w:sz w:val="24"/>
          <w:szCs w:val="24"/>
        </w:rPr>
        <w:t xml:space="preserve"> among different water sources</w:t>
      </w:r>
      <w:bookmarkStart w:id="11" w:name="_Toc170379409"/>
      <w:bookmarkStart w:id="12" w:name="_Toc187234245"/>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2694"/>
        <w:gridCol w:w="2976"/>
        <w:gridCol w:w="1276"/>
      </w:tblGrid>
      <w:tr w:rsidR="00B5307B">
        <w:trPr>
          <w:tblHeader/>
          <w:tblCellSpacing w:w="15" w:type="dxa"/>
        </w:trPr>
        <w:tc>
          <w:tcPr>
            <w:tcW w:w="1656" w:type="dxa"/>
            <w:vAlign w:val="center"/>
            <w:hideMark/>
          </w:tcPr>
          <w:p w:rsidR="00B5307B" w:rsidRDefault="002A02F6">
            <w:pPr>
              <w:spacing w:line="276" w:lineRule="auto"/>
              <w:jc w:val="both"/>
              <w:rPr>
                <w:rFonts w:ascii="Times New Roman" w:hAnsi="Times New Roman"/>
                <w:b/>
                <w:bCs/>
                <w:sz w:val="24"/>
                <w:szCs w:val="24"/>
              </w:rPr>
            </w:pPr>
            <w:r>
              <w:rPr>
                <w:rFonts w:ascii="Times New Roman" w:hAnsi="Times New Roman"/>
                <w:b/>
                <w:bCs/>
                <w:sz w:val="24"/>
                <w:szCs w:val="24"/>
              </w:rPr>
              <w:t>Organisms</w:t>
            </w:r>
          </w:p>
        </w:tc>
        <w:tc>
          <w:tcPr>
            <w:tcW w:w="2664" w:type="dxa"/>
            <w:vAlign w:val="center"/>
            <w:hideMark/>
          </w:tcPr>
          <w:p w:rsidR="00B5307B" w:rsidRDefault="002A02F6">
            <w:pPr>
              <w:spacing w:line="276" w:lineRule="auto"/>
              <w:jc w:val="both"/>
              <w:rPr>
                <w:rFonts w:ascii="Times New Roman" w:hAnsi="Times New Roman"/>
                <w:b/>
                <w:bCs/>
                <w:sz w:val="24"/>
                <w:szCs w:val="24"/>
              </w:rPr>
            </w:pPr>
            <w:r>
              <w:rPr>
                <w:rFonts w:ascii="Times New Roman" w:hAnsi="Times New Roman"/>
                <w:b/>
                <w:bCs/>
                <w:sz w:val="24"/>
                <w:szCs w:val="24"/>
              </w:rPr>
              <w:t>Well water fed pond n (%)</w:t>
            </w:r>
          </w:p>
        </w:tc>
        <w:tc>
          <w:tcPr>
            <w:tcW w:w="2946" w:type="dxa"/>
            <w:vAlign w:val="center"/>
            <w:hideMark/>
          </w:tcPr>
          <w:p w:rsidR="00B5307B" w:rsidRDefault="002A02F6">
            <w:pPr>
              <w:spacing w:line="276" w:lineRule="auto"/>
              <w:jc w:val="both"/>
              <w:rPr>
                <w:rFonts w:ascii="Times New Roman" w:hAnsi="Times New Roman"/>
                <w:b/>
                <w:bCs/>
                <w:sz w:val="24"/>
                <w:szCs w:val="24"/>
              </w:rPr>
            </w:pPr>
            <w:r>
              <w:rPr>
                <w:rFonts w:ascii="Times New Roman" w:hAnsi="Times New Roman"/>
                <w:b/>
                <w:bCs/>
                <w:sz w:val="24"/>
                <w:szCs w:val="24"/>
              </w:rPr>
              <w:t>Stagnant water fed pond n (%)</w:t>
            </w:r>
          </w:p>
        </w:tc>
        <w:tc>
          <w:tcPr>
            <w:tcW w:w="1231" w:type="dxa"/>
            <w:vAlign w:val="center"/>
            <w:hideMark/>
          </w:tcPr>
          <w:p w:rsidR="00B5307B" w:rsidRDefault="002A02F6">
            <w:pPr>
              <w:spacing w:line="276" w:lineRule="auto"/>
              <w:jc w:val="both"/>
              <w:rPr>
                <w:rFonts w:ascii="Times New Roman" w:hAnsi="Times New Roman"/>
                <w:b/>
                <w:bCs/>
                <w:sz w:val="24"/>
                <w:szCs w:val="24"/>
              </w:rPr>
            </w:pPr>
            <w:r>
              <w:rPr>
                <w:rFonts w:ascii="Times New Roman" w:hAnsi="Times New Roman"/>
                <w:b/>
                <w:bCs/>
                <w:sz w:val="24"/>
                <w:szCs w:val="24"/>
              </w:rPr>
              <w:t>Total n (%)</w:t>
            </w:r>
          </w:p>
        </w:tc>
      </w:tr>
      <w:tr w:rsidR="00B5307B">
        <w:trPr>
          <w:tblCellSpacing w:w="15" w:type="dxa"/>
        </w:trPr>
        <w:tc>
          <w:tcPr>
            <w:tcW w:w="1656"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i/>
                <w:sz w:val="24"/>
                <w:szCs w:val="24"/>
              </w:rPr>
              <w:t>S. aureus</w:t>
            </w:r>
          </w:p>
        </w:tc>
        <w:tc>
          <w:tcPr>
            <w:tcW w:w="2664"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9 (39.13%)</w:t>
            </w:r>
          </w:p>
        </w:tc>
        <w:tc>
          <w:tcPr>
            <w:tcW w:w="2946"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14 (60.87%)</w:t>
            </w:r>
          </w:p>
        </w:tc>
        <w:tc>
          <w:tcPr>
            <w:tcW w:w="1231"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23 (56.10%)</w:t>
            </w:r>
          </w:p>
        </w:tc>
      </w:tr>
      <w:tr w:rsidR="00B5307B">
        <w:trPr>
          <w:tblCellSpacing w:w="15" w:type="dxa"/>
        </w:trPr>
        <w:tc>
          <w:tcPr>
            <w:tcW w:w="1656"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i/>
                <w:sz w:val="24"/>
                <w:szCs w:val="24"/>
              </w:rPr>
              <w:t>S. epidermidis</w:t>
            </w:r>
          </w:p>
        </w:tc>
        <w:tc>
          <w:tcPr>
            <w:tcW w:w="2664"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6 (33.33%)</w:t>
            </w:r>
          </w:p>
        </w:tc>
        <w:tc>
          <w:tcPr>
            <w:tcW w:w="2946"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12 (66.67%)</w:t>
            </w:r>
          </w:p>
        </w:tc>
        <w:tc>
          <w:tcPr>
            <w:tcW w:w="1231"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18 (43.90%)</w:t>
            </w:r>
          </w:p>
        </w:tc>
      </w:tr>
      <w:tr w:rsidR="00B5307B">
        <w:trPr>
          <w:tblCellSpacing w:w="15" w:type="dxa"/>
        </w:trPr>
        <w:tc>
          <w:tcPr>
            <w:tcW w:w="1656" w:type="dxa"/>
            <w:vAlign w:val="center"/>
            <w:hideMark/>
          </w:tcPr>
          <w:p w:rsidR="00B5307B" w:rsidRDefault="002A02F6">
            <w:pPr>
              <w:spacing w:line="276" w:lineRule="auto"/>
              <w:jc w:val="both"/>
              <w:rPr>
                <w:rFonts w:ascii="Times New Roman" w:hAnsi="Times New Roman"/>
                <w:sz w:val="24"/>
                <w:szCs w:val="24"/>
              </w:rPr>
            </w:pPr>
            <w:r>
              <w:rPr>
                <w:rStyle w:val="Strong"/>
                <w:rFonts w:ascii="Times New Roman" w:hAnsi="Times New Roman"/>
                <w:sz w:val="24"/>
                <w:szCs w:val="24"/>
              </w:rPr>
              <w:t>Total</w:t>
            </w:r>
          </w:p>
        </w:tc>
        <w:tc>
          <w:tcPr>
            <w:tcW w:w="2664"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15 (36.59%)</w:t>
            </w:r>
          </w:p>
        </w:tc>
        <w:tc>
          <w:tcPr>
            <w:tcW w:w="2946"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26 (63.41%)</w:t>
            </w:r>
          </w:p>
        </w:tc>
        <w:tc>
          <w:tcPr>
            <w:tcW w:w="1231"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41 (100%)</w:t>
            </w:r>
          </w:p>
        </w:tc>
      </w:tr>
    </w:tbl>
    <w:p w:rsidR="00B5307B" w:rsidRDefault="002A02F6">
      <w:pPr>
        <w:pStyle w:val="Heading1"/>
        <w:rPr>
          <w:lang w:eastAsia="zh-CN"/>
        </w:rPr>
      </w:pPr>
      <w:r>
        <w:rPr>
          <w:lang w:eastAsia="zh-CN"/>
        </w:rPr>
        <w:t xml:space="preserve">Prevalence of </w:t>
      </w:r>
      <w:r>
        <w:rPr>
          <w:i/>
        </w:rPr>
        <w:t xml:space="preserve">S. aureus </w:t>
      </w:r>
      <w:r>
        <w:rPr>
          <w:lang w:eastAsia="zh-CN"/>
        </w:rPr>
        <w:t>according to samples sites based on the two studied L.G.A</w:t>
      </w:r>
      <w:bookmarkEnd w:id="11"/>
      <w:bookmarkEnd w:id="12"/>
    </w:p>
    <w:p w:rsidR="00B5307B" w:rsidRDefault="002A02F6">
      <w:pPr>
        <w:spacing w:before="240" w:beforeAutospacing="0" w:after="240" w:line="276"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Among the 23 </w:t>
      </w:r>
      <w:r>
        <w:rPr>
          <w:rFonts w:ascii="Times New Roman" w:hAnsi="Times New Roman"/>
          <w:i/>
          <w:sz w:val="24"/>
          <w:szCs w:val="24"/>
          <w:shd w:val="clear" w:color="auto" w:fill="FFFFFF"/>
        </w:rPr>
        <w:t>S. aureus</w:t>
      </w:r>
      <w:r>
        <w:rPr>
          <w:rFonts w:ascii="Times New Roman" w:hAnsi="Times New Roman"/>
          <w:sz w:val="24"/>
          <w:szCs w:val="24"/>
          <w:shd w:val="clear" w:color="auto" w:fill="FFFFFF"/>
        </w:rPr>
        <w:t xml:space="preserve"> isolates, 15 (65.22%) were from Aliero Local Government Area, and 8 (34.78%) were from Jega Local Government Area. Analysis of the prevalence of </w:t>
      </w:r>
      <w:r>
        <w:rPr>
          <w:rFonts w:ascii="Times New Roman" w:hAnsi="Times New Roman"/>
          <w:i/>
          <w:sz w:val="24"/>
          <w:szCs w:val="24"/>
          <w:shd w:val="clear" w:color="auto" w:fill="FFFFFF"/>
        </w:rPr>
        <w:t>S. aureus</w:t>
      </w:r>
      <w:r>
        <w:rPr>
          <w:rFonts w:ascii="Times New Roman" w:hAnsi="Times New Roman"/>
          <w:sz w:val="24"/>
          <w:szCs w:val="24"/>
          <w:shd w:val="clear" w:color="auto" w:fill="FFFFFF"/>
        </w:rPr>
        <w:t xml:space="preserve"> by sample site revealed that stagnant-fed ponds had the highest prevalence in Jega Local Government Area, at 62.50%, while Aliero Local Government Area had the lowest prevalence at 60.00%. Furthermore, the prevalence of </w:t>
      </w:r>
      <w:r>
        <w:rPr>
          <w:rFonts w:ascii="Times New Roman" w:hAnsi="Times New Roman"/>
          <w:i/>
          <w:sz w:val="24"/>
          <w:szCs w:val="24"/>
          <w:shd w:val="clear" w:color="auto" w:fill="FFFFFF"/>
        </w:rPr>
        <w:t>S. aureus</w:t>
      </w:r>
      <w:r>
        <w:rPr>
          <w:rFonts w:ascii="Times New Roman" w:hAnsi="Times New Roman"/>
          <w:sz w:val="24"/>
          <w:szCs w:val="24"/>
          <w:shd w:val="clear" w:color="auto" w:fill="FFFFFF"/>
        </w:rPr>
        <w:t xml:space="preserve"> in well-fed ponds showed that Aliero Local Government Area had the highest prevalence at 40.00%, compared to Jega Local Government Area with 37.50%.</w:t>
      </w:r>
    </w:p>
    <w:p w:rsidR="00B5307B" w:rsidRDefault="002A02F6">
      <w:pPr>
        <w:spacing w:before="240" w:beforeAutospacing="0" w:after="240" w:line="276" w:lineRule="auto"/>
        <w:jc w:val="both"/>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Table 6: Prevalence of </w:t>
      </w:r>
      <w:r>
        <w:rPr>
          <w:rFonts w:ascii="Times New Roman" w:hAnsi="Times New Roman"/>
          <w:b/>
          <w:i/>
          <w:sz w:val="24"/>
          <w:szCs w:val="24"/>
        </w:rPr>
        <w:t>S. aureus</w:t>
      </w:r>
      <w:r>
        <w:rPr>
          <w:rFonts w:ascii="Times New Roman" w:eastAsia="SimSun" w:hAnsi="Times New Roman"/>
          <w:b/>
          <w:bCs/>
          <w:sz w:val="24"/>
          <w:szCs w:val="24"/>
          <w:lang w:eastAsia="zh-CN"/>
        </w:rPr>
        <w:t xml:space="preserve"> according to sample sites based on the two studied L.G.A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19"/>
        <w:gridCol w:w="1843"/>
        <w:gridCol w:w="1984"/>
        <w:gridCol w:w="1701"/>
      </w:tblGrid>
      <w:tr w:rsidR="00B5307B">
        <w:trPr>
          <w:tblHeader/>
          <w:tblCellSpacing w:w="15" w:type="dxa"/>
        </w:trPr>
        <w:tc>
          <w:tcPr>
            <w:tcW w:w="3074" w:type="dxa"/>
            <w:vAlign w:val="center"/>
            <w:hideMark/>
          </w:tcPr>
          <w:p w:rsidR="00B5307B" w:rsidRDefault="002A02F6">
            <w:pPr>
              <w:spacing w:line="276" w:lineRule="auto"/>
              <w:jc w:val="both"/>
              <w:rPr>
                <w:rFonts w:ascii="Times New Roman" w:hAnsi="Times New Roman"/>
                <w:b/>
                <w:bCs/>
                <w:sz w:val="24"/>
                <w:szCs w:val="24"/>
              </w:rPr>
            </w:pPr>
            <w:r>
              <w:rPr>
                <w:rFonts w:ascii="Times New Roman" w:hAnsi="Times New Roman"/>
                <w:b/>
                <w:bCs/>
                <w:sz w:val="24"/>
                <w:szCs w:val="24"/>
              </w:rPr>
              <w:t>Samples</w:t>
            </w:r>
          </w:p>
        </w:tc>
        <w:tc>
          <w:tcPr>
            <w:tcW w:w="1813" w:type="dxa"/>
            <w:vAlign w:val="center"/>
            <w:hideMark/>
          </w:tcPr>
          <w:p w:rsidR="00B5307B" w:rsidRDefault="002A02F6">
            <w:pPr>
              <w:spacing w:line="276" w:lineRule="auto"/>
              <w:jc w:val="both"/>
              <w:rPr>
                <w:rFonts w:ascii="Times New Roman" w:hAnsi="Times New Roman"/>
                <w:b/>
                <w:bCs/>
                <w:sz w:val="24"/>
                <w:szCs w:val="24"/>
              </w:rPr>
            </w:pPr>
            <w:r>
              <w:rPr>
                <w:rFonts w:ascii="Times New Roman" w:hAnsi="Times New Roman"/>
                <w:b/>
                <w:bCs/>
                <w:sz w:val="24"/>
                <w:szCs w:val="24"/>
              </w:rPr>
              <w:t>Aliero n (%)</w:t>
            </w:r>
          </w:p>
        </w:tc>
        <w:tc>
          <w:tcPr>
            <w:tcW w:w="1954" w:type="dxa"/>
            <w:vAlign w:val="center"/>
            <w:hideMark/>
          </w:tcPr>
          <w:p w:rsidR="00B5307B" w:rsidRDefault="002A02F6">
            <w:pPr>
              <w:spacing w:line="276" w:lineRule="auto"/>
              <w:jc w:val="both"/>
              <w:rPr>
                <w:rFonts w:ascii="Times New Roman" w:hAnsi="Times New Roman"/>
                <w:b/>
                <w:bCs/>
                <w:sz w:val="24"/>
                <w:szCs w:val="24"/>
              </w:rPr>
            </w:pPr>
            <w:r>
              <w:rPr>
                <w:rFonts w:ascii="Times New Roman" w:hAnsi="Times New Roman"/>
                <w:b/>
                <w:bCs/>
                <w:sz w:val="24"/>
                <w:szCs w:val="24"/>
              </w:rPr>
              <w:t>Jega n (%)</w:t>
            </w:r>
          </w:p>
        </w:tc>
        <w:tc>
          <w:tcPr>
            <w:tcW w:w="1656" w:type="dxa"/>
            <w:vAlign w:val="center"/>
            <w:hideMark/>
          </w:tcPr>
          <w:p w:rsidR="00B5307B" w:rsidRDefault="002A02F6">
            <w:pPr>
              <w:spacing w:line="276" w:lineRule="auto"/>
              <w:jc w:val="both"/>
              <w:rPr>
                <w:rFonts w:ascii="Times New Roman" w:hAnsi="Times New Roman"/>
                <w:b/>
                <w:bCs/>
                <w:sz w:val="24"/>
                <w:szCs w:val="24"/>
              </w:rPr>
            </w:pPr>
            <w:r>
              <w:rPr>
                <w:rFonts w:ascii="Times New Roman" w:hAnsi="Times New Roman"/>
                <w:b/>
                <w:bCs/>
                <w:sz w:val="24"/>
                <w:szCs w:val="24"/>
              </w:rPr>
              <w:t>Total n (%)</w:t>
            </w:r>
          </w:p>
        </w:tc>
      </w:tr>
      <w:tr w:rsidR="00B5307B">
        <w:trPr>
          <w:tblCellSpacing w:w="15" w:type="dxa"/>
        </w:trPr>
        <w:tc>
          <w:tcPr>
            <w:tcW w:w="3074"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Well water fed pond</w:t>
            </w:r>
          </w:p>
        </w:tc>
        <w:tc>
          <w:tcPr>
            <w:tcW w:w="1813"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6 (40.00%)</w:t>
            </w:r>
          </w:p>
        </w:tc>
        <w:tc>
          <w:tcPr>
            <w:tcW w:w="1954"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3 (37.50%)</w:t>
            </w:r>
          </w:p>
        </w:tc>
        <w:tc>
          <w:tcPr>
            <w:tcW w:w="1656"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9 (39.13%)</w:t>
            </w:r>
          </w:p>
        </w:tc>
      </w:tr>
      <w:tr w:rsidR="00B5307B">
        <w:trPr>
          <w:tblCellSpacing w:w="15" w:type="dxa"/>
        </w:trPr>
        <w:tc>
          <w:tcPr>
            <w:tcW w:w="3074"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Stagnant water fed pond</w:t>
            </w:r>
          </w:p>
        </w:tc>
        <w:tc>
          <w:tcPr>
            <w:tcW w:w="1813"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9 (60.00%)</w:t>
            </w:r>
          </w:p>
        </w:tc>
        <w:tc>
          <w:tcPr>
            <w:tcW w:w="1954"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5 (62.50%)</w:t>
            </w:r>
          </w:p>
        </w:tc>
        <w:tc>
          <w:tcPr>
            <w:tcW w:w="1656"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14 (60.87%)</w:t>
            </w:r>
          </w:p>
        </w:tc>
      </w:tr>
      <w:tr w:rsidR="00B5307B">
        <w:trPr>
          <w:tblCellSpacing w:w="15" w:type="dxa"/>
        </w:trPr>
        <w:tc>
          <w:tcPr>
            <w:tcW w:w="3074" w:type="dxa"/>
            <w:vAlign w:val="center"/>
            <w:hideMark/>
          </w:tcPr>
          <w:p w:rsidR="00B5307B" w:rsidRDefault="002A02F6">
            <w:pPr>
              <w:spacing w:line="276" w:lineRule="auto"/>
              <w:jc w:val="both"/>
              <w:rPr>
                <w:rFonts w:ascii="Times New Roman" w:hAnsi="Times New Roman"/>
                <w:sz w:val="24"/>
                <w:szCs w:val="24"/>
              </w:rPr>
            </w:pPr>
            <w:r>
              <w:rPr>
                <w:rStyle w:val="Strong"/>
                <w:rFonts w:ascii="Times New Roman" w:hAnsi="Times New Roman"/>
                <w:sz w:val="24"/>
                <w:szCs w:val="24"/>
              </w:rPr>
              <w:t>Total</w:t>
            </w:r>
          </w:p>
        </w:tc>
        <w:tc>
          <w:tcPr>
            <w:tcW w:w="1813"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15 (65.22%)</w:t>
            </w:r>
          </w:p>
        </w:tc>
        <w:tc>
          <w:tcPr>
            <w:tcW w:w="1954"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8 (34.78%)</w:t>
            </w:r>
          </w:p>
        </w:tc>
        <w:tc>
          <w:tcPr>
            <w:tcW w:w="1656" w:type="dxa"/>
            <w:vAlign w:val="center"/>
            <w:hideMark/>
          </w:tcPr>
          <w:p w:rsidR="00B5307B" w:rsidRDefault="002A02F6">
            <w:pPr>
              <w:spacing w:line="276" w:lineRule="auto"/>
              <w:jc w:val="both"/>
              <w:rPr>
                <w:rFonts w:ascii="Times New Roman" w:hAnsi="Times New Roman"/>
                <w:sz w:val="24"/>
                <w:szCs w:val="24"/>
              </w:rPr>
            </w:pPr>
            <w:r>
              <w:rPr>
                <w:rFonts w:ascii="Times New Roman" w:hAnsi="Times New Roman"/>
                <w:sz w:val="24"/>
                <w:szCs w:val="24"/>
              </w:rPr>
              <w:t>23 (100%)</w:t>
            </w:r>
          </w:p>
        </w:tc>
      </w:tr>
    </w:tbl>
    <w:p w:rsidR="00B5307B" w:rsidRDefault="002A02F6">
      <w:pPr>
        <w:spacing w:before="240" w:beforeAutospacing="0" w:after="240" w:line="276"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Discussion</w:t>
      </w:r>
    </w:p>
    <w:p w:rsidR="00B5307B" w:rsidRDefault="002A02F6">
      <w:pPr>
        <w:pStyle w:val="NormalWeb"/>
        <w:spacing w:before="240" w:beforeAutospacing="0" w:after="240" w:afterAutospacing="0" w:line="276" w:lineRule="auto"/>
        <w:jc w:val="both"/>
      </w:pPr>
      <w:r>
        <w:t xml:space="preserve">The Findings of this study revealed the presence of </w:t>
      </w:r>
      <w:r>
        <w:rPr>
          <w:rStyle w:val="Emphasis"/>
          <w:rFonts w:eastAsia="SimSun"/>
        </w:rPr>
        <w:t>S. aureus</w:t>
      </w:r>
      <w:r>
        <w:t xml:space="preserve"> in the irrigation water, which correspond to previous studies that reported the prevalence of </w:t>
      </w:r>
      <w:r>
        <w:rPr>
          <w:i/>
        </w:rPr>
        <w:t xml:space="preserve">S. aureus </w:t>
      </w:r>
      <w:r>
        <w:t xml:space="preserve">in surface water sources globally (Porrero </w:t>
      </w:r>
      <w:r>
        <w:rPr>
          <w:i/>
        </w:rPr>
        <w:t>et al.</w:t>
      </w:r>
      <w:r>
        <w:t xml:space="preserve">, 2014; Silva </w:t>
      </w:r>
      <w:r>
        <w:rPr>
          <w:i/>
        </w:rPr>
        <w:t>et al.,</w:t>
      </w:r>
      <w:r>
        <w:t xml:space="preserve"> 2021). The isolation of </w:t>
      </w:r>
      <w:r>
        <w:rPr>
          <w:rStyle w:val="Emphasis"/>
          <w:rFonts w:eastAsia="SimSun"/>
        </w:rPr>
        <w:t>S. aureus</w:t>
      </w:r>
      <w:r>
        <w:t xml:space="preserve"> from these water sources emphasizes the role of contaminated irrigation water as a potential reservoir of pathogenic microorganisms. Surface waters, often subjected to human and animal waste contamination, act as a vehicle for pathogens like </w:t>
      </w:r>
      <w:r>
        <w:rPr>
          <w:rStyle w:val="Emphasis"/>
          <w:rFonts w:eastAsia="SimSun"/>
        </w:rPr>
        <w:t>S. aureus</w:t>
      </w:r>
      <w:r>
        <w:t xml:space="preserve">, presenting a significant risk to crop safety and public health. This aligns with earlier research by Mola </w:t>
      </w:r>
      <w:r>
        <w:rPr>
          <w:i/>
        </w:rPr>
        <w:t>et al.,</w:t>
      </w:r>
      <w:r>
        <w:t xml:space="preserve"> (2021) who identified rivers and other surface waters as key contributors to microbial contamination in </w:t>
      </w:r>
      <w:r>
        <w:lastRenderedPageBreak/>
        <w:t xml:space="preserve">agricultural practices. The presence of </w:t>
      </w:r>
      <w:r>
        <w:rPr>
          <w:rStyle w:val="Emphasis"/>
          <w:rFonts w:eastAsia="SimSun"/>
        </w:rPr>
        <w:t>S. aureus</w:t>
      </w:r>
      <w:r>
        <w:t xml:space="preserve"> highlights a critical need for regular monitoring of water quality in agricultural settings.</w:t>
      </w:r>
    </w:p>
    <w:p w:rsidR="00B5307B" w:rsidRDefault="002A02F6">
      <w:pPr>
        <w:pStyle w:val="NormalWeb"/>
        <w:spacing w:before="240" w:beforeAutospacing="0" w:after="240" w:afterAutospacing="0" w:line="276" w:lineRule="auto"/>
        <w:jc w:val="both"/>
      </w:pPr>
      <w:r>
        <w:t xml:space="preserve">Out of the forty (40) irrigation water samples analysed from Jega Local Government, only 18 samples showed a positive growth of </w:t>
      </w:r>
      <w:r>
        <w:rPr>
          <w:i/>
        </w:rPr>
        <w:t>S. aureus</w:t>
      </w:r>
      <w:r>
        <w:t xml:space="preserve"> and </w:t>
      </w:r>
      <w:r>
        <w:rPr>
          <w:i/>
        </w:rPr>
        <w:t>S. epidermidis</w:t>
      </w:r>
      <w:r>
        <w:t xml:space="preserve">. While from the forty (40) irrigation water samples of Aliero Local Government, only 23 samples were positive. The result corresponds with the study of Alegbeleye </w:t>
      </w:r>
      <w:r>
        <w:rPr>
          <w:i/>
          <w:shd w:val="clear" w:color="auto" w:fill="FFFFFF"/>
        </w:rPr>
        <w:t xml:space="preserve">et al, </w:t>
      </w:r>
      <w:r>
        <w:t>(</w:t>
      </w:r>
      <w:r>
        <w:rPr>
          <w:shd w:val="clear" w:color="auto" w:fill="FFFFFF"/>
        </w:rPr>
        <w:t xml:space="preserve">2018) in </w:t>
      </w:r>
      <w:r>
        <w:t>São Paulo, Brazil</w:t>
      </w:r>
      <w:r>
        <w:rPr>
          <w:shd w:val="clear" w:color="auto" w:fill="FFFFFF"/>
        </w:rPr>
        <w:t xml:space="preserve">, that showed different bacteria, fungi viruses, and parasites that contaminate irrigation water, of which </w:t>
      </w:r>
      <w:r>
        <w:rPr>
          <w:i/>
          <w:shd w:val="clear" w:color="auto" w:fill="FFFFFF"/>
        </w:rPr>
        <w:t>S. aureus</w:t>
      </w:r>
      <w:r>
        <w:rPr>
          <w:shd w:val="clear" w:color="auto" w:fill="FFFFFF"/>
        </w:rPr>
        <w:t xml:space="preserve"> was among the listed bacteria founded. However, this study disagrees with the study of Van Der Fels-Klerx </w:t>
      </w:r>
      <w:r>
        <w:rPr>
          <w:i/>
          <w:shd w:val="clear" w:color="auto" w:fill="FFFFFF"/>
        </w:rPr>
        <w:t>et al,</w:t>
      </w:r>
      <w:r>
        <w:rPr>
          <w:shd w:val="clear" w:color="auto" w:fill="FFFFFF"/>
        </w:rPr>
        <w:t xml:space="preserve"> (2020) in Netherland which showed no presence of </w:t>
      </w:r>
      <w:r>
        <w:rPr>
          <w:i/>
          <w:shd w:val="clear" w:color="auto" w:fill="FFFFFF"/>
        </w:rPr>
        <w:t>S. aureus</w:t>
      </w:r>
      <w:r>
        <w:rPr>
          <w:shd w:val="clear" w:color="auto" w:fill="FFFFFF"/>
        </w:rPr>
        <w:t xml:space="preserve"> in the irrigation water studied. Also a similar study by </w:t>
      </w:r>
      <w:r>
        <w:rPr>
          <w:iCs/>
          <w:shd w:val="clear" w:color="auto" w:fill="FFFFFF"/>
        </w:rPr>
        <w:t>(</w:t>
      </w:r>
      <w:r>
        <w:rPr>
          <w:shd w:val="clear" w:color="auto" w:fill="FFFFFF"/>
        </w:rPr>
        <w:t>Oladipo, 2020</w:t>
      </w:r>
      <w:r>
        <w:rPr>
          <w:iCs/>
          <w:shd w:val="clear" w:color="auto" w:fill="FFFFFF"/>
        </w:rPr>
        <w:t xml:space="preserve">) </w:t>
      </w:r>
      <w:r>
        <w:rPr>
          <w:shd w:val="clear" w:color="auto" w:fill="FFFFFF"/>
        </w:rPr>
        <w:t xml:space="preserve">in Potchefstroom, South Africa and Ile Ife, Nigeria confirmed the presence of multi drug resistant </w:t>
      </w:r>
      <w:r>
        <w:rPr>
          <w:i/>
          <w:shd w:val="clear" w:color="auto" w:fill="FFFFFF"/>
        </w:rPr>
        <w:t>S. aureus</w:t>
      </w:r>
      <w:r>
        <w:rPr>
          <w:shd w:val="clear" w:color="auto" w:fill="FFFFFF"/>
        </w:rPr>
        <w:t xml:space="preserve"> in irrigation water.</w:t>
      </w:r>
      <w:r>
        <w:t xml:space="preserve"> </w:t>
      </w:r>
      <w:r>
        <w:rPr>
          <w:shd w:val="clear" w:color="auto" w:fill="FFFFFF"/>
        </w:rPr>
        <w:t xml:space="preserve">Additionally, a report by Moussé </w:t>
      </w:r>
      <w:r>
        <w:rPr>
          <w:i/>
          <w:shd w:val="clear" w:color="auto" w:fill="FFFFFF"/>
        </w:rPr>
        <w:t xml:space="preserve">et al. </w:t>
      </w:r>
      <w:r>
        <w:rPr>
          <w:shd w:val="clear" w:color="auto" w:fill="FFFFFF"/>
        </w:rPr>
        <w:t xml:space="preserve">(2020) </w:t>
      </w:r>
      <w:r>
        <w:t xml:space="preserve">from market gardening products and irrigation water in Cotonou confirmed a higher percentage of well water for irrigation about (53.85%) than of this study which recorded </w:t>
      </w:r>
      <w:r>
        <w:rPr>
          <w:shd w:val="clear" w:color="auto" w:fill="FFFFFF"/>
        </w:rPr>
        <w:t>(36.59%).</w:t>
      </w:r>
    </w:p>
    <w:p w:rsidR="00B5307B" w:rsidRDefault="002A02F6">
      <w:pPr>
        <w:pStyle w:val="NormalWeb"/>
        <w:spacing w:before="240" w:beforeAutospacing="0" w:after="240" w:afterAutospacing="0" w:line="276" w:lineRule="auto"/>
        <w:jc w:val="both"/>
      </w:pPr>
      <w:r>
        <w:t>The results for colony count using the dilution factor of 10</w:t>
      </w:r>
      <w:r>
        <w:rPr>
          <w:vertAlign w:val="superscript"/>
        </w:rPr>
        <w:t>-4</w:t>
      </w:r>
      <w:r>
        <w:t xml:space="preserve"> shows that, stagnant water fed pond samples have higher level of contamination by having high number of colonies counted than samples from well water fed pond with the lower number of counted colonies as shown in Table 3 and 4. This is due to its environmental conditions and exposure to pollutants, as several factors such as; lack of movement and aeration, accumulation of organic matter, lack of filtration and direct human or animal contact.</w:t>
      </w:r>
    </w:p>
    <w:p w:rsidR="00B5307B" w:rsidRDefault="002A02F6">
      <w:pPr>
        <w:pStyle w:val="NormalWeb"/>
        <w:spacing w:before="240" w:beforeAutospacing="0" w:after="240" w:afterAutospacing="0" w:line="276" w:lineRule="auto"/>
        <w:jc w:val="both"/>
        <w:rPr>
          <w:shd w:val="clear" w:color="auto" w:fill="FFFFFF"/>
        </w:rPr>
      </w:pPr>
      <w:r>
        <w:rPr>
          <w:shd w:val="clear" w:color="auto" w:fill="FFFFFF"/>
        </w:rPr>
        <w:t xml:space="preserve">The occurrence of </w:t>
      </w:r>
      <w:r>
        <w:rPr>
          <w:i/>
          <w:shd w:val="clear" w:color="auto" w:fill="FFFFFF"/>
        </w:rPr>
        <w:t>S. aureus</w:t>
      </w:r>
      <w:r>
        <w:rPr>
          <w:shd w:val="clear" w:color="auto" w:fill="FFFFFF"/>
        </w:rPr>
        <w:t xml:space="preserve"> and </w:t>
      </w:r>
      <w:r>
        <w:rPr>
          <w:i/>
          <w:shd w:val="clear" w:color="auto" w:fill="FFFFFF"/>
        </w:rPr>
        <w:t>S. epidermidis</w:t>
      </w:r>
      <w:r>
        <w:rPr>
          <w:shd w:val="clear" w:color="auto" w:fill="FFFFFF"/>
        </w:rPr>
        <w:t xml:space="preserve"> among the two different water sources, namely well water fed pond and stagnant water fed pond were   41  isolates: 23 (56.10%) were </w:t>
      </w:r>
      <w:r>
        <w:rPr>
          <w:i/>
          <w:shd w:val="clear" w:color="auto" w:fill="FFFFFF"/>
        </w:rPr>
        <w:t>S aureus</w:t>
      </w:r>
      <w:r>
        <w:rPr>
          <w:shd w:val="clear" w:color="auto" w:fill="FFFFFF"/>
        </w:rPr>
        <w:t xml:space="preserve"> while 18 (43.90%) isolates were </w:t>
      </w:r>
      <w:r>
        <w:rPr>
          <w:i/>
          <w:shd w:val="clear" w:color="auto" w:fill="FFFFFF"/>
        </w:rPr>
        <w:t>S. epidermidis.</w:t>
      </w:r>
      <w:r>
        <w:rPr>
          <w:shd w:val="clear" w:color="auto" w:fill="FFFFFF"/>
        </w:rPr>
        <w:t xml:space="preserve"> This result is similar to the study of Goldstein </w:t>
      </w:r>
      <w:r>
        <w:rPr>
          <w:i/>
          <w:shd w:val="clear" w:color="auto" w:fill="FFFFFF"/>
        </w:rPr>
        <w:t xml:space="preserve">et al, </w:t>
      </w:r>
      <w:r>
        <w:rPr>
          <w:shd w:val="clear" w:color="auto" w:fill="FFFFFF"/>
        </w:rPr>
        <w:t xml:space="preserve">(2017). Who isolated methicilin resistant </w:t>
      </w:r>
      <w:r>
        <w:rPr>
          <w:i/>
          <w:shd w:val="clear" w:color="auto" w:fill="FFFFFF"/>
        </w:rPr>
        <w:t>Staphylococcus aureus</w:t>
      </w:r>
      <w:r>
        <w:rPr>
          <w:shd w:val="clear" w:color="auto" w:fill="FFFFFF"/>
        </w:rPr>
        <w:t xml:space="preserve">, Yadav </w:t>
      </w:r>
      <w:r>
        <w:rPr>
          <w:i/>
          <w:shd w:val="clear" w:color="auto" w:fill="FFFFFF"/>
        </w:rPr>
        <w:t xml:space="preserve">et al, </w:t>
      </w:r>
      <w:r>
        <w:rPr>
          <w:shd w:val="clear" w:color="auto" w:fill="FFFFFF"/>
        </w:rPr>
        <w:t>(</w:t>
      </w:r>
      <w:r>
        <w:t xml:space="preserve">2020) also isolated </w:t>
      </w:r>
      <w:r>
        <w:rPr>
          <w:i/>
        </w:rPr>
        <w:t>S. aureus</w:t>
      </w:r>
      <w:r>
        <w:t xml:space="preserve"> from outdoor water. </w:t>
      </w:r>
      <w:r>
        <w:rPr>
          <w:shd w:val="clear" w:color="auto" w:fill="FFFFFF"/>
        </w:rPr>
        <w:t xml:space="preserve">Out of the 23 </w:t>
      </w:r>
      <w:r>
        <w:rPr>
          <w:i/>
          <w:shd w:val="clear" w:color="auto" w:fill="FFFFFF"/>
        </w:rPr>
        <w:t xml:space="preserve">S. aureus </w:t>
      </w:r>
      <w:r>
        <w:rPr>
          <w:shd w:val="clear" w:color="auto" w:fill="FFFFFF"/>
        </w:rPr>
        <w:t xml:space="preserve">isolates, 15 (65.22%) were isolated from Aliero Local Government Area, while 8 (34.78%) were from Jega Local Government Area. Examination of the occurrence of </w:t>
      </w:r>
      <w:r>
        <w:rPr>
          <w:i/>
          <w:shd w:val="clear" w:color="auto" w:fill="FFFFFF"/>
        </w:rPr>
        <w:t>S. aureus</w:t>
      </w:r>
      <w:r>
        <w:rPr>
          <w:shd w:val="clear" w:color="auto" w:fill="FFFFFF"/>
        </w:rPr>
        <w:t xml:space="preserve"> based on sampling locations indicated that stagnant water fed ponds exhibited the highest prevalence in Jega Local Government Area, standing at 62.50%, whereas Aliero Local Government Area demonstrated the lower prevalence at 60.00%. Additionally, the prevalence of </w:t>
      </w:r>
      <w:r>
        <w:rPr>
          <w:i/>
          <w:shd w:val="clear" w:color="auto" w:fill="FFFFFF"/>
        </w:rPr>
        <w:t>S. aureus</w:t>
      </w:r>
      <w:r>
        <w:rPr>
          <w:shd w:val="clear" w:color="auto" w:fill="FFFFFF"/>
        </w:rPr>
        <w:t xml:space="preserve"> in well water fed ponds indicated that Aliero Local Government Area recorded the highest prevalence at 40.00%, in contrast to Jega Local Government Area with 37.50%. This study corresponds to the study of Akpo &amp; Mukoro (2020) who reported the presence of gram positive bacteria such as </w:t>
      </w:r>
      <w:r>
        <w:rPr>
          <w:i/>
          <w:shd w:val="clear" w:color="auto" w:fill="FFFFFF"/>
        </w:rPr>
        <w:t>S. aureus, S. epidermidis</w:t>
      </w:r>
      <w:r>
        <w:rPr>
          <w:shd w:val="clear" w:color="auto" w:fill="FFFFFF"/>
        </w:rPr>
        <w:t xml:space="preserve"> and </w:t>
      </w:r>
      <w:r>
        <w:rPr>
          <w:i/>
          <w:shd w:val="clear" w:color="auto" w:fill="FFFFFF"/>
        </w:rPr>
        <w:t>Actinomyces</w:t>
      </w:r>
      <w:r>
        <w:rPr>
          <w:shd w:val="clear" w:color="auto" w:fill="FFFFFF"/>
        </w:rPr>
        <w:t xml:space="preserve"> indicating human and animal activities which are carried out in the water, since they are mostly normal flora.</w:t>
      </w:r>
    </w:p>
    <w:p w:rsidR="00B5307B" w:rsidRDefault="002A02F6">
      <w:pPr>
        <w:pStyle w:val="NormalWeb"/>
        <w:spacing w:before="240" w:beforeAutospacing="0" w:after="240" w:afterAutospacing="0" w:line="276" w:lineRule="auto"/>
        <w:jc w:val="both"/>
      </w:pPr>
      <w:r>
        <w:t xml:space="preserve">The results for screening the identified </w:t>
      </w:r>
      <w:r>
        <w:rPr>
          <w:rStyle w:val="Emphasis"/>
          <w:rFonts w:eastAsia="SimSun"/>
        </w:rPr>
        <w:t>S. aureus</w:t>
      </w:r>
      <w:r>
        <w:t xml:space="preserve"> isolates for resistance to commonly used antibiotics indicated a substantial number of isolates exhibiting resistance to one or more antibiotics, highlighting the growing challenge of antimicrobial resistance (AMR) in environmental samples. Resistance to commonly used antibiotics such as Amoxacillin and Levofloxacin was particularly alarming, given that these drugs are critical in managing </w:t>
      </w:r>
      <w:r>
        <w:rPr>
          <w:rStyle w:val="Emphasis"/>
          <w:rFonts w:eastAsia="SimSun"/>
        </w:rPr>
        <w:t>S. aureus</w:t>
      </w:r>
      <w:r>
        <w:t xml:space="preserve"> associated infections. The resistance patterns observed in this study mirror findings </w:t>
      </w:r>
      <w:r>
        <w:lastRenderedPageBreak/>
        <w:t xml:space="preserve">from other regions where </w:t>
      </w:r>
      <w:r>
        <w:rPr>
          <w:rStyle w:val="Emphasis"/>
          <w:rFonts w:eastAsia="SimSun"/>
        </w:rPr>
        <w:t>S. aureus</w:t>
      </w:r>
      <w:r>
        <w:t xml:space="preserve"> isolates displayed multidrug resistance profiles (Bougnom </w:t>
      </w:r>
      <w:r>
        <w:rPr>
          <w:i/>
        </w:rPr>
        <w:t>et al</w:t>
      </w:r>
      <w:r>
        <w:t>., 2020).</w:t>
      </w:r>
    </w:p>
    <w:p w:rsidR="00B5307B" w:rsidRDefault="002A02F6">
      <w:pPr>
        <w:spacing w:before="240" w:beforeAutospacing="0" w:after="240" w:line="276" w:lineRule="auto"/>
        <w:jc w:val="both"/>
        <w:rPr>
          <w:rFonts w:ascii="Times New Roman" w:hAnsi="Times New Roman"/>
          <w:sz w:val="24"/>
          <w:szCs w:val="24"/>
        </w:rPr>
      </w:pPr>
      <w:r>
        <w:rPr>
          <w:rFonts w:ascii="Times New Roman" w:hAnsi="Times New Roman"/>
          <w:sz w:val="24"/>
          <w:szCs w:val="24"/>
        </w:rPr>
        <w:t xml:space="preserve">The high prevalence of resistant strains underscores the potential impact of indiscriminate antibiotic use in humans and livestock, leading to the dissemination of resistance genes into environmental water sources. These findings align with the World Health Organization’s (WHO) global priority pathogens list, which identifies methicillin resistant </w:t>
      </w:r>
      <w:r>
        <w:rPr>
          <w:rStyle w:val="Emphasis"/>
          <w:rFonts w:ascii="Times New Roman" w:eastAsia="SimSun" w:hAnsi="Times New Roman"/>
          <w:sz w:val="24"/>
          <w:szCs w:val="24"/>
        </w:rPr>
        <w:t>S. aureus</w:t>
      </w:r>
      <w:r>
        <w:rPr>
          <w:rFonts w:ascii="Times New Roman" w:hAnsi="Times New Roman"/>
          <w:sz w:val="24"/>
          <w:szCs w:val="24"/>
        </w:rPr>
        <w:t xml:space="preserve"> (MRSA) and vancomycin resistant </w:t>
      </w:r>
      <w:r>
        <w:rPr>
          <w:rStyle w:val="Emphasis"/>
          <w:rFonts w:ascii="Times New Roman" w:eastAsia="SimSun" w:hAnsi="Times New Roman"/>
          <w:sz w:val="24"/>
          <w:szCs w:val="24"/>
        </w:rPr>
        <w:t>S. aureus</w:t>
      </w:r>
      <w:r>
        <w:rPr>
          <w:rFonts w:ascii="Times New Roman" w:hAnsi="Times New Roman"/>
          <w:sz w:val="24"/>
          <w:szCs w:val="24"/>
        </w:rPr>
        <w:t xml:space="preserve"> (VRSA) as significant threats requiring urgent intervention (WHO, 2017). The presence of such resistant strains in irrigation water raises concerns about the broader implications for food safety, agricultural sustainability, and public health.</w:t>
      </w:r>
    </w:p>
    <w:p w:rsidR="00B5307B" w:rsidRDefault="002A02F6">
      <w:pPr>
        <w:spacing w:before="240" w:beforeAutospacing="0" w:after="240" w:line="276" w:lineRule="auto"/>
        <w:jc w:val="both"/>
        <w:rPr>
          <w:rFonts w:ascii="Times New Roman" w:hAnsi="Times New Roman"/>
          <w:b/>
          <w:sz w:val="24"/>
          <w:szCs w:val="24"/>
        </w:rPr>
      </w:pPr>
      <w:r>
        <w:rPr>
          <w:rFonts w:ascii="Times New Roman" w:hAnsi="Times New Roman"/>
          <w:b/>
          <w:sz w:val="24"/>
          <w:szCs w:val="24"/>
        </w:rPr>
        <w:t>Conclusion</w:t>
      </w:r>
    </w:p>
    <w:p w:rsidR="00B5307B" w:rsidRDefault="002A02F6">
      <w:pPr>
        <w:spacing w:before="240" w:beforeAutospacing="0" w:after="240" w:line="276" w:lineRule="auto"/>
        <w:jc w:val="both"/>
        <w:rPr>
          <w:rFonts w:ascii="Times New Roman" w:hAnsi="Times New Roman"/>
          <w:sz w:val="24"/>
          <w:szCs w:val="24"/>
          <w:shd w:val="clear" w:color="auto" w:fill="FFFFFF"/>
        </w:rPr>
      </w:pPr>
      <w:r>
        <w:rPr>
          <w:rFonts w:ascii="Times New Roman" w:hAnsi="Times New Roman"/>
          <w:sz w:val="24"/>
          <w:szCs w:val="24"/>
        </w:rPr>
        <w:t xml:space="preserve">This study illustrates that irrigation water sources in Alero and Jega Local Government Areas are also intermittently polluted with bacterial species, especially </w:t>
      </w:r>
      <w:r>
        <w:rPr>
          <w:rFonts w:ascii="Times New Roman" w:hAnsi="Times New Roman"/>
          <w:i/>
          <w:sz w:val="24"/>
          <w:szCs w:val="24"/>
        </w:rPr>
        <w:t>Staphylococcus aureus</w:t>
      </w:r>
      <w:r>
        <w:rPr>
          <w:rFonts w:ascii="Times New Roman" w:hAnsi="Times New Roman"/>
          <w:sz w:val="24"/>
          <w:szCs w:val="24"/>
        </w:rPr>
        <w:t xml:space="preserve"> and </w:t>
      </w:r>
      <w:r>
        <w:rPr>
          <w:rFonts w:ascii="Times New Roman" w:hAnsi="Times New Roman"/>
          <w:i/>
          <w:sz w:val="24"/>
          <w:szCs w:val="24"/>
        </w:rPr>
        <w:t>Staphylococcus epidermidis</w:t>
      </w:r>
      <w:r>
        <w:rPr>
          <w:rFonts w:ascii="Times New Roman" w:hAnsi="Times New Roman"/>
          <w:sz w:val="24"/>
          <w:szCs w:val="24"/>
        </w:rPr>
        <w:t xml:space="preserve">. Ponds that had stagnant water had a high level of microbial loads and had a higher percentage of bacterial isolates than the well water fed ponds indicating their susceptibility to microbial proliferation. The most common isolate was </w:t>
      </w:r>
      <w:r>
        <w:rPr>
          <w:rFonts w:ascii="Times New Roman" w:hAnsi="Times New Roman"/>
          <w:i/>
          <w:sz w:val="24"/>
          <w:szCs w:val="24"/>
        </w:rPr>
        <w:t>S. aureus</w:t>
      </w:r>
      <w:r>
        <w:rPr>
          <w:rFonts w:ascii="Times New Roman" w:hAnsi="Times New Roman"/>
          <w:sz w:val="24"/>
          <w:szCs w:val="24"/>
        </w:rPr>
        <w:t xml:space="preserve"> with 56.10% of all bacterial isolates and most commonly recovered in stagnant ponds, which suggests a health and agricultural risk. The results highlight the importance of better water management and continuous monitoring of the sources of irrigation to reduce the value of introducing the pathogenic bacteria into the agricultural system and the food chain as a whole in these areas.</w:t>
      </w:r>
    </w:p>
    <w:p w:rsidR="00B5307B" w:rsidRDefault="002A02F6">
      <w:pPr>
        <w:spacing w:before="240" w:beforeAutospacing="0" w:after="240" w:line="276"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Recommendations</w:t>
      </w:r>
    </w:p>
    <w:p w:rsidR="00B5307B" w:rsidRDefault="002A02F6">
      <w:pPr>
        <w:spacing w:before="240" w:beforeAutospacing="0" w:after="240" w:line="276" w:lineRule="auto"/>
        <w:jc w:val="both"/>
        <w:rPr>
          <w:rFonts w:ascii="Times New Roman" w:hAnsi="Times New Roman"/>
          <w:sz w:val="24"/>
          <w:szCs w:val="24"/>
        </w:rPr>
      </w:pPr>
      <w:r>
        <w:rPr>
          <w:rFonts w:ascii="Times New Roman" w:hAnsi="Times New Roman"/>
          <w:sz w:val="24"/>
          <w:szCs w:val="24"/>
        </w:rPr>
        <w:t>Based on the results of this study, it is advised that water sources used in irrigation like stagnant water fed ponds in Jega and Alero Local Government Areas should be regularly monitored with respect to microbes to identify and control contamination. To reduce water contamination, farmers and other concerned authorities ought to put in place measures of water treatment, including regular disinfection or filtration and embrace good water management practices. Also, sensitization efforts ought to be undertaken to sensitize the nearby farmers about the dangers of using contaminated water to irrigate their farms and the need to ensure hygienic sources of water. It is also recommended to conduct further research to identify existence of certain pathogenic bacteria and its possible effects on crop safety and health.</w:t>
      </w:r>
    </w:p>
    <w:p w:rsidR="00B5307B" w:rsidRDefault="00B5307B">
      <w:pPr>
        <w:spacing w:before="240" w:beforeAutospacing="0" w:after="240" w:line="276" w:lineRule="auto"/>
        <w:jc w:val="both"/>
        <w:rPr>
          <w:rFonts w:ascii="Times New Roman" w:hAnsi="Times New Roman"/>
          <w:sz w:val="24"/>
          <w:szCs w:val="24"/>
        </w:rPr>
      </w:pPr>
    </w:p>
    <w:p w:rsidR="00B5307B" w:rsidRDefault="002A02F6">
      <w:pPr>
        <w:spacing w:before="0" w:beforeAutospacing="0" w:line="276" w:lineRule="auto"/>
        <w:rPr>
          <w:rFonts w:ascii="Arial" w:hAnsi="Arial" w:cs="Arial"/>
          <w:b/>
          <w:bCs/>
          <w:lang w:val="en-GB" w:eastAsia="en-GB"/>
        </w:rPr>
      </w:pPr>
      <w:r>
        <w:rPr>
          <w:rFonts w:ascii="Arial" w:hAnsi="Arial" w:cs="Arial"/>
          <w:b/>
          <w:bCs/>
          <w:lang w:val="en-GB" w:eastAsia="en-GB"/>
        </w:rPr>
        <w:t>COMPETING INTERESTS:</w:t>
      </w:r>
    </w:p>
    <w:p w:rsidR="00B5307B" w:rsidRDefault="002A02F6">
      <w:pPr>
        <w:spacing w:before="0" w:beforeAutospacing="0" w:line="276" w:lineRule="auto"/>
        <w:rPr>
          <w:lang w:val="en-GB" w:eastAsia="en-GB"/>
        </w:rPr>
      </w:pPr>
      <w:r>
        <w:rPr>
          <w:rFonts w:ascii="Arial" w:hAnsi="Arial" w:cs="Arial"/>
          <w:lang w:val="en-GB" w:eastAsia="en-GB"/>
        </w:rPr>
        <w:t>Authors have declared that they have no known competing financial interests OR non-financial interests OR personal relationships that could have appeared to influence the work reported in this paper.</w:t>
      </w:r>
    </w:p>
    <w:p w:rsidR="00B5307B" w:rsidRDefault="002A02F6">
      <w:pPr>
        <w:spacing w:before="0" w:beforeAutospacing="0" w:after="0" w:line="240" w:lineRule="auto"/>
        <w:rPr>
          <w:rFonts w:ascii="Arial" w:eastAsia="Calibri" w:hAnsi="Arial" w:cs="Arial"/>
          <w:kern w:val="2"/>
          <w:highlight w:val="yellow"/>
        </w:rPr>
      </w:pPr>
      <w:bookmarkStart w:id="13" w:name="_Hlk198031404"/>
      <w:bookmarkStart w:id="14" w:name="_Hlk221186719"/>
      <w:r>
        <w:rPr>
          <w:rFonts w:ascii="Arial" w:eastAsia="Calibri" w:hAnsi="Arial" w:cs="Arial"/>
          <w:kern w:val="2"/>
          <w:highlight w:val="yellow"/>
        </w:rPr>
        <w:t>Disclaimer (Artificial intelligence)</w:t>
      </w:r>
    </w:p>
    <w:p w:rsidR="00B5307B" w:rsidRDefault="00B5307B">
      <w:pPr>
        <w:spacing w:before="0" w:beforeAutospacing="0" w:after="0" w:line="240" w:lineRule="auto"/>
        <w:rPr>
          <w:rFonts w:ascii="Arial" w:eastAsia="Calibri" w:hAnsi="Arial" w:cs="Arial"/>
          <w:kern w:val="2"/>
          <w:highlight w:val="yellow"/>
        </w:rPr>
      </w:pPr>
    </w:p>
    <w:p w:rsidR="00B5307B" w:rsidRDefault="002A02F6">
      <w:pPr>
        <w:spacing w:before="0" w:beforeAutospacing="0" w:after="0" w:line="240" w:lineRule="auto"/>
        <w:rPr>
          <w:rFonts w:ascii="Arial" w:eastAsia="Calibri" w:hAnsi="Arial" w:cs="Arial"/>
          <w:kern w:val="2"/>
          <w:highlight w:val="yellow"/>
        </w:rPr>
      </w:pPr>
      <w:r>
        <w:rPr>
          <w:rFonts w:ascii="Arial" w:eastAsia="Calibri" w:hAnsi="Arial" w:cs="Arial"/>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rsidR="00B5307B" w:rsidRDefault="002A02F6">
      <w:pPr>
        <w:spacing w:before="0" w:beforeAutospacing="0" w:after="0" w:line="240" w:lineRule="auto"/>
        <w:rPr>
          <w:rFonts w:ascii="Arial" w:eastAsia="Calibri" w:hAnsi="Arial" w:cs="Arial"/>
          <w:kern w:val="2"/>
          <w:highlight w:val="yellow"/>
        </w:rPr>
      </w:pPr>
      <w:r>
        <w:rPr>
          <w:rFonts w:ascii="Arial" w:eastAsia="Calibri" w:hAnsi="Arial" w:cs="Arial"/>
          <w:kern w:val="2"/>
          <w:highlight w:val="yellow"/>
        </w:rPr>
        <w:t xml:space="preserve">No at all. Thank you for the peer review. </w:t>
      </w:r>
    </w:p>
    <w:bookmarkEnd w:id="13"/>
    <w:p w:rsidR="00B5307B" w:rsidRDefault="00B5307B">
      <w:pPr>
        <w:spacing w:before="0" w:beforeAutospacing="0" w:line="276" w:lineRule="auto"/>
        <w:rPr>
          <w:rFonts w:eastAsia="Calibri"/>
          <w:kern w:val="2"/>
        </w:rPr>
      </w:pPr>
    </w:p>
    <w:bookmarkEnd w:id="14"/>
    <w:p w:rsidR="00B5307B" w:rsidRDefault="00B5307B">
      <w:pPr>
        <w:spacing w:before="240" w:beforeAutospacing="0" w:after="240" w:line="276" w:lineRule="auto"/>
        <w:jc w:val="both"/>
        <w:rPr>
          <w:rFonts w:ascii="Times New Roman" w:hAnsi="Times New Roman"/>
          <w:b/>
          <w:sz w:val="24"/>
          <w:szCs w:val="24"/>
          <w:shd w:val="clear" w:color="auto" w:fill="FFFFFF"/>
        </w:rPr>
      </w:pPr>
    </w:p>
    <w:p w:rsidR="00B5307B" w:rsidRDefault="002A02F6">
      <w:pPr>
        <w:pStyle w:val="Heading1"/>
      </w:pPr>
      <w:r>
        <w:lastRenderedPageBreak/>
        <w:t>Reference</w:t>
      </w:r>
    </w:p>
    <w:p w:rsidR="00B5307B" w:rsidRDefault="002A02F6">
      <w:pPr>
        <w:pStyle w:val="Heading1"/>
      </w:pPr>
      <w:r>
        <w:t>Akpo, C. O., &amp; Mukoro, J. (2020). Bacteriological and Physiochemical Analysis of Water from River Ethiope, Abraka. </w:t>
      </w:r>
      <w:r>
        <w:rPr>
          <w:i/>
          <w:iCs/>
        </w:rPr>
        <w:t>Sokoto Journal of Medical Laboratory Science</w:t>
      </w:r>
      <w:r>
        <w:t>, </w:t>
      </w:r>
      <w:r>
        <w:rPr>
          <w:i/>
          <w:iCs/>
        </w:rPr>
        <w:t>5</w:t>
      </w:r>
      <w:r>
        <w:t>(1).</w:t>
      </w:r>
    </w:p>
    <w:p w:rsidR="00B5307B" w:rsidRDefault="002A02F6">
      <w:pPr>
        <w:pStyle w:val="Heading1"/>
        <w:rPr>
          <w:rStyle w:val="Hyperlink"/>
          <w:b w:val="0"/>
        </w:rPr>
      </w:pPr>
      <w:r>
        <w:t>Alegbeleye, O. O., Singleton, I., &amp; Sant'Ana, A. S. (2018). Sources and contamination routes of microbial pathogens to fresh produce during field cultivation: A review. </w:t>
      </w:r>
      <w:r>
        <w:rPr>
          <w:i/>
          <w:iCs/>
        </w:rPr>
        <w:t>Food microbiology</w:t>
      </w:r>
      <w:r>
        <w:t>, </w:t>
      </w:r>
      <w:r>
        <w:rPr>
          <w:i/>
          <w:iCs/>
        </w:rPr>
        <w:t>73</w:t>
      </w:r>
      <w:r>
        <w:t xml:space="preserve">, 177–208. </w:t>
      </w:r>
      <w:hyperlink r:id="rId7" w:history="1">
        <w:r>
          <w:rPr>
            <w:rStyle w:val="Hyperlink"/>
            <w:b w:val="0"/>
            <w:color w:val="auto"/>
          </w:rPr>
          <w:t>https://doi.org/10.1016/j.fm.2018.01.003</w:t>
        </w:r>
      </w:hyperlink>
    </w:p>
    <w:p w:rsidR="00B5307B" w:rsidRDefault="002A02F6">
      <w:pPr>
        <w:pStyle w:val="Heading1"/>
      </w:pPr>
      <w:r>
        <w:t>Bougnom, B. P., Thiele-Bruhn, S., Ricci, V., Zongo, C., &amp; Piddock, L. J. V. (2020). Raw 2wastewater irrigation for urban agriculture in three African cities increases the abundance of transferable antibiotic resistance genes in soil, including those encoding extended spectrum β-lactamases (ESBLs). </w:t>
      </w:r>
      <w:r>
        <w:rPr>
          <w:i/>
          <w:iCs/>
        </w:rPr>
        <w:t>Science of the Total Environment</w:t>
      </w:r>
      <w:r>
        <w:t>, </w:t>
      </w:r>
      <w:r>
        <w:rPr>
          <w:i/>
          <w:iCs/>
        </w:rPr>
        <w:t>698</w:t>
      </w:r>
      <w:r>
        <w:t>, 134201.</w:t>
      </w:r>
    </w:p>
    <w:p w:rsidR="00B5307B" w:rsidRDefault="002A02F6">
      <w:pPr>
        <w:pStyle w:val="Heading1"/>
      </w:pPr>
      <w:r>
        <w:t>Dewi, M., Martianto, D., Andarwulan, N., Kazimierczak, R., &amp; Średnicka-Tober, D. (2024). Plant sterol-enriched palm oil intervention to improve lipid profile and inflammation status in hyperlipidemic individuals. </w:t>
      </w:r>
      <w:r>
        <w:rPr>
          <w:i/>
          <w:iCs/>
        </w:rPr>
        <w:t>Nutrients</w:t>
      </w:r>
      <w:r>
        <w:t>, </w:t>
      </w:r>
      <w:r>
        <w:rPr>
          <w:i/>
          <w:iCs/>
        </w:rPr>
        <w:t>16</w:t>
      </w:r>
      <w:r>
        <w:t>(19), 3370.</w:t>
      </w:r>
    </w:p>
    <w:p w:rsidR="00B5307B" w:rsidRDefault="002A02F6">
      <w:pPr>
        <w:pStyle w:val="Heading1"/>
      </w:pPr>
      <w:r>
        <w:t>Gunasekaran, P. (2007). </w:t>
      </w:r>
      <w:r>
        <w:rPr>
          <w:i/>
          <w:iCs/>
        </w:rPr>
        <w:t>Laboratory manual in microbiology</w:t>
      </w:r>
      <w:r>
        <w:t>. New Age International.</w:t>
      </w:r>
    </w:p>
    <w:p w:rsidR="00B5307B" w:rsidRDefault="002A02F6">
      <w:pPr>
        <w:pStyle w:val="Heading1"/>
      </w:pPr>
      <w:r>
        <w:t>Hammer, H. F., Fox, M. R., Keller, J., Salvatore, S., Basilisco, G., Hammer, J., &amp; European H2</w:t>
      </w:r>
      <w:r>
        <w:rPr>
          <w:rFonts w:ascii="Cambria Math" w:hAnsi="Cambria Math" w:cs="Cambria Math"/>
        </w:rPr>
        <w:t>‐</w:t>
      </w:r>
      <w:r>
        <w:t>CH4</w:t>
      </w:r>
      <w:r>
        <w:rPr>
          <w:rFonts w:ascii="Cambria Math" w:hAnsi="Cambria Math" w:cs="Cambria Math"/>
        </w:rPr>
        <w:t>‐</w:t>
      </w:r>
      <w:r>
        <w:t xml:space="preserve">Breath Test Group. (2022). European guideline on indications, performance and clinical impact of hydrogen and methane breath tests in adult and pediatric patients: European Association for Gastroenterology, Endoscopy and Nutrition, European Society </w:t>
      </w:r>
      <w:r>
        <w:tab/>
        <w:t>of Neurogastroenterology and Motility, and European Society for Paediatric</w:t>
      </w:r>
      <w:r>
        <w:tab/>
        <w:t>Gastroenterology Hepatology and Nutrition consensus. </w:t>
      </w:r>
      <w:r>
        <w:rPr>
          <w:i/>
          <w:iCs/>
        </w:rPr>
        <w:t>United European gastroenterology journal</w:t>
      </w:r>
      <w:r>
        <w:t>, </w:t>
      </w:r>
      <w:r>
        <w:rPr>
          <w:i/>
          <w:iCs/>
        </w:rPr>
        <w:t>10</w:t>
      </w:r>
      <w:r>
        <w:t xml:space="preserve">(1): 15-40. </w:t>
      </w:r>
    </w:p>
    <w:p w:rsidR="00B5307B" w:rsidRDefault="002A02F6">
      <w:pPr>
        <w:pStyle w:val="Heading1"/>
      </w:pPr>
      <w:r>
        <w:t xml:space="preserve">Ikram, M., Naeem, M., Zahoor, M., Rahim, A., Hanafiah, M. M., Oyekanmi, A. A. &amp; Sadiq, A. (2022). Biodegradation of azo dye methyl red by </w:t>
      </w:r>
      <w:r>
        <w:rPr>
          <w:i/>
        </w:rPr>
        <w:t>Pseudomonas aeruginosa</w:t>
      </w:r>
      <w:r>
        <w:t>: optimization of process conditions. </w:t>
      </w:r>
      <w:r>
        <w:rPr>
          <w:i/>
          <w:iCs/>
        </w:rPr>
        <w:t>International Journal of Environmental Research and Public Health</w:t>
      </w:r>
      <w:r>
        <w:t>, </w:t>
      </w:r>
      <w:r>
        <w:rPr>
          <w:i/>
          <w:iCs/>
        </w:rPr>
        <w:t>19</w:t>
      </w:r>
      <w:r>
        <w:t>(16): 9962.</w:t>
      </w:r>
    </w:p>
    <w:p w:rsidR="00B5307B" w:rsidRDefault="002A02F6">
      <w:pPr>
        <w:pStyle w:val="Heading1"/>
      </w:pPr>
      <w:r>
        <w:t>Malakar, A., Snow, D. D., &amp; Ray, C. (2019). Irrigation Water Quality—A Contemporary Perspective. </w:t>
      </w:r>
      <w:r>
        <w:rPr>
          <w:rStyle w:val="Emphasis"/>
          <w:b w:val="0"/>
        </w:rPr>
        <w:t>Water</w:t>
      </w:r>
      <w:r>
        <w:t>, </w:t>
      </w:r>
      <w:r>
        <w:rPr>
          <w:rStyle w:val="Emphasis"/>
          <w:b w:val="0"/>
        </w:rPr>
        <w:t>11</w:t>
      </w:r>
      <w:r>
        <w:t xml:space="preserve">(7), 1482. </w:t>
      </w:r>
      <w:hyperlink r:id="rId8" w:history="1">
        <w:r>
          <w:rPr>
            <w:rStyle w:val="Hyperlink"/>
            <w:b w:val="0"/>
          </w:rPr>
          <w:t>https://doi.org/10.3390/w11071482</w:t>
        </w:r>
      </w:hyperlink>
    </w:p>
    <w:p w:rsidR="00B5307B" w:rsidRDefault="002A02F6">
      <w:pPr>
        <w:pStyle w:val="Heading1"/>
        <w:rPr>
          <w:rStyle w:val="Emphasis"/>
          <w:b w:val="0"/>
          <w:i w:val="0"/>
          <w:iCs w:val="0"/>
          <w:lang w:val="fr-FR"/>
        </w:rPr>
      </w:pPr>
      <w:r>
        <w:t>Manpower Nigeria. (2023). About</w:t>
      </w:r>
      <w:r>
        <w:rPr>
          <w:i/>
        </w:rPr>
        <w:t xml:space="preserve"> </w:t>
      </w:r>
      <w:r>
        <w:rPr>
          <w:rStyle w:val="Emphasis"/>
          <w:b w:val="0"/>
          <w:i w:val="0"/>
        </w:rPr>
        <w:t xml:space="preserve">Jega Local Government Area, Kebbi State, Nigeria. </w:t>
      </w:r>
      <w:hyperlink r:id="rId9" w:history="1">
        <w:r>
          <w:rPr>
            <w:rStyle w:val="Hyperlink"/>
            <w:b w:val="0"/>
            <w:lang w:val="fr-FR"/>
          </w:rPr>
          <w:t>https://www.manpower.com.ng/places/lga/495/jega</w:t>
        </w:r>
      </w:hyperlink>
    </w:p>
    <w:p w:rsidR="00B5307B" w:rsidRDefault="002A02F6">
      <w:pPr>
        <w:pStyle w:val="Heading1"/>
        <w:rPr>
          <w:rStyle w:val="Hyperlink"/>
          <w:b w:val="0"/>
        </w:rPr>
      </w:pPr>
      <w:r>
        <w:rPr>
          <w:lang w:val="fr-FR"/>
        </w:rPr>
        <w:t xml:space="preserve">Meradji, S., Basher, N. S., Sassi, A., Ibrahim, N. A., Idres, T., &amp; Touati, A. (2025). </w:t>
      </w:r>
      <w:r>
        <w:t>The Role of Water as a Reservoir for Antibiotic-Resistant Bacteria. </w:t>
      </w:r>
      <w:r>
        <w:rPr>
          <w:i/>
          <w:iCs/>
        </w:rPr>
        <w:t>Antibiotics (Basel, Switzerland)</w:t>
      </w:r>
      <w:r>
        <w:t>, </w:t>
      </w:r>
      <w:r>
        <w:rPr>
          <w:i/>
          <w:iCs/>
        </w:rPr>
        <w:t>14</w:t>
      </w:r>
      <w:r>
        <w:t xml:space="preserve">(8), 763. </w:t>
      </w:r>
      <w:hyperlink r:id="rId10" w:history="1">
        <w:r>
          <w:rPr>
            <w:rStyle w:val="Hyperlink"/>
            <w:b w:val="0"/>
            <w:color w:val="auto"/>
          </w:rPr>
          <w:t>https://doi.org/10.3390/antibiotics14080763</w:t>
        </w:r>
      </w:hyperlink>
    </w:p>
    <w:p w:rsidR="00B5307B" w:rsidRDefault="002A02F6">
      <w:pPr>
        <w:pStyle w:val="Heading1"/>
      </w:pPr>
      <w:r>
        <w:lastRenderedPageBreak/>
        <w:t>Mola, I., Onibokun, A., &amp; Oranusi, S. (2021). Prevalence of multi-drug resistant bacteria associated with foods and drinks in Nigeria (2015-2020): A systematic review. </w:t>
      </w:r>
      <w:r>
        <w:rPr>
          <w:i/>
          <w:iCs/>
        </w:rPr>
        <w:t>Italian journal of food safety</w:t>
      </w:r>
      <w:r>
        <w:t>, </w:t>
      </w:r>
      <w:r>
        <w:rPr>
          <w:i/>
          <w:iCs/>
        </w:rPr>
        <w:t>10</w:t>
      </w:r>
      <w:r>
        <w:t>(4).</w:t>
      </w:r>
    </w:p>
    <w:p w:rsidR="00B5307B" w:rsidRDefault="002A02F6">
      <w:pPr>
        <w:pStyle w:val="Heading1"/>
      </w:pPr>
      <w:r>
        <w:t>Moussé, W., Sina, H., Dougnon, V. T., Azonwadé, F., Noumavo, P. A., Agbodjato, N. A., Assogba, S., Baba</w:t>
      </w:r>
      <w:r>
        <w:noBreakHyphen/>
        <w:t xml:space="preserve">Moussa, F., &amp; Adjanohoun, A. (2020). </w:t>
      </w:r>
      <w:r>
        <w:rPr>
          <w:rStyle w:val="Emphasis"/>
          <w:b w:val="0"/>
          <w:i w:val="0"/>
        </w:rPr>
        <w:t xml:space="preserve">Toxin production and antibiotic resistance of </w:t>
      </w:r>
      <w:r>
        <w:rPr>
          <w:rStyle w:val="Emphasis"/>
          <w:b w:val="0"/>
        </w:rPr>
        <w:t xml:space="preserve">Staphylococcus aureus </w:t>
      </w:r>
      <w:r>
        <w:rPr>
          <w:rStyle w:val="Emphasis"/>
          <w:b w:val="0"/>
          <w:i w:val="0"/>
        </w:rPr>
        <w:t>strains isolated from market gardening products and their irrigation water in Cotonou</w:t>
      </w:r>
      <w:r>
        <w:rPr>
          <w:rStyle w:val="Emphasis"/>
          <w:b w:val="0"/>
        </w:rPr>
        <w:t>, Benin</w:t>
      </w:r>
      <w:r>
        <w:t xml:space="preserve">. </w:t>
      </w:r>
      <w:r>
        <w:rPr>
          <w:i/>
        </w:rPr>
        <w:t xml:space="preserve">Journal of Agriculture and Food Research, </w:t>
      </w:r>
      <w:r>
        <w:rPr>
          <w:rStyle w:val="Strong"/>
          <w:i/>
        </w:rPr>
        <w:t>2</w:t>
      </w:r>
      <w:r>
        <w:t xml:space="preserve">, 100063. </w:t>
      </w:r>
      <w:hyperlink r:id="rId11" w:history="1">
        <w:r>
          <w:rPr>
            <w:rStyle w:val="Hyperlink"/>
            <w:b w:val="0"/>
            <w:color w:val="auto"/>
          </w:rPr>
          <w:t>https://doi.org/10.1016/j.jafr.2020.100063</w:t>
        </w:r>
      </w:hyperlink>
    </w:p>
    <w:p w:rsidR="00B5307B" w:rsidRDefault="002A02F6">
      <w:pPr>
        <w:pStyle w:val="Heading1"/>
      </w:pPr>
      <w:r>
        <w:t>Oladipo, A. O. (2020). </w:t>
      </w:r>
      <w:r>
        <w:rPr>
          <w:iCs/>
        </w:rPr>
        <w:t xml:space="preserve">Characterization of </w:t>
      </w:r>
      <w:r>
        <w:rPr>
          <w:i/>
          <w:iCs/>
        </w:rPr>
        <w:t>Staphylococcus aureus</w:t>
      </w:r>
      <w:r>
        <w:rPr>
          <w:iCs/>
        </w:rPr>
        <w:t xml:space="preserve"> from Nigeria and South Africa</w:t>
      </w:r>
      <w:r>
        <w:t> (Doctoral dissertation, North-West University (South Africa).</w:t>
      </w:r>
    </w:p>
    <w:p w:rsidR="00B5307B" w:rsidRDefault="002A02F6">
      <w:pPr>
        <w:pStyle w:val="Heading1"/>
        <w:rPr>
          <w:rStyle w:val="Hyperlink"/>
          <w:b w:val="0"/>
          <w:lang w:val="fr-FR"/>
        </w:rPr>
      </w:pPr>
      <w:r>
        <w:t xml:space="preserve"> Phan, A., Mijar, S., Harvey, C., &amp; Biswas, D. (2025). </w:t>
      </w:r>
      <w:r>
        <w:rPr>
          <w:rStyle w:val="Emphasis"/>
          <w:b w:val="0"/>
        </w:rPr>
        <w:t>Staphylococcus aureus</w:t>
      </w:r>
      <w:r>
        <w:t xml:space="preserve"> in Foodborne Diseases and Alternative Intervention Strategies to Overcome Antibiotic Resistance by Using Natural Antimicrobials. </w:t>
      </w:r>
      <w:r>
        <w:rPr>
          <w:i/>
          <w:lang w:val="fr-FR"/>
        </w:rPr>
        <w:t>Microorganisms</w:t>
      </w:r>
      <w:r>
        <w:rPr>
          <w:lang w:val="fr-FR"/>
        </w:rPr>
        <w:t xml:space="preserve"> </w:t>
      </w:r>
      <w:r>
        <w:rPr>
          <w:i/>
          <w:lang w:val="fr-FR"/>
        </w:rPr>
        <w:t>13</w:t>
      </w:r>
      <w:r>
        <w:rPr>
          <w:lang w:val="fr-FR"/>
        </w:rPr>
        <w:t>(8):1732. https://doi.org/</w:t>
      </w:r>
      <w:hyperlink r:id="rId12" w:tgtFrame="_blank" w:history="1">
        <w:r>
          <w:rPr>
            <w:rStyle w:val="Hyperlink"/>
            <w:b w:val="0"/>
            <w:color w:val="auto"/>
            <w:lang w:val="fr-FR"/>
          </w:rPr>
          <w:t>10.3390/microorganisms13081732</w:t>
        </w:r>
      </w:hyperlink>
    </w:p>
    <w:p w:rsidR="00B5307B" w:rsidRDefault="002A02F6">
      <w:pPr>
        <w:pStyle w:val="Heading1"/>
      </w:pPr>
      <w:r>
        <w:rPr>
          <w:lang w:val="fr-FR"/>
        </w:rPr>
        <w:t>Porrero, M. C., Harrison, E., Fernández</w:t>
      </w:r>
      <w:r>
        <w:rPr>
          <w:rFonts w:ascii="Cambria Math" w:hAnsi="Cambria Math" w:cs="Cambria Math"/>
          <w:lang w:val="fr-FR"/>
        </w:rPr>
        <w:t>‐</w:t>
      </w:r>
      <w:r>
        <w:rPr>
          <w:lang w:val="fr-FR"/>
        </w:rPr>
        <w:t>Garayzábal, J. F., Paterson, G. K., Díez</w:t>
      </w:r>
      <w:r>
        <w:rPr>
          <w:rFonts w:ascii="Cambria Math" w:hAnsi="Cambria Math" w:cs="Cambria Math"/>
          <w:lang w:val="fr-FR"/>
        </w:rPr>
        <w:t>‐</w:t>
      </w:r>
      <w:r>
        <w:rPr>
          <w:lang w:val="fr-FR"/>
        </w:rPr>
        <w:t xml:space="preserve">Guerrier, A., Holmes, M. A., &amp; Domínguez, L. (2014). </w:t>
      </w:r>
      <w:r>
        <w:t>Detection of mecC</w:t>
      </w:r>
      <w:r>
        <w:rPr>
          <w:rFonts w:ascii="Cambria Math" w:hAnsi="Cambria Math" w:cs="Cambria Math"/>
        </w:rPr>
        <w:t>‐</w:t>
      </w:r>
      <w:r>
        <w:t>M ethicillin</w:t>
      </w:r>
      <w:r>
        <w:rPr>
          <w:rFonts w:ascii="Cambria Math" w:hAnsi="Cambria Math" w:cs="Cambria Math"/>
        </w:rPr>
        <w:t>‐</w:t>
      </w:r>
      <w:r>
        <w:t xml:space="preserve">resistant </w:t>
      </w:r>
      <w:r>
        <w:rPr>
          <w:i/>
        </w:rPr>
        <w:t>S taphylococcus aureus</w:t>
      </w:r>
      <w:r>
        <w:t xml:space="preserve"> isolates in river water: a potential role for water in the environmental dissemination. </w:t>
      </w:r>
      <w:r>
        <w:rPr>
          <w:i/>
          <w:iCs/>
        </w:rPr>
        <w:t>Environmental microbiology reports</w:t>
      </w:r>
      <w:r>
        <w:t>, </w:t>
      </w:r>
      <w:r>
        <w:rPr>
          <w:i/>
          <w:iCs/>
        </w:rPr>
        <w:t>6</w:t>
      </w:r>
      <w:r>
        <w:t>(6): 705-708.</w:t>
      </w:r>
    </w:p>
    <w:p w:rsidR="00B5307B" w:rsidRDefault="002A02F6">
      <w:pPr>
        <w:pStyle w:val="Heading1"/>
      </w:pPr>
      <w:r>
        <w:t xml:space="preserve">Sahabi, M. S., Zeporah, S., Samira, A. A., Muhammad, K. Z., Yusuf, B. A., &amp; Naka, K. J. (2017). </w:t>
      </w:r>
      <w:r>
        <w:rPr>
          <w:rStyle w:val="Emphasis"/>
          <w:b w:val="0"/>
          <w:i w:val="0"/>
        </w:rPr>
        <w:t>Studies on the bacteriological quality of vegetable crops irrigated with domestic wastewater and tube</w:t>
      </w:r>
      <w:r>
        <w:rPr>
          <w:rStyle w:val="Emphasis"/>
          <w:b w:val="0"/>
          <w:i w:val="0"/>
        </w:rPr>
        <w:noBreakHyphen/>
        <w:t>well water in Aliero, Kebbi State, Nigeria</w:t>
      </w:r>
      <w:r>
        <w:rPr>
          <w:rStyle w:val="Emphasis"/>
          <w:b w:val="0"/>
        </w:rPr>
        <w:t>.</w:t>
      </w:r>
      <w:r>
        <w:t xml:space="preserve"> </w:t>
      </w:r>
      <w:r>
        <w:rPr>
          <w:rStyle w:val="Emphasis"/>
          <w:b w:val="0"/>
        </w:rPr>
        <w:t>World Journal of Microbiology, 4</w:t>
      </w:r>
      <w:r>
        <w:t>(2), 100</w:t>
      </w:r>
      <w:r>
        <w:noBreakHyphen/>
        <w:t xml:space="preserve">104. </w:t>
      </w:r>
    </w:p>
    <w:p w:rsidR="00B5307B" w:rsidRDefault="002A02F6">
      <w:pPr>
        <w:pStyle w:val="Heading1"/>
        <w:rPr>
          <w:rStyle w:val="Hyperlink"/>
          <w:b w:val="0"/>
        </w:rPr>
      </w:pPr>
      <w:r>
        <w:t>Sassi, A., Basher, N. S., Kirat, H., Meradji, S., Ibrahim, N. A., Idres, T., &amp; Touati, A. (2025). The Role of the Environment (Water, Air, Soil) in the Emergence and Dissemination of Antimicrobial Resistance: A One Health Perspective. </w:t>
      </w:r>
      <w:r>
        <w:rPr>
          <w:rStyle w:val="Emphasis"/>
          <w:b w:val="0"/>
        </w:rPr>
        <w:t>Antibiotics</w:t>
      </w:r>
      <w:r>
        <w:t>, </w:t>
      </w:r>
      <w:r>
        <w:rPr>
          <w:rStyle w:val="Emphasis"/>
          <w:b w:val="0"/>
        </w:rPr>
        <w:t>14</w:t>
      </w:r>
      <w:r>
        <w:t xml:space="preserve">(8), 764. </w:t>
      </w:r>
      <w:hyperlink r:id="rId13" w:history="1">
        <w:r>
          <w:rPr>
            <w:rStyle w:val="Hyperlink"/>
            <w:b w:val="0"/>
            <w:color w:val="auto"/>
          </w:rPr>
          <w:t>https://doi.org/10.3390/antibiotics14080764</w:t>
        </w:r>
      </w:hyperlink>
    </w:p>
    <w:p w:rsidR="00B5307B" w:rsidRDefault="002A02F6">
      <w:pPr>
        <w:pStyle w:val="Heading1"/>
      </w:pPr>
      <w:r>
        <w:t xml:space="preserve">Silva, V., Ferreira, E., Manageiro, V., Reis, L., Tejedor-Junco, M. T., Sampaio, A., &amp; Poeta, P. (2021). Distribution and Clonal Diversity of </w:t>
      </w:r>
      <w:r>
        <w:rPr>
          <w:i/>
        </w:rPr>
        <w:t>Staphylococcus aureus</w:t>
      </w:r>
      <w:r>
        <w:t xml:space="preserve"> and Other Staphylococci in Surface Waters: Detection of ST425-t742 and ST130-t843 mec C-Positive MRSA Strains. </w:t>
      </w:r>
      <w:r>
        <w:rPr>
          <w:i/>
          <w:iCs/>
        </w:rPr>
        <w:t>Antibiotics</w:t>
      </w:r>
      <w:r>
        <w:t>, </w:t>
      </w:r>
      <w:r>
        <w:rPr>
          <w:i/>
          <w:iCs/>
        </w:rPr>
        <w:t>10</w:t>
      </w:r>
      <w:r>
        <w:t>(11), 1416.</w:t>
      </w:r>
    </w:p>
    <w:p w:rsidR="00B5307B" w:rsidRDefault="002A02F6">
      <w:pPr>
        <w:pStyle w:val="Heading1"/>
      </w:pPr>
      <w:r>
        <w:t xml:space="preserve">Soluap. (2023). </w:t>
      </w:r>
      <w:r>
        <w:rPr>
          <w:rStyle w:val="Emphasis"/>
          <w:b w:val="0"/>
        </w:rPr>
        <w:t>Aliero</w:t>
      </w:r>
      <w:r>
        <w:t xml:space="preserve">. Retrieved from </w:t>
      </w:r>
      <w:hyperlink r:id="rId14" w:history="1">
        <w:r>
          <w:rPr>
            <w:rStyle w:val="Hyperlink"/>
            <w:b w:val="0"/>
            <w:color w:val="auto"/>
          </w:rPr>
          <w:t>https://www.kebbistate.gov.ng/aliero</w:t>
        </w:r>
      </w:hyperlink>
    </w:p>
    <w:p w:rsidR="00B5307B" w:rsidRDefault="002A02F6">
      <w:pPr>
        <w:pStyle w:val="Heading1"/>
      </w:pPr>
      <w:r>
        <w:t>Stocker, M. D., Gutierrez, A., Smith, J. E., Gabriel, E., Sharma, M., &amp; Pachepsky, Y. (2025). Assessing variations and spatial patterns of antibiotic resistance genes and water quality in irrigation pond water. </w:t>
      </w:r>
      <w:r>
        <w:rPr>
          <w:i/>
          <w:iCs/>
        </w:rPr>
        <w:t>Environmental monitoring and assessment</w:t>
      </w:r>
      <w:r>
        <w:t>, </w:t>
      </w:r>
      <w:r>
        <w:rPr>
          <w:i/>
          <w:iCs/>
        </w:rPr>
        <w:t>197</w:t>
      </w:r>
      <w:r>
        <w:t xml:space="preserve">(12), 1393. </w:t>
      </w:r>
      <w:hyperlink r:id="rId15" w:history="1">
        <w:r>
          <w:rPr>
            <w:rStyle w:val="Hyperlink"/>
            <w:b w:val="0"/>
          </w:rPr>
          <w:t>https://doi.org/10.1007/s10661-025-14825-6</w:t>
        </w:r>
      </w:hyperlink>
    </w:p>
    <w:p w:rsidR="00B5307B" w:rsidRDefault="002A02F6">
      <w:pPr>
        <w:pStyle w:val="Heading1"/>
      </w:pPr>
      <w:r>
        <w:lastRenderedPageBreak/>
        <w:t>Thairu, Y., Nasir, I. A., &amp; Usman, Y. (2014). Laboratory perspective of gram staining and its significance in investigations of infectious diseases. </w:t>
      </w:r>
      <w:r>
        <w:rPr>
          <w:i/>
          <w:iCs/>
        </w:rPr>
        <w:t>Sub-Saharan African Journal of Medicine</w:t>
      </w:r>
      <w:r>
        <w:t>, </w:t>
      </w:r>
      <w:r>
        <w:rPr>
          <w:i/>
          <w:iCs/>
        </w:rPr>
        <w:t>1</w:t>
      </w:r>
      <w:r>
        <w:t>(4): 168.</w:t>
      </w:r>
    </w:p>
    <w:p w:rsidR="00B5307B" w:rsidRDefault="002A02F6">
      <w:pPr>
        <w:pStyle w:val="Heading1"/>
      </w:pPr>
      <w:r>
        <w:t xml:space="preserve">Umar, S., Hassan, U., &amp; Alhassan, Y. J. (2023). Factors influencing adoption of </w:t>
      </w:r>
      <w:r>
        <w:tab/>
        <w:t>improved onion production practice in Aliero and Yauri Local Government areas,  Kebbi State, Nigeria. </w:t>
      </w:r>
      <w:r>
        <w:rPr>
          <w:i/>
          <w:iCs/>
        </w:rPr>
        <w:t>African Journal of Sustainable Agricultural Development</w:t>
      </w:r>
      <w:r>
        <w:t>, </w:t>
      </w:r>
      <w:r>
        <w:rPr>
          <w:i/>
          <w:iCs/>
        </w:rPr>
        <w:t>4</w:t>
      </w:r>
      <w:r>
        <w:t>(4): 1-11.</w:t>
      </w:r>
    </w:p>
    <w:p w:rsidR="00B5307B" w:rsidRDefault="002A02F6">
      <w:pPr>
        <w:pStyle w:val="Heading1"/>
      </w:pPr>
      <w:r>
        <w:t>Van der Fels-Klerx, H. J., Meijer, N., Nijkamp, M. M., Schmitt, E., &amp; Van Loon, J. J. A. (2020). Chemical food safety of using former foodstuffs for rearing black soldier fly larvae (</w:t>
      </w:r>
      <w:r>
        <w:rPr>
          <w:i/>
        </w:rPr>
        <w:t>Hermetiaillucens</w:t>
      </w:r>
      <w:r>
        <w:t>) for feed and food use. </w:t>
      </w:r>
      <w:r>
        <w:rPr>
          <w:i/>
          <w:iCs/>
        </w:rPr>
        <w:t>Journal of Insects as Food and Feed</w:t>
      </w:r>
      <w:r>
        <w:t>, </w:t>
      </w:r>
      <w:r>
        <w:rPr>
          <w:i/>
          <w:iCs/>
        </w:rPr>
        <w:t>6</w:t>
      </w:r>
      <w:r>
        <w:t>(5): 475-488.</w:t>
      </w:r>
    </w:p>
    <w:p w:rsidR="00B5307B" w:rsidRDefault="002A02F6">
      <w:pPr>
        <w:pStyle w:val="Heading1"/>
      </w:pPr>
      <w:r>
        <w:t xml:space="preserve">Wikipedia. (2026). </w:t>
      </w:r>
      <w:r>
        <w:rPr>
          <w:rStyle w:val="Emphasis"/>
          <w:b w:val="0"/>
          <w:i w:val="0"/>
        </w:rPr>
        <w:t>Jega, Kebbi</w:t>
      </w:r>
      <w:r>
        <w:t xml:space="preserve">. </w:t>
      </w:r>
      <w:r>
        <w:rPr>
          <w:rStyle w:val="Emphasis"/>
          <w:b w:val="0"/>
        </w:rPr>
        <w:t>Wikipedia, The Free Encyclopedia</w:t>
      </w:r>
      <w:r>
        <w:t xml:space="preserve">. Retrieved February 13, 2026, from </w:t>
      </w:r>
      <w:hyperlink r:id="rId16" w:history="1">
        <w:r>
          <w:rPr>
            <w:rStyle w:val="Hyperlink"/>
            <w:b w:val="0"/>
            <w:color w:val="auto"/>
          </w:rPr>
          <w:t>https://en.wikipedia.org/wiki/Jega%2C_Kebbi</w:t>
        </w:r>
      </w:hyperlink>
    </w:p>
    <w:p w:rsidR="00B5307B" w:rsidRDefault="002A02F6">
      <w:pPr>
        <w:pStyle w:val="Heading1"/>
      </w:pPr>
      <w:r>
        <w:t>World Health Organization (2017). Global Priority List of Antibiotic-Resistant Bacteria to Guide Research, Discovery, and Development of New Antibiotics. Geneva: World Health Organization.</w:t>
      </w:r>
    </w:p>
    <w:p w:rsidR="00B5307B" w:rsidRDefault="002A02F6">
      <w:pPr>
        <w:pStyle w:val="Heading1"/>
      </w:pPr>
      <w:r>
        <w:t>Yadav, S. K., Saxena, S., Kumari, H., Chakrawarti, M. K., Singh, M., Mitra, S., &amp; Mukhopadhyay, K. (2020). Isolation and Characterization of Bacteria in Water and Air Sample from Sewage Treatment Plant. </w:t>
      </w:r>
      <w:r>
        <w:rPr>
          <w:i/>
          <w:iCs/>
        </w:rPr>
        <w:t>ENVIS RP: Geodiversity and Impact on Environment</w:t>
      </w:r>
      <w:r>
        <w:t>, </w:t>
      </w:r>
      <w:r>
        <w:rPr>
          <w:i/>
          <w:iCs/>
        </w:rPr>
        <w:t>24</w:t>
      </w:r>
      <w:r>
        <w:t>(3): 16.</w:t>
      </w:r>
    </w:p>
    <w:p w:rsidR="00B5307B" w:rsidRDefault="00B5307B">
      <w:pPr>
        <w:spacing w:before="240" w:beforeAutospacing="0" w:after="240" w:line="276" w:lineRule="auto"/>
        <w:jc w:val="both"/>
        <w:rPr>
          <w:rFonts w:ascii="Times New Roman" w:hAnsi="Times New Roman"/>
          <w:sz w:val="24"/>
          <w:szCs w:val="24"/>
          <w:shd w:val="clear" w:color="auto" w:fill="FFFFFF"/>
        </w:rPr>
      </w:pPr>
    </w:p>
    <w:p w:rsidR="00B5307B" w:rsidRDefault="00B5307B">
      <w:pPr>
        <w:spacing w:before="240" w:beforeAutospacing="0" w:after="240" w:line="276" w:lineRule="auto"/>
        <w:jc w:val="both"/>
        <w:rPr>
          <w:rFonts w:ascii="Times New Roman" w:hAnsi="Times New Roman"/>
          <w:sz w:val="24"/>
          <w:szCs w:val="24"/>
        </w:rPr>
      </w:pPr>
    </w:p>
    <w:sectPr w:rsidR="00B5307B">
      <w:headerReference w:type="even" r:id="rId17"/>
      <w:headerReference w:type="default" r:id="rId18"/>
      <w:footerReference w:type="even"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008" w:rsidRDefault="004C1008">
      <w:pPr>
        <w:spacing w:before="0" w:after="0" w:line="240" w:lineRule="auto"/>
      </w:pPr>
      <w:r>
        <w:separator/>
      </w:r>
    </w:p>
  </w:endnote>
  <w:endnote w:type="continuationSeparator" w:id="0">
    <w:p w:rsidR="004C1008" w:rsidRDefault="004C10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7B" w:rsidRDefault="00B53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7B" w:rsidRDefault="00B53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008" w:rsidRDefault="004C1008">
      <w:pPr>
        <w:spacing w:before="0" w:after="0" w:line="240" w:lineRule="auto"/>
      </w:pPr>
      <w:r>
        <w:separator/>
      </w:r>
    </w:p>
  </w:footnote>
  <w:footnote w:type="continuationSeparator" w:id="0">
    <w:p w:rsidR="004C1008" w:rsidRDefault="004C10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7B" w:rsidRDefault="004C10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3pt;height:100.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7B" w:rsidRDefault="004C10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3pt;height:100.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7B" w:rsidRDefault="004C10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3pt;height:100.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C788C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F8F1153"/>
    <w:multiLevelType w:val="multilevel"/>
    <w:tmpl w:val="6E3674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7B"/>
    <w:rsid w:val="00161273"/>
    <w:rsid w:val="002A02F6"/>
    <w:rsid w:val="004C1008"/>
    <w:rsid w:val="00B5307B"/>
    <w:rsid w:val="00C54590"/>
    <w:rsid w:val="00D437A7"/>
    <w:rsid w:val="00F75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B4BED"/>
  <w15:docId w15:val="{D36FFBA4-4B1E-45A6-839E-199D4436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200" w:line="273" w:lineRule="auto"/>
    </w:pPr>
    <w:rPr>
      <w:rFonts w:eastAsia="Times New Roman" w:cs="Times New Roman"/>
      <w:lang w:val="en-US"/>
    </w:rPr>
  </w:style>
  <w:style w:type="paragraph" w:styleId="Heading1">
    <w:name w:val="heading 1"/>
    <w:basedOn w:val="Normal"/>
    <w:next w:val="Normal"/>
    <w:link w:val="Heading1Char"/>
    <w:uiPriority w:val="9"/>
    <w:qFormat/>
    <w:pPr>
      <w:keepNext/>
      <w:keepLines/>
      <w:shd w:val="clear" w:color="auto" w:fill="FFFFFF"/>
      <w:spacing w:before="0" w:beforeAutospacing="0" w:after="240" w:line="276" w:lineRule="auto"/>
      <w:ind w:left="720" w:hanging="720"/>
      <w:outlineLvl w:val="0"/>
    </w:pPr>
    <w:rPr>
      <w:rFonts w:ascii="Times New Roman" w:eastAsia="SimSun" w:hAnsi="Times New Roman"/>
      <w:b/>
      <w:sz w:val="24"/>
      <w:szCs w:val="24"/>
      <w:u w:val="single"/>
      <w:shd w:val="clear" w:color="auto" w:fill="FFFFFF"/>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s="SimSu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Times New Roman"/>
      <w:b/>
      <w:sz w:val="24"/>
      <w:szCs w:val="24"/>
      <w:u w:val="single"/>
      <w:shd w:val="clear" w:color="auto" w:fill="FFFFFF"/>
      <w:lang w:val="en-US"/>
    </w:rPr>
  </w:style>
  <w:style w:type="character" w:styleId="Emphasis">
    <w:name w:val="Emphasis"/>
    <w:basedOn w:val="DefaultParagraphFont"/>
    <w:uiPriority w:val="20"/>
    <w:qFormat/>
    <w:rPr>
      <w:i/>
      <w:iCs/>
    </w:rPr>
  </w:style>
  <w:style w:type="paragraph" w:styleId="NormalWeb">
    <w:name w:val="Normal (Web)"/>
    <w:basedOn w:val="Normal"/>
    <w:uiPriority w:val="99"/>
    <w:pPr>
      <w:spacing w:after="100" w:afterAutospacing="1" w:line="240" w:lineRule="auto"/>
    </w:pPr>
    <w:rPr>
      <w:rFonts w:ascii="Times New Roman" w:hAnsi="Times New Roman"/>
      <w:sz w:val="24"/>
      <w:szCs w:val="24"/>
    </w:rPr>
  </w:style>
  <w:style w:type="table" w:styleId="TableGrid">
    <w:name w:val="Table Grid"/>
    <w:basedOn w:val="Table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pPr>
      <w:spacing w:after="0" w:line="240" w:lineRule="auto"/>
    </w:pPr>
    <w:rPr>
      <w:color w:val="000000"/>
      <w:kern w:val="2"/>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lang w:val="en-US"/>
    </w:rPr>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rFonts w:ascii="Calibri" w:eastAsia="Times New Roman" w:hAnsi="Calibri" w:cs="Times New Roman"/>
      <w:lang w:val="en-US"/>
    </w:rPr>
  </w:style>
  <w:style w:type="paragraph" w:styleId="Footer">
    <w:name w:val="footer"/>
    <w:basedOn w:val="Normal"/>
    <w:link w:val="FooterChar"/>
    <w:uiPriority w:val="99"/>
    <w:pPr>
      <w:tabs>
        <w:tab w:val="center" w:pos="4680"/>
        <w:tab w:val="right" w:pos="9360"/>
      </w:tabs>
      <w:spacing w:before="0" w:after="0" w:line="240" w:lineRule="auto"/>
    </w:pPr>
  </w:style>
  <w:style w:type="character" w:customStyle="1" w:styleId="FooterChar">
    <w:name w:val="Footer Char"/>
    <w:basedOn w:val="DefaultParagraphFont"/>
    <w:link w:val="Footer"/>
    <w:uiPriority w:val="99"/>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3390/w11071482" TargetMode="External"/><Relationship Id="rId13" Type="http://schemas.openxmlformats.org/officeDocument/2006/relationships/hyperlink" Target="https://doi.org/10.3390/antibiotics1408076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j.fm.2018.01.003" TargetMode="External"/><Relationship Id="rId12" Type="http://schemas.openxmlformats.org/officeDocument/2006/relationships/hyperlink" Target="https://doi.org/10.3390/microorganisms1308173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ki/Jega%2C_Kebbi"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fr.2020.100063" TargetMode="External"/><Relationship Id="rId5" Type="http://schemas.openxmlformats.org/officeDocument/2006/relationships/footnotes" Target="footnotes.xml"/><Relationship Id="rId15" Type="http://schemas.openxmlformats.org/officeDocument/2006/relationships/hyperlink" Target="https://doi.org/10.1007/s10661-025-14825-6" TargetMode="External"/><Relationship Id="rId23" Type="http://schemas.openxmlformats.org/officeDocument/2006/relationships/theme" Target="theme/theme1.xml"/><Relationship Id="rId10" Type="http://schemas.openxmlformats.org/officeDocument/2006/relationships/hyperlink" Target="https://doi.org/10.3390/antibiotics1408076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npower.com.ng/places/lga/495/jega" TargetMode="External"/><Relationship Id="rId14" Type="http://schemas.openxmlformats.org/officeDocument/2006/relationships/hyperlink" Target="https://www.kebbistate.gov.ng/alier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14</Pages>
  <Words>4492</Words>
  <Characters>25609</Characters>
  <Application>Microsoft Office Word</Application>
  <DocSecurity>0</DocSecurity>
  <Lines>213</Lines>
  <Paragraphs>60</Paragraphs>
  <ScaleCrop>false</ScaleCrop>
  <Company/>
  <LinksUpToDate>false</LinksUpToDate>
  <CharactersWithSpaces>30041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1117</cp:lastModifiedBy>
  <cp:revision>41</cp:revision>
  <dcterms:created xsi:type="dcterms:W3CDTF">2026-01-17T14:22:00Z</dcterms:created>
  <dcterms:modified xsi:type="dcterms:W3CDTF">2026-04-16T12:50:00Z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7470faefdab1401d9a48dc2c5853b9ad</vt:lpwstr>
  </property>
</Properties>
</file>