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7F6A2D" w14:textId="524D87DE" w:rsidR="008C6ABD" w:rsidRDefault="008C6ABD" w:rsidP="00AA2A8C">
      <w:pPr>
        <w:spacing w:line="360" w:lineRule="auto"/>
        <w:jc w:val="both"/>
        <w:rPr>
          <w:rFonts w:ascii="Times New Roman" w:hAnsi="Times New Roman"/>
          <w:b/>
          <w:bCs/>
          <w:sz w:val="24"/>
          <w:szCs w:val="24"/>
        </w:rPr>
      </w:pPr>
      <w:r w:rsidRPr="008C6ABD">
        <w:rPr>
          <w:rFonts w:ascii="Times New Roman" w:hAnsi="Times New Roman"/>
          <w:b/>
          <w:bCs/>
          <w:sz w:val="24"/>
          <w:szCs w:val="24"/>
        </w:rPr>
        <w:t>Probabilistic Risk Assessment for Maintenance Decision-Making in Complex Energy Systems</w:t>
      </w:r>
    </w:p>
    <w:p w14:paraId="3AA7F3D0" w14:textId="77777777" w:rsidR="00A258C3" w:rsidRPr="00790ADA" w:rsidRDefault="00A258C3" w:rsidP="00441B6F">
      <w:pPr>
        <w:pStyle w:val="Author"/>
        <w:spacing w:line="240" w:lineRule="auto"/>
        <w:jc w:val="both"/>
        <w:rPr>
          <w:rFonts w:ascii="Arial" w:hAnsi="Arial" w:cs="Arial"/>
          <w:sz w:val="36"/>
        </w:rPr>
      </w:pPr>
    </w:p>
    <w:p w14:paraId="26F9CEC8" w14:textId="77777777" w:rsidR="00790ADA" w:rsidRDefault="00790ADA" w:rsidP="00441B6F">
      <w:pPr>
        <w:pStyle w:val="Affiliation"/>
        <w:spacing w:after="0" w:line="240" w:lineRule="auto"/>
        <w:jc w:val="both"/>
        <w:rPr>
          <w:rFonts w:ascii="Arial" w:hAnsi="Arial" w:cs="Arial"/>
        </w:rPr>
      </w:pPr>
    </w:p>
    <w:p w14:paraId="587EA067" w14:textId="77777777" w:rsidR="002C57D2" w:rsidRPr="00FB3A86" w:rsidRDefault="002C57D2" w:rsidP="00441B6F">
      <w:pPr>
        <w:pStyle w:val="Affiliation"/>
        <w:spacing w:after="0" w:line="240" w:lineRule="auto"/>
        <w:jc w:val="both"/>
        <w:rPr>
          <w:rFonts w:ascii="Arial" w:hAnsi="Arial" w:cs="Arial"/>
        </w:rPr>
      </w:pPr>
    </w:p>
    <w:p w14:paraId="6944A5CA" w14:textId="77777777" w:rsidR="00B01FCD" w:rsidRPr="00FB3A86" w:rsidRDefault="00000000" w:rsidP="00441B6F">
      <w:pPr>
        <w:pStyle w:val="Copyright"/>
        <w:spacing w:after="0" w:line="240" w:lineRule="auto"/>
        <w:jc w:val="both"/>
        <w:rPr>
          <w:rFonts w:ascii="Arial" w:hAnsi="Arial" w:cs="Arial"/>
        </w:rPr>
        <w:sectPr w:rsidR="00B01FCD" w:rsidRPr="00FB3A86" w:rsidSect="0005266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9991C37">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35843528" w14:textId="2C052FA2"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6C74DCA" w14:textId="77777777" w:rsidR="003B2D69" w:rsidRPr="00BA1B01" w:rsidRDefault="003B2D69" w:rsidP="003B2D69">
      <w:pPr>
        <w:pStyle w:val="Body"/>
        <w:spacing w:after="0"/>
        <w:rPr>
          <w:rFonts w:ascii="Arial" w:eastAsia="Calibri" w:hAnsi="Arial" w:cs="Arial"/>
          <w:szCs w:val="22"/>
        </w:rPr>
      </w:pPr>
    </w:p>
    <w:p w14:paraId="2BF8174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21EBAEB9" w14:textId="77777777" w:rsidTr="001E44FE">
        <w:tc>
          <w:tcPr>
            <w:tcW w:w="9576" w:type="dxa"/>
            <w:shd w:val="clear" w:color="auto" w:fill="F2F2F2"/>
          </w:tcPr>
          <w:p w14:paraId="507E8CC8" w14:textId="1C2EACA5" w:rsidR="00505F06" w:rsidRPr="00B45DC2" w:rsidRDefault="00B45DC2" w:rsidP="00B45DC2">
            <w:pPr>
              <w:spacing w:line="360" w:lineRule="auto"/>
              <w:jc w:val="both"/>
              <w:rPr>
                <w:rFonts w:ascii="Arial" w:hAnsi="Arial" w:cs="Arial"/>
                <w:sz w:val="22"/>
                <w:szCs w:val="22"/>
              </w:rPr>
            </w:pPr>
            <w:r w:rsidRPr="00B45DC2">
              <w:rPr>
                <w:rFonts w:ascii="Arial" w:hAnsi="Arial" w:cs="Arial"/>
                <w:sz w:val="22"/>
                <w:szCs w:val="22"/>
              </w:rPr>
              <w:t>Maintenance decision-making of complex energy systems is complicated by the aging of the assets, system interdependency, uncertainty of operations, and high consequences of failures. The conventional deterministic and reliability-based solutions cannot be usually sufficient to such high risk and interconnected infrastructures. Probabilistic Risk Assessment (PRA) has become a prominent analytical tool that combines failure probability, consequence severity, and uncertainty to aid in making risk-informed maintenance decisions.</w:t>
            </w:r>
            <w:r>
              <w:rPr>
                <w:rFonts w:ascii="Arial" w:hAnsi="Arial" w:cs="Arial"/>
                <w:sz w:val="22"/>
                <w:szCs w:val="22"/>
              </w:rPr>
              <w:t xml:space="preserve"> </w:t>
            </w:r>
            <w:r w:rsidRPr="00B45DC2">
              <w:rPr>
                <w:rFonts w:ascii="Arial" w:hAnsi="Arial" w:cs="Arial"/>
                <w:sz w:val="22"/>
                <w:szCs w:val="22"/>
              </w:rPr>
              <w:t>This review offers an analytical synthesis of the maintenance decision-making frameworks based on PRA in nuclear and power generation and transmission systems and renewable energy systems or hybrid systems. The literature review approach was chosen as narrative and the studies were identified in major databases (Scopus, Web of Science, IEEE Xplore, and ScienceDirect) that included articles published in 2018-2026, on the basis of their relevance to the topic of PRA-driven maintenance under uncertainty.</w:t>
            </w:r>
            <w:r>
              <w:rPr>
                <w:rFonts w:ascii="Arial" w:hAnsi="Arial" w:cs="Arial"/>
                <w:sz w:val="22"/>
                <w:szCs w:val="22"/>
              </w:rPr>
              <w:t xml:space="preserve"> </w:t>
            </w:r>
            <w:r w:rsidRPr="00B45DC2">
              <w:rPr>
                <w:rFonts w:ascii="Arial" w:hAnsi="Arial" w:cs="Arial"/>
                <w:sz w:val="22"/>
                <w:szCs w:val="22"/>
              </w:rPr>
              <w:t>The review looks at major frameworks, such as risk-based maintenance, condition-based PRA, Bayesian and dynamic models, decision-theoretic approaches, and predictive maintenance strategies. The results emphasize trade-offs among trade-offs between static and adaptive models, component-level and system-level methods, and note the major constraints of data, computational complexity, human decision biases, and the ability to implement in real-time. On the whole, the review suggests a holistic view and pinpoints problematic research gaps that can be addressed to design more resilient, scalable, and risk-aware maintenance approaches in the contemporary energy systems.</w:t>
            </w:r>
          </w:p>
        </w:tc>
      </w:tr>
    </w:tbl>
    <w:p w14:paraId="699AAF6B" w14:textId="77777777" w:rsidR="00636EB2" w:rsidRDefault="00636EB2" w:rsidP="00441B6F">
      <w:pPr>
        <w:pStyle w:val="Body"/>
        <w:spacing w:after="0"/>
        <w:rPr>
          <w:rFonts w:ascii="Arial" w:hAnsi="Arial" w:cs="Arial"/>
          <w:i/>
        </w:rPr>
      </w:pPr>
    </w:p>
    <w:p w14:paraId="70ACCCB0" w14:textId="0C4CE3A5" w:rsidR="00790ADA" w:rsidRDefault="00A24E7E" w:rsidP="00441B6F">
      <w:pPr>
        <w:pStyle w:val="Body"/>
        <w:spacing w:after="0"/>
        <w:rPr>
          <w:rFonts w:ascii="Arial" w:hAnsi="Arial" w:cs="Arial"/>
          <w:i/>
        </w:rPr>
      </w:pPr>
      <w:r>
        <w:rPr>
          <w:rFonts w:ascii="Arial" w:hAnsi="Arial" w:cs="Arial"/>
          <w:i/>
        </w:rPr>
        <w:t xml:space="preserve">Keywords: </w:t>
      </w:r>
      <w:r w:rsidR="00DA38C7" w:rsidRPr="00DA38C7">
        <w:rPr>
          <w:rFonts w:ascii="Arial" w:hAnsi="Arial" w:cs="Arial"/>
          <w:i/>
          <w:iCs/>
        </w:rPr>
        <w:t>Probabilistic risk assessment (PRA); Risk-informed maintenance; Condition-based maintenance; Energy infrastructure systems; Reliability-centered maintenance</w:t>
      </w:r>
    </w:p>
    <w:p w14:paraId="46606FB0" w14:textId="77777777" w:rsidR="0024282C" w:rsidRDefault="0024282C" w:rsidP="00441B6F">
      <w:pPr>
        <w:pStyle w:val="Body"/>
        <w:spacing w:after="0"/>
        <w:rPr>
          <w:rFonts w:ascii="Arial" w:hAnsi="Arial" w:cs="Arial"/>
          <w:i/>
          <w:sz w:val="18"/>
        </w:rPr>
      </w:pPr>
    </w:p>
    <w:p w14:paraId="7CA98342" w14:textId="77777777" w:rsidR="00505F06" w:rsidRPr="00A24E7E" w:rsidRDefault="00505F06" w:rsidP="00441B6F">
      <w:pPr>
        <w:pStyle w:val="Body"/>
        <w:spacing w:after="0"/>
        <w:rPr>
          <w:rFonts w:ascii="Arial" w:hAnsi="Arial" w:cs="Arial"/>
          <w:i/>
        </w:rPr>
      </w:pPr>
    </w:p>
    <w:p w14:paraId="762B6849" w14:textId="77777777" w:rsidR="008D34CC" w:rsidRPr="00D95A6F" w:rsidRDefault="008D34CC" w:rsidP="008D34CC">
      <w:pPr>
        <w:spacing w:line="360" w:lineRule="auto"/>
        <w:jc w:val="both"/>
        <w:rPr>
          <w:rFonts w:ascii="Times New Roman" w:hAnsi="Times New Roman"/>
          <w:b/>
          <w:bCs/>
          <w:sz w:val="24"/>
          <w:szCs w:val="24"/>
        </w:rPr>
      </w:pPr>
      <w:r w:rsidRPr="00D95A6F">
        <w:rPr>
          <w:rFonts w:ascii="Times New Roman" w:hAnsi="Times New Roman"/>
          <w:b/>
          <w:bCs/>
          <w:sz w:val="24"/>
          <w:szCs w:val="24"/>
        </w:rPr>
        <w:t>1. Introduction</w:t>
      </w:r>
    </w:p>
    <w:p w14:paraId="3EEB9502" w14:textId="79721853" w:rsidR="00361175" w:rsidRPr="00361175" w:rsidRDefault="00361175" w:rsidP="00361175">
      <w:pPr>
        <w:spacing w:line="360" w:lineRule="auto"/>
        <w:jc w:val="both"/>
        <w:rPr>
          <w:rFonts w:ascii="Times New Roman" w:hAnsi="Times New Roman"/>
          <w:sz w:val="24"/>
          <w:szCs w:val="24"/>
        </w:rPr>
      </w:pPr>
      <w:r w:rsidRPr="00361175">
        <w:rPr>
          <w:rFonts w:ascii="Times New Roman" w:hAnsi="Times New Roman"/>
          <w:sz w:val="24"/>
          <w:szCs w:val="24"/>
        </w:rPr>
        <w:t xml:space="preserve">The contemporary energy systems such as electric power grids, nuclear plants, thermal generation plants, and renewable-integrated infrastructures are essential socio-technical systems supporting economic stability and </w:t>
      </w:r>
      <w:r w:rsidRPr="00361175">
        <w:rPr>
          <w:rFonts w:ascii="Times New Roman" w:hAnsi="Times New Roman"/>
          <w:sz w:val="24"/>
          <w:szCs w:val="24"/>
        </w:rPr>
        <w:lastRenderedPageBreak/>
        <w:t xml:space="preserve">societal well-being (Haimes, 2018). Their efficient and secure functioning is crucial, and any disturbances can result in serious safety crises, considerable losses of the economy, and considerable environmental impacts (Felder and Petitet, 2024; Zhang et al., 2024). Continued trends of electrification, digitalization and decarbonization have only added to the interconnectivity of systems and complexity of operation, further increasing the potential of cross-sector and systemic risks. As a result, risk-based methods of the planning, operation, and maintenance of energy systems are increasingly emphasized (Moradi and Groth, 2020; Haimes, 2018). Other distinguishing features of complex adaptive systems such as high interconnectivity, nonlinearity, and emergent behavior with varying operating conditions are also found in energy systems (Carmichael </w:t>
      </w:r>
      <w:r>
        <w:rPr>
          <w:rFonts w:ascii="Times New Roman" w:hAnsi="Times New Roman"/>
          <w:sz w:val="24"/>
          <w:szCs w:val="24"/>
        </w:rPr>
        <w:t>&amp;</w:t>
      </w:r>
      <w:r w:rsidRPr="00361175">
        <w:rPr>
          <w:rFonts w:ascii="Times New Roman" w:hAnsi="Times New Roman"/>
          <w:sz w:val="24"/>
          <w:szCs w:val="24"/>
        </w:rPr>
        <w:t xml:space="preserve"> Hadzikadic, 2019).</w:t>
      </w:r>
    </w:p>
    <w:p w14:paraId="5F97ED97" w14:textId="6CA63E60" w:rsidR="00361175" w:rsidRPr="00361175" w:rsidRDefault="00361175" w:rsidP="00361175">
      <w:pPr>
        <w:spacing w:line="360" w:lineRule="auto"/>
        <w:jc w:val="both"/>
        <w:rPr>
          <w:rFonts w:ascii="Times New Roman" w:hAnsi="Times New Roman"/>
          <w:sz w:val="24"/>
          <w:szCs w:val="24"/>
        </w:rPr>
      </w:pPr>
      <w:r w:rsidRPr="00361175">
        <w:rPr>
          <w:rFonts w:ascii="Times New Roman" w:hAnsi="Times New Roman"/>
          <w:sz w:val="24"/>
          <w:szCs w:val="24"/>
        </w:rPr>
        <w:t xml:space="preserve">Aging materials, random degradation, and unpredictable external stressors provide great variability and uncertainty to system behavior and failure (Barlow et al., 2021; Martinod et al., 2018). Moreover, human and organizational aspects, as well as cyber-physical interactions, are also very important to determine operational risk and maintenance efficiency (Panful et al., 2025; Angeli </w:t>
      </w:r>
      <w:r>
        <w:rPr>
          <w:rFonts w:ascii="Times New Roman" w:hAnsi="Times New Roman"/>
          <w:sz w:val="24"/>
          <w:szCs w:val="24"/>
        </w:rPr>
        <w:t>&amp;</w:t>
      </w:r>
      <w:r w:rsidRPr="00361175">
        <w:rPr>
          <w:rFonts w:ascii="Times New Roman" w:hAnsi="Times New Roman"/>
          <w:sz w:val="24"/>
          <w:szCs w:val="24"/>
        </w:rPr>
        <w:t xml:space="preserve"> Montefusco, 2020). In these circumstances, deterministic maintenance strategies, which use fixed intervals or average failure rates, are no longer adequate and justify the use of probabilistic and system-level strategies that are able to model the propagation of uncertainty and interdependencies (Haimes, 2018; Mohammadhasani </w:t>
      </w:r>
      <w:r>
        <w:rPr>
          <w:rFonts w:ascii="Times New Roman" w:hAnsi="Times New Roman"/>
          <w:sz w:val="24"/>
          <w:szCs w:val="24"/>
        </w:rPr>
        <w:t>&amp;</w:t>
      </w:r>
      <w:r w:rsidRPr="00361175">
        <w:rPr>
          <w:rFonts w:ascii="Times New Roman" w:hAnsi="Times New Roman"/>
          <w:sz w:val="24"/>
          <w:szCs w:val="24"/>
        </w:rPr>
        <w:t xml:space="preserve"> Pirouzmand, 2021). Maintenance approaches have thus transformed the time-based approaches to condition-based and predictive models, based on the development of sensing, diagnostics, and data analytics (Cai et al., 2023).</w:t>
      </w:r>
    </w:p>
    <w:p w14:paraId="500D970D" w14:textId="181381DC" w:rsidR="00361175" w:rsidRDefault="00361175" w:rsidP="00361175">
      <w:pPr>
        <w:spacing w:line="360" w:lineRule="auto"/>
        <w:jc w:val="both"/>
        <w:rPr>
          <w:rFonts w:ascii="Times New Roman" w:hAnsi="Times New Roman"/>
          <w:sz w:val="24"/>
          <w:szCs w:val="24"/>
        </w:rPr>
      </w:pPr>
      <w:r w:rsidRPr="00361175">
        <w:rPr>
          <w:rFonts w:ascii="Times New Roman" w:hAnsi="Times New Roman"/>
          <w:sz w:val="24"/>
          <w:szCs w:val="24"/>
        </w:rPr>
        <w:t xml:space="preserve">In later years, the risk-informed maintenance paradigm has reconceptualized maintenance as a structured decision-making problem in the face of uncertainty as opposed to a purely technical activity (Soltanali et al., 2020; Tiddens et al., 2023). The analytical framework to support this transition was Probabilistic Risk Assessment (PRA), which quantifies risk in terms of both the probability of failure and the severity of consequences (Vesely, 2018; Serbanescu </w:t>
      </w:r>
      <w:r>
        <w:rPr>
          <w:rFonts w:ascii="Times New Roman" w:hAnsi="Times New Roman"/>
          <w:sz w:val="24"/>
          <w:szCs w:val="24"/>
        </w:rPr>
        <w:t>&amp;</w:t>
      </w:r>
      <w:r w:rsidRPr="00361175">
        <w:rPr>
          <w:rFonts w:ascii="Times New Roman" w:hAnsi="Times New Roman"/>
          <w:sz w:val="24"/>
          <w:szCs w:val="24"/>
        </w:rPr>
        <w:t xml:space="preserve"> Ulmeanu, 2020), and explicitly models the uncertainty and dependencies between systems, which are not adequately reflected in traditional reliability-based models (Moradi and Groth Consequently, PRA is now a key concern in the prioritization of maintenance, planning of inspections, and the allocation of resources in high-consequence energy facilities (Hoseyni et al., 2019; Wang et al., 2024). Nevertheless, the state of the literature is only partially developed in the area of nuclear engineering, power systems, operations research, and asset management (Karanki et al., 2019; Li et al., 2023; Adjei et al., 2026), and there is little cross-sector integration and comparison (Moinian </w:t>
      </w:r>
      <w:r>
        <w:rPr>
          <w:rFonts w:ascii="Times New Roman" w:hAnsi="Times New Roman"/>
          <w:sz w:val="24"/>
          <w:szCs w:val="24"/>
        </w:rPr>
        <w:t>&amp;</w:t>
      </w:r>
      <w:r w:rsidRPr="00361175">
        <w:rPr>
          <w:rFonts w:ascii="Times New Roman" w:hAnsi="Times New Roman"/>
          <w:sz w:val="24"/>
          <w:szCs w:val="24"/>
        </w:rPr>
        <w:t xml:space="preserve"> Ameli, 2022; Rocchetta et al., New trends in digital twins, cyber-physical systems, and sophisticated diagnostics also raise the necessity of combined analytic views (Adeoye et al., 2025; Rony </w:t>
      </w:r>
      <w:r>
        <w:rPr>
          <w:rFonts w:ascii="Times New Roman" w:hAnsi="Times New Roman"/>
          <w:sz w:val="24"/>
          <w:szCs w:val="24"/>
        </w:rPr>
        <w:t>&amp;</w:t>
      </w:r>
      <w:r w:rsidRPr="00361175">
        <w:rPr>
          <w:rFonts w:ascii="Times New Roman" w:hAnsi="Times New Roman"/>
          <w:sz w:val="24"/>
          <w:szCs w:val="24"/>
        </w:rPr>
        <w:t xml:space="preserve"> Shafa, 2024). In this regard, this review summarizes the PRA-based analytical frameworks of maintenance, compares the decision-making models in complex energy systems, and pinpoints the main limitations and gaps in the literature (Hoseyni, 2020; Antwi and Nnaji, 2026).</w:t>
      </w:r>
      <w:r w:rsidR="00A301D3">
        <w:rPr>
          <w:rFonts w:ascii="Times New Roman" w:hAnsi="Times New Roman"/>
          <w:sz w:val="24"/>
          <w:szCs w:val="24"/>
        </w:rPr>
        <w:t xml:space="preserve"> </w:t>
      </w:r>
    </w:p>
    <w:p w14:paraId="4B571D9C" w14:textId="2E9D893A" w:rsidR="00964BDF" w:rsidRPr="00DF1756" w:rsidRDefault="00230CDE" w:rsidP="00230CDE">
      <w:pPr>
        <w:spacing w:line="360" w:lineRule="auto"/>
        <w:jc w:val="both"/>
        <w:rPr>
          <w:rFonts w:ascii="Times New Roman" w:hAnsi="Times New Roman"/>
          <w:sz w:val="24"/>
          <w:szCs w:val="24"/>
        </w:rPr>
      </w:pPr>
      <w:r w:rsidRPr="00DF1756">
        <w:rPr>
          <w:rFonts w:ascii="Times New Roman" w:hAnsi="Times New Roman"/>
          <w:sz w:val="24"/>
          <w:szCs w:val="24"/>
        </w:rPr>
        <w:lastRenderedPageBreak/>
        <w:t>The purpose of this review is to critically compare the current frameworks and highlight significant limitations and gaps in research on probabilistic risk assessment (PRA)-based methods to maintenance decision-making in complex energy systems. By so doing, this paper covers an urgent and dynamic field of study in reliability and risk engineering, providing a broad view of how uncertainty, interdependencies in the system and and asset reliability affect maintenance policies in high-consequence systems. The review also adds value to the scientific community by offering a combination of analytical frameworks in all these areas and offering practical and theoretical insights of enhancing risk-informed maintenance planning.</w:t>
      </w:r>
      <w:r w:rsidR="00361175" w:rsidRPr="00DF1756">
        <w:rPr>
          <w:rFonts w:ascii="Times New Roman" w:hAnsi="Times New Roman"/>
          <w:sz w:val="24"/>
          <w:szCs w:val="24"/>
        </w:rPr>
        <w:t xml:space="preserve"> </w:t>
      </w:r>
      <w:r w:rsidRPr="00DF1756">
        <w:rPr>
          <w:rFonts w:ascii="Times New Roman" w:hAnsi="Times New Roman"/>
          <w:sz w:val="24"/>
          <w:szCs w:val="24"/>
        </w:rPr>
        <w:t>To support this synthesis, the review adopts a structured narrative literature search to enhance transparency in source selection. Relevant studies were identified from Scopus, Web of Science, IEEE Xplore, and ScienceDirect using keywords such as “probabilistic risk assessment,” “risk-based maintenance,” “condition-based maintenance,” “maintenance decision-making,” “energy systems,” and “maintenance optimization.” The review focuses on peer-reviewed publications from 2018 to 2026, emphasizing analytically relevant works on PRA-driven maintenance across nuclear, power generation, transmission, and renewable or hybrid energy systems. Studies were included based on their conceptual, analytical, or application relevance to maintenance decision-making under uncertainty and excluded if they lacked direct relevance to PRA or energy system applications, ensuring a transparent yet flexible narrative review process.</w:t>
      </w:r>
    </w:p>
    <w:p w14:paraId="14977C31" w14:textId="77777777" w:rsidR="00964BDF" w:rsidRPr="00D95A6F" w:rsidRDefault="00964BDF" w:rsidP="008D34CC">
      <w:pPr>
        <w:spacing w:line="360" w:lineRule="auto"/>
        <w:jc w:val="both"/>
        <w:rPr>
          <w:rFonts w:ascii="Times New Roman" w:hAnsi="Times New Roman"/>
          <w:sz w:val="24"/>
          <w:szCs w:val="24"/>
        </w:rPr>
      </w:pPr>
    </w:p>
    <w:p w14:paraId="26FD3AE5" w14:textId="77777777" w:rsidR="008D34CC" w:rsidRPr="00D95A6F" w:rsidRDefault="008D34CC" w:rsidP="008D34CC">
      <w:pPr>
        <w:spacing w:line="360" w:lineRule="auto"/>
        <w:jc w:val="both"/>
        <w:rPr>
          <w:rFonts w:ascii="Times New Roman" w:hAnsi="Times New Roman"/>
          <w:b/>
          <w:bCs/>
          <w:sz w:val="24"/>
          <w:szCs w:val="24"/>
        </w:rPr>
      </w:pPr>
      <w:r w:rsidRPr="00D95A6F">
        <w:rPr>
          <w:rFonts w:ascii="Times New Roman" w:hAnsi="Times New Roman"/>
          <w:b/>
          <w:bCs/>
          <w:sz w:val="24"/>
          <w:szCs w:val="24"/>
        </w:rPr>
        <w:t>2. Conceptual Foundations</w:t>
      </w:r>
    </w:p>
    <w:p w14:paraId="5BC92F2B" w14:textId="77777777" w:rsidR="008D34CC" w:rsidRPr="00D95A6F" w:rsidRDefault="008D34CC" w:rsidP="008D34CC">
      <w:pPr>
        <w:spacing w:line="360" w:lineRule="auto"/>
        <w:jc w:val="both"/>
        <w:rPr>
          <w:rFonts w:ascii="Times New Roman" w:hAnsi="Times New Roman"/>
          <w:b/>
          <w:bCs/>
          <w:sz w:val="24"/>
          <w:szCs w:val="24"/>
        </w:rPr>
      </w:pPr>
      <w:r w:rsidRPr="3A581654">
        <w:rPr>
          <w:rFonts w:ascii="Times New Roman" w:hAnsi="Times New Roman"/>
          <w:b/>
          <w:bCs/>
          <w:sz w:val="24"/>
          <w:szCs w:val="24"/>
        </w:rPr>
        <w:t>2.1 Complex Energy System</w:t>
      </w:r>
      <w:r>
        <w:rPr>
          <w:rFonts w:ascii="Times New Roman" w:hAnsi="Times New Roman"/>
          <w:b/>
          <w:bCs/>
          <w:sz w:val="24"/>
          <w:szCs w:val="24"/>
        </w:rPr>
        <w:t>s</w:t>
      </w:r>
    </w:p>
    <w:p w14:paraId="50236581"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An example of a critical socio-technical system that provides the foundation to economic stability and well-being of the society is modern energy systems like electric power grids, nuclear power plants, thermal generation facilities and renewable-integrated infrastructures (Haimes, 2018). These systems are imperative to operate safely and reliably because any disruption may lead to disastrous safety accidents, numerous economic losses, and severe environmental harm (Felder &amp; Petitet, 2024; Zhang et al., 2024). The further rising electrification, digitalization, and decarbonization have added to the system interconnection and operational requirements. Subsequently, an energy infrastructure breakdown is not a single technical incident but a systemic risk whose effects have cataclysmic effects across multiple industries. This has contributed to an increased focus on risk-based planning, operating, and maintenance of energy systems (Morabi &amp; Groth, 2020; Haimes, 2018).</w:t>
      </w:r>
    </w:p>
    <w:p w14:paraId="78F9DA61"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 xml:space="preserve">The main features of complex adaptive systems common to energy systems are high levels of interconnection between components, nonlinearity, and emergent behavior in response to changing operating conditions (Carmichael &amp; Hadzikadic, 2019). The aging assets, randomized degradation effects and unpredictable outside stressors generate a massive uncertainty in the performance and failure behavior of systems (Barlow et al., 2021; Martinod et al., 2018). Besides, human and organizational factors and cyber-physical interactions also </w:t>
      </w:r>
      <w:r w:rsidRPr="00D95A6F">
        <w:rPr>
          <w:rFonts w:ascii="Times New Roman" w:hAnsi="Times New Roman"/>
          <w:sz w:val="24"/>
          <w:szCs w:val="24"/>
        </w:rPr>
        <w:lastRenderedPageBreak/>
        <w:t>play a significant role in the operational risk and maintenance performance (Panful et al., 2025; Angeli &amp; Montefusco, 2020). In this kind of situation, deterministic maintenance planning and the maintenance planning of a fixed interval or average failure rates is typically insufficient. Such constraints indicate the necessity of probabilistic and system-level methods that can reflect the effects of uncertainty propagation and dependency (Haimes, 2018; Mohammadhasani &amp; Pirouzmand, 2021).</w:t>
      </w:r>
    </w:p>
    <w:p w14:paraId="243BB73F"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The condition-based and predictive approach to maintenance in energy systems has developed out of the conventional time-based maintenance due to the development of sensing, diagnostics, and data analytics (Cai et al., 2023). Recently, risk-informed maintenance models have become popular, making maintenance an explicitly defined decision-making problem in the face of uncertainty, but not a technical one (Soltanali et al., 2020; Tiddens et al., 2023). The analytical basis of this change is Probabilistic Risk Assessment (PRA), which measures risk based on the probability and the severity of consequences (Vesely, 2018; Serbanescu &amp; Ulmeanu, 2020). Contrary to reliability-only methods, PRA allows modeling of uncertainty, dependencies and scenario-based outcomes that are essential in complex energy systems (Moradi &amp; Groth, 2020; Zhang et al., 2024). Consequently, PRA has now taken the lead in prioritization of maintenance and inspection planning, as well as resource allocation in high-consequence energy systems (Hoseyni et al., 2019; Wang et al., 2024).</w:t>
      </w:r>
    </w:p>
    <w:p w14:paraId="21F1B70B"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Although there has been a massive progress, the body of work on PRA-based maintenance decision-making is still divided in different areas, including nuclear engineering, power systems, operations research, and asset management (Karanki et al., 2019; Li et al., 2023). A significant portion of research is being devoted to either particular technologies or methods of analysis, which is not integrated across the sector and should not be compared (Moinian &amp; Ameli, 2022; Rocchetta et al., 2025). Moreover, the new applications of the digital twin, cyber-physical and information-based diagnostics have exacerbated the necessity of integrated analytical views (Adeoye et al., 2025; Rony &amp; Shafa, 2024). To this end, this paper seeks to summarise analytical PRA based models of maintenance, contrast decision-making models in the context of complex systems of energy and establish the main limitations and research gaps. The research approach is a conventional narrative literature review that offers an analytical underpinning of risk-informed maintenance studies and practice in the future (Hoseyni, 2020; Antwi &amp; Nnaji, 2026).</w:t>
      </w:r>
    </w:p>
    <w:p w14:paraId="5107DB97" w14:textId="77777777" w:rsidR="008D34CC" w:rsidRPr="00D95A6F" w:rsidRDefault="008D34CC" w:rsidP="008D34CC">
      <w:pPr>
        <w:spacing w:line="360" w:lineRule="auto"/>
        <w:jc w:val="both"/>
        <w:rPr>
          <w:rFonts w:ascii="Times New Roman" w:hAnsi="Times New Roman"/>
          <w:sz w:val="24"/>
          <w:szCs w:val="24"/>
        </w:rPr>
      </w:pPr>
    </w:p>
    <w:p w14:paraId="35800B58" w14:textId="77777777" w:rsidR="008D34CC" w:rsidRPr="00D95A6F" w:rsidRDefault="008D34CC" w:rsidP="008D34CC">
      <w:pPr>
        <w:spacing w:line="360" w:lineRule="auto"/>
        <w:jc w:val="both"/>
        <w:rPr>
          <w:rFonts w:ascii="Times New Roman" w:hAnsi="Times New Roman"/>
          <w:b/>
          <w:bCs/>
          <w:sz w:val="24"/>
          <w:szCs w:val="24"/>
        </w:rPr>
      </w:pPr>
      <w:r w:rsidRPr="00D95A6F">
        <w:rPr>
          <w:rFonts w:ascii="Times New Roman" w:hAnsi="Times New Roman"/>
          <w:b/>
          <w:bCs/>
          <w:sz w:val="24"/>
          <w:szCs w:val="24"/>
        </w:rPr>
        <w:t>2.2 Maintenance Decision-Making as a Risk Problem</w:t>
      </w:r>
    </w:p>
    <w:p w14:paraId="0C40007F"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 xml:space="preserve">Decision-making in complex energy systems regarding maintenance always deals with the trade-off between opposing goals in terms of reliability, safety and economic performance. Trade-offs between the probability of failure, the severity of the consequences and the direct and indirect costs required to maintain the downtime and intervention may be determined with decisions on the inspection intervals, component replacement, or the deferred maintenance (Soltanali et al., 2020). Even the low probability failures can justify the proactive maintenance activities because of severe consequences that they can cause in high-consequence systems. </w:t>
      </w:r>
      <w:r w:rsidRPr="00D95A6F">
        <w:rPr>
          <w:rFonts w:ascii="Times New Roman" w:hAnsi="Times New Roman"/>
          <w:sz w:val="24"/>
          <w:szCs w:val="24"/>
        </w:rPr>
        <w:lastRenderedPageBreak/>
        <w:t>Consequently, maintenance planning cannot be narrowed down to cost minimization only but must unmistakably consider risk (Vesely, 2018; Mohammadhasani &amp; Pirouzmand, 2021).</w:t>
      </w:r>
    </w:p>
    <w:p w14:paraId="0E5FAD3B"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Regarding decision-theory, maintenance activities may be considered as decisions under uncertainties, and their results are assessed by utility functions that represent risk-taking biases and preferences of stakeholders. This framing enables maintaining policies to be evaluated with respect to the expected utility instead of deterministic performance performance metrics (Syed &amp; Lawryshyn, 2020). Risk aversion, regulatory frameworks and safety buffers are important factors influencing acceptable maintenance policies, especially in energy industries that are tightly regulated like the nuclear and gas transmission systems (Jang &amp; Shim, 2020; Viana et al., 2022).</w:t>
      </w:r>
    </w:p>
    <w:p w14:paraId="0785608B"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The most recent developments in predictive and data-based maintenance only support the way maintenance is interpreted as a risk-based decision problem. The machine learning, condition monitoring, and prognostics increase the accuracy of the failure probability estimation, yet it also brings new sources of uncertainty connected to the quality of data and the assumptions made by the models (Nguyen et al., 2022; Feng and Li, 2022). It, therefore, can be expected that maintenance decision-making is becoming more dependent on multi-criteria and probabilistic frameworks that also incorporate technical risk and consider economic and organizational aspects (Tiddens et al., 2023; Cai et al., 2023).</w:t>
      </w:r>
    </w:p>
    <w:p w14:paraId="22D55923" w14:textId="77777777" w:rsidR="008D34CC" w:rsidRPr="00D95A6F" w:rsidRDefault="008D34CC" w:rsidP="008D34CC">
      <w:pPr>
        <w:spacing w:line="360" w:lineRule="auto"/>
        <w:jc w:val="both"/>
        <w:rPr>
          <w:rFonts w:ascii="Times New Roman" w:hAnsi="Times New Roman"/>
          <w:sz w:val="24"/>
          <w:szCs w:val="24"/>
        </w:rPr>
      </w:pPr>
    </w:p>
    <w:p w14:paraId="6DC966BC" w14:textId="77777777" w:rsidR="008D34CC" w:rsidRPr="00D95A6F" w:rsidRDefault="008D34CC" w:rsidP="008D34CC">
      <w:pPr>
        <w:spacing w:line="360" w:lineRule="auto"/>
        <w:jc w:val="both"/>
        <w:rPr>
          <w:rFonts w:ascii="Times New Roman" w:hAnsi="Times New Roman"/>
          <w:b/>
          <w:bCs/>
          <w:sz w:val="24"/>
          <w:szCs w:val="24"/>
        </w:rPr>
      </w:pPr>
      <w:r w:rsidRPr="00D95A6F">
        <w:rPr>
          <w:rFonts w:ascii="Times New Roman" w:hAnsi="Times New Roman"/>
          <w:b/>
          <w:bCs/>
          <w:sz w:val="24"/>
          <w:szCs w:val="24"/>
        </w:rPr>
        <w:t>2.3 Probabilistic Risk Assessment (PRA)</w:t>
      </w:r>
    </w:p>
    <w:p w14:paraId="62771E06"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Probabilistic Risk Assessment (PRA) offers a process approach to risk quantification and management of complex systems, as it combines the consequences analysis with the probability of failure. The basic PRA elements are the identification of initiating events, modeling the system response using event trees and fault trees, and propagating uncertainty by probabilistic inference (Vesely, 2018; Serbanescu &amp; Ulmeanu, 2020). These factors allow analysts to determine not only whether failures can take place, but how they develop and what effect they can have. High-reliability sectors consisting of nuclear power where the safety governance requires risk-informed decisions have seen wide use of PRA (Zhang et al., 2024; Ameyaw et al., 2026).</w:t>
      </w:r>
    </w:p>
    <w:p w14:paraId="0EC7C365"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Conventional PRA methods tend to be non-dynamic in nature since they use predetermined probabilities of failure, and the systems are defined. Although it is suitable in regulatory evaluations and long-term planning, it is possible that under time-varying conditions of degradation, changing operational conditions, or the impact of maintenance actions, the impact may not be adequately captured by using static PRA (George-Williams, 2018; Karanki et al., 2019). To overcome them, dynamic PRA techniques have been created, which use condition monitoring information, system dynamics, and real-time feedback (Parhizkar et al., 2021; Moradi &amp; Groth, 2020).</w:t>
      </w:r>
    </w:p>
    <w:p w14:paraId="209FACCB"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 xml:space="preserve">Dynamic and living PRA frameworks allow the reassessment of risks in a continuous manner due to the availability of new information and thus they are especially applicable in maintenance decision-making. Connecting PRA to prognostics and health management methods, these strategies assist in the adaptive </w:t>
      </w:r>
      <w:r w:rsidRPr="00D95A6F">
        <w:rPr>
          <w:rFonts w:ascii="Times New Roman" w:hAnsi="Times New Roman"/>
          <w:sz w:val="24"/>
          <w:szCs w:val="24"/>
        </w:rPr>
        <w:lastRenderedPageBreak/>
        <w:t>maintenance policies in response to the changes in the state of the system (Hoseyni et al., 2019; Wang et al., 2024). With more and more energy systems being digitalized and interconnected, PRA is ceasing to be a one-dimensional analytical tool and is becoming a part of operational and maintenance decision support (Rony &amp; Shafa, 2024; Zhang et al., 2024).</w:t>
      </w:r>
    </w:p>
    <w:p w14:paraId="28B4BCF1" w14:textId="77777777" w:rsidR="008D34CC" w:rsidRPr="00D95A6F" w:rsidRDefault="008D34CC" w:rsidP="008D34CC">
      <w:pPr>
        <w:spacing w:line="360" w:lineRule="auto"/>
        <w:jc w:val="both"/>
        <w:rPr>
          <w:rFonts w:ascii="Times New Roman" w:hAnsi="Times New Roman"/>
          <w:sz w:val="24"/>
          <w:szCs w:val="24"/>
        </w:rPr>
      </w:pPr>
    </w:p>
    <w:p w14:paraId="38C1312F" w14:textId="77777777" w:rsidR="008D34CC" w:rsidRPr="00D95A6F" w:rsidRDefault="008D34CC" w:rsidP="008D34CC">
      <w:pPr>
        <w:spacing w:line="360" w:lineRule="auto"/>
        <w:jc w:val="both"/>
        <w:rPr>
          <w:rFonts w:ascii="Times New Roman" w:hAnsi="Times New Roman"/>
          <w:b/>
          <w:bCs/>
          <w:sz w:val="24"/>
          <w:szCs w:val="24"/>
        </w:rPr>
      </w:pPr>
      <w:r w:rsidRPr="00D95A6F">
        <w:rPr>
          <w:rFonts w:ascii="Times New Roman" w:hAnsi="Times New Roman"/>
          <w:b/>
          <w:bCs/>
          <w:sz w:val="24"/>
          <w:szCs w:val="24"/>
        </w:rPr>
        <w:t>2.4 Risk Metrics Used in Maintenance</w:t>
      </w:r>
    </w:p>
    <w:p w14:paraId="6688A46D"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 xml:space="preserve">Risk measures give the numerical foundations over which PRA outputs can be converted into feasible maintenance decisions. The most popular metrics are component and system-level failure probabilities, which show the probability of the loss of functions within a given time period (Cai et al., 2023). The anticipated loss measures also integrate the probability of failure to the estimated consequences, which enables the maintenance activities to be prioritized with regard to their expected influence on the safety and the cost (Soltanali et al., 2020; Viana et al., 2022). These are taken to aid the rational distribution of limited maintenance resources in complex systems. Fussel Vesely and related risk importance measurements are common methods of determining important components that contribute to system risk predominated by their failure modes (Mohammadhasani &amp; Pirouzmand, 2021). These metrics can be used to make targeted maintenance interventions that are most cost-effective in reduction of risks. </w:t>
      </w:r>
    </w:p>
    <w:p w14:paraId="2318C6F6" w14:textId="77777777" w:rsidR="008D34CC" w:rsidRPr="00D95A6F" w:rsidRDefault="008D34CC" w:rsidP="008D34CC">
      <w:pPr>
        <w:spacing w:line="360" w:lineRule="auto"/>
        <w:jc w:val="both"/>
        <w:rPr>
          <w:rFonts w:ascii="Times New Roman" w:hAnsi="Times New Roman"/>
          <w:sz w:val="24"/>
          <w:szCs w:val="24"/>
        </w:rPr>
      </w:pPr>
      <w:r w:rsidRPr="00DE1993">
        <w:rPr>
          <w:rFonts w:ascii="Times New Roman" w:hAnsi="Times New Roman"/>
          <w:sz w:val="24"/>
          <w:szCs w:val="24"/>
        </w:rPr>
        <w:t>Nevertheless, importance measures are sensitive to model assumptions and system boundary definitions. To address this limitation, practitioners should apply robustness checks and sensitivity analysis to evaluate how importance rankings change under different modeling assumptions and operational scenarios (Karanki et al., 2019; Vesely, 2018)</w:t>
      </w:r>
      <w:r w:rsidRPr="25447BB7">
        <w:rPr>
          <w:rFonts w:ascii="Times New Roman" w:hAnsi="Times New Roman"/>
          <w:sz w:val="24"/>
          <w:szCs w:val="24"/>
        </w:rPr>
        <w:t>. An important difference in maintenance planning is the difference between component level and systems level risk metrics. Local optimization is also effective with component-level metrics, but system-level metrics can also place emphasis on the interfaces and dependencies that can increase or decrease total risk (Haimes, 2018; Barlow et al., 2021). In multifaceted energy systems, there must be a combination of the two points of view in order to have proper maintenance decision-making that ensures that the local activity is in line with global risk reduction goals (Moinian &amp; Ameli, 2022; Rocchetta et al., 2025).</w:t>
      </w:r>
    </w:p>
    <w:p w14:paraId="08958B49" w14:textId="77777777" w:rsidR="008D34CC" w:rsidRPr="00D95A6F" w:rsidRDefault="008D34CC" w:rsidP="008D34CC">
      <w:pPr>
        <w:spacing w:line="360" w:lineRule="auto"/>
        <w:jc w:val="both"/>
        <w:rPr>
          <w:rFonts w:ascii="Times New Roman" w:hAnsi="Times New Roman"/>
          <w:sz w:val="24"/>
          <w:szCs w:val="24"/>
        </w:rPr>
      </w:pPr>
      <w:r w:rsidRPr="00D95A6F">
        <w:rPr>
          <w:noProof/>
          <w:sz w:val="24"/>
          <w:szCs w:val="24"/>
        </w:rPr>
        <w:lastRenderedPageBreak/>
        <w:drawing>
          <wp:inline distT="0" distB="0" distL="0" distR="0" wp14:anchorId="606ADED4" wp14:editId="7EF350C4">
            <wp:extent cx="5731510" cy="2676525"/>
            <wp:effectExtent l="0" t="0" r="2540" b="9525"/>
            <wp:docPr id="5266335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0442" b="9506"/>
                    <a:stretch>
                      <a:fillRect/>
                    </a:stretch>
                  </pic:blipFill>
                  <pic:spPr bwMode="auto">
                    <a:xfrm>
                      <a:off x="0" y="0"/>
                      <a:ext cx="5731510" cy="2676525"/>
                    </a:xfrm>
                    <a:prstGeom prst="rect">
                      <a:avLst/>
                    </a:prstGeom>
                    <a:noFill/>
                    <a:ln>
                      <a:noFill/>
                    </a:ln>
                    <a:extLst>
                      <a:ext uri="{53640926-AAD7-44D8-BBD7-CCE9431645EC}">
                        <a14:shadowObscured xmlns:a14="http://schemas.microsoft.com/office/drawing/2010/main"/>
                      </a:ext>
                    </a:extLst>
                  </pic:spPr>
                </pic:pic>
              </a:graphicData>
            </a:graphic>
          </wp:inline>
        </w:drawing>
      </w:r>
    </w:p>
    <w:p w14:paraId="6C0D20AC" w14:textId="77777777" w:rsidR="008D34CC" w:rsidRPr="00D95A6F" w:rsidRDefault="008D34CC" w:rsidP="008D34CC">
      <w:pPr>
        <w:spacing w:line="360" w:lineRule="auto"/>
        <w:jc w:val="both"/>
        <w:rPr>
          <w:rFonts w:ascii="Times New Roman" w:hAnsi="Times New Roman"/>
          <w:b/>
          <w:bCs/>
          <w:sz w:val="24"/>
          <w:szCs w:val="24"/>
        </w:rPr>
      </w:pPr>
      <w:r w:rsidRPr="00D95A6F">
        <w:rPr>
          <w:rFonts w:ascii="Times New Roman" w:hAnsi="Times New Roman"/>
          <w:b/>
          <w:bCs/>
          <w:sz w:val="24"/>
          <w:szCs w:val="24"/>
        </w:rPr>
        <w:t>Figure 1: Framework of Probabilistic risk assessment-driven maintenance decision-making in complex energy systems</w:t>
      </w:r>
    </w:p>
    <w:p w14:paraId="4EAB4651" w14:textId="77777777" w:rsidR="008D34CC" w:rsidRPr="00D95A6F" w:rsidRDefault="008D34CC" w:rsidP="008D34CC">
      <w:pPr>
        <w:spacing w:line="360" w:lineRule="auto"/>
        <w:jc w:val="both"/>
        <w:rPr>
          <w:rFonts w:ascii="Times New Roman" w:hAnsi="Times New Roman"/>
          <w:b/>
          <w:bCs/>
          <w:sz w:val="24"/>
          <w:szCs w:val="24"/>
        </w:rPr>
      </w:pPr>
    </w:p>
    <w:p w14:paraId="1BB5778E" w14:textId="77777777" w:rsidR="008D34CC" w:rsidRPr="00D95A6F" w:rsidRDefault="008D34CC" w:rsidP="008D34CC">
      <w:pPr>
        <w:spacing w:line="360" w:lineRule="auto"/>
        <w:jc w:val="both"/>
        <w:rPr>
          <w:rFonts w:ascii="Times New Roman" w:hAnsi="Times New Roman"/>
          <w:b/>
          <w:bCs/>
          <w:sz w:val="24"/>
          <w:szCs w:val="24"/>
        </w:rPr>
      </w:pPr>
      <w:r w:rsidRPr="00D95A6F">
        <w:rPr>
          <w:rFonts w:ascii="Times New Roman" w:hAnsi="Times New Roman"/>
          <w:b/>
          <w:bCs/>
          <w:sz w:val="24"/>
          <w:szCs w:val="24"/>
        </w:rPr>
        <w:t>3. Analytical PRA Frameworks for Maintenance Decision-Making</w:t>
      </w:r>
    </w:p>
    <w:p w14:paraId="1BB84C2B" w14:textId="77777777" w:rsidR="008D34CC" w:rsidRPr="00D95A6F" w:rsidRDefault="008D34CC" w:rsidP="008D34CC">
      <w:pPr>
        <w:spacing w:line="360" w:lineRule="auto"/>
        <w:jc w:val="both"/>
        <w:rPr>
          <w:rFonts w:ascii="Times New Roman" w:hAnsi="Times New Roman"/>
          <w:b/>
          <w:bCs/>
          <w:sz w:val="24"/>
          <w:szCs w:val="24"/>
        </w:rPr>
      </w:pPr>
      <w:r w:rsidRPr="00D95A6F">
        <w:rPr>
          <w:rFonts w:ascii="Times New Roman" w:hAnsi="Times New Roman"/>
          <w:b/>
          <w:bCs/>
          <w:sz w:val="24"/>
          <w:szCs w:val="24"/>
        </w:rPr>
        <w:t xml:space="preserve">3.1 Risk-Based Maintenance (RBM)  </w:t>
      </w:r>
    </w:p>
    <w:p w14:paraId="084ECF56"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One of the oldest and most popular frameworks developed to incorporate probabilistic risk ideas into the maintenance planning is the Risk-Based Maintenance (RBM). Instead of depending on regular time-related plans, RBM focuses on prioritizing the maintenance activities depending on the balanced evaluation of the probability of failure and the severity of consequences, allowing placing the components in terms of their overall impact on the risk of the system (Vesely, 2018; Mohammadhasani &amp; Pirouzmand, 2021). This risk-prioritizing exercise enables the decision-makers to spend scarce resources on assets whose failure would have the most significant safety, economic, or environmental impacts. RBM has been especially applied to the complex energy systems, when heterogeneous components have markedly dissimilar risk behaviors (Li et al., 2023).</w:t>
      </w:r>
    </w:p>
    <w:p w14:paraId="5274D52E"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 xml:space="preserve">In reality, RBM uses risk matrices, expected loss calculations, and risk importance measures based on PRA models to identify clear and defendable rules of maintenance prioritization (Syed &amp; Lawryshyn, 2020). RBM aligns maintenance planning with risk-informed decision-making, explicitly relating maintenance actions to risk reduction quantified which is necessary in high-consequence infrastructures with conservative acceptable risk levels (Jang &amp; Shim, 2020). RBM has been executed successfully in thermal power plants, electrical distribution networks, and refinery systems and shows better reliability and less unplanned outage than traditional solutions (Palakodeti et al., 2020; Ajenifuja, 2024). In electrical systems, it aids in outage planning, asset replacement decision making since it can determine which of the components will fail to stabilize the </w:t>
      </w:r>
      <w:r w:rsidRPr="00D95A6F">
        <w:rPr>
          <w:rFonts w:ascii="Times New Roman" w:hAnsi="Times New Roman"/>
          <w:sz w:val="24"/>
          <w:szCs w:val="24"/>
        </w:rPr>
        <w:lastRenderedPageBreak/>
        <w:t>system (Rocchetta et al., 2025). These applications establish RBM as a basic framework that other more advanced probabilistic and data-driven maintenance models are based on (Li et al., 2023).</w:t>
      </w:r>
    </w:p>
    <w:p w14:paraId="672335BA" w14:textId="77777777" w:rsidR="008D34CC" w:rsidRPr="00D95A6F" w:rsidRDefault="008D34CC" w:rsidP="008D34CC">
      <w:pPr>
        <w:spacing w:line="360" w:lineRule="auto"/>
        <w:jc w:val="both"/>
        <w:rPr>
          <w:rFonts w:ascii="Times New Roman" w:hAnsi="Times New Roman"/>
          <w:b/>
          <w:bCs/>
          <w:sz w:val="24"/>
          <w:szCs w:val="24"/>
        </w:rPr>
      </w:pPr>
    </w:p>
    <w:p w14:paraId="4CD10F9D" w14:textId="77777777" w:rsidR="008D34CC" w:rsidRPr="00D95A6F" w:rsidRDefault="008D34CC" w:rsidP="008D34CC">
      <w:pPr>
        <w:spacing w:line="360" w:lineRule="auto"/>
        <w:jc w:val="both"/>
        <w:rPr>
          <w:rFonts w:ascii="Times New Roman" w:hAnsi="Times New Roman"/>
          <w:b/>
          <w:bCs/>
          <w:sz w:val="24"/>
          <w:szCs w:val="24"/>
        </w:rPr>
      </w:pPr>
      <w:r w:rsidRPr="00D95A6F">
        <w:rPr>
          <w:rFonts w:ascii="Times New Roman" w:hAnsi="Times New Roman"/>
          <w:b/>
          <w:bCs/>
          <w:sz w:val="24"/>
          <w:szCs w:val="24"/>
        </w:rPr>
        <w:t xml:space="preserve">3.2 Condition-Based PRA </w:t>
      </w:r>
    </w:p>
    <w:p w14:paraId="0B50DB38" w14:textId="6AE37222"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Condition-based PRA is an extension of the traditional risk-based maintenance that explicitly uses the data of inspection and monitoring in probabilistic risk models. The conditional indicators of assets, fault diagnostics and degradation measurements are applied to dynamically update the failure probabilities and the system risk estimates (Hoseyni et al., 2019; Wang et al., 2024; Bonsu &amp; Adeoye, 2025). With this integration, maintenance decisions are made based on the real health condition of the components and not the presupposed mean operation. Consequently, condition-based PRA helps to perform highly accurate and timely maintenance interventions to complex energy systems.</w:t>
      </w:r>
      <w:r w:rsidR="00BC2E15">
        <w:rPr>
          <w:rFonts w:ascii="Times New Roman" w:hAnsi="Times New Roman"/>
          <w:sz w:val="24"/>
          <w:szCs w:val="24"/>
        </w:rPr>
        <w:t xml:space="preserve"> </w:t>
      </w:r>
      <w:r w:rsidR="00BC2E15" w:rsidRPr="00DF1756">
        <w:rPr>
          <w:rFonts w:ascii="Times New Roman" w:hAnsi="Times New Roman"/>
          <w:sz w:val="24"/>
          <w:szCs w:val="24"/>
        </w:rPr>
        <w:t>However, most existing models assume ideal data availability, limiting their applicability in real-world settings.</w:t>
      </w:r>
    </w:p>
    <w:p w14:paraId="37F6BD60"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Bayesian updating is another major analytical aspect of condition-based PRA whereby prior failure models are updated as evidence is received. Epistemic uncertainty is gradually decreased by inspection results and sensor data, making predictions of risks more accurate as time progresses (Hoseyni, 2020; Moradi &amp; Groth, 2020). This feature is particularly crucial in nuclear and power generation systems, where too much maintenance may be taken due to conservative assumptions, and overestimation of risk may be disastrous. Bayesian updating hence offers a mathematically sound process of operational data learning.</w:t>
      </w:r>
    </w:p>
    <w:p w14:paraId="0FCBD109" w14:textId="77777777" w:rsidR="008D34CC" w:rsidRPr="00D95A6F" w:rsidRDefault="008D34CC" w:rsidP="008D34CC">
      <w:pPr>
        <w:spacing w:line="360" w:lineRule="auto"/>
        <w:jc w:val="both"/>
        <w:rPr>
          <w:rFonts w:ascii="Times New Roman" w:hAnsi="Times New Roman"/>
          <w:b/>
          <w:bCs/>
          <w:sz w:val="24"/>
          <w:szCs w:val="24"/>
        </w:rPr>
      </w:pPr>
      <w:r w:rsidRPr="00D95A6F">
        <w:rPr>
          <w:rFonts w:ascii="Times New Roman" w:hAnsi="Times New Roman"/>
          <w:sz w:val="24"/>
          <w:szCs w:val="24"/>
        </w:rPr>
        <w:t>Empirical research shows that condition-based PRA enhances the process of maintenance scheduling, unnecessary interventions, and the overall system safety compared to the use of static methods (Hoseyni et al., 2019; Zhang et al., 2024). This framework fills the gap between risk-informed decision rules and asset health management, related to degradation monitoring by connecting both directly to one another. Subsequently, condition-based PRA is becoming an important facilitator of adaptive and risk-informed maintenance in contemporary energy systems (Morabi &amp; Groth, 2020; Li et al., 2023).</w:t>
      </w:r>
    </w:p>
    <w:p w14:paraId="191F12D9" w14:textId="77777777" w:rsidR="008D34CC" w:rsidRPr="00D95A6F" w:rsidRDefault="008D34CC" w:rsidP="008D34CC">
      <w:pPr>
        <w:spacing w:line="360" w:lineRule="auto"/>
        <w:jc w:val="both"/>
        <w:rPr>
          <w:rFonts w:ascii="Times New Roman" w:hAnsi="Times New Roman"/>
          <w:b/>
          <w:bCs/>
          <w:sz w:val="24"/>
          <w:szCs w:val="24"/>
        </w:rPr>
      </w:pPr>
    </w:p>
    <w:p w14:paraId="5822DABC" w14:textId="77777777" w:rsidR="008D34CC" w:rsidRPr="00D95A6F" w:rsidRDefault="008D34CC" w:rsidP="008D34CC">
      <w:pPr>
        <w:spacing w:line="360" w:lineRule="auto"/>
        <w:jc w:val="both"/>
        <w:rPr>
          <w:rFonts w:ascii="Times New Roman" w:hAnsi="Times New Roman"/>
          <w:b/>
          <w:bCs/>
          <w:sz w:val="24"/>
          <w:szCs w:val="24"/>
        </w:rPr>
      </w:pPr>
      <w:r w:rsidRPr="00D95A6F">
        <w:rPr>
          <w:rFonts w:ascii="Times New Roman" w:hAnsi="Times New Roman"/>
          <w:b/>
          <w:bCs/>
          <w:sz w:val="24"/>
          <w:szCs w:val="24"/>
        </w:rPr>
        <w:t xml:space="preserve">3.3 Bayesian Networks and Dynamic PRA </w:t>
      </w:r>
    </w:p>
    <w:p w14:paraId="4C2E3836"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Bayesian networks and dynamic PRA frameworks have a sophisticated modeling ability in the representation of dependency structures, time-dependent degradation, and uncertainty propagation of complex systems. These techniques are probabilistic graphical models of components and mechanisms of failure in a system to explicitly model interdependency and common-cause failures (Parhizkar et al., 2021; Moradi &amp; Groth, 2020). In contrast with the fixed-point PRA, dynamic methods permit risk in the system to change with the changing operating conditions and component states. This renders them especially appropriate in continuing running energy systems and systems with protracted assets.</w:t>
      </w:r>
    </w:p>
    <w:p w14:paraId="242F4842"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lastRenderedPageBreak/>
        <w:t>One of the strengths of the Bayesian and dynamic PRA is that it can take incomplete, sparse or uncertain data. In other situations where the data on empirical failures are scarce, prior knowledge and expert judgment could be formally considered and revised with the emergence of new evidence (George-Williams, 2018; Karanki et al., 2019). It is essential in emerging technologies in the energy field and rare events, where historical data cannot be relied on solely. It is also possible to model maintenance actions themselves using dynamic models, as the form of risk-reducing intervention that changes future system states. There is a growing number of applications of Bayesian and dynamic PRA in nuclear, digitalized, and cyber-physical environments (Parhizkar et al., 2021; Rony &amp; Shafa, 2024). These structures enable real-time or near real-time risk evaluation that allows maintenance decisions to be made based on the changing system environment. With the growing interconnection and information density of energy systems, Bayesian and dynamic PRA is likely to be at the center of next-generation maintenance decision support (Zhang et al., 2024; Li et al., 2023).</w:t>
      </w:r>
    </w:p>
    <w:p w14:paraId="44F3E13F" w14:textId="77777777" w:rsidR="008D34CC" w:rsidRPr="00D95A6F" w:rsidRDefault="008D34CC" w:rsidP="008D34CC">
      <w:pPr>
        <w:spacing w:line="360" w:lineRule="auto"/>
        <w:jc w:val="both"/>
        <w:rPr>
          <w:rFonts w:ascii="Times New Roman" w:hAnsi="Times New Roman"/>
          <w:b/>
          <w:bCs/>
          <w:sz w:val="24"/>
          <w:szCs w:val="24"/>
        </w:rPr>
      </w:pPr>
    </w:p>
    <w:p w14:paraId="5B14FC7C" w14:textId="77777777" w:rsidR="008D34CC" w:rsidRPr="00D95A6F" w:rsidRDefault="008D34CC" w:rsidP="008D34CC">
      <w:pPr>
        <w:spacing w:line="360" w:lineRule="auto"/>
        <w:jc w:val="both"/>
        <w:rPr>
          <w:rFonts w:ascii="Times New Roman" w:hAnsi="Times New Roman"/>
          <w:b/>
          <w:bCs/>
          <w:sz w:val="24"/>
          <w:szCs w:val="24"/>
        </w:rPr>
      </w:pPr>
      <w:r w:rsidRPr="00D95A6F">
        <w:rPr>
          <w:rFonts w:ascii="Times New Roman" w:hAnsi="Times New Roman"/>
          <w:b/>
          <w:bCs/>
          <w:sz w:val="24"/>
          <w:szCs w:val="24"/>
        </w:rPr>
        <w:t xml:space="preserve">3.4 Decision-Theoretic Models </w:t>
      </w:r>
    </w:p>
    <w:p w14:paraId="4F270FA4"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Decision-theoretic models represent the concept of maintaining planning as a decision process among options in situations of uncertainty with evaluation based on expected utility or risk-adjusted performance measures. These models explicitly consider that some risk tolerance, safety goals, and stakeholder preferences are relevant to the maintenance decision making instead of the models relying on reliability or cost as the primary selection criteria (Vesely, 2018; Syed &amp; Lawryshyn, 2020; Obidiagha &amp; Antwi, 2026). This framing especially applies in energy systems in which the social and regulatory factors influence the acceptable levels of risks. The expected utility theory offers a rational framework of comparing maintenance efforts with various risk-cost trades.</w:t>
      </w:r>
    </w:p>
    <w:p w14:paraId="288FE451"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Incorporation of multi-criteria decision analysis (MCDA) and PRA provides an additional improvement to this framework because probabilistic risk outputs are available to be considered alongside economic, operational, and safety criteria. This type of hybrid MCDA-PRA has been effectively used in industrial energy systems and gas pipelines in order to prioritize maintenance portfolios with competing goals (Viana et al., 2022). These models enhance transparency and communication with stakeholders, particularly in cases where maintenance decisions have conflicting priorities and are constrained by limited resources, and benefit from standardized monitoring and evaluation structures (Syed &amp; Lawryshyn, 2020; Obidiagha &amp; Antwi, 2026).</w:t>
      </w:r>
    </w:p>
    <w:p w14:paraId="3336B3D2" w14:textId="77777777" w:rsidR="008D34CC" w:rsidRPr="00D95A6F" w:rsidRDefault="008D34CC" w:rsidP="008D34CC">
      <w:pPr>
        <w:spacing w:line="360" w:lineRule="auto"/>
        <w:jc w:val="both"/>
        <w:rPr>
          <w:rFonts w:ascii="Times New Roman" w:hAnsi="Times New Roman"/>
          <w:b/>
          <w:bCs/>
          <w:sz w:val="24"/>
          <w:szCs w:val="24"/>
        </w:rPr>
      </w:pPr>
    </w:p>
    <w:p w14:paraId="549D4233" w14:textId="77777777" w:rsidR="008D34CC" w:rsidRPr="00D95A6F" w:rsidRDefault="008D34CC" w:rsidP="008D34CC">
      <w:pPr>
        <w:spacing w:line="360" w:lineRule="auto"/>
        <w:jc w:val="both"/>
        <w:rPr>
          <w:rFonts w:ascii="Times New Roman" w:hAnsi="Times New Roman"/>
          <w:b/>
          <w:bCs/>
          <w:sz w:val="24"/>
          <w:szCs w:val="24"/>
        </w:rPr>
      </w:pPr>
      <w:r w:rsidRPr="00D95A6F">
        <w:rPr>
          <w:rFonts w:ascii="Times New Roman" w:hAnsi="Times New Roman"/>
          <w:b/>
          <w:bCs/>
          <w:sz w:val="24"/>
          <w:szCs w:val="24"/>
        </w:rPr>
        <w:t xml:space="preserve">3.5 Opportunistic and Predictive Maintenance Models </w:t>
      </w:r>
    </w:p>
    <w:p w14:paraId="3001803C"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 xml:space="preserve">The opportunistic maintenance models take advantage of the planned shutdowns or unplanned shutdowns to carry out extra maintenance measures that lower the risk in the future at a minimal expense. These models enhance the use of resources, reduce operational interruptions in complicated systems due to the pooling of maintenance activities (Martinod et al., 2018; Tiddens et al., 2023). Risk-based assessment helps to make sure that opportunistic measures target the most expected risk reduction components. This method is especially </w:t>
      </w:r>
      <w:r w:rsidRPr="00D95A6F">
        <w:rPr>
          <w:rFonts w:ascii="Times New Roman" w:hAnsi="Times New Roman"/>
          <w:sz w:val="24"/>
          <w:szCs w:val="24"/>
        </w:rPr>
        <w:lastRenderedPageBreak/>
        <w:t>useful in energy systems under the conditions of considerable access limitations and downtime expenses (Soltanali et al., 2020).</w:t>
      </w:r>
    </w:p>
    <w:p w14:paraId="44A1523E"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Predictive maintenance models take this idea further and predict future degradation and failure behavior in case of uncertainty using data-driven and probabilistic models. Possibly, PRA is becoming more closely integrated with machine learning and reinforcement learning to maximize the timing of maintenance and intervention strategies (Nguyen et al., 2022; Feng &amp; Li, 2022). Experiments in wind energy systems and battery energy storage, as well as power generation, have shown to be more reliable and less expensive in terms of the lifecycle than reactive strategies (Zhen et al., 2025). Combined with PRA, predictive maintenance helps to make risk-advanced proactive decisions in line with system-level goals (Cai et al., 2023; Li et al., 2023).</w:t>
      </w:r>
    </w:p>
    <w:p w14:paraId="7BDCE332" w14:textId="77777777" w:rsidR="008D34CC" w:rsidRPr="00D95A6F" w:rsidRDefault="008D34CC" w:rsidP="008D34CC">
      <w:pPr>
        <w:spacing w:line="360" w:lineRule="auto"/>
        <w:jc w:val="both"/>
        <w:rPr>
          <w:rFonts w:ascii="Times New Roman" w:hAnsi="Times New Roman"/>
          <w:sz w:val="24"/>
          <w:szCs w:val="24"/>
        </w:rPr>
      </w:pPr>
    </w:p>
    <w:p w14:paraId="6404EABA" w14:textId="77777777" w:rsidR="008D34CC" w:rsidRPr="00D95A6F" w:rsidRDefault="008D34CC" w:rsidP="008D34CC">
      <w:pPr>
        <w:spacing w:line="360" w:lineRule="auto"/>
        <w:jc w:val="both"/>
        <w:rPr>
          <w:rFonts w:ascii="Times New Roman" w:hAnsi="Times New Roman"/>
          <w:b/>
          <w:bCs/>
          <w:sz w:val="24"/>
          <w:szCs w:val="24"/>
        </w:rPr>
      </w:pPr>
      <w:r w:rsidRPr="00D95A6F">
        <w:rPr>
          <w:rFonts w:ascii="Times New Roman" w:hAnsi="Times New Roman"/>
          <w:b/>
          <w:bCs/>
          <w:sz w:val="24"/>
          <w:szCs w:val="24"/>
        </w:rPr>
        <w:t>4. Sector-Specific Applications in Energy Systems</w:t>
      </w:r>
    </w:p>
    <w:p w14:paraId="2BADBB43" w14:textId="77777777" w:rsidR="008D34CC" w:rsidRPr="00D95A6F" w:rsidRDefault="008D34CC" w:rsidP="008D34CC">
      <w:pPr>
        <w:spacing w:line="360" w:lineRule="auto"/>
        <w:jc w:val="both"/>
        <w:rPr>
          <w:rFonts w:ascii="Times New Roman" w:hAnsi="Times New Roman"/>
          <w:b/>
          <w:bCs/>
          <w:sz w:val="24"/>
          <w:szCs w:val="24"/>
        </w:rPr>
      </w:pPr>
      <w:r w:rsidRPr="00D95A6F">
        <w:rPr>
          <w:rFonts w:ascii="Times New Roman" w:hAnsi="Times New Roman"/>
          <w:b/>
          <w:bCs/>
          <w:sz w:val="24"/>
          <w:szCs w:val="24"/>
        </w:rPr>
        <w:t>4.1 Nuclear Energy Systems</w:t>
      </w:r>
    </w:p>
    <w:p w14:paraId="42F5BD13" w14:textId="77777777" w:rsidR="008D34CC" w:rsidRPr="00D95A6F" w:rsidRDefault="008D34CC" w:rsidP="008D34CC">
      <w:pPr>
        <w:spacing w:line="360" w:lineRule="auto"/>
        <w:jc w:val="both"/>
        <w:rPr>
          <w:rFonts w:ascii="Times New Roman" w:hAnsi="Times New Roman"/>
          <w:sz w:val="24"/>
          <w:szCs w:val="24"/>
        </w:rPr>
      </w:pPr>
      <w:r w:rsidRPr="25447BB7">
        <w:rPr>
          <w:rFonts w:ascii="Times New Roman" w:hAnsi="Times New Roman"/>
          <w:sz w:val="24"/>
          <w:szCs w:val="24"/>
        </w:rPr>
        <w:t xml:space="preserve">Nuclear power systems are the most established and institutionalized to utilize probabilistic risk assessment (PRA) in the decision-making process of maintenance (Vesely, 2018; Jang &amp; Shim, 2020). This integration offers formal basis on making risk-informed decisions in lifecycle of the nuclear plants. </w:t>
      </w:r>
      <w:r w:rsidRPr="00236EC9">
        <w:rPr>
          <w:rFonts w:ascii="Times New Roman" w:hAnsi="Times New Roman"/>
          <w:sz w:val="24"/>
          <w:szCs w:val="24"/>
        </w:rPr>
        <w:t>In recent years, living and continuously updated PRA frameworks have been increasingly adopted to capture evolving plant conditions, operational experience, and the effects of maintenance interventions (Zhang et al., 2024)</w:t>
      </w:r>
      <w:r w:rsidRPr="25447BB7">
        <w:rPr>
          <w:rFonts w:ascii="Times New Roman" w:hAnsi="Times New Roman"/>
          <w:sz w:val="24"/>
          <w:szCs w:val="24"/>
        </w:rPr>
        <w:t>. Consequently, the nuclear industry has become a model industry in setting standards of highly consequence infrastructures of PRA-influenced maintenance practices.</w:t>
      </w:r>
    </w:p>
    <w:p w14:paraId="68636388"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PRA outputs are central in setting up inspection times, testing programs and component replacement programs in the nuclear plants. The priorities of the safety-significant elements on which the degradation can cause a disproportionate increase in plant risk are presented in terms of risk importance measures and the expected consequence metrics (Serbanescu &amp; Ulmeanu, 2020; Wang et al., 2024). Condition-based PRA methods also deal with improving maintenance decisions by considering both inspection information and the degradation models in risk assessment (Hoseyni et al., 2019; Hoseyni, 2020). Recent works focus on the combination of PRA and digital diagnostics, AI-based fault detection, prognostics and real-time monitoring systems, especially in the aging nuclear plants, long-term degradation uncertainty should be handled with due care (Morabi &amp; Groth, 2020; Parhizkar et al., 2021; Bonsu &amp; Adeoye, 2025). Taken together, these developments indicate that PRA is an essential part of the process of making the maintenance decisions of complex, high-consequential energy systems (Zhang et al., 2024; Li et al., 2023).</w:t>
      </w:r>
    </w:p>
    <w:p w14:paraId="47EE4C3F" w14:textId="77777777" w:rsidR="008D34CC" w:rsidRPr="00D95A6F" w:rsidRDefault="008D34CC" w:rsidP="008D34CC">
      <w:pPr>
        <w:spacing w:line="360" w:lineRule="auto"/>
        <w:jc w:val="both"/>
        <w:rPr>
          <w:rFonts w:ascii="Times New Roman" w:hAnsi="Times New Roman"/>
          <w:b/>
          <w:bCs/>
          <w:sz w:val="24"/>
          <w:szCs w:val="24"/>
        </w:rPr>
      </w:pPr>
      <w:r w:rsidRPr="00D95A6F">
        <w:rPr>
          <w:rFonts w:ascii="Times New Roman" w:hAnsi="Times New Roman"/>
          <w:b/>
          <w:bCs/>
          <w:sz w:val="24"/>
          <w:szCs w:val="24"/>
        </w:rPr>
        <w:t xml:space="preserve">4.2 Power Generation and Transmission </w:t>
      </w:r>
    </w:p>
    <w:p w14:paraId="1BEFDFAF"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 xml:space="preserve">The maintenance decision-making in power generation and power transmission systems has to consider large-scale interdependencies, geographically dispersed assets and real-time operation constraints. The frameworks of asset risk management based on PRA are becoming more widespread in order to focus on the maintenance </w:t>
      </w:r>
      <w:r w:rsidRPr="00D95A6F">
        <w:rPr>
          <w:rFonts w:ascii="Times New Roman" w:hAnsi="Times New Roman"/>
          <w:sz w:val="24"/>
          <w:szCs w:val="24"/>
        </w:rPr>
        <w:lastRenderedPageBreak/>
        <w:t>efforts based on the effects they have on the stability of the system and the service uptime. Power systems are subject to continuously changing load requirements and market-driven dispatch requirements (compared to nuclear systems), creating further uncertainty in the operation. This means that probabilistic risk assessment and operational decision-making processes must be tightly integrated in the process of effective maintenance planning in this sector (Felder &amp; Petitet, 2024; Barlow et al., 2021; Adjei et al., 2026).</w:t>
      </w:r>
    </w:p>
    <w:p w14:paraId="5C650B66"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Risk-based maintenance of power systems pays attention to critical elements, the failure of which may cause a cascade of outages or a large-scale loss of service. Component criticality, outage probabilities, and system-level consequences are assessed in different operation conditions with the help of PRA and reliability models (Moinian &amp; Ameli, 2022; Rocchetta et al., 2025). These models of analysis have helped to inform maintenance prioritization policies that trade reliability gains with cost and operational feasibility and risk-informed outage planning has been demonstrated to decrease the vulnerability to large-scale failures (Rocchetta et al., 2025). The questions of integrating maintenance based on PRA with operational planning continue to be a key issue of concern because the maintenance load and the operation scheduling need to follow the load projections, generation schedule, and network operations (Palakodeti et al., 2020). This integration, which continues to gain traction via emerging digital platforms, is supported by evaluate operational risks through scenarios and coordinated asset surveillance (Cai et al., 2023; Rony &amp; Shafa, 2024; Obidiagha &amp; Antwi, 2026), which underpins the role of PRA as a decision-supporting intermediary between asset management and system operation in complex power infrastructures.</w:t>
      </w:r>
    </w:p>
    <w:p w14:paraId="2B732531" w14:textId="77777777" w:rsidR="008D34CC" w:rsidRPr="00D95A6F" w:rsidRDefault="008D34CC" w:rsidP="008D34CC">
      <w:pPr>
        <w:spacing w:line="360" w:lineRule="auto"/>
        <w:jc w:val="both"/>
        <w:rPr>
          <w:rFonts w:ascii="Times New Roman" w:hAnsi="Times New Roman"/>
          <w:sz w:val="24"/>
          <w:szCs w:val="24"/>
        </w:rPr>
      </w:pPr>
    </w:p>
    <w:p w14:paraId="7B669A2B" w14:textId="77777777" w:rsidR="008D34CC" w:rsidRPr="00D95A6F" w:rsidRDefault="008D34CC" w:rsidP="008D34CC">
      <w:pPr>
        <w:spacing w:line="360" w:lineRule="auto"/>
        <w:jc w:val="both"/>
        <w:rPr>
          <w:rFonts w:ascii="Times New Roman" w:hAnsi="Times New Roman"/>
          <w:b/>
          <w:bCs/>
          <w:sz w:val="24"/>
          <w:szCs w:val="24"/>
        </w:rPr>
      </w:pPr>
      <w:r w:rsidRPr="00D95A6F">
        <w:rPr>
          <w:rFonts w:ascii="Times New Roman" w:hAnsi="Times New Roman"/>
          <w:b/>
          <w:bCs/>
          <w:sz w:val="24"/>
          <w:szCs w:val="24"/>
        </w:rPr>
        <w:t xml:space="preserve">4.3 Renewable and Hybrid Energy Systems </w:t>
      </w:r>
    </w:p>
    <w:p w14:paraId="2A356DDE"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The nature of renewable and hybrid energy systems presents new issues to maintenance decision-making because these energy systems are inherently intermittent, exposed to the environment, and changing the system structure. The operating conditions of wind, solar and battery-built systems are highly variable and thus makes it difficult to model failures and plan maintenance (Zhen et al., 2025). The renewable generation has a stochastic characteristic that adds some uncertainty in the degradation of assets and the system level effects, restricting the usefulness of the conventional deterministic maintenance strategies. These uncertainties spread across the networks of interrelated energy systems as the rate of renewable infiltration grows (Li et al., 2023; Felder &amp; Petitet, 2024).</w:t>
      </w:r>
    </w:p>
    <w:p w14:paraId="5EC49611" w14:textId="62BBFCA0"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 xml:space="preserve">Renewable and hybrid systems PRAs have been recently introduced as maintenance strategies, and they have great potential to enhance reliability and lifecycle performance. Probabilistic risk assessment supported with predictive and condition-based maintenance models also allows identifying high-risk components early and choosing the most timely intervention (Cai et al., 2023; Nguyen et al., 2022). The use of PRA in wind energy systems and battery energy storage proves that it is worth combining it with data-based diagnostics and performance modeling (Zhen et al., 2025). With the ongoing growth and integration of renewable energy </w:t>
      </w:r>
      <w:r w:rsidRPr="00D95A6F">
        <w:rPr>
          <w:rFonts w:ascii="Times New Roman" w:hAnsi="Times New Roman"/>
          <w:sz w:val="24"/>
          <w:szCs w:val="24"/>
        </w:rPr>
        <w:lastRenderedPageBreak/>
        <w:t>systems, the role of the maintenance decision-making in PRA is likely to be more and more important in maintaining the system resilience and sustainability.</w:t>
      </w:r>
      <w:r w:rsidR="00BC2E15">
        <w:rPr>
          <w:rFonts w:ascii="Times New Roman" w:hAnsi="Times New Roman"/>
          <w:sz w:val="24"/>
          <w:szCs w:val="24"/>
        </w:rPr>
        <w:t xml:space="preserve"> </w:t>
      </w:r>
      <w:r w:rsidR="00BC2E15" w:rsidRPr="00DF1756">
        <w:rPr>
          <w:rFonts w:ascii="Times New Roman" w:hAnsi="Times New Roman"/>
          <w:sz w:val="24"/>
          <w:szCs w:val="24"/>
        </w:rPr>
        <w:t>Despite successful applications, cross-sector transferability of these approaches remains insufficiently validated.</w:t>
      </w:r>
    </w:p>
    <w:p w14:paraId="36BE01C3" w14:textId="77777777" w:rsidR="008D34CC" w:rsidRPr="00D95A6F" w:rsidRDefault="008D34CC" w:rsidP="008D34CC">
      <w:pPr>
        <w:spacing w:line="360" w:lineRule="auto"/>
        <w:jc w:val="both"/>
        <w:rPr>
          <w:rFonts w:ascii="Times New Roman" w:hAnsi="Times New Roman"/>
          <w:sz w:val="24"/>
          <w:szCs w:val="24"/>
        </w:rPr>
      </w:pPr>
    </w:p>
    <w:p w14:paraId="32566BC9" w14:textId="77777777" w:rsidR="008D34CC" w:rsidRPr="00D95A6F" w:rsidRDefault="008D34CC" w:rsidP="008D34CC">
      <w:pPr>
        <w:spacing w:line="360" w:lineRule="auto"/>
        <w:jc w:val="both"/>
        <w:rPr>
          <w:rFonts w:ascii="Times New Roman" w:hAnsi="Times New Roman"/>
          <w:b/>
          <w:bCs/>
          <w:sz w:val="24"/>
          <w:szCs w:val="24"/>
        </w:rPr>
      </w:pPr>
      <w:r w:rsidRPr="00D95A6F">
        <w:rPr>
          <w:rFonts w:ascii="Times New Roman" w:hAnsi="Times New Roman"/>
          <w:b/>
          <w:bCs/>
          <w:sz w:val="24"/>
          <w:szCs w:val="24"/>
        </w:rPr>
        <w:t>5. Critical Comparison and Synthesis</w:t>
      </w:r>
    </w:p>
    <w:p w14:paraId="3871BE9C"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PRA-based maintenance systems have unique strong features based on the analysis range and time scale. The long-term planning, regulatory assessment, and prioritization of baseline maintenance in mature industries, including nuclear energy, are still useful with the help of the so-called statical PRA methods that assume set failure probabilities and a predetermined set-up of the system (Vesely, 2018; Serbanescu &amp; Ulmeanu, 2020). By contrast, dynamic and living PRA models explicitly use the time-dependent degradation, changing operational conditions, and impacts of the maintenance intervention to support the adaptive decisions in the complex and data-rich energy systems (Moradi &amp; Groth, 2020; Zhang et al., 2024). Furthermore, probabilistic models can clearly benefit compared to deterministic models because they include uncertainty and interdependences as well as low-probability high-consequence events which are often overlooked in deterministic models (Haimes, 2018; Hoseyni et al., 2019). Another difference between component-level and system-level PRA-based models of maintenance is that component-based models assist in a detailed assessment of asset health conditions and predictive maintenance (Cai et al., 2023; Nguyen et al., 2022), whereas system models are more effective in reflecting the cascading failure and emergent risk behavior in infrastructures (Barlow et al., 2021; Rocchetta et al., 2025). There is an increasing need to integrate the two views so that the local maintenance decisions are in line with the overall system-level risk reduction goals (Moinian &amp; Ameli, 2022; Li et al., 2023).</w:t>
      </w:r>
    </w:p>
    <w:p w14:paraId="7EAA302C" w14:textId="77777777" w:rsidR="008D34CC"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In spite of these benefits, literature claims that there are long-term shortcomings that limit actual application. The lack of information and quality of data, especially when dealing with rare failure modes and new technologies, induce the weak effect of probabilistic models (George-Williams, 2018; Karanki et al., 2019). The computational loads required to implement dynamic and data-intensive PRA frameworks also result in scale limitations and lacks real-time utility (Parhizkar et al., 2021; Rony &amp; Shafa, 2024). Moreover, biases in human decision-making, organizational limitations, and lack of integration of PRA outputs into operations are still impediments to adoption in practice (Angeli &amp; Montefusco, 2020; Syed &amp; Lawryshyn, 2020). These issues have highlighted the necessity to have more scalable, transparent and decision centric PRA frameworks that could be used to support maintenance planning in contemporary complex energy systems.</w:t>
      </w:r>
    </w:p>
    <w:p w14:paraId="49410369" w14:textId="77777777" w:rsidR="00DF1756" w:rsidRDefault="00DF1756" w:rsidP="008D34CC">
      <w:pPr>
        <w:spacing w:line="360" w:lineRule="auto"/>
        <w:jc w:val="both"/>
        <w:rPr>
          <w:rFonts w:ascii="Times New Roman" w:hAnsi="Times New Roman"/>
          <w:sz w:val="24"/>
          <w:szCs w:val="24"/>
        </w:rPr>
      </w:pPr>
      <w:r w:rsidRPr="00DF1756">
        <w:rPr>
          <w:rFonts w:ascii="Times New Roman" w:hAnsi="Times New Roman"/>
          <w:sz w:val="24"/>
          <w:szCs w:val="24"/>
        </w:rPr>
        <w:t xml:space="preserve">A critical synthesis of the reviewed literature reveals that, despite significant methodological advancements, no single PRA-based maintenance framework adequately addresses the full complexity of modern energy systems (Moradi &amp; Groth, 2020; Zhang et al., 2024; Li et al., 2023). Static PRA models offer robustness and regulatory acceptance but lack responsiveness to evolving system conditions, whereas dynamic and data-driven approaches improve adaptability at the cost of increased computational complexity and data dependency </w:t>
      </w:r>
      <w:r w:rsidRPr="00DF1756">
        <w:rPr>
          <w:rFonts w:ascii="Times New Roman" w:hAnsi="Times New Roman"/>
          <w:sz w:val="24"/>
          <w:szCs w:val="24"/>
        </w:rPr>
        <w:lastRenderedPageBreak/>
        <w:t>(Vesely, 2018; Serbanescu &amp; Ulmeanu, 2020; Parhizkar et al., 2021). Similarly, component-level optimization techniques enhance local decision accuracy but often fail to capture system-wide interdependencies, potentially leading to suboptimal global outcomes (Cai et al., 2023; Nguyen et al., 2022; Barlow et al., 2021). These trade-offs indicate that current research remains fragmented, with limited integration across analytical dimensions (Karanki et al., 2019; Li et al., 2023). Consequently, there is a need for unified frameworks that balance analytical rigor, computational feasibility, and practical applicability in real-world energy systems (Moinian &amp; Ameli, 2022; Rocchetta et al., 2025).</w:t>
      </w:r>
    </w:p>
    <w:p w14:paraId="62070F74" w14:textId="13BCB38E" w:rsidR="008D34CC" w:rsidRPr="00D95A6F" w:rsidRDefault="008D34CC" w:rsidP="008D34CC">
      <w:pPr>
        <w:spacing w:line="360" w:lineRule="auto"/>
        <w:jc w:val="both"/>
        <w:rPr>
          <w:rFonts w:ascii="Times New Roman" w:hAnsi="Times New Roman"/>
          <w:b/>
          <w:bCs/>
          <w:sz w:val="24"/>
          <w:szCs w:val="24"/>
        </w:rPr>
      </w:pPr>
      <w:r w:rsidRPr="00D95A6F">
        <w:rPr>
          <w:rFonts w:ascii="Times New Roman" w:hAnsi="Times New Roman"/>
          <w:b/>
          <w:bCs/>
          <w:sz w:val="24"/>
          <w:szCs w:val="24"/>
        </w:rPr>
        <w:t>Table 1: Comparative Summary of PRA-Based Maintenance Approaches</w:t>
      </w:r>
    </w:p>
    <w:tbl>
      <w:tblPr>
        <w:tblStyle w:val="TableGrid"/>
        <w:tblW w:w="0" w:type="auto"/>
        <w:tblLook w:val="04A0" w:firstRow="1" w:lastRow="0" w:firstColumn="1" w:lastColumn="0" w:noHBand="0" w:noVBand="1"/>
      </w:tblPr>
      <w:tblGrid>
        <w:gridCol w:w="2033"/>
        <w:gridCol w:w="1851"/>
        <w:gridCol w:w="1562"/>
        <w:gridCol w:w="1720"/>
        <w:gridCol w:w="2125"/>
        <w:gridCol w:w="1725"/>
      </w:tblGrid>
      <w:tr w:rsidR="008D34CC" w:rsidRPr="00D95A6F" w14:paraId="48FB2F09" w14:textId="77777777" w:rsidTr="00580AFA">
        <w:tc>
          <w:tcPr>
            <w:tcW w:w="0" w:type="auto"/>
            <w:hideMark/>
          </w:tcPr>
          <w:p w14:paraId="43E8BE91" w14:textId="77777777" w:rsidR="008D34CC" w:rsidRPr="00D95A6F" w:rsidRDefault="008D34CC" w:rsidP="00580AFA">
            <w:pPr>
              <w:spacing w:line="276" w:lineRule="auto"/>
              <w:jc w:val="center"/>
              <w:rPr>
                <w:rFonts w:ascii="Times New Roman" w:eastAsia="Times New Roman" w:hAnsi="Times New Roman"/>
                <w:b/>
                <w:bCs/>
                <w:sz w:val="24"/>
                <w:szCs w:val="24"/>
                <w:lang w:eastAsia="en-GB"/>
              </w:rPr>
            </w:pPr>
            <w:r w:rsidRPr="00D95A6F">
              <w:rPr>
                <w:rFonts w:ascii="Times New Roman" w:eastAsia="Times New Roman" w:hAnsi="Times New Roman"/>
                <w:b/>
                <w:bCs/>
                <w:sz w:val="24"/>
                <w:szCs w:val="24"/>
                <w:lang w:eastAsia="en-GB"/>
              </w:rPr>
              <w:t>Approach</w:t>
            </w:r>
          </w:p>
        </w:tc>
        <w:tc>
          <w:tcPr>
            <w:tcW w:w="0" w:type="auto"/>
            <w:hideMark/>
          </w:tcPr>
          <w:p w14:paraId="52E389F4" w14:textId="77777777" w:rsidR="008D34CC" w:rsidRPr="00D95A6F" w:rsidRDefault="008D34CC" w:rsidP="00580AFA">
            <w:pPr>
              <w:spacing w:line="276" w:lineRule="auto"/>
              <w:jc w:val="center"/>
              <w:rPr>
                <w:rFonts w:ascii="Times New Roman" w:eastAsia="Times New Roman" w:hAnsi="Times New Roman"/>
                <w:b/>
                <w:bCs/>
                <w:sz w:val="24"/>
                <w:szCs w:val="24"/>
                <w:lang w:eastAsia="en-GB"/>
              </w:rPr>
            </w:pPr>
            <w:r w:rsidRPr="00D95A6F">
              <w:rPr>
                <w:rFonts w:ascii="Times New Roman" w:eastAsia="Times New Roman" w:hAnsi="Times New Roman"/>
                <w:b/>
                <w:bCs/>
                <w:sz w:val="24"/>
                <w:szCs w:val="24"/>
                <w:lang w:eastAsia="en-GB"/>
              </w:rPr>
              <w:t>Uncertainty Handling</w:t>
            </w:r>
          </w:p>
        </w:tc>
        <w:tc>
          <w:tcPr>
            <w:tcW w:w="0" w:type="auto"/>
            <w:hideMark/>
          </w:tcPr>
          <w:p w14:paraId="7E304834" w14:textId="77777777" w:rsidR="008D34CC" w:rsidRPr="00D95A6F" w:rsidRDefault="008D34CC" w:rsidP="00580AFA">
            <w:pPr>
              <w:spacing w:line="276" w:lineRule="auto"/>
              <w:jc w:val="center"/>
              <w:rPr>
                <w:rFonts w:ascii="Times New Roman" w:eastAsia="Times New Roman" w:hAnsi="Times New Roman"/>
                <w:b/>
                <w:bCs/>
                <w:sz w:val="24"/>
                <w:szCs w:val="24"/>
                <w:lang w:eastAsia="en-GB"/>
              </w:rPr>
            </w:pPr>
            <w:r w:rsidRPr="00D95A6F">
              <w:rPr>
                <w:rFonts w:ascii="Times New Roman" w:eastAsia="Times New Roman" w:hAnsi="Times New Roman"/>
                <w:b/>
                <w:bCs/>
                <w:sz w:val="24"/>
                <w:szCs w:val="24"/>
                <w:lang w:eastAsia="en-GB"/>
              </w:rPr>
              <w:t>System Dependency</w:t>
            </w:r>
          </w:p>
        </w:tc>
        <w:tc>
          <w:tcPr>
            <w:tcW w:w="0" w:type="auto"/>
            <w:hideMark/>
          </w:tcPr>
          <w:p w14:paraId="1D4EE8AE" w14:textId="77777777" w:rsidR="008D34CC" w:rsidRPr="00D95A6F" w:rsidRDefault="008D34CC" w:rsidP="00580AFA">
            <w:pPr>
              <w:spacing w:line="276" w:lineRule="auto"/>
              <w:jc w:val="center"/>
              <w:rPr>
                <w:rFonts w:ascii="Times New Roman" w:eastAsia="Times New Roman" w:hAnsi="Times New Roman"/>
                <w:b/>
                <w:bCs/>
                <w:sz w:val="24"/>
                <w:szCs w:val="24"/>
                <w:lang w:eastAsia="en-GB"/>
              </w:rPr>
            </w:pPr>
            <w:r w:rsidRPr="00D95A6F">
              <w:rPr>
                <w:rFonts w:ascii="Times New Roman" w:eastAsia="Times New Roman" w:hAnsi="Times New Roman"/>
                <w:b/>
                <w:bCs/>
                <w:sz w:val="24"/>
                <w:szCs w:val="24"/>
                <w:lang w:eastAsia="en-GB"/>
              </w:rPr>
              <w:t>Data Requirements</w:t>
            </w:r>
          </w:p>
        </w:tc>
        <w:tc>
          <w:tcPr>
            <w:tcW w:w="0" w:type="auto"/>
            <w:hideMark/>
          </w:tcPr>
          <w:p w14:paraId="7741235D" w14:textId="77777777" w:rsidR="008D34CC" w:rsidRPr="00D95A6F" w:rsidRDefault="008D34CC" w:rsidP="00580AFA">
            <w:pPr>
              <w:spacing w:line="276" w:lineRule="auto"/>
              <w:jc w:val="center"/>
              <w:rPr>
                <w:rFonts w:ascii="Times New Roman" w:eastAsia="Times New Roman" w:hAnsi="Times New Roman"/>
                <w:b/>
                <w:bCs/>
                <w:sz w:val="24"/>
                <w:szCs w:val="24"/>
                <w:lang w:eastAsia="en-GB"/>
              </w:rPr>
            </w:pPr>
            <w:r w:rsidRPr="00D95A6F">
              <w:rPr>
                <w:rFonts w:ascii="Times New Roman" w:eastAsia="Times New Roman" w:hAnsi="Times New Roman"/>
                <w:b/>
                <w:bCs/>
                <w:sz w:val="24"/>
                <w:szCs w:val="24"/>
                <w:lang w:eastAsia="en-GB"/>
              </w:rPr>
              <w:t>Typical Application</w:t>
            </w:r>
          </w:p>
        </w:tc>
        <w:tc>
          <w:tcPr>
            <w:tcW w:w="0" w:type="auto"/>
            <w:hideMark/>
          </w:tcPr>
          <w:p w14:paraId="18F6A3EB" w14:textId="77777777" w:rsidR="008D34CC" w:rsidRPr="00D95A6F" w:rsidRDefault="008D34CC" w:rsidP="00580AFA">
            <w:pPr>
              <w:spacing w:line="276" w:lineRule="auto"/>
              <w:jc w:val="center"/>
              <w:rPr>
                <w:rFonts w:ascii="Times New Roman" w:eastAsia="Times New Roman" w:hAnsi="Times New Roman"/>
                <w:b/>
                <w:bCs/>
                <w:sz w:val="24"/>
                <w:szCs w:val="24"/>
                <w:lang w:eastAsia="en-GB"/>
              </w:rPr>
            </w:pPr>
            <w:r w:rsidRPr="00D95A6F">
              <w:rPr>
                <w:rFonts w:ascii="Times New Roman" w:eastAsia="Times New Roman" w:hAnsi="Times New Roman"/>
                <w:b/>
                <w:bCs/>
                <w:sz w:val="24"/>
                <w:szCs w:val="24"/>
                <w:lang w:eastAsia="en-GB"/>
              </w:rPr>
              <w:t>Key References</w:t>
            </w:r>
          </w:p>
        </w:tc>
      </w:tr>
      <w:tr w:rsidR="008D34CC" w:rsidRPr="00D95A6F" w14:paraId="1E42CDAD" w14:textId="77777777" w:rsidTr="00580AFA">
        <w:tc>
          <w:tcPr>
            <w:tcW w:w="0" w:type="auto"/>
            <w:hideMark/>
          </w:tcPr>
          <w:p w14:paraId="67483CBE"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Static PRA-Based Maintenance</w:t>
            </w:r>
          </w:p>
        </w:tc>
        <w:tc>
          <w:tcPr>
            <w:tcW w:w="0" w:type="auto"/>
            <w:hideMark/>
          </w:tcPr>
          <w:p w14:paraId="594F2202"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Limited (fixed probabilities)</w:t>
            </w:r>
          </w:p>
        </w:tc>
        <w:tc>
          <w:tcPr>
            <w:tcW w:w="0" w:type="auto"/>
            <w:hideMark/>
          </w:tcPr>
          <w:p w14:paraId="4BD89086"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Moderate</w:t>
            </w:r>
          </w:p>
        </w:tc>
        <w:tc>
          <w:tcPr>
            <w:tcW w:w="0" w:type="auto"/>
            <w:hideMark/>
          </w:tcPr>
          <w:p w14:paraId="4E2D50CD"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Low -Moderate</w:t>
            </w:r>
          </w:p>
        </w:tc>
        <w:tc>
          <w:tcPr>
            <w:tcW w:w="0" w:type="auto"/>
            <w:hideMark/>
          </w:tcPr>
          <w:p w14:paraId="3B81A66F"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Regulatory compliance, baseline maintenance planning</w:t>
            </w:r>
          </w:p>
        </w:tc>
        <w:tc>
          <w:tcPr>
            <w:tcW w:w="0" w:type="auto"/>
            <w:hideMark/>
          </w:tcPr>
          <w:p w14:paraId="77DAC19E"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Vesely (2018); Serbanescu &amp; Ulmeanu (2020)</w:t>
            </w:r>
          </w:p>
        </w:tc>
      </w:tr>
      <w:tr w:rsidR="008D34CC" w:rsidRPr="00D95A6F" w14:paraId="6E7303E2" w14:textId="77777777" w:rsidTr="00580AFA">
        <w:tc>
          <w:tcPr>
            <w:tcW w:w="0" w:type="auto"/>
            <w:hideMark/>
          </w:tcPr>
          <w:p w14:paraId="03D92252"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Dynamic / Living PRA</w:t>
            </w:r>
          </w:p>
        </w:tc>
        <w:tc>
          <w:tcPr>
            <w:tcW w:w="0" w:type="auto"/>
            <w:hideMark/>
          </w:tcPr>
          <w:p w14:paraId="3C06474E"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High (time-dependent, adaptive)</w:t>
            </w:r>
          </w:p>
        </w:tc>
        <w:tc>
          <w:tcPr>
            <w:tcW w:w="0" w:type="auto"/>
            <w:hideMark/>
          </w:tcPr>
          <w:p w14:paraId="57EA58EC"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High</w:t>
            </w:r>
          </w:p>
        </w:tc>
        <w:tc>
          <w:tcPr>
            <w:tcW w:w="0" w:type="auto"/>
            <w:hideMark/>
          </w:tcPr>
          <w:p w14:paraId="54622A8D"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High</w:t>
            </w:r>
          </w:p>
        </w:tc>
        <w:tc>
          <w:tcPr>
            <w:tcW w:w="0" w:type="auto"/>
            <w:hideMark/>
          </w:tcPr>
          <w:p w14:paraId="550754BD"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Nuclear plants, aging infrastructure, adaptive maintenance</w:t>
            </w:r>
          </w:p>
        </w:tc>
        <w:tc>
          <w:tcPr>
            <w:tcW w:w="0" w:type="auto"/>
            <w:hideMark/>
          </w:tcPr>
          <w:p w14:paraId="154AB79F"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Moradi &amp; Groth (2020); Zhang et al. (2024)</w:t>
            </w:r>
          </w:p>
        </w:tc>
      </w:tr>
      <w:tr w:rsidR="008D34CC" w:rsidRPr="00D95A6F" w14:paraId="3DE90BB8" w14:textId="77777777" w:rsidTr="00580AFA">
        <w:tc>
          <w:tcPr>
            <w:tcW w:w="0" w:type="auto"/>
            <w:hideMark/>
          </w:tcPr>
          <w:p w14:paraId="4D68ECFD"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Risk-Based Maintenance (RBM)</w:t>
            </w:r>
          </w:p>
        </w:tc>
        <w:tc>
          <w:tcPr>
            <w:tcW w:w="0" w:type="auto"/>
            <w:hideMark/>
          </w:tcPr>
          <w:p w14:paraId="4D58715D"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Moderate</w:t>
            </w:r>
          </w:p>
        </w:tc>
        <w:tc>
          <w:tcPr>
            <w:tcW w:w="0" w:type="auto"/>
            <w:hideMark/>
          </w:tcPr>
          <w:p w14:paraId="5501D340"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Moderate</w:t>
            </w:r>
          </w:p>
        </w:tc>
        <w:tc>
          <w:tcPr>
            <w:tcW w:w="0" w:type="auto"/>
            <w:hideMark/>
          </w:tcPr>
          <w:p w14:paraId="42122F9E"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Moderate</w:t>
            </w:r>
          </w:p>
        </w:tc>
        <w:tc>
          <w:tcPr>
            <w:tcW w:w="0" w:type="auto"/>
            <w:hideMark/>
          </w:tcPr>
          <w:p w14:paraId="4EB9936B"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Thermal plants, electrical systems, refineries</w:t>
            </w:r>
          </w:p>
        </w:tc>
        <w:tc>
          <w:tcPr>
            <w:tcW w:w="0" w:type="auto"/>
            <w:hideMark/>
          </w:tcPr>
          <w:p w14:paraId="4059539A"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 xml:space="preserve">Ajenifuja (2024); </w:t>
            </w:r>
          </w:p>
        </w:tc>
      </w:tr>
      <w:tr w:rsidR="008D34CC" w:rsidRPr="00D95A6F" w14:paraId="76902D32" w14:textId="77777777" w:rsidTr="00580AFA">
        <w:tc>
          <w:tcPr>
            <w:tcW w:w="0" w:type="auto"/>
            <w:hideMark/>
          </w:tcPr>
          <w:p w14:paraId="30736457"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Condition-Based PRA</w:t>
            </w:r>
          </w:p>
        </w:tc>
        <w:tc>
          <w:tcPr>
            <w:tcW w:w="0" w:type="auto"/>
            <w:hideMark/>
          </w:tcPr>
          <w:p w14:paraId="55DD36EB"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High (Bayesian updating)</w:t>
            </w:r>
          </w:p>
        </w:tc>
        <w:tc>
          <w:tcPr>
            <w:tcW w:w="0" w:type="auto"/>
            <w:hideMark/>
          </w:tcPr>
          <w:p w14:paraId="2290C2FE"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Moderate -High</w:t>
            </w:r>
          </w:p>
        </w:tc>
        <w:tc>
          <w:tcPr>
            <w:tcW w:w="0" w:type="auto"/>
            <w:hideMark/>
          </w:tcPr>
          <w:p w14:paraId="26955A26"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High</w:t>
            </w:r>
          </w:p>
        </w:tc>
        <w:tc>
          <w:tcPr>
            <w:tcW w:w="0" w:type="auto"/>
            <w:hideMark/>
          </w:tcPr>
          <w:p w14:paraId="4AB02F68"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Nuclear systems, monitored assets</w:t>
            </w:r>
          </w:p>
        </w:tc>
        <w:tc>
          <w:tcPr>
            <w:tcW w:w="0" w:type="auto"/>
            <w:hideMark/>
          </w:tcPr>
          <w:p w14:paraId="64178D2F"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Hoseyni et al. (2019); Wang et al. (2024)</w:t>
            </w:r>
          </w:p>
        </w:tc>
      </w:tr>
      <w:tr w:rsidR="008D34CC" w:rsidRPr="00D95A6F" w14:paraId="4B8E939E" w14:textId="77777777" w:rsidTr="00580AFA">
        <w:tc>
          <w:tcPr>
            <w:tcW w:w="0" w:type="auto"/>
            <w:hideMark/>
          </w:tcPr>
          <w:p w14:paraId="1422D14D"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Bayesian Network / Dynamic PRA</w:t>
            </w:r>
          </w:p>
        </w:tc>
        <w:tc>
          <w:tcPr>
            <w:tcW w:w="0" w:type="auto"/>
            <w:hideMark/>
          </w:tcPr>
          <w:p w14:paraId="16C42D73"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Very High (dependencies, aging)</w:t>
            </w:r>
          </w:p>
        </w:tc>
        <w:tc>
          <w:tcPr>
            <w:tcW w:w="0" w:type="auto"/>
            <w:hideMark/>
          </w:tcPr>
          <w:p w14:paraId="7F104A46"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Very High</w:t>
            </w:r>
          </w:p>
        </w:tc>
        <w:tc>
          <w:tcPr>
            <w:tcW w:w="0" w:type="auto"/>
            <w:hideMark/>
          </w:tcPr>
          <w:p w14:paraId="2EFE53CB"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High</w:t>
            </w:r>
          </w:p>
        </w:tc>
        <w:tc>
          <w:tcPr>
            <w:tcW w:w="0" w:type="auto"/>
            <w:hideMark/>
          </w:tcPr>
          <w:p w14:paraId="6DE17008"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Complex, interdependent energy systems</w:t>
            </w:r>
          </w:p>
        </w:tc>
        <w:tc>
          <w:tcPr>
            <w:tcW w:w="0" w:type="auto"/>
            <w:hideMark/>
          </w:tcPr>
          <w:p w14:paraId="7C93C236"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Parhizkar et al. (2021); Karanki et al. (2019)</w:t>
            </w:r>
          </w:p>
        </w:tc>
      </w:tr>
      <w:tr w:rsidR="008D34CC" w:rsidRPr="00D95A6F" w14:paraId="1B2EE7F2" w14:textId="77777777" w:rsidTr="00580AFA">
        <w:tc>
          <w:tcPr>
            <w:tcW w:w="0" w:type="auto"/>
            <w:hideMark/>
          </w:tcPr>
          <w:p w14:paraId="37C1F3EF"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Decision-Theoretic (PRA + MCDA)</w:t>
            </w:r>
          </w:p>
        </w:tc>
        <w:tc>
          <w:tcPr>
            <w:tcW w:w="0" w:type="auto"/>
            <w:hideMark/>
          </w:tcPr>
          <w:p w14:paraId="26B7E201"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Moderate -High</w:t>
            </w:r>
          </w:p>
        </w:tc>
        <w:tc>
          <w:tcPr>
            <w:tcW w:w="0" w:type="auto"/>
            <w:hideMark/>
          </w:tcPr>
          <w:p w14:paraId="77661375"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Moderate</w:t>
            </w:r>
          </w:p>
        </w:tc>
        <w:tc>
          <w:tcPr>
            <w:tcW w:w="0" w:type="auto"/>
            <w:hideMark/>
          </w:tcPr>
          <w:p w14:paraId="22055A34"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Moderate</w:t>
            </w:r>
          </w:p>
        </w:tc>
        <w:tc>
          <w:tcPr>
            <w:tcW w:w="0" w:type="auto"/>
            <w:hideMark/>
          </w:tcPr>
          <w:p w14:paraId="4262498B"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Pipeline systems, multi-criteria maintenance planning</w:t>
            </w:r>
          </w:p>
        </w:tc>
        <w:tc>
          <w:tcPr>
            <w:tcW w:w="0" w:type="auto"/>
            <w:hideMark/>
          </w:tcPr>
          <w:p w14:paraId="4FAC2C5E"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Viana et al. (2022); Syed &amp; Lawryshyn (2020)</w:t>
            </w:r>
          </w:p>
        </w:tc>
      </w:tr>
      <w:tr w:rsidR="008D34CC" w:rsidRPr="00D95A6F" w14:paraId="446F10AF" w14:textId="77777777" w:rsidTr="00580AFA">
        <w:tc>
          <w:tcPr>
            <w:tcW w:w="0" w:type="auto"/>
            <w:hideMark/>
          </w:tcPr>
          <w:p w14:paraId="7184E190"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Predictive &amp; Opportunistic Maintenance (PRA-integrated)</w:t>
            </w:r>
          </w:p>
        </w:tc>
        <w:tc>
          <w:tcPr>
            <w:tcW w:w="0" w:type="auto"/>
            <w:hideMark/>
          </w:tcPr>
          <w:p w14:paraId="11CE496D"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High</w:t>
            </w:r>
          </w:p>
        </w:tc>
        <w:tc>
          <w:tcPr>
            <w:tcW w:w="0" w:type="auto"/>
            <w:hideMark/>
          </w:tcPr>
          <w:p w14:paraId="31E394AB"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Moderate</w:t>
            </w:r>
          </w:p>
        </w:tc>
        <w:tc>
          <w:tcPr>
            <w:tcW w:w="0" w:type="auto"/>
            <w:hideMark/>
          </w:tcPr>
          <w:p w14:paraId="02CB3533"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High</w:t>
            </w:r>
          </w:p>
        </w:tc>
        <w:tc>
          <w:tcPr>
            <w:tcW w:w="0" w:type="auto"/>
            <w:hideMark/>
          </w:tcPr>
          <w:p w14:paraId="48C4872C"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Wind energy, BESS, data-rich systems</w:t>
            </w:r>
          </w:p>
        </w:tc>
        <w:tc>
          <w:tcPr>
            <w:tcW w:w="0" w:type="auto"/>
            <w:hideMark/>
          </w:tcPr>
          <w:p w14:paraId="36826BD1" w14:textId="77777777" w:rsidR="008D34CC" w:rsidRPr="00D95A6F" w:rsidRDefault="008D34CC" w:rsidP="00580AFA">
            <w:pPr>
              <w:spacing w:line="276" w:lineRule="auto"/>
              <w:rPr>
                <w:rFonts w:ascii="Times New Roman" w:eastAsia="Times New Roman" w:hAnsi="Times New Roman"/>
                <w:sz w:val="24"/>
                <w:szCs w:val="24"/>
                <w:lang w:eastAsia="en-GB"/>
              </w:rPr>
            </w:pPr>
            <w:r w:rsidRPr="00D95A6F">
              <w:rPr>
                <w:rFonts w:ascii="Times New Roman" w:eastAsia="Times New Roman" w:hAnsi="Times New Roman"/>
                <w:sz w:val="24"/>
                <w:szCs w:val="24"/>
                <w:lang w:eastAsia="en-GB"/>
              </w:rPr>
              <w:t>Nguyen et al. (2022); Zhen et al. (2025)</w:t>
            </w:r>
          </w:p>
        </w:tc>
      </w:tr>
    </w:tbl>
    <w:p w14:paraId="73DFE8A8" w14:textId="77777777" w:rsidR="008D34CC" w:rsidRPr="00D95A6F" w:rsidRDefault="008D34CC" w:rsidP="008D34CC">
      <w:pPr>
        <w:spacing w:line="360" w:lineRule="auto"/>
        <w:jc w:val="both"/>
        <w:rPr>
          <w:rFonts w:ascii="Times New Roman" w:hAnsi="Times New Roman"/>
          <w:b/>
          <w:bCs/>
          <w:sz w:val="24"/>
          <w:szCs w:val="24"/>
        </w:rPr>
      </w:pPr>
    </w:p>
    <w:p w14:paraId="6FED6220" w14:textId="77777777" w:rsidR="008D34CC" w:rsidRPr="00D95A6F" w:rsidRDefault="008D34CC" w:rsidP="008D34CC">
      <w:pPr>
        <w:spacing w:line="360" w:lineRule="auto"/>
        <w:jc w:val="both"/>
        <w:rPr>
          <w:rFonts w:ascii="Times New Roman" w:hAnsi="Times New Roman"/>
          <w:b/>
          <w:bCs/>
          <w:sz w:val="24"/>
          <w:szCs w:val="24"/>
        </w:rPr>
      </w:pPr>
      <w:r w:rsidRPr="00D95A6F">
        <w:rPr>
          <w:rFonts w:ascii="Times New Roman" w:hAnsi="Times New Roman"/>
          <w:b/>
          <w:bCs/>
          <w:sz w:val="24"/>
          <w:szCs w:val="24"/>
        </w:rPr>
        <w:t>6. Emerging Trends and Research Gaps</w:t>
      </w:r>
    </w:p>
    <w:p w14:paraId="00DA5173" w14:textId="4713FC42"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lastRenderedPageBreak/>
        <w:t>One of the most significant trends in making decisions on maintenance of complex energy systems is the combination of Probabilistic Risk Assessment and digital twins architecture with real-time monitoring. Digital twins ensure a real-time correspondence between physical objects and their digital counterparts, and allows to dynamically update the PRA models as the operating conditions and the well-being of components change (Moradi &amp; Groth, 2020; Rony and Shafa, 2024). These technologies can be used in combination with (real-time) risk evaluation and adaptive maintenance-scheduling of high-consequence infrastructures like nuclear power plants and large-scale power grids (Zhang et al., 2024; Hoseyni et al., 2019). Nevertheless, most of the current implementations are still conceptual or pilot scale highlighting the importance of scalable and proven real-time PRA frameworks.</w:t>
      </w:r>
      <w:r w:rsidR="00BC2E15">
        <w:rPr>
          <w:rFonts w:ascii="Times New Roman" w:hAnsi="Times New Roman"/>
          <w:sz w:val="24"/>
          <w:szCs w:val="24"/>
        </w:rPr>
        <w:t xml:space="preserve"> </w:t>
      </w:r>
      <w:r w:rsidR="00BC2E15" w:rsidRPr="00DF1756">
        <w:rPr>
          <w:rFonts w:ascii="Times New Roman" w:hAnsi="Times New Roman"/>
          <w:sz w:val="24"/>
          <w:szCs w:val="24"/>
        </w:rPr>
        <w:t>Current research remains largely conceptual, with limited empirical validation across operational environments.</w:t>
      </w:r>
    </w:p>
    <w:p w14:paraId="52736AF0"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The other significant development point is the incorporation of machine learning and artificial intelligence with PRA-based maintenance decision-making, specifically when it comes to fault diagnostics and system health monitoring in digitalized and nuclear energy systems (Nguyen et al., 2022; Feng &amp; Li, 2022; Bonsu &amp; Adeoye, 2025). However, AI and PRA are not completely discussed as analogue systems but rather as parallel instruments, and the issue related to the quantification of uncertainty, interpretability, and regulatory acceptance inhibit their real-world implementation (Li et al., 2023; Karanki et al., 2019). Furthermore, the human-system interaction and cross-sector generalizability are not sufficiently discussed, because operator risk perception, cognitive biases, and institutional constraints are part of maintenance decisions (Angeli &amp; Montefusco, 2020; Syed &amp; Lawryshyn, 2020) and most of PRA-based models have been developed in nuclear settings and may not easily be applied in power grids, renewable systems, or hybrid infrastructures (Moinian &amp; Ameli, 2022). To overcome these gaps, the research is needed to incorporate human decision processes and determine the flexibility of PRA-based maintenance systems in various energy system sectors.</w:t>
      </w:r>
    </w:p>
    <w:p w14:paraId="30DA61F1" w14:textId="77777777" w:rsidR="008D34CC" w:rsidRPr="00D95A6F" w:rsidRDefault="008D34CC" w:rsidP="008D34CC">
      <w:pPr>
        <w:spacing w:line="360" w:lineRule="auto"/>
        <w:jc w:val="both"/>
        <w:rPr>
          <w:rFonts w:ascii="Times New Roman" w:hAnsi="Times New Roman"/>
          <w:sz w:val="24"/>
          <w:szCs w:val="24"/>
        </w:rPr>
      </w:pPr>
    </w:p>
    <w:p w14:paraId="44EC16F1" w14:textId="77777777" w:rsidR="008D34CC" w:rsidRPr="00D95A6F" w:rsidRDefault="008D34CC" w:rsidP="008D34CC">
      <w:pPr>
        <w:spacing w:line="360" w:lineRule="auto"/>
        <w:jc w:val="both"/>
        <w:rPr>
          <w:rFonts w:ascii="Times New Roman" w:hAnsi="Times New Roman"/>
          <w:b/>
          <w:bCs/>
          <w:sz w:val="24"/>
          <w:szCs w:val="24"/>
        </w:rPr>
      </w:pPr>
      <w:r w:rsidRPr="00D95A6F">
        <w:rPr>
          <w:rFonts w:ascii="Times New Roman" w:hAnsi="Times New Roman"/>
          <w:b/>
          <w:bCs/>
          <w:sz w:val="24"/>
          <w:szCs w:val="24"/>
        </w:rPr>
        <w:t>7. Future Research Directions</w:t>
      </w:r>
    </w:p>
    <w:p w14:paraId="303904D4" w14:textId="77777777" w:rsidR="008D34CC"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 xml:space="preserve">The next stage in the research process should be concentrated on the creation of holistic models that would more closely intertwine probabilistic risk assessment and maintenance decision-making mechanisms. Although the current literature has contributed to the development of PRA techniques and maintenance optimization frameworks, much more focus should be placed on integrated decision-support systems that clearly make a link between risk quantification, decision-theoretic assessment, and operational limitations. This is because such frameworks need to be able to handle system complexity, uncertainty propagation and risk preference of stakeholders, within a consistent analytical framework. Furthermore, scalability is also a burning issue, as most PRA-based models of maintenance are tested on a small scale of systems or on case studies. </w:t>
      </w:r>
    </w:p>
    <w:p w14:paraId="167AF45D" w14:textId="77777777" w:rsidR="008D34CC" w:rsidRPr="00D95A6F" w:rsidRDefault="008D34CC" w:rsidP="008D34CC">
      <w:pPr>
        <w:spacing w:line="360" w:lineRule="auto"/>
        <w:jc w:val="both"/>
        <w:rPr>
          <w:rFonts w:ascii="Times New Roman" w:hAnsi="Times New Roman"/>
          <w:sz w:val="24"/>
          <w:szCs w:val="24"/>
        </w:rPr>
      </w:pPr>
      <w:r w:rsidRPr="00D95A6F">
        <w:rPr>
          <w:rFonts w:ascii="Times New Roman" w:hAnsi="Times New Roman"/>
          <w:sz w:val="24"/>
          <w:szCs w:val="24"/>
        </w:rPr>
        <w:t>The solution to the problem of applying these frameworks to large-scale interconnected energy systems will demand the development of increased computational efficiency and model abstraction.</w:t>
      </w:r>
      <w:r>
        <w:rPr>
          <w:rFonts w:ascii="Times New Roman" w:hAnsi="Times New Roman"/>
          <w:sz w:val="24"/>
          <w:szCs w:val="24"/>
        </w:rPr>
        <w:t xml:space="preserve"> </w:t>
      </w:r>
      <w:r w:rsidRPr="00D71C4C">
        <w:rPr>
          <w:rFonts w:ascii="Times New Roman" w:hAnsi="Times New Roman"/>
          <w:sz w:val="24"/>
          <w:szCs w:val="24"/>
        </w:rPr>
        <w:t xml:space="preserve">Another strategic </w:t>
      </w:r>
      <w:r w:rsidRPr="00D71C4C">
        <w:rPr>
          <w:rFonts w:ascii="Times New Roman" w:hAnsi="Times New Roman"/>
          <w:sz w:val="24"/>
          <w:szCs w:val="24"/>
        </w:rPr>
        <w:lastRenderedPageBreak/>
        <w:t>research direction concerns strengthening empirical validation and bridging the gap between analytical development and operational practice. The current reliance on simulated datasets and ex-post analyses reveals what can be described as a validation gap in PRA-based maintenance research, where many proposed models have limited verification using real operational data. Addressing this challenge requires increased</w:t>
      </w:r>
      <w:r w:rsidRPr="25447BB7">
        <w:rPr>
          <w:rFonts w:ascii="Times New Roman" w:hAnsi="Times New Roman"/>
          <w:sz w:val="24"/>
          <w:szCs w:val="24"/>
        </w:rPr>
        <w:t>.</w:t>
      </w:r>
    </w:p>
    <w:p w14:paraId="05FD41DF" w14:textId="77777777" w:rsidR="008D34CC" w:rsidRPr="00D95A6F" w:rsidRDefault="008D34CC" w:rsidP="008D34CC">
      <w:pPr>
        <w:spacing w:line="360" w:lineRule="auto"/>
        <w:jc w:val="both"/>
        <w:rPr>
          <w:rFonts w:ascii="Times New Roman" w:hAnsi="Times New Roman"/>
          <w:sz w:val="24"/>
          <w:szCs w:val="24"/>
        </w:rPr>
      </w:pPr>
    </w:p>
    <w:p w14:paraId="5FD4B052" w14:textId="77777777" w:rsidR="008D34CC" w:rsidRPr="00D95A6F" w:rsidRDefault="008D34CC" w:rsidP="008D34CC">
      <w:pPr>
        <w:spacing w:line="360" w:lineRule="auto"/>
        <w:jc w:val="both"/>
        <w:rPr>
          <w:rFonts w:ascii="Times New Roman" w:hAnsi="Times New Roman"/>
          <w:b/>
          <w:bCs/>
          <w:sz w:val="24"/>
          <w:szCs w:val="24"/>
        </w:rPr>
      </w:pPr>
      <w:r w:rsidRPr="00D95A6F">
        <w:rPr>
          <w:rFonts w:ascii="Times New Roman" w:hAnsi="Times New Roman"/>
          <w:b/>
          <w:bCs/>
          <w:sz w:val="24"/>
          <w:szCs w:val="24"/>
        </w:rPr>
        <w:t>8. Conclusions</w:t>
      </w:r>
    </w:p>
    <w:p w14:paraId="1057FF31" w14:textId="1BD75BCB" w:rsidR="00126DC3" w:rsidRDefault="008D34CC" w:rsidP="00126DC3">
      <w:pPr>
        <w:spacing w:line="360" w:lineRule="auto"/>
        <w:jc w:val="both"/>
        <w:rPr>
          <w:rFonts w:ascii="Times New Roman" w:hAnsi="Times New Roman"/>
          <w:sz w:val="24"/>
          <w:szCs w:val="24"/>
        </w:rPr>
      </w:pPr>
      <w:r w:rsidRPr="00D95A6F">
        <w:rPr>
          <w:rFonts w:ascii="Times New Roman" w:hAnsi="Times New Roman"/>
          <w:sz w:val="24"/>
          <w:szCs w:val="24"/>
        </w:rPr>
        <w:t>This review has analyzed maintenance decision-making in complex energy systems by synthesizing with an analytical system of probabilistic risk assessment-based frameworks and how PRA can be used to make structured decisions in a high consequence and interdependent environment with uncertainty. In nuclear, power generation, transmission, and emerging renewable systems, PRA-based methods are always found to be superior to deterministic and reliability only methods in that their failure probability, effects severity and system-wide interactions are all captured in a single way. The contribution of the analysis to the field of PRA models is an increased recognition of the emerging relevance of condition-based, decision-theoretic and dynamic PRA models in the maintenance prioritization, scheduling, and resource allocation process of more complex energy infrastructures. Meanwhile, the consistent difficulties concerning the availability of data, its scalability, human determinants, and the practicality of implementation indicate the significant areas in which research and development are to take place. This review possesses a unified viewpoint by incorporating knowledge across analytical techniques and areas of application, which can contribute to a further understanding of PRA-informed maintenance decision-making and enhance theoretical and practical frameworks of risk-informed asset management in the complex energy sector</w:t>
      </w:r>
      <w:bookmarkStart w:id="0" w:name="_Hlk221623592"/>
      <w:r w:rsidR="000D4A3C">
        <w:rPr>
          <w:rFonts w:ascii="Times New Roman" w:hAnsi="Times New Roman"/>
          <w:sz w:val="24"/>
          <w:szCs w:val="24"/>
        </w:rPr>
        <w:t>.</w:t>
      </w:r>
    </w:p>
    <w:p w14:paraId="2C28F864" w14:textId="295D243F" w:rsidR="000D4A3C" w:rsidRDefault="000D4A3C" w:rsidP="00126DC3">
      <w:pPr>
        <w:spacing w:line="360" w:lineRule="auto"/>
        <w:jc w:val="both"/>
        <w:rPr>
          <w:rFonts w:ascii="Times New Roman" w:hAnsi="Times New Roman"/>
          <w:sz w:val="24"/>
          <w:szCs w:val="24"/>
        </w:rPr>
      </w:pPr>
    </w:p>
    <w:p w14:paraId="556045DC" w14:textId="77777777" w:rsidR="000D4A3C" w:rsidRPr="00005ED1" w:rsidRDefault="000D4A3C" w:rsidP="000D4A3C">
      <w:pPr>
        <w:pStyle w:val="NoSpacing"/>
        <w:rPr>
          <w:rFonts w:ascii="Arial" w:hAnsi="Arial" w:cs="Arial"/>
          <w:highlight w:val="yellow"/>
        </w:rPr>
      </w:pPr>
      <w:bookmarkStart w:id="1" w:name="_Hlk221624953"/>
      <w:r w:rsidRPr="00005ED1">
        <w:rPr>
          <w:rFonts w:ascii="Arial" w:hAnsi="Arial" w:cs="Arial"/>
          <w:highlight w:val="yellow"/>
        </w:rPr>
        <w:t>Disclaimer (Artificial intelligence)</w:t>
      </w:r>
    </w:p>
    <w:p w14:paraId="6964DF76" w14:textId="77777777" w:rsidR="000D4A3C" w:rsidRPr="00005ED1" w:rsidRDefault="000D4A3C" w:rsidP="000D4A3C">
      <w:pPr>
        <w:pStyle w:val="NoSpacing"/>
        <w:rPr>
          <w:rFonts w:ascii="Arial" w:hAnsi="Arial" w:cs="Arial"/>
          <w:highlight w:val="yellow"/>
        </w:rPr>
      </w:pPr>
    </w:p>
    <w:p w14:paraId="5DDDAA33" w14:textId="5E2CAF28" w:rsidR="000D4A3C" w:rsidRDefault="000D4A3C" w:rsidP="000D4A3C">
      <w:pPr>
        <w:pStyle w:val="NoSpacing"/>
        <w:rPr>
          <w:rFonts w:ascii="Arial" w:hAnsi="Arial" w:cs="Arial"/>
          <w:highlight w:val="yellow"/>
        </w:rPr>
      </w:pPr>
      <w:r w:rsidRPr="00005ED1">
        <w:rPr>
          <w:rFonts w:ascii="Arial" w:hAnsi="Arial" w:cs="Arial"/>
          <w:highlight w:val="yellow"/>
        </w:rPr>
        <w:t xml:space="preserve">Author(s) hereby declare that generative AI technologies such as Large Language Models (ChatGPT, COPILOT, etc.) and text-to-image generators have been used during the writing or editing of this manuscript. </w:t>
      </w:r>
    </w:p>
    <w:bookmarkEnd w:id="1"/>
    <w:p w14:paraId="75444D44" w14:textId="77777777" w:rsidR="000D4A3C" w:rsidRDefault="000D4A3C" w:rsidP="00126DC3">
      <w:pPr>
        <w:spacing w:line="360" w:lineRule="auto"/>
        <w:jc w:val="both"/>
        <w:rPr>
          <w:rFonts w:ascii="Times New Roman" w:hAnsi="Times New Roman"/>
          <w:sz w:val="24"/>
          <w:szCs w:val="24"/>
        </w:rPr>
      </w:pPr>
    </w:p>
    <w:p w14:paraId="21BEEDD4" w14:textId="662B02E9" w:rsidR="00126DC3" w:rsidRPr="00126DC3" w:rsidRDefault="00126DC3" w:rsidP="00126DC3">
      <w:pPr>
        <w:spacing w:line="360" w:lineRule="auto"/>
        <w:jc w:val="both"/>
        <w:rPr>
          <w:rFonts w:ascii="Times New Roman" w:hAnsi="Times New Roman"/>
          <w:b/>
          <w:bCs/>
          <w:sz w:val="24"/>
          <w:szCs w:val="24"/>
        </w:rPr>
      </w:pPr>
      <w:r>
        <w:rPr>
          <w:rFonts w:ascii="Times New Roman" w:hAnsi="Times New Roman"/>
          <w:b/>
          <w:bCs/>
          <w:sz w:val="24"/>
          <w:szCs w:val="24"/>
        </w:rPr>
        <w:t>REFERENCES</w:t>
      </w:r>
    </w:p>
    <w:p w14:paraId="03191AD8" w14:textId="519023EC" w:rsidR="00CF165B" w:rsidRPr="00126DC3" w:rsidRDefault="00CF165B" w:rsidP="00126DC3">
      <w:pPr>
        <w:spacing w:line="360" w:lineRule="auto"/>
        <w:jc w:val="both"/>
        <w:rPr>
          <w:rFonts w:ascii="Times New Roman" w:hAnsi="Times New Roman"/>
          <w:b/>
          <w:bCs/>
          <w:sz w:val="24"/>
          <w:szCs w:val="24"/>
        </w:rPr>
      </w:pPr>
      <w:r w:rsidRPr="00CF165B">
        <w:rPr>
          <w:rFonts w:eastAsiaTheme="minorHAnsi"/>
          <w:color w:val="000000" w:themeColor="text1"/>
          <w:kern w:val="2"/>
        </w:rPr>
        <w:t>Adeoye</w:t>
      </w:r>
      <w:bookmarkEnd w:id="0"/>
      <w:r w:rsidRPr="00CF165B">
        <w:rPr>
          <w:rFonts w:eastAsiaTheme="minorHAnsi"/>
          <w:color w:val="000000" w:themeColor="text1"/>
          <w:kern w:val="2"/>
        </w:rPr>
        <w:t>, M. B., Annankra, J. A., &amp; Yakin, Z. (2025). AI-driven real-time diagnostics and self-correcting control schemes for next-generation nuclear energy systems.</w:t>
      </w:r>
    </w:p>
    <w:p w14:paraId="7527703C" w14:textId="77777777" w:rsidR="00CF165B" w:rsidRPr="003D7858" w:rsidRDefault="00CF165B" w:rsidP="00CF165B">
      <w:pPr>
        <w:spacing w:line="276" w:lineRule="auto"/>
        <w:ind w:left="360" w:hanging="720"/>
        <w:rPr>
          <w:rFonts w:ascii="Times New Roman" w:hAnsi="Times New Roman"/>
          <w:color w:val="000000" w:themeColor="text1"/>
          <w:sz w:val="24"/>
          <w:szCs w:val="24"/>
        </w:rPr>
      </w:pPr>
      <w:r w:rsidRPr="003D7858">
        <w:rPr>
          <w:rFonts w:ascii="Times New Roman" w:hAnsi="Times New Roman"/>
          <w:color w:val="000000" w:themeColor="text1"/>
          <w:sz w:val="24"/>
          <w:szCs w:val="24"/>
        </w:rPr>
        <w:t xml:space="preserve">Adjei, G., Obidiagha, C., &amp; Antwi, B. K. (2026). Enhancing supply chain efficiency and sustainability through quality management systems in U.S. logistics operations. </w:t>
      </w:r>
      <w:r w:rsidRPr="003D7858">
        <w:rPr>
          <w:rFonts w:ascii="Times New Roman" w:hAnsi="Times New Roman"/>
          <w:i/>
          <w:iCs/>
          <w:color w:val="000000" w:themeColor="text1"/>
          <w:sz w:val="24"/>
          <w:szCs w:val="24"/>
        </w:rPr>
        <w:t>International Journal for Multidisciplinary Research (IJFMR)</w:t>
      </w:r>
      <w:r w:rsidRPr="003D7858">
        <w:rPr>
          <w:rFonts w:ascii="Times New Roman" w:hAnsi="Times New Roman"/>
          <w:color w:val="000000" w:themeColor="text1"/>
          <w:sz w:val="24"/>
          <w:szCs w:val="24"/>
        </w:rPr>
        <w:t>, 8(1).</w:t>
      </w:r>
    </w:p>
    <w:p w14:paraId="0509AE9B" w14:textId="77777777" w:rsidR="00CF165B" w:rsidRPr="00D95A6F" w:rsidRDefault="00CF165B" w:rsidP="00CF165B">
      <w:pPr>
        <w:spacing w:line="276" w:lineRule="auto"/>
        <w:ind w:left="360" w:hanging="720"/>
        <w:rPr>
          <w:rFonts w:ascii="Times New Roman" w:hAnsi="Times New Roman"/>
          <w:sz w:val="24"/>
          <w:szCs w:val="24"/>
        </w:rPr>
      </w:pPr>
      <w:r w:rsidRPr="00D95A6F">
        <w:rPr>
          <w:rFonts w:ascii="Times New Roman" w:hAnsi="Times New Roman"/>
          <w:sz w:val="24"/>
          <w:szCs w:val="24"/>
          <w:shd w:val="clear" w:color="auto" w:fill="FFFFFF"/>
        </w:rPr>
        <w:t>AJENIFUJA, G. R. (2024). Reliability-Centered Maintenance (RCM) Model for Electrical Systems in Large-Scale Refinery Plants.</w:t>
      </w:r>
    </w:p>
    <w:p w14:paraId="5F7C1DA3" w14:textId="77777777" w:rsidR="00CF165B" w:rsidRPr="00D95A6F" w:rsidRDefault="00CF165B" w:rsidP="00CF165B">
      <w:pPr>
        <w:spacing w:line="276" w:lineRule="auto"/>
        <w:ind w:left="360" w:hanging="720"/>
        <w:rPr>
          <w:rFonts w:ascii="Times New Roman" w:hAnsi="Times New Roman"/>
          <w:sz w:val="24"/>
          <w:szCs w:val="24"/>
        </w:rPr>
      </w:pPr>
      <w:bookmarkStart w:id="2" w:name="_Hlk221623757"/>
      <w:r w:rsidRPr="00D95A6F">
        <w:rPr>
          <w:rFonts w:ascii="Times New Roman" w:hAnsi="Times New Roman"/>
          <w:sz w:val="24"/>
          <w:szCs w:val="24"/>
          <w:shd w:val="clear" w:color="auto" w:fill="FFFFFF"/>
        </w:rPr>
        <w:t>Angeli</w:t>
      </w:r>
      <w:bookmarkEnd w:id="2"/>
      <w:r w:rsidRPr="00D95A6F">
        <w:rPr>
          <w:rFonts w:ascii="Times New Roman" w:hAnsi="Times New Roman"/>
          <w:sz w:val="24"/>
          <w:szCs w:val="24"/>
          <w:shd w:val="clear" w:color="auto" w:fill="FFFFFF"/>
        </w:rPr>
        <w:t>, F., &amp; Montefusco, A. (2020). Sensemaking and learning during the Covid-19 pandemic: A complex adaptive systems perspective on policy decision-making. </w:t>
      </w:r>
      <w:r w:rsidRPr="00D95A6F">
        <w:rPr>
          <w:rFonts w:ascii="Times New Roman" w:hAnsi="Times New Roman"/>
          <w:i/>
          <w:iCs/>
          <w:sz w:val="24"/>
          <w:szCs w:val="24"/>
          <w:shd w:val="clear" w:color="auto" w:fill="FFFFFF"/>
        </w:rPr>
        <w:t>World Development</w:t>
      </w:r>
      <w:r w:rsidRPr="00D95A6F">
        <w:rPr>
          <w:rFonts w:ascii="Times New Roman" w:hAnsi="Times New Roman"/>
          <w:sz w:val="24"/>
          <w:szCs w:val="24"/>
          <w:shd w:val="clear" w:color="auto" w:fill="FFFFFF"/>
        </w:rPr>
        <w:t>, </w:t>
      </w:r>
      <w:r w:rsidRPr="00D95A6F">
        <w:rPr>
          <w:rFonts w:ascii="Times New Roman" w:hAnsi="Times New Roman"/>
          <w:i/>
          <w:iCs/>
          <w:sz w:val="24"/>
          <w:szCs w:val="24"/>
          <w:shd w:val="clear" w:color="auto" w:fill="FFFFFF"/>
        </w:rPr>
        <w:t>136</w:t>
      </w:r>
      <w:r w:rsidRPr="00D95A6F">
        <w:rPr>
          <w:rFonts w:ascii="Times New Roman" w:hAnsi="Times New Roman"/>
          <w:sz w:val="24"/>
          <w:szCs w:val="24"/>
          <w:shd w:val="clear" w:color="auto" w:fill="FFFFFF"/>
        </w:rPr>
        <w:t>, 105106.</w:t>
      </w:r>
    </w:p>
    <w:p w14:paraId="3789F24C" w14:textId="77777777" w:rsidR="00CF165B" w:rsidRPr="00CF165B" w:rsidRDefault="00CF165B" w:rsidP="00CF165B">
      <w:pPr>
        <w:pStyle w:val="NormalWeb"/>
        <w:spacing w:line="276" w:lineRule="auto"/>
        <w:ind w:left="360" w:hanging="720"/>
        <w:rPr>
          <w:rFonts w:eastAsiaTheme="minorHAnsi"/>
          <w:color w:val="000000" w:themeColor="text1"/>
          <w:kern w:val="2"/>
          <w:lang w:eastAsia="en-US"/>
        </w:rPr>
      </w:pPr>
      <w:bookmarkStart w:id="3" w:name="_Hlk221623674"/>
      <w:r w:rsidRPr="00CF165B">
        <w:rPr>
          <w:rFonts w:eastAsiaTheme="minorHAnsi"/>
          <w:color w:val="000000" w:themeColor="text1"/>
          <w:kern w:val="2"/>
          <w:lang w:eastAsia="en-US"/>
        </w:rPr>
        <w:lastRenderedPageBreak/>
        <w:t>Antwi</w:t>
      </w:r>
      <w:bookmarkEnd w:id="3"/>
      <w:r w:rsidRPr="00CF165B">
        <w:rPr>
          <w:rFonts w:eastAsiaTheme="minorHAnsi"/>
          <w:color w:val="000000" w:themeColor="text1"/>
          <w:kern w:val="2"/>
          <w:lang w:eastAsia="en-US"/>
        </w:rPr>
        <w:t>, B. K., &amp; Nnaji, B. C. (2026). Advancing data-driven scheduling frameworks for infrastructure modernization: A comprehensive review of United States construction efficiency models. Sarcouncil Journal of Economics and Business Management, 5(1).</w:t>
      </w:r>
    </w:p>
    <w:p w14:paraId="42211FA8" w14:textId="77777777" w:rsidR="00CF165B" w:rsidRPr="00D95A6F" w:rsidRDefault="00CF165B" w:rsidP="00CF165B">
      <w:pPr>
        <w:spacing w:line="276" w:lineRule="auto"/>
        <w:ind w:left="360" w:hanging="720"/>
        <w:rPr>
          <w:rFonts w:ascii="Times New Roman" w:hAnsi="Times New Roman"/>
          <w:sz w:val="24"/>
          <w:szCs w:val="24"/>
        </w:rPr>
      </w:pPr>
      <w:r w:rsidRPr="00D95A6F">
        <w:rPr>
          <w:rFonts w:ascii="Times New Roman" w:hAnsi="Times New Roman"/>
          <w:sz w:val="24"/>
          <w:szCs w:val="24"/>
          <w:shd w:val="clear" w:color="auto" w:fill="FFFFFF"/>
        </w:rPr>
        <w:t>Barlow, E., Bedford, T., Revie, M., Tan, J., &amp; Walls, L. (2021). A performance-centred approach to optimising maintenance of complex systems. </w:t>
      </w:r>
      <w:r w:rsidRPr="00D95A6F">
        <w:rPr>
          <w:rFonts w:ascii="Times New Roman" w:hAnsi="Times New Roman"/>
          <w:i/>
          <w:iCs/>
          <w:sz w:val="24"/>
          <w:szCs w:val="24"/>
          <w:shd w:val="clear" w:color="auto" w:fill="FFFFFF"/>
        </w:rPr>
        <w:t>European Journal of Operational Research</w:t>
      </w:r>
      <w:r w:rsidRPr="00D95A6F">
        <w:rPr>
          <w:rFonts w:ascii="Times New Roman" w:hAnsi="Times New Roman"/>
          <w:sz w:val="24"/>
          <w:szCs w:val="24"/>
          <w:shd w:val="clear" w:color="auto" w:fill="FFFFFF"/>
        </w:rPr>
        <w:t>, </w:t>
      </w:r>
      <w:r w:rsidRPr="00D95A6F">
        <w:rPr>
          <w:rFonts w:ascii="Times New Roman" w:hAnsi="Times New Roman"/>
          <w:i/>
          <w:iCs/>
          <w:sz w:val="24"/>
          <w:szCs w:val="24"/>
          <w:shd w:val="clear" w:color="auto" w:fill="FFFFFF"/>
        </w:rPr>
        <w:t>292</w:t>
      </w:r>
      <w:r w:rsidRPr="00D95A6F">
        <w:rPr>
          <w:rFonts w:ascii="Times New Roman" w:hAnsi="Times New Roman"/>
          <w:sz w:val="24"/>
          <w:szCs w:val="24"/>
          <w:shd w:val="clear" w:color="auto" w:fill="FFFFFF"/>
        </w:rPr>
        <w:t>(2), 579-595.</w:t>
      </w:r>
    </w:p>
    <w:p w14:paraId="0BC845E7" w14:textId="77777777" w:rsidR="00CF165B" w:rsidRPr="00CF165B" w:rsidRDefault="00CF165B" w:rsidP="00CF165B">
      <w:pPr>
        <w:pStyle w:val="NormalWeb"/>
        <w:spacing w:line="276" w:lineRule="auto"/>
        <w:ind w:left="360" w:hanging="720"/>
        <w:rPr>
          <w:rFonts w:eastAsiaTheme="minorHAnsi"/>
          <w:color w:val="000000" w:themeColor="text1"/>
          <w:kern w:val="2"/>
          <w:lang w:eastAsia="en-US"/>
        </w:rPr>
      </w:pPr>
      <w:r w:rsidRPr="00CF165B">
        <w:rPr>
          <w:rFonts w:eastAsiaTheme="minorHAnsi"/>
          <w:color w:val="000000" w:themeColor="text1"/>
          <w:kern w:val="2"/>
          <w:lang w:eastAsia="en-US"/>
        </w:rPr>
        <w:t xml:space="preserve">Bonsu, J. O., &amp; Adeoye, M. B. (2025). AI-driven fault detection and diagnostics in nuclear power plant control systems: A review. Journal of Engineering and Computer Sciences, 4(9), 552–559. </w:t>
      </w:r>
    </w:p>
    <w:p w14:paraId="1D2E688A" w14:textId="77777777" w:rsidR="00CF165B" w:rsidRPr="00D95A6F" w:rsidRDefault="00CF165B" w:rsidP="00CF165B">
      <w:pPr>
        <w:spacing w:line="276" w:lineRule="auto"/>
        <w:ind w:left="360" w:hanging="720"/>
        <w:rPr>
          <w:rFonts w:ascii="Times New Roman" w:hAnsi="Times New Roman"/>
          <w:sz w:val="24"/>
          <w:szCs w:val="24"/>
        </w:rPr>
      </w:pPr>
      <w:r w:rsidRPr="00D95A6F">
        <w:rPr>
          <w:rFonts w:ascii="Times New Roman" w:hAnsi="Times New Roman"/>
          <w:sz w:val="24"/>
          <w:szCs w:val="24"/>
          <w:shd w:val="clear" w:color="auto" w:fill="FFFFFF"/>
        </w:rPr>
        <w:t>Cai, Y., Teunter, R. H., &amp; de Jonge, B. (2023). A data-driven approach for condition-based maintenance optimization. </w:t>
      </w:r>
      <w:r w:rsidRPr="00D95A6F">
        <w:rPr>
          <w:rFonts w:ascii="Times New Roman" w:hAnsi="Times New Roman"/>
          <w:i/>
          <w:iCs/>
          <w:sz w:val="24"/>
          <w:szCs w:val="24"/>
          <w:shd w:val="clear" w:color="auto" w:fill="FFFFFF"/>
        </w:rPr>
        <w:t>European Journal of Operational Research</w:t>
      </w:r>
      <w:r w:rsidRPr="00D95A6F">
        <w:rPr>
          <w:rFonts w:ascii="Times New Roman" w:hAnsi="Times New Roman"/>
          <w:sz w:val="24"/>
          <w:szCs w:val="24"/>
          <w:shd w:val="clear" w:color="auto" w:fill="FFFFFF"/>
        </w:rPr>
        <w:t>, </w:t>
      </w:r>
      <w:r w:rsidRPr="00D95A6F">
        <w:rPr>
          <w:rFonts w:ascii="Times New Roman" w:hAnsi="Times New Roman"/>
          <w:i/>
          <w:iCs/>
          <w:sz w:val="24"/>
          <w:szCs w:val="24"/>
          <w:shd w:val="clear" w:color="auto" w:fill="FFFFFF"/>
        </w:rPr>
        <w:t>311</w:t>
      </w:r>
      <w:r w:rsidRPr="00D95A6F">
        <w:rPr>
          <w:rFonts w:ascii="Times New Roman" w:hAnsi="Times New Roman"/>
          <w:sz w:val="24"/>
          <w:szCs w:val="24"/>
          <w:shd w:val="clear" w:color="auto" w:fill="FFFFFF"/>
        </w:rPr>
        <w:t>(2), 730-738.</w:t>
      </w:r>
    </w:p>
    <w:p w14:paraId="186D43C3" w14:textId="77777777" w:rsidR="00CF165B" w:rsidRPr="00D95A6F" w:rsidRDefault="00CF165B" w:rsidP="00CF165B">
      <w:pPr>
        <w:spacing w:line="276" w:lineRule="auto"/>
        <w:ind w:left="360" w:hanging="720"/>
        <w:rPr>
          <w:rFonts w:ascii="Times New Roman" w:hAnsi="Times New Roman"/>
          <w:sz w:val="24"/>
          <w:szCs w:val="24"/>
        </w:rPr>
      </w:pPr>
      <w:bookmarkStart w:id="4" w:name="_Hlk221627218"/>
      <w:r w:rsidRPr="00D95A6F">
        <w:rPr>
          <w:rFonts w:ascii="Times New Roman" w:hAnsi="Times New Roman"/>
          <w:sz w:val="24"/>
          <w:szCs w:val="24"/>
          <w:shd w:val="clear" w:color="auto" w:fill="FFFFFF"/>
        </w:rPr>
        <w:t>Carmichael</w:t>
      </w:r>
      <w:bookmarkEnd w:id="4"/>
      <w:r w:rsidRPr="00D95A6F">
        <w:rPr>
          <w:rFonts w:ascii="Times New Roman" w:hAnsi="Times New Roman"/>
          <w:sz w:val="24"/>
          <w:szCs w:val="24"/>
          <w:shd w:val="clear" w:color="auto" w:fill="FFFFFF"/>
        </w:rPr>
        <w:t>, T., &amp; Hadžikadić, M. (2019). The fundamentals of complex adaptive systems. In </w:t>
      </w:r>
      <w:r w:rsidRPr="00D95A6F">
        <w:rPr>
          <w:rFonts w:ascii="Times New Roman" w:hAnsi="Times New Roman"/>
          <w:i/>
          <w:iCs/>
          <w:sz w:val="24"/>
          <w:szCs w:val="24"/>
          <w:shd w:val="clear" w:color="auto" w:fill="FFFFFF"/>
        </w:rPr>
        <w:t>Complex adaptive systems: Views from the physical, natural, and social sciences</w:t>
      </w:r>
      <w:r w:rsidRPr="00D95A6F">
        <w:rPr>
          <w:rFonts w:ascii="Times New Roman" w:hAnsi="Times New Roman"/>
          <w:sz w:val="24"/>
          <w:szCs w:val="24"/>
          <w:shd w:val="clear" w:color="auto" w:fill="FFFFFF"/>
        </w:rPr>
        <w:t> (pp. 1-16). Cham: Springer International Publishing.</w:t>
      </w:r>
    </w:p>
    <w:p w14:paraId="32CD4A36" w14:textId="77777777" w:rsidR="00CF165B" w:rsidRPr="00D95A6F" w:rsidRDefault="00CF165B" w:rsidP="00CF165B">
      <w:pPr>
        <w:spacing w:line="276" w:lineRule="auto"/>
        <w:ind w:left="360" w:hanging="720"/>
        <w:rPr>
          <w:rFonts w:ascii="Times New Roman" w:hAnsi="Times New Roman"/>
          <w:sz w:val="24"/>
          <w:szCs w:val="24"/>
        </w:rPr>
      </w:pPr>
      <w:bookmarkStart w:id="5" w:name="_Hlk221865093"/>
      <w:r w:rsidRPr="00D95A6F">
        <w:rPr>
          <w:rFonts w:ascii="Times New Roman" w:hAnsi="Times New Roman"/>
          <w:sz w:val="24"/>
          <w:szCs w:val="24"/>
          <w:shd w:val="clear" w:color="auto" w:fill="FFFFFF"/>
        </w:rPr>
        <w:t>Felder</w:t>
      </w:r>
      <w:bookmarkEnd w:id="5"/>
      <w:r w:rsidRPr="00D95A6F">
        <w:rPr>
          <w:rFonts w:ascii="Times New Roman" w:hAnsi="Times New Roman"/>
          <w:sz w:val="24"/>
          <w:szCs w:val="24"/>
          <w:shd w:val="clear" w:color="auto" w:fill="FFFFFF"/>
        </w:rPr>
        <w:t>, F. A., &amp; Petitet, M. (2024). An emerging framework for the probabilistic cost-benefit analysis of the reliability, resiliency, and adaptability of electric power systems. </w:t>
      </w:r>
      <w:r w:rsidRPr="00D95A6F">
        <w:rPr>
          <w:rFonts w:ascii="Times New Roman" w:hAnsi="Times New Roman"/>
          <w:i/>
          <w:iCs/>
          <w:sz w:val="24"/>
          <w:szCs w:val="24"/>
          <w:shd w:val="clear" w:color="auto" w:fill="FFFFFF"/>
        </w:rPr>
        <w:t>Resiliency, and Adaptability of Electric Power Systems (June 15, 2024)</w:t>
      </w:r>
      <w:r w:rsidRPr="00D95A6F">
        <w:rPr>
          <w:rFonts w:ascii="Times New Roman" w:hAnsi="Times New Roman"/>
          <w:sz w:val="24"/>
          <w:szCs w:val="24"/>
          <w:shd w:val="clear" w:color="auto" w:fill="FFFFFF"/>
        </w:rPr>
        <w:t>.</w:t>
      </w:r>
    </w:p>
    <w:p w14:paraId="08A4C034" w14:textId="77777777" w:rsidR="00CF165B" w:rsidRPr="00D95A6F" w:rsidRDefault="00CF165B" w:rsidP="00CF165B">
      <w:pPr>
        <w:spacing w:line="276" w:lineRule="auto"/>
        <w:ind w:left="360" w:hanging="720"/>
        <w:rPr>
          <w:rFonts w:ascii="Times New Roman" w:hAnsi="Times New Roman"/>
          <w:sz w:val="24"/>
          <w:szCs w:val="24"/>
        </w:rPr>
      </w:pPr>
      <w:r w:rsidRPr="00D95A6F">
        <w:rPr>
          <w:rFonts w:ascii="Times New Roman" w:hAnsi="Times New Roman"/>
          <w:sz w:val="24"/>
          <w:szCs w:val="24"/>
          <w:shd w:val="clear" w:color="auto" w:fill="FFFFFF"/>
        </w:rPr>
        <w:t>Feng, M., &amp; Li, Y. (2022). Predictive maintenance decision making based on reinforcement learning in multistage production systems. </w:t>
      </w:r>
      <w:r w:rsidRPr="00D95A6F">
        <w:rPr>
          <w:rFonts w:ascii="Times New Roman" w:hAnsi="Times New Roman"/>
          <w:i/>
          <w:iCs/>
          <w:sz w:val="24"/>
          <w:szCs w:val="24"/>
          <w:shd w:val="clear" w:color="auto" w:fill="FFFFFF"/>
        </w:rPr>
        <w:t>IEEE Access</w:t>
      </w:r>
      <w:r w:rsidRPr="00D95A6F">
        <w:rPr>
          <w:rFonts w:ascii="Times New Roman" w:hAnsi="Times New Roman"/>
          <w:sz w:val="24"/>
          <w:szCs w:val="24"/>
          <w:shd w:val="clear" w:color="auto" w:fill="FFFFFF"/>
        </w:rPr>
        <w:t>, </w:t>
      </w:r>
      <w:r w:rsidRPr="00D95A6F">
        <w:rPr>
          <w:rFonts w:ascii="Times New Roman" w:hAnsi="Times New Roman"/>
          <w:i/>
          <w:iCs/>
          <w:sz w:val="24"/>
          <w:szCs w:val="24"/>
          <w:shd w:val="clear" w:color="auto" w:fill="FFFFFF"/>
        </w:rPr>
        <w:t>10</w:t>
      </w:r>
      <w:r w:rsidRPr="00D95A6F">
        <w:rPr>
          <w:rFonts w:ascii="Times New Roman" w:hAnsi="Times New Roman"/>
          <w:sz w:val="24"/>
          <w:szCs w:val="24"/>
          <w:shd w:val="clear" w:color="auto" w:fill="FFFFFF"/>
        </w:rPr>
        <w:t>, 18910-18921.</w:t>
      </w:r>
    </w:p>
    <w:p w14:paraId="336E426A" w14:textId="77777777" w:rsidR="00CF165B" w:rsidRPr="00D95A6F" w:rsidRDefault="00CF165B" w:rsidP="00CF165B">
      <w:pPr>
        <w:spacing w:line="276" w:lineRule="auto"/>
        <w:ind w:left="360" w:hanging="720"/>
        <w:rPr>
          <w:rFonts w:ascii="Times New Roman" w:hAnsi="Times New Roman"/>
          <w:i/>
          <w:iCs/>
          <w:sz w:val="24"/>
          <w:szCs w:val="24"/>
        </w:rPr>
      </w:pPr>
      <w:r w:rsidRPr="00D95A6F">
        <w:rPr>
          <w:rFonts w:ascii="Times New Roman" w:hAnsi="Times New Roman"/>
          <w:sz w:val="24"/>
          <w:szCs w:val="24"/>
          <w:shd w:val="clear" w:color="auto" w:fill="FFFFFF"/>
        </w:rPr>
        <w:t xml:space="preserve">George-Williams, H. (2018). Efficient Reliability Modelling &amp; Analysis of Complex Systems with Application to Nuclear Power Plant Safety. </w:t>
      </w:r>
      <w:r w:rsidRPr="00D95A6F">
        <w:rPr>
          <w:rFonts w:ascii="Times New Roman" w:hAnsi="Times New Roman"/>
          <w:i/>
          <w:iCs/>
          <w:sz w:val="24"/>
          <w:szCs w:val="24"/>
          <w:shd w:val="clear" w:color="auto" w:fill="FFFFFF"/>
        </w:rPr>
        <w:t>The University of Liverpool (United Kingdom).</w:t>
      </w:r>
    </w:p>
    <w:p w14:paraId="27F6A6D7" w14:textId="77777777" w:rsidR="00CF165B" w:rsidRPr="00D95A6F" w:rsidRDefault="00CF165B" w:rsidP="00CF165B">
      <w:pPr>
        <w:spacing w:line="276" w:lineRule="auto"/>
        <w:ind w:left="360" w:hanging="720"/>
        <w:rPr>
          <w:rFonts w:ascii="Times New Roman" w:hAnsi="Times New Roman"/>
          <w:sz w:val="24"/>
          <w:szCs w:val="24"/>
        </w:rPr>
      </w:pPr>
      <w:bookmarkStart w:id="6" w:name="_Hlk221627865"/>
      <w:r w:rsidRPr="00D95A6F">
        <w:rPr>
          <w:rFonts w:ascii="Times New Roman" w:hAnsi="Times New Roman"/>
          <w:sz w:val="24"/>
          <w:szCs w:val="24"/>
          <w:shd w:val="clear" w:color="auto" w:fill="FFFFFF"/>
        </w:rPr>
        <w:t>Haimes</w:t>
      </w:r>
      <w:bookmarkEnd w:id="6"/>
      <w:r w:rsidRPr="00D95A6F">
        <w:rPr>
          <w:rFonts w:ascii="Times New Roman" w:hAnsi="Times New Roman"/>
          <w:sz w:val="24"/>
          <w:szCs w:val="24"/>
          <w:shd w:val="clear" w:color="auto" w:fill="FFFFFF"/>
        </w:rPr>
        <w:t>, Y. Y. (2018). Risk modeling of interdependent complex systems of systems: Theory and practice. </w:t>
      </w:r>
      <w:r w:rsidRPr="00D95A6F">
        <w:rPr>
          <w:rFonts w:ascii="Times New Roman" w:hAnsi="Times New Roman"/>
          <w:i/>
          <w:iCs/>
          <w:sz w:val="24"/>
          <w:szCs w:val="24"/>
          <w:shd w:val="clear" w:color="auto" w:fill="FFFFFF"/>
        </w:rPr>
        <w:t>Risk analysis</w:t>
      </w:r>
      <w:r w:rsidRPr="00D95A6F">
        <w:rPr>
          <w:rFonts w:ascii="Times New Roman" w:hAnsi="Times New Roman"/>
          <w:sz w:val="24"/>
          <w:szCs w:val="24"/>
          <w:shd w:val="clear" w:color="auto" w:fill="FFFFFF"/>
        </w:rPr>
        <w:t>, </w:t>
      </w:r>
      <w:r w:rsidRPr="00D95A6F">
        <w:rPr>
          <w:rFonts w:ascii="Times New Roman" w:hAnsi="Times New Roman"/>
          <w:i/>
          <w:iCs/>
          <w:sz w:val="24"/>
          <w:szCs w:val="24"/>
          <w:shd w:val="clear" w:color="auto" w:fill="FFFFFF"/>
        </w:rPr>
        <w:t>38</w:t>
      </w:r>
      <w:r w:rsidRPr="00D95A6F">
        <w:rPr>
          <w:rFonts w:ascii="Times New Roman" w:hAnsi="Times New Roman"/>
          <w:sz w:val="24"/>
          <w:szCs w:val="24"/>
          <w:shd w:val="clear" w:color="auto" w:fill="FFFFFF"/>
        </w:rPr>
        <w:t>(1), 84-98.</w:t>
      </w:r>
    </w:p>
    <w:p w14:paraId="3C6B40C6" w14:textId="77777777" w:rsidR="00CF165B" w:rsidRPr="00D95A6F" w:rsidRDefault="00CF165B" w:rsidP="00CF165B">
      <w:pPr>
        <w:spacing w:line="276" w:lineRule="auto"/>
        <w:ind w:left="360" w:hanging="720"/>
        <w:rPr>
          <w:rFonts w:ascii="Times New Roman" w:hAnsi="Times New Roman"/>
          <w:sz w:val="24"/>
          <w:szCs w:val="24"/>
        </w:rPr>
      </w:pPr>
      <w:r w:rsidRPr="00D95A6F">
        <w:rPr>
          <w:rFonts w:ascii="Times New Roman" w:hAnsi="Times New Roman"/>
          <w:sz w:val="24"/>
          <w:szCs w:val="24"/>
          <w:shd w:val="clear" w:color="auto" w:fill="FFFFFF"/>
        </w:rPr>
        <w:t>Hoseyni, S. M. (2020). Maintenance management by condition-based PRA with VoI-based optimal condition monitoring and data acquisition.</w:t>
      </w:r>
    </w:p>
    <w:p w14:paraId="79A0CE62" w14:textId="77777777" w:rsidR="00CF165B" w:rsidRPr="00D95A6F" w:rsidRDefault="00CF165B" w:rsidP="00CF165B">
      <w:pPr>
        <w:spacing w:line="276" w:lineRule="auto"/>
        <w:ind w:left="360" w:hanging="720"/>
        <w:rPr>
          <w:rFonts w:ascii="Times New Roman" w:hAnsi="Times New Roman"/>
          <w:sz w:val="24"/>
          <w:szCs w:val="24"/>
        </w:rPr>
      </w:pPr>
      <w:r w:rsidRPr="00D95A6F">
        <w:rPr>
          <w:rFonts w:ascii="Times New Roman" w:hAnsi="Times New Roman"/>
          <w:sz w:val="24"/>
          <w:szCs w:val="24"/>
          <w:shd w:val="clear" w:color="auto" w:fill="FFFFFF"/>
        </w:rPr>
        <w:t>Hoseyni, S. M., Di Maio, F., &amp; Zio, E. (2019). Condition-based probabilistic safety assessment for maintenance decision making regarding a nuclear power plant steam generator undergoing multiple degradation mechanisms. </w:t>
      </w:r>
      <w:r w:rsidRPr="00D95A6F">
        <w:rPr>
          <w:rFonts w:ascii="Times New Roman" w:hAnsi="Times New Roman"/>
          <w:i/>
          <w:iCs/>
          <w:sz w:val="24"/>
          <w:szCs w:val="24"/>
          <w:shd w:val="clear" w:color="auto" w:fill="FFFFFF"/>
        </w:rPr>
        <w:t>Reliability Engineering &amp; System Safety</w:t>
      </w:r>
      <w:r w:rsidRPr="00D95A6F">
        <w:rPr>
          <w:rFonts w:ascii="Times New Roman" w:hAnsi="Times New Roman"/>
          <w:sz w:val="24"/>
          <w:szCs w:val="24"/>
          <w:shd w:val="clear" w:color="auto" w:fill="FFFFFF"/>
        </w:rPr>
        <w:t>, </w:t>
      </w:r>
      <w:r w:rsidRPr="00D95A6F">
        <w:rPr>
          <w:rFonts w:ascii="Times New Roman" w:hAnsi="Times New Roman"/>
          <w:i/>
          <w:iCs/>
          <w:sz w:val="24"/>
          <w:szCs w:val="24"/>
          <w:shd w:val="clear" w:color="auto" w:fill="FFFFFF"/>
        </w:rPr>
        <w:t>191</w:t>
      </w:r>
      <w:r w:rsidRPr="00D95A6F">
        <w:rPr>
          <w:rFonts w:ascii="Times New Roman" w:hAnsi="Times New Roman"/>
          <w:sz w:val="24"/>
          <w:szCs w:val="24"/>
          <w:shd w:val="clear" w:color="auto" w:fill="FFFFFF"/>
        </w:rPr>
        <w:t>, 106583.</w:t>
      </w:r>
    </w:p>
    <w:p w14:paraId="291A795E" w14:textId="77777777" w:rsidR="00CF165B" w:rsidRPr="00D95A6F" w:rsidRDefault="00CF165B" w:rsidP="00CF165B">
      <w:pPr>
        <w:spacing w:line="276" w:lineRule="auto"/>
        <w:ind w:left="360" w:hanging="720"/>
        <w:rPr>
          <w:rFonts w:ascii="Times New Roman" w:hAnsi="Times New Roman"/>
          <w:sz w:val="24"/>
          <w:szCs w:val="24"/>
        </w:rPr>
      </w:pPr>
      <w:r w:rsidRPr="00D95A6F">
        <w:rPr>
          <w:rFonts w:ascii="Times New Roman" w:hAnsi="Times New Roman"/>
          <w:sz w:val="24"/>
          <w:szCs w:val="24"/>
          <w:shd w:val="clear" w:color="auto" w:fill="FFFFFF"/>
        </w:rPr>
        <w:t>Jang, D. J., &amp; Shim, H. J. (2020). Development of a regulatory framework for risk-informed decision making. </w:t>
      </w:r>
      <w:r w:rsidRPr="00D95A6F">
        <w:rPr>
          <w:rFonts w:ascii="Times New Roman" w:hAnsi="Times New Roman"/>
          <w:i/>
          <w:iCs/>
          <w:sz w:val="24"/>
          <w:szCs w:val="24"/>
          <w:shd w:val="clear" w:color="auto" w:fill="FFFFFF"/>
        </w:rPr>
        <w:t>Nuclear Engineering and Technology</w:t>
      </w:r>
      <w:r w:rsidRPr="00D95A6F">
        <w:rPr>
          <w:rFonts w:ascii="Times New Roman" w:hAnsi="Times New Roman"/>
          <w:sz w:val="24"/>
          <w:szCs w:val="24"/>
          <w:shd w:val="clear" w:color="auto" w:fill="FFFFFF"/>
        </w:rPr>
        <w:t>, </w:t>
      </w:r>
      <w:r w:rsidRPr="00D95A6F">
        <w:rPr>
          <w:rFonts w:ascii="Times New Roman" w:hAnsi="Times New Roman"/>
          <w:i/>
          <w:iCs/>
          <w:sz w:val="24"/>
          <w:szCs w:val="24"/>
          <w:shd w:val="clear" w:color="auto" w:fill="FFFFFF"/>
        </w:rPr>
        <w:t>52</w:t>
      </w:r>
      <w:r w:rsidRPr="00D95A6F">
        <w:rPr>
          <w:rFonts w:ascii="Times New Roman" w:hAnsi="Times New Roman"/>
          <w:sz w:val="24"/>
          <w:szCs w:val="24"/>
          <w:shd w:val="clear" w:color="auto" w:fill="FFFFFF"/>
        </w:rPr>
        <w:t>(1), 69-77.</w:t>
      </w:r>
    </w:p>
    <w:p w14:paraId="77AED70C" w14:textId="77777777" w:rsidR="00CF165B" w:rsidRPr="00D95A6F" w:rsidRDefault="00CF165B" w:rsidP="00CF165B">
      <w:pPr>
        <w:spacing w:line="276" w:lineRule="auto"/>
        <w:ind w:left="360" w:hanging="720"/>
        <w:rPr>
          <w:rFonts w:ascii="Times New Roman" w:hAnsi="Times New Roman"/>
          <w:sz w:val="24"/>
          <w:szCs w:val="24"/>
        </w:rPr>
      </w:pPr>
      <w:r w:rsidRPr="00D95A6F">
        <w:rPr>
          <w:rFonts w:ascii="Times New Roman" w:hAnsi="Times New Roman"/>
          <w:sz w:val="24"/>
          <w:szCs w:val="24"/>
          <w:shd w:val="clear" w:color="auto" w:fill="FFFFFF"/>
        </w:rPr>
        <w:t>Karanki, D. R., Vinod, G., &amp; Ajit, S. (Eds.). (2019). </w:t>
      </w:r>
      <w:r w:rsidRPr="00D95A6F">
        <w:rPr>
          <w:rFonts w:ascii="Times New Roman" w:hAnsi="Times New Roman"/>
          <w:i/>
          <w:iCs/>
          <w:sz w:val="24"/>
          <w:szCs w:val="24"/>
          <w:shd w:val="clear" w:color="auto" w:fill="FFFFFF"/>
        </w:rPr>
        <w:t>Advances in RAMS Engineering: In Honor of Professor Ajit Kumar Verma on His 60th Birthday</w:t>
      </w:r>
      <w:r w:rsidRPr="00D95A6F">
        <w:rPr>
          <w:rFonts w:ascii="Times New Roman" w:hAnsi="Times New Roman"/>
          <w:sz w:val="24"/>
          <w:szCs w:val="24"/>
          <w:shd w:val="clear" w:color="auto" w:fill="FFFFFF"/>
        </w:rPr>
        <w:t>. Springer Nature.</w:t>
      </w:r>
    </w:p>
    <w:p w14:paraId="097CE7A4" w14:textId="77777777" w:rsidR="00CF165B" w:rsidRPr="00D95A6F" w:rsidRDefault="00CF165B" w:rsidP="00CF165B">
      <w:pPr>
        <w:spacing w:line="276" w:lineRule="auto"/>
        <w:ind w:left="360" w:hanging="720"/>
        <w:rPr>
          <w:rFonts w:ascii="Times New Roman" w:hAnsi="Times New Roman"/>
          <w:sz w:val="24"/>
          <w:szCs w:val="24"/>
        </w:rPr>
      </w:pPr>
      <w:r w:rsidRPr="00D95A6F">
        <w:rPr>
          <w:rFonts w:ascii="Times New Roman" w:hAnsi="Times New Roman"/>
          <w:sz w:val="24"/>
          <w:szCs w:val="24"/>
          <w:shd w:val="clear" w:color="auto" w:fill="FFFFFF"/>
        </w:rPr>
        <w:t>Li, H., Peng, W., Adumene, S., &amp; Yazdi, M. (2023). </w:t>
      </w:r>
      <w:r w:rsidRPr="00D95A6F">
        <w:rPr>
          <w:rFonts w:ascii="Times New Roman" w:hAnsi="Times New Roman"/>
          <w:i/>
          <w:iCs/>
          <w:sz w:val="24"/>
          <w:szCs w:val="24"/>
          <w:shd w:val="clear" w:color="auto" w:fill="FFFFFF"/>
        </w:rPr>
        <w:t>Intelligent reliability and maintainability of energy infrastructure assets</w:t>
      </w:r>
      <w:r w:rsidRPr="00D95A6F">
        <w:rPr>
          <w:rFonts w:ascii="Times New Roman" w:hAnsi="Times New Roman"/>
          <w:sz w:val="24"/>
          <w:szCs w:val="24"/>
          <w:shd w:val="clear" w:color="auto" w:fill="FFFFFF"/>
        </w:rPr>
        <w:t> (Vol. 473, pp. 1-148). Springer.</w:t>
      </w:r>
    </w:p>
    <w:p w14:paraId="17CF30DC" w14:textId="77777777" w:rsidR="00CF165B" w:rsidRPr="00D95A6F" w:rsidRDefault="00CF165B" w:rsidP="00CF165B">
      <w:pPr>
        <w:spacing w:line="276" w:lineRule="auto"/>
        <w:ind w:left="360" w:hanging="720"/>
        <w:rPr>
          <w:rFonts w:ascii="Times New Roman" w:hAnsi="Times New Roman"/>
          <w:sz w:val="24"/>
          <w:szCs w:val="24"/>
        </w:rPr>
      </w:pPr>
      <w:bookmarkStart w:id="7" w:name="_Hlk221866538"/>
      <w:r w:rsidRPr="00D95A6F">
        <w:rPr>
          <w:rFonts w:ascii="Times New Roman" w:hAnsi="Times New Roman"/>
          <w:sz w:val="24"/>
          <w:szCs w:val="24"/>
          <w:shd w:val="clear" w:color="auto" w:fill="FFFFFF"/>
        </w:rPr>
        <w:t>Martinod</w:t>
      </w:r>
      <w:bookmarkEnd w:id="7"/>
      <w:r w:rsidRPr="00D95A6F">
        <w:rPr>
          <w:rFonts w:ascii="Times New Roman" w:hAnsi="Times New Roman"/>
          <w:sz w:val="24"/>
          <w:szCs w:val="24"/>
          <w:shd w:val="clear" w:color="auto" w:fill="FFFFFF"/>
        </w:rPr>
        <w:t>, R. M., Bistorin, O., Castañeda, L. F., &amp; Rezg, N. (2018). Maintenance policy optimisation for multi-component systems considering degradation of components and imperfect maintenance actions. </w:t>
      </w:r>
      <w:r w:rsidRPr="00D95A6F">
        <w:rPr>
          <w:rFonts w:ascii="Times New Roman" w:hAnsi="Times New Roman"/>
          <w:i/>
          <w:iCs/>
          <w:sz w:val="24"/>
          <w:szCs w:val="24"/>
          <w:shd w:val="clear" w:color="auto" w:fill="FFFFFF"/>
        </w:rPr>
        <w:t>Computers &amp; Industrial Engineering</w:t>
      </w:r>
      <w:r w:rsidRPr="00D95A6F">
        <w:rPr>
          <w:rFonts w:ascii="Times New Roman" w:hAnsi="Times New Roman"/>
          <w:sz w:val="24"/>
          <w:szCs w:val="24"/>
          <w:shd w:val="clear" w:color="auto" w:fill="FFFFFF"/>
        </w:rPr>
        <w:t>, </w:t>
      </w:r>
      <w:r w:rsidRPr="00D95A6F">
        <w:rPr>
          <w:rFonts w:ascii="Times New Roman" w:hAnsi="Times New Roman"/>
          <w:i/>
          <w:iCs/>
          <w:sz w:val="24"/>
          <w:szCs w:val="24"/>
          <w:shd w:val="clear" w:color="auto" w:fill="FFFFFF"/>
        </w:rPr>
        <w:t>124</w:t>
      </w:r>
      <w:r w:rsidRPr="00D95A6F">
        <w:rPr>
          <w:rFonts w:ascii="Times New Roman" w:hAnsi="Times New Roman"/>
          <w:sz w:val="24"/>
          <w:szCs w:val="24"/>
          <w:shd w:val="clear" w:color="auto" w:fill="FFFFFF"/>
        </w:rPr>
        <w:t>, 100-112.</w:t>
      </w:r>
    </w:p>
    <w:p w14:paraId="029216D5" w14:textId="77777777" w:rsidR="00CF165B" w:rsidRPr="00D95A6F" w:rsidRDefault="00CF165B" w:rsidP="00CF165B">
      <w:pPr>
        <w:spacing w:line="276" w:lineRule="auto"/>
        <w:ind w:left="360" w:hanging="720"/>
        <w:rPr>
          <w:rFonts w:ascii="Times New Roman" w:hAnsi="Times New Roman"/>
          <w:sz w:val="24"/>
          <w:szCs w:val="24"/>
        </w:rPr>
      </w:pPr>
      <w:r w:rsidRPr="00D95A6F">
        <w:rPr>
          <w:rFonts w:ascii="Times New Roman" w:hAnsi="Times New Roman"/>
          <w:sz w:val="24"/>
          <w:szCs w:val="24"/>
          <w:shd w:val="clear" w:color="auto" w:fill="FFFFFF"/>
        </w:rPr>
        <w:t>Mohammadhasani, F., &amp; Pirouzmand, A. (2021). Multi-state risk-based maintenance analysis of redundant safety systems using the Markov model and fault tree method. </w:t>
      </w:r>
      <w:r w:rsidRPr="00D95A6F">
        <w:rPr>
          <w:rFonts w:ascii="Times New Roman" w:hAnsi="Times New Roman"/>
          <w:i/>
          <w:iCs/>
          <w:sz w:val="24"/>
          <w:szCs w:val="24"/>
          <w:shd w:val="clear" w:color="auto" w:fill="FFFFFF"/>
        </w:rPr>
        <w:t>Frontiers in Energy Research</w:t>
      </w:r>
      <w:r w:rsidRPr="00D95A6F">
        <w:rPr>
          <w:rFonts w:ascii="Times New Roman" w:hAnsi="Times New Roman"/>
          <w:sz w:val="24"/>
          <w:szCs w:val="24"/>
          <w:shd w:val="clear" w:color="auto" w:fill="FFFFFF"/>
        </w:rPr>
        <w:t>, </w:t>
      </w:r>
      <w:r w:rsidRPr="00D95A6F">
        <w:rPr>
          <w:rFonts w:ascii="Times New Roman" w:hAnsi="Times New Roman"/>
          <w:i/>
          <w:iCs/>
          <w:sz w:val="24"/>
          <w:szCs w:val="24"/>
          <w:shd w:val="clear" w:color="auto" w:fill="FFFFFF"/>
        </w:rPr>
        <w:t>9</w:t>
      </w:r>
      <w:r w:rsidRPr="00D95A6F">
        <w:rPr>
          <w:rFonts w:ascii="Times New Roman" w:hAnsi="Times New Roman"/>
          <w:sz w:val="24"/>
          <w:szCs w:val="24"/>
          <w:shd w:val="clear" w:color="auto" w:fill="FFFFFF"/>
        </w:rPr>
        <w:t>, 685634.</w:t>
      </w:r>
    </w:p>
    <w:p w14:paraId="3982919E" w14:textId="77777777" w:rsidR="00CF165B" w:rsidRPr="00D95A6F" w:rsidRDefault="00CF165B" w:rsidP="00CF165B">
      <w:pPr>
        <w:spacing w:line="276" w:lineRule="auto"/>
        <w:ind w:left="360" w:hanging="720"/>
        <w:rPr>
          <w:rFonts w:ascii="Times New Roman" w:hAnsi="Times New Roman"/>
          <w:sz w:val="24"/>
          <w:szCs w:val="24"/>
        </w:rPr>
      </w:pPr>
      <w:r w:rsidRPr="00D95A6F">
        <w:rPr>
          <w:rFonts w:ascii="Times New Roman" w:hAnsi="Times New Roman"/>
          <w:sz w:val="24"/>
          <w:szCs w:val="24"/>
          <w:shd w:val="clear" w:color="auto" w:fill="FFFFFF"/>
        </w:rPr>
        <w:t>Moinian, F., &amp; Ameli, M. T. (2022). A reliability-based approach for integrated generation and transmission maintenance coordination in restructured power systems. </w:t>
      </w:r>
      <w:r w:rsidRPr="00D95A6F">
        <w:rPr>
          <w:rFonts w:ascii="Times New Roman" w:hAnsi="Times New Roman"/>
          <w:i/>
          <w:iCs/>
          <w:sz w:val="24"/>
          <w:szCs w:val="24"/>
          <w:shd w:val="clear" w:color="auto" w:fill="FFFFFF"/>
        </w:rPr>
        <w:t>Electric Power Systems Research</w:t>
      </w:r>
      <w:r w:rsidRPr="00D95A6F">
        <w:rPr>
          <w:rFonts w:ascii="Times New Roman" w:hAnsi="Times New Roman"/>
          <w:sz w:val="24"/>
          <w:szCs w:val="24"/>
          <w:shd w:val="clear" w:color="auto" w:fill="FFFFFF"/>
        </w:rPr>
        <w:t>, </w:t>
      </w:r>
      <w:r w:rsidRPr="00D95A6F">
        <w:rPr>
          <w:rFonts w:ascii="Times New Roman" w:hAnsi="Times New Roman"/>
          <w:i/>
          <w:iCs/>
          <w:sz w:val="24"/>
          <w:szCs w:val="24"/>
          <w:shd w:val="clear" w:color="auto" w:fill="FFFFFF"/>
        </w:rPr>
        <w:t>206</w:t>
      </w:r>
      <w:r w:rsidRPr="00D95A6F">
        <w:rPr>
          <w:rFonts w:ascii="Times New Roman" w:hAnsi="Times New Roman"/>
          <w:sz w:val="24"/>
          <w:szCs w:val="24"/>
          <w:shd w:val="clear" w:color="auto" w:fill="FFFFFF"/>
        </w:rPr>
        <w:t>, 107737.</w:t>
      </w:r>
    </w:p>
    <w:p w14:paraId="611922A1" w14:textId="77777777" w:rsidR="00CF165B" w:rsidRPr="00D95A6F" w:rsidRDefault="00CF165B" w:rsidP="00CF165B">
      <w:pPr>
        <w:spacing w:line="276" w:lineRule="auto"/>
        <w:ind w:left="360" w:hanging="720"/>
        <w:rPr>
          <w:rFonts w:ascii="Times New Roman" w:hAnsi="Times New Roman"/>
          <w:sz w:val="24"/>
          <w:szCs w:val="24"/>
        </w:rPr>
      </w:pPr>
      <w:bookmarkStart w:id="8" w:name="_Hlk221865381"/>
      <w:r w:rsidRPr="00D95A6F">
        <w:rPr>
          <w:rFonts w:ascii="Times New Roman" w:hAnsi="Times New Roman"/>
          <w:sz w:val="24"/>
          <w:szCs w:val="24"/>
          <w:shd w:val="clear" w:color="auto" w:fill="FFFFFF"/>
        </w:rPr>
        <w:t>Moradi</w:t>
      </w:r>
      <w:bookmarkEnd w:id="8"/>
      <w:r w:rsidRPr="00D95A6F">
        <w:rPr>
          <w:rFonts w:ascii="Times New Roman" w:hAnsi="Times New Roman"/>
          <w:sz w:val="24"/>
          <w:szCs w:val="24"/>
          <w:shd w:val="clear" w:color="auto" w:fill="FFFFFF"/>
        </w:rPr>
        <w:t>, R., &amp; Groth, K. M. (2020). Modernizing risk assessment: A systematic integration of PRA and PHM techniques. </w:t>
      </w:r>
      <w:r w:rsidRPr="00D95A6F">
        <w:rPr>
          <w:rFonts w:ascii="Times New Roman" w:hAnsi="Times New Roman"/>
          <w:i/>
          <w:iCs/>
          <w:sz w:val="24"/>
          <w:szCs w:val="24"/>
          <w:shd w:val="clear" w:color="auto" w:fill="FFFFFF"/>
        </w:rPr>
        <w:t>Reliability Engineering &amp; System Safety</w:t>
      </w:r>
      <w:r w:rsidRPr="00D95A6F">
        <w:rPr>
          <w:rFonts w:ascii="Times New Roman" w:hAnsi="Times New Roman"/>
          <w:sz w:val="24"/>
          <w:szCs w:val="24"/>
          <w:shd w:val="clear" w:color="auto" w:fill="FFFFFF"/>
        </w:rPr>
        <w:t>, </w:t>
      </w:r>
      <w:r w:rsidRPr="00D95A6F">
        <w:rPr>
          <w:rFonts w:ascii="Times New Roman" w:hAnsi="Times New Roman"/>
          <w:i/>
          <w:iCs/>
          <w:sz w:val="24"/>
          <w:szCs w:val="24"/>
          <w:shd w:val="clear" w:color="auto" w:fill="FFFFFF"/>
        </w:rPr>
        <w:t>204</w:t>
      </w:r>
      <w:r w:rsidRPr="00D95A6F">
        <w:rPr>
          <w:rFonts w:ascii="Times New Roman" w:hAnsi="Times New Roman"/>
          <w:sz w:val="24"/>
          <w:szCs w:val="24"/>
          <w:shd w:val="clear" w:color="auto" w:fill="FFFFFF"/>
        </w:rPr>
        <w:t>, 107194.</w:t>
      </w:r>
    </w:p>
    <w:p w14:paraId="1C526F3B" w14:textId="77777777" w:rsidR="00CF165B" w:rsidRPr="00D95A6F" w:rsidRDefault="00CF165B" w:rsidP="00CF165B">
      <w:pPr>
        <w:spacing w:line="276" w:lineRule="auto"/>
        <w:ind w:left="360" w:hanging="720"/>
        <w:rPr>
          <w:rFonts w:ascii="Times New Roman" w:hAnsi="Times New Roman"/>
          <w:sz w:val="24"/>
          <w:szCs w:val="24"/>
        </w:rPr>
      </w:pPr>
      <w:r w:rsidRPr="00D95A6F">
        <w:rPr>
          <w:rFonts w:ascii="Times New Roman" w:hAnsi="Times New Roman"/>
          <w:sz w:val="24"/>
          <w:szCs w:val="24"/>
          <w:shd w:val="clear" w:color="auto" w:fill="FFFFFF"/>
        </w:rPr>
        <w:lastRenderedPageBreak/>
        <w:t>Nguyen, V. T., Do, P., Vosin, A., &amp; Iung, B. (2022). Artificial-intelligence-based maintenance decision-making and optimization for multi-state component systems. </w:t>
      </w:r>
      <w:r w:rsidRPr="00D95A6F">
        <w:rPr>
          <w:rFonts w:ascii="Times New Roman" w:hAnsi="Times New Roman"/>
          <w:i/>
          <w:iCs/>
          <w:sz w:val="24"/>
          <w:szCs w:val="24"/>
          <w:shd w:val="clear" w:color="auto" w:fill="FFFFFF"/>
        </w:rPr>
        <w:t>Reliability Engineering &amp; System Safety</w:t>
      </w:r>
      <w:r w:rsidRPr="00D95A6F">
        <w:rPr>
          <w:rFonts w:ascii="Times New Roman" w:hAnsi="Times New Roman"/>
          <w:sz w:val="24"/>
          <w:szCs w:val="24"/>
          <w:shd w:val="clear" w:color="auto" w:fill="FFFFFF"/>
        </w:rPr>
        <w:t>, </w:t>
      </w:r>
      <w:r w:rsidRPr="00D95A6F">
        <w:rPr>
          <w:rFonts w:ascii="Times New Roman" w:hAnsi="Times New Roman"/>
          <w:i/>
          <w:iCs/>
          <w:sz w:val="24"/>
          <w:szCs w:val="24"/>
          <w:shd w:val="clear" w:color="auto" w:fill="FFFFFF"/>
        </w:rPr>
        <w:t>228</w:t>
      </w:r>
      <w:r w:rsidRPr="00D95A6F">
        <w:rPr>
          <w:rFonts w:ascii="Times New Roman" w:hAnsi="Times New Roman"/>
          <w:sz w:val="24"/>
          <w:szCs w:val="24"/>
          <w:shd w:val="clear" w:color="auto" w:fill="FFFFFF"/>
        </w:rPr>
        <w:t>, 108757.</w:t>
      </w:r>
    </w:p>
    <w:p w14:paraId="2181DDC3" w14:textId="77777777" w:rsidR="00CF165B" w:rsidRPr="00CF165B" w:rsidRDefault="00CF165B" w:rsidP="00CF165B">
      <w:pPr>
        <w:pStyle w:val="NormalWeb"/>
        <w:spacing w:line="276" w:lineRule="auto"/>
        <w:ind w:left="360" w:hanging="720"/>
        <w:rPr>
          <w:rFonts w:eastAsiaTheme="minorHAnsi"/>
          <w:color w:val="000000" w:themeColor="text1"/>
          <w:kern w:val="2"/>
          <w:lang w:eastAsia="en-US"/>
        </w:rPr>
      </w:pPr>
      <w:r w:rsidRPr="00CF165B">
        <w:rPr>
          <w:rFonts w:eastAsiaTheme="minorHAnsi"/>
          <w:color w:val="000000" w:themeColor="text1"/>
          <w:kern w:val="2"/>
          <w:lang w:eastAsia="en-US"/>
        </w:rPr>
        <w:t>Obidiagha, C., &amp; Antwi, B. K. (2026). Standardization of supply chain monitoring tools for small and medium manufacturing enterprises. Sarcouncil Journal of Economics and Business Management, 5(1), 1–15.</w:t>
      </w:r>
    </w:p>
    <w:p w14:paraId="0E254594" w14:textId="77777777" w:rsidR="00CF165B" w:rsidRPr="00D95A6F" w:rsidRDefault="00CF165B" w:rsidP="00CF165B">
      <w:pPr>
        <w:spacing w:line="276" w:lineRule="auto"/>
        <w:ind w:left="360" w:hanging="720"/>
        <w:rPr>
          <w:rFonts w:ascii="Times New Roman" w:hAnsi="Times New Roman"/>
          <w:sz w:val="24"/>
          <w:szCs w:val="24"/>
        </w:rPr>
      </w:pPr>
      <w:r w:rsidRPr="00D95A6F">
        <w:rPr>
          <w:rFonts w:ascii="Times New Roman" w:hAnsi="Times New Roman"/>
          <w:sz w:val="24"/>
          <w:szCs w:val="24"/>
          <w:shd w:val="clear" w:color="auto" w:fill="FFFFFF"/>
        </w:rPr>
        <w:t>Palakodeti, S. R., Raju, P. K., &amp; Guo, H. (2020). A dynamic process for evaluating the reliability of fossil power plant assets. </w:t>
      </w:r>
      <w:r w:rsidRPr="00D95A6F">
        <w:rPr>
          <w:rFonts w:ascii="Times New Roman" w:hAnsi="Times New Roman"/>
          <w:i/>
          <w:iCs/>
          <w:sz w:val="24"/>
          <w:szCs w:val="24"/>
          <w:shd w:val="clear" w:color="auto" w:fill="FFFFFF"/>
        </w:rPr>
        <w:t>Engineering Reports</w:t>
      </w:r>
      <w:r w:rsidRPr="00D95A6F">
        <w:rPr>
          <w:rFonts w:ascii="Times New Roman" w:hAnsi="Times New Roman"/>
          <w:sz w:val="24"/>
          <w:szCs w:val="24"/>
          <w:shd w:val="clear" w:color="auto" w:fill="FFFFFF"/>
        </w:rPr>
        <w:t>, </w:t>
      </w:r>
      <w:r w:rsidRPr="00D95A6F">
        <w:rPr>
          <w:rFonts w:ascii="Times New Roman" w:hAnsi="Times New Roman"/>
          <w:i/>
          <w:iCs/>
          <w:sz w:val="24"/>
          <w:szCs w:val="24"/>
          <w:shd w:val="clear" w:color="auto" w:fill="FFFFFF"/>
        </w:rPr>
        <w:t>2</w:t>
      </w:r>
      <w:r w:rsidRPr="00D95A6F">
        <w:rPr>
          <w:rFonts w:ascii="Times New Roman" w:hAnsi="Times New Roman"/>
          <w:sz w:val="24"/>
          <w:szCs w:val="24"/>
          <w:shd w:val="clear" w:color="auto" w:fill="FFFFFF"/>
        </w:rPr>
        <w:t>(12), e12277.</w:t>
      </w:r>
    </w:p>
    <w:p w14:paraId="46EAFA09" w14:textId="77777777" w:rsidR="00CF165B" w:rsidRPr="00CF165B" w:rsidRDefault="00CF165B" w:rsidP="00CF165B">
      <w:pPr>
        <w:pStyle w:val="NormalWeb"/>
        <w:spacing w:line="276" w:lineRule="auto"/>
        <w:ind w:left="360" w:hanging="720"/>
        <w:rPr>
          <w:rFonts w:eastAsiaTheme="minorHAnsi"/>
          <w:color w:val="000000" w:themeColor="text1"/>
          <w:kern w:val="2"/>
          <w:lang w:eastAsia="en-US"/>
        </w:rPr>
      </w:pPr>
      <w:r w:rsidRPr="00CF165B">
        <w:rPr>
          <w:rFonts w:eastAsiaTheme="minorHAnsi"/>
          <w:color w:val="000000" w:themeColor="text1"/>
          <w:kern w:val="2"/>
          <w:lang w:eastAsia="en-US"/>
        </w:rPr>
        <w:t>Panful, B., Apaflo, B., &amp; Hutchful, N. (2025). Cyber-Physical Systems under threat: A case-study review of recent SCADA system attacks in the US utility sector. Journal of Engineering and Computer Sciences, 4(12), 104–117.</w:t>
      </w:r>
    </w:p>
    <w:p w14:paraId="3F86F8BF" w14:textId="77777777" w:rsidR="00CF165B" w:rsidRPr="00D95A6F" w:rsidRDefault="00CF165B" w:rsidP="00CF165B">
      <w:pPr>
        <w:spacing w:line="276" w:lineRule="auto"/>
        <w:ind w:left="360" w:hanging="720"/>
        <w:rPr>
          <w:rFonts w:ascii="Times New Roman" w:hAnsi="Times New Roman"/>
          <w:sz w:val="24"/>
          <w:szCs w:val="24"/>
        </w:rPr>
      </w:pPr>
      <w:r w:rsidRPr="00D95A6F">
        <w:rPr>
          <w:rFonts w:ascii="Times New Roman" w:hAnsi="Times New Roman"/>
          <w:sz w:val="24"/>
          <w:szCs w:val="24"/>
          <w:shd w:val="clear" w:color="auto" w:fill="FFFFFF"/>
        </w:rPr>
        <w:t>Parhizkar, T., Utne, I. B., Vinnem, J. E., &amp; Mosleh, A. (2021). Supervised dynamic probabilistic risk assessment of complex systems, part 2: Application to risk-informed decision making, practice and results. </w:t>
      </w:r>
      <w:r w:rsidRPr="00D95A6F">
        <w:rPr>
          <w:rFonts w:ascii="Times New Roman" w:hAnsi="Times New Roman"/>
          <w:i/>
          <w:iCs/>
          <w:sz w:val="24"/>
          <w:szCs w:val="24"/>
          <w:shd w:val="clear" w:color="auto" w:fill="FFFFFF"/>
        </w:rPr>
        <w:t>Reliability Engineering &amp; System Safety</w:t>
      </w:r>
      <w:r w:rsidRPr="00D95A6F">
        <w:rPr>
          <w:rFonts w:ascii="Times New Roman" w:hAnsi="Times New Roman"/>
          <w:sz w:val="24"/>
          <w:szCs w:val="24"/>
          <w:shd w:val="clear" w:color="auto" w:fill="FFFFFF"/>
        </w:rPr>
        <w:t>, </w:t>
      </w:r>
      <w:r w:rsidRPr="00D95A6F">
        <w:rPr>
          <w:rFonts w:ascii="Times New Roman" w:hAnsi="Times New Roman"/>
          <w:i/>
          <w:iCs/>
          <w:sz w:val="24"/>
          <w:szCs w:val="24"/>
          <w:shd w:val="clear" w:color="auto" w:fill="FFFFFF"/>
        </w:rPr>
        <w:t>208</w:t>
      </w:r>
      <w:r w:rsidRPr="00D95A6F">
        <w:rPr>
          <w:rFonts w:ascii="Times New Roman" w:hAnsi="Times New Roman"/>
          <w:sz w:val="24"/>
          <w:szCs w:val="24"/>
          <w:shd w:val="clear" w:color="auto" w:fill="FFFFFF"/>
        </w:rPr>
        <w:t>, 107392.</w:t>
      </w:r>
    </w:p>
    <w:p w14:paraId="38018A2F" w14:textId="77777777" w:rsidR="00CF165B" w:rsidRPr="00D95A6F" w:rsidRDefault="00CF165B" w:rsidP="00CF165B">
      <w:pPr>
        <w:spacing w:line="276" w:lineRule="auto"/>
        <w:ind w:left="360" w:hanging="720"/>
        <w:rPr>
          <w:rFonts w:ascii="Times New Roman" w:hAnsi="Times New Roman"/>
          <w:sz w:val="24"/>
          <w:szCs w:val="24"/>
        </w:rPr>
      </w:pPr>
      <w:r w:rsidRPr="00D95A6F">
        <w:rPr>
          <w:rFonts w:ascii="Times New Roman" w:hAnsi="Times New Roman"/>
          <w:sz w:val="24"/>
          <w:szCs w:val="24"/>
          <w:shd w:val="clear" w:color="auto" w:fill="FFFFFF"/>
        </w:rPr>
        <w:t>Rocchetta, R., Belle, A., &amp; Blazhe, G. (2025). Towards Risk-Informed Transmission Grid Outage Planning. In </w:t>
      </w:r>
      <w:r w:rsidRPr="00D95A6F">
        <w:rPr>
          <w:rFonts w:ascii="Times New Roman" w:hAnsi="Times New Roman"/>
          <w:i/>
          <w:iCs/>
          <w:sz w:val="24"/>
          <w:szCs w:val="24"/>
          <w:shd w:val="clear" w:color="auto" w:fill="FFFFFF"/>
        </w:rPr>
        <w:t>Proceedings of the 35th European Safety and Reliability &amp; the 33rd Society for Risk Analysis Europe Conference</w:t>
      </w:r>
      <w:r w:rsidRPr="00D95A6F">
        <w:rPr>
          <w:rFonts w:ascii="Times New Roman" w:hAnsi="Times New Roman"/>
          <w:sz w:val="24"/>
          <w:szCs w:val="24"/>
          <w:shd w:val="clear" w:color="auto" w:fill="FFFFFF"/>
        </w:rPr>
        <w:t> (pp. 587-594).</w:t>
      </w:r>
    </w:p>
    <w:p w14:paraId="2E1EFBE6" w14:textId="77777777" w:rsidR="00CF165B" w:rsidRPr="00D95A6F" w:rsidRDefault="00CF165B" w:rsidP="00CF165B">
      <w:pPr>
        <w:spacing w:line="276" w:lineRule="auto"/>
        <w:ind w:left="360" w:hanging="720"/>
        <w:rPr>
          <w:rFonts w:ascii="Times New Roman" w:hAnsi="Times New Roman"/>
          <w:sz w:val="24"/>
          <w:szCs w:val="24"/>
        </w:rPr>
      </w:pPr>
      <w:bookmarkStart w:id="9" w:name="_Hlk221861401"/>
      <w:r w:rsidRPr="00D95A6F">
        <w:rPr>
          <w:rFonts w:ascii="Times New Roman" w:hAnsi="Times New Roman"/>
          <w:sz w:val="24"/>
          <w:szCs w:val="24"/>
          <w:shd w:val="clear" w:color="auto" w:fill="FFFFFF"/>
        </w:rPr>
        <w:t>Rony</w:t>
      </w:r>
      <w:bookmarkEnd w:id="9"/>
      <w:r w:rsidRPr="00D95A6F">
        <w:rPr>
          <w:rFonts w:ascii="Times New Roman" w:hAnsi="Times New Roman"/>
          <w:sz w:val="24"/>
          <w:szCs w:val="24"/>
          <w:shd w:val="clear" w:color="auto" w:fill="FFFFFF"/>
        </w:rPr>
        <w:t>, M. A., &amp; Shafa, H. (2024). Cloud-Integrated Digital Twin Architectures For Real-Time Monitoring, Risk Assessment, And Safety Optimization In US Energy Infrastructure. </w:t>
      </w:r>
      <w:r w:rsidRPr="00D95A6F">
        <w:rPr>
          <w:rFonts w:ascii="Times New Roman" w:hAnsi="Times New Roman"/>
          <w:i/>
          <w:iCs/>
          <w:sz w:val="24"/>
          <w:szCs w:val="24"/>
          <w:shd w:val="clear" w:color="auto" w:fill="FFFFFF"/>
        </w:rPr>
        <w:t>American Journal of Interdisciplinary Studies</w:t>
      </w:r>
      <w:r w:rsidRPr="00D95A6F">
        <w:rPr>
          <w:rFonts w:ascii="Times New Roman" w:hAnsi="Times New Roman"/>
          <w:sz w:val="24"/>
          <w:szCs w:val="24"/>
          <w:shd w:val="clear" w:color="auto" w:fill="FFFFFF"/>
        </w:rPr>
        <w:t>, </w:t>
      </w:r>
      <w:r w:rsidRPr="00D95A6F">
        <w:rPr>
          <w:rFonts w:ascii="Times New Roman" w:hAnsi="Times New Roman"/>
          <w:i/>
          <w:iCs/>
          <w:sz w:val="24"/>
          <w:szCs w:val="24"/>
          <w:shd w:val="clear" w:color="auto" w:fill="FFFFFF"/>
        </w:rPr>
        <w:t>5</w:t>
      </w:r>
      <w:r w:rsidRPr="00D95A6F">
        <w:rPr>
          <w:rFonts w:ascii="Times New Roman" w:hAnsi="Times New Roman"/>
          <w:sz w:val="24"/>
          <w:szCs w:val="24"/>
          <w:shd w:val="clear" w:color="auto" w:fill="FFFFFF"/>
        </w:rPr>
        <w:t>(04), 96-133.</w:t>
      </w:r>
    </w:p>
    <w:p w14:paraId="75B283B0" w14:textId="77777777" w:rsidR="00CF165B" w:rsidRPr="00D95A6F" w:rsidRDefault="00CF165B" w:rsidP="00CF165B">
      <w:pPr>
        <w:spacing w:line="276" w:lineRule="auto"/>
        <w:ind w:left="360" w:hanging="720"/>
        <w:rPr>
          <w:rFonts w:ascii="Times New Roman" w:hAnsi="Times New Roman"/>
          <w:sz w:val="24"/>
          <w:szCs w:val="24"/>
        </w:rPr>
      </w:pPr>
      <w:bookmarkStart w:id="10" w:name="_Hlk221865952"/>
      <w:r w:rsidRPr="00D95A6F">
        <w:rPr>
          <w:rFonts w:ascii="Times New Roman" w:hAnsi="Times New Roman"/>
          <w:sz w:val="24"/>
          <w:szCs w:val="24"/>
          <w:shd w:val="clear" w:color="auto" w:fill="FFFFFF"/>
        </w:rPr>
        <w:t>Serbanescu</w:t>
      </w:r>
      <w:bookmarkEnd w:id="10"/>
      <w:r w:rsidRPr="00D95A6F">
        <w:rPr>
          <w:rFonts w:ascii="Times New Roman" w:hAnsi="Times New Roman"/>
          <w:sz w:val="24"/>
          <w:szCs w:val="24"/>
          <w:shd w:val="clear" w:color="auto" w:fill="FFFFFF"/>
        </w:rPr>
        <w:t>, D., &amp; Ulmeanu, A. P. (2020). Special Topics in Probabilistic Safety Assessments Levels 2, 3 and PSA Applications. In </w:t>
      </w:r>
      <w:r w:rsidRPr="00D95A6F">
        <w:rPr>
          <w:rFonts w:ascii="Times New Roman" w:hAnsi="Times New Roman"/>
          <w:i/>
          <w:iCs/>
          <w:sz w:val="24"/>
          <w:szCs w:val="24"/>
          <w:shd w:val="clear" w:color="auto" w:fill="FFFFFF"/>
        </w:rPr>
        <w:t>Selected Topics in Probabilistic Safety Assessment: Methodology and Practice in Nuclear Power Plants</w:t>
      </w:r>
      <w:r w:rsidRPr="00D95A6F">
        <w:rPr>
          <w:rFonts w:ascii="Times New Roman" w:hAnsi="Times New Roman"/>
          <w:sz w:val="24"/>
          <w:szCs w:val="24"/>
          <w:shd w:val="clear" w:color="auto" w:fill="FFFFFF"/>
        </w:rPr>
        <w:t> (pp. 75-118). Cham: Springer International Publishing.</w:t>
      </w:r>
    </w:p>
    <w:p w14:paraId="5C72EEAC" w14:textId="77777777" w:rsidR="00CF165B" w:rsidRPr="00D95A6F" w:rsidRDefault="00CF165B" w:rsidP="00CF165B">
      <w:pPr>
        <w:spacing w:line="276" w:lineRule="auto"/>
        <w:ind w:left="360" w:hanging="720"/>
        <w:rPr>
          <w:rFonts w:ascii="Times New Roman" w:hAnsi="Times New Roman"/>
          <w:sz w:val="24"/>
          <w:szCs w:val="24"/>
        </w:rPr>
      </w:pPr>
      <w:r w:rsidRPr="00D95A6F">
        <w:rPr>
          <w:rFonts w:ascii="Times New Roman" w:hAnsi="Times New Roman"/>
          <w:sz w:val="24"/>
          <w:szCs w:val="24"/>
          <w:shd w:val="clear" w:color="auto" w:fill="FFFFFF"/>
        </w:rPr>
        <w:t>Soltanali, H., Rohani, A., Abbaspour-Fard, M. H., Parida, A., &amp; Farinha, J. T. (2020). Development of a risk-based maintenance decision making approach for automotive production line. </w:t>
      </w:r>
      <w:r w:rsidRPr="00D95A6F">
        <w:rPr>
          <w:rFonts w:ascii="Times New Roman" w:hAnsi="Times New Roman"/>
          <w:i/>
          <w:iCs/>
          <w:sz w:val="24"/>
          <w:szCs w:val="24"/>
          <w:shd w:val="clear" w:color="auto" w:fill="FFFFFF"/>
        </w:rPr>
        <w:t>International Journal of System Assurance Engineering and Management</w:t>
      </w:r>
      <w:r w:rsidRPr="00D95A6F">
        <w:rPr>
          <w:rFonts w:ascii="Times New Roman" w:hAnsi="Times New Roman"/>
          <w:sz w:val="24"/>
          <w:szCs w:val="24"/>
          <w:shd w:val="clear" w:color="auto" w:fill="FFFFFF"/>
        </w:rPr>
        <w:t>, </w:t>
      </w:r>
      <w:r w:rsidRPr="00D95A6F">
        <w:rPr>
          <w:rFonts w:ascii="Times New Roman" w:hAnsi="Times New Roman"/>
          <w:i/>
          <w:iCs/>
          <w:sz w:val="24"/>
          <w:szCs w:val="24"/>
          <w:shd w:val="clear" w:color="auto" w:fill="FFFFFF"/>
        </w:rPr>
        <w:t>11</w:t>
      </w:r>
      <w:r w:rsidRPr="00D95A6F">
        <w:rPr>
          <w:rFonts w:ascii="Times New Roman" w:hAnsi="Times New Roman"/>
          <w:sz w:val="24"/>
          <w:szCs w:val="24"/>
          <w:shd w:val="clear" w:color="auto" w:fill="FFFFFF"/>
        </w:rPr>
        <w:t>(1), 236-251.</w:t>
      </w:r>
    </w:p>
    <w:p w14:paraId="403B2084" w14:textId="77777777" w:rsidR="00CF165B" w:rsidRPr="00D95A6F" w:rsidRDefault="00CF165B" w:rsidP="00CF165B">
      <w:pPr>
        <w:spacing w:line="276" w:lineRule="auto"/>
        <w:ind w:left="360" w:hanging="720"/>
        <w:rPr>
          <w:rFonts w:ascii="Times New Roman" w:hAnsi="Times New Roman"/>
          <w:sz w:val="24"/>
          <w:szCs w:val="24"/>
        </w:rPr>
      </w:pPr>
      <w:bookmarkStart w:id="11" w:name="_Hlk221866009"/>
      <w:r w:rsidRPr="00D95A6F">
        <w:rPr>
          <w:rFonts w:ascii="Times New Roman" w:hAnsi="Times New Roman"/>
          <w:sz w:val="24"/>
          <w:szCs w:val="24"/>
          <w:shd w:val="clear" w:color="auto" w:fill="FFFFFF"/>
        </w:rPr>
        <w:t>Syed</w:t>
      </w:r>
      <w:bookmarkEnd w:id="11"/>
      <w:r w:rsidRPr="00D95A6F">
        <w:rPr>
          <w:rFonts w:ascii="Times New Roman" w:hAnsi="Times New Roman"/>
          <w:sz w:val="24"/>
          <w:szCs w:val="24"/>
          <w:shd w:val="clear" w:color="auto" w:fill="FFFFFF"/>
        </w:rPr>
        <w:t xml:space="preserve">, Z., &amp; </w:t>
      </w:r>
      <w:bookmarkStart w:id="12" w:name="_Hlk221865996"/>
      <w:r w:rsidRPr="00D95A6F">
        <w:rPr>
          <w:rFonts w:ascii="Times New Roman" w:hAnsi="Times New Roman"/>
          <w:sz w:val="24"/>
          <w:szCs w:val="24"/>
          <w:shd w:val="clear" w:color="auto" w:fill="FFFFFF"/>
        </w:rPr>
        <w:t>Lawryshyn</w:t>
      </w:r>
      <w:bookmarkEnd w:id="12"/>
      <w:r w:rsidRPr="00D95A6F">
        <w:rPr>
          <w:rFonts w:ascii="Times New Roman" w:hAnsi="Times New Roman"/>
          <w:sz w:val="24"/>
          <w:szCs w:val="24"/>
          <w:shd w:val="clear" w:color="auto" w:fill="FFFFFF"/>
        </w:rPr>
        <w:t>, Y. (2020). Multi-criteria decision-making considering risk and uncertainty in physical asset management. </w:t>
      </w:r>
      <w:r w:rsidRPr="00D95A6F">
        <w:rPr>
          <w:rFonts w:ascii="Times New Roman" w:hAnsi="Times New Roman"/>
          <w:i/>
          <w:iCs/>
          <w:sz w:val="24"/>
          <w:szCs w:val="24"/>
          <w:shd w:val="clear" w:color="auto" w:fill="FFFFFF"/>
        </w:rPr>
        <w:t>Journal of Loss Prevention in the Process Industries</w:t>
      </w:r>
      <w:r w:rsidRPr="00D95A6F">
        <w:rPr>
          <w:rFonts w:ascii="Times New Roman" w:hAnsi="Times New Roman"/>
          <w:sz w:val="24"/>
          <w:szCs w:val="24"/>
          <w:shd w:val="clear" w:color="auto" w:fill="FFFFFF"/>
        </w:rPr>
        <w:t>, </w:t>
      </w:r>
      <w:r w:rsidRPr="00D95A6F">
        <w:rPr>
          <w:rFonts w:ascii="Times New Roman" w:hAnsi="Times New Roman"/>
          <w:i/>
          <w:iCs/>
          <w:sz w:val="24"/>
          <w:szCs w:val="24"/>
          <w:shd w:val="clear" w:color="auto" w:fill="FFFFFF"/>
        </w:rPr>
        <w:t>65</w:t>
      </w:r>
      <w:r w:rsidRPr="00D95A6F">
        <w:rPr>
          <w:rFonts w:ascii="Times New Roman" w:hAnsi="Times New Roman"/>
          <w:sz w:val="24"/>
          <w:szCs w:val="24"/>
          <w:shd w:val="clear" w:color="auto" w:fill="FFFFFF"/>
        </w:rPr>
        <w:t>, 104064.</w:t>
      </w:r>
    </w:p>
    <w:p w14:paraId="375B2E3D" w14:textId="77777777" w:rsidR="00CF165B" w:rsidRPr="00D95A6F" w:rsidRDefault="00CF165B" w:rsidP="00CF165B">
      <w:pPr>
        <w:spacing w:line="276" w:lineRule="auto"/>
        <w:ind w:left="360" w:hanging="720"/>
        <w:rPr>
          <w:rFonts w:ascii="Times New Roman" w:hAnsi="Times New Roman"/>
          <w:sz w:val="24"/>
          <w:szCs w:val="24"/>
        </w:rPr>
      </w:pPr>
      <w:bookmarkStart w:id="13" w:name="_Hlk221861679"/>
      <w:r w:rsidRPr="00D95A6F">
        <w:rPr>
          <w:rFonts w:ascii="Times New Roman" w:hAnsi="Times New Roman"/>
          <w:sz w:val="24"/>
          <w:szCs w:val="24"/>
          <w:shd w:val="clear" w:color="auto" w:fill="FFFFFF"/>
        </w:rPr>
        <w:t>Tiddens</w:t>
      </w:r>
      <w:bookmarkEnd w:id="13"/>
      <w:r w:rsidRPr="00D95A6F">
        <w:rPr>
          <w:rFonts w:ascii="Times New Roman" w:hAnsi="Times New Roman"/>
          <w:sz w:val="24"/>
          <w:szCs w:val="24"/>
          <w:shd w:val="clear" w:color="auto" w:fill="FFFFFF"/>
        </w:rPr>
        <w:t>, W., Braaksma, J., &amp; Tinga, T. (2023). Decision framework for predictive maintenance method selection. </w:t>
      </w:r>
      <w:r w:rsidRPr="00D95A6F">
        <w:rPr>
          <w:rFonts w:ascii="Times New Roman" w:hAnsi="Times New Roman"/>
          <w:i/>
          <w:iCs/>
          <w:sz w:val="24"/>
          <w:szCs w:val="24"/>
          <w:shd w:val="clear" w:color="auto" w:fill="FFFFFF"/>
        </w:rPr>
        <w:t>Applied Sciences</w:t>
      </w:r>
      <w:r w:rsidRPr="00D95A6F">
        <w:rPr>
          <w:rFonts w:ascii="Times New Roman" w:hAnsi="Times New Roman"/>
          <w:sz w:val="24"/>
          <w:szCs w:val="24"/>
          <w:shd w:val="clear" w:color="auto" w:fill="FFFFFF"/>
        </w:rPr>
        <w:t>, </w:t>
      </w:r>
      <w:r w:rsidRPr="00D95A6F">
        <w:rPr>
          <w:rFonts w:ascii="Times New Roman" w:hAnsi="Times New Roman"/>
          <w:i/>
          <w:iCs/>
          <w:sz w:val="24"/>
          <w:szCs w:val="24"/>
          <w:shd w:val="clear" w:color="auto" w:fill="FFFFFF"/>
        </w:rPr>
        <w:t>13</w:t>
      </w:r>
      <w:r w:rsidRPr="00D95A6F">
        <w:rPr>
          <w:rFonts w:ascii="Times New Roman" w:hAnsi="Times New Roman"/>
          <w:sz w:val="24"/>
          <w:szCs w:val="24"/>
          <w:shd w:val="clear" w:color="auto" w:fill="FFFFFF"/>
        </w:rPr>
        <w:t>(3), 2021.</w:t>
      </w:r>
    </w:p>
    <w:p w14:paraId="40099C2C" w14:textId="77777777" w:rsidR="00CF165B" w:rsidRPr="00D95A6F" w:rsidRDefault="00CF165B" w:rsidP="00CF165B">
      <w:pPr>
        <w:spacing w:line="276" w:lineRule="auto"/>
        <w:ind w:left="360" w:hanging="720"/>
        <w:rPr>
          <w:rFonts w:ascii="Times New Roman" w:hAnsi="Times New Roman"/>
          <w:sz w:val="24"/>
          <w:szCs w:val="24"/>
        </w:rPr>
      </w:pPr>
      <w:r w:rsidRPr="00D95A6F">
        <w:rPr>
          <w:rFonts w:ascii="Times New Roman" w:hAnsi="Times New Roman"/>
          <w:sz w:val="24"/>
          <w:szCs w:val="24"/>
          <w:shd w:val="clear" w:color="auto" w:fill="FFFFFF"/>
        </w:rPr>
        <w:t>Vesely, W. E. (2018). Utilizing Probabilistic Risk Analyses (Pras) In Decision Support Systems. In </w:t>
      </w:r>
      <w:r w:rsidRPr="00D95A6F">
        <w:rPr>
          <w:rFonts w:ascii="Times New Roman" w:hAnsi="Times New Roman"/>
          <w:i/>
          <w:iCs/>
          <w:sz w:val="24"/>
          <w:szCs w:val="24"/>
          <w:shd w:val="clear" w:color="auto" w:fill="FFFFFF"/>
        </w:rPr>
        <w:t>Engineering Risk and Hazard Assessment</w:t>
      </w:r>
      <w:r w:rsidRPr="00D95A6F">
        <w:rPr>
          <w:rFonts w:ascii="Times New Roman" w:hAnsi="Times New Roman"/>
          <w:sz w:val="24"/>
          <w:szCs w:val="24"/>
          <w:shd w:val="clear" w:color="auto" w:fill="FFFFFF"/>
        </w:rPr>
        <w:t> (pp. 101-116). CRC Press.</w:t>
      </w:r>
    </w:p>
    <w:p w14:paraId="4BB91ECC" w14:textId="77777777" w:rsidR="00CF165B" w:rsidRPr="00D95A6F" w:rsidRDefault="00CF165B" w:rsidP="00CF165B">
      <w:pPr>
        <w:spacing w:line="276" w:lineRule="auto"/>
        <w:ind w:left="360" w:hanging="720"/>
        <w:rPr>
          <w:rFonts w:ascii="Times New Roman" w:hAnsi="Times New Roman"/>
          <w:sz w:val="24"/>
          <w:szCs w:val="24"/>
        </w:rPr>
      </w:pPr>
      <w:bookmarkStart w:id="14" w:name="_Hlk221861787"/>
      <w:r w:rsidRPr="00D95A6F">
        <w:rPr>
          <w:rFonts w:ascii="Times New Roman" w:hAnsi="Times New Roman"/>
          <w:sz w:val="24"/>
          <w:szCs w:val="24"/>
          <w:shd w:val="clear" w:color="auto" w:fill="FFFFFF"/>
        </w:rPr>
        <w:t>Viana</w:t>
      </w:r>
      <w:bookmarkEnd w:id="14"/>
      <w:r w:rsidRPr="00D95A6F">
        <w:rPr>
          <w:rFonts w:ascii="Times New Roman" w:hAnsi="Times New Roman"/>
          <w:sz w:val="24"/>
          <w:szCs w:val="24"/>
          <w:shd w:val="clear" w:color="auto" w:fill="FFFFFF"/>
        </w:rPr>
        <w:t>, F. F. C. L., Casado, R. S. G. R., da Silva, L. B. L., Alencar, M. H., Ferreira, R. J. P., &amp; de Almeida, A. T. (2022). A hybrid multicriteria decision model for selecting a portfolio of risk-based maintenance actions in natural gas pipelines. </w:t>
      </w:r>
      <w:r w:rsidRPr="00D95A6F">
        <w:rPr>
          <w:rFonts w:ascii="Times New Roman" w:hAnsi="Times New Roman"/>
          <w:i/>
          <w:iCs/>
          <w:sz w:val="24"/>
          <w:szCs w:val="24"/>
          <w:shd w:val="clear" w:color="auto" w:fill="FFFFFF"/>
        </w:rPr>
        <w:t>Journal of Natural Gas Science and Engineering</w:t>
      </w:r>
      <w:r w:rsidRPr="00D95A6F">
        <w:rPr>
          <w:rFonts w:ascii="Times New Roman" w:hAnsi="Times New Roman"/>
          <w:sz w:val="24"/>
          <w:szCs w:val="24"/>
          <w:shd w:val="clear" w:color="auto" w:fill="FFFFFF"/>
        </w:rPr>
        <w:t>, </w:t>
      </w:r>
      <w:r w:rsidRPr="00D95A6F">
        <w:rPr>
          <w:rFonts w:ascii="Times New Roman" w:hAnsi="Times New Roman"/>
          <w:i/>
          <w:iCs/>
          <w:sz w:val="24"/>
          <w:szCs w:val="24"/>
          <w:shd w:val="clear" w:color="auto" w:fill="FFFFFF"/>
        </w:rPr>
        <w:t>103</w:t>
      </w:r>
      <w:r w:rsidRPr="00D95A6F">
        <w:rPr>
          <w:rFonts w:ascii="Times New Roman" w:hAnsi="Times New Roman"/>
          <w:sz w:val="24"/>
          <w:szCs w:val="24"/>
          <w:shd w:val="clear" w:color="auto" w:fill="FFFFFF"/>
        </w:rPr>
        <w:t>, 104655.</w:t>
      </w:r>
    </w:p>
    <w:p w14:paraId="17DF57A5" w14:textId="77777777" w:rsidR="00CF165B" w:rsidRPr="00D95A6F" w:rsidRDefault="00CF165B" w:rsidP="00CF165B">
      <w:pPr>
        <w:spacing w:line="276" w:lineRule="auto"/>
        <w:ind w:left="360" w:hanging="720"/>
        <w:rPr>
          <w:rFonts w:ascii="Times New Roman" w:hAnsi="Times New Roman"/>
          <w:sz w:val="24"/>
          <w:szCs w:val="24"/>
        </w:rPr>
      </w:pPr>
      <w:r w:rsidRPr="00D95A6F">
        <w:rPr>
          <w:rFonts w:ascii="Times New Roman" w:hAnsi="Times New Roman"/>
          <w:sz w:val="24"/>
          <w:szCs w:val="24"/>
          <w:shd w:val="clear" w:color="auto" w:fill="FFFFFF"/>
        </w:rPr>
        <w:t>Wang, H., Li, Y., Lin, C., Yang, S., Li, G., Sun, S., ... &amp; Shi, J. (2024). Research on condition assessment of nuclear power systems based on fault severity and fault harmfulness. </w:t>
      </w:r>
      <w:r w:rsidRPr="00D95A6F">
        <w:rPr>
          <w:rFonts w:ascii="Times New Roman" w:hAnsi="Times New Roman"/>
          <w:i/>
          <w:iCs/>
          <w:sz w:val="24"/>
          <w:szCs w:val="24"/>
          <w:shd w:val="clear" w:color="auto" w:fill="FFFFFF"/>
        </w:rPr>
        <w:t>Energy</w:t>
      </w:r>
      <w:r w:rsidRPr="00D95A6F">
        <w:rPr>
          <w:rFonts w:ascii="Times New Roman" w:hAnsi="Times New Roman"/>
          <w:sz w:val="24"/>
          <w:szCs w:val="24"/>
          <w:shd w:val="clear" w:color="auto" w:fill="FFFFFF"/>
        </w:rPr>
        <w:t>, </w:t>
      </w:r>
      <w:r w:rsidRPr="00D95A6F">
        <w:rPr>
          <w:rFonts w:ascii="Times New Roman" w:hAnsi="Times New Roman"/>
          <w:i/>
          <w:iCs/>
          <w:sz w:val="24"/>
          <w:szCs w:val="24"/>
          <w:shd w:val="clear" w:color="auto" w:fill="FFFFFF"/>
        </w:rPr>
        <w:t>311</w:t>
      </w:r>
      <w:r w:rsidRPr="00D95A6F">
        <w:rPr>
          <w:rFonts w:ascii="Times New Roman" w:hAnsi="Times New Roman"/>
          <w:sz w:val="24"/>
          <w:szCs w:val="24"/>
          <w:shd w:val="clear" w:color="auto" w:fill="FFFFFF"/>
        </w:rPr>
        <w:t>, 133396.</w:t>
      </w:r>
    </w:p>
    <w:p w14:paraId="6E321F1E" w14:textId="77777777" w:rsidR="00CF165B" w:rsidRPr="00D95A6F" w:rsidRDefault="00CF165B" w:rsidP="00CF165B">
      <w:pPr>
        <w:spacing w:line="276" w:lineRule="auto"/>
        <w:ind w:left="360" w:hanging="720"/>
        <w:rPr>
          <w:rFonts w:ascii="Times New Roman" w:hAnsi="Times New Roman"/>
          <w:sz w:val="24"/>
          <w:szCs w:val="24"/>
        </w:rPr>
      </w:pPr>
      <w:r w:rsidRPr="00D95A6F">
        <w:rPr>
          <w:rFonts w:ascii="Times New Roman" w:hAnsi="Times New Roman"/>
          <w:sz w:val="24"/>
          <w:szCs w:val="24"/>
          <w:shd w:val="clear" w:color="auto" w:fill="FFFFFF"/>
        </w:rPr>
        <w:t>Zhang, M., Xu, Z., Zhang, G., Wang, B., Zhang, B., &amp; Liu, Y. (2024). Review on the Application of Living PSA in Nuclear Power. </w:t>
      </w:r>
      <w:r w:rsidRPr="00D95A6F">
        <w:rPr>
          <w:rFonts w:ascii="Times New Roman" w:hAnsi="Times New Roman"/>
          <w:i/>
          <w:iCs/>
          <w:sz w:val="24"/>
          <w:szCs w:val="24"/>
          <w:shd w:val="clear" w:color="auto" w:fill="FFFFFF"/>
        </w:rPr>
        <w:t>Energies</w:t>
      </w:r>
      <w:r w:rsidRPr="00D95A6F">
        <w:rPr>
          <w:rFonts w:ascii="Times New Roman" w:hAnsi="Times New Roman"/>
          <w:sz w:val="24"/>
          <w:szCs w:val="24"/>
          <w:shd w:val="clear" w:color="auto" w:fill="FFFFFF"/>
        </w:rPr>
        <w:t>, </w:t>
      </w:r>
      <w:r w:rsidRPr="00D95A6F">
        <w:rPr>
          <w:rFonts w:ascii="Times New Roman" w:hAnsi="Times New Roman"/>
          <w:i/>
          <w:iCs/>
          <w:sz w:val="24"/>
          <w:szCs w:val="24"/>
          <w:shd w:val="clear" w:color="auto" w:fill="FFFFFF"/>
        </w:rPr>
        <w:t>17</w:t>
      </w:r>
      <w:r w:rsidRPr="00D95A6F">
        <w:rPr>
          <w:rFonts w:ascii="Times New Roman" w:hAnsi="Times New Roman"/>
          <w:sz w:val="24"/>
          <w:szCs w:val="24"/>
          <w:shd w:val="clear" w:color="auto" w:fill="FFFFFF"/>
        </w:rPr>
        <w:t>(22), 5578.</w:t>
      </w:r>
    </w:p>
    <w:p w14:paraId="44345525" w14:textId="3DAC5172" w:rsidR="00B01FCD" w:rsidRPr="00F71383" w:rsidRDefault="00CF165B" w:rsidP="00F71383">
      <w:pPr>
        <w:spacing w:line="276" w:lineRule="auto"/>
        <w:ind w:left="360" w:hanging="720"/>
        <w:rPr>
          <w:rFonts w:ascii="Times New Roman" w:hAnsi="Times New Roman"/>
          <w:sz w:val="24"/>
          <w:szCs w:val="24"/>
        </w:rPr>
      </w:pPr>
      <w:bookmarkStart w:id="15" w:name="_Hlk221866083"/>
      <w:r w:rsidRPr="00D95A6F">
        <w:rPr>
          <w:rFonts w:ascii="Times New Roman" w:hAnsi="Times New Roman"/>
          <w:sz w:val="24"/>
          <w:szCs w:val="24"/>
          <w:shd w:val="clear" w:color="auto" w:fill="FFFFFF"/>
        </w:rPr>
        <w:t>Zhen</w:t>
      </w:r>
      <w:bookmarkEnd w:id="15"/>
      <w:r w:rsidRPr="00D95A6F">
        <w:rPr>
          <w:rFonts w:ascii="Times New Roman" w:hAnsi="Times New Roman"/>
          <w:sz w:val="24"/>
          <w:szCs w:val="24"/>
          <w:shd w:val="clear" w:color="auto" w:fill="FFFFFF"/>
        </w:rPr>
        <w:t>, M., Chen, Z., Chen, Z., &amp; Pan, E. (2025). Battery Reconfiguration in BESS: A Benefit-Oriented Predictive Maintenance Optimization Framework Integrating Safety and Performance. </w:t>
      </w:r>
      <w:r w:rsidRPr="00D95A6F">
        <w:rPr>
          <w:rFonts w:ascii="Times New Roman" w:hAnsi="Times New Roman"/>
          <w:i/>
          <w:iCs/>
          <w:sz w:val="24"/>
          <w:szCs w:val="24"/>
          <w:shd w:val="clear" w:color="auto" w:fill="FFFFFF"/>
        </w:rPr>
        <w:t>IEEE Transactions on Automation Science and Engineering</w:t>
      </w:r>
      <w:r w:rsidRPr="00D95A6F">
        <w:rPr>
          <w:rFonts w:ascii="Times New Roman" w:hAnsi="Times New Roman"/>
          <w:sz w:val="24"/>
          <w:szCs w:val="24"/>
          <w:shd w:val="clear" w:color="auto" w:fill="FFFFFF"/>
        </w:rPr>
        <w:t>, </w:t>
      </w:r>
      <w:r w:rsidRPr="00D95A6F">
        <w:rPr>
          <w:rFonts w:ascii="Times New Roman" w:hAnsi="Times New Roman"/>
          <w:i/>
          <w:iCs/>
          <w:sz w:val="24"/>
          <w:szCs w:val="24"/>
          <w:shd w:val="clear" w:color="auto" w:fill="FFFFFF"/>
        </w:rPr>
        <w:t>23</w:t>
      </w:r>
      <w:r w:rsidRPr="00D95A6F">
        <w:rPr>
          <w:rFonts w:ascii="Times New Roman" w:hAnsi="Times New Roman"/>
          <w:sz w:val="24"/>
          <w:szCs w:val="24"/>
          <w:shd w:val="clear" w:color="auto" w:fill="FFFFFF"/>
        </w:rPr>
        <w:t>, 538-550.</w:t>
      </w:r>
    </w:p>
    <w:sectPr w:rsidR="00B01FCD" w:rsidRPr="00F71383" w:rsidSect="00052660">
      <w:headerReference w:type="even" r:id="rId15"/>
      <w:headerReference w:type="default" r:id="rId16"/>
      <w:footerReference w:type="default" r:id="rId17"/>
      <w:headerReference w:type="first" r:id="rId1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3EC775" w14:textId="77777777" w:rsidR="00974315" w:rsidRDefault="00974315" w:rsidP="00C37E61">
      <w:r>
        <w:separator/>
      </w:r>
    </w:p>
  </w:endnote>
  <w:endnote w:type="continuationSeparator" w:id="0">
    <w:p w14:paraId="15F54051" w14:textId="77777777" w:rsidR="00974315" w:rsidRDefault="0097431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415FE" w14:textId="77777777" w:rsidR="00C465FF" w:rsidRDefault="00C465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D96B6" w14:textId="10FBB68A" w:rsidR="00C37E61" w:rsidRPr="008169CE" w:rsidRDefault="00C37E61" w:rsidP="008169CE">
    <w:pPr>
      <w:pStyle w:val="Footer"/>
    </w:pPr>
    <w:r w:rsidRPr="008169CE">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11B64" w14:textId="77777777" w:rsidR="009E048A" w:rsidRDefault="009E048A">
    <w:pPr>
      <w:pStyle w:val="Footer"/>
      <w:rPr>
        <w:rFonts w:ascii="Arial" w:hAnsi="Arial" w:cs="Arial"/>
        <w:sz w:val="16"/>
      </w:rPr>
    </w:pPr>
  </w:p>
  <w:p w14:paraId="08547478"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B04C85C" w14:textId="77777777" w:rsidR="009E048A" w:rsidRDefault="009E048A">
    <w:pPr>
      <w:pStyle w:val="Footer"/>
      <w:rPr>
        <w:rFonts w:ascii="Arial" w:hAnsi="Arial" w:cs="Arial"/>
        <w:sz w:val="16"/>
      </w:rPr>
    </w:pPr>
  </w:p>
  <w:p w14:paraId="71872934"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2C0CB"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C25C38" w14:textId="77777777" w:rsidR="00974315" w:rsidRDefault="00974315" w:rsidP="00C37E61">
      <w:r>
        <w:separator/>
      </w:r>
    </w:p>
  </w:footnote>
  <w:footnote w:type="continuationSeparator" w:id="0">
    <w:p w14:paraId="6BAE0871" w14:textId="77777777" w:rsidR="00974315" w:rsidRDefault="0097431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BCE9D" w14:textId="220C1D22" w:rsidR="00C465FF" w:rsidRDefault="00000000">
    <w:pPr>
      <w:pStyle w:val="Header"/>
    </w:pPr>
    <w:r>
      <w:rPr>
        <w:noProof/>
      </w:rPr>
      <w:pict w14:anchorId="277A83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224266"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38EF5" w14:textId="6BB90096" w:rsidR="00C465FF" w:rsidRDefault="00000000">
    <w:pPr>
      <w:pStyle w:val="Header"/>
    </w:pPr>
    <w:r>
      <w:rPr>
        <w:noProof/>
      </w:rPr>
      <w:pict w14:anchorId="595D4F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224267"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C1C98" w14:textId="323D2E60" w:rsidR="00296529" w:rsidRPr="00296529" w:rsidRDefault="00000000" w:rsidP="00296529">
    <w:pPr>
      <w:ind w:left="2160"/>
      <w:jc w:val="center"/>
      <w:rPr>
        <w:rFonts w:ascii="Times New Roman" w:eastAsia="Calibri" w:hAnsi="Times New Roman"/>
        <w:i/>
        <w:sz w:val="18"/>
        <w:szCs w:val="22"/>
      </w:rPr>
    </w:pPr>
    <w:r>
      <w:rPr>
        <w:noProof/>
      </w:rPr>
      <w:pict w14:anchorId="66B469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224265"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6D1DF7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C77AA4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5CD61C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32C06D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B0F959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FEA84C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C5906" w14:textId="162012D8" w:rsidR="00C465FF" w:rsidRDefault="00000000">
    <w:pPr>
      <w:pStyle w:val="Header"/>
    </w:pPr>
    <w:r>
      <w:rPr>
        <w:noProof/>
      </w:rPr>
      <w:pict w14:anchorId="2E372F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224269" o:spid="_x0000_s1029"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BFAF2" w14:textId="21625AED" w:rsidR="00C465FF" w:rsidRDefault="00000000">
    <w:pPr>
      <w:pStyle w:val="Header"/>
    </w:pPr>
    <w:r>
      <w:rPr>
        <w:noProof/>
      </w:rPr>
      <w:pict w14:anchorId="5ADB12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224270" o:spid="_x0000_s1030"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F660A" w14:textId="21B45869" w:rsidR="00C465FF" w:rsidRDefault="00000000">
    <w:pPr>
      <w:pStyle w:val="Header"/>
    </w:pPr>
    <w:r>
      <w:rPr>
        <w:noProof/>
      </w:rPr>
      <w:pict w14:anchorId="0C833C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224268" o:spid="_x0000_s1028"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46878580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636568308">
    <w:abstractNumId w:val="15"/>
  </w:num>
  <w:num w:numId="3" w16cid:durableId="636033988">
    <w:abstractNumId w:val="23"/>
  </w:num>
  <w:num w:numId="4" w16cid:durableId="2107921958">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29495841">
    <w:abstractNumId w:val="7"/>
  </w:num>
  <w:num w:numId="6" w16cid:durableId="38164170">
    <w:abstractNumId w:val="6"/>
  </w:num>
  <w:num w:numId="7" w16cid:durableId="1704595540">
    <w:abstractNumId w:val="1"/>
  </w:num>
  <w:num w:numId="8" w16cid:durableId="973372036">
    <w:abstractNumId w:val="12"/>
  </w:num>
  <w:num w:numId="9" w16cid:durableId="1897468572">
    <w:abstractNumId w:val="25"/>
  </w:num>
  <w:num w:numId="10" w16cid:durableId="1033771817">
    <w:abstractNumId w:val="2"/>
  </w:num>
  <w:num w:numId="11" w16cid:durableId="1258367412">
    <w:abstractNumId w:val="18"/>
  </w:num>
  <w:num w:numId="12" w16cid:durableId="171454381">
    <w:abstractNumId w:val="3"/>
  </w:num>
  <w:num w:numId="13" w16cid:durableId="2086874150">
    <w:abstractNumId w:val="17"/>
  </w:num>
  <w:num w:numId="14" w16cid:durableId="1322467751">
    <w:abstractNumId w:val="8"/>
  </w:num>
  <w:num w:numId="15" w16cid:durableId="555967140">
    <w:abstractNumId w:val="21"/>
  </w:num>
  <w:num w:numId="16" w16cid:durableId="1166825826">
    <w:abstractNumId w:val="5"/>
  </w:num>
  <w:num w:numId="17" w16cid:durableId="1362439413">
    <w:abstractNumId w:val="22"/>
  </w:num>
  <w:num w:numId="18" w16cid:durableId="1427461549">
    <w:abstractNumId w:val="14"/>
  </w:num>
  <w:num w:numId="19" w16cid:durableId="1148089901">
    <w:abstractNumId w:val="28"/>
  </w:num>
  <w:num w:numId="20" w16cid:durableId="1473447669">
    <w:abstractNumId w:val="11"/>
  </w:num>
  <w:num w:numId="21" w16cid:durableId="1761099795">
    <w:abstractNumId w:val="9"/>
  </w:num>
  <w:num w:numId="22" w16cid:durableId="567302627">
    <w:abstractNumId w:val="13"/>
  </w:num>
  <w:num w:numId="23" w16cid:durableId="220018009">
    <w:abstractNumId w:val="19"/>
  </w:num>
  <w:num w:numId="24" w16cid:durableId="1742478945">
    <w:abstractNumId w:val="26"/>
  </w:num>
  <w:num w:numId="25" w16cid:durableId="1164904621">
    <w:abstractNumId w:val="4"/>
  </w:num>
  <w:num w:numId="26" w16cid:durableId="1587569876">
    <w:abstractNumId w:val="16"/>
  </w:num>
  <w:num w:numId="27" w16cid:durableId="124276190">
    <w:abstractNumId w:val="20"/>
  </w:num>
  <w:num w:numId="28" w16cid:durableId="461971128">
    <w:abstractNumId w:val="27"/>
  </w:num>
  <w:num w:numId="29" w16cid:durableId="1076125948">
    <w:abstractNumId w:val="24"/>
  </w:num>
  <w:num w:numId="30" w16cid:durableId="108253026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jAwNzY3sjC0MDQ3MbdU0lEKTi0uzszPAykwrgUAtkietSwAAAA="/>
  </w:docVars>
  <w:rsids>
    <w:rsidRoot w:val="00AA6219"/>
    <w:rsid w:val="00000F8F"/>
    <w:rsid w:val="00030174"/>
    <w:rsid w:val="0004579C"/>
    <w:rsid w:val="00052660"/>
    <w:rsid w:val="00082CFD"/>
    <w:rsid w:val="00090236"/>
    <w:rsid w:val="000A47FA"/>
    <w:rsid w:val="000A65D3"/>
    <w:rsid w:val="000B1E33"/>
    <w:rsid w:val="000C5DFD"/>
    <w:rsid w:val="000D4A3C"/>
    <w:rsid w:val="000D689F"/>
    <w:rsid w:val="000E7B7B"/>
    <w:rsid w:val="000E7D62"/>
    <w:rsid w:val="00103357"/>
    <w:rsid w:val="00123C9F"/>
    <w:rsid w:val="00126190"/>
    <w:rsid w:val="00126DC3"/>
    <w:rsid w:val="00130F17"/>
    <w:rsid w:val="001320BF"/>
    <w:rsid w:val="00143483"/>
    <w:rsid w:val="00163BC4"/>
    <w:rsid w:val="00191062"/>
    <w:rsid w:val="00192B72"/>
    <w:rsid w:val="00194125"/>
    <w:rsid w:val="001A29D8"/>
    <w:rsid w:val="001A5CAA"/>
    <w:rsid w:val="001B0427"/>
    <w:rsid w:val="001D3A51"/>
    <w:rsid w:val="001E10D2"/>
    <w:rsid w:val="001E25B4"/>
    <w:rsid w:val="001E44FE"/>
    <w:rsid w:val="00200595"/>
    <w:rsid w:val="00204835"/>
    <w:rsid w:val="00230CDE"/>
    <w:rsid w:val="00231920"/>
    <w:rsid w:val="0023195C"/>
    <w:rsid w:val="0024282C"/>
    <w:rsid w:val="002460DC"/>
    <w:rsid w:val="00250985"/>
    <w:rsid w:val="002556F6"/>
    <w:rsid w:val="002726A9"/>
    <w:rsid w:val="00283105"/>
    <w:rsid w:val="00284C4C"/>
    <w:rsid w:val="00287E68"/>
    <w:rsid w:val="00296529"/>
    <w:rsid w:val="002B27FB"/>
    <w:rsid w:val="002B685A"/>
    <w:rsid w:val="002C57D2"/>
    <w:rsid w:val="002E0D56"/>
    <w:rsid w:val="00315186"/>
    <w:rsid w:val="0033343E"/>
    <w:rsid w:val="003512C2"/>
    <w:rsid w:val="00361175"/>
    <w:rsid w:val="00371FB6"/>
    <w:rsid w:val="003763C1"/>
    <w:rsid w:val="00376BBE"/>
    <w:rsid w:val="0039224F"/>
    <w:rsid w:val="003A43A4"/>
    <w:rsid w:val="003A7E18"/>
    <w:rsid w:val="003B2D69"/>
    <w:rsid w:val="003C2402"/>
    <w:rsid w:val="003C4C86"/>
    <w:rsid w:val="003C6258"/>
    <w:rsid w:val="003E2904"/>
    <w:rsid w:val="003F701D"/>
    <w:rsid w:val="00401927"/>
    <w:rsid w:val="0041027F"/>
    <w:rsid w:val="00412475"/>
    <w:rsid w:val="00423789"/>
    <w:rsid w:val="00440F43"/>
    <w:rsid w:val="00441B6F"/>
    <w:rsid w:val="00446221"/>
    <w:rsid w:val="00450E62"/>
    <w:rsid w:val="004539DB"/>
    <w:rsid w:val="0046176E"/>
    <w:rsid w:val="00471A80"/>
    <w:rsid w:val="004900B2"/>
    <w:rsid w:val="004D305E"/>
    <w:rsid w:val="004D4277"/>
    <w:rsid w:val="004E1576"/>
    <w:rsid w:val="00502516"/>
    <w:rsid w:val="00505F06"/>
    <w:rsid w:val="00506828"/>
    <w:rsid w:val="005254F5"/>
    <w:rsid w:val="0053056E"/>
    <w:rsid w:val="00554FDA"/>
    <w:rsid w:val="00566261"/>
    <w:rsid w:val="005C784C"/>
    <w:rsid w:val="005D17F6"/>
    <w:rsid w:val="005E5539"/>
    <w:rsid w:val="00602BF5"/>
    <w:rsid w:val="00617FDD"/>
    <w:rsid w:val="00622BA5"/>
    <w:rsid w:val="00633614"/>
    <w:rsid w:val="00633F68"/>
    <w:rsid w:val="0063478E"/>
    <w:rsid w:val="00636EB2"/>
    <w:rsid w:val="006375B8"/>
    <w:rsid w:val="00644E3A"/>
    <w:rsid w:val="0066510A"/>
    <w:rsid w:val="00673F9F"/>
    <w:rsid w:val="0067464D"/>
    <w:rsid w:val="00686953"/>
    <w:rsid w:val="00687DEA"/>
    <w:rsid w:val="00687E67"/>
    <w:rsid w:val="00693CF1"/>
    <w:rsid w:val="006967F7"/>
    <w:rsid w:val="006A250C"/>
    <w:rsid w:val="006A5832"/>
    <w:rsid w:val="006B21D3"/>
    <w:rsid w:val="006B57D0"/>
    <w:rsid w:val="006D30FF"/>
    <w:rsid w:val="006D6940"/>
    <w:rsid w:val="006F11EC"/>
    <w:rsid w:val="006F6096"/>
    <w:rsid w:val="0070082C"/>
    <w:rsid w:val="007369E6"/>
    <w:rsid w:val="00746E59"/>
    <w:rsid w:val="00754C9A"/>
    <w:rsid w:val="0075599A"/>
    <w:rsid w:val="00761D52"/>
    <w:rsid w:val="0077749E"/>
    <w:rsid w:val="00790ADA"/>
    <w:rsid w:val="007D2288"/>
    <w:rsid w:val="007D66DF"/>
    <w:rsid w:val="007E088F"/>
    <w:rsid w:val="007F7B32"/>
    <w:rsid w:val="00804BC2"/>
    <w:rsid w:val="0081431A"/>
    <w:rsid w:val="008169CE"/>
    <w:rsid w:val="0083216F"/>
    <w:rsid w:val="008468FB"/>
    <w:rsid w:val="00860000"/>
    <w:rsid w:val="00863BD3"/>
    <w:rsid w:val="008641ED"/>
    <w:rsid w:val="00866D66"/>
    <w:rsid w:val="008671C6"/>
    <w:rsid w:val="00875803"/>
    <w:rsid w:val="008B459E"/>
    <w:rsid w:val="008C6ABD"/>
    <w:rsid w:val="008D34CC"/>
    <w:rsid w:val="008E13AE"/>
    <w:rsid w:val="008E1506"/>
    <w:rsid w:val="008E710C"/>
    <w:rsid w:val="008F69D6"/>
    <w:rsid w:val="00902823"/>
    <w:rsid w:val="00915CA6"/>
    <w:rsid w:val="00927834"/>
    <w:rsid w:val="009500A6"/>
    <w:rsid w:val="00957C18"/>
    <w:rsid w:val="00964BDF"/>
    <w:rsid w:val="009659BA"/>
    <w:rsid w:val="00972D5A"/>
    <w:rsid w:val="00974315"/>
    <w:rsid w:val="00983040"/>
    <w:rsid w:val="009A5F1B"/>
    <w:rsid w:val="009B3FB9"/>
    <w:rsid w:val="009C2465"/>
    <w:rsid w:val="009C2725"/>
    <w:rsid w:val="009D35A0"/>
    <w:rsid w:val="009D7EB7"/>
    <w:rsid w:val="009E048A"/>
    <w:rsid w:val="009E08E9"/>
    <w:rsid w:val="009E3DB9"/>
    <w:rsid w:val="009E4AF0"/>
    <w:rsid w:val="009E5B43"/>
    <w:rsid w:val="009E6E35"/>
    <w:rsid w:val="009F0EDA"/>
    <w:rsid w:val="00A03B96"/>
    <w:rsid w:val="00A043EA"/>
    <w:rsid w:val="00A05B19"/>
    <w:rsid w:val="00A1134E"/>
    <w:rsid w:val="00A24E7E"/>
    <w:rsid w:val="00A258C3"/>
    <w:rsid w:val="00A301D3"/>
    <w:rsid w:val="00A32071"/>
    <w:rsid w:val="00A347C0"/>
    <w:rsid w:val="00A51431"/>
    <w:rsid w:val="00A539AD"/>
    <w:rsid w:val="00A94063"/>
    <w:rsid w:val="00AA2A8C"/>
    <w:rsid w:val="00AA6219"/>
    <w:rsid w:val="00AA74E0"/>
    <w:rsid w:val="00AB0700"/>
    <w:rsid w:val="00AB703F"/>
    <w:rsid w:val="00AC6BB8"/>
    <w:rsid w:val="00AE008F"/>
    <w:rsid w:val="00B01FCD"/>
    <w:rsid w:val="00B1776C"/>
    <w:rsid w:val="00B45DC2"/>
    <w:rsid w:val="00B52583"/>
    <w:rsid w:val="00B52896"/>
    <w:rsid w:val="00B95236"/>
    <w:rsid w:val="00B96BD9"/>
    <w:rsid w:val="00BA1B01"/>
    <w:rsid w:val="00BA2641"/>
    <w:rsid w:val="00BB37AA"/>
    <w:rsid w:val="00BB56E5"/>
    <w:rsid w:val="00BC2E15"/>
    <w:rsid w:val="00BC53A0"/>
    <w:rsid w:val="00BE62AD"/>
    <w:rsid w:val="00BF121F"/>
    <w:rsid w:val="00BF1F80"/>
    <w:rsid w:val="00C166EF"/>
    <w:rsid w:val="00C17EB0"/>
    <w:rsid w:val="00C27F5F"/>
    <w:rsid w:val="00C30A0F"/>
    <w:rsid w:val="00C32D7C"/>
    <w:rsid w:val="00C37E61"/>
    <w:rsid w:val="00C4501D"/>
    <w:rsid w:val="00C465FF"/>
    <w:rsid w:val="00C70F1B"/>
    <w:rsid w:val="00C71A47"/>
    <w:rsid w:val="00C7464C"/>
    <w:rsid w:val="00C85588"/>
    <w:rsid w:val="00CB4EDD"/>
    <w:rsid w:val="00CD6755"/>
    <w:rsid w:val="00CD6856"/>
    <w:rsid w:val="00CE0089"/>
    <w:rsid w:val="00CE01C0"/>
    <w:rsid w:val="00CE793C"/>
    <w:rsid w:val="00CF165B"/>
    <w:rsid w:val="00CF193C"/>
    <w:rsid w:val="00D173F1"/>
    <w:rsid w:val="00D73AD3"/>
    <w:rsid w:val="00D74CB0"/>
    <w:rsid w:val="00D8295D"/>
    <w:rsid w:val="00DA0D48"/>
    <w:rsid w:val="00DA38C7"/>
    <w:rsid w:val="00DC2A65"/>
    <w:rsid w:val="00DE15F0"/>
    <w:rsid w:val="00DE5663"/>
    <w:rsid w:val="00DE78AA"/>
    <w:rsid w:val="00DF1756"/>
    <w:rsid w:val="00E053D0"/>
    <w:rsid w:val="00E15994"/>
    <w:rsid w:val="00E3114E"/>
    <w:rsid w:val="00E31A70"/>
    <w:rsid w:val="00E35B02"/>
    <w:rsid w:val="00E471BE"/>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534FF"/>
    <w:rsid w:val="00F71383"/>
    <w:rsid w:val="00F755E4"/>
    <w:rsid w:val="00F77D02"/>
    <w:rsid w:val="00FB3A86"/>
    <w:rsid w:val="00FC7589"/>
    <w:rsid w:val="00FD36C8"/>
    <w:rsid w:val="00FE18A5"/>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3EB891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CF165B"/>
    <w:pPr>
      <w:spacing w:before="100" w:beforeAutospacing="1" w:after="100" w:afterAutospacing="1"/>
    </w:pPr>
    <w:rPr>
      <w:rFonts w:ascii="Times New Roman" w:hAnsi="Times New Roman"/>
      <w:sz w:val="24"/>
      <w:szCs w:val="24"/>
      <w:lang w:val="en-GB" w:eastAsia="en-GB"/>
    </w:rPr>
  </w:style>
  <w:style w:type="paragraph" w:styleId="NoSpacing">
    <w:name w:val="No Spacing"/>
    <w:uiPriority w:val="1"/>
    <w:qFormat/>
    <w:rsid w:val="000D4A3C"/>
    <w:rPr>
      <w:rFonts w:asciiTheme="minorHAnsi" w:eastAsiaTheme="minorHAnsi" w:hAnsiTheme="minorHAnsi" w:cstheme="minorBid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C233B-B360-49DC-BBB9-4973CE9E5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907</TotalTime>
  <Pages>17</Pages>
  <Words>7642</Words>
  <Characters>43565</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51105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Bernard Kwakye Antwi</cp:lastModifiedBy>
  <cp:revision>25</cp:revision>
  <cp:lastPrinted>1999-07-06T11:00:00Z</cp:lastPrinted>
  <dcterms:created xsi:type="dcterms:W3CDTF">2026-03-30T14:15:00Z</dcterms:created>
  <dcterms:modified xsi:type="dcterms:W3CDTF">2026-04-09T13:36:00Z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f8027861-88af-4997-a8e6-9323b43755f7</vt:lpwstr>
  </property>
</Properties>
</file>