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789F4" w14:textId="77777777" w:rsidR="00A82E6A" w:rsidRDefault="005E547F">
      <w:pPr>
        <w:pStyle w:val="Author"/>
        <w:rPr>
          <w:rFonts w:ascii="Arial" w:eastAsia="Calibri" w:hAnsi="Arial" w:cs="Arial"/>
          <w:kern w:val="2"/>
        </w:rPr>
      </w:pPr>
      <w:r>
        <w:rPr>
          <w:rFonts w:ascii="Arial" w:eastAsia="Calibri" w:hAnsi="Arial" w:cs="Arial"/>
          <w:kern w:val="2"/>
        </w:rPr>
        <w:t>ENHANCING READING COMPREHENSION THROUGH THINK-PAIR-SHARE IN THE GRADE 5 PUPILS OF CATIGBIAN</w:t>
      </w:r>
    </w:p>
    <w:p w14:paraId="09F440A4" w14:textId="77777777" w:rsidR="00A82E6A" w:rsidRDefault="005E547F">
      <w:pPr>
        <w:pStyle w:val="Author"/>
        <w:spacing w:line="240" w:lineRule="auto"/>
        <w:rPr>
          <w:rFonts w:ascii="Arial" w:hAnsi="Arial" w:cs="Arial"/>
          <w:bCs/>
          <w:iCs/>
          <w:kern w:val="2"/>
        </w:rPr>
      </w:pPr>
      <w:r>
        <w:rPr>
          <w:rFonts w:ascii="Arial" w:eastAsia="Calibri" w:hAnsi="Arial" w:cs="Arial"/>
          <w:kern w:val="2"/>
        </w:rPr>
        <w:t>ELEMENTARY SCHOOL</w:t>
      </w:r>
    </w:p>
    <w:p w14:paraId="7A6095BD" w14:textId="77777777" w:rsidR="00A82E6A" w:rsidRDefault="00A82E6A">
      <w:pPr>
        <w:pStyle w:val="Author"/>
        <w:spacing w:line="240" w:lineRule="auto"/>
        <w:jc w:val="both"/>
        <w:rPr>
          <w:rFonts w:ascii="Arial" w:hAnsi="Arial" w:cs="Arial"/>
          <w:sz w:val="36"/>
        </w:rPr>
      </w:pPr>
    </w:p>
    <w:p w14:paraId="665D5C68" w14:textId="77777777" w:rsidR="00A82E6A" w:rsidRDefault="00A82E6A">
      <w:pPr>
        <w:pStyle w:val="Affiliation"/>
        <w:spacing w:after="0" w:line="240" w:lineRule="auto"/>
        <w:jc w:val="both"/>
        <w:rPr>
          <w:rFonts w:ascii="Arial" w:hAnsi="Arial" w:cs="Arial"/>
        </w:rPr>
      </w:pPr>
    </w:p>
    <w:p w14:paraId="26AEFF70" w14:textId="77777777" w:rsidR="00A82E6A" w:rsidRDefault="005E547F">
      <w:pPr>
        <w:pStyle w:val="Copyright"/>
        <w:spacing w:after="0" w:line="240" w:lineRule="auto"/>
        <w:jc w:val="both"/>
        <w:rPr>
          <w:rFonts w:ascii="Arial" w:hAnsi="Arial" w:cs="Arial"/>
        </w:rPr>
      </w:pPr>
      <w:r>
        <w:rPr>
          <w:noProof/>
        </w:rPr>
        <mc:AlternateContent>
          <mc:Choice Requires="wps">
            <w:drawing>
              <wp:inline distT="0" distB="0" distL="0" distR="0" wp14:anchorId="36612C94" wp14:editId="06205F96">
                <wp:extent cx="5303520" cy="635"/>
                <wp:effectExtent l="114300" t="0" r="114300" b="0"/>
                <wp:docPr id="1" name="Shape1"/>
                <wp:cNvGraphicFramePr/>
                <a:graphic xmlns:a="http://schemas.openxmlformats.org/drawingml/2006/main">
                  <a:graphicData uri="http://schemas.microsoft.com/office/word/2010/wordprocessingShape">
                    <wps:wsp>
                      <wps:cNvCnPr/>
                      <wps:spPr>
                        <a:xfrm>
                          <a:off x="0" y="0"/>
                          <a:ext cx="5303520" cy="720"/>
                        </a:xfrm>
                        <a:prstGeom prst="straightConnector1">
                          <a:avLst/>
                        </a:prstGeom>
                        <a:noFill/>
                        <a:ln w="19080">
                          <a:solidFill>
                            <a:srgbClr val="000000"/>
                          </a:solidFill>
                          <a:round/>
                        </a:ln>
                      </wps:spPr>
                      <wps:style>
                        <a:lnRef idx="0">
                          <a:scrgbClr r="0" g="0" b="0"/>
                        </a:lnRef>
                        <a:fillRef idx="0">
                          <a:scrgbClr r="0" g="0" b="0"/>
                        </a:fillRef>
                        <a:effectRef idx="0">
                          <a:scrgbClr r="0" g="0" b="0"/>
                        </a:effectRef>
                        <a:fontRef idx="minor"/>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906944" id="_x0000_t32" coordsize="21600,21600" o:spt="32" o:oned="t" path="m,l21600,21600e" filled="f">
                <v:path arrowok="t" fillok="f" o:connecttype="none"/>
                <o:lock v:ext="edit" shapetype="t"/>
              </v:shapetype>
              <v:shape id="Shape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" strokeweight=".53mm">
                <w10:anchorlock/>
              </v:shape>
            </w:pict>
          </mc:Fallback>
        </mc:AlternateContent>
      </w:r>
      <w:r>
        <w:rPr>
          <w:rFonts w:ascii="Arial" w:hAnsi="Arial" w:cs="Arial"/>
        </w:rPr>
        <w:t>.</w:t>
      </w:r>
    </w:p>
    <w:p w14:paraId="228A369E" w14:textId="77777777" w:rsidR="00A82E6A" w:rsidRDefault="00A82E6A">
      <w:pPr>
        <w:sectPr w:rsidR="00A82E6A">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formProt w:val="0"/>
          <w:docGrid w:linePitch="272" w:charSpace="32768"/>
        </w:sectPr>
      </w:pPr>
    </w:p>
    <w:p w14:paraId="2B5E1774" w14:textId="77777777" w:rsidR="00A82E6A" w:rsidRDefault="005E547F">
      <w:pPr>
        <w:pStyle w:val="AbstHead"/>
        <w:spacing w:after="0"/>
        <w:jc w:val="both"/>
        <w:rPr>
          <w:rFonts w:ascii="Arial" w:hAnsi="Arial" w:cs="Arial"/>
        </w:rPr>
      </w:pPr>
      <w:r>
        <w:rPr>
          <w:rFonts w:ascii="Arial" w:hAnsi="Arial" w:cs="Arial"/>
        </w:rPr>
        <w:t xml:space="preserve">ABSTRACT </w:t>
      </w:r>
    </w:p>
    <w:tbl>
      <w:tblPr>
        <w:tblW w:w="9349" w:type="dxa"/>
        <w:tblLayout w:type="fixed"/>
        <w:tblLook w:val="04A0" w:firstRow="1" w:lastRow="0" w:firstColumn="1" w:lastColumn="0" w:noHBand="0" w:noVBand="1"/>
      </w:tblPr>
      <w:tblGrid>
        <w:gridCol w:w="9349"/>
      </w:tblGrid>
      <w:tr w:rsidR="00A82E6A" w14:paraId="640D1EC8" w14:textId="77777777">
        <w:tc>
          <w:tcPr>
            <w:tcW w:w="9349" w:type="dxa"/>
            <w:tcBorders>
              <w:top w:val="single" w:sz="4" w:space="0" w:color="000000"/>
              <w:left w:val="single" w:sz="4" w:space="0" w:color="000000"/>
              <w:bottom w:val="single" w:sz="4" w:space="0" w:color="000000"/>
              <w:right w:val="single" w:sz="4" w:space="0" w:color="000000"/>
            </w:tcBorders>
            <w:shd w:val="clear" w:color="auto" w:fill="F2F2F2"/>
          </w:tcPr>
          <w:p w14:paraId="53B67EA1" w14:textId="77777777" w:rsidR="00A82E6A" w:rsidRDefault="005E547F">
            <w:pPr>
              <w:pStyle w:val="BodyText"/>
              <w:suppressAutoHyphens w:val="0"/>
              <w:spacing w:beforeAutospacing="1" w:after="0"/>
              <w:jc w:val="both"/>
              <w:rPr>
                <w:color w:val="000000"/>
              </w:rPr>
            </w:pPr>
            <w:r>
              <w:rPr>
                <w:rFonts w:ascii="Arial" w:hAnsi="Arial" w:cs="Arial"/>
                <w:color w:val="000000"/>
                <w:szCs w:val="24"/>
                <w:lang w:val="en-PH" w:eastAsia="ko-KR"/>
              </w:rPr>
              <w:t xml:space="preserve">Reading comprehension is a vital skill for academic success, yet many elementary pupils continue to face challenges in understanding texts due to limited vocabulary, lack of exposure to diverse materials, and minimal opportunities for structured discussions. This study investigated the effectiveness of the Think-Pair-Share (TPS) strategy in enhancing the reading comprehension of Grade 5 pupils at </w:t>
            </w:r>
            <w:proofErr w:type="spellStart"/>
            <w:r>
              <w:rPr>
                <w:rFonts w:ascii="Arial" w:hAnsi="Arial" w:cs="Arial"/>
                <w:color w:val="000000"/>
                <w:szCs w:val="24"/>
                <w:lang w:val="en-PH" w:eastAsia="ko-KR"/>
              </w:rPr>
              <w:t>Catigbian</w:t>
            </w:r>
            <w:proofErr w:type="spellEnd"/>
            <w:r>
              <w:rPr>
                <w:rFonts w:ascii="Arial" w:hAnsi="Arial" w:cs="Arial"/>
                <w:color w:val="000000"/>
                <w:szCs w:val="24"/>
                <w:lang w:val="en-PH" w:eastAsia="ko-KR"/>
              </w:rPr>
              <w:t xml:space="preserve"> Elementary School, </w:t>
            </w:r>
            <w:proofErr w:type="spellStart"/>
            <w:r>
              <w:rPr>
                <w:rFonts w:ascii="Arial" w:hAnsi="Arial" w:cs="Arial"/>
                <w:color w:val="000000"/>
                <w:szCs w:val="24"/>
                <w:lang w:val="en-PH" w:eastAsia="ko-KR"/>
              </w:rPr>
              <w:t>Laoang</w:t>
            </w:r>
            <w:proofErr w:type="spellEnd"/>
            <w:r>
              <w:rPr>
                <w:rFonts w:ascii="Arial" w:hAnsi="Arial" w:cs="Arial"/>
                <w:color w:val="000000"/>
                <w:szCs w:val="24"/>
                <w:lang w:val="en-PH" w:eastAsia="ko-KR"/>
              </w:rPr>
              <w:t>, Northern Samar during the School Year 2024–2025. An experimental action research design was employed, involving 30 pupils who participated in pre-test and post-test assessments to measure comprehension growth.</w:t>
            </w:r>
          </w:p>
          <w:p w14:paraId="1B24B6E4" w14:textId="77777777" w:rsidR="00A82E6A" w:rsidRDefault="00A82E6A">
            <w:pPr>
              <w:pStyle w:val="BodyText"/>
              <w:suppressAutoHyphens w:val="0"/>
              <w:spacing w:after="0"/>
              <w:jc w:val="both"/>
              <w:rPr>
                <w:rFonts w:ascii="Arial" w:hAnsi="Arial" w:cs="Arial"/>
                <w:szCs w:val="24"/>
                <w:lang w:val="en-PH" w:eastAsia="ko-KR"/>
              </w:rPr>
            </w:pPr>
          </w:p>
          <w:p w14:paraId="6A88F87B" w14:textId="77777777" w:rsidR="00A82E6A" w:rsidRDefault="005E547F">
            <w:pPr>
              <w:pStyle w:val="BodyText"/>
              <w:jc w:val="both"/>
              <w:rPr>
                <w:color w:val="000000"/>
              </w:rPr>
            </w:pPr>
            <w:r>
              <w:rPr>
                <w:color w:val="000000"/>
              </w:rPr>
              <w:t>The results revealed a significant improvement in reading comprehension, with mean scores increasing from 12.50 in the pre-test to 16.56 in the post-test. Statistical analysis confirmed the effectiveness of TPS, with a t-value of -3.43 and a p-value of 0.007, leading to the rejection of the null hypothesis. These findings indicate that the observed improvements were directly attributable to the intervention.</w:t>
            </w:r>
          </w:p>
          <w:p w14:paraId="23B1749B" w14:textId="77777777" w:rsidR="00A82E6A" w:rsidRDefault="005E547F">
            <w:pPr>
              <w:pStyle w:val="BodyText"/>
              <w:jc w:val="both"/>
              <w:rPr>
                <w:color w:val="000000"/>
              </w:rPr>
            </w:pPr>
            <w:r>
              <w:rPr>
                <w:color w:val="000000"/>
              </w:rPr>
              <w:t>Beyond quantitative gains, TPS fostered active engagement, collaborative learning, and deeper text analysis. Pupils became more confident, motivated, and willing to participate in discussions, which strengthened their ability to process information and articulate ideas. The strategy also encouraged critical thinking and improved retention, transforming passive learners into active participants.</w:t>
            </w:r>
          </w:p>
          <w:p w14:paraId="69D323B1" w14:textId="77777777" w:rsidR="00A82E6A" w:rsidRDefault="005E547F">
            <w:pPr>
              <w:pStyle w:val="BodyText"/>
              <w:jc w:val="both"/>
              <w:rPr>
                <w:color w:val="000000"/>
              </w:rPr>
            </w:pPr>
            <w:r>
              <w:rPr>
                <w:rFonts w:ascii="Arial" w:hAnsi="Arial" w:cs="Arial"/>
                <w:color w:val="000000"/>
                <w:szCs w:val="24"/>
                <w:lang w:val="en-PH" w:eastAsia="ko-KR"/>
              </w:rPr>
              <w:t>The study concludes that TPS is a valuable instructional approach for bridging literacy gaps and recommends its consistent integration into classroom practice. To sustain literacy growth, differentiated support such as guided reading and small-group instruction should complement TPS. These findings provide important implications for educators and policymakers seeking effective strategies to strengthen literacy outcomes in elementary education.</w:t>
            </w:r>
          </w:p>
        </w:tc>
      </w:tr>
    </w:tbl>
    <w:p w14:paraId="6662C48F" w14:textId="77777777" w:rsidR="00A82E6A" w:rsidRDefault="00A82E6A">
      <w:pPr>
        <w:pStyle w:val="Body"/>
        <w:spacing w:after="0"/>
        <w:ind w:left="567"/>
        <w:rPr>
          <w:rFonts w:ascii="Arial" w:hAnsi="Arial" w:cs="Arial"/>
          <w:i/>
        </w:rPr>
      </w:pPr>
    </w:p>
    <w:p w14:paraId="761B7CFC" w14:textId="77777777" w:rsidR="00A82E6A" w:rsidRDefault="005E547F">
      <w:pPr>
        <w:pStyle w:val="Body"/>
        <w:spacing w:after="0"/>
        <w:ind w:left="567" w:hanging="510"/>
        <w:rPr>
          <w:rFonts w:ascii="Arial" w:hAnsi="Arial" w:cs="Arial"/>
          <w:i/>
        </w:rPr>
      </w:pPr>
      <w:r>
        <w:rPr>
          <w:rFonts w:ascii="Arial" w:hAnsi="Arial" w:cs="Arial"/>
          <w:i/>
        </w:rPr>
        <w:t xml:space="preserve">Keywords: reading comprehension, the effectiveness of Think-Pair-Share (TPS), collaborative learning strategies, elementary education, literacy development, student engagement, action research, and differentiated instruction </w:t>
      </w:r>
    </w:p>
    <w:p w14:paraId="1796C3FD" w14:textId="77777777" w:rsidR="00A82E6A" w:rsidRDefault="00A82E6A">
      <w:pPr>
        <w:pStyle w:val="Body"/>
        <w:spacing w:after="0"/>
        <w:ind w:left="567"/>
        <w:rPr>
          <w:rFonts w:ascii="Arial" w:hAnsi="Arial" w:cs="Arial"/>
          <w:i/>
        </w:rPr>
      </w:pPr>
    </w:p>
    <w:p w14:paraId="0DE97EBB" w14:textId="77777777" w:rsidR="00A82E6A" w:rsidRDefault="00A82E6A">
      <w:pPr>
        <w:pStyle w:val="Body"/>
        <w:spacing w:after="0"/>
        <w:rPr>
          <w:rFonts w:ascii="Arial" w:hAnsi="Arial" w:cs="Arial"/>
          <w:i/>
        </w:rPr>
      </w:pPr>
    </w:p>
    <w:p w14:paraId="51AF79CA" w14:textId="77777777" w:rsidR="00A82E6A" w:rsidRDefault="005E547F">
      <w:pPr>
        <w:pStyle w:val="AbstHead"/>
        <w:numPr>
          <w:ilvl w:val="0"/>
          <w:numId w:val="2"/>
        </w:numPr>
        <w:spacing w:after="0"/>
        <w:ind w:left="283" w:hanging="170"/>
        <w:jc w:val="both"/>
        <w:rPr>
          <w:rFonts w:ascii="Arial" w:hAnsi="Arial" w:cs="Arial"/>
        </w:rPr>
      </w:pPr>
      <w:r>
        <w:rPr>
          <w:rFonts w:ascii="Arial" w:hAnsi="Arial" w:cs="Arial"/>
        </w:rPr>
        <w:t>INTRODUCTION</w:t>
      </w:r>
    </w:p>
    <w:p w14:paraId="53E01A84" w14:textId="77777777" w:rsidR="00A82E6A" w:rsidRDefault="00A82E6A">
      <w:pPr>
        <w:pStyle w:val="AbstHead"/>
        <w:spacing w:after="0"/>
        <w:ind w:left="720"/>
        <w:jc w:val="both"/>
        <w:rPr>
          <w:rFonts w:ascii="Arial" w:hAnsi="Arial" w:cs="Arial"/>
        </w:rPr>
      </w:pPr>
    </w:p>
    <w:p w14:paraId="57661584" w14:textId="77777777" w:rsidR="00A82E6A" w:rsidRDefault="005E547F">
      <w:pPr>
        <w:pStyle w:val="BodyText"/>
        <w:jc w:val="both"/>
      </w:pPr>
      <w:r>
        <w:rPr>
          <w:rFonts w:ascii="Arial" w:hAnsi="Arial" w:cs="Arial"/>
          <w:szCs w:val="24"/>
          <w:lang w:val="en-PH" w:eastAsia="ko-KR"/>
        </w:rPr>
        <w:t xml:space="preserve">Reading comprehension is a cornerstone of academic success, enabling learners to analyze texts, extract meaning, and apply knowledge across disciplines. Yet, many students continue to struggle with comprehension, which hinders their ability to keep pace with lessons and contributes to lower academic performance. In Barangay </w:t>
      </w:r>
      <w:proofErr w:type="spellStart"/>
      <w:r>
        <w:rPr>
          <w:rFonts w:ascii="Arial" w:hAnsi="Arial" w:cs="Arial"/>
          <w:szCs w:val="24"/>
          <w:lang w:val="en-PH" w:eastAsia="ko-KR"/>
        </w:rPr>
        <w:t>Catigbian</w:t>
      </w:r>
      <w:proofErr w:type="spellEnd"/>
      <w:r>
        <w:rPr>
          <w:rFonts w:ascii="Arial" w:hAnsi="Arial" w:cs="Arial"/>
          <w:szCs w:val="24"/>
          <w:lang w:val="en-PH" w:eastAsia="ko-KR"/>
        </w:rPr>
        <w:t xml:space="preserve">, </w:t>
      </w:r>
      <w:proofErr w:type="spellStart"/>
      <w:r>
        <w:rPr>
          <w:rFonts w:ascii="Arial" w:hAnsi="Arial" w:cs="Arial"/>
          <w:szCs w:val="24"/>
          <w:lang w:val="en-PH" w:eastAsia="ko-KR"/>
        </w:rPr>
        <w:t>Laoang</w:t>
      </w:r>
      <w:proofErr w:type="spellEnd"/>
      <w:r>
        <w:rPr>
          <w:rFonts w:ascii="Arial" w:hAnsi="Arial" w:cs="Arial"/>
          <w:szCs w:val="24"/>
          <w:lang w:val="en-PH" w:eastAsia="ko-KR"/>
        </w:rPr>
        <w:t xml:space="preserve">, Northern Samar, Grade 5 pupils at </w:t>
      </w:r>
      <w:proofErr w:type="spellStart"/>
      <w:r>
        <w:rPr>
          <w:rFonts w:ascii="Arial" w:hAnsi="Arial" w:cs="Arial"/>
          <w:szCs w:val="24"/>
          <w:lang w:val="en-PH" w:eastAsia="ko-KR"/>
        </w:rPr>
        <w:t>Catigbian</w:t>
      </w:r>
      <w:proofErr w:type="spellEnd"/>
      <w:r>
        <w:rPr>
          <w:rFonts w:ascii="Arial" w:hAnsi="Arial" w:cs="Arial"/>
          <w:szCs w:val="24"/>
          <w:lang w:val="en-PH" w:eastAsia="ko-KR"/>
        </w:rPr>
        <w:t xml:space="preserve"> Elementary School face persistent challenges in reading comprehension due to limited vocabulary, lack of exposure to diverse reading materials, and minimal opportunities for structured discussions. Phil-IRI assessments revealed that most pupils were at the “Frustration” or “Instructional” levels, with only a few demonstrating </w:t>
      </w:r>
      <w:r>
        <w:rPr>
          <w:rFonts w:ascii="Arial" w:hAnsi="Arial" w:cs="Arial"/>
          <w:szCs w:val="24"/>
          <w:lang w:val="en-PH" w:eastAsia="ko-KR"/>
        </w:rPr>
        <w:lastRenderedPageBreak/>
        <w:t>independent reading proficiency. This situation underscores the urgent need for effective interventions that can foster literacy development and improve comprehension outcomes.</w:t>
      </w:r>
    </w:p>
    <w:p w14:paraId="02544173" w14:textId="77777777" w:rsidR="00A82E6A" w:rsidRDefault="005E547F">
      <w:pPr>
        <w:pStyle w:val="BodyText"/>
        <w:jc w:val="both"/>
      </w:pPr>
      <w:r>
        <w:t xml:space="preserve">One promising approach is the Think-Pair-Share (TPS) strategy, developed by Frank Lyman (1981), which emphasizes peer collaboration, interactive learning, and shared discussions. TPS follows three phases: students first think individually about a topic, then pair with a peer to exchange ideas, and finally share their insights with the class. This structured process not only enhances comprehension but also develops critical thinking and communication skills. Previous studies have consistently demonstrated the effectiveness of TPS in improving reading comprehension. </w:t>
      </w:r>
      <w:proofErr w:type="spellStart"/>
      <w:r>
        <w:t>Agussatriana</w:t>
      </w:r>
      <w:proofErr w:type="spellEnd"/>
      <w:r>
        <w:t xml:space="preserve"> (2020) reported significant gains in students’ mean scores from 63.11 to 84.44, while </w:t>
      </w:r>
      <w:proofErr w:type="spellStart"/>
      <w:r>
        <w:t>Candraloka</w:t>
      </w:r>
      <w:proofErr w:type="spellEnd"/>
      <w:r>
        <w:t xml:space="preserve"> (2023) found that the experimental group achieved a mean of 88 compared to 72.19 in the control group. Similarly, </w:t>
      </w:r>
      <w:proofErr w:type="spellStart"/>
      <w:r>
        <w:t>Oktaviani</w:t>
      </w:r>
      <w:proofErr w:type="spellEnd"/>
      <w:r>
        <w:t xml:space="preserve"> and </w:t>
      </w:r>
      <w:proofErr w:type="spellStart"/>
      <w:r>
        <w:t>Rofiqoh</w:t>
      </w:r>
      <w:proofErr w:type="spellEnd"/>
      <w:r>
        <w:t xml:space="preserve"> (2021) documented improvements from 58.44 to 85.11, and Bastian (2021) observed a 24.5-point increase, with notable gains in identifying specific information. Classroom Action Research conducted by </w:t>
      </w:r>
      <w:proofErr w:type="spellStart"/>
      <w:r>
        <w:t>Pratolo</w:t>
      </w:r>
      <w:proofErr w:type="spellEnd"/>
      <w:r>
        <w:t xml:space="preserve">, Bao, and </w:t>
      </w:r>
      <w:proofErr w:type="spellStart"/>
      <w:r>
        <w:t>Palaguna</w:t>
      </w:r>
      <w:proofErr w:type="spellEnd"/>
      <w:r>
        <w:t xml:space="preserve"> (2025) further highlighted that TPS not only raised comprehension scores but also transformed passive learners into motivated, collaborative participants. </w:t>
      </w:r>
      <w:proofErr w:type="spellStart"/>
      <w:r>
        <w:t>Suhendi</w:t>
      </w:r>
      <w:proofErr w:type="spellEnd"/>
      <w:r>
        <w:t xml:space="preserve"> (2022) likewise confirmed that TPS fosters motivation, equity, and consistent achievement across diverse student groups.</w:t>
      </w:r>
    </w:p>
    <w:p w14:paraId="755F79BE" w14:textId="77777777" w:rsidR="00A82E6A" w:rsidRDefault="005E547F">
      <w:pPr>
        <w:pStyle w:val="BodyText"/>
        <w:jc w:val="both"/>
      </w:pPr>
      <w:r>
        <w:t xml:space="preserve">Beyond quantitative improvements, qualitative findings emphasize TPS’s role in reshaping classroom dynamics. Students shifted from passive and disengaged behaviors to active, confident, and motivated participants who valued peer collaboration. The structured stages of TPS provided scaffolding that encouraged deeper processing of texts and equitable participation, while variability in achievement decreased, indicating more consistent performance across learners. These results align with international concerns about literacy performance. The Philippines ranked among the lowest in reading comprehension in the 2022 </w:t>
      </w:r>
      <w:proofErr w:type="spellStart"/>
      <w:r>
        <w:t>Programme</w:t>
      </w:r>
      <w:proofErr w:type="spellEnd"/>
      <w:r>
        <w:t xml:space="preserve"> for International Student Assessment (PISA), highlighting the urgency of adopting innovative strategies to strengthen literacy education (OECD, 2023). In this context, TPS offers a student-centered approach that addresses the limitations of traditional, passive learning methods by encouraging active engagement, peer support, and deeper processing of texts.</w:t>
      </w:r>
    </w:p>
    <w:p w14:paraId="6ACE6B3B" w14:textId="77777777" w:rsidR="00A82E6A" w:rsidRDefault="005E547F">
      <w:pPr>
        <w:pStyle w:val="BodyText"/>
        <w:jc w:val="both"/>
      </w:pPr>
      <w:r>
        <w:t xml:space="preserve">Local studies by </w:t>
      </w:r>
      <w:proofErr w:type="spellStart"/>
      <w:r>
        <w:t>Casane</w:t>
      </w:r>
      <w:proofErr w:type="spellEnd"/>
      <w:r>
        <w:t xml:space="preserve"> provide further context for the challenges and opportunities in literacy development. </w:t>
      </w:r>
      <w:proofErr w:type="spellStart"/>
      <w:r>
        <w:t>Casane</w:t>
      </w:r>
      <w:proofErr w:type="spellEnd"/>
      <w:r>
        <w:t xml:space="preserve"> (2024) revealed that </w:t>
      </w:r>
      <w:proofErr w:type="spellStart"/>
      <w:r>
        <w:t>multigrade</w:t>
      </w:r>
      <w:proofErr w:type="spellEnd"/>
      <w:r>
        <w:t xml:space="preserve"> teachers in </w:t>
      </w:r>
      <w:proofErr w:type="spellStart"/>
      <w:r>
        <w:t>Laoang</w:t>
      </w:r>
      <w:proofErr w:type="spellEnd"/>
      <w:r>
        <w:t xml:space="preserve"> face significant challenges such as extensive preparation, limited resources, and lack of support, though positive attitudes strongly correlate with their ability to manage these difficulties. </w:t>
      </w:r>
      <w:proofErr w:type="spellStart"/>
      <w:r>
        <w:t>Casane</w:t>
      </w:r>
      <w:proofErr w:type="spellEnd"/>
      <w:r>
        <w:t xml:space="preserve"> (2025) highlighted perceptual gaps between teachers and school heads regarding instructional competence, pointing to the need for professional development and mentorship to sustain effective practices. Meanwhile, </w:t>
      </w:r>
      <w:proofErr w:type="spellStart"/>
      <w:r>
        <w:t>Casane</w:t>
      </w:r>
      <w:proofErr w:type="spellEnd"/>
      <w:r>
        <w:t xml:space="preserve"> (2026) and </w:t>
      </w:r>
      <w:proofErr w:type="spellStart"/>
      <w:r>
        <w:t>Casane</w:t>
      </w:r>
      <w:proofErr w:type="spellEnd"/>
      <w:r>
        <w:t xml:space="preserve"> &amp; Jr. (2026) emphasized the importance of financial literacy in academic performance, showing that targeted interventions in specific skill areas can significantly enhance student outcomes. These findings underscore that effective strategies like TPS must be supported by teacher development, resource allocation, and institutional support to maximize their impact.</w:t>
      </w:r>
    </w:p>
    <w:p w14:paraId="0BF494EC" w14:textId="77777777" w:rsidR="00A82E6A" w:rsidRDefault="005E547F">
      <w:pPr>
        <w:pStyle w:val="BodyText"/>
        <w:jc w:val="both"/>
      </w:pPr>
      <w:r>
        <w:t xml:space="preserve">Given these challenges and the promising evidence from prior research, this study investigates the effectiveness of TPS as an intervention for Grade 5 pupils at </w:t>
      </w:r>
      <w:proofErr w:type="spellStart"/>
      <w:r>
        <w:t>Catigbian</w:t>
      </w:r>
      <w:proofErr w:type="spellEnd"/>
      <w:r>
        <w:t xml:space="preserve"> Elementary School. By integrating TPS into classroom instruction, the study aims to enhance reading comprehension, foster motivation, and contribute to broader efforts in literacy </w:t>
      </w:r>
      <w:r>
        <w:lastRenderedPageBreak/>
        <w:t>development. Ultimately, the findings may provide valuable insights for educators, curriculum developers, and policymakers in designing effective literacy programs that support diverse learners and promote academic success.</w:t>
      </w:r>
    </w:p>
    <w:p w14:paraId="4101D729" w14:textId="77777777" w:rsidR="00A82E6A" w:rsidRDefault="00A82E6A">
      <w:pPr>
        <w:jc w:val="both"/>
        <w:rPr>
          <w:rFonts w:ascii="Arial" w:hAnsi="Arial" w:cs="Arial"/>
          <w:szCs w:val="24"/>
          <w:lang w:val="en-PH" w:eastAsia="ko-KR"/>
        </w:rPr>
      </w:pPr>
    </w:p>
    <w:p w14:paraId="7EA806EC" w14:textId="77777777" w:rsidR="00A82E6A" w:rsidRDefault="00A82E6A">
      <w:pPr>
        <w:jc w:val="both"/>
        <w:rPr>
          <w:rFonts w:ascii="Arial" w:hAnsi="Arial" w:cs="Arial"/>
          <w:b/>
          <w:szCs w:val="24"/>
        </w:rPr>
      </w:pPr>
    </w:p>
    <w:p w14:paraId="0F1E936F" w14:textId="77777777" w:rsidR="00A82E6A" w:rsidRDefault="005E547F">
      <w:pPr>
        <w:jc w:val="both"/>
        <w:rPr>
          <w:rFonts w:ascii="Arial" w:hAnsi="Arial" w:cs="Arial"/>
          <w:b/>
          <w:sz w:val="24"/>
          <w:szCs w:val="24"/>
        </w:rPr>
      </w:pPr>
      <w:r>
        <w:rPr>
          <w:rFonts w:ascii="Arial" w:hAnsi="Arial" w:cs="Arial"/>
          <w:b/>
          <w:szCs w:val="24"/>
        </w:rPr>
        <w:t>Objectives</w:t>
      </w:r>
    </w:p>
    <w:p w14:paraId="230ABB01" w14:textId="77777777" w:rsidR="00A82E6A" w:rsidRDefault="00A82E6A">
      <w:pPr>
        <w:ind w:left="31" w:firstLine="689"/>
        <w:jc w:val="both"/>
        <w:rPr>
          <w:rFonts w:ascii="Arial" w:hAnsi="Arial" w:cs="Arial"/>
          <w:b/>
          <w:sz w:val="24"/>
          <w:szCs w:val="24"/>
        </w:rPr>
      </w:pPr>
    </w:p>
    <w:p w14:paraId="6DB4D93F" w14:textId="77777777" w:rsidR="00A82E6A" w:rsidRDefault="005E547F">
      <w:pPr>
        <w:ind w:left="31" w:firstLine="689"/>
        <w:jc w:val="both"/>
        <w:rPr>
          <w:rFonts w:ascii="Arial" w:eastAsia="Calibri" w:hAnsi="Arial" w:cs="Arial"/>
          <w:szCs w:val="24"/>
        </w:rPr>
      </w:pPr>
      <w:r>
        <w:rPr>
          <w:rFonts w:ascii="Arial" w:eastAsia="Calibri" w:hAnsi="Arial" w:cs="Arial"/>
          <w:szCs w:val="24"/>
        </w:rPr>
        <w:t xml:space="preserve">This study aims to determine the level of reading comprehension of grade 5 pupils in </w:t>
      </w:r>
      <w:proofErr w:type="spellStart"/>
      <w:r>
        <w:rPr>
          <w:rFonts w:ascii="Arial" w:eastAsia="Calibri" w:hAnsi="Arial" w:cs="Arial"/>
          <w:szCs w:val="24"/>
        </w:rPr>
        <w:t>Catigbian</w:t>
      </w:r>
      <w:proofErr w:type="spellEnd"/>
      <w:r>
        <w:rPr>
          <w:rFonts w:ascii="Arial" w:eastAsia="Calibri" w:hAnsi="Arial" w:cs="Arial"/>
          <w:szCs w:val="24"/>
        </w:rPr>
        <w:t xml:space="preserve"> Elementary School during the school year 2024-2025.</w:t>
      </w:r>
    </w:p>
    <w:p w14:paraId="4DFF3574" w14:textId="77777777" w:rsidR="00A82E6A" w:rsidRDefault="00A82E6A">
      <w:pPr>
        <w:ind w:left="31" w:firstLine="689"/>
        <w:jc w:val="both"/>
        <w:rPr>
          <w:rFonts w:ascii="Arial" w:hAnsi="Arial" w:cs="Arial"/>
          <w:sz w:val="22"/>
          <w:szCs w:val="24"/>
        </w:rPr>
      </w:pPr>
    </w:p>
    <w:p w14:paraId="52B28ED0" w14:textId="77777777" w:rsidR="00A82E6A" w:rsidRDefault="005E547F">
      <w:pPr>
        <w:jc w:val="both"/>
        <w:rPr>
          <w:rFonts w:ascii="Arial" w:eastAsia="Calibri" w:hAnsi="Arial" w:cs="Arial"/>
        </w:rPr>
      </w:pPr>
      <w:r>
        <w:rPr>
          <w:rFonts w:ascii="Arial" w:eastAsia="Calibri" w:hAnsi="Arial" w:cs="Arial"/>
        </w:rPr>
        <w:t xml:space="preserve">Specifically, it aimed to: </w:t>
      </w:r>
    </w:p>
    <w:p w14:paraId="271D9C14" w14:textId="77777777" w:rsidR="00A82E6A" w:rsidRDefault="00A82E6A">
      <w:pPr>
        <w:jc w:val="both"/>
        <w:rPr>
          <w:rFonts w:ascii="Arial" w:hAnsi="Arial" w:cs="Arial"/>
        </w:rPr>
      </w:pPr>
    </w:p>
    <w:p w14:paraId="35F96EED" w14:textId="77777777" w:rsidR="00A82E6A" w:rsidRDefault="005E547F">
      <w:pPr>
        <w:ind w:left="456" w:hanging="456"/>
        <w:jc w:val="both"/>
        <w:rPr>
          <w:rFonts w:ascii="Arial" w:eastAsia="Calibri" w:hAnsi="Arial" w:cs="Arial"/>
        </w:rPr>
      </w:pPr>
      <w:r>
        <w:rPr>
          <w:rFonts w:ascii="Arial" w:eastAsia="Calibri" w:hAnsi="Arial" w:cs="Arial"/>
        </w:rPr>
        <w:t xml:space="preserve"> 1. Determine the pre-test results of the participants in reading comprehension</w:t>
      </w:r>
    </w:p>
    <w:p w14:paraId="3D2154C3" w14:textId="77777777" w:rsidR="00A82E6A" w:rsidRDefault="005E547F">
      <w:pPr>
        <w:ind w:left="456" w:hanging="456"/>
        <w:jc w:val="both"/>
        <w:rPr>
          <w:rFonts w:ascii="Arial" w:hAnsi="Arial" w:cs="Arial"/>
        </w:rPr>
      </w:pPr>
      <w:r>
        <w:rPr>
          <w:rFonts w:ascii="Arial" w:eastAsia="Calibri" w:hAnsi="Arial" w:cs="Arial"/>
        </w:rPr>
        <w:t xml:space="preserve"> 2. Determine the post-test results of the participants in reading comprehension</w:t>
      </w:r>
    </w:p>
    <w:p w14:paraId="42BD8E70" w14:textId="77777777" w:rsidR="00A82E6A" w:rsidRDefault="005E547F">
      <w:pPr>
        <w:ind w:left="456" w:hanging="456"/>
        <w:jc w:val="both"/>
        <w:rPr>
          <w:rFonts w:ascii="Arial" w:hAnsi="Arial" w:cs="Arial"/>
          <w:b/>
          <w:szCs w:val="24"/>
        </w:rPr>
      </w:pPr>
      <w:r>
        <w:rPr>
          <w:rFonts w:ascii="Arial" w:eastAsia="Calibri" w:hAnsi="Arial" w:cs="Arial"/>
        </w:rPr>
        <w:t xml:space="preserve"> 3. To find out if there is a significant difference between the pre-test and post-test results of the participants in reading comprehension.</w:t>
      </w:r>
    </w:p>
    <w:p w14:paraId="7D0E311B" w14:textId="77777777" w:rsidR="00A82E6A" w:rsidRDefault="00A82E6A">
      <w:pPr>
        <w:jc w:val="both"/>
        <w:rPr>
          <w:rFonts w:ascii="Arial" w:hAnsi="Arial" w:cs="Arial"/>
          <w:b/>
          <w:szCs w:val="24"/>
        </w:rPr>
      </w:pPr>
    </w:p>
    <w:p w14:paraId="247ED185" w14:textId="77777777" w:rsidR="00A82E6A" w:rsidRDefault="00A82E6A">
      <w:pPr>
        <w:pStyle w:val="Body"/>
        <w:spacing w:after="0"/>
        <w:rPr>
          <w:rFonts w:ascii="Arial" w:hAnsi="Arial" w:cs="Arial"/>
          <w:szCs w:val="24"/>
        </w:rPr>
      </w:pPr>
    </w:p>
    <w:p w14:paraId="3038A6C5" w14:textId="77777777" w:rsidR="00A82E6A" w:rsidRDefault="005E547F">
      <w:pPr>
        <w:pStyle w:val="AbstHead"/>
        <w:spacing w:after="0"/>
        <w:jc w:val="both"/>
        <w:rPr>
          <w:rFonts w:ascii="Arial" w:hAnsi="Arial" w:cs="Arial"/>
          <w:szCs w:val="24"/>
        </w:rPr>
      </w:pPr>
      <w:r>
        <w:rPr>
          <w:rFonts w:ascii="Arial" w:hAnsi="Arial" w:cs="Arial"/>
          <w:szCs w:val="24"/>
        </w:rPr>
        <w:t xml:space="preserve">2. methodology </w:t>
      </w:r>
    </w:p>
    <w:p w14:paraId="0862AA0A" w14:textId="77777777" w:rsidR="00A82E6A" w:rsidRDefault="00A82E6A">
      <w:pPr>
        <w:pStyle w:val="AbstHead"/>
        <w:spacing w:after="0"/>
        <w:jc w:val="both"/>
        <w:rPr>
          <w:rFonts w:ascii="Arial" w:hAnsi="Arial" w:cs="Arial"/>
          <w:sz w:val="20"/>
          <w:szCs w:val="24"/>
        </w:rPr>
      </w:pPr>
    </w:p>
    <w:p w14:paraId="4C21E646" w14:textId="77777777" w:rsidR="00A82E6A" w:rsidRDefault="005E547F">
      <w:pPr>
        <w:pStyle w:val="ListParagraph"/>
        <w:spacing w:after="0" w:line="240" w:lineRule="auto"/>
        <w:ind w:left="0"/>
        <w:jc w:val="both"/>
        <w:rPr>
          <w:color w:val="000000"/>
        </w:rPr>
      </w:pPr>
      <w:r>
        <w:rPr>
          <w:rFonts w:ascii="Arial" w:hAnsi="Arial" w:cs="Arial"/>
          <w:b/>
          <w:color w:val="000000"/>
          <w:sz w:val="20"/>
          <w:szCs w:val="24"/>
        </w:rPr>
        <w:t xml:space="preserve">1. Research Design </w:t>
      </w:r>
    </w:p>
    <w:p w14:paraId="4B8BDE73" w14:textId="77777777" w:rsidR="00A82E6A" w:rsidRDefault="005E547F">
      <w:pPr>
        <w:pStyle w:val="ListParagraph"/>
        <w:spacing w:after="0" w:line="240" w:lineRule="auto"/>
        <w:ind w:left="0" w:firstLine="720"/>
        <w:jc w:val="both"/>
        <w:rPr>
          <w:color w:val="000000"/>
        </w:rPr>
      </w:pPr>
      <w:r>
        <w:rPr>
          <w:rFonts w:ascii="Arial" w:hAnsi="Arial" w:cs="Arial"/>
          <w:color w:val="000000"/>
          <w:sz w:val="20"/>
          <w:szCs w:val="24"/>
          <w:lang w:val="en-US"/>
        </w:rPr>
        <w:t>This study employed an experimental action research design to evaluate the effectiveness of the Think-Pair-Share (TPS) strategy in enhancing reading comprehension. Action research was chosen to address a real classroom problem while systematically testing an intervention. The experimental component involved administering pre-test and post-test assessments using the Phil-IRI tool, with TPS implemented through three structured phases: Think, Pair, and Share. Consistency was ensured by using the same texts and procedures across sessions.</w:t>
      </w:r>
    </w:p>
    <w:p w14:paraId="4FE1C582" w14:textId="77777777" w:rsidR="00A82E6A" w:rsidRDefault="00A82E6A">
      <w:pPr>
        <w:pStyle w:val="ListParagraph"/>
        <w:spacing w:after="0" w:line="240" w:lineRule="auto"/>
        <w:ind w:left="0" w:firstLine="720"/>
        <w:jc w:val="both"/>
        <w:rPr>
          <w:rFonts w:ascii="Arial" w:hAnsi="Arial" w:cs="Arial"/>
          <w:color w:val="000000"/>
          <w:sz w:val="20"/>
          <w:szCs w:val="24"/>
        </w:rPr>
      </w:pPr>
    </w:p>
    <w:p w14:paraId="2362DD00" w14:textId="77777777" w:rsidR="00A82E6A" w:rsidRDefault="005E547F">
      <w:pPr>
        <w:pStyle w:val="ListParagraph"/>
        <w:spacing w:after="0" w:line="240" w:lineRule="auto"/>
        <w:ind w:left="0"/>
        <w:jc w:val="both"/>
        <w:rPr>
          <w:color w:val="000000"/>
        </w:rPr>
      </w:pPr>
      <w:r>
        <w:rPr>
          <w:rFonts w:ascii="Arial" w:hAnsi="Arial" w:cs="Arial"/>
          <w:b/>
          <w:color w:val="000000"/>
          <w:sz w:val="20"/>
          <w:szCs w:val="24"/>
        </w:rPr>
        <w:t xml:space="preserve">2. Respondents </w:t>
      </w:r>
    </w:p>
    <w:p w14:paraId="22C51B80" w14:textId="77777777" w:rsidR="00A82E6A" w:rsidRDefault="005E547F">
      <w:pPr>
        <w:pStyle w:val="ListParagraph"/>
        <w:spacing w:after="0" w:line="240" w:lineRule="auto"/>
        <w:ind w:left="0" w:firstLine="720"/>
        <w:jc w:val="both"/>
        <w:rPr>
          <w:color w:val="000000"/>
        </w:rPr>
      </w:pPr>
      <w:r>
        <w:rPr>
          <w:rFonts w:ascii="Arial" w:hAnsi="Arial" w:cs="Arial"/>
          <w:color w:val="000000"/>
          <w:sz w:val="20"/>
          <w:szCs w:val="24"/>
        </w:rPr>
        <w:t xml:space="preserve">The respondents of the study were composed of thirty (30) grade 5 pupils   who were officially enrolled at </w:t>
      </w:r>
      <w:proofErr w:type="spellStart"/>
      <w:r>
        <w:rPr>
          <w:rFonts w:ascii="Arial" w:hAnsi="Arial" w:cs="Arial"/>
          <w:color w:val="000000"/>
          <w:sz w:val="20"/>
          <w:szCs w:val="24"/>
        </w:rPr>
        <w:t>Catigbian</w:t>
      </w:r>
      <w:proofErr w:type="spellEnd"/>
      <w:r>
        <w:rPr>
          <w:rFonts w:ascii="Arial" w:hAnsi="Arial" w:cs="Arial"/>
          <w:color w:val="000000"/>
          <w:sz w:val="20"/>
          <w:szCs w:val="24"/>
        </w:rPr>
        <w:t xml:space="preserve"> Elementary School during the School Year 2024-2025.</w:t>
      </w:r>
    </w:p>
    <w:p w14:paraId="7EBCB073" w14:textId="77777777" w:rsidR="00A82E6A" w:rsidRDefault="00A82E6A">
      <w:pPr>
        <w:pStyle w:val="ListParagraph"/>
        <w:spacing w:after="0" w:line="240" w:lineRule="auto"/>
        <w:ind w:left="0"/>
        <w:jc w:val="both"/>
        <w:rPr>
          <w:rFonts w:ascii="Arial" w:hAnsi="Arial" w:cs="Arial"/>
          <w:b/>
          <w:color w:val="000000"/>
          <w:sz w:val="20"/>
          <w:szCs w:val="24"/>
          <w:lang w:val="en-US"/>
        </w:rPr>
      </w:pPr>
    </w:p>
    <w:p w14:paraId="27CA1966" w14:textId="77777777" w:rsidR="00A82E6A" w:rsidRDefault="005E547F">
      <w:pPr>
        <w:pStyle w:val="ListParagraph"/>
        <w:spacing w:after="0" w:line="240" w:lineRule="auto"/>
        <w:ind w:left="0"/>
        <w:jc w:val="both"/>
        <w:rPr>
          <w:color w:val="000000"/>
        </w:rPr>
      </w:pPr>
      <w:r>
        <w:rPr>
          <w:rFonts w:ascii="Arial" w:hAnsi="Arial" w:cs="Arial"/>
          <w:b/>
          <w:color w:val="000000"/>
          <w:sz w:val="20"/>
          <w:szCs w:val="24"/>
        </w:rPr>
        <w:t>3. Sampling Technique</w:t>
      </w:r>
    </w:p>
    <w:p w14:paraId="0F3D2E02" w14:textId="77777777" w:rsidR="00A82E6A" w:rsidRDefault="005E547F">
      <w:pPr>
        <w:pStyle w:val="ListParagraph"/>
        <w:spacing w:after="0" w:line="240" w:lineRule="auto"/>
        <w:ind w:left="0" w:firstLine="720"/>
        <w:jc w:val="both"/>
        <w:rPr>
          <w:color w:val="000000"/>
        </w:rPr>
      </w:pPr>
      <w:r>
        <w:rPr>
          <w:rFonts w:ascii="Arial" w:hAnsi="Arial" w:cs="Arial"/>
          <w:color w:val="000000"/>
          <w:sz w:val="20"/>
          <w:szCs w:val="24"/>
        </w:rPr>
        <w:t>The study used pre-test, post-test, and think-pair-share strategy, meaning all available and willing participants from the defined group were included.</w:t>
      </w:r>
    </w:p>
    <w:p w14:paraId="391AAEEF" w14:textId="77777777" w:rsidR="00A82E6A" w:rsidRDefault="00A82E6A">
      <w:pPr>
        <w:jc w:val="both"/>
        <w:rPr>
          <w:rFonts w:ascii="Arial" w:hAnsi="Arial" w:cs="Arial"/>
          <w:b/>
          <w:color w:val="000000"/>
          <w:szCs w:val="24"/>
        </w:rPr>
      </w:pPr>
    </w:p>
    <w:p w14:paraId="4FB5E71B" w14:textId="77777777" w:rsidR="00A82E6A" w:rsidRDefault="005E547F">
      <w:pPr>
        <w:pStyle w:val="ListParagraph"/>
        <w:spacing w:after="0" w:line="240" w:lineRule="auto"/>
        <w:ind w:left="0"/>
        <w:jc w:val="both"/>
        <w:rPr>
          <w:color w:val="000000"/>
        </w:rPr>
      </w:pPr>
      <w:r>
        <w:rPr>
          <w:rFonts w:ascii="Arial" w:hAnsi="Arial" w:cs="Arial"/>
          <w:b/>
          <w:color w:val="000000"/>
          <w:sz w:val="20"/>
          <w:szCs w:val="24"/>
        </w:rPr>
        <w:t xml:space="preserve">4. Research Instruments </w:t>
      </w:r>
    </w:p>
    <w:p w14:paraId="106FE050" w14:textId="77777777" w:rsidR="00A82E6A" w:rsidRDefault="005E547F">
      <w:pPr>
        <w:pStyle w:val="ListParagraph"/>
        <w:spacing w:after="0" w:line="240" w:lineRule="auto"/>
        <w:ind w:left="0" w:firstLine="720"/>
        <w:jc w:val="both"/>
        <w:rPr>
          <w:color w:val="000000"/>
        </w:rPr>
      </w:pPr>
      <w:r>
        <w:rPr>
          <w:rFonts w:ascii="Arial" w:hAnsi="Arial" w:cs="Arial"/>
          <w:color w:val="000000"/>
          <w:sz w:val="20"/>
          <w:szCs w:val="24"/>
        </w:rPr>
        <w:t xml:space="preserve"> The researcher-made instrument was validated to ensure clarity, relevance, and reliability. Experts reviewed the items to confirm that they accurately reflected the concepts being studied and suggested necessary improvements.</w:t>
      </w:r>
    </w:p>
    <w:p w14:paraId="2EFD06F3" w14:textId="77777777" w:rsidR="00A82E6A" w:rsidRDefault="00A82E6A">
      <w:pPr>
        <w:jc w:val="both"/>
        <w:rPr>
          <w:rFonts w:ascii="Arial" w:hAnsi="Arial" w:cs="Arial"/>
          <w:color w:val="000000"/>
          <w:szCs w:val="24"/>
        </w:rPr>
      </w:pPr>
    </w:p>
    <w:p w14:paraId="3C00605C" w14:textId="77777777" w:rsidR="00A82E6A" w:rsidRDefault="005E547F">
      <w:pPr>
        <w:jc w:val="both"/>
        <w:rPr>
          <w:color w:val="000000"/>
        </w:rPr>
      </w:pPr>
      <w:r>
        <w:rPr>
          <w:rFonts w:ascii="Arial" w:hAnsi="Arial" w:cs="Arial"/>
          <w:b/>
          <w:bCs/>
          <w:color w:val="000000"/>
          <w:szCs w:val="24"/>
        </w:rPr>
        <w:t>5. Ethical Considerations</w:t>
      </w:r>
    </w:p>
    <w:p w14:paraId="757D7938" w14:textId="77777777" w:rsidR="00A82E6A" w:rsidRDefault="005E547F">
      <w:pPr>
        <w:ind w:firstLine="720"/>
        <w:jc w:val="both"/>
        <w:rPr>
          <w:color w:val="000000"/>
        </w:rPr>
      </w:pPr>
      <w:r>
        <w:rPr>
          <w:rFonts w:ascii="Arial" w:hAnsi="Arial" w:cs="Arial"/>
          <w:color w:val="000000"/>
          <w:szCs w:val="24"/>
        </w:rPr>
        <w:t>Ethical approval was secured from school authorities, with parental consent and voluntary participation of pupils.</w:t>
      </w:r>
    </w:p>
    <w:p w14:paraId="69A04457" w14:textId="77777777" w:rsidR="00A82E6A" w:rsidRDefault="00A82E6A">
      <w:pPr>
        <w:jc w:val="both"/>
        <w:rPr>
          <w:rFonts w:ascii="Arial" w:hAnsi="Arial" w:cs="Arial"/>
          <w:color w:val="000000"/>
        </w:rPr>
      </w:pPr>
    </w:p>
    <w:p w14:paraId="446AA621" w14:textId="77777777" w:rsidR="00A82E6A" w:rsidRDefault="005E547F">
      <w:pPr>
        <w:pStyle w:val="ListParagraph"/>
        <w:spacing w:after="0" w:line="240" w:lineRule="auto"/>
        <w:ind w:left="0"/>
        <w:jc w:val="both"/>
        <w:rPr>
          <w:color w:val="000000"/>
        </w:rPr>
      </w:pPr>
      <w:r>
        <w:rPr>
          <w:rFonts w:ascii="Arial" w:hAnsi="Arial" w:cs="Arial"/>
          <w:b/>
          <w:color w:val="000000"/>
          <w:sz w:val="20"/>
          <w:szCs w:val="24"/>
        </w:rPr>
        <w:t xml:space="preserve">6. Data Analysis </w:t>
      </w:r>
    </w:p>
    <w:p w14:paraId="4A7428BD" w14:textId="77777777" w:rsidR="00A82E6A" w:rsidRDefault="005E547F">
      <w:pPr>
        <w:pStyle w:val="ListParagraph"/>
        <w:spacing w:after="0" w:line="240" w:lineRule="auto"/>
        <w:ind w:left="0" w:firstLine="720"/>
        <w:jc w:val="both"/>
        <w:rPr>
          <w:color w:val="000000"/>
        </w:rPr>
      </w:pPr>
      <w:r>
        <w:rPr>
          <w:rFonts w:ascii="Arial" w:hAnsi="Arial" w:cs="Arial"/>
          <w:color w:val="000000"/>
          <w:sz w:val="20"/>
          <w:szCs w:val="24"/>
        </w:rPr>
        <w:t>The statistical tools used in the study included frequency counts, percentages, and weighted mean. These methods were employed to analyze and interpret the gathered data effectively.</w:t>
      </w:r>
    </w:p>
    <w:p w14:paraId="654BB1F3" w14:textId="77777777" w:rsidR="00A82E6A" w:rsidRDefault="00A82E6A">
      <w:pPr>
        <w:pStyle w:val="ListParagraph"/>
        <w:spacing w:after="0" w:line="240" w:lineRule="auto"/>
        <w:ind w:left="0" w:firstLine="720"/>
        <w:jc w:val="both"/>
        <w:rPr>
          <w:rFonts w:ascii="Arial" w:hAnsi="Arial" w:cs="Arial"/>
          <w:sz w:val="20"/>
        </w:rPr>
      </w:pPr>
    </w:p>
    <w:p w14:paraId="23F6A892" w14:textId="77777777" w:rsidR="00A82E6A" w:rsidRDefault="00A82E6A">
      <w:pPr>
        <w:pStyle w:val="ListParagraph"/>
        <w:spacing w:after="0" w:line="240" w:lineRule="auto"/>
        <w:ind w:left="0" w:firstLine="720"/>
        <w:jc w:val="both"/>
        <w:rPr>
          <w:rFonts w:ascii="Arial" w:hAnsi="Arial" w:cs="Arial"/>
          <w:sz w:val="20"/>
        </w:rPr>
      </w:pPr>
    </w:p>
    <w:p w14:paraId="48ADB517" w14:textId="77777777" w:rsidR="00A82E6A" w:rsidRDefault="005E547F">
      <w:pPr>
        <w:pStyle w:val="Head1"/>
        <w:spacing w:after="0"/>
        <w:jc w:val="both"/>
        <w:rPr>
          <w:rFonts w:ascii="Arial" w:hAnsi="Arial" w:cs="Arial"/>
        </w:rPr>
      </w:pPr>
      <w:r>
        <w:rPr>
          <w:rFonts w:ascii="Arial" w:hAnsi="Arial" w:cs="Arial"/>
        </w:rPr>
        <w:lastRenderedPageBreak/>
        <w:t>3. results and discussion</w:t>
      </w:r>
    </w:p>
    <w:p w14:paraId="4B091B35" w14:textId="77777777" w:rsidR="00A82E6A" w:rsidRDefault="005E547F">
      <w:pPr>
        <w:pStyle w:val="BodyText"/>
        <w:suppressAutoHyphens w:val="0"/>
        <w:spacing w:beforeAutospacing="1" w:afterAutospacing="1"/>
        <w:jc w:val="both"/>
        <w:rPr>
          <w:rFonts w:ascii="Arial" w:hAnsi="Arial"/>
        </w:rPr>
      </w:pPr>
      <w:r>
        <w:rPr>
          <w:rFonts w:ascii="Arial" w:hAnsi="Arial" w:cs="Arial"/>
          <w:szCs w:val="24"/>
          <w:lang w:eastAsia="ko-KR"/>
        </w:rPr>
        <w:t xml:space="preserve">The findings of this study highlight the initial reading comprehension challenges faced by Grade 5 pupils at </w:t>
      </w:r>
      <w:proofErr w:type="spellStart"/>
      <w:r>
        <w:rPr>
          <w:rFonts w:ascii="Arial" w:hAnsi="Arial" w:cs="Arial"/>
          <w:szCs w:val="24"/>
          <w:lang w:eastAsia="ko-KR"/>
        </w:rPr>
        <w:t>Catigbian</w:t>
      </w:r>
      <w:proofErr w:type="spellEnd"/>
      <w:r>
        <w:rPr>
          <w:rFonts w:ascii="Arial" w:hAnsi="Arial" w:cs="Arial"/>
          <w:szCs w:val="24"/>
          <w:lang w:eastAsia="ko-KR"/>
        </w:rPr>
        <w:t xml:space="preserve"> Elementary School. The pre-test results revealed a mean score of 12.50 with a standard deviation of 4.56, indicating wide variability in performance. Only 6.2% of respondents achieved the highest score of 21, while a considerable proportion scored below the instructional level, suggesting significant difficulties in comprehension. The most frequently occurring score was 13, attained by 18.8% of respondents, while the lowest score of 4 reflected severe struggles with basic comprehension skills. These results confirm that many pupils fall within the “Frustration” level of reading comprehension, underscoring the urgent need for targeted interventions.</w:t>
      </w:r>
    </w:p>
    <w:p w14:paraId="376590A7" w14:textId="77777777" w:rsidR="00A82E6A" w:rsidRDefault="005E547F">
      <w:pPr>
        <w:pStyle w:val="BodyText"/>
        <w:jc w:val="both"/>
        <w:rPr>
          <w:rFonts w:ascii="Arial" w:hAnsi="Arial"/>
        </w:rPr>
      </w:pPr>
      <w:r>
        <w:rPr>
          <w:rFonts w:ascii="Arial" w:hAnsi="Arial"/>
        </w:rPr>
        <w:t xml:space="preserve">The disparity in performance suggests that while some students demonstrate fundamental reading abilities, many require remedial support, differentiated instruction, and scaffolded learning activities to strengthen their literacy skills. According to </w:t>
      </w:r>
      <w:proofErr w:type="spellStart"/>
      <w:r>
        <w:rPr>
          <w:rFonts w:ascii="Arial" w:hAnsi="Arial"/>
        </w:rPr>
        <w:t>Utami</w:t>
      </w:r>
      <w:proofErr w:type="spellEnd"/>
      <w:r>
        <w:rPr>
          <w:rFonts w:ascii="Arial" w:hAnsi="Arial"/>
        </w:rPr>
        <w:t xml:space="preserve"> and </w:t>
      </w:r>
      <w:proofErr w:type="spellStart"/>
      <w:r>
        <w:rPr>
          <w:rFonts w:ascii="Arial" w:hAnsi="Arial"/>
        </w:rPr>
        <w:t>Rusdarti</w:t>
      </w:r>
      <w:proofErr w:type="spellEnd"/>
      <w:r>
        <w:rPr>
          <w:rFonts w:ascii="Arial" w:hAnsi="Arial"/>
        </w:rPr>
        <w:t xml:space="preserve"> (2021), the Think-Pair-Share strategy provides a structured approach to comprehension by encouraging collaborative problem-solving and peer discussions. Similarly, Lestari (2022) emphasizes that cooperative learning strategies empower students to think critically and articulate responses, making literacy development more dynamic and engaging. These perspectives align with the present study’s findings, which indicate that TPS can serve as a valuable intervention for addressing comprehension gaps.</w:t>
      </w:r>
    </w:p>
    <w:p w14:paraId="4E6B2CAF" w14:textId="77777777" w:rsidR="00A82E6A" w:rsidRDefault="005E547F">
      <w:pPr>
        <w:pStyle w:val="BodyText"/>
        <w:jc w:val="both"/>
        <w:rPr>
          <w:rFonts w:ascii="Arial" w:hAnsi="Arial"/>
        </w:rPr>
      </w:pPr>
      <w:r>
        <w:rPr>
          <w:rFonts w:ascii="Arial" w:hAnsi="Arial"/>
        </w:rPr>
        <w:t xml:space="preserve">The results of this study are consistent with recent evidence from other contexts. </w:t>
      </w:r>
      <w:proofErr w:type="spellStart"/>
      <w:r>
        <w:rPr>
          <w:rFonts w:ascii="Arial" w:hAnsi="Arial"/>
        </w:rPr>
        <w:t>Agussatriana</w:t>
      </w:r>
      <w:proofErr w:type="spellEnd"/>
      <w:r>
        <w:rPr>
          <w:rFonts w:ascii="Arial" w:hAnsi="Arial"/>
        </w:rPr>
        <w:t xml:space="preserve"> (2020) reported significant gains in mean scores from 63.11 to 84.44 after TPS implementation, while </w:t>
      </w:r>
      <w:proofErr w:type="spellStart"/>
      <w:r>
        <w:rPr>
          <w:rFonts w:ascii="Arial" w:hAnsi="Arial"/>
        </w:rPr>
        <w:t>Candraloka</w:t>
      </w:r>
      <w:proofErr w:type="spellEnd"/>
      <w:r>
        <w:rPr>
          <w:rFonts w:ascii="Arial" w:hAnsi="Arial"/>
        </w:rPr>
        <w:t xml:space="preserve"> (2023) found that the experimental group achieved a mean of 88 compared to 72.19 in the control group. </w:t>
      </w:r>
      <w:proofErr w:type="spellStart"/>
      <w:r>
        <w:rPr>
          <w:rFonts w:ascii="Arial" w:hAnsi="Arial"/>
        </w:rPr>
        <w:t>Oktaviani</w:t>
      </w:r>
      <w:proofErr w:type="spellEnd"/>
      <w:r>
        <w:rPr>
          <w:rFonts w:ascii="Arial" w:hAnsi="Arial"/>
        </w:rPr>
        <w:t xml:space="preserve"> and </w:t>
      </w:r>
      <w:proofErr w:type="spellStart"/>
      <w:r>
        <w:rPr>
          <w:rFonts w:ascii="Arial" w:hAnsi="Arial"/>
        </w:rPr>
        <w:t>Rofiqoh</w:t>
      </w:r>
      <w:proofErr w:type="spellEnd"/>
      <w:r>
        <w:rPr>
          <w:rFonts w:ascii="Arial" w:hAnsi="Arial"/>
        </w:rPr>
        <w:t xml:space="preserve"> (2021) documented improvements from 58.44 to 85.11, and Bastian (2021) observed a 24.5-point increase, with notable gains in identifying specific information. Classroom Action Research conducted by </w:t>
      </w:r>
      <w:proofErr w:type="spellStart"/>
      <w:r>
        <w:rPr>
          <w:rFonts w:ascii="Arial" w:hAnsi="Arial"/>
        </w:rPr>
        <w:t>Pratolo</w:t>
      </w:r>
      <w:proofErr w:type="spellEnd"/>
      <w:r>
        <w:rPr>
          <w:rFonts w:ascii="Arial" w:hAnsi="Arial"/>
        </w:rPr>
        <w:t xml:space="preserve">, Bao, and </w:t>
      </w:r>
      <w:proofErr w:type="spellStart"/>
      <w:r>
        <w:rPr>
          <w:rFonts w:ascii="Arial" w:hAnsi="Arial"/>
        </w:rPr>
        <w:t>Palaguna</w:t>
      </w:r>
      <w:proofErr w:type="spellEnd"/>
      <w:r>
        <w:rPr>
          <w:rFonts w:ascii="Arial" w:hAnsi="Arial"/>
        </w:rPr>
        <w:t xml:space="preserve"> (2025) further highlighted that TPS not only raised comprehension scores but also transformed passive learners into motivated, collaborative participants.  </w:t>
      </w:r>
      <w:proofErr w:type="spellStart"/>
      <w:r>
        <w:rPr>
          <w:rFonts w:ascii="Arial" w:hAnsi="Arial"/>
        </w:rPr>
        <w:t>Suhendi</w:t>
      </w:r>
      <w:proofErr w:type="spellEnd"/>
      <w:r>
        <w:rPr>
          <w:rFonts w:ascii="Arial" w:hAnsi="Arial"/>
        </w:rPr>
        <w:t xml:space="preserve"> (2022) likewise confirmed that TPS fosters motivation, equity, and consistent achievement across diverse student groups. These studies reinforce the present findings, demonstrating that TPS is effective in both enhancing comprehension and reshaping classroom dynamics.</w:t>
      </w:r>
    </w:p>
    <w:p w14:paraId="009E2380" w14:textId="77777777" w:rsidR="00A82E6A" w:rsidRDefault="005E547F">
      <w:pPr>
        <w:pStyle w:val="BodyText"/>
        <w:jc w:val="both"/>
        <w:rPr>
          <w:rFonts w:ascii="Arial" w:hAnsi="Arial"/>
        </w:rPr>
      </w:pPr>
      <w:r>
        <w:rPr>
          <w:rFonts w:ascii="Arial" w:hAnsi="Arial"/>
        </w:rPr>
        <w:t>Beyond quantitative improvements, qualitative evidence underscores TPS’s role in fostering confidence, motivation, and active participation. Students who were previously passive became more engaged, valuing peer collaboration and structured discussions. The scaffolding provided by TPS encouraged deeper processing of texts and equitable participation, while variability in achievement decreased, indicating more consistent performance across learners. This transformation reflects the broader potential of TPS to create student-centered and inclusive learning environments.</w:t>
      </w:r>
    </w:p>
    <w:p w14:paraId="4DC48485" w14:textId="77777777" w:rsidR="00A82E6A" w:rsidRDefault="005E547F">
      <w:pPr>
        <w:pStyle w:val="BodyText"/>
        <w:jc w:val="both"/>
        <w:rPr>
          <w:rFonts w:ascii="Arial" w:hAnsi="Arial"/>
        </w:rPr>
      </w:pPr>
      <w:r>
        <w:rPr>
          <w:rFonts w:ascii="Arial" w:hAnsi="Arial"/>
        </w:rPr>
        <w:t xml:space="preserve">Given the significant role of vocabulary acquisition in comprehension, future instructional practices should integrate explicit vocabulary instruction, exposure to varied texts, and interactive storytelling techniques. Multi-sensory learning methods, such as visual aids, graphic organizers, and digital literacy tools, can further enhance comprehension and retention. Ultimately, the pre-test results confirm that many students struggle with reading </w:t>
      </w:r>
      <w:r>
        <w:rPr>
          <w:rFonts w:ascii="Arial" w:hAnsi="Arial"/>
        </w:rPr>
        <w:lastRenderedPageBreak/>
        <w:t>comprehension, making it imperative for educators to adopt evidence-based strategies. The Think-Pair-Share strategy, when applied systematically, has the potential to enhance comprehension, boost confidence, and improve text retention. Moving forward, schools should prioritize collaborative learning models, differentiated instruction, and targeted comprehension exercises to strengthen literacy proficiency among elementary learners.</w:t>
      </w:r>
    </w:p>
    <w:p w14:paraId="071CC3CE" w14:textId="77777777" w:rsidR="00A82E6A" w:rsidRDefault="005E547F">
      <w:pPr>
        <w:pStyle w:val="NormalWeb"/>
        <w:spacing w:before="280" w:after="280"/>
        <w:jc w:val="center"/>
        <w:rPr>
          <w:rFonts w:ascii="Arial" w:hAnsi="Arial" w:cs="Arial"/>
          <w:sz w:val="20"/>
          <w:lang w:val="en-US" w:eastAsia="ko-KR"/>
        </w:rPr>
      </w:pPr>
      <w:r>
        <w:rPr>
          <w:rFonts w:ascii="Arial" w:eastAsia="Calibri" w:hAnsi="Arial" w:cs="Arial"/>
          <w:b/>
          <w:sz w:val="20"/>
        </w:rPr>
        <w:t>Table 1: Pre-test Result</w:t>
      </w:r>
    </w:p>
    <w:tbl>
      <w:tblPr>
        <w:tblStyle w:val="TableGrid"/>
        <w:tblW w:w="8208" w:type="dxa"/>
        <w:tblLayout w:type="fixed"/>
        <w:tblLook w:val="04A0" w:firstRow="1" w:lastRow="0" w:firstColumn="1" w:lastColumn="0" w:noHBand="0" w:noVBand="1"/>
      </w:tblPr>
      <w:tblGrid>
        <w:gridCol w:w="2236"/>
        <w:gridCol w:w="2976"/>
        <w:gridCol w:w="1467"/>
        <w:gridCol w:w="1529"/>
      </w:tblGrid>
      <w:tr w:rsidR="00A82E6A" w14:paraId="6732E5F2" w14:textId="77777777">
        <w:trPr>
          <w:trHeight w:val="187"/>
        </w:trPr>
        <w:tc>
          <w:tcPr>
            <w:tcW w:w="2235" w:type="dxa"/>
          </w:tcPr>
          <w:p w14:paraId="75905A79" w14:textId="77777777" w:rsidR="00A82E6A" w:rsidRDefault="005E547F">
            <w:pPr>
              <w:pStyle w:val="NormalWeb"/>
              <w:jc w:val="center"/>
              <w:rPr>
                <w:rFonts w:ascii="Arial" w:hAnsi="Arial" w:cs="Arial"/>
                <w:b/>
                <w:sz w:val="20"/>
              </w:rPr>
            </w:pPr>
            <w:r>
              <w:rPr>
                <w:rFonts w:ascii="Arial" w:eastAsia="Calibri" w:hAnsi="Arial" w:cs="Arial"/>
                <w:b/>
                <w:sz w:val="20"/>
              </w:rPr>
              <w:t>Scores</w:t>
            </w:r>
          </w:p>
        </w:tc>
        <w:tc>
          <w:tcPr>
            <w:tcW w:w="2976" w:type="dxa"/>
          </w:tcPr>
          <w:p w14:paraId="3DEBCD57" w14:textId="77777777" w:rsidR="00A82E6A" w:rsidRDefault="005E547F">
            <w:pPr>
              <w:pStyle w:val="NormalWeb"/>
              <w:jc w:val="center"/>
              <w:rPr>
                <w:rFonts w:ascii="Arial" w:hAnsi="Arial" w:cs="Arial"/>
                <w:b/>
                <w:sz w:val="20"/>
              </w:rPr>
            </w:pPr>
            <w:r>
              <w:rPr>
                <w:rFonts w:ascii="Arial" w:eastAsia="Calibri" w:hAnsi="Arial" w:cs="Arial"/>
                <w:b/>
                <w:sz w:val="20"/>
              </w:rPr>
              <w:t>Comprehension Percentage</w:t>
            </w:r>
          </w:p>
        </w:tc>
        <w:tc>
          <w:tcPr>
            <w:tcW w:w="1467" w:type="dxa"/>
          </w:tcPr>
          <w:p w14:paraId="1A316656" w14:textId="77777777" w:rsidR="00A82E6A" w:rsidRDefault="005E547F">
            <w:pPr>
              <w:pStyle w:val="NormalWeb"/>
              <w:jc w:val="center"/>
              <w:rPr>
                <w:rFonts w:ascii="Arial" w:hAnsi="Arial" w:cs="Arial"/>
                <w:b/>
                <w:sz w:val="20"/>
              </w:rPr>
            </w:pPr>
            <w:r>
              <w:rPr>
                <w:rFonts w:ascii="Arial" w:eastAsia="Calibri" w:hAnsi="Arial" w:cs="Arial"/>
                <w:b/>
                <w:sz w:val="20"/>
              </w:rPr>
              <w:t>Frequency</w:t>
            </w:r>
          </w:p>
        </w:tc>
        <w:tc>
          <w:tcPr>
            <w:tcW w:w="1529" w:type="dxa"/>
          </w:tcPr>
          <w:p w14:paraId="742FC203" w14:textId="77777777" w:rsidR="00A82E6A" w:rsidRDefault="005E547F">
            <w:pPr>
              <w:pStyle w:val="NormalWeb"/>
              <w:jc w:val="center"/>
              <w:rPr>
                <w:rFonts w:ascii="Arial" w:hAnsi="Arial" w:cs="Arial"/>
                <w:b/>
                <w:sz w:val="20"/>
              </w:rPr>
            </w:pPr>
            <w:r>
              <w:rPr>
                <w:rFonts w:ascii="Arial" w:eastAsia="Calibri" w:hAnsi="Arial" w:cs="Arial"/>
                <w:b/>
                <w:sz w:val="20"/>
              </w:rPr>
              <w:t>Percentage</w:t>
            </w:r>
          </w:p>
        </w:tc>
      </w:tr>
      <w:tr w:rsidR="00A82E6A" w14:paraId="7139F1F9" w14:textId="77777777">
        <w:trPr>
          <w:trHeight w:val="269"/>
        </w:trPr>
        <w:tc>
          <w:tcPr>
            <w:tcW w:w="2235" w:type="dxa"/>
          </w:tcPr>
          <w:p w14:paraId="26AC74AB" w14:textId="77777777" w:rsidR="00A82E6A" w:rsidRDefault="005E547F">
            <w:pPr>
              <w:pStyle w:val="NormalWeb"/>
              <w:spacing w:before="100" w:after="100"/>
              <w:jc w:val="center"/>
              <w:rPr>
                <w:rFonts w:ascii="Arial" w:hAnsi="Arial" w:cs="Arial"/>
                <w:sz w:val="20"/>
              </w:rPr>
            </w:pPr>
            <w:r>
              <w:rPr>
                <w:rFonts w:ascii="Arial" w:hAnsi="Arial" w:cs="Arial"/>
                <w:sz w:val="20"/>
              </w:rPr>
              <w:t>4</w:t>
            </w:r>
          </w:p>
        </w:tc>
        <w:tc>
          <w:tcPr>
            <w:tcW w:w="2976" w:type="dxa"/>
          </w:tcPr>
          <w:p w14:paraId="41049259" w14:textId="77777777" w:rsidR="00A82E6A" w:rsidRDefault="005E547F">
            <w:pPr>
              <w:pStyle w:val="NormalWeb"/>
              <w:jc w:val="center"/>
              <w:rPr>
                <w:rFonts w:ascii="Arial" w:hAnsi="Arial" w:cs="Arial"/>
                <w:bCs/>
                <w:sz w:val="20"/>
              </w:rPr>
            </w:pPr>
            <w:r>
              <w:rPr>
                <w:rFonts w:ascii="Arial" w:hAnsi="Arial" w:cs="Arial"/>
                <w:bCs/>
                <w:sz w:val="20"/>
              </w:rPr>
              <w:t>16%</w:t>
            </w:r>
          </w:p>
        </w:tc>
        <w:tc>
          <w:tcPr>
            <w:tcW w:w="1467" w:type="dxa"/>
          </w:tcPr>
          <w:p w14:paraId="676F2C15" w14:textId="77777777" w:rsidR="00A82E6A" w:rsidRDefault="005E547F">
            <w:pPr>
              <w:pStyle w:val="NormalWeb"/>
              <w:jc w:val="center"/>
              <w:rPr>
                <w:rFonts w:ascii="Arial" w:hAnsi="Arial" w:cs="Arial"/>
                <w:sz w:val="20"/>
              </w:rPr>
            </w:pPr>
            <w:r>
              <w:rPr>
                <w:rFonts w:ascii="Arial" w:hAnsi="Arial" w:cs="Arial"/>
                <w:sz w:val="20"/>
              </w:rPr>
              <w:t>1</w:t>
            </w:r>
          </w:p>
        </w:tc>
        <w:tc>
          <w:tcPr>
            <w:tcW w:w="1529" w:type="dxa"/>
          </w:tcPr>
          <w:p w14:paraId="2EFB13F9" w14:textId="77777777" w:rsidR="00A82E6A" w:rsidRDefault="005E547F">
            <w:pPr>
              <w:pStyle w:val="NormalWeb"/>
              <w:jc w:val="center"/>
              <w:rPr>
                <w:rFonts w:ascii="Arial" w:hAnsi="Arial" w:cs="Arial"/>
                <w:sz w:val="20"/>
              </w:rPr>
            </w:pPr>
            <w:r>
              <w:rPr>
                <w:rFonts w:ascii="Arial" w:hAnsi="Arial" w:cs="Arial"/>
                <w:sz w:val="20"/>
              </w:rPr>
              <w:t>6.2</w:t>
            </w:r>
            <w:r>
              <w:rPr>
                <w:rFonts w:ascii="Arial" w:hAnsi="Arial" w:cs="Arial"/>
                <w:bCs/>
                <w:sz w:val="20"/>
              </w:rPr>
              <w:t>%</w:t>
            </w:r>
          </w:p>
        </w:tc>
      </w:tr>
      <w:tr w:rsidR="00A82E6A" w14:paraId="2B808979" w14:textId="77777777">
        <w:trPr>
          <w:trHeight w:val="269"/>
        </w:trPr>
        <w:tc>
          <w:tcPr>
            <w:tcW w:w="2235" w:type="dxa"/>
          </w:tcPr>
          <w:p w14:paraId="5704D857" w14:textId="77777777" w:rsidR="00A82E6A" w:rsidRDefault="005E547F">
            <w:pPr>
              <w:pStyle w:val="NormalWeb"/>
              <w:jc w:val="center"/>
              <w:rPr>
                <w:rFonts w:ascii="Arial" w:hAnsi="Arial" w:cs="Arial"/>
                <w:sz w:val="20"/>
              </w:rPr>
            </w:pPr>
            <w:r>
              <w:rPr>
                <w:rFonts w:ascii="Arial" w:hAnsi="Arial" w:cs="Arial"/>
                <w:sz w:val="20"/>
              </w:rPr>
              <w:t>6</w:t>
            </w:r>
          </w:p>
        </w:tc>
        <w:tc>
          <w:tcPr>
            <w:tcW w:w="2976" w:type="dxa"/>
          </w:tcPr>
          <w:p w14:paraId="6FEC573F" w14:textId="77777777" w:rsidR="00A82E6A" w:rsidRDefault="005E547F">
            <w:pPr>
              <w:pStyle w:val="NormalWeb"/>
              <w:jc w:val="center"/>
              <w:rPr>
                <w:rFonts w:ascii="Arial" w:hAnsi="Arial" w:cs="Arial"/>
                <w:bCs/>
                <w:sz w:val="20"/>
              </w:rPr>
            </w:pPr>
            <w:r>
              <w:rPr>
                <w:rFonts w:ascii="Arial" w:hAnsi="Arial" w:cs="Arial"/>
                <w:bCs/>
                <w:sz w:val="20"/>
              </w:rPr>
              <w:t>24%</w:t>
            </w:r>
          </w:p>
        </w:tc>
        <w:tc>
          <w:tcPr>
            <w:tcW w:w="1467" w:type="dxa"/>
          </w:tcPr>
          <w:p w14:paraId="58DBFD54" w14:textId="77777777" w:rsidR="00A82E6A" w:rsidRDefault="005E547F">
            <w:pPr>
              <w:pStyle w:val="NormalWeb"/>
              <w:jc w:val="center"/>
              <w:rPr>
                <w:rFonts w:ascii="Arial" w:hAnsi="Arial" w:cs="Arial"/>
                <w:sz w:val="20"/>
              </w:rPr>
            </w:pPr>
            <w:r>
              <w:rPr>
                <w:rFonts w:ascii="Arial" w:hAnsi="Arial" w:cs="Arial"/>
                <w:sz w:val="20"/>
              </w:rPr>
              <w:t>1</w:t>
            </w:r>
          </w:p>
        </w:tc>
        <w:tc>
          <w:tcPr>
            <w:tcW w:w="1529" w:type="dxa"/>
          </w:tcPr>
          <w:p w14:paraId="0A925982" w14:textId="77777777" w:rsidR="00A82E6A" w:rsidRDefault="005E547F">
            <w:pPr>
              <w:pStyle w:val="NormalWeb"/>
              <w:jc w:val="center"/>
              <w:rPr>
                <w:rFonts w:ascii="Arial" w:hAnsi="Arial" w:cs="Arial"/>
                <w:sz w:val="20"/>
              </w:rPr>
            </w:pPr>
            <w:r>
              <w:rPr>
                <w:rFonts w:ascii="Arial" w:hAnsi="Arial" w:cs="Arial"/>
                <w:sz w:val="20"/>
              </w:rPr>
              <w:t>6.2</w:t>
            </w:r>
            <w:r>
              <w:rPr>
                <w:rFonts w:ascii="Arial" w:hAnsi="Arial" w:cs="Arial"/>
                <w:bCs/>
                <w:sz w:val="20"/>
              </w:rPr>
              <w:t>%</w:t>
            </w:r>
          </w:p>
        </w:tc>
      </w:tr>
      <w:tr w:rsidR="00A82E6A" w14:paraId="03283272" w14:textId="77777777">
        <w:trPr>
          <w:trHeight w:val="257"/>
        </w:trPr>
        <w:tc>
          <w:tcPr>
            <w:tcW w:w="2235" w:type="dxa"/>
          </w:tcPr>
          <w:p w14:paraId="7D26B81A" w14:textId="77777777" w:rsidR="00A82E6A" w:rsidRDefault="005E547F">
            <w:pPr>
              <w:pStyle w:val="NormalWeb"/>
              <w:jc w:val="center"/>
              <w:rPr>
                <w:rFonts w:ascii="Arial" w:hAnsi="Arial" w:cs="Arial"/>
                <w:sz w:val="20"/>
              </w:rPr>
            </w:pPr>
            <w:r>
              <w:rPr>
                <w:rFonts w:ascii="Arial" w:hAnsi="Arial" w:cs="Arial"/>
                <w:sz w:val="20"/>
              </w:rPr>
              <w:t>7</w:t>
            </w:r>
          </w:p>
        </w:tc>
        <w:tc>
          <w:tcPr>
            <w:tcW w:w="2976" w:type="dxa"/>
          </w:tcPr>
          <w:p w14:paraId="5171B2C8" w14:textId="77777777" w:rsidR="00A82E6A" w:rsidRDefault="005E547F">
            <w:pPr>
              <w:pStyle w:val="NormalWeb"/>
              <w:jc w:val="center"/>
              <w:rPr>
                <w:rFonts w:ascii="Arial" w:hAnsi="Arial" w:cs="Arial"/>
                <w:bCs/>
                <w:sz w:val="20"/>
              </w:rPr>
            </w:pPr>
            <w:r>
              <w:rPr>
                <w:rFonts w:ascii="Arial" w:hAnsi="Arial" w:cs="Arial"/>
                <w:bCs/>
                <w:sz w:val="20"/>
              </w:rPr>
              <w:t>28%</w:t>
            </w:r>
          </w:p>
        </w:tc>
        <w:tc>
          <w:tcPr>
            <w:tcW w:w="1467" w:type="dxa"/>
          </w:tcPr>
          <w:p w14:paraId="11E48DBB" w14:textId="77777777" w:rsidR="00A82E6A" w:rsidRDefault="005E547F">
            <w:pPr>
              <w:pStyle w:val="NormalWeb"/>
              <w:jc w:val="center"/>
              <w:rPr>
                <w:rFonts w:ascii="Arial" w:hAnsi="Arial" w:cs="Arial"/>
                <w:sz w:val="20"/>
              </w:rPr>
            </w:pPr>
            <w:r>
              <w:rPr>
                <w:rFonts w:ascii="Arial" w:hAnsi="Arial" w:cs="Arial"/>
                <w:sz w:val="20"/>
              </w:rPr>
              <w:t>1</w:t>
            </w:r>
          </w:p>
        </w:tc>
        <w:tc>
          <w:tcPr>
            <w:tcW w:w="1529" w:type="dxa"/>
          </w:tcPr>
          <w:p w14:paraId="081E0811" w14:textId="77777777" w:rsidR="00A82E6A" w:rsidRDefault="005E547F">
            <w:pPr>
              <w:pStyle w:val="NormalWeb"/>
              <w:jc w:val="center"/>
              <w:rPr>
                <w:rFonts w:ascii="Arial" w:hAnsi="Arial" w:cs="Arial"/>
                <w:sz w:val="20"/>
              </w:rPr>
            </w:pPr>
            <w:r>
              <w:rPr>
                <w:rFonts w:ascii="Arial" w:hAnsi="Arial" w:cs="Arial"/>
                <w:sz w:val="20"/>
              </w:rPr>
              <w:t>6.2</w:t>
            </w:r>
            <w:r>
              <w:rPr>
                <w:rFonts w:ascii="Arial" w:hAnsi="Arial" w:cs="Arial"/>
                <w:bCs/>
                <w:sz w:val="20"/>
              </w:rPr>
              <w:t>%</w:t>
            </w:r>
          </w:p>
        </w:tc>
      </w:tr>
      <w:tr w:rsidR="00A82E6A" w14:paraId="191FED93" w14:textId="77777777">
        <w:trPr>
          <w:trHeight w:val="257"/>
        </w:trPr>
        <w:tc>
          <w:tcPr>
            <w:tcW w:w="2235" w:type="dxa"/>
          </w:tcPr>
          <w:p w14:paraId="3823F0B8" w14:textId="77777777" w:rsidR="00A82E6A" w:rsidRDefault="005E547F">
            <w:pPr>
              <w:pStyle w:val="NormalWeb"/>
              <w:jc w:val="center"/>
              <w:rPr>
                <w:rFonts w:ascii="Arial" w:hAnsi="Arial" w:cs="Arial"/>
                <w:sz w:val="20"/>
              </w:rPr>
            </w:pPr>
            <w:r>
              <w:rPr>
                <w:rFonts w:ascii="Arial" w:hAnsi="Arial" w:cs="Arial"/>
                <w:sz w:val="20"/>
              </w:rPr>
              <w:t>9</w:t>
            </w:r>
          </w:p>
        </w:tc>
        <w:tc>
          <w:tcPr>
            <w:tcW w:w="2976" w:type="dxa"/>
          </w:tcPr>
          <w:p w14:paraId="55D68A40" w14:textId="77777777" w:rsidR="00A82E6A" w:rsidRDefault="005E547F">
            <w:pPr>
              <w:pStyle w:val="NormalWeb"/>
              <w:jc w:val="center"/>
              <w:rPr>
                <w:rFonts w:ascii="Arial" w:eastAsia="Calibri" w:hAnsi="Arial" w:cs="Arial"/>
                <w:bCs/>
                <w:sz w:val="20"/>
                <w:lang w:val="en-PH"/>
              </w:rPr>
            </w:pPr>
            <w:r>
              <w:rPr>
                <w:rFonts w:ascii="Arial" w:eastAsia="Calibri" w:hAnsi="Arial" w:cs="Arial"/>
                <w:bCs/>
                <w:sz w:val="20"/>
                <w:lang w:val="en-PH"/>
              </w:rPr>
              <w:t>36</w:t>
            </w:r>
            <w:r>
              <w:rPr>
                <w:rFonts w:ascii="Arial" w:hAnsi="Arial" w:cs="Arial"/>
                <w:bCs/>
                <w:sz w:val="20"/>
              </w:rPr>
              <w:t>%</w:t>
            </w:r>
          </w:p>
        </w:tc>
        <w:tc>
          <w:tcPr>
            <w:tcW w:w="1467" w:type="dxa"/>
          </w:tcPr>
          <w:p w14:paraId="2282AE11" w14:textId="77777777" w:rsidR="00A82E6A" w:rsidRDefault="005E547F">
            <w:pPr>
              <w:pStyle w:val="NormalWeb"/>
              <w:jc w:val="center"/>
              <w:rPr>
                <w:rFonts w:ascii="Arial" w:eastAsia="Calibri" w:hAnsi="Arial" w:cs="Arial"/>
                <w:sz w:val="20"/>
              </w:rPr>
            </w:pPr>
            <w:r>
              <w:rPr>
                <w:rFonts w:ascii="Arial" w:eastAsia="Calibri" w:hAnsi="Arial" w:cs="Arial"/>
                <w:sz w:val="20"/>
              </w:rPr>
              <w:t>1</w:t>
            </w:r>
          </w:p>
        </w:tc>
        <w:tc>
          <w:tcPr>
            <w:tcW w:w="1529" w:type="dxa"/>
          </w:tcPr>
          <w:p w14:paraId="0A5C7C79" w14:textId="77777777" w:rsidR="00A82E6A" w:rsidRDefault="005E547F">
            <w:pPr>
              <w:pStyle w:val="NormalWeb"/>
              <w:jc w:val="center"/>
              <w:rPr>
                <w:rFonts w:ascii="Arial" w:eastAsia="Calibri" w:hAnsi="Arial" w:cs="Arial"/>
                <w:sz w:val="20"/>
              </w:rPr>
            </w:pPr>
            <w:r>
              <w:rPr>
                <w:rFonts w:ascii="Arial" w:eastAsia="Calibri" w:hAnsi="Arial" w:cs="Arial"/>
                <w:sz w:val="20"/>
              </w:rPr>
              <w:t>6.2</w:t>
            </w:r>
            <w:r>
              <w:rPr>
                <w:rFonts w:ascii="Arial" w:hAnsi="Arial" w:cs="Arial"/>
                <w:bCs/>
                <w:sz w:val="20"/>
              </w:rPr>
              <w:t>%</w:t>
            </w:r>
          </w:p>
        </w:tc>
      </w:tr>
      <w:tr w:rsidR="00A82E6A" w14:paraId="30DBED80" w14:textId="77777777">
        <w:trPr>
          <w:trHeight w:val="257"/>
        </w:trPr>
        <w:tc>
          <w:tcPr>
            <w:tcW w:w="2235" w:type="dxa"/>
          </w:tcPr>
          <w:p w14:paraId="78E9DC0B" w14:textId="77777777" w:rsidR="00A82E6A" w:rsidRDefault="005E547F">
            <w:pPr>
              <w:pStyle w:val="NormalWeb"/>
              <w:jc w:val="center"/>
              <w:rPr>
                <w:rFonts w:ascii="Arial" w:hAnsi="Arial" w:cs="Arial"/>
                <w:sz w:val="20"/>
              </w:rPr>
            </w:pPr>
            <w:r>
              <w:rPr>
                <w:rFonts w:ascii="Arial" w:hAnsi="Arial" w:cs="Arial"/>
                <w:sz w:val="20"/>
              </w:rPr>
              <w:t>11</w:t>
            </w:r>
          </w:p>
        </w:tc>
        <w:tc>
          <w:tcPr>
            <w:tcW w:w="2976" w:type="dxa"/>
          </w:tcPr>
          <w:p w14:paraId="3EAB8250" w14:textId="77777777" w:rsidR="00A82E6A" w:rsidRDefault="005E547F">
            <w:pPr>
              <w:pStyle w:val="NormalWeb"/>
              <w:jc w:val="center"/>
              <w:rPr>
                <w:rFonts w:ascii="Arial" w:eastAsia="Calibri" w:hAnsi="Arial" w:cs="Arial"/>
                <w:bCs/>
                <w:sz w:val="20"/>
                <w:lang w:val="en-PH"/>
              </w:rPr>
            </w:pPr>
            <w:r>
              <w:rPr>
                <w:rFonts w:ascii="Arial" w:eastAsia="Calibri" w:hAnsi="Arial" w:cs="Arial"/>
                <w:bCs/>
                <w:sz w:val="20"/>
                <w:lang w:val="en-PH"/>
              </w:rPr>
              <w:t>44</w:t>
            </w:r>
            <w:r>
              <w:rPr>
                <w:rFonts w:ascii="Arial" w:hAnsi="Arial" w:cs="Arial"/>
                <w:bCs/>
                <w:sz w:val="20"/>
              </w:rPr>
              <w:t>%</w:t>
            </w:r>
          </w:p>
        </w:tc>
        <w:tc>
          <w:tcPr>
            <w:tcW w:w="1467" w:type="dxa"/>
          </w:tcPr>
          <w:p w14:paraId="54B31BB1" w14:textId="77777777" w:rsidR="00A82E6A" w:rsidRDefault="005E547F">
            <w:pPr>
              <w:pStyle w:val="NormalWeb"/>
              <w:jc w:val="center"/>
              <w:rPr>
                <w:rFonts w:ascii="Arial" w:eastAsia="Calibri" w:hAnsi="Arial" w:cs="Arial"/>
                <w:sz w:val="20"/>
              </w:rPr>
            </w:pPr>
            <w:r>
              <w:rPr>
                <w:rFonts w:ascii="Arial" w:eastAsia="Calibri" w:hAnsi="Arial" w:cs="Arial"/>
                <w:sz w:val="20"/>
              </w:rPr>
              <w:t>2</w:t>
            </w:r>
          </w:p>
        </w:tc>
        <w:tc>
          <w:tcPr>
            <w:tcW w:w="1529" w:type="dxa"/>
          </w:tcPr>
          <w:p w14:paraId="763A2CF7" w14:textId="77777777" w:rsidR="00A82E6A" w:rsidRDefault="005E547F">
            <w:pPr>
              <w:pStyle w:val="NormalWeb"/>
              <w:jc w:val="center"/>
              <w:rPr>
                <w:rFonts w:ascii="Arial" w:eastAsia="Calibri" w:hAnsi="Arial" w:cs="Arial"/>
                <w:sz w:val="20"/>
              </w:rPr>
            </w:pPr>
            <w:r>
              <w:rPr>
                <w:rFonts w:ascii="Arial" w:eastAsia="Calibri" w:hAnsi="Arial" w:cs="Arial"/>
                <w:sz w:val="20"/>
              </w:rPr>
              <w:t>12.5</w:t>
            </w:r>
            <w:r>
              <w:rPr>
                <w:rFonts w:ascii="Arial" w:hAnsi="Arial" w:cs="Arial"/>
                <w:bCs/>
                <w:sz w:val="20"/>
              </w:rPr>
              <w:t>%</w:t>
            </w:r>
          </w:p>
        </w:tc>
      </w:tr>
      <w:tr w:rsidR="00A82E6A" w14:paraId="42F1DCD2" w14:textId="77777777">
        <w:trPr>
          <w:trHeight w:val="257"/>
        </w:trPr>
        <w:tc>
          <w:tcPr>
            <w:tcW w:w="2235" w:type="dxa"/>
          </w:tcPr>
          <w:p w14:paraId="00332564" w14:textId="77777777" w:rsidR="00A82E6A" w:rsidRDefault="005E547F">
            <w:pPr>
              <w:pStyle w:val="NormalWeb"/>
              <w:jc w:val="center"/>
              <w:rPr>
                <w:rFonts w:ascii="Arial" w:hAnsi="Arial" w:cs="Arial"/>
                <w:sz w:val="20"/>
              </w:rPr>
            </w:pPr>
            <w:r>
              <w:rPr>
                <w:rFonts w:ascii="Arial" w:hAnsi="Arial" w:cs="Arial"/>
                <w:sz w:val="20"/>
              </w:rPr>
              <w:t>12</w:t>
            </w:r>
          </w:p>
        </w:tc>
        <w:tc>
          <w:tcPr>
            <w:tcW w:w="2976" w:type="dxa"/>
          </w:tcPr>
          <w:p w14:paraId="452E114B" w14:textId="77777777" w:rsidR="00A82E6A" w:rsidRDefault="005E547F">
            <w:pPr>
              <w:pStyle w:val="NormalWeb"/>
              <w:jc w:val="center"/>
              <w:rPr>
                <w:rFonts w:ascii="Arial" w:eastAsia="Calibri" w:hAnsi="Arial" w:cs="Arial"/>
                <w:bCs/>
                <w:sz w:val="20"/>
                <w:lang w:val="en-PH"/>
              </w:rPr>
            </w:pPr>
            <w:r>
              <w:rPr>
                <w:rFonts w:ascii="Arial" w:eastAsia="Calibri" w:hAnsi="Arial" w:cs="Arial"/>
                <w:bCs/>
                <w:sz w:val="20"/>
                <w:lang w:val="en-PH"/>
              </w:rPr>
              <w:t>48</w:t>
            </w:r>
            <w:r>
              <w:rPr>
                <w:rFonts w:ascii="Arial" w:hAnsi="Arial" w:cs="Arial"/>
                <w:bCs/>
                <w:sz w:val="20"/>
              </w:rPr>
              <w:t>%</w:t>
            </w:r>
          </w:p>
        </w:tc>
        <w:tc>
          <w:tcPr>
            <w:tcW w:w="1467" w:type="dxa"/>
          </w:tcPr>
          <w:p w14:paraId="135A4B48" w14:textId="77777777" w:rsidR="00A82E6A" w:rsidRDefault="005E547F">
            <w:pPr>
              <w:pStyle w:val="NormalWeb"/>
              <w:jc w:val="center"/>
              <w:rPr>
                <w:rFonts w:ascii="Arial" w:eastAsia="Calibri" w:hAnsi="Arial" w:cs="Arial"/>
                <w:sz w:val="20"/>
              </w:rPr>
            </w:pPr>
            <w:r>
              <w:rPr>
                <w:rFonts w:ascii="Arial" w:eastAsia="Calibri" w:hAnsi="Arial" w:cs="Arial"/>
                <w:sz w:val="20"/>
              </w:rPr>
              <w:t>1</w:t>
            </w:r>
          </w:p>
        </w:tc>
        <w:tc>
          <w:tcPr>
            <w:tcW w:w="1529" w:type="dxa"/>
          </w:tcPr>
          <w:p w14:paraId="0A06D3A3" w14:textId="77777777" w:rsidR="00A82E6A" w:rsidRDefault="005E547F">
            <w:pPr>
              <w:pStyle w:val="NormalWeb"/>
              <w:jc w:val="center"/>
              <w:rPr>
                <w:rFonts w:ascii="Arial" w:eastAsia="Calibri" w:hAnsi="Arial" w:cs="Arial"/>
                <w:sz w:val="20"/>
              </w:rPr>
            </w:pPr>
            <w:r>
              <w:rPr>
                <w:rFonts w:ascii="Arial" w:eastAsia="Calibri" w:hAnsi="Arial" w:cs="Arial"/>
                <w:sz w:val="20"/>
              </w:rPr>
              <w:t>6.2</w:t>
            </w:r>
            <w:r>
              <w:rPr>
                <w:rFonts w:ascii="Arial" w:hAnsi="Arial" w:cs="Arial"/>
                <w:bCs/>
                <w:sz w:val="20"/>
              </w:rPr>
              <w:t>%</w:t>
            </w:r>
          </w:p>
        </w:tc>
      </w:tr>
      <w:tr w:rsidR="00A82E6A" w14:paraId="51CB837C" w14:textId="77777777">
        <w:trPr>
          <w:trHeight w:val="257"/>
        </w:trPr>
        <w:tc>
          <w:tcPr>
            <w:tcW w:w="2235" w:type="dxa"/>
          </w:tcPr>
          <w:p w14:paraId="53B13E80" w14:textId="77777777" w:rsidR="00A82E6A" w:rsidRDefault="005E547F">
            <w:pPr>
              <w:pStyle w:val="NormalWeb"/>
              <w:jc w:val="center"/>
              <w:rPr>
                <w:rFonts w:ascii="Arial" w:hAnsi="Arial" w:cs="Arial"/>
                <w:sz w:val="20"/>
              </w:rPr>
            </w:pPr>
            <w:r>
              <w:rPr>
                <w:rFonts w:ascii="Arial" w:hAnsi="Arial" w:cs="Arial"/>
                <w:sz w:val="20"/>
              </w:rPr>
              <w:t>13</w:t>
            </w:r>
          </w:p>
        </w:tc>
        <w:tc>
          <w:tcPr>
            <w:tcW w:w="2976" w:type="dxa"/>
          </w:tcPr>
          <w:p w14:paraId="51B7A903" w14:textId="77777777" w:rsidR="00A82E6A" w:rsidRDefault="005E547F">
            <w:pPr>
              <w:pStyle w:val="NormalWeb"/>
              <w:jc w:val="center"/>
              <w:rPr>
                <w:rFonts w:ascii="Arial" w:eastAsia="Calibri" w:hAnsi="Arial" w:cs="Arial"/>
                <w:bCs/>
                <w:sz w:val="20"/>
                <w:lang w:val="en-PH"/>
              </w:rPr>
            </w:pPr>
            <w:r>
              <w:rPr>
                <w:rFonts w:ascii="Arial" w:eastAsia="Calibri" w:hAnsi="Arial" w:cs="Arial"/>
                <w:bCs/>
                <w:sz w:val="20"/>
                <w:lang w:val="en-PH"/>
              </w:rPr>
              <w:t>52</w:t>
            </w:r>
            <w:r>
              <w:rPr>
                <w:rFonts w:ascii="Arial" w:hAnsi="Arial" w:cs="Arial"/>
                <w:bCs/>
                <w:sz w:val="20"/>
              </w:rPr>
              <w:t>%</w:t>
            </w:r>
          </w:p>
        </w:tc>
        <w:tc>
          <w:tcPr>
            <w:tcW w:w="1467" w:type="dxa"/>
          </w:tcPr>
          <w:p w14:paraId="0DDBC33E" w14:textId="77777777" w:rsidR="00A82E6A" w:rsidRDefault="005E547F">
            <w:pPr>
              <w:pStyle w:val="NormalWeb"/>
              <w:jc w:val="center"/>
              <w:rPr>
                <w:rFonts w:ascii="Arial" w:eastAsia="Calibri" w:hAnsi="Arial" w:cs="Arial"/>
                <w:sz w:val="20"/>
              </w:rPr>
            </w:pPr>
            <w:r>
              <w:rPr>
                <w:rFonts w:ascii="Arial" w:eastAsia="Calibri" w:hAnsi="Arial" w:cs="Arial"/>
                <w:sz w:val="20"/>
              </w:rPr>
              <w:t>3</w:t>
            </w:r>
          </w:p>
        </w:tc>
        <w:tc>
          <w:tcPr>
            <w:tcW w:w="1529" w:type="dxa"/>
          </w:tcPr>
          <w:p w14:paraId="42DDCB42" w14:textId="77777777" w:rsidR="00A82E6A" w:rsidRDefault="005E547F">
            <w:pPr>
              <w:pStyle w:val="NormalWeb"/>
              <w:jc w:val="center"/>
              <w:rPr>
                <w:rFonts w:ascii="Arial" w:eastAsia="Calibri" w:hAnsi="Arial" w:cs="Arial"/>
                <w:sz w:val="20"/>
              </w:rPr>
            </w:pPr>
            <w:r>
              <w:rPr>
                <w:rFonts w:ascii="Arial" w:eastAsia="Calibri" w:hAnsi="Arial" w:cs="Arial"/>
                <w:sz w:val="20"/>
              </w:rPr>
              <w:t>18.8</w:t>
            </w:r>
            <w:r>
              <w:rPr>
                <w:rFonts w:ascii="Arial" w:hAnsi="Arial" w:cs="Arial"/>
                <w:bCs/>
                <w:sz w:val="20"/>
              </w:rPr>
              <w:t>%</w:t>
            </w:r>
          </w:p>
        </w:tc>
      </w:tr>
      <w:tr w:rsidR="00A82E6A" w14:paraId="1903412B" w14:textId="77777777">
        <w:trPr>
          <w:trHeight w:val="257"/>
        </w:trPr>
        <w:tc>
          <w:tcPr>
            <w:tcW w:w="2235" w:type="dxa"/>
          </w:tcPr>
          <w:p w14:paraId="07800417" w14:textId="77777777" w:rsidR="00A82E6A" w:rsidRDefault="005E547F">
            <w:pPr>
              <w:pStyle w:val="NormalWeb"/>
              <w:jc w:val="center"/>
              <w:rPr>
                <w:rFonts w:ascii="Arial" w:hAnsi="Arial" w:cs="Arial"/>
                <w:sz w:val="20"/>
              </w:rPr>
            </w:pPr>
            <w:r>
              <w:rPr>
                <w:rFonts w:ascii="Arial" w:hAnsi="Arial" w:cs="Arial"/>
                <w:sz w:val="20"/>
              </w:rPr>
              <w:t>14</w:t>
            </w:r>
          </w:p>
        </w:tc>
        <w:tc>
          <w:tcPr>
            <w:tcW w:w="2976" w:type="dxa"/>
          </w:tcPr>
          <w:p w14:paraId="5529AA3D" w14:textId="77777777" w:rsidR="00A82E6A" w:rsidRDefault="005E547F">
            <w:pPr>
              <w:pStyle w:val="NormalWeb"/>
              <w:jc w:val="center"/>
              <w:rPr>
                <w:rFonts w:ascii="Arial" w:eastAsia="Calibri" w:hAnsi="Arial" w:cs="Arial"/>
                <w:bCs/>
                <w:sz w:val="20"/>
                <w:lang w:val="en-PH"/>
              </w:rPr>
            </w:pPr>
            <w:r>
              <w:rPr>
                <w:rFonts w:ascii="Arial" w:eastAsia="Calibri" w:hAnsi="Arial" w:cs="Arial"/>
                <w:bCs/>
                <w:sz w:val="20"/>
                <w:lang w:val="en-PH"/>
              </w:rPr>
              <w:t>56</w:t>
            </w:r>
            <w:r>
              <w:rPr>
                <w:rFonts w:ascii="Arial" w:hAnsi="Arial" w:cs="Arial"/>
                <w:bCs/>
                <w:sz w:val="20"/>
              </w:rPr>
              <w:t>%</w:t>
            </w:r>
          </w:p>
        </w:tc>
        <w:tc>
          <w:tcPr>
            <w:tcW w:w="1467" w:type="dxa"/>
          </w:tcPr>
          <w:p w14:paraId="3A74D5BB" w14:textId="77777777" w:rsidR="00A82E6A" w:rsidRDefault="005E547F">
            <w:pPr>
              <w:pStyle w:val="NormalWeb"/>
              <w:jc w:val="center"/>
              <w:rPr>
                <w:rFonts w:ascii="Arial" w:eastAsia="Calibri" w:hAnsi="Arial" w:cs="Arial"/>
                <w:sz w:val="20"/>
              </w:rPr>
            </w:pPr>
            <w:r>
              <w:rPr>
                <w:rFonts w:ascii="Arial" w:eastAsia="Calibri" w:hAnsi="Arial" w:cs="Arial"/>
                <w:sz w:val="20"/>
              </w:rPr>
              <w:t>2</w:t>
            </w:r>
          </w:p>
        </w:tc>
        <w:tc>
          <w:tcPr>
            <w:tcW w:w="1529" w:type="dxa"/>
          </w:tcPr>
          <w:p w14:paraId="2F382C2B" w14:textId="77777777" w:rsidR="00A82E6A" w:rsidRDefault="005E547F">
            <w:pPr>
              <w:pStyle w:val="NormalWeb"/>
              <w:jc w:val="center"/>
              <w:rPr>
                <w:rFonts w:ascii="Arial" w:eastAsia="Calibri" w:hAnsi="Arial" w:cs="Arial"/>
                <w:sz w:val="20"/>
              </w:rPr>
            </w:pPr>
            <w:r>
              <w:rPr>
                <w:rFonts w:ascii="Arial" w:eastAsia="Calibri" w:hAnsi="Arial" w:cs="Arial"/>
                <w:sz w:val="20"/>
              </w:rPr>
              <w:t>12.5</w:t>
            </w:r>
            <w:r>
              <w:rPr>
                <w:rFonts w:ascii="Arial" w:hAnsi="Arial" w:cs="Arial"/>
                <w:bCs/>
                <w:sz w:val="20"/>
              </w:rPr>
              <w:t>%</w:t>
            </w:r>
          </w:p>
        </w:tc>
      </w:tr>
      <w:tr w:rsidR="00A82E6A" w14:paraId="3485D11B" w14:textId="77777777">
        <w:trPr>
          <w:trHeight w:val="257"/>
        </w:trPr>
        <w:tc>
          <w:tcPr>
            <w:tcW w:w="2235" w:type="dxa"/>
          </w:tcPr>
          <w:p w14:paraId="2CE7D667" w14:textId="77777777" w:rsidR="00A82E6A" w:rsidRDefault="005E547F">
            <w:pPr>
              <w:pStyle w:val="NormalWeb"/>
              <w:jc w:val="center"/>
              <w:rPr>
                <w:rFonts w:ascii="Arial" w:hAnsi="Arial" w:cs="Arial"/>
                <w:sz w:val="20"/>
              </w:rPr>
            </w:pPr>
            <w:r>
              <w:rPr>
                <w:rFonts w:ascii="Arial" w:hAnsi="Arial" w:cs="Arial"/>
                <w:sz w:val="20"/>
              </w:rPr>
              <w:t>16</w:t>
            </w:r>
          </w:p>
        </w:tc>
        <w:tc>
          <w:tcPr>
            <w:tcW w:w="2976" w:type="dxa"/>
          </w:tcPr>
          <w:p w14:paraId="551907B5" w14:textId="77777777" w:rsidR="00A82E6A" w:rsidRDefault="005E547F">
            <w:pPr>
              <w:pStyle w:val="NormalWeb"/>
              <w:jc w:val="center"/>
              <w:rPr>
                <w:rFonts w:ascii="Arial" w:eastAsia="Calibri" w:hAnsi="Arial" w:cs="Arial"/>
                <w:bCs/>
                <w:sz w:val="20"/>
                <w:lang w:val="en-PH"/>
              </w:rPr>
            </w:pPr>
            <w:r>
              <w:rPr>
                <w:rFonts w:ascii="Arial" w:eastAsia="Calibri" w:hAnsi="Arial" w:cs="Arial"/>
                <w:bCs/>
                <w:sz w:val="20"/>
                <w:lang w:val="en-PH"/>
              </w:rPr>
              <w:t>64</w:t>
            </w:r>
            <w:r>
              <w:rPr>
                <w:rFonts w:ascii="Arial" w:hAnsi="Arial" w:cs="Arial"/>
                <w:bCs/>
                <w:sz w:val="20"/>
              </w:rPr>
              <w:t>%</w:t>
            </w:r>
          </w:p>
        </w:tc>
        <w:tc>
          <w:tcPr>
            <w:tcW w:w="1467" w:type="dxa"/>
          </w:tcPr>
          <w:p w14:paraId="3C497FDF" w14:textId="77777777" w:rsidR="00A82E6A" w:rsidRDefault="005E547F">
            <w:pPr>
              <w:pStyle w:val="NormalWeb"/>
              <w:jc w:val="center"/>
              <w:rPr>
                <w:rFonts w:ascii="Arial" w:eastAsia="Calibri" w:hAnsi="Arial" w:cs="Arial"/>
                <w:sz w:val="20"/>
              </w:rPr>
            </w:pPr>
            <w:r>
              <w:rPr>
                <w:rFonts w:ascii="Arial" w:eastAsia="Calibri" w:hAnsi="Arial" w:cs="Arial"/>
                <w:sz w:val="20"/>
              </w:rPr>
              <w:t>1</w:t>
            </w:r>
          </w:p>
        </w:tc>
        <w:tc>
          <w:tcPr>
            <w:tcW w:w="1529" w:type="dxa"/>
          </w:tcPr>
          <w:p w14:paraId="6ABB7509" w14:textId="77777777" w:rsidR="00A82E6A" w:rsidRDefault="005E547F">
            <w:pPr>
              <w:pStyle w:val="NormalWeb"/>
              <w:jc w:val="center"/>
              <w:rPr>
                <w:rFonts w:ascii="Arial" w:eastAsia="Calibri" w:hAnsi="Arial" w:cs="Arial"/>
                <w:sz w:val="20"/>
              </w:rPr>
            </w:pPr>
            <w:r>
              <w:rPr>
                <w:rFonts w:ascii="Arial" w:eastAsia="Calibri" w:hAnsi="Arial" w:cs="Arial"/>
                <w:sz w:val="20"/>
              </w:rPr>
              <w:t>6.2</w:t>
            </w:r>
            <w:r>
              <w:rPr>
                <w:rFonts w:ascii="Arial" w:hAnsi="Arial" w:cs="Arial"/>
                <w:bCs/>
                <w:sz w:val="20"/>
              </w:rPr>
              <w:t>%</w:t>
            </w:r>
          </w:p>
        </w:tc>
      </w:tr>
      <w:tr w:rsidR="00A82E6A" w14:paraId="270767B9" w14:textId="77777777">
        <w:trPr>
          <w:trHeight w:val="257"/>
        </w:trPr>
        <w:tc>
          <w:tcPr>
            <w:tcW w:w="2235" w:type="dxa"/>
          </w:tcPr>
          <w:p w14:paraId="0CB3D5CC" w14:textId="77777777" w:rsidR="00A82E6A" w:rsidRDefault="005E547F">
            <w:pPr>
              <w:pStyle w:val="NormalWeb"/>
              <w:jc w:val="center"/>
              <w:rPr>
                <w:rFonts w:ascii="Arial" w:hAnsi="Arial" w:cs="Arial"/>
                <w:sz w:val="20"/>
              </w:rPr>
            </w:pPr>
            <w:r>
              <w:rPr>
                <w:rFonts w:ascii="Arial" w:hAnsi="Arial" w:cs="Arial"/>
                <w:sz w:val="20"/>
              </w:rPr>
              <w:t>18</w:t>
            </w:r>
          </w:p>
        </w:tc>
        <w:tc>
          <w:tcPr>
            <w:tcW w:w="2976" w:type="dxa"/>
          </w:tcPr>
          <w:p w14:paraId="6A1DB68B" w14:textId="77777777" w:rsidR="00A82E6A" w:rsidRDefault="005E547F">
            <w:pPr>
              <w:pStyle w:val="NormalWeb"/>
              <w:jc w:val="center"/>
              <w:rPr>
                <w:rFonts w:ascii="Arial" w:eastAsia="Calibri" w:hAnsi="Arial" w:cs="Arial"/>
                <w:bCs/>
                <w:sz w:val="20"/>
                <w:lang w:val="en-PH"/>
              </w:rPr>
            </w:pPr>
            <w:r>
              <w:rPr>
                <w:rFonts w:ascii="Arial" w:eastAsia="Calibri" w:hAnsi="Arial" w:cs="Arial"/>
                <w:bCs/>
                <w:sz w:val="20"/>
                <w:lang w:val="en-PH"/>
              </w:rPr>
              <w:t>72</w:t>
            </w:r>
            <w:r>
              <w:rPr>
                <w:rFonts w:ascii="Arial" w:hAnsi="Arial" w:cs="Arial"/>
                <w:bCs/>
                <w:sz w:val="20"/>
              </w:rPr>
              <w:t>%</w:t>
            </w:r>
          </w:p>
        </w:tc>
        <w:tc>
          <w:tcPr>
            <w:tcW w:w="1467" w:type="dxa"/>
          </w:tcPr>
          <w:p w14:paraId="10F0DE9F" w14:textId="77777777" w:rsidR="00A82E6A" w:rsidRDefault="005E547F">
            <w:pPr>
              <w:pStyle w:val="NormalWeb"/>
              <w:jc w:val="center"/>
              <w:rPr>
                <w:rFonts w:ascii="Arial" w:eastAsia="Calibri" w:hAnsi="Arial" w:cs="Arial"/>
                <w:sz w:val="20"/>
              </w:rPr>
            </w:pPr>
            <w:r>
              <w:rPr>
                <w:rFonts w:ascii="Arial" w:eastAsia="Calibri" w:hAnsi="Arial" w:cs="Arial"/>
                <w:sz w:val="20"/>
              </w:rPr>
              <w:t>2</w:t>
            </w:r>
          </w:p>
        </w:tc>
        <w:tc>
          <w:tcPr>
            <w:tcW w:w="1529" w:type="dxa"/>
          </w:tcPr>
          <w:p w14:paraId="0399315D" w14:textId="77777777" w:rsidR="00A82E6A" w:rsidRDefault="005E547F">
            <w:pPr>
              <w:pStyle w:val="NormalWeb"/>
              <w:jc w:val="center"/>
              <w:rPr>
                <w:rFonts w:ascii="Arial" w:eastAsia="Calibri" w:hAnsi="Arial" w:cs="Arial"/>
                <w:sz w:val="20"/>
              </w:rPr>
            </w:pPr>
            <w:r>
              <w:rPr>
                <w:rFonts w:ascii="Arial" w:eastAsia="Calibri" w:hAnsi="Arial" w:cs="Arial"/>
                <w:sz w:val="20"/>
              </w:rPr>
              <w:t>12.5</w:t>
            </w:r>
            <w:r>
              <w:rPr>
                <w:rFonts w:ascii="Arial" w:hAnsi="Arial" w:cs="Arial"/>
                <w:bCs/>
                <w:sz w:val="20"/>
              </w:rPr>
              <w:t>%</w:t>
            </w:r>
          </w:p>
        </w:tc>
      </w:tr>
      <w:tr w:rsidR="00A82E6A" w14:paraId="08B04BB4" w14:textId="77777777">
        <w:trPr>
          <w:trHeight w:val="257"/>
        </w:trPr>
        <w:tc>
          <w:tcPr>
            <w:tcW w:w="2235" w:type="dxa"/>
          </w:tcPr>
          <w:p w14:paraId="6222DAC1" w14:textId="77777777" w:rsidR="00A82E6A" w:rsidRDefault="005E547F">
            <w:pPr>
              <w:pStyle w:val="NormalWeb"/>
              <w:jc w:val="center"/>
              <w:rPr>
                <w:rFonts w:ascii="Arial" w:hAnsi="Arial" w:cs="Arial"/>
                <w:sz w:val="20"/>
              </w:rPr>
            </w:pPr>
            <w:r>
              <w:rPr>
                <w:rFonts w:ascii="Arial" w:hAnsi="Arial" w:cs="Arial"/>
                <w:sz w:val="20"/>
              </w:rPr>
              <w:t>20</w:t>
            </w:r>
          </w:p>
        </w:tc>
        <w:tc>
          <w:tcPr>
            <w:tcW w:w="2976" w:type="dxa"/>
          </w:tcPr>
          <w:p w14:paraId="6E2F00F1" w14:textId="77777777" w:rsidR="00A82E6A" w:rsidRDefault="005E547F">
            <w:pPr>
              <w:pStyle w:val="NormalWeb"/>
              <w:jc w:val="center"/>
              <w:rPr>
                <w:rFonts w:ascii="Arial" w:eastAsia="Calibri" w:hAnsi="Arial" w:cs="Arial"/>
                <w:bCs/>
                <w:sz w:val="20"/>
                <w:lang w:val="en-PH"/>
              </w:rPr>
            </w:pPr>
            <w:r>
              <w:rPr>
                <w:rFonts w:ascii="Arial" w:eastAsia="Calibri" w:hAnsi="Arial" w:cs="Arial"/>
                <w:bCs/>
                <w:sz w:val="20"/>
                <w:lang w:val="en-PH"/>
              </w:rPr>
              <w:t>84%</w:t>
            </w:r>
          </w:p>
        </w:tc>
        <w:tc>
          <w:tcPr>
            <w:tcW w:w="1467" w:type="dxa"/>
          </w:tcPr>
          <w:p w14:paraId="1C440DCC" w14:textId="77777777" w:rsidR="00A82E6A" w:rsidRDefault="005E547F">
            <w:pPr>
              <w:pStyle w:val="NormalWeb"/>
              <w:jc w:val="center"/>
              <w:rPr>
                <w:rFonts w:ascii="Arial" w:eastAsia="Calibri" w:hAnsi="Arial" w:cs="Arial"/>
                <w:sz w:val="20"/>
              </w:rPr>
            </w:pPr>
            <w:r>
              <w:rPr>
                <w:rFonts w:ascii="Arial" w:eastAsia="Calibri" w:hAnsi="Arial" w:cs="Arial"/>
                <w:sz w:val="20"/>
              </w:rPr>
              <w:t>1</w:t>
            </w:r>
          </w:p>
        </w:tc>
        <w:tc>
          <w:tcPr>
            <w:tcW w:w="1529" w:type="dxa"/>
          </w:tcPr>
          <w:p w14:paraId="79D20254" w14:textId="77777777" w:rsidR="00A82E6A" w:rsidRDefault="005E547F">
            <w:pPr>
              <w:pStyle w:val="NormalWeb"/>
              <w:jc w:val="center"/>
              <w:rPr>
                <w:rFonts w:ascii="Arial" w:eastAsia="Calibri" w:hAnsi="Arial" w:cs="Arial"/>
                <w:sz w:val="20"/>
              </w:rPr>
            </w:pPr>
            <w:r>
              <w:rPr>
                <w:rFonts w:ascii="Arial" w:eastAsia="Calibri" w:hAnsi="Arial" w:cs="Arial"/>
                <w:sz w:val="20"/>
              </w:rPr>
              <w:t>6.2</w:t>
            </w:r>
            <w:r>
              <w:rPr>
                <w:rFonts w:ascii="Arial" w:hAnsi="Arial" w:cs="Arial"/>
                <w:bCs/>
                <w:sz w:val="20"/>
              </w:rPr>
              <w:t>%</w:t>
            </w:r>
          </w:p>
        </w:tc>
      </w:tr>
      <w:tr w:rsidR="00A82E6A" w14:paraId="48B60EAB" w14:textId="77777777">
        <w:trPr>
          <w:trHeight w:val="257"/>
        </w:trPr>
        <w:tc>
          <w:tcPr>
            <w:tcW w:w="8207" w:type="dxa"/>
            <w:gridSpan w:val="4"/>
          </w:tcPr>
          <w:p w14:paraId="6E54DD2E" w14:textId="77777777" w:rsidR="00A82E6A" w:rsidRDefault="005E547F">
            <w:pPr>
              <w:pStyle w:val="NormalWeb"/>
              <w:rPr>
                <w:rFonts w:ascii="Arial" w:eastAsia="Calibri" w:hAnsi="Arial" w:cs="Arial"/>
                <w:b/>
                <w:bCs/>
                <w:sz w:val="20"/>
              </w:rPr>
            </w:pPr>
            <w:r>
              <w:rPr>
                <w:rFonts w:ascii="Arial" w:eastAsia="Calibri" w:hAnsi="Arial" w:cs="Arial"/>
                <w:b/>
                <w:bCs/>
                <w:sz w:val="20"/>
              </w:rPr>
              <w:t>Total:                                                                                             16                    100%</w:t>
            </w:r>
          </w:p>
        </w:tc>
      </w:tr>
      <w:tr w:rsidR="00A82E6A" w14:paraId="062A4C9F" w14:textId="77777777">
        <w:trPr>
          <w:trHeight w:val="257"/>
        </w:trPr>
        <w:tc>
          <w:tcPr>
            <w:tcW w:w="8207" w:type="dxa"/>
            <w:gridSpan w:val="4"/>
          </w:tcPr>
          <w:p w14:paraId="0B5D919D" w14:textId="77777777" w:rsidR="00A82E6A" w:rsidRDefault="005E547F">
            <w:pPr>
              <w:pStyle w:val="NormalWeb"/>
              <w:spacing w:beforeAutospacing="0" w:afterAutospacing="0"/>
              <w:rPr>
                <w:rFonts w:ascii="Arial" w:eastAsia="Calibri" w:hAnsi="Arial" w:cs="Arial"/>
                <w:sz w:val="20"/>
              </w:rPr>
            </w:pPr>
            <w:r>
              <w:rPr>
                <w:rFonts w:ascii="Arial" w:eastAsia="Calibri" w:hAnsi="Arial" w:cs="Arial"/>
                <w:sz w:val="20"/>
              </w:rPr>
              <w:t>Mean: 12.50</w:t>
            </w:r>
          </w:p>
          <w:p w14:paraId="1FA7DF32" w14:textId="77777777" w:rsidR="00A82E6A" w:rsidRDefault="005E547F">
            <w:pPr>
              <w:pStyle w:val="NormalWeb"/>
              <w:spacing w:beforeAutospacing="0" w:afterAutospacing="0"/>
              <w:rPr>
                <w:rFonts w:ascii="Arial" w:eastAsia="Calibri" w:hAnsi="Arial" w:cs="Arial"/>
                <w:sz w:val="20"/>
              </w:rPr>
            </w:pPr>
            <w:r>
              <w:rPr>
                <w:rFonts w:ascii="Arial" w:eastAsia="Calibri" w:hAnsi="Arial" w:cs="Arial"/>
                <w:sz w:val="20"/>
              </w:rPr>
              <w:t>Std. Dev.: 4.56</w:t>
            </w:r>
          </w:p>
        </w:tc>
      </w:tr>
    </w:tbl>
    <w:p w14:paraId="1FCA1FDE" w14:textId="77777777" w:rsidR="00A82E6A" w:rsidRDefault="00A82E6A">
      <w:pPr>
        <w:pStyle w:val="NormalWeb"/>
        <w:spacing w:beforeAutospacing="0" w:afterAutospacing="0"/>
        <w:jc w:val="both"/>
        <w:rPr>
          <w:rStyle w:val="Strong"/>
          <w:rFonts w:ascii="Arial" w:hAnsi="Arial" w:cs="Arial"/>
          <w:sz w:val="20"/>
        </w:rPr>
      </w:pPr>
    </w:p>
    <w:p w14:paraId="283552A7" w14:textId="77777777" w:rsidR="00A82E6A" w:rsidRDefault="00A82E6A">
      <w:pPr>
        <w:pStyle w:val="BodyText"/>
        <w:spacing w:after="0"/>
        <w:jc w:val="both"/>
        <w:rPr>
          <w:rStyle w:val="Strong"/>
          <w:rFonts w:ascii="Arial" w:hAnsi="Arial" w:cs="Arial"/>
        </w:rPr>
      </w:pPr>
    </w:p>
    <w:p w14:paraId="20B0A3B1" w14:textId="77777777" w:rsidR="00A82E6A" w:rsidRDefault="005E547F">
      <w:pPr>
        <w:pStyle w:val="BodyText"/>
        <w:spacing w:after="0"/>
        <w:jc w:val="both"/>
        <w:rPr>
          <w:rFonts w:ascii="Arial" w:hAnsi="Arial" w:cs="Arial"/>
        </w:rPr>
      </w:pPr>
      <w:r>
        <w:rPr>
          <w:rStyle w:val="Strong"/>
          <w:rFonts w:ascii="Arial" w:hAnsi="Arial" w:cs="Arial"/>
          <w:b w:val="0"/>
          <w:bCs w:val="0"/>
        </w:rPr>
        <w:t xml:space="preserve">The findings of this study demonstrate a significant improvement in the reading comprehension skills of Grade 5 pupils at </w:t>
      </w:r>
      <w:proofErr w:type="spellStart"/>
      <w:r>
        <w:rPr>
          <w:rStyle w:val="Strong"/>
          <w:rFonts w:ascii="Arial" w:hAnsi="Arial" w:cs="Arial"/>
          <w:b w:val="0"/>
          <w:bCs w:val="0"/>
        </w:rPr>
        <w:t>Catigbian</w:t>
      </w:r>
      <w:proofErr w:type="spellEnd"/>
      <w:r>
        <w:rPr>
          <w:rStyle w:val="Strong"/>
          <w:rFonts w:ascii="Arial" w:hAnsi="Arial" w:cs="Arial"/>
          <w:b w:val="0"/>
          <w:bCs w:val="0"/>
        </w:rPr>
        <w:t xml:space="preserve"> Elementary School following the intervention using Think-Pair-Share. As shown in Table 2, the post-test results reveal a higher mean score of 16.56 compared to the pre-test mean of 12.50, indicating substantial growth in comprehension abilities among the respondents. Moreover, the increase in performance scores suggests that Think-Pair-Share effectively enhanced students' ability to analyze, process, and articulate information, leading to better reading comprehension outcomes. The most frequently occurring scores—14, 19, and 23—each at 18.8%—signify that students experienced positive shifts in their literacy development. This upward trend highlights the strategy's effectiveness in promoting active learning, collaborative engagement, and deeper text analysis.</w:t>
      </w:r>
    </w:p>
    <w:p w14:paraId="33847AAB" w14:textId="77777777" w:rsidR="00A82E6A" w:rsidRDefault="005E547F">
      <w:pPr>
        <w:pStyle w:val="BodyText"/>
        <w:jc w:val="both"/>
        <w:rPr>
          <w:rFonts w:ascii="Arial" w:hAnsi="Arial"/>
        </w:rPr>
      </w:pPr>
      <w:r>
        <w:rPr>
          <w:rFonts w:ascii="Arial" w:hAnsi="Arial"/>
        </w:rPr>
        <w:t>Furthermore, the moderate standard deviation of 4.59 indicates that variability in student scores remains within a reasonable range. While some pupils achieved higher comprehension mastery, others still require additional instructional support. Nevertheless, the overall trend in scores affirms the benefits of structured peer-based learning, emphasizing how interactive strategies can positively impact literacy development. The Think-Pair-Share intervention fostered a more engaging, student-centered approach that enabled learners to discuss, refine, and synthesize their ideas. By actively participating in paired discussions, pupils developed stronger cognitive connections with reading materials, leading to improved retention and understanding. Research supports that cooperative learning enhances comprehension skills by allowing students to verbalize their thoughts, exchange perspectives, and apply critical thinking strategies (</w:t>
      </w:r>
      <w:proofErr w:type="spellStart"/>
      <w:r>
        <w:rPr>
          <w:rFonts w:ascii="Arial" w:hAnsi="Arial"/>
        </w:rPr>
        <w:t>Utami</w:t>
      </w:r>
      <w:proofErr w:type="spellEnd"/>
      <w:r>
        <w:rPr>
          <w:rFonts w:ascii="Arial" w:hAnsi="Arial"/>
        </w:rPr>
        <w:t xml:space="preserve"> &amp; </w:t>
      </w:r>
      <w:proofErr w:type="spellStart"/>
      <w:r>
        <w:rPr>
          <w:rFonts w:ascii="Arial" w:hAnsi="Arial"/>
        </w:rPr>
        <w:t>Rusdarti</w:t>
      </w:r>
      <w:proofErr w:type="spellEnd"/>
      <w:r>
        <w:rPr>
          <w:rFonts w:ascii="Arial" w:hAnsi="Arial"/>
        </w:rPr>
        <w:t>, 2021; Lestari, 2022).</w:t>
      </w:r>
    </w:p>
    <w:p w14:paraId="7C62C2E4" w14:textId="77777777" w:rsidR="00A82E6A" w:rsidRDefault="005E547F">
      <w:pPr>
        <w:pStyle w:val="BodyText"/>
        <w:jc w:val="both"/>
        <w:rPr>
          <w:rFonts w:ascii="Arial" w:hAnsi="Arial"/>
        </w:rPr>
      </w:pPr>
      <w:r>
        <w:rPr>
          <w:rFonts w:ascii="Arial" w:hAnsi="Arial"/>
        </w:rPr>
        <w:lastRenderedPageBreak/>
        <w:t xml:space="preserve">These results are consistent with recent studies that confirm the effectiveness of TPS in diverse educational contexts. </w:t>
      </w:r>
      <w:proofErr w:type="spellStart"/>
      <w:r>
        <w:rPr>
          <w:rFonts w:ascii="Arial" w:hAnsi="Arial"/>
        </w:rPr>
        <w:t>Agussatriana</w:t>
      </w:r>
      <w:proofErr w:type="spellEnd"/>
      <w:r>
        <w:rPr>
          <w:rFonts w:ascii="Arial" w:hAnsi="Arial"/>
        </w:rPr>
        <w:t xml:space="preserve"> (2020) reported significant gains in mean scores from 63.11 to 84.44 after TPS implementation, while </w:t>
      </w:r>
      <w:proofErr w:type="spellStart"/>
      <w:r>
        <w:rPr>
          <w:rFonts w:ascii="Arial" w:hAnsi="Arial"/>
        </w:rPr>
        <w:t>Candraloka</w:t>
      </w:r>
      <w:proofErr w:type="spellEnd"/>
      <w:r>
        <w:rPr>
          <w:rFonts w:ascii="Arial" w:hAnsi="Arial"/>
        </w:rPr>
        <w:t xml:space="preserve"> (2023) found that the experimental group achieved a mean of 88 compared to 72.19 in the control group. </w:t>
      </w:r>
      <w:proofErr w:type="spellStart"/>
      <w:r>
        <w:rPr>
          <w:rFonts w:ascii="Arial" w:hAnsi="Arial"/>
        </w:rPr>
        <w:t>Oktaviani</w:t>
      </w:r>
      <w:proofErr w:type="spellEnd"/>
      <w:r>
        <w:rPr>
          <w:rFonts w:ascii="Arial" w:hAnsi="Arial"/>
        </w:rPr>
        <w:t xml:space="preserve"> and </w:t>
      </w:r>
      <w:proofErr w:type="spellStart"/>
      <w:r>
        <w:rPr>
          <w:rFonts w:ascii="Arial" w:hAnsi="Arial"/>
        </w:rPr>
        <w:t>Rofiqoh</w:t>
      </w:r>
      <w:proofErr w:type="spellEnd"/>
      <w:r>
        <w:rPr>
          <w:rFonts w:ascii="Arial" w:hAnsi="Arial"/>
        </w:rPr>
        <w:t xml:space="preserve"> (2021) documented improvements from 58.44 to 85.11, and Bastian (2021) observed a 24.5-point increase, with notable gains in identifying specific information. Classroom Action Research conducted by </w:t>
      </w:r>
      <w:proofErr w:type="spellStart"/>
      <w:r>
        <w:rPr>
          <w:rFonts w:ascii="Arial" w:hAnsi="Arial"/>
        </w:rPr>
        <w:t>Pratolo</w:t>
      </w:r>
      <w:proofErr w:type="spellEnd"/>
      <w:r>
        <w:rPr>
          <w:rFonts w:ascii="Arial" w:hAnsi="Arial"/>
        </w:rPr>
        <w:t xml:space="preserve">, Bao, and </w:t>
      </w:r>
      <w:proofErr w:type="spellStart"/>
      <w:r>
        <w:rPr>
          <w:rFonts w:ascii="Arial" w:hAnsi="Arial"/>
        </w:rPr>
        <w:t>Palaguna</w:t>
      </w:r>
      <w:proofErr w:type="spellEnd"/>
      <w:r>
        <w:rPr>
          <w:rFonts w:ascii="Arial" w:hAnsi="Arial"/>
        </w:rPr>
        <w:t xml:space="preserve"> (2025) further highlighted that TPS not only raised comprehension scores but also transformed passive learners into motivated, collaborative participants. </w:t>
      </w:r>
      <w:proofErr w:type="spellStart"/>
      <w:r>
        <w:rPr>
          <w:rFonts w:ascii="Arial" w:hAnsi="Arial"/>
        </w:rPr>
        <w:t>Suhendi</w:t>
      </w:r>
      <w:proofErr w:type="spellEnd"/>
      <w:r>
        <w:rPr>
          <w:rFonts w:ascii="Arial" w:hAnsi="Arial"/>
        </w:rPr>
        <w:t xml:space="preserve"> (2022) likewise confirmed that TPS fosters motivation, equity, and consistent achievement across diverse student groups. Collectively, these findings reinforce the present study’s results, demonstrating that TPS is effective in both enhancing comprehension and reshaping classroom dynamics.</w:t>
      </w:r>
    </w:p>
    <w:p w14:paraId="73DB9DAF" w14:textId="77777777" w:rsidR="00A82E6A" w:rsidRDefault="005E547F">
      <w:pPr>
        <w:pStyle w:val="BodyText"/>
        <w:jc w:val="both"/>
        <w:rPr>
          <w:rFonts w:ascii="Arial" w:hAnsi="Arial"/>
        </w:rPr>
      </w:pPr>
      <w:r>
        <w:rPr>
          <w:rFonts w:ascii="Arial" w:hAnsi="Arial"/>
        </w:rPr>
        <w:t>As a result, the findings underscore the importance of interactive and collaborative teaching strategies in elementary education. The observed progress in student performance suggests that structured peer discussions provide meaningful opportunities for learners to process information more effectively and engage deeply with texts. Therefore, educators should continue implementing Think-Pair-Share regularly, as it fosters confidence, analytical reasoning, and comprehension enhancement. To sustain this positive literacy growth, teachers should adopt TPS as an ongoing instructional strategy while integrating additional interventions for lower-performing students. Guided reading sessions, small-group instruction, and scaffolded comprehension exercises can provide targeted support, while enrichment activities can challenge higher-performing learners. Expanding reading materials and incorporating interactive storytelling can further enrich vocabulary and comprehension skills.</w:t>
      </w:r>
    </w:p>
    <w:p w14:paraId="4B3D4254" w14:textId="77777777" w:rsidR="00A82E6A" w:rsidRDefault="005E547F">
      <w:pPr>
        <w:pStyle w:val="BodyText"/>
        <w:jc w:val="both"/>
      </w:pPr>
      <w:r>
        <w:rPr>
          <w:rStyle w:val="Strong"/>
          <w:rFonts w:ascii="Arial" w:hAnsi="Arial"/>
          <w:b w:val="0"/>
          <w:bCs w:val="0"/>
        </w:rPr>
        <w:t xml:space="preserve">Ultimately, the post-test results confirm that the Think-Pair-Share intervention significantly enhanced reading comprehension among Grade 5 pupils. Supported by the latest studies, TPS emerges as a powerful instructional strategy that bridges literacy gaps, cultivates analytical thinking, and promotes student-centered learning. Moving forward, continued application of peer-based strategies, differentiated instruction, and structured literacy activities will further strengthen students’ reading comprehension abilities and overall academic success. Through collaborative engagement and strategic implementation, educators can ensure that </w:t>
      </w:r>
      <w:proofErr w:type="gramStart"/>
      <w:r>
        <w:rPr>
          <w:rStyle w:val="Strong"/>
          <w:rFonts w:ascii="Arial" w:hAnsi="Arial"/>
          <w:b w:val="0"/>
          <w:bCs w:val="0"/>
        </w:rPr>
        <w:t>learners</w:t>
      </w:r>
      <w:proofErr w:type="gramEnd"/>
      <w:r>
        <w:rPr>
          <w:rStyle w:val="Strong"/>
          <w:rFonts w:ascii="Arial" w:hAnsi="Arial"/>
          <w:b w:val="0"/>
          <w:bCs w:val="0"/>
        </w:rPr>
        <w:t xml:space="preserve"> transition from frustration to independent reading levels while developing critical thinking and analytical skills necessary for lifelong learning.</w:t>
      </w:r>
    </w:p>
    <w:p w14:paraId="08265ED2" w14:textId="77777777" w:rsidR="00A82E6A" w:rsidRDefault="00A82E6A">
      <w:pPr>
        <w:ind w:right="113"/>
        <w:jc w:val="both"/>
        <w:rPr>
          <w:rFonts w:ascii="Arial" w:hAnsi="Arial" w:cs="Arial"/>
          <w:szCs w:val="24"/>
        </w:rPr>
      </w:pPr>
    </w:p>
    <w:p w14:paraId="43104AA6" w14:textId="77777777" w:rsidR="00A82E6A" w:rsidRDefault="00A82E6A">
      <w:pPr>
        <w:ind w:right="113"/>
        <w:jc w:val="center"/>
        <w:rPr>
          <w:rFonts w:ascii="Arial" w:hAnsi="Arial" w:cs="Arial"/>
          <w:b/>
          <w:bCs/>
          <w:szCs w:val="24"/>
        </w:rPr>
      </w:pPr>
    </w:p>
    <w:p w14:paraId="630C8A29" w14:textId="77777777" w:rsidR="00A82E6A" w:rsidRDefault="00A82E6A">
      <w:pPr>
        <w:ind w:right="113"/>
        <w:jc w:val="center"/>
        <w:rPr>
          <w:rFonts w:ascii="Arial" w:hAnsi="Arial" w:cs="Arial"/>
          <w:b/>
          <w:bCs/>
          <w:szCs w:val="24"/>
        </w:rPr>
      </w:pPr>
    </w:p>
    <w:p w14:paraId="731D2826" w14:textId="77777777" w:rsidR="00A82E6A" w:rsidRDefault="00A82E6A">
      <w:pPr>
        <w:ind w:right="113"/>
        <w:jc w:val="center"/>
        <w:rPr>
          <w:rFonts w:ascii="Arial" w:hAnsi="Arial" w:cs="Arial"/>
          <w:b/>
          <w:bCs/>
          <w:szCs w:val="24"/>
        </w:rPr>
      </w:pPr>
    </w:p>
    <w:p w14:paraId="409A312A" w14:textId="77777777" w:rsidR="00A82E6A" w:rsidRDefault="00A82E6A">
      <w:pPr>
        <w:ind w:right="113"/>
        <w:jc w:val="center"/>
        <w:rPr>
          <w:rFonts w:ascii="Arial" w:hAnsi="Arial" w:cs="Arial"/>
          <w:b/>
          <w:bCs/>
          <w:szCs w:val="24"/>
        </w:rPr>
      </w:pPr>
    </w:p>
    <w:p w14:paraId="765CFFBB" w14:textId="77777777" w:rsidR="00A82E6A" w:rsidRDefault="00A82E6A">
      <w:pPr>
        <w:ind w:right="113"/>
        <w:jc w:val="center"/>
        <w:rPr>
          <w:rFonts w:ascii="Arial" w:hAnsi="Arial" w:cs="Arial"/>
          <w:b/>
          <w:bCs/>
          <w:szCs w:val="24"/>
        </w:rPr>
      </w:pPr>
    </w:p>
    <w:p w14:paraId="68CBA337" w14:textId="77777777" w:rsidR="00A82E6A" w:rsidRDefault="00A82E6A">
      <w:pPr>
        <w:ind w:right="113"/>
        <w:jc w:val="center"/>
        <w:rPr>
          <w:rFonts w:ascii="Arial" w:hAnsi="Arial" w:cs="Arial"/>
          <w:b/>
          <w:bCs/>
          <w:szCs w:val="24"/>
        </w:rPr>
      </w:pPr>
    </w:p>
    <w:p w14:paraId="67415F9A" w14:textId="77777777" w:rsidR="00A82E6A" w:rsidRDefault="00A82E6A">
      <w:pPr>
        <w:ind w:right="113"/>
        <w:jc w:val="center"/>
        <w:rPr>
          <w:rFonts w:ascii="Arial" w:hAnsi="Arial" w:cs="Arial"/>
          <w:b/>
          <w:bCs/>
          <w:szCs w:val="24"/>
        </w:rPr>
      </w:pPr>
    </w:p>
    <w:p w14:paraId="51FD82FE" w14:textId="77777777" w:rsidR="00A82E6A" w:rsidRDefault="00A82E6A">
      <w:pPr>
        <w:ind w:right="113"/>
        <w:jc w:val="center"/>
        <w:rPr>
          <w:rFonts w:ascii="Arial" w:hAnsi="Arial" w:cs="Arial"/>
          <w:b/>
          <w:bCs/>
          <w:szCs w:val="24"/>
        </w:rPr>
      </w:pPr>
    </w:p>
    <w:p w14:paraId="05972145" w14:textId="77777777" w:rsidR="00A82E6A" w:rsidRDefault="00A82E6A">
      <w:pPr>
        <w:ind w:right="113"/>
        <w:jc w:val="center"/>
        <w:rPr>
          <w:rFonts w:ascii="Arial" w:hAnsi="Arial" w:cs="Arial"/>
          <w:b/>
          <w:bCs/>
          <w:szCs w:val="24"/>
        </w:rPr>
      </w:pPr>
    </w:p>
    <w:p w14:paraId="11E40320" w14:textId="77777777" w:rsidR="00A82E6A" w:rsidRDefault="00A82E6A">
      <w:pPr>
        <w:ind w:right="113"/>
        <w:jc w:val="center"/>
        <w:rPr>
          <w:rFonts w:ascii="Arial" w:hAnsi="Arial" w:cs="Arial"/>
          <w:b/>
          <w:bCs/>
          <w:szCs w:val="24"/>
        </w:rPr>
      </w:pPr>
    </w:p>
    <w:p w14:paraId="735898CC" w14:textId="77777777" w:rsidR="00A82E6A" w:rsidRDefault="00A82E6A">
      <w:pPr>
        <w:ind w:right="113"/>
        <w:jc w:val="center"/>
        <w:rPr>
          <w:rFonts w:ascii="Arial" w:hAnsi="Arial" w:cs="Arial"/>
          <w:b/>
          <w:bCs/>
          <w:szCs w:val="24"/>
        </w:rPr>
      </w:pPr>
    </w:p>
    <w:p w14:paraId="28EAB077" w14:textId="77777777" w:rsidR="00A82E6A" w:rsidRDefault="00A82E6A">
      <w:pPr>
        <w:ind w:right="113"/>
        <w:jc w:val="center"/>
        <w:rPr>
          <w:rFonts w:ascii="Arial" w:hAnsi="Arial" w:cs="Arial"/>
          <w:b/>
          <w:bCs/>
          <w:szCs w:val="24"/>
        </w:rPr>
      </w:pPr>
    </w:p>
    <w:p w14:paraId="4E807D5A" w14:textId="77777777" w:rsidR="00A82E6A" w:rsidRDefault="00A82E6A">
      <w:pPr>
        <w:ind w:right="113"/>
        <w:jc w:val="center"/>
        <w:rPr>
          <w:rFonts w:ascii="Arial" w:hAnsi="Arial" w:cs="Arial"/>
          <w:b/>
          <w:bCs/>
          <w:szCs w:val="24"/>
        </w:rPr>
      </w:pPr>
    </w:p>
    <w:p w14:paraId="3255C169" w14:textId="77777777" w:rsidR="00A82E6A" w:rsidRDefault="005E547F">
      <w:pPr>
        <w:ind w:right="113"/>
        <w:jc w:val="center"/>
        <w:rPr>
          <w:rFonts w:ascii="Arial" w:hAnsi="Arial" w:cs="Arial"/>
          <w:b/>
          <w:bCs/>
          <w:szCs w:val="24"/>
        </w:rPr>
      </w:pPr>
      <w:r>
        <w:rPr>
          <w:rFonts w:ascii="Arial" w:hAnsi="Arial" w:cs="Arial"/>
          <w:b/>
          <w:bCs/>
          <w:szCs w:val="24"/>
        </w:rPr>
        <w:t>Table 2: Post-test Result</w:t>
      </w:r>
    </w:p>
    <w:tbl>
      <w:tblPr>
        <w:tblStyle w:val="TableGrid"/>
        <w:tblpPr w:leftFromText="180" w:rightFromText="180" w:vertAnchor="text" w:horzAnchor="margin" w:tblpXSpec="center" w:tblpY="651"/>
        <w:tblW w:w="8649" w:type="dxa"/>
        <w:jc w:val="center"/>
        <w:tblLayout w:type="fixed"/>
        <w:tblLook w:val="04A0" w:firstRow="1" w:lastRow="0" w:firstColumn="1" w:lastColumn="0" w:noHBand="0" w:noVBand="1"/>
      </w:tblPr>
      <w:tblGrid>
        <w:gridCol w:w="1383"/>
        <w:gridCol w:w="3261"/>
        <w:gridCol w:w="2105"/>
        <w:gridCol w:w="1900"/>
      </w:tblGrid>
      <w:tr w:rsidR="00A82E6A" w14:paraId="7981826C" w14:textId="77777777">
        <w:trPr>
          <w:trHeight w:val="284"/>
          <w:jc w:val="center"/>
        </w:trPr>
        <w:tc>
          <w:tcPr>
            <w:tcW w:w="1382" w:type="dxa"/>
          </w:tcPr>
          <w:p w14:paraId="1EE99936" w14:textId="77777777" w:rsidR="00A82E6A" w:rsidRDefault="005E547F">
            <w:pPr>
              <w:spacing w:beforeAutospacing="1"/>
              <w:jc w:val="center"/>
              <w:outlineLvl w:val="2"/>
              <w:rPr>
                <w:rFonts w:ascii="Arial" w:hAnsi="Arial" w:cs="Arial"/>
                <w:b/>
                <w:bCs/>
                <w:sz w:val="24"/>
                <w:szCs w:val="24"/>
                <w:lang w:eastAsia="en-PH"/>
              </w:rPr>
            </w:pPr>
            <w:r>
              <w:rPr>
                <w:b/>
                <w:bCs/>
              </w:rPr>
              <w:lastRenderedPageBreak/>
              <w:t>Scores</w:t>
            </w:r>
          </w:p>
        </w:tc>
        <w:tc>
          <w:tcPr>
            <w:tcW w:w="3261" w:type="dxa"/>
          </w:tcPr>
          <w:p w14:paraId="02A76BB6" w14:textId="77777777" w:rsidR="00A82E6A" w:rsidRDefault="005E547F">
            <w:pPr>
              <w:spacing w:beforeAutospacing="1"/>
              <w:jc w:val="center"/>
              <w:outlineLvl w:val="2"/>
              <w:rPr>
                <w:b/>
                <w:bCs/>
              </w:rPr>
            </w:pPr>
            <w:r>
              <w:rPr>
                <w:b/>
                <w:bCs/>
              </w:rPr>
              <w:t>Comprehension Percentage</w:t>
            </w:r>
          </w:p>
        </w:tc>
        <w:tc>
          <w:tcPr>
            <w:tcW w:w="2105" w:type="dxa"/>
          </w:tcPr>
          <w:p w14:paraId="6BDBD658" w14:textId="77777777" w:rsidR="00A82E6A" w:rsidRDefault="005E547F">
            <w:pPr>
              <w:spacing w:beforeAutospacing="1"/>
              <w:jc w:val="center"/>
              <w:outlineLvl w:val="2"/>
              <w:rPr>
                <w:b/>
                <w:bCs/>
              </w:rPr>
            </w:pPr>
            <w:r>
              <w:rPr>
                <w:b/>
                <w:bCs/>
              </w:rPr>
              <w:t>Frequency</w:t>
            </w:r>
          </w:p>
        </w:tc>
        <w:tc>
          <w:tcPr>
            <w:tcW w:w="1900" w:type="dxa"/>
          </w:tcPr>
          <w:p w14:paraId="6BBAD4C5" w14:textId="77777777" w:rsidR="00A82E6A" w:rsidRDefault="005E547F">
            <w:pPr>
              <w:spacing w:beforeAutospacing="1"/>
              <w:jc w:val="center"/>
              <w:outlineLvl w:val="2"/>
              <w:rPr>
                <w:b/>
                <w:bCs/>
              </w:rPr>
            </w:pPr>
            <w:r>
              <w:rPr>
                <w:b/>
                <w:bCs/>
              </w:rPr>
              <w:t>Percentage</w:t>
            </w:r>
          </w:p>
        </w:tc>
      </w:tr>
      <w:tr w:rsidR="00A82E6A" w14:paraId="65692103" w14:textId="77777777">
        <w:trPr>
          <w:trHeight w:val="284"/>
          <w:jc w:val="center"/>
        </w:trPr>
        <w:tc>
          <w:tcPr>
            <w:tcW w:w="1382" w:type="dxa"/>
          </w:tcPr>
          <w:p w14:paraId="787568FC" w14:textId="77777777" w:rsidR="00A82E6A" w:rsidRDefault="005E547F">
            <w:pPr>
              <w:spacing w:beforeAutospacing="1"/>
              <w:jc w:val="center"/>
              <w:outlineLvl w:val="2"/>
              <w:rPr>
                <w:rFonts w:ascii="Arial" w:hAnsi="Arial" w:cs="Arial"/>
                <w:bCs/>
                <w:sz w:val="24"/>
                <w:szCs w:val="24"/>
                <w:lang w:eastAsia="en-PH"/>
              </w:rPr>
            </w:pPr>
            <w:r>
              <w:t>10</w:t>
            </w:r>
          </w:p>
        </w:tc>
        <w:tc>
          <w:tcPr>
            <w:tcW w:w="3261" w:type="dxa"/>
          </w:tcPr>
          <w:p w14:paraId="4B498036" w14:textId="77777777" w:rsidR="00A82E6A" w:rsidRDefault="005E547F">
            <w:pPr>
              <w:jc w:val="center"/>
            </w:pPr>
            <w:r>
              <w:t>40%</w:t>
            </w:r>
          </w:p>
        </w:tc>
        <w:tc>
          <w:tcPr>
            <w:tcW w:w="2105" w:type="dxa"/>
          </w:tcPr>
          <w:p w14:paraId="5DC86A69" w14:textId="77777777" w:rsidR="00A82E6A" w:rsidRDefault="005E547F">
            <w:pPr>
              <w:jc w:val="center"/>
            </w:pPr>
            <w:r>
              <w:t>2</w:t>
            </w:r>
          </w:p>
        </w:tc>
        <w:tc>
          <w:tcPr>
            <w:tcW w:w="1900" w:type="dxa"/>
          </w:tcPr>
          <w:p w14:paraId="6CA73354" w14:textId="77777777" w:rsidR="00A82E6A" w:rsidRDefault="005E547F">
            <w:pPr>
              <w:spacing w:beforeAutospacing="1"/>
              <w:jc w:val="center"/>
              <w:outlineLvl w:val="2"/>
            </w:pPr>
            <w:r>
              <w:t>12.5%</w:t>
            </w:r>
          </w:p>
        </w:tc>
      </w:tr>
      <w:tr w:rsidR="00A82E6A" w14:paraId="54C3EF9A" w14:textId="77777777">
        <w:trPr>
          <w:trHeight w:val="284"/>
          <w:jc w:val="center"/>
        </w:trPr>
        <w:tc>
          <w:tcPr>
            <w:tcW w:w="1382" w:type="dxa"/>
          </w:tcPr>
          <w:p w14:paraId="0D2467E7" w14:textId="77777777" w:rsidR="00A82E6A" w:rsidRDefault="005E547F">
            <w:pPr>
              <w:spacing w:beforeAutospacing="1"/>
              <w:jc w:val="center"/>
              <w:outlineLvl w:val="2"/>
              <w:rPr>
                <w:rFonts w:ascii="Arial" w:hAnsi="Arial" w:cs="Arial"/>
                <w:bCs/>
                <w:sz w:val="24"/>
                <w:szCs w:val="24"/>
                <w:lang w:eastAsia="en-PH"/>
              </w:rPr>
            </w:pPr>
            <w:r>
              <w:t>12</w:t>
            </w:r>
          </w:p>
        </w:tc>
        <w:tc>
          <w:tcPr>
            <w:tcW w:w="3261" w:type="dxa"/>
          </w:tcPr>
          <w:p w14:paraId="48B2CD67" w14:textId="77777777" w:rsidR="00A82E6A" w:rsidRDefault="005E547F">
            <w:pPr>
              <w:jc w:val="center"/>
            </w:pPr>
            <w:r>
              <w:t>48%</w:t>
            </w:r>
          </w:p>
        </w:tc>
        <w:tc>
          <w:tcPr>
            <w:tcW w:w="2105" w:type="dxa"/>
          </w:tcPr>
          <w:p w14:paraId="0E7EC302" w14:textId="77777777" w:rsidR="00A82E6A" w:rsidRDefault="005E547F">
            <w:pPr>
              <w:jc w:val="center"/>
            </w:pPr>
            <w:r>
              <w:t>1</w:t>
            </w:r>
          </w:p>
        </w:tc>
        <w:tc>
          <w:tcPr>
            <w:tcW w:w="1900" w:type="dxa"/>
          </w:tcPr>
          <w:p w14:paraId="300BEE5B" w14:textId="77777777" w:rsidR="00A82E6A" w:rsidRDefault="005E547F">
            <w:pPr>
              <w:spacing w:beforeAutospacing="1"/>
              <w:jc w:val="center"/>
              <w:outlineLvl w:val="2"/>
            </w:pPr>
            <w:r>
              <w:t>6.2%</w:t>
            </w:r>
          </w:p>
        </w:tc>
      </w:tr>
      <w:tr w:rsidR="00A82E6A" w14:paraId="382BA5F1" w14:textId="77777777">
        <w:trPr>
          <w:trHeight w:val="284"/>
          <w:jc w:val="center"/>
        </w:trPr>
        <w:tc>
          <w:tcPr>
            <w:tcW w:w="1382" w:type="dxa"/>
          </w:tcPr>
          <w:p w14:paraId="7BCBB8EA" w14:textId="77777777" w:rsidR="00A82E6A" w:rsidRDefault="005E547F">
            <w:pPr>
              <w:spacing w:beforeAutospacing="1"/>
              <w:jc w:val="center"/>
              <w:outlineLvl w:val="2"/>
              <w:rPr>
                <w:rFonts w:ascii="Arial" w:hAnsi="Arial" w:cs="Arial"/>
                <w:bCs/>
                <w:sz w:val="24"/>
                <w:szCs w:val="24"/>
                <w:lang w:eastAsia="en-PH"/>
              </w:rPr>
            </w:pPr>
            <w:r>
              <w:t>13</w:t>
            </w:r>
          </w:p>
        </w:tc>
        <w:tc>
          <w:tcPr>
            <w:tcW w:w="3261" w:type="dxa"/>
          </w:tcPr>
          <w:p w14:paraId="5181DE45" w14:textId="77777777" w:rsidR="00A82E6A" w:rsidRDefault="005E547F">
            <w:pPr>
              <w:jc w:val="center"/>
            </w:pPr>
            <w:r>
              <w:t>52%</w:t>
            </w:r>
          </w:p>
        </w:tc>
        <w:tc>
          <w:tcPr>
            <w:tcW w:w="2105" w:type="dxa"/>
          </w:tcPr>
          <w:p w14:paraId="7E38E13E" w14:textId="77777777" w:rsidR="00A82E6A" w:rsidRDefault="005E547F">
            <w:pPr>
              <w:jc w:val="center"/>
            </w:pPr>
            <w:r>
              <w:t>2</w:t>
            </w:r>
          </w:p>
        </w:tc>
        <w:tc>
          <w:tcPr>
            <w:tcW w:w="1900" w:type="dxa"/>
          </w:tcPr>
          <w:p w14:paraId="6726021B" w14:textId="77777777" w:rsidR="00A82E6A" w:rsidRDefault="005E547F">
            <w:pPr>
              <w:spacing w:beforeAutospacing="1"/>
              <w:jc w:val="center"/>
              <w:outlineLvl w:val="2"/>
            </w:pPr>
            <w:r>
              <w:t>12.5%</w:t>
            </w:r>
          </w:p>
        </w:tc>
      </w:tr>
      <w:tr w:rsidR="00A82E6A" w14:paraId="3FA507B7" w14:textId="77777777">
        <w:trPr>
          <w:trHeight w:val="284"/>
          <w:jc w:val="center"/>
        </w:trPr>
        <w:tc>
          <w:tcPr>
            <w:tcW w:w="1382" w:type="dxa"/>
          </w:tcPr>
          <w:p w14:paraId="7D89EA1C" w14:textId="77777777" w:rsidR="00A82E6A" w:rsidRDefault="005E547F">
            <w:pPr>
              <w:spacing w:beforeAutospacing="1"/>
              <w:jc w:val="center"/>
              <w:outlineLvl w:val="2"/>
              <w:rPr>
                <w:rFonts w:ascii="Arial" w:hAnsi="Arial" w:cs="Arial"/>
                <w:bCs/>
                <w:sz w:val="24"/>
                <w:szCs w:val="24"/>
                <w:lang w:eastAsia="en-PH"/>
              </w:rPr>
            </w:pPr>
            <w:r>
              <w:t>14</w:t>
            </w:r>
          </w:p>
        </w:tc>
        <w:tc>
          <w:tcPr>
            <w:tcW w:w="3261" w:type="dxa"/>
          </w:tcPr>
          <w:p w14:paraId="2EE73307" w14:textId="77777777" w:rsidR="00A82E6A" w:rsidRDefault="005E547F">
            <w:pPr>
              <w:jc w:val="center"/>
            </w:pPr>
            <w:r>
              <w:t>56%</w:t>
            </w:r>
          </w:p>
        </w:tc>
        <w:tc>
          <w:tcPr>
            <w:tcW w:w="2105" w:type="dxa"/>
          </w:tcPr>
          <w:p w14:paraId="769D5AF2" w14:textId="77777777" w:rsidR="00A82E6A" w:rsidRDefault="005E547F">
            <w:pPr>
              <w:jc w:val="center"/>
            </w:pPr>
            <w:r>
              <w:t>3</w:t>
            </w:r>
          </w:p>
        </w:tc>
        <w:tc>
          <w:tcPr>
            <w:tcW w:w="1900" w:type="dxa"/>
          </w:tcPr>
          <w:p w14:paraId="0DB6FA17" w14:textId="77777777" w:rsidR="00A82E6A" w:rsidRDefault="005E547F">
            <w:pPr>
              <w:spacing w:beforeAutospacing="1"/>
              <w:jc w:val="center"/>
              <w:outlineLvl w:val="2"/>
            </w:pPr>
            <w:r>
              <w:t>18.8%</w:t>
            </w:r>
          </w:p>
        </w:tc>
      </w:tr>
      <w:tr w:rsidR="00A82E6A" w14:paraId="6B8B396F" w14:textId="77777777">
        <w:trPr>
          <w:trHeight w:val="284"/>
          <w:jc w:val="center"/>
        </w:trPr>
        <w:tc>
          <w:tcPr>
            <w:tcW w:w="1382" w:type="dxa"/>
          </w:tcPr>
          <w:p w14:paraId="3925DCA2" w14:textId="77777777" w:rsidR="00A82E6A" w:rsidRDefault="005E547F">
            <w:pPr>
              <w:spacing w:beforeAutospacing="1"/>
              <w:jc w:val="center"/>
              <w:outlineLvl w:val="2"/>
              <w:rPr>
                <w:rFonts w:ascii="Arial" w:hAnsi="Arial" w:cs="Arial"/>
                <w:bCs/>
                <w:sz w:val="24"/>
                <w:szCs w:val="24"/>
                <w:lang w:eastAsia="en-PH"/>
              </w:rPr>
            </w:pPr>
            <w:r>
              <w:t>18</w:t>
            </w:r>
          </w:p>
        </w:tc>
        <w:tc>
          <w:tcPr>
            <w:tcW w:w="3261" w:type="dxa"/>
          </w:tcPr>
          <w:p w14:paraId="7C8E14EE" w14:textId="77777777" w:rsidR="00A82E6A" w:rsidRDefault="005E547F">
            <w:pPr>
              <w:jc w:val="center"/>
            </w:pPr>
            <w:r>
              <w:t>72%</w:t>
            </w:r>
          </w:p>
        </w:tc>
        <w:tc>
          <w:tcPr>
            <w:tcW w:w="2105" w:type="dxa"/>
          </w:tcPr>
          <w:p w14:paraId="71C5E5BE" w14:textId="77777777" w:rsidR="00A82E6A" w:rsidRDefault="005E547F">
            <w:pPr>
              <w:jc w:val="center"/>
            </w:pPr>
            <w:r>
              <w:t>1</w:t>
            </w:r>
          </w:p>
        </w:tc>
        <w:tc>
          <w:tcPr>
            <w:tcW w:w="1900" w:type="dxa"/>
          </w:tcPr>
          <w:p w14:paraId="500BB0D2" w14:textId="77777777" w:rsidR="00A82E6A" w:rsidRDefault="005E547F">
            <w:pPr>
              <w:spacing w:beforeAutospacing="1"/>
              <w:jc w:val="center"/>
              <w:outlineLvl w:val="2"/>
            </w:pPr>
            <w:r>
              <w:t>6.2%</w:t>
            </w:r>
          </w:p>
        </w:tc>
      </w:tr>
      <w:tr w:rsidR="00A82E6A" w14:paraId="36F01869" w14:textId="77777777">
        <w:trPr>
          <w:trHeight w:val="284"/>
          <w:jc w:val="center"/>
        </w:trPr>
        <w:tc>
          <w:tcPr>
            <w:tcW w:w="1382" w:type="dxa"/>
          </w:tcPr>
          <w:p w14:paraId="57274CA9" w14:textId="77777777" w:rsidR="00A82E6A" w:rsidRDefault="005E547F">
            <w:pPr>
              <w:spacing w:beforeAutospacing="1"/>
              <w:jc w:val="center"/>
              <w:outlineLvl w:val="2"/>
            </w:pPr>
            <w:r>
              <w:t>19</w:t>
            </w:r>
          </w:p>
        </w:tc>
        <w:tc>
          <w:tcPr>
            <w:tcW w:w="3261" w:type="dxa"/>
          </w:tcPr>
          <w:p w14:paraId="19B4DA78" w14:textId="77777777" w:rsidR="00A82E6A" w:rsidRDefault="005E547F">
            <w:pPr>
              <w:jc w:val="center"/>
            </w:pPr>
            <w:r>
              <w:t>76%</w:t>
            </w:r>
          </w:p>
        </w:tc>
        <w:tc>
          <w:tcPr>
            <w:tcW w:w="2105" w:type="dxa"/>
          </w:tcPr>
          <w:p w14:paraId="4A2DF6B9" w14:textId="77777777" w:rsidR="00A82E6A" w:rsidRDefault="005E547F">
            <w:pPr>
              <w:jc w:val="center"/>
            </w:pPr>
            <w:r>
              <w:t>3</w:t>
            </w:r>
          </w:p>
        </w:tc>
        <w:tc>
          <w:tcPr>
            <w:tcW w:w="1900" w:type="dxa"/>
          </w:tcPr>
          <w:p w14:paraId="605EFBD6" w14:textId="77777777" w:rsidR="00A82E6A" w:rsidRDefault="005E547F">
            <w:pPr>
              <w:spacing w:beforeAutospacing="1"/>
              <w:jc w:val="center"/>
              <w:outlineLvl w:val="2"/>
            </w:pPr>
            <w:r>
              <w:t>18.8%</w:t>
            </w:r>
          </w:p>
        </w:tc>
      </w:tr>
      <w:tr w:rsidR="00A82E6A" w14:paraId="3FDD4888" w14:textId="77777777">
        <w:trPr>
          <w:trHeight w:val="284"/>
          <w:jc w:val="center"/>
        </w:trPr>
        <w:tc>
          <w:tcPr>
            <w:tcW w:w="1382" w:type="dxa"/>
          </w:tcPr>
          <w:p w14:paraId="33E53B8D" w14:textId="77777777" w:rsidR="00A82E6A" w:rsidRDefault="005E547F">
            <w:pPr>
              <w:spacing w:beforeAutospacing="1"/>
              <w:jc w:val="center"/>
              <w:outlineLvl w:val="2"/>
            </w:pPr>
            <w:r>
              <w:t>21</w:t>
            </w:r>
          </w:p>
        </w:tc>
        <w:tc>
          <w:tcPr>
            <w:tcW w:w="3261" w:type="dxa"/>
          </w:tcPr>
          <w:p w14:paraId="7C2A6E08" w14:textId="77777777" w:rsidR="00A82E6A" w:rsidRDefault="005E547F">
            <w:pPr>
              <w:jc w:val="center"/>
            </w:pPr>
            <w:r>
              <w:t>84%</w:t>
            </w:r>
          </w:p>
        </w:tc>
        <w:tc>
          <w:tcPr>
            <w:tcW w:w="2105" w:type="dxa"/>
          </w:tcPr>
          <w:p w14:paraId="02CC12A2" w14:textId="77777777" w:rsidR="00A82E6A" w:rsidRDefault="005E547F">
            <w:pPr>
              <w:jc w:val="center"/>
            </w:pPr>
            <w:r>
              <w:t>1</w:t>
            </w:r>
          </w:p>
        </w:tc>
        <w:tc>
          <w:tcPr>
            <w:tcW w:w="1900" w:type="dxa"/>
          </w:tcPr>
          <w:p w14:paraId="69F38FB7" w14:textId="77777777" w:rsidR="00A82E6A" w:rsidRDefault="005E547F">
            <w:pPr>
              <w:spacing w:beforeAutospacing="1"/>
              <w:jc w:val="center"/>
              <w:outlineLvl w:val="2"/>
            </w:pPr>
            <w:r>
              <w:t>6.2%</w:t>
            </w:r>
          </w:p>
        </w:tc>
      </w:tr>
      <w:tr w:rsidR="00A82E6A" w14:paraId="16F79236" w14:textId="77777777">
        <w:trPr>
          <w:trHeight w:val="284"/>
          <w:jc w:val="center"/>
        </w:trPr>
        <w:tc>
          <w:tcPr>
            <w:tcW w:w="1382" w:type="dxa"/>
          </w:tcPr>
          <w:p w14:paraId="27346D36" w14:textId="77777777" w:rsidR="00A82E6A" w:rsidRDefault="005E547F">
            <w:pPr>
              <w:spacing w:beforeAutospacing="1"/>
              <w:jc w:val="center"/>
              <w:outlineLvl w:val="2"/>
            </w:pPr>
            <w:r>
              <w:t>23</w:t>
            </w:r>
          </w:p>
        </w:tc>
        <w:tc>
          <w:tcPr>
            <w:tcW w:w="3261" w:type="dxa"/>
          </w:tcPr>
          <w:p w14:paraId="214E885C" w14:textId="77777777" w:rsidR="00A82E6A" w:rsidRDefault="005E547F">
            <w:pPr>
              <w:jc w:val="center"/>
            </w:pPr>
            <w:r>
              <w:t>92%</w:t>
            </w:r>
          </w:p>
        </w:tc>
        <w:tc>
          <w:tcPr>
            <w:tcW w:w="2105" w:type="dxa"/>
          </w:tcPr>
          <w:p w14:paraId="5CD1FFCC" w14:textId="77777777" w:rsidR="00A82E6A" w:rsidRDefault="005E547F">
            <w:pPr>
              <w:jc w:val="center"/>
            </w:pPr>
            <w:r>
              <w:t>3</w:t>
            </w:r>
          </w:p>
        </w:tc>
        <w:tc>
          <w:tcPr>
            <w:tcW w:w="1900" w:type="dxa"/>
          </w:tcPr>
          <w:p w14:paraId="7F4F0ECC" w14:textId="77777777" w:rsidR="00A82E6A" w:rsidRDefault="005E547F">
            <w:pPr>
              <w:spacing w:beforeAutospacing="1"/>
              <w:jc w:val="center"/>
              <w:outlineLvl w:val="2"/>
            </w:pPr>
            <w:r>
              <w:t>18.8%</w:t>
            </w:r>
          </w:p>
        </w:tc>
      </w:tr>
      <w:tr w:rsidR="00A82E6A" w14:paraId="4616BDF1" w14:textId="77777777">
        <w:trPr>
          <w:trHeight w:val="284"/>
          <w:jc w:val="center"/>
        </w:trPr>
        <w:tc>
          <w:tcPr>
            <w:tcW w:w="8648" w:type="dxa"/>
            <w:gridSpan w:val="4"/>
          </w:tcPr>
          <w:p w14:paraId="32B0DCE3" w14:textId="77777777" w:rsidR="00A82E6A" w:rsidRDefault="005E547F">
            <w:pPr>
              <w:spacing w:beforeAutospacing="1"/>
              <w:outlineLvl w:val="2"/>
              <w:rPr>
                <w:b/>
                <w:bCs/>
              </w:rPr>
            </w:pPr>
            <w:r>
              <w:rPr>
                <w:b/>
                <w:bCs/>
              </w:rPr>
              <w:t>Total:                                                                                16                         100%</w:t>
            </w:r>
          </w:p>
        </w:tc>
      </w:tr>
      <w:tr w:rsidR="00A82E6A" w14:paraId="48C66DAB" w14:textId="77777777">
        <w:trPr>
          <w:trHeight w:val="284"/>
          <w:jc w:val="center"/>
        </w:trPr>
        <w:tc>
          <w:tcPr>
            <w:tcW w:w="8648" w:type="dxa"/>
            <w:gridSpan w:val="4"/>
          </w:tcPr>
          <w:p w14:paraId="71819958" w14:textId="77777777" w:rsidR="00A82E6A" w:rsidRDefault="005E547F">
            <w:pPr>
              <w:outlineLvl w:val="2"/>
            </w:pPr>
            <w:r>
              <w:t>Mean: 16.56</w:t>
            </w:r>
          </w:p>
          <w:p w14:paraId="13E4BA29" w14:textId="77777777" w:rsidR="00A82E6A" w:rsidRDefault="005E547F">
            <w:pPr>
              <w:outlineLvl w:val="2"/>
            </w:pPr>
            <w:r>
              <w:t>Std. Dev.: 4.59</w:t>
            </w:r>
          </w:p>
        </w:tc>
      </w:tr>
    </w:tbl>
    <w:p w14:paraId="7F6A0A7D" w14:textId="77777777" w:rsidR="00A82E6A" w:rsidRDefault="00A82E6A">
      <w:pPr>
        <w:tabs>
          <w:tab w:val="left" w:pos="8647"/>
        </w:tabs>
        <w:spacing w:beforeAutospacing="1" w:afterAutospacing="1"/>
        <w:jc w:val="both"/>
        <w:rPr>
          <w:rFonts w:ascii="Arial" w:hAnsi="Arial" w:cs="Arial"/>
          <w:bCs/>
          <w:szCs w:val="24"/>
          <w:lang w:eastAsia="en-PH"/>
        </w:rPr>
      </w:pPr>
    </w:p>
    <w:p w14:paraId="222167A8" w14:textId="77777777" w:rsidR="00A82E6A" w:rsidRDefault="00A82E6A">
      <w:pPr>
        <w:pStyle w:val="Body"/>
        <w:rPr>
          <w:rFonts w:ascii="Arial" w:hAnsi="Arial" w:cs="Arial"/>
          <w:bCs/>
          <w:lang w:val="en-PH" w:eastAsia="en-PH"/>
        </w:rPr>
      </w:pPr>
    </w:p>
    <w:p w14:paraId="76925073" w14:textId="77777777" w:rsidR="00A82E6A" w:rsidRDefault="005E547F">
      <w:pPr>
        <w:pStyle w:val="BodyText"/>
        <w:jc w:val="both"/>
        <w:rPr>
          <w:rFonts w:ascii="Arial" w:hAnsi="Arial"/>
        </w:rPr>
      </w:pPr>
      <w:r>
        <w:rPr>
          <w:rFonts w:ascii="Arial" w:hAnsi="Arial" w:cs="Arial"/>
          <w:lang w:val="en-PH" w:eastAsia="en-PH"/>
        </w:rPr>
        <w:t>The results in Table 3 revealed a statistically significant difference between the pretest and posttest scores of Grade 5 pupils after the implementation of the Think-Pair-Share (TPS) strategy. The computed t-value of -3.43 and p-value of 0.007, which is lower than the 0.05 level of significance, led to the rejection of the null hypothesis. This confirms that the improvement in reading comprehension was not due to chance but rather to the effectiveness of TPS in fostering active engagement, collaboration, and deeper understanding among learners.</w:t>
      </w:r>
    </w:p>
    <w:p w14:paraId="6625435C" w14:textId="77777777" w:rsidR="00A82E6A" w:rsidRDefault="005E547F">
      <w:pPr>
        <w:pStyle w:val="BodyText"/>
        <w:jc w:val="both"/>
        <w:rPr>
          <w:rFonts w:ascii="Arial" w:hAnsi="Arial"/>
        </w:rPr>
      </w:pPr>
      <w:r>
        <w:rPr>
          <w:rFonts w:ascii="Arial" w:hAnsi="Arial"/>
        </w:rPr>
        <w:t xml:space="preserve">These findings are consistent with international studies. </w:t>
      </w:r>
      <w:proofErr w:type="spellStart"/>
      <w:r>
        <w:rPr>
          <w:rFonts w:ascii="Arial" w:hAnsi="Arial"/>
        </w:rPr>
        <w:t>Agussatriana</w:t>
      </w:r>
      <w:proofErr w:type="spellEnd"/>
      <w:r>
        <w:rPr>
          <w:rFonts w:ascii="Arial" w:hAnsi="Arial"/>
        </w:rPr>
        <w:t xml:space="preserve"> (2020) demonstrated that TPS significantly improved students’ comprehension by encouraging active participation and peer collaboration. </w:t>
      </w:r>
      <w:proofErr w:type="spellStart"/>
      <w:r>
        <w:rPr>
          <w:rFonts w:ascii="Arial" w:hAnsi="Arial"/>
        </w:rPr>
        <w:t>Candraloka</w:t>
      </w:r>
      <w:proofErr w:type="spellEnd"/>
      <w:r>
        <w:rPr>
          <w:rFonts w:ascii="Arial" w:hAnsi="Arial"/>
        </w:rPr>
        <w:t xml:space="preserve"> (2023) further validated that TPS enhanced reading skills through structured peer discussions, while </w:t>
      </w:r>
      <w:proofErr w:type="spellStart"/>
      <w:r>
        <w:rPr>
          <w:rFonts w:ascii="Arial" w:hAnsi="Arial"/>
        </w:rPr>
        <w:t>Oktaviani</w:t>
      </w:r>
      <w:proofErr w:type="spellEnd"/>
      <w:r>
        <w:rPr>
          <w:rFonts w:ascii="Arial" w:hAnsi="Arial"/>
        </w:rPr>
        <w:t xml:space="preserve"> and </w:t>
      </w:r>
      <w:proofErr w:type="spellStart"/>
      <w:r>
        <w:rPr>
          <w:rFonts w:ascii="Arial" w:hAnsi="Arial"/>
        </w:rPr>
        <w:t>Rofiqoh</w:t>
      </w:r>
      <w:proofErr w:type="spellEnd"/>
      <w:r>
        <w:rPr>
          <w:rFonts w:ascii="Arial" w:hAnsi="Arial"/>
        </w:rPr>
        <w:t xml:space="preserve"> (2021) confirmed that TPS transformed reading lessons into interactive exchanges, leading to higher comprehension levels. Bastian (2021) documented a substantial increase in comprehension scores after TPS was applied, reinforcing its effectiveness. Similarly, </w:t>
      </w:r>
      <w:proofErr w:type="spellStart"/>
      <w:r>
        <w:rPr>
          <w:rFonts w:ascii="Arial" w:hAnsi="Arial"/>
        </w:rPr>
        <w:t>Pratolo</w:t>
      </w:r>
      <w:proofErr w:type="spellEnd"/>
      <w:r>
        <w:rPr>
          <w:rFonts w:ascii="Arial" w:hAnsi="Arial"/>
        </w:rPr>
        <w:t xml:space="preserve">, Bao, and </w:t>
      </w:r>
      <w:proofErr w:type="spellStart"/>
      <w:r>
        <w:rPr>
          <w:rFonts w:ascii="Arial" w:hAnsi="Arial"/>
        </w:rPr>
        <w:t>Palaguna</w:t>
      </w:r>
      <w:proofErr w:type="spellEnd"/>
      <w:r>
        <w:rPr>
          <w:rFonts w:ascii="Arial" w:hAnsi="Arial"/>
        </w:rPr>
        <w:t xml:space="preserve"> (2025) emphasized that TPS not only improved comprehension but also boosted student motivation, while </w:t>
      </w:r>
      <w:proofErr w:type="spellStart"/>
      <w:r>
        <w:rPr>
          <w:rFonts w:ascii="Arial" w:hAnsi="Arial"/>
        </w:rPr>
        <w:t>Suhendi</w:t>
      </w:r>
      <w:proofErr w:type="spellEnd"/>
      <w:r>
        <w:rPr>
          <w:rFonts w:ascii="Arial" w:hAnsi="Arial"/>
        </w:rPr>
        <w:t xml:space="preserve"> (2022) highlighted that TPS, when combined with Directed Reading Thinking Activity (DRTA), significantly improved both motivation and comprehension achievement.</w:t>
      </w:r>
    </w:p>
    <w:p w14:paraId="3E961CBA" w14:textId="77777777" w:rsidR="00A82E6A" w:rsidRDefault="005E547F">
      <w:pPr>
        <w:pStyle w:val="BodyText"/>
        <w:jc w:val="both"/>
        <w:rPr>
          <w:rFonts w:ascii="Arial" w:hAnsi="Arial"/>
        </w:rPr>
      </w:pPr>
      <w:r>
        <w:rPr>
          <w:rFonts w:ascii="Arial" w:hAnsi="Arial"/>
        </w:rPr>
        <w:t xml:space="preserve">Local studies by </w:t>
      </w:r>
      <w:proofErr w:type="spellStart"/>
      <w:r>
        <w:rPr>
          <w:rFonts w:ascii="Arial" w:hAnsi="Arial"/>
        </w:rPr>
        <w:t>Casane</w:t>
      </w:r>
      <w:proofErr w:type="spellEnd"/>
      <w:r>
        <w:rPr>
          <w:rFonts w:ascii="Arial" w:hAnsi="Arial"/>
        </w:rPr>
        <w:t xml:space="preserve"> provide complementary insights. </w:t>
      </w:r>
      <w:proofErr w:type="spellStart"/>
      <w:r>
        <w:rPr>
          <w:rFonts w:ascii="Arial" w:hAnsi="Arial"/>
        </w:rPr>
        <w:t>Casane</w:t>
      </w:r>
      <w:proofErr w:type="spellEnd"/>
      <w:r>
        <w:rPr>
          <w:rFonts w:ascii="Arial" w:hAnsi="Arial"/>
        </w:rPr>
        <w:t xml:space="preserve"> (2024) revealed that </w:t>
      </w:r>
      <w:proofErr w:type="spellStart"/>
      <w:r>
        <w:rPr>
          <w:rFonts w:ascii="Arial" w:hAnsi="Arial"/>
        </w:rPr>
        <w:t>multigrade</w:t>
      </w:r>
      <w:proofErr w:type="spellEnd"/>
      <w:r>
        <w:rPr>
          <w:rFonts w:ascii="Arial" w:hAnsi="Arial"/>
        </w:rPr>
        <w:t xml:space="preserve"> teachers in </w:t>
      </w:r>
      <w:proofErr w:type="spellStart"/>
      <w:r>
        <w:rPr>
          <w:rFonts w:ascii="Arial" w:hAnsi="Arial"/>
        </w:rPr>
        <w:t>Laoang</w:t>
      </w:r>
      <w:proofErr w:type="spellEnd"/>
      <w:r>
        <w:rPr>
          <w:rFonts w:ascii="Arial" w:hAnsi="Arial"/>
        </w:rPr>
        <w:t xml:space="preserve"> face challenges such as extensive preparation, limited resources, and lack of support, but positive attitudes strongly correlate with their ability to manage these challenges. This underscores that strategies like TPS are most effective when teachers are motivated and supported. </w:t>
      </w:r>
      <w:proofErr w:type="spellStart"/>
      <w:r>
        <w:rPr>
          <w:rFonts w:ascii="Arial" w:hAnsi="Arial"/>
        </w:rPr>
        <w:t>Casane</w:t>
      </w:r>
      <w:proofErr w:type="spellEnd"/>
      <w:r>
        <w:rPr>
          <w:rFonts w:ascii="Arial" w:hAnsi="Arial"/>
        </w:rPr>
        <w:t xml:space="preserve"> (2025) highlighted perceptual gaps between teachers and school heads regarding instructional competence, pointing to the need for professional development and mentorship to sustain effective practices like TPS. Meanwhile, </w:t>
      </w:r>
      <w:proofErr w:type="spellStart"/>
      <w:r>
        <w:rPr>
          <w:rFonts w:ascii="Arial" w:hAnsi="Arial"/>
        </w:rPr>
        <w:t>Casane</w:t>
      </w:r>
      <w:proofErr w:type="spellEnd"/>
      <w:r>
        <w:rPr>
          <w:rFonts w:ascii="Arial" w:hAnsi="Arial"/>
        </w:rPr>
        <w:t xml:space="preserve"> (2026) and </w:t>
      </w:r>
      <w:proofErr w:type="spellStart"/>
      <w:r>
        <w:rPr>
          <w:rFonts w:ascii="Arial" w:hAnsi="Arial"/>
        </w:rPr>
        <w:t>Casane</w:t>
      </w:r>
      <w:proofErr w:type="spellEnd"/>
      <w:r>
        <w:rPr>
          <w:rFonts w:ascii="Arial" w:hAnsi="Arial"/>
        </w:rPr>
        <w:t xml:space="preserve"> &amp; Jr. (2026) emphasized the importance of financial literacy in academic performance, showing that targeted interventions in specific skill areas (whether literacy or financial management) can significantly enhance student outcomes.</w:t>
      </w:r>
    </w:p>
    <w:p w14:paraId="1FD8F286" w14:textId="77777777" w:rsidR="00A82E6A" w:rsidRDefault="005E547F">
      <w:pPr>
        <w:pStyle w:val="BodyText"/>
        <w:jc w:val="both"/>
        <w:rPr>
          <w:rFonts w:ascii="Arial" w:hAnsi="Arial"/>
        </w:rPr>
      </w:pPr>
      <w:r>
        <w:rPr>
          <w:rFonts w:ascii="Arial" w:hAnsi="Arial"/>
        </w:rPr>
        <w:lastRenderedPageBreak/>
        <w:t xml:space="preserve">Taken together, the convergence of local and foreign studies strengthens the </w:t>
      </w:r>
      <w:bookmarkStart w:id="0" w:name="_GoBack"/>
      <w:r>
        <w:rPr>
          <w:rFonts w:ascii="Arial" w:hAnsi="Arial"/>
        </w:rPr>
        <w:t>conclu</w:t>
      </w:r>
      <w:bookmarkEnd w:id="0"/>
      <w:r>
        <w:rPr>
          <w:rFonts w:ascii="Arial" w:hAnsi="Arial"/>
        </w:rPr>
        <w:t xml:space="preserve">sion that TPS is a powerful instructional strategy for improving reading comprehension. The statistical evidence from </w:t>
      </w:r>
      <w:proofErr w:type="spellStart"/>
      <w:r>
        <w:rPr>
          <w:rFonts w:ascii="Arial" w:hAnsi="Arial"/>
        </w:rPr>
        <w:t>Catigbian</w:t>
      </w:r>
      <w:proofErr w:type="spellEnd"/>
      <w:r>
        <w:rPr>
          <w:rFonts w:ascii="Arial" w:hAnsi="Arial"/>
        </w:rPr>
        <w:t xml:space="preserve"> Elementary School aligns with global findings and local teacher-focused research, highlighting that literacy improvement requires both effective classroom interventions and supportive teacher development. TPS provides a concrete, evidence-based approach to bridging literacy gaps, while </w:t>
      </w:r>
      <w:proofErr w:type="spellStart"/>
      <w:r>
        <w:rPr>
          <w:rFonts w:ascii="Arial" w:hAnsi="Arial"/>
        </w:rPr>
        <w:t>Casane’s</w:t>
      </w:r>
      <w:proofErr w:type="spellEnd"/>
      <w:r>
        <w:rPr>
          <w:rFonts w:ascii="Arial" w:hAnsi="Arial"/>
        </w:rPr>
        <w:t xml:space="preserve"> studies emphasize the broader systemic supports needed to sustain educational improvement.</w:t>
      </w:r>
    </w:p>
    <w:p w14:paraId="60DCC82F" w14:textId="77777777" w:rsidR="00A82E6A" w:rsidRDefault="00A82E6A">
      <w:pPr>
        <w:pStyle w:val="Body"/>
        <w:spacing w:after="0"/>
        <w:rPr>
          <w:rFonts w:ascii="Arial" w:hAnsi="Arial" w:cs="Arial"/>
          <w:b/>
          <w:bCs/>
          <w:lang w:eastAsia="en-PH"/>
        </w:rPr>
      </w:pPr>
    </w:p>
    <w:p w14:paraId="10F8942F" w14:textId="77777777" w:rsidR="00A82E6A" w:rsidRDefault="005E547F">
      <w:pPr>
        <w:pStyle w:val="Body"/>
        <w:spacing w:after="0"/>
        <w:jc w:val="center"/>
        <w:rPr>
          <w:rFonts w:ascii="Arial" w:hAnsi="Arial" w:cs="Arial"/>
        </w:rPr>
      </w:pPr>
      <w:r>
        <w:rPr>
          <w:rFonts w:ascii="Arial" w:hAnsi="Arial" w:cs="Arial"/>
          <w:b/>
          <w:bCs/>
          <w:lang w:eastAsia="en-PH"/>
        </w:rPr>
        <w:t>Table 3.</w:t>
      </w:r>
      <w:r>
        <w:rPr>
          <w:rFonts w:ascii="Arial-BoldMT" w:hAnsi="Arial-BoldMT"/>
          <w:b/>
          <w:bCs/>
          <w:color w:val="000000"/>
        </w:rPr>
        <w:t xml:space="preserve"> </w:t>
      </w:r>
      <w:r>
        <w:rPr>
          <w:rFonts w:ascii="Arial" w:hAnsi="Arial" w:cs="Arial"/>
          <w:b/>
          <w:bCs/>
          <w:lang w:eastAsia="en-PH"/>
        </w:rPr>
        <w:t>Significant Difference between the Posttest and Pretest Results</w:t>
      </w:r>
    </w:p>
    <w:tbl>
      <w:tblPr>
        <w:tblStyle w:val="TableGrid"/>
        <w:tblW w:w="8198" w:type="dxa"/>
        <w:tblLayout w:type="fixed"/>
        <w:tblLook w:val="04A0" w:firstRow="1" w:lastRow="0" w:firstColumn="1" w:lastColumn="0" w:noHBand="0" w:noVBand="1"/>
      </w:tblPr>
      <w:tblGrid>
        <w:gridCol w:w="1465"/>
        <w:gridCol w:w="1065"/>
        <w:gridCol w:w="1183"/>
        <w:gridCol w:w="1513"/>
        <w:gridCol w:w="1339"/>
        <w:gridCol w:w="1633"/>
      </w:tblGrid>
      <w:tr w:rsidR="00A82E6A" w14:paraId="51C0839B" w14:textId="77777777">
        <w:tc>
          <w:tcPr>
            <w:tcW w:w="1464" w:type="dxa"/>
          </w:tcPr>
          <w:p w14:paraId="2B599223" w14:textId="77777777" w:rsidR="00A82E6A" w:rsidRDefault="005E547F">
            <w:pPr>
              <w:jc w:val="center"/>
              <w:outlineLvl w:val="2"/>
              <w:rPr>
                <w:rFonts w:ascii="Arial" w:hAnsi="Arial" w:cs="Arial"/>
                <w:b/>
                <w:bCs/>
                <w:lang w:val="en-PH" w:eastAsia="en-PH"/>
              </w:rPr>
            </w:pPr>
            <w:r>
              <w:rPr>
                <w:rFonts w:ascii="Arial" w:hAnsi="Arial" w:cs="Arial"/>
                <w:b/>
                <w:bCs/>
                <w:lang w:val="en-PH" w:eastAsia="en-PH"/>
              </w:rPr>
              <w:t>Variables</w:t>
            </w:r>
          </w:p>
        </w:tc>
        <w:tc>
          <w:tcPr>
            <w:tcW w:w="1065" w:type="dxa"/>
          </w:tcPr>
          <w:p w14:paraId="264811FF" w14:textId="77777777" w:rsidR="00A82E6A" w:rsidRDefault="005E547F">
            <w:pPr>
              <w:jc w:val="center"/>
              <w:outlineLvl w:val="2"/>
              <w:rPr>
                <w:rFonts w:ascii="Arial" w:hAnsi="Arial" w:cs="Arial"/>
                <w:b/>
                <w:bCs/>
                <w:lang w:eastAsia="en-PH"/>
              </w:rPr>
            </w:pPr>
            <w:r>
              <w:rPr>
                <w:rFonts w:ascii="Arial" w:hAnsi="Arial" w:cs="Arial"/>
                <w:b/>
                <w:bCs/>
                <w:lang w:eastAsia="en-PH"/>
              </w:rPr>
              <w:t>t - value</w:t>
            </w:r>
          </w:p>
        </w:tc>
        <w:tc>
          <w:tcPr>
            <w:tcW w:w="1183" w:type="dxa"/>
          </w:tcPr>
          <w:p w14:paraId="35E72FD7" w14:textId="77777777" w:rsidR="00A82E6A" w:rsidRDefault="005E547F">
            <w:pPr>
              <w:jc w:val="center"/>
              <w:outlineLvl w:val="2"/>
              <w:rPr>
                <w:rFonts w:ascii="Arial" w:hAnsi="Arial" w:cs="Arial"/>
                <w:b/>
                <w:bCs/>
                <w:lang w:eastAsia="en-PH"/>
              </w:rPr>
            </w:pPr>
            <w:r>
              <w:rPr>
                <w:rFonts w:ascii="Arial" w:hAnsi="Arial" w:cs="Arial"/>
                <w:b/>
                <w:bCs/>
                <w:lang w:eastAsia="en-PH"/>
              </w:rPr>
              <w:t>p - value</w:t>
            </w:r>
          </w:p>
        </w:tc>
        <w:tc>
          <w:tcPr>
            <w:tcW w:w="1513" w:type="dxa"/>
          </w:tcPr>
          <w:p w14:paraId="01231A89" w14:textId="77777777" w:rsidR="00A82E6A" w:rsidRDefault="005E547F">
            <w:pPr>
              <w:jc w:val="center"/>
              <w:outlineLvl w:val="2"/>
              <w:rPr>
                <w:rFonts w:ascii="Arial" w:hAnsi="Arial" w:cs="Arial"/>
                <w:b/>
                <w:bCs/>
                <w:lang w:val="en-PH" w:eastAsia="en-PH"/>
              </w:rPr>
            </w:pPr>
            <w:r>
              <w:rPr>
                <w:rFonts w:ascii="Arial" w:hAnsi="Arial" w:cs="Arial"/>
                <w:b/>
                <w:bCs/>
                <w:lang w:val="en-PH" w:eastAsia="en-PH"/>
              </w:rPr>
              <w:t>Level of Significance</w:t>
            </w:r>
          </w:p>
        </w:tc>
        <w:tc>
          <w:tcPr>
            <w:tcW w:w="1339" w:type="dxa"/>
          </w:tcPr>
          <w:p w14:paraId="3ABD9B90" w14:textId="77777777" w:rsidR="00A82E6A" w:rsidRDefault="005E547F">
            <w:pPr>
              <w:jc w:val="center"/>
              <w:outlineLvl w:val="2"/>
              <w:rPr>
                <w:rFonts w:ascii="Arial" w:hAnsi="Arial" w:cs="Arial"/>
                <w:b/>
                <w:bCs/>
                <w:lang w:eastAsia="en-PH"/>
              </w:rPr>
            </w:pPr>
            <w:r>
              <w:rPr>
                <w:rFonts w:ascii="Arial" w:hAnsi="Arial" w:cs="Arial"/>
                <w:b/>
                <w:bCs/>
                <w:lang w:eastAsia="en-PH"/>
              </w:rPr>
              <w:t>Decision</w:t>
            </w:r>
          </w:p>
        </w:tc>
        <w:tc>
          <w:tcPr>
            <w:tcW w:w="1633" w:type="dxa"/>
          </w:tcPr>
          <w:p w14:paraId="1705BA15" w14:textId="77777777" w:rsidR="00A82E6A" w:rsidRDefault="005E547F">
            <w:pPr>
              <w:jc w:val="center"/>
              <w:outlineLvl w:val="2"/>
              <w:rPr>
                <w:rFonts w:ascii="Arial" w:hAnsi="Arial" w:cs="Arial"/>
                <w:b/>
                <w:bCs/>
                <w:lang w:eastAsia="en-PH"/>
              </w:rPr>
            </w:pPr>
            <w:r>
              <w:rPr>
                <w:rFonts w:ascii="Arial" w:hAnsi="Arial" w:cs="Arial"/>
                <w:b/>
                <w:bCs/>
                <w:lang w:eastAsia="en-PH"/>
              </w:rPr>
              <w:t>Interpretation</w:t>
            </w:r>
          </w:p>
        </w:tc>
      </w:tr>
      <w:tr w:rsidR="00A82E6A" w14:paraId="17D5D852" w14:textId="77777777">
        <w:tc>
          <w:tcPr>
            <w:tcW w:w="1464" w:type="dxa"/>
          </w:tcPr>
          <w:p w14:paraId="6185B230" w14:textId="77777777" w:rsidR="00A82E6A" w:rsidRDefault="005E547F">
            <w:pPr>
              <w:jc w:val="center"/>
              <w:outlineLvl w:val="2"/>
              <w:rPr>
                <w:rFonts w:ascii="Arial" w:hAnsi="Arial" w:cs="Arial"/>
                <w:lang w:val="en-PH" w:eastAsia="en-PH"/>
              </w:rPr>
            </w:pPr>
            <w:r>
              <w:rPr>
                <w:rFonts w:ascii="Arial" w:hAnsi="Arial" w:cs="Arial"/>
                <w:lang w:val="en-PH" w:eastAsia="en-PH"/>
              </w:rPr>
              <w:t>Posttest and Pretest</w:t>
            </w:r>
          </w:p>
          <w:p w14:paraId="6111D651" w14:textId="77777777" w:rsidR="00A82E6A" w:rsidRDefault="005E547F">
            <w:pPr>
              <w:jc w:val="center"/>
              <w:outlineLvl w:val="2"/>
              <w:rPr>
                <w:rFonts w:ascii="Arial" w:hAnsi="Arial" w:cs="Arial"/>
                <w:lang w:val="en-PH" w:eastAsia="en-PH"/>
              </w:rPr>
            </w:pPr>
            <w:r>
              <w:rPr>
                <w:rFonts w:ascii="Arial" w:hAnsi="Arial" w:cs="Arial"/>
                <w:lang w:val="en-PH" w:eastAsia="en-PH"/>
              </w:rPr>
              <w:t>Results</w:t>
            </w:r>
          </w:p>
        </w:tc>
        <w:tc>
          <w:tcPr>
            <w:tcW w:w="1065" w:type="dxa"/>
          </w:tcPr>
          <w:p w14:paraId="0457DD70" w14:textId="77777777" w:rsidR="00A82E6A" w:rsidRDefault="005E547F">
            <w:pPr>
              <w:jc w:val="center"/>
              <w:outlineLvl w:val="2"/>
              <w:rPr>
                <w:rFonts w:ascii="Arial" w:hAnsi="Arial" w:cs="Arial"/>
                <w:lang w:eastAsia="en-PH"/>
              </w:rPr>
            </w:pPr>
            <w:r>
              <w:rPr>
                <w:rFonts w:ascii="Arial" w:hAnsi="Arial" w:cs="Arial"/>
                <w:lang w:eastAsia="en-PH"/>
              </w:rPr>
              <w:t>-3.43</w:t>
            </w:r>
          </w:p>
        </w:tc>
        <w:tc>
          <w:tcPr>
            <w:tcW w:w="1183" w:type="dxa"/>
          </w:tcPr>
          <w:p w14:paraId="39D6B667" w14:textId="77777777" w:rsidR="00A82E6A" w:rsidRDefault="005E547F">
            <w:pPr>
              <w:jc w:val="center"/>
              <w:outlineLvl w:val="2"/>
              <w:rPr>
                <w:rFonts w:ascii="Arial" w:hAnsi="Arial" w:cs="Arial"/>
                <w:lang w:eastAsia="en-PH"/>
              </w:rPr>
            </w:pPr>
            <w:r>
              <w:rPr>
                <w:rFonts w:ascii="Arial" w:hAnsi="Arial" w:cs="Arial"/>
                <w:lang w:eastAsia="en-PH"/>
              </w:rPr>
              <w:t>0.007</w:t>
            </w:r>
          </w:p>
        </w:tc>
        <w:tc>
          <w:tcPr>
            <w:tcW w:w="1513" w:type="dxa"/>
          </w:tcPr>
          <w:p w14:paraId="7D206767" w14:textId="77777777" w:rsidR="00A82E6A" w:rsidRDefault="005E547F">
            <w:pPr>
              <w:jc w:val="center"/>
              <w:outlineLvl w:val="2"/>
              <w:rPr>
                <w:rFonts w:ascii="Arial" w:hAnsi="Arial" w:cs="Arial"/>
                <w:lang w:eastAsia="en-PH"/>
              </w:rPr>
            </w:pPr>
            <w:r>
              <w:rPr>
                <w:rFonts w:ascii="Arial" w:hAnsi="Arial" w:cs="Arial"/>
                <w:lang w:eastAsia="en-PH"/>
              </w:rPr>
              <w:t>0.05</w:t>
            </w:r>
          </w:p>
        </w:tc>
        <w:tc>
          <w:tcPr>
            <w:tcW w:w="1339" w:type="dxa"/>
          </w:tcPr>
          <w:p w14:paraId="5F2BE063" w14:textId="77777777" w:rsidR="00A82E6A" w:rsidRDefault="005E547F">
            <w:pPr>
              <w:jc w:val="center"/>
              <w:outlineLvl w:val="2"/>
              <w:rPr>
                <w:rFonts w:ascii="Arial" w:hAnsi="Arial" w:cs="Arial"/>
                <w:lang w:val="en-PH" w:eastAsia="en-PH"/>
              </w:rPr>
            </w:pPr>
            <w:r>
              <w:rPr>
                <w:rFonts w:ascii="Arial" w:hAnsi="Arial" w:cs="Arial"/>
                <w:lang w:val="en-PH" w:eastAsia="en-PH"/>
              </w:rPr>
              <w:t>Reject Null</w:t>
            </w:r>
          </w:p>
          <w:p w14:paraId="314C2D7A" w14:textId="77777777" w:rsidR="00A82E6A" w:rsidRDefault="005E547F">
            <w:pPr>
              <w:jc w:val="center"/>
              <w:outlineLvl w:val="2"/>
              <w:rPr>
                <w:rFonts w:ascii="Arial" w:hAnsi="Arial" w:cs="Arial"/>
                <w:b/>
                <w:bCs/>
                <w:lang w:eastAsia="en-PH"/>
              </w:rPr>
            </w:pPr>
            <w:r>
              <w:rPr>
                <w:rFonts w:ascii="Arial" w:hAnsi="Arial" w:cs="Arial"/>
                <w:lang w:val="en-PH" w:eastAsia="en-PH"/>
              </w:rPr>
              <w:t>Hypothesis</w:t>
            </w:r>
          </w:p>
        </w:tc>
        <w:tc>
          <w:tcPr>
            <w:tcW w:w="1633" w:type="dxa"/>
          </w:tcPr>
          <w:p w14:paraId="5279704B" w14:textId="77777777" w:rsidR="00A82E6A" w:rsidRDefault="005E547F">
            <w:pPr>
              <w:jc w:val="center"/>
              <w:outlineLvl w:val="2"/>
              <w:rPr>
                <w:rFonts w:ascii="Arial" w:hAnsi="Arial" w:cs="Arial"/>
                <w:lang w:eastAsia="en-PH"/>
              </w:rPr>
            </w:pPr>
            <w:r>
              <w:rPr>
                <w:rFonts w:ascii="Arial" w:hAnsi="Arial" w:cs="Arial"/>
                <w:lang w:eastAsia="en-PH"/>
              </w:rPr>
              <w:t>Significant</w:t>
            </w:r>
            <w:bookmarkStart w:id="1" w:name="_Hlk211971698"/>
            <w:bookmarkEnd w:id="1"/>
          </w:p>
        </w:tc>
      </w:tr>
    </w:tbl>
    <w:p w14:paraId="01D88AEC" w14:textId="77777777" w:rsidR="00A82E6A" w:rsidRDefault="00A82E6A">
      <w:pPr>
        <w:ind w:left="180" w:firstLine="567"/>
        <w:jc w:val="both"/>
        <w:rPr>
          <w:rFonts w:ascii="Arial" w:hAnsi="Arial" w:cs="Arial"/>
          <w:bCs/>
          <w:lang w:eastAsia="en-PH"/>
        </w:rPr>
      </w:pPr>
    </w:p>
    <w:p w14:paraId="6B563DFF" w14:textId="77777777" w:rsidR="00A82E6A" w:rsidRDefault="00A82E6A">
      <w:pPr>
        <w:jc w:val="both"/>
        <w:rPr>
          <w:rFonts w:ascii="Arial" w:hAnsi="Arial" w:cs="Arial"/>
          <w:bCs/>
          <w:lang w:val="en-PH" w:eastAsia="en-PH"/>
        </w:rPr>
      </w:pPr>
      <w:bookmarkStart w:id="2" w:name="_Hlk211972311"/>
      <w:bookmarkEnd w:id="2"/>
    </w:p>
    <w:p w14:paraId="66955DAB" w14:textId="77777777" w:rsidR="00A82E6A" w:rsidRDefault="00A82E6A">
      <w:pPr>
        <w:pStyle w:val="Body"/>
        <w:spacing w:after="0"/>
        <w:rPr>
          <w:rFonts w:ascii="Arial" w:hAnsi="Arial" w:cs="Arial"/>
        </w:rPr>
      </w:pPr>
    </w:p>
    <w:p w14:paraId="0B374776" w14:textId="77777777" w:rsidR="00A82E6A" w:rsidRDefault="005E547F">
      <w:pPr>
        <w:pStyle w:val="ConcHead"/>
        <w:spacing w:after="0"/>
        <w:jc w:val="both"/>
        <w:rPr>
          <w:rFonts w:ascii="Arial" w:hAnsi="Arial" w:cs="Arial"/>
          <w:sz w:val="20"/>
        </w:rPr>
      </w:pPr>
      <w:r>
        <w:rPr>
          <w:rFonts w:ascii="Arial" w:hAnsi="Arial" w:cs="Arial"/>
          <w:sz w:val="20"/>
        </w:rPr>
        <w:t>4. Conclusion</w:t>
      </w:r>
    </w:p>
    <w:p w14:paraId="62BD2147" w14:textId="77777777" w:rsidR="00A82E6A" w:rsidRDefault="00A82E6A">
      <w:pPr>
        <w:pStyle w:val="AcknHead"/>
        <w:spacing w:after="0"/>
        <w:jc w:val="both"/>
        <w:rPr>
          <w:rFonts w:ascii="Arial" w:hAnsi="Arial" w:cs="Arial"/>
          <w:sz w:val="20"/>
        </w:rPr>
      </w:pPr>
    </w:p>
    <w:p w14:paraId="0CB28F77" w14:textId="77777777" w:rsidR="00A82E6A" w:rsidRDefault="005E547F">
      <w:pPr>
        <w:suppressAutoHyphens w:val="0"/>
        <w:jc w:val="both"/>
        <w:rPr>
          <w:rFonts w:ascii="Arial" w:hAnsi="Arial"/>
        </w:rPr>
      </w:pPr>
      <w:r>
        <w:rPr>
          <w:rFonts w:ascii="Arial" w:hAnsi="Arial" w:cs="Arial"/>
          <w:color w:val="000000"/>
          <w:lang w:val="en-PH" w:eastAsia="en-PH"/>
        </w:rPr>
        <w:t>The study provides compelling evidence of the effectiveness of Think-Pair-Share (TPS) in enhancing reading comprehension. A statistically significant increase in mean scores from 12.50 (pre-test) to 16.56 (post-test), coupled with a p-value of 0.007, confirms that structured peer interaction leads to meaningful literacy improvement. TPS fosters engagement, collaborative learning, and active participation, ensuring students internalize and retain comprehension skills more effectively. The findings support the idea that discussion-based learning enhances cognitive processing, making learning more dynamic and impactful.</w:t>
      </w:r>
    </w:p>
    <w:p w14:paraId="39368692" w14:textId="77777777" w:rsidR="00A82E6A" w:rsidRDefault="00A82E6A">
      <w:pPr>
        <w:suppressAutoHyphens w:val="0"/>
        <w:jc w:val="both"/>
        <w:rPr>
          <w:rFonts w:ascii="Arial" w:hAnsi="Arial" w:cs="Arial"/>
          <w:color w:val="000000"/>
          <w:lang w:val="en-PH" w:eastAsia="en-PH"/>
        </w:rPr>
      </w:pPr>
    </w:p>
    <w:p w14:paraId="7BD56DAC" w14:textId="77777777" w:rsidR="00A82E6A" w:rsidRDefault="005E547F">
      <w:pPr>
        <w:suppressAutoHyphens w:val="0"/>
        <w:jc w:val="both"/>
        <w:rPr>
          <w:rFonts w:ascii="Arial" w:hAnsi="Arial"/>
        </w:rPr>
      </w:pPr>
      <w:r>
        <w:rPr>
          <w:rFonts w:ascii="Arial" w:hAnsi="Arial" w:cs="Arial"/>
          <w:color w:val="000000"/>
          <w:lang w:val="en-PH" w:eastAsia="en-PH"/>
        </w:rPr>
        <w:t xml:space="preserve">The results underscore the positive impact of TPS on comprehension development, demonstrating that structured peer discussions lead to better understanding and retention of text materials. The significant difference between pre-test and post-test scores suggests that TPS is an effective instructional method in improving literacy skills. By verbalizing their thoughts and exchanging ideas, students solidify their comprehension in ways traditional silent reading cannot achieve. The rejection of the null hypothesis further 25 validates the claim that collaborative learning fosters deeper engagement and active knowledge construction. </w:t>
      </w:r>
    </w:p>
    <w:p w14:paraId="45DD4922" w14:textId="77777777" w:rsidR="00A82E6A" w:rsidRDefault="00A82E6A">
      <w:pPr>
        <w:suppressAutoHyphens w:val="0"/>
        <w:jc w:val="both"/>
        <w:rPr>
          <w:rFonts w:ascii="Arial" w:hAnsi="Arial"/>
          <w:lang w:val="en-PH" w:eastAsia="en-PH"/>
        </w:rPr>
      </w:pPr>
    </w:p>
    <w:p w14:paraId="554B7B89" w14:textId="77777777" w:rsidR="00A82E6A" w:rsidRDefault="005E547F">
      <w:pPr>
        <w:suppressAutoHyphens w:val="0"/>
        <w:jc w:val="both"/>
        <w:rPr>
          <w:rFonts w:ascii="Arial" w:hAnsi="Arial"/>
        </w:rPr>
      </w:pPr>
      <w:r>
        <w:rPr>
          <w:rFonts w:ascii="Arial" w:hAnsi="Arial" w:cs="Arial"/>
          <w:color w:val="000000"/>
          <w:lang w:val="en-PH" w:eastAsia="en-PH"/>
        </w:rPr>
        <w:t xml:space="preserve">Think-Pair-Share presents a powerful opportunity for elementary educators to enhance literacy instruction. By shifting from passive learning to interactive dialogue, TPS improves comprehension retention, increases student accountability, and builds essential communication and critical thinking skills. Additionally, TPS helps diverse learners by providing structured yet flexible discussions that accommodate different comprehension levels, fostering inclusivity in the classroom. Schools can adopt TPS to reduce off-task behaviors, strengthen literacy programs, and cultivate student confidence in analyzing texts. Its application extends beyond reading comprehension, as the strategy can be adapted to other subject areas requiring deep engagement and collaborative problem-solving. </w:t>
      </w:r>
    </w:p>
    <w:p w14:paraId="4BCF1CF9" w14:textId="77777777" w:rsidR="00A82E6A" w:rsidRDefault="00A82E6A">
      <w:pPr>
        <w:pStyle w:val="AcknHead"/>
        <w:spacing w:after="0"/>
        <w:jc w:val="both"/>
        <w:rPr>
          <w:rFonts w:ascii="Arial" w:hAnsi="Arial" w:cs="Arial"/>
          <w:sz w:val="20"/>
        </w:rPr>
      </w:pPr>
    </w:p>
    <w:p w14:paraId="63974D01" w14:textId="77777777" w:rsidR="00A82E6A" w:rsidRDefault="005E547F">
      <w:pPr>
        <w:pStyle w:val="ReferHead"/>
        <w:spacing w:after="0"/>
        <w:jc w:val="both"/>
        <w:rPr>
          <w:rFonts w:ascii="Arial" w:hAnsi="Arial" w:cs="Arial"/>
          <w:bCs/>
        </w:rPr>
      </w:pPr>
      <w:r>
        <w:rPr>
          <w:rFonts w:ascii="Arial" w:hAnsi="Arial" w:cs="Arial"/>
          <w:bCs/>
        </w:rPr>
        <w:t>Competing interests</w:t>
      </w:r>
    </w:p>
    <w:p w14:paraId="3E720351" w14:textId="77777777" w:rsidR="00A82E6A" w:rsidRDefault="00A82E6A">
      <w:pPr>
        <w:pStyle w:val="ReferHead"/>
        <w:spacing w:after="0"/>
        <w:jc w:val="both"/>
        <w:rPr>
          <w:rFonts w:ascii="Arial" w:hAnsi="Arial" w:cs="Arial"/>
          <w:b w:val="0"/>
          <w:caps w:val="0"/>
          <w:sz w:val="20"/>
        </w:rPr>
      </w:pPr>
    </w:p>
    <w:p w14:paraId="36F6201B" w14:textId="77777777" w:rsidR="00A82E6A" w:rsidRDefault="005E547F">
      <w:pPr>
        <w:pStyle w:val="ReferHead"/>
        <w:spacing w:after="0"/>
        <w:jc w:val="both"/>
        <w:rPr>
          <w:rFonts w:ascii="Arial" w:hAnsi="Arial" w:cs="Arial"/>
          <w:bCs/>
        </w:rPr>
      </w:pPr>
      <w:r>
        <w:rPr>
          <w:rFonts w:ascii="Arial" w:hAnsi="Arial" w:cs="Arial"/>
          <w:b w:val="0"/>
          <w:caps w:val="0"/>
          <w:sz w:val="20"/>
        </w:rPr>
        <w:t xml:space="preserve">The authors </w:t>
      </w:r>
      <w:proofErr w:type="gramStart"/>
      <w:r>
        <w:rPr>
          <w:rFonts w:ascii="Arial" w:hAnsi="Arial" w:cs="Arial"/>
          <w:b w:val="0"/>
          <w:caps w:val="0"/>
          <w:sz w:val="20"/>
        </w:rPr>
        <w:t>has</w:t>
      </w:r>
      <w:proofErr w:type="gramEnd"/>
      <w:r>
        <w:rPr>
          <w:rFonts w:ascii="Arial" w:hAnsi="Arial" w:cs="Arial"/>
          <w:b w:val="0"/>
          <w:caps w:val="0"/>
          <w:sz w:val="20"/>
        </w:rPr>
        <w:t xml:space="preserve"> declared that no competing interests exist.</w:t>
      </w:r>
    </w:p>
    <w:p w14:paraId="1B3A71F2" w14:textId="77777777" w:rsidR="00A82E6A" w:rsidRDefault="00A82E6A">
      <w:pPr>
        <w:pStyle w:val="ReferHead"/>
        <w:spacing w:after="0"/>
        <w:jc w:val="both"/>
        <w:rPr>
          <w:rFonts w:ascii="Arial" w:hAnsi="Arial" w:cs="Arial"/>
          <w:bCs/>
        </w:rPr>
      </w:pPr>
    </w:p>
    <w:p w14:paraId="2C3204FE" w14:textId="77777777" w:rsidR="00A82E6A" w:rsidRDefault="005E547F">
      <w:pPr>
        <w:pStyle w:val="NoSpacing"/>
        <w:rPr>
          <w:b/>
          <w:bCs/>
        </w:rPr>
      </w:pPr>
      <w:bookmarkStart w:id="3" w:name="_Hlk198031404"/>
      <w:bookmarkEnd w:id="3"/>
      <w:r>
        <w:rPr>
          <w:rFonts w:ascii="Arial" w:hAnsi="Arial" w:cs="Arial"/>
          <w:b/>
          <w:bCs/>
        </w:rPr>
        <w:t>Disclaimer (Artificial intelligence)</w:t>
      </w:r>
    </w:p>
    <w:p w14:paraId="15F640F8" w14:textId="77777777" w:rsidR="00A82E6A" w:rsidRDefault="00A82E6A">
      <w:pPr>
        <w:pStyle w:val="NoSpacing"/>
        <w:rPr>
          <w:rFonts w:ascii="Arial" w:hAnsi="Arial" w:cs="Arial"/>
        </w:rPr>
      </w:pPr>
    </w:p>
    <w:p w14:paraId="23272284" w14:textId="77777777" w:rsidR="00A82E6A" w:rsidRDefault="005E547F">
      <w:pPr>
        <w:pStyle w:val="BodyText"/>
      </w:pPr>
      <w:bookmarkStart w:id="4" w:name="_Hlk198031404_Copy_1"/>
      <w:bookmarkEnd w:id="4"/>
      <w:r>
        <w:rPr>
          <w:rFonts w:ascii="Arial" w:hAnsi="Arial" w:cs="Arial"/>
        </w:rPr>
        <w:lastRenderedPageBreak/>
        <w:t xml:space="preserve">The author(s) hereby declare that no generative artificial intelligence technologies, such as large language models (e.g., </w:t>
      </w:r>
      <w:proofErr w:type="spellStart"/>
      <w:r>
        <w:rPr>
          <w:rFonts w:ascii="Arial" w:hAnsi="Arial" w:cs="Arial"/>
        </w:rPr>
        <w:t>ChatGPT</w:t>
      </w:r>
      <w:proofErr w:type="spellEnd"/>
      <w:r>
        <w:rPr>
          <w:rFonts w:ascii="Arial" w:hAnsi="Arial" w:cs="Arial"/>
        </w:rPr>
        <w:t>, Copilot) or text-to-image generators, were used in the writing, editing, or preparation of this manuscript. All content was developed, reviewed, and finalized solely through the efforts of the author(s) without reliance on AI-assisted tools.</w:t>
      </w:r>
    </w:p>
    <w:p w14:paraId="2F63F32D" w14:textId="77777777" w:rsidR="00A82E6A" w:rsidRDefault="00A82E6A">
      <w:pPr>
        <w:pStyle w:val="NoSpacing"/>
        <w:rPr>
          <w:rFonts w:ascii="Arial" w:hAnsi="Arial" w:cs="Arial"/>
        </w:rPr>
      </w:pPr>
    </w:p>
    <w:p w14:paraId="2874DB4B" w14:textId="77777777" w:rsidR="00A82E6A" w:rsidRDefault="00A82E6A">
      <w:pPr>
        <w:pStyle w:val="ReferHead"/>
        <w:spacing w:after="0"/>
        <w:jc w:val="both"/>
        <w:rPr>
          <w:rFonts w:ascii="Arial" w:hAnsi="Arial" w:cs="Arial"/>
        </w:rPr>
      </w:pPr>
    </w:p>
    <w:p w14:paraId="260D8CD6" w14:textId="77777777" w:rsidR="00A82E6A" w:rsidRDefault="005E547F">
      <w:pPr>
        <w:pStyle w:val="ReferHead"/>
        <w:spacing w:after="0"/>
        <w:jc w:val="both"/>
        <w:rPr>
          <w:rFonts w:ascii="Arial" w:hAnsi="Arial" w:cs="Arial"/>
        </w:rPr>
      </w:pPr>
      <w:r>
        <w:rPr>
          <w:rFonts w:ascii="Arial" w:hAnsi="Arial" w:cs="Arial"/>
        </w:rPr>
        <w:t>References</w:t>
      </w:r>
    </w:p>
    <w:p w14:paraId="70E0B73F" w14:textId="77777777" w:rsidR="00A82E6A" w:rsidRDefault="00A82E6A">
      <w:pPr>
        <w:pStyle w:val="Appendix"/>
        <w:spacing w:after="0"/>
        <w:jc w:val="both"/>
        <w:rPr>
          <w:rFonts w:ascii="Arial" w:hAnsi="Arial" w:cs="Arial"/>
          <w:b w:val="0"/>
        </w:rPr>
      </w:pPr>
    </w:p>
    <w:p w14:paraId="77E2CCFE" w14:textId="77777777" w:rsidR="00A82E6A" w:rsidRDefault="00A82E6A">
      <w:pPr>
        <w:pStyle w:val="Appendix"/>
        <w:spacing w:after="0"/>
        <w:jc w:val="both"/>
        <w:rPr>
          <w:rFonts w:ascii="Arial" w:hAnsi="Arial" w:cs="Arial"/>
          <w:b w:val="0"/>
        </w:rPr>
      </w:pPr>
    </w:p>
    <w:p w14:paraId="52DF15B2" w14:textId="77777777" w:rsidR="00A82E6A" w:rsidRDefault="005E547F" w:rsidP="00226FF6">
      <w:pPr>
        <w:pStyle w:val="BodyText"/>
        <w:numPr>
          <w:ilvl w:val="0"/>
          <w:numId w:val="4"/>
        </w:numPr>
        <w:jc w:val="both"/>
      </w:pPr>
      <w:proofErr w:type="spellStart"/>
      <w:r>
        <w:rPr>
          <w:rFonts w:ascii="Arial" w:hAnsi="Arial" w:cs="Arial"/>
          <w:bCs/>
          <w:lang w:val="en-PH"/>
        </w:rPr>
        <w:t>Agussatriana</w:t>
      </w:r>
      <w:proofErr w:type="spellEnd"/>
      <w:r>
        <w:rPr>
          <w:rFonts w:ascii="Arial" w:hAnsi="Arial" w:cs="Arial"/>
          <w:bCs/>
          <w:lang w:val="en-PH"/>
        </w:rPr>
        <w:t xml:space="preserve">. (2020). Developing students’ reading comprehension through Think-Pair-Share strategy. </w:t>
      </w:r>
      <w:r>
        <w:rPr>
          <w:rStyle w:val="Emphasis"/>
          <w:rFonts w:ascii="Arial" w:hAnsi="Arial" w:cs="Arial"/>
          <w:bCs/>
          <w:lang w:val="en-PH"/>
        </w:rPr>
        <w:t>ELS Journal on Interdisciplinary Studies in Humanities, 3</w:t>
      </w:r>
      <w:r>
        <w:rPr>
          <w:rFonts w:ascii="Arial" w:hAnsi="Arial" w:cs="Arial"/>
          <w:bCs/>
          <w:lang w:val="en-PH"/>
        </w:rPr>
        <w:t xml:space="preserve">(1), 41–50. </w:t>
      </w:r>
      <w:hyperlink r:id="rId14">
        <w:r>
          <w:rPr>
            <w:rStyle w:val="Hyperlink"/>
            <w:rFonts w:ascii="Arial" w:hAnsi="Arial" w:cs="Arial"/>
            <w:bCs/>
            <w:lang w:val="en-PH"/>
          </w:rPr>
          <w:t>http://dx.doi.org/10.34050/els-jish.v3i1.9369</w:t>
        </w:r>
      </w:hyperlink>
    </w:p>
    <w:p w14:paraId="53503D62" w14:textId="77777777" w:rsidR="00A82E6A" w:rsidRDefault="005E547F" w:rsidP="00226FF6">
      <w:pPr>
        <w:pStyle w:val="BodyText"/>
        <w:numPr>
          <w:ilvl w:val="0"/>
          <w:numId w:val="4"/>
        </w:numPr>
        <w:tabs>
          <w:tab w:val="left" w:pos="960"/>
        </w:tabs>
        <w:jc w:val="both"/>
      </w:pPr>
      <w:r>
        <w:rPr>
          <w:rFonts w:ascii="Arial" w:hAnsi="Arial"/>
        </w:rPr>
        <w:t xml:space="preserve">Bastian, A. A. (2021). The effect of think pair share technique on students’ reading comprehension achievement. </w:t>
      </w:r>
      <w:r>
        <w:rPr>
          <w:rStyle w:val="Emphasis"/>
          <w:rFonts w:ascii="Arial" w:hAnsi="Arial"/>
        </w:rPr>
        <w:t>IOSR Journal of Research &amp; Method in Education (IOSR-JRME), 11</w:t>
      </w:r>
      <w:r>
        <w:rPr>
          <w:rFonts w:ascii="Arial" w:hAnsi="Arial"/>
        </w:rPr>
        <w:t xml:space="preserve">(1, Ser. IV), 57–61. </w:t>
      </w:r>
      <w:hyperlink r:id="rId15">
        <w:r>
          <w:rPr>
            <w:rStyle w:val="Hyperlink"/>
            <w:rFonts w:ascii="Arial" w:hAnsi="Arial"/>
          </w:rPr>
          <w:t>https://doi.org/10.9790/7388-1101045761</w:t>
        </w:r>
      </w:hyperlink>
    </w:p>
    <w:p w14:paraId="484FABC6" w14:textId="77777777" w:rsidR="00A82E6A" w:rsidRDefault="005E547F" w:rsidP="00226FF6">
      <w:pPr>
        <w:pStyle w:val="BodyText"/>
        <w:numPr>
          <w:ilvl w:val="0"/>
          <w:numId w:val="4"/>
        </w:numPr>
        <w:tabs>
          <w:tab w:val="left" w:pos="960"/>
        </w:tabs>
        <w:jc w:val="both"/>
      </w:pPr>
      <w:proofErr w:type="spellStart"/>
      <w:r>
        <w:rPr>
          <w:rFonts w:ascii="Arial" w:hAnsi="Arial"/>
        </w:rPr>
        <w:t>Candraloka</w:t>
      </w:r>
      <w:proofErr w:type="spellEnd"/>
      <w:r>
        <w:rPr>
          <w:rFonts w:ascii="Arial" w:hAnsi="Arial"/>
        </w:rPr>
        <w:t xml:space="preserve">, O. R. (2023). The effect of using Think-Pair-Share to improve students’ reading skills. </w:t>
      </w:r>
      <w:r>
        <w:rPr>
          <w:rStyle w:val="Emphasis"/>
          <w:rFonts w:ascii="Arial" w:hAnsi="Arial"/>
        </w:rPr>
        <w:t>J-SHMIC: Journal of English for Academic, 10</w:t>
      </w:r>
      <w:r>
        <w:rPr>
          <w:rFonts w:ascii="Arial" w:hAnsi="Arial"/>
        </w:rPr>
        <w:t xml:space="preserve">(2), 135–146. </w:t>
      </w:r>
      <w:r>
        <w:rPr>
          <w:rStyle w:val="Hyperlink"/>
          <w:rFonts w:ascii="Arial" w:hAnsi="Arial"/>
        </w:rPr>
        <w:t>https://doi.org/10.25299/JSHMIC.2023.VOL10(2).13544</w:t>
      </w:r>
    </w:p>
    <w:p w14:paraId="337D963C" w14:textId="77777777" w:rsidR="00A82E6A" w:rsidRDefault="005E547F" w:rsidP="00226FF6">
      <w:pPr>
        <w:pStyle w:val="BodyText"/>
        <w:numPr>
          <w:ilvl w:val="0"/>
          <w:numId w:val="4"/>
        </w:numPr>
      </w:pPr>
      <w:proofErr w:type="spellStart"/>
      <w:r>
        <w:t>Casane</w:t>
      </w:r>
      <w:proofErr w:type="spellEnd"/>
      <w:r>
        <w:t xml:space="preserve">, L. (2024). Teacher's attitude and challenges in teaching multi-grade classes. </w:t>
      </w:r>
      <w:r>
        <w:rPr>
          <w:rStyle w:val="Emphasis"/>
        </w:rPr>
        <w:t>International Journal of Advanced Research in Education and Society (IJARES), 6</w:t>
      </w:r>
      <w:r>
        <w:t xml:space="preserve">(5), 1–12. </w:t>
      </w:r>
      <w:hyperlink r:id="rId16">
        <w:r>
          <w:rPr>
            <w:rStyle w:val="Hyperlink"/>
          </w:rPr>
          <w:t>https://doi.org/10.55057/ijares.2024.6.5.21</w:t>
        </w:r>
      </w:hyperlink>
      <w:r>
        <w:t xml:space="preserve"> </w:t>
      </w:r>
    </w:p>
    <w:p w14:paraId="73F94453" w14:textId="77777777" w:rsidR="00A82E6A" w:rsidRDefault="005E547F" w:rsidP="00226FF6">
      <w:pPr>
        <w:pStyle w:val="BodyText"/>
        <w:numPr>
          <w:ilvl w:val="0"/>
          <w:numId w:val="4"/>
        </w:numPr>
      </w:pPr>
      <w:proofErr w:type="spellStart"/>
      <w:r>
        <w:t>Casane</w:t>
      </w:r>
      <w:proofErr w:type="spellEnd"/>
      <w:r>
        <w:t xml:space="preserve">, Lea L. 2025. “Instructional Competence, Professional and Personal Characteristics of Teachers in </w:t>
      </w:r>
      <w:proofErr w:type="spellStart"/>
      <w:r>
        <w:t>Multigrade</w:t>
      </w:r>
      <w:proofErr w:type="spellEnd"/>
      <w:r>
        <w:t xml:space="preserve"> Classes”. Asian Journal of Education and Social Studies 51 (5):817-29. </w:t>
      </w:r>
      <w:hyperlink r:id="rId17">
        <w:r>
          <w:rPr>
            <w:rStyle w:val="Hyperlink"/>
          </w:rPr>
          <w:t>https://doi.org/10.9734/ajess/2025/v51i51962</w:t>
        </w:r>
      </w:hyperlink>
      <w:r>
        <w:t>.</w:t>
      </w:r>
    </w:p>
    <w:p w14:paraId="3CBF1DC3" w14:textId="77777777" w:rsidR="00A82E6A" w:rsidRDefault="005E547F" w:rsidP="00226FF6">
      <w:pPr>
        <w:pStyle w:val="BodyText"/>
        <w:numPr>
          <w:ilvl w:val="0"/>
          <w:numId w:val="4"/>
        </w:numPr>
      </w:pPr>
      <w:proofErr w:type="spellStart"/>
      <w:r>
        <w:t>Casane</w:t>
      </w:r>
      <w:proofErr w:type="spellEnd"/>
      <w:r>
        <w:t xml:space="preserve">, L. L. (2026). Academic Performance in </w:t>
      </w:r>
      <w:proofErr w:type="spellStart"/>
      <w:r>
        <w:t>Edukasyong</w:t>
      </w:r>
      <w:proofErr w:type="spellEnd"/>
      <w:r>
        <w:t xml:space="preserve"> </w:t>
      </w:r>
      <w:proofErr w:type="spellStart"/>
      <w:r>
        <w:t>Pantahanan</w:t>
      </w:r>
      <w:proofErr w:type="spellEnd"/>
      <w:r>
        <w:t xml:space="preserve"> at </w:t>
      </w:r>
      <w:proofErr w:type="spellStart"/>
      <w:r>
        <w:t>Pangkabuhayan</w:t>
      </w:r>
      <w:proofErr w:type="spellEnd"/>
      <w:r>
        <w:t xml:space="preserve"> and Financial Literacy among Students in Bachelor of Elementary Education. Asian Journal of Arts, Humanities and Social Studies, 9(1), 102–112. </w:t>
      </w:r>
      <w:hyperlink r:id="rId18">
        <w:r>
          <w:rPr>
            <w:rStyle w:val="Hyperlink"/>
          </w:rPr>
          <w:t>https://doi.org/10.56557/ajahss/2026/v9i1101</w:t>
        </w:r>
      </w:hyperlink>
    </w:p>
    <w:p w14:paraId="0AE59431" w14:textId="77777777" w:rsidR="00A82E6A" w:rsidRDefault="005E547F" w:rsidP="00226FF6">
      <w:pPr>
        <w:pStyle w:val="BodyText"/>
        <w:numPr>
          <w:ilvl w:val="0"/>
          <w:numId w:val="4"/>
        </w:numPr>
      </w:pPr>
      <w:proofErr w:type="spellStart"/>
      <w:r>
        <w:t>Casane</w:t>
      </w:r>
      <w:proofErr w:type="spellEnd"/>
      <w:r>
        <w:t xml:space="preserve">, L. L., &amp; Jr., A. L. G. (2026). Financial Literacy of Pre-service Teachers of UEP </w:t>
      </w:r>
      <w:proofErr w:type="spellStart"/>
      <w:r>
        <w:t>Laoang</w:t>
      </w:r>
      <w:proofErr w:type="spellEnd"/>
      <w:r>
        <w:t xml:space="preserve"> Campus: Basis for Crafting Financial Literacy Program. Journal of Economics and Trade, 11(1), 384–393. </w:t>
      </w:r>
      <w:hyperlink r:id="rId19">
        <w:r>
          <w:rPr>
            <w:rStyle w:val="Hyperlink"/>
          </w:rPr>
          <w:t>https://doi.org/10.56557/jet/2026/v11i110459</w:t>
        </w:r>
      </w:hyperlink>
    </w:p>
    <w:p w14:paraId="2472C0D1" w14:textId="77777777" w:rsidR="00A82E6A" w:rsidRDefault="005E547F" w:rsidP="00226FF6">
      <w:pPr>
        <w:pStyle w:val="BodyText"/>
        <w:numPr>
          <w:ilvl w:val="0"/>
          <w:numId w:val="4"/>
        </w:numPr>
        <w:tabs>
          <w:tab w:val="left" w:pos="960"/>
        </w:tabs>
        <w:jc w:val="both"/>
      </w:pPr>
      <w:r>
        <w:rPr>
          <w:rFonts w:ascii="Arial" w:hAnsi="Arial"/>
        </w:rPr>
        <w:t xml:space="preserve">Lestari. (2022). The effect of using Think Pair Share to improve students’ reading skills. Retrieved from </w:t>
      </w:r>
      <w:r>
        <w:rPr>
          <w:rStyle w:val="SourceText"/>
          <w:rFonts w:ascii="Arial" w:hAnsi="Arial"/>
        </w:rPr>
        <w:t>https://www.academia.edu/106896641/The_Effect_Of_Using_Think_Pair_Share_To_Improve_Students_Reading_Skills</w:t>
      </w:r>
      <w:r>
        <w:rPr>
          <w:rFonts w:ascii="Arial" w:hAnsi="Arial"/>
        </w:rPr>
        <w:t xml:space="preserve"> </w:t>
      </w:r>
      <w:hyperlink r:id="rId20">
        <w:r>
          <w:rPr>
            <w:rStyle w:val="Hyperlink"/>
            <w:rFonts w:ascii="Arial" w:hAnsi="Arial"/>
          </w:rPr>
          <w:t>(academia.edu in Bing)</w:t>
        </w:r>
      </w:hyperlink>
    </w:p>
    <w:p w14:paraId="615BE16C" w14:textId="77777777" w:rsidR="00A82E6A" w:rsidRDefault="005E547F" w:rsidP="00226FF6">
      <w:pPr>
        <w:pStyle w:val="BodyText"/>
        <w:numPr>
          <w:ilvl w:val="0"/>
          <w:numId w:val="4"/>
        </w:numPr>
        <w:tabs>
          <w:tab w:val="left" w:pos="960"/>
        </w:tabs>
        <w:jc w:val="both"/>
        <w:rPr>
          <w:rFonts w:ascii="Arial" w:hAnsi="Arial"/>
        </w:rPr>
      </w:pPr>
      <w:proofErr w:type="spellStart"/>
      <w:r>
        <w:rPr>
          <w:rFonts w:ascii="Arial" w:hAnsi="Arial"/>
        </w:rPr>
        <w:t>Organisation</w:t>
      </w:r>
      <w:proofErr w:type="spellEnd"/>
      <w:r>
        <w:rPr>
          <w:rFonts w:ascii="Arial" w:hAnsi="Arial"/>
        </w:rPr>
        <w:t xml:space="preserve"> for Economic Co-operation and Development (OECD). (2023). </w:t>
      </w:r>
      <w:r>
        <w:rPr>
          <w:rStyle w:val="Emphasis"/>
          <w:rFonts w:ascii="Arial" w:hAnsi="Arial"/>
        </w:rPr>
        <w:t>PISA 2022 results: Volume I – The state of learning outcomes</w:t>
      </w:r>
      <w:r>
        <w:rPr>
          <w:rFonts w:ascii="Arial" w:hAnsi="Arial"/>
        </w:rPr>
        <w:t xml:space="preserve">. OECD Publishing. </w:t>
      </w:r>
      <w:r>
        <w:rPr>
          <w:rStyle w:val="SourceText"/>
        </w:rPr>
        <w:t>https://doi.org/10.1787/28d90f83-en</w:t>
      </w:r>
      <w:r>
        <w:rPr>
          <w:rFonts w:ascii="Arial" w:hAnsi="Arial"/>
        </w:rPr>
        <w:t xml:space="preserve"> </w:t>
      </w:r>
    </w:p>
    <w:p w14:paraId="1CE3E1B9" w14:textId="77777777" w:rsidR="00A82E6A" w:rsidRDefault="005E547F" w:rsidP="00226FF6">
      <w:pPr>
        <w:pStyle w:val="BodyText"/>
        <w:numPr>
          <w:ilvl w:val="0"/>
          <w:numId w:val="4"/>
        </w:numPr>
        <w:tabs>
          <w:tab w:val="left" w:pos="960"/>
        </w:tabs>
        <w:jc w:val="both"/>
      </w:pPr>
      <w:proofErr w:type="spellStart"/>
      <w:r>
        <w:rPr>
          <w:rFonts w:ascii="Arial" w:hAnsi="Arial"/>
        </w:rPr>
        <w:t>Oktaviani</w:t>
      </w:r>
      <w:proofErr w:type="spellEnd"/>
      <w:r>
        <w:rPr>
          <w:rFonts w:ascii="Arial" w:hAnsi="Arial"/>
        </w:rPr>
        <w:t xml:space="preserve">, N., &amp; </w:t>
      </w:r>
      <w:proofErr w:type="spellStart"/>
      <w:r>
        <w:rPr>
          <w:rFonts w:ascii="Arial" w:hAnsi="Arial"/>
        </w:rPr>
        <w:t>Rofiqoh</w:t>
      </w:r>
      <w:proofErr w:type="spellEnd"/>
      <w:r>
        <w:rPr>
          <w:rFonts w:ascii="Arial" w:hAnsi="Arial"/>
        </w:rPr>
        <w:t xml:space="preserve">, R. (2021). Increasing students’ reading comprehension through Think-Pair-Share technique. </w:t>
      </w:r>
      <w:r>
        <w:rPr>
          <w:rStyle w:val="Emphasis"/>
          <w:rFonts w:ascii="Arial" w:hAnsi="Arial"/>
        </w:rPr>
        <w:t>e-Journal of ELTS (English Language Teaching Society), 9</w:t>
      </w:r>
      <w:r>
        <w:rPr>
          <w:rFonts w:ascii="Arial" w:hAnsi="Arial"/>
        </w:rPr>
        <w:t xml:space="preserve">(2), 157–163. </w:t>
      </w:r>
      <w:hyperlink r:id="rId21">
        <w:r>
          <w:rPr>
            <w:rStyle w:val="Hyperlink"/>
            <w:rFonts w:ascii="Arial" w:hAnsi="Arial"/>
          </w:rPr>
          <w:t>https://doi.org/10.22487/ELTS.V9I2.1872</w:t>
        </w:r>
      </w:hyperlink>
    </w:p>
    <w:p w14:paraId="6D5748DA" w14:textId="77777777" w:rsidR="00A82E6A" w:rsidRDefault="005E547F" w:rsidP="00226FF6">
      <w:pPr>
        <w:pStyle w:val="BodyText"/>
        <w:numPr>
          <w:ilvl w:val="0"/>
          <w:numId w:val="4"/>
        </w:numPr>
        <w:tabs>
          <w:tab w:val="left" w:pos="960"/>
        </w:tabs>
        <w:jc w:val="both"/>
      </w:pPr>
      <w:proofErr w:type="spellStart"/>
      <w:r>
        <w:rPr>
          <w:rFonts w:ascii="Arial" w:hAnsi="Arial"/>
        </w:rPr>
        <w:lastRenderedPageBreak/>
        <w:t>Pratolo</w:t>
      </w:r>
      <w:proofErr w:type="spellEnd"/>
      <w:r>
        <w:rPr>
          <w:rFonts w:ascii="Arial" w:hAnsi="Arial"/>
        </w:rPr>
        <w:t xml:space="preserve">, B. W., Bao, D., &amp; </w:t>
      </w:r>
      <w:proofErr w:type="spellStart"/>
      <w:r>
        <w:rPr>
          <w:rFonts w:ascii="Arial" w:hAnsi="Arial"/>
        </w:rPr>
        <w:t>Palaguna</w:t>
      </w:r>
      <w:proofErr w:type="spellEnd"/>
      <w:r>
        <w:rPr>
          <w:rFonts w:ascii="Arial" w:hAnsi="Arial"/>
        </w:rPr>
        <w:t xml:space="preserve">, S. (2025). Enhancing reading comprehension and motivation through think-pair-share: Classroom action research in an Indonesian EFL context. </w:t>
      </w:r>
      <w:r>
        <w:rPr>
          <w:rStyle w:val="Emphasis"/>
          <w:rFonts w:ascii="Arial" w:hAnsi="Arial"/>
        </w:rPr>
        <w:t>English Language Teaching Educational Journal, 8</w:t>
      </w:r>
      <w:r>
        <w:rPr>
          <w:rFonts w:ascii="Arial" w:hAnsi="Arial"/>
        </w:rPr>
        <w:t>(1), 54–65.</w:t>
      </w:r>
    </w:p>
    <w:p w14:paraId="4892BA72" w14:textId="77777777" w:rsidR="00A82E6A" w:rsidRDefault="005E547F" w:rsidP="00226FF6">
      <w:pPr>
        <w:pStyle w:val="BodyText"/>
        <w:numPr>
          <w:ilvl w:val="0"/>
          <w:numId w:val="4"/>
        </w:numPr>
        <w:tabs>
          <w:tab w:val="left" w:pos="960"/>
        </w:tabs>
        <w:jc w:val="both"/>
      </w:pPr>
      <w:proofErr w:type="spellStart"/>
      <w:r>
        <w:rPr>
          <w:rFonts w:ascii="Arial" w:hAnsi="Arial"/>
        </w:rPr>
        <w:t>Suhendi</w:t>
      </w:r>
      <w:proofErr w:type="spellEnd"/>
      <w:r>
        <w:rPr>
          <w:rFonts w:ascii="Arial" w:hAnsi="Arial"/>
        </w:rPr>
        <w:t xml:space="preserve">, A. (2022). Think pair share (TPS) strategies and directed reading thinking activity (DRTA) to improve students’ motivation on reading comprehension achievement. </w:t>
      </w:r>
      <w:r>
        <w:rPr>
          <w:rStyle w:val="Emphasis"/>
          <w:rFonts w:ascii="Arial" w:hAnsi="Arial"/>
        </w:rPr>
        <w:t>Journal of Language, 4</w:t>
      </w:r>
      <w:r>
        <w:rPr>
          <w:rFonts w:ascii="Arial" w:hAnsi="Arial"/>
        </w:rPr>
        <w:t xml:space="preserve">(2), 1–8. </w:t>
      </w:r>
      <w:hyperlink r:id="rId22">
        <w:r>
          <w:rPr>
            <w:rStyle w:val="Hyperlink"/>
            <w:rFonts w:ascii="Arial" w:hAnsi="Arial"/>
          </w:rPr>
          <w:t>https://doi.org/10.30743/JOL.V4I2.5490</w:t>
        </w:r>
      </w:hyperlink>
    </w:p>
    <w:p w14:paraId="40078CCB" w14:textId="77777777" w:rsidR="00A82E6A" w:rsidRDefault="005E547F" w:rsidP="00226FF6">
      <w:pPr>
        <w:pStyle w:val="BodyText"/>
        <w:numPr>
          <w:ilvl w:val="0"/>
          <w:numId w:val="4"/>
        </w:numPr>
        <w:tabs>
          <w:tab w:val="left" w:pos="960"/>
        </w:tabs>
        <w:jc w:val="both"/>
      </w:pPr>
      <w:proofErr w:type="spellStart"/>
      <w:r>
        <w:rPr>
          <w:rFonts w:ascii="Arial" w:hAnsi="Arial"/>
        </w:rPr>
        <w:t>Utami</w:t>
      </w:r>
      <w:proofErr w:type="spellEnd"/>
      <w:r>
        <w:rPr>
          <w:rFonts w:ascii="Arial" w:hAnsi="Arial"/>
        </w:rPr>
        <w:t xml:space="preserve">, &amp; </w:t>
      </w:r>
      <w:proofErr w:type="spellStart"/>
      <w:r>
        <w:rPr>
          <w:rFonts w:ascii="Arial" w:hAnsi="Arial"/>
        </w:rPr>
        <w:t>Rusdarti</w:t>
      </w:r>
      <w:proofErr w:type="spellEnd"/>
      <w:r>
        <w:rPr>
          <w:rFonts w:ascii="Arial" w:hAnsi="Arial"/>
        </w:rPr>
        <w:t xml:space="preserve">. (2021). The effect of using Think Pair Share to improve students’ reading skills. Retrieved from </w:t>
      </w:r>
      <w:r>
        <w:rPr>
          <w:rStyle w:val="SourceText"/>
          <w:rFonts w:ascii="Arial" w:hAnsi="Arial"/>
        </w:rPr>
        <w:t>https://www.academia.edu/106896641/The_Effect_Of_Using_Think_Pair_Share_To_Improve_Students_Reading_Skills</w:t>
      </w:r>
      <w:r>
        <w:rPr>
          <w:rFonts w:ascii="Arial" w:hAnsi="Arial"/>
        </w:rPr>
        <w:t xml:space="preserve"> </w:t>
      </w:r>
      <w:hyperlink r:id="rId23">
        <w:r>
          <w:rPr>
            <w:rStyle w:val="Hyperlink"/>
            <w:rFonts w:ascii="Arial" w:hAnsi="Arial"/>
          </w:rPr>
          <w:t>(academia.edu in Bing)</w:t>
        </w:r>
      </w:hyperlink>
    </w:p>
    <w:p w14:paraId="7CB1185E" w14:textId="77777777" w:rsidR="00A82E6A" w:rsidRDefault="00A82E6A">
      <w:pPr>
        <w:pStyle w:val="BodyText"/>
        <w:tabs>
          <w:tab w:val="left" w:pos="960"/>
        </w:tabs>
        <w:ind w:left="907" w:hanging="907"/>
        <w:jc w:val="both"/>
        <w:rPr>
          <w:rFonts w:ascii="Arial" w:hAnsi="Arial" w:cs="Arial"/>
          <w:bCs/>
          <w:lang w:val="en-PH"/>
        </w:rPr>
      </w:pPr>
    </w:p>
    <w:p w14:paraId="3100B913" w14:textId="77777777" w:rsidR="00A82E6A" w:rsidRDefault="00A82E6A">
      <w:pPr>
        <w:pStyle w:val="BodyText"/>
        <w:tabs>
          <w:tab w:val="left" w:pos="960"/>
        </w:tabs>
        <w:ind w:left="907" w:hanging="907"/>
        <w:jc w:val="both"/>
        <w:rPr>
          <w:rFonts w:ascii="Arial" w:hAnsi="Arial" w:cs="Arial"/>
          <w:bCs/>
          <w:lang w:val="en-PH"/>
        </w:rPr>
      </w:pPr>
    </w:p>
    <w:p w14:paraId="03C8C92D" w14:textId="77777777" w:rsidR="00A82E6A" w:rsidRDefault="00A82E6A">
      <w:pPr>
        <w:pStyle w:val="BodyText"/>
        <w:tabs>
          <w:tab w:val="left" w:pos="960"/>
        </w:tabs>
        <w:ind w:left="907" w:hanging="907"/>
        <w:jc w:val="both"/>
        <w:rPr>
          <w:rFonts w:ascii="Arial" w:hAnsi="Arial" w:cs="Arial"/>
          <w:bCs/>
          <w:lang w:val="en-PH"/>
        </w:rPr>
      </w:pPr>
    </w:p>
    <w:p w14:paraId="48DA6A76" w14:textId="77777777" w:rsidR="00A82E6A" w:rsidRDefault="00A82E6A">
      <w:pPr>
        <w:pStyle w:val="BodyText"/>
        <w:tabs>
          <w:tab w:val="left" w:pos="960"/>
        </w:tabs>
        <w:ind w:left="907" w:hanging="907"/>
        <w:jc w:val="both"/>
        <w:rPr>
          <w:rFonts w:ascii="Arial" w:hAnsi="Arial" w:cs="Arial"/>
          <w:bCs/>
          <w:lang w:val="en-PH"/>
        </w:rPr>
      </w:pPr>
    </w:p>
    <w:p w14:paraId="7E3303A9" w14:textId="77777777" w:rsidR="00A82E6A" w:rsidRDefault="00A82E6A">
      <w:pPr>
        <w:pStyle w:val="BodyText"/>
        <w:tabs>
          <w:tab w:val="left" w:pos="960"/>
        </w:tabs>
        <w:ind w:left="907" w:hanging="907"/>
        <w:jc w:val="both"/>
        <w:rPr>
          <w:rFonts w:ascii="Arial" w:hAnsi="Arial" w:cs="Arial"/>
          <w:bCs/>
          <w:lang w:val="en-PH"/>
        </w:rPr>
      </w:pPr>
    </w:p>
    <w:sectPr w:rsidR="00A82E6A">
      <w:type w:val="continuous"/>
      <w:pgSz w:w="12240" w:h="15840"/>
      <w:pgMar w:top="1440" w:right="2016" w:bottom="2016" w:left="2016" w:header="720" w:footer="1296" w:gutter="0"/>
      <w:cols w:space="720"/>
      <w:formProt w:val="0"/>
      <w:docGrid w:linePitch="272"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832BB" w14:textId="77777777" w:rsidR="00B3497A" w:rsidRDefault="00B3497A">
      <w:r>
        <w:separator/>
      </w:r>
    </w:p>
  </w:endnote>
  <w:endnote w:type="continuationSeparator" w:id="0">
    <w:p w14:paraId="26C2187A" w14:textId="77777777" w:rsidR="00B3497A" w:rsidRDefault="00B3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190FF" w14:textId="77777777" w:rsidR="00A82E6A" w:rsidRDefault="00A82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D948B" w14:textId="77777777" w:rsidR="00A82E6A" w:rsidRDefault="00A82E6A">
    <w:pPr>
      <w:pStyle w:val="Footer"/>
    </w:pPr>
  </w:p>
  <w:p w14:paraId="73D87E05" w14:textId="77777777" w:rsidR="00A82E6A" w:rsidRDefault="00A82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E399" w14:textId="77777777" w:rsidR="00A82E6A" w:rsidRDefault="00A82E6A">
    <w:pPr>
      <w:pStyle w:val="Footer"/>
    </w:pPr>
  </w:p>
  <w:p w14:paraId="17364504" w14:textId="77777777" w:rsidR="00A82E6A" w:rsidRDefault="00A82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A9313" w14:textId="77777777" w:rsidR="00B3497A" w:rsidRDefault="00B3497A">
      <w:r>
        <w:separator/>
      </w:r>
    </w:p>
  </w:footnote>
  <w:footnote w:type="continuationSeparator" w:id="0">
    <w:p w14:paraId="2D5D046D" w14:textId="77777777" w:rsidR="00B3497A" w:rsidRDefault="00B34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94D4" w14:textId="77777777" w:rsidR="00A82E6A" w:rsidRDefault="00B3497A">
    <w:pPr>
      <w:pStyle w:val="Header"/>
    </w:pPr>
    <w:r>
      <w:rPr>
        <w:noProof/>
      </w:rPr>
      <w:pict w14:anchorId="46AF8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11313" o:spid="_x0000_s2049" type="#_x0000_t136" style="position:absolute;margin-left:0;margin-top:0;width:520.45pt;height:53.65pt;rotation:315;z-index:251659264;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Helvetica&quot;;font-size:1pt" trim="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E4998" w14:textId="77777777" w:rsidR="00A82E6A" w:rsidRDefault="005E547F">
    <w:pPr>
      <w:pStyle w:val="Header"/>
    </w:pPr>
    <w:r>
      <w:rPr>
        <w:noProof/>
      </w:rPr>
      <mc:AlternateContent>
        <mc:Choice Requires="wps">
          <w:drawing>
            <wp:anchor distT="0" distB="0" distL="114300" distR="0" simplePos="0" relativeHeight="251656704" behindDoc="1" locked="0" layoutInCell="0" allowOverlap="1" wp14:anchorId="6CFA0EC1" wp14:editId="5014EE62">
              <wp:simplePos x="0" y="0"/>
              <wp:positionH relativeFrom="margin">
                <wp:align>center</wp:align>
              </wp:positionH>
              <wp:positionV relativeFrom="margin">
                <wp:align>center</wp:align>
              </wp:positionV>
              <wp:extent cx="138430" cy="15240"/>
              <wp:effectExtent l="7349490" t="5018405" r="0" b="0"/>
              <wp:wrapNone/>
              <wp:docPr id="3" name="PowerPlusWaterMarkObject207311314"/>
              <wp:cNvGraphicFramePr/>
              <a:graphic xmlns:a="http://schemas.openxmlformats.org/drawingml/2006/main">
                <a:graphicData uri="http://schemas.microsoft.com/office/word/2010/wordprocessingShape">
                  <wps:wsp>
                    <wps:cNvSpPr txBox="1"/>
                    <wps:spPr>
                      <a:xfrm rot="18900000">
                        <a:off x="0" y="0"/>
                        <a:ext cx="138600" cy="15120"/>
                      </a:xfrm>
                      <a:prstGeom prst="rect">
                        <a:avLst/>
                      </a:prstGeom>
                    </wps:spPr>
                    <wps:txbx>
                      <w:txbxContent>
                        <w:p w14:paraId="0623A324" w14:textId="77777777" w:rsidR="00A82E6A" w:rsidRDefault="005E547F">
                          <w:pPr>
                            <w:overflowPunct w:val="0"/>
                          </w:pPr>
                          <w:r>
                            <w:rPr>
                              <w:color w:val="C0C0C0"/>
                              <w:sz w:val="2"/>
                              <w14:textOutline w14:w="0" w14:cap="flat" w14:cmpd="sng" w14:algn="ctr">
                                <w14:noFill/>
                                <w14:prstDash w14:val="solid"/>
                                <w14:round/>
                              </w14:textOutline>
                              <w14:textFill>
                                <w14:solidFill>
                                  <w14:srgbClr w14:val="C0C0C0">
                                    <w14:alpha w14:val="50000"/>
                                  </w14:srgbClr>
                                </w14:solidFill>
                              </w14:textFill>
                            </w:rPr>
                            <w:t>UNDER PEER REVIEW</w:t>
                          </w:r>
                        </w:p>
                      </w:txbxContent>
                    </wps:txbx>
                    <wps:bodyPr wrap="square" lIns="0" tIns="0" rIns="0" bIns="0" numCol="1" anchor="ctr">
                      <a:prstTxWarp prst="textPlain">
                        <a:avLst>
                          <a:gd name="adj" fmla="val 50000"/>
                        </a:avLst>
                      </a:prstTxWarp>
                      <a:noAutofit/>
                    </wps:bodyPr>
                  </wps:wsp>
                </a:graphicData>
              </a:graphic>
            </wp:anchor>
          </w:drawing>
        </mc:Choice>
        <mc:Fallback>
          <w:pict>
            <v:shapetype w14:anchorId="6CFA0EC1" id="_x0000_t202" coordsize="21600,21600" o:spt="202" path="m,l,21600r21600,l21600,xe">
              <v:stroke joinstyle="miter"/>
              <v:path gradientshapeok="t" o:connecttype="rect"/>
            </v:shapetype>
            <v:shape id="PowerPlusWaterMarkObject207311314" o:spid="_x0000_s1026" type="#_x0000_t202" style="position:absolute;margin-left:0;margin-top:0;width:10.9pt;height:1.2pt;rotation:-45;z-index:-251659776;visibility:visible;mso-wrap-style:square;mso-wrap-distance-left:9pt;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" o:allowincell="f" filled="f" stroked="f">
              <v:textbox inset="0,0,0,0">
                <w:txbxContent>
                  <w:p w14:paraId="0623A324" w14:textId="77777777" w:rsidR="00A82E6A" w:rsidRDefault="005E547F">
                    <w:pPr>
                      <w:overflowPunct w:val="0"/>
                    </w:pPr>
                    <w:r>
                      <w:rPr>
                        <w:color w:val="C0C0C0"/>
                        <w:sz w:val="2"/>
                        <w14:textOutline w14:w="0" w14:cap="flat" w14:cmpd="sng" w14:algn="ctr">
                          <w14:noFill/>
                          <w14:prstDash w14:val="solid"/>
                          <w14:round/>
                        </w14:textOutline>
                        <w14:textFill>
                          <w14:solidFill>
                            <w14:srgbClr w14:val="C0C0C0">
                              <w14:alpha w14:val="50000"/>
                            </w14:srgbClr>
                          </w14:solidFill>
                        </w14:textFill>
                      </w:rPr>
                      <w:t>UNDER PEER REVIEW</w:t>
                    </w:r>
                  </w:p>
                </w:txbxContent>
              </v:textbox>
              <w10:wrap anchorx="margin" anchory="margin"/>
            </v:shape>
          </w:pict>
        </mc:Fallback>
      </mc:AlternateContent>
    </w:r>
  </w:p>
  <w:p w14:paraId="77A9F953" w14:textId="77777777" w:rsidR="00A82E6A" w:rsidRDefault="00A82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53749" w14:textId="77777777" w:rsidR="00A82E6A" w:rsidRDefault="005E547F">
    <w:pPr>
      <w:pStyle w:val="Header"/>
    </w:pPr>
    <w:r>
      <w:rPr>
        <w:noProof/>
      </w:rPr>
      <mc:AlternateContent>
        <mc:Choice Requires="wps">
          <w:drawing>
            <wp:anchor distT="0" distB="0" distL="114300" distR="0" simplePos="0" relativeHeight="251657728" behindDoc="1" locked="0" layoutInCell="0" allowOverlap="1" wp14:anchorId="4E0A1193" wp14:editId="7351046C">
              <wp:simplePos x="0" y="0"/>
              <wp:positionH relativeFrom="margin">
                <wp:align>center</wp:align>
              </wp:positionH>
              <wp:positionV relativeFrom="margin">
                <wp:align>center</wp:align>
              </wp:positionV>
              <wp:extent cx="138430" cy="15240"/>
              <wp:effectExtent l="7349490" t="5018405" r="0" b="0"/>
              <wp:wrapNone/>
              <wp:docPr id="4" name="PowerPlusWaterMarkObject207311314"/>
              <wp:cNvGraphicFramePr/>
              <a:graphic xmlns:a="http://schemas.openxmlformats.org/drawingml/2006/main">
                <a:graphicData uri="http://schemas.microsoft.com/office/word/2010/wordprocessingShape">
                  <wps:wsp>
                    <wps:cNvSpPr txBox="1"/>
                    <wps:spPr>
                      <a:xfrm rot="18900000">
                        <a:off x="0" y="0"/>
                        <a:ext cx="138600" cy="15120"/>
                      </a:xfrm>
                      <a:prstGeom prst="rect">
                        <a:avLst/>
                      </a:prstGeom>
                    </wps:spPr>
                    <wps:txbx>
                      <w:txbxContent>
                        <w:p w14:paraId="5EF2C81E" w14:textId="77777777" w:rsidR="00A82E6A" w:rsidRDefault="005E547F">
                          <w:pPr>
                            <w:overflowPunct w:val="0"/>
                          </w:pPr>
                          <w:r>
                            <w:rPr>
                              <w:color w:val="C0C0C0"/>
                              <w:sz w:val="2"/>
                              <w14:textOutline w14:w="0" w14:cap="flat" w14:cmpd="sng" w14:algn="ctr">
                                <w14:noFill/>
                                <w14:prstDash w14:val="solid"/>
                                <w14:round/>
                              </w14:textOutline>
                              <w14:textFill>
                                <w14:solidFill>
                                  <w14:srgbClr w14:val="C0C0C0">
                                    <w14:alpha w14:val="50000"/>
                                  </w14:srgbClr>
                                </w14:solidFill>
                              </w14:textFill>
                            </w:rPr>
                            <w:t>UNDER PEER REVIEW</w:t>
                          </w:r>
                        </w:p>
                      </w:txbxContent>
                    </wps:txbx>
                    <wps:bodyPr wrap="square" lIns="0" tIns="0" rIns="0" bIns="0" numCol="1" anchor="ctr">
                      <a:prstTxWarp prst="textPlain">
                        <a:avLst>
                          <a:gd name="adj" fmla="val 50000"/>
                        </a:avLst>
                      </a:prstTxWarp>
                      <a:noAutofit/>
                    </wps:bodyPr>
                  </wps:wsp>
                </a:graphicData>
              </a:graphic>
            </wp:anchor>
          </w:drawing>
        </mc:Choice>
        <mc:Fallback>
          <w:pict>
            <v:shapetype w14:anchorId="4E0A1193" id="_x0000_t202" coordsize="21600,21600" o:spt="202" path="m,l,21600r21600,l21600,xe">
              <v:stroke joinstyle="miter"/>
              <v:path gradientshapeok="t" o:connecttype="rect"/>
            </v:shapetype>
            <v:shape id="_x0000_s1027" type="#_x0000_t202" style="position:absolute;margin-left:0;margin-top:0;width:10.9pt;height:1.2pt;rotation:-45;z-index:-251658752;visibility:visible;mso-wrap-style:square;mso-wrap-distance-left:9pt;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" o:allowincell="f" filled="f" stroked="f">
              <v:textbox inset="0,0,0,0">
                <w:txbxContent>
                  <w:p w14:paraId="5EF2C81E" w14:textId="77777777" w:rsidR="00A82E6A" w:rsidRDefault="005E547F">
                    <w:pPr>
                      <w:overflowPunct w:val="0"/>
                    </w:pPr>
                    <w:r>
                      <w:rPr>
                        <w:color w:val="C0C0C0"/>
                        <w:sz w:val="2"/>
                        <w14:textOutline w14:w="0" w14:cap="flat" w14:cmpd="sng" w14:algn="ctr">
                          <w14:noFill/>
                          <w14:prstDash w14:val="solid"/>
                          <w14:round/>
                        </w14:textOutline>
                        <w14:textFill>
                          <w14:solidFill>
                            <w14:srgbClr w14:val="C0C0C0">
                              <w14:alpha w14:val="50000"/>
                            </w14:srgbClr>
                          </w14:solidFill>
                        </w14:textFill>
                      </w:rPr>
                      <w:t>UNDER PEER REVIEW</w:t>
                    </w:r>
                  </w:p>
                </w:txbxContent>
              </v:textbox>
              <w10:wrap anchorx="margin" anchory="margin"/>
            </v:shape>
          </w:pict>
        </mc:Fallback>
      </mc:AlternateContent>
    </w:r>
  </w:p>
  <w:p w14:paraId="6866D0AC" w14:textId="77777777" w:rsidR="00A82E6A" w:rsidRDefault="00A82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77B24"/>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5932CC"/>
    <w:multiLevelType w:val="multilevel"/>
    <w:tmpl w:val="FFFFFFFF"/>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E64455B"/>
    <w:multiLevelType w:val="hybridMultilevel"/>
    <w:tmpl w:val="DD20B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35A6C"/>
    <w:multiLevelType w:val="multilevel"/>
    <w:tmpl w:val="FFFFFFFF"/>
    <w:lvl w:ilvl="0">
      <w:start w:val="1"/>
      <w:numFmt w:val="decimal"/>
      <w:pStyle w:val="Reference"/>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autoHyphenation/>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6A"/>
    <w:rsid w:val="00226FF6"/>
    <w:rsid w:val="005E547F"/>
    <w:rsid w:val="007244DC"/>
    <w:rsid w:val="007418E6"/>
    <w:rsid w:val="00801B40"/>
    <w:rsid w:val="008808F8"/>
    <w:rsid w:val="00A064E3"/>
    <w:rsid w:val="00A82E6A"/>
    <w:rsid w:val="00B3497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F30C39"/>
  <w15:docId w15:val="{D8C0E653-73C6-0D4C-9986-6EB35942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
      <w:sz w:val="28"/>
    </w:rPr>
  </w:style>
  <w:style w:type="paragraph" w:styleId="Heading3">
    <w:name w:val="heading 3"/>
    <w:basedOn w:val="Normal"/>
    <w:next w:val="Normal"/>
    <w:link w:val="Heading3Char"/>
    <w:uiPriority w:val="9"/>
    <w:semiHidden/>
    <w:unhideWhenUsed/>
    <w:qFormat/>
    <w:pPr>
      <w:keepNext/>
      <w:keepLines/>
      <w:spacing w:before="40"/>
      <w:outlineLvl w:val="2"/>
    </w:pPr>
    <w:rPr>
      <w:rFonts w:ascii="Cambria" w:eastAsia="SimSun" w:hAnsi="Cambria" w:cs="SimSu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character" w:customStyle="1" w:styleId="BodyText2Char">
    <w:name w:val="Body Text 2 Char"/>
    <w:basedOn w:val="DefaultParagraphFont"/>
    <w:link w:val="BodyText2"/>
    <w:qFormat/>
    <w:rPr>
      <w:rFonts w:ascii="Helvetica" w:hAnsi="Helvetica"/>
    </w:rPr>
  </w:style>
  <w:style w:type="character" w:styleId="CommentReference">
    <w:name w:val="annotation reference"/>
    <w:basedOn w:val="DefaultParagraphFont"/>
    <w:uiPriority w:val="99"/>
    <w:qFormat/>
    <w:rPr>
      <w:sz w:val="16"/>
      <w:szCs w:val="16"/>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linenumber1">
    <w:name w:val="line number1"/>
    <w:basedOn w:val="DefaultParagraphFont"/>
    <w:qForma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qFormat/>
    <w:rPr>
      <w:color w:val="605E5C"/>
      <w:shd w:val="clear" w:color="auto" w:fill="E1DFDD"/>
    </w:rPr>
  </w:style>
  <w:style w:type="character" w:styleId="Strong">
    <w:name w:val="Strong"/>
    <w:basedOn w:val="DefaultParagraphFont"/>
    <w:uiPriority w:val="22"/>
    <w:qFormat/>
    <w:rPr>
      <w:b/>
      <w:bCs/>
    </w:rPr>
  </w:style>
  <w:style w:type="character" w:customStyle="1" w:styleId="linenumber2">
    <w:name w:val="line number2"/>
    <w:qFormat/>
  </w:style>
  <w:style w:type="character" w:customStyle="1" w:styleId="linenumber3">
    <w:name w:val="line number3"/>
    <w:qFormat/>
  </w:style>
  <w:style w:type="character" w:styleId="LineNumber">
    <w:name w:val="line number"/>
    <w:qFormat/>
  </w:style>
  <w:style w:type="character" w:customStyle="1" w:styleId="Heading3Char">
    <w:name w:val="Heading 3 Char"/>
    <w:basedOn w:val="DefaultParagraphFont"/>
    <w:link w:val="Heading3"/>
    <w:qFormat/>
    <w:rPr>
      <w:rFonts w:ascii="Cambria" w:eastAsia="SimSun" w:hAnsi="Cambria" w:cs="SimSun"/>
      <w:color w:val="243F60"/>
      <w:sz w:val="24"/>
      <w:szCs w:val="24"/>
    </w:rPr>
  </w:style>
  <w:style w:type="character" w:customStyle="1" w:styleId="SourceText">
    <w:name w:val="Source Text"/>
    <w:qFormat/>
    <w:rPr>
      <w:rFonts w:ascii="Liberation Mono" w:eastAsia="Liberation Mono" w:hAnsi="Liberation Mono" w:cs="Liberation Mono"/>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customStyle="1" w:styleId="caption11">
    <w:name w:val="caption11"/>
    <w:basedOn w:val="Normal"/>
    <w:qFormat/>
    <w:pPr>
      <w:suppressLineNumbers/>
      <w:spacing w:before="120" w:after="120"/>
    </w:pPr>
    <w:rPr>
      <w:rFonts w:cs="Lucida Sans"/>
      <w:i/>
      <w:iCs/>
      <w:sz w:val="24"/>
      <w:szCs w:val="24"/>
    </w:rPr>
  </w:style>
  <w:style w:type="paragraph" w:customStyle="1" w:styleId="caption111">
    <w:name w:val="caption111"/>
    <w:basedOn w:val="Normal"/>
    <w:qFormat/>
    <w:pPr>
      <w:suppressLineNumbers/>
      <w:spacing w:before="120" w:after="120"/>
    </w:pPr>
    <w:rPr>
      <w:rFonts w:cs="Lucida Sans"/>
      <w:i/>
      <w:iCs/>
      <w:sz w:val="24"/>
      <w:szCs w:val="24"/>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styleId="Title">
    <w:name w:val="Title"/>
    <w:basedOn w:val="Normal"/>
    <w:uiPriority w:val="10"/>
    <w:qFormat/>
    <w:pPr>
      <w:spacing w:after="360"/>
      <w:jc w:val="right"/>
    </w:pPr>
    <w:rPr>
      <w:b/>
      <w:kern w:val="2"/>
      <w:sz w:val="3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paragraph" w:customStyle="1" w:styleId="Head2">
    <w:name w:val="Head2"/>
    <w:basedOn w:val="Normal"/>
    <w:next w:val="Body"/>
    <w:qFormat/>
    <w:pPr>
      <w:keepNext/>
      <w:spacing w:after="240"/>
    </w:pPr>
    <w:rPr>
      <w:caps/>
    </w:rPr>
  </w:style>
  <w:style w:type="paragraph" w:customStyle="1" w:styleId="MainHead">
    <w:name w:val="Main Head"/>
    <w:basedOn w:val="Normal"/>
    <w:qFormat/>
    <w:pPr>
      <w:keepNext/>
      <w:spacing w:after="240"/>
    </w:pPr>
    <w:rPr>
      <w:b/>
      <w:caps/>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erandFooter">
    <w:name w:val="Header and Footer"/>
    <w:basedOn w:val="Normal"/>
    <w:qFormat/>
  </w:style>
  <w:style w:type="paragraph" w:styleId="Footer">
    <w:name w:val="footer"/>
    <w:basedOn w:val="Normal"/>
    <w:pPr>
      <w:suppressLineNumbers/>
      <w:tabs>
        <w:tab w:val="center" w:pos="4320"/>
        <w:tab w:val="right" w:pos="8640"/>
      </w:tabs>
    </w:pPr>
  </w:style>
  <w:style w:type="paragraph" w:customStyle="1" w:styleId="Head40">
    <w:name w:val="Head 4"/>
    <w:basedOn w:val="Head3"/>
    <w:qFormat/>
    <w:rPr>
      <w:u w:val="none"/>
    </w:rPr>
  </w:style>
  <w:style w:type="paragraph" w:styleId="Header">
    <w:name w:val="header"/>
    <w:basedOn w:val="Normal"/>
    <w:pPr>
      <w:suppressLineNumbers/>
      <w:tabs>
        <w:tab w:val="center" w:pos="4320"/>
        <w:tab w:val="right" w:pos="8640"/>
      </w:tabs>
    </w:pPr>
  </w:style>
  <w:style w:type="paragraph" w:customStyle="1" w:styleId="Paper">
    <w:name w:val="Paper"/>
    <w:basedOn w:val="Normal"/>
    <w:qFormat/>
    <w:pPr>
      <w:spacing w:after="360" w:line="440" w:lineRule="exact"/>
      <w:jc w:val="right"/>
    </w:pPr>
    <w:rPr>
      <w:b/>
      <w:sz w:val="36"/>
    </w:rPr>
  </w:style>
  <w:style w:type="paragraph" w:styleId="Signature">
    <w:name w:val="Signature"/>
    <w:basedOn w:val="Normal"/>
    <w:pPr>
      <w:ind w:left="4320"/>
    </w:pPr>
  </w:style>
  <w:style w:type="paragraph" w:customStyle="1" w:styleId="SymbolP">
    <w:name w:val="Symbol P"/>
    <w:basedOn w:val="Body"/>
    <w:qFormat/>
    <w:pPr>
      <w:tabs>
        <w:tab w:val="left" w:pos="720"/>
        <w:tab w:val="left" w:pos="3780"/>
      </w:tabs>
      <w:spacing w:after="0"/>
    </w:pPr>
    <w:rPr>
      <w:sz w:val="24"/>
    </w:rPr>
  </w:style>
  <w:style w:type="paragraph" w:styleId="BodyText2">
    <w:name w:val="Body Text 2"/>
    <w:basedOn w:val="Normal"/>
    <w:link w:val="BodyText2Char"/>
    <w:qFormat/>
    <w:pPr>
      <w:spacing w:after="120" w:line="480" w:lineRule="auto"/>
    </w:pPr>
  </w:style>
  <w:style w:type="paragraph" w:styleId="CommentText">
    <w:name w:val="annotation text"/>
    <w:basedOn w:val="Normal"/>
    <w:link w:val="CommentTextChar"/>
    <w:uiPriority w:val="99"/>
    <w:qFormat/>
    <w:rPr>
      <w:rFonts w:ascii="Times New Roman" w:hAnsi="Times New Roman"/>
      <w:lang w:val="nb-NO" w:eastAsia="nb-NO"/>
    </w:rPr>
  </w:style>
  <w:style w:type="paragraph" w:styleId="BalloonText">
    <w:name w:val="Balloon Text"/>
    <w:basedOn w:val="Normal"/>
    <w:link w:val="BalloonTextChar"/>
    <w:uiPriority w:val="99"/>
    <w:qFormat/>
    <w:rPr>
      <w:rFonts w:ascii="Tahoma" w:hAnsi="Tahoma" w:cs="Tahoma"/>
      <w:sz w:val="16"/>
      <w:szCs w:val="16"/>
    </w:rPr>
  </w:style>
  <w:style w:type="paragraph" w:styleId="BodyText3">
    <w:name w:val="Body Text 3"/>
    <w:basedOn w:val="Normal"/>
    <w:link w:val="BodyText3Char"/>
    <w:qFormat/>
    <w:pPr>
      <w:spacing w:after="120"/>
    </w:pPr>
    <w:rPr>
      <w:sz w:val="16"/>
      <w:szCs w:val="16"/>
    </w:rPr>
  </w:style>
  <w:style w:type="paragraph" w:styleId="NormalWeb">
    <w:name w:val="Normal (Web)"/>
    <w:basedOn w:val="Normal"/>
    <w:uiPriority w:val="99"/>
    <w:qFormat/>
    <w:pPr>
      <w:spacing w:beforeAutospacing="1" w:afterAutospacing="1"/>
    </w:pPr>
    <w:rPr>
      <w:rFonts w:ascii="Times New Roman" w:hAnsi="Times New Roman"/>
      <w:sz w:val="24"/>
      <w:szCs w:val="24"/>
      <w:lang w:val="en-GB" w:eastAsia="en-GB"/>
    </w:rPr>
  </w:style>
  <w:style w:type="paragraph" w:styleId="ListParagraph">
    <w:name w:val="List Paragraph"/>
    <w:basedOn w:val="Normal"/>
    <w:uiPriority w:val="34"/>
    <w:qFormat/>
    <w:pPr>
      <w:spacing w:after="200" w:line="276" w:lineRule="auto"/>
      <w:ind w:left="720"/>
      <w:contextualSpacing/>
    </w:pPr>
    <w:rPr>
      <w:rFonts w:ascii="Calibri" w:eastAsia="Calibri" w:hAnsi="Calibri" w:cs="SimSun"/>
      <w:sz w:val="22"/>
      <w:szCs w:val="22"/>
      <w:lang w:val="en-PH"/>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Default">
    <w:name w:val="Default"/>
    <w:qFormat/>
    <w:pPr>
      <w:suppressAutoHyphens w:val="0"/>
    </w:pPr>
    <w:rPr>
      <w:color w:val="000000"/>
      <w:sz w:val="24"/>
      <w:szCs w:val="24"/>
    </w:rPr>
  </w:style>
  <w:style w:type="paragraph" w:styleId="NoSpacing">
    <w:name w:val="No Spacing"/>
    <w:uiPriority w:val="1"/>
    <w:qFormat/>
    <w:rsid w:val="001E6CBF"/>
    <w:pPr>
      <w:suppressAutoHyphens w:val="0"/>
    </w:pPr>
    <w:rPr>
      <w:rFonts w:asciiTheme="minorHAnsi" w:eastAsiaTheme="minorHAnsi" w:hAnsiTheme="minorHAnsi" w:cstheme="minorBidi"/>
      <w:kern w:val="2"/>
      <w:sz w:val="22"/>
      <w:szCs w:val="22"/>
      <w14:ligatures w14:val="standardContextual"/>
    </w:rPr>
  </w:style>
  <w:style w:type="table" w:styleId="TableGrid">
    <w:name w:val="Table Grid"/>
    <w:basedOn w:val="TableNormal"/>
    <w:uiPriority w:val="39"/>
    <w:qFormat/>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01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6557/ajahss/2026/v9i1101" TargetMode="External"/><Relationship Id="rId3" Type="http://schemas.openxmlformats.org/officeDocument/2006/relationships/styles" Target="styles.xml"/><Relationship Id="rId21" Type="http://schemas.openxmlformats.org/officeDocument/2006/relationships/hyperlink" Target="https://doi.org/10.22487/ELTS.V9I2.187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ajess/2025/v51i5196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5057/ijares.2024.6.5.21" TargetMode="External"/><Relationship Id="rId20" Type="http://schemas.openxmlformats.org/officeDocument/2006/relationships/hyperlink" Target="https://www.bing.com/search?q=%22https%3A%2F%2Fwww.academia.edu%2F106896641%2FThe_Effect_Of_Using_Think_Pair_Share_To_Improve_Students_Reading_Skills%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9790/7388-1101045761" TargetMode="External"/><Relationship Id="rId23" Type="http://schemas.openxmlformats.org/officeDocument/2006/relationships/hyperlink" Target="https://www.bing.com/search?q=%22https%3A%2F%2Fwww.academia.edu%2F106896641%2FThe_Effect_Of_Using_Think_Pair_Share_To_Improve_Students_Reading_Skills%22" TargetMode="External"/><Relationship Id="rId10" Type="http://schemas.openxmlformats.org/officeDocument/2006/relationships/footer" Target="footer1.xml"/><Relationship Id="rId19" Type="http://schemas.openxmlformats.org/officeDocument/2006/relationships/hyperlink" Target="https://doi.org/10.56557/jet/2026/v11i11045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x.doi.org/10.34050/els-jish.v3i1.9369" TargetMode="External"/><Relationship Id="rId22" Type="http://schemas.openxmlformats.org/officeDocument/2006/relationships/hyperlink" Target="https://doi.org/10.30743/JOL.V4I2.5490"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9661F-D17C-4192-851B-C7F46C62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4204</Words>
  <Characters>23964</Characters>
  <Application>Microsoft Office Word</Application>
  <DocSecurity>0</DocSecurity>
  <Lines>199</Lines>
  <Paragraphs>56</Paragraphs>
  <ScaleCrop>false</ScaleCrop>
  <Company>aaaa</Company>
  <LinksUpToDate>false</LinksUpToDate>
  <CharactersWithSpaces>28112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dc:description/>
  <cp:lastModifiedBy>SDI 1022</cp:lastModifiedBy>
  <cp:revision>12</cp:revision>
  <cp:lastPrinted>1999-07-06T11:00:00Z</cp:lastPrinted>
  <dcterms:created xsi:type="dcterms:W3CDTF">2026-04-22T06:22:00Z</dcterms:created>
  <dcterms:modified xsi:type="dcterms:W3CDTF">2026-04-22T11:04:00Z</dcterms:modified>
  <dc:language>en-PH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650c4f7829ed4514aced44b04c14d69d</vt:lpwstr>
  </property>
</Properties>
</file>