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B3CB1" w14:textId="77777777" w:rsidR="007E2F22" w:rsidRPr="009206C2" w:rsidRDefault="00522090">
      <w:pPr>
        <w:jc w:val="center"/>
        <w:rPr>
          <w:rFonts w:ascii="Times New Roman" w:eastAsia="Times New Roman" w:hAnsi="Times New Roman" w:cs="Times New Roman"/>
          <w:b/>
          <w:bCs/>
          <w:sz w:val="36"/>
          <w:szCs w:val="36"/>
        </w:rPr>
      </w:pPr>
      <w:r w:rsidRPr="009206C2">
        <w:rPr>
          <w:rFonts w:ascii="Times New Roman" w:eastAsia="Times New Roman" w:hAnsi="Times New Roman" w:cs="Times New Roman"/>
          <w:b/>
          <w:bCs/>
          <w:sz w:val="36"/>
          <w:szCs w:val="36"/>
        </w:rPr>
        <w:t>Ambiguous Genitalia in Children: Diagnostic Approaches, Surgical Management, and Psychosocial Outcomes</w:t>
      </w:r>
    </w:p>
    <w:p w14:paraId="09A43390" w14:textId="77777777" w:rsidR="007E2F22" w:rsidRPr="009206C2" w:rsidRDefault="007E2F22">
      <w:pPr>
        <w:jc w:val="center"/>
        <w:rPr>
          <w:rFonts w:ascii="Times New Roman" w:eastAsia="Times New Roman" w:hAnsi="Times New Roman" w:cs="Times New Roman"/>
          <w:b/>
          <w:bCs/>
          <w:sz w:val="36"/>
          <w:szCs w:val="36"/>
        </w:rPr>
      </w:pPr>
    </w:p>
    <w:p w14:paraId="2B735860" w14:textId="77777777" w:rsidR="007E2F22" w:rsidRPr="009206C2" w:rsidRDefault="007E2F22">
      <w:pPr>
        <w:rPr>
          <w:rFonts w:ascii="Times New Roman" w:eastAsia="Times New Roman" w:hAnsi="Times New Roman" w:cs="Times New Roman"/>
          <w:b/>
          <w:bCs/>
          <w:sz w:val="16"/>
          <w:szCs w:val="16"/>
        </w:rPr>
      </w:pPr>
    </w:p>
    <w:p w14:paraId="03121686" w14:textId="77777777" w:rsidR="007E2F22" w:rsidRPr="009206C2" w:rsidRDefault="007E2F22">
      <w:pPr>
        <w:rPr>
          <w:rFonts w:ascii="Times New Roman" w:eastAsia="Times New Roman" w:hAnsi="Times New Roman" w:cs="Times New Roman"/>
          <w:b/>
          <w:bCs/>
          <w:sz w:val="16"/>
          <w:szCs w:val="16"/>
        </w:rPr>
      </w:pPr>
    </w:p>
    <w:p w14:paraId="67F6B645" w14:textId="77777777" w:rsidR="007E2F22" w:rsidRPr="009206C2" w:rsidRDefault="00522090">
      <w:pPr>
        <w:pStyle w:val="Heading1"/>
        <w:spacing w:before="240" w:after="240"/>
        <w:rPr>
          <w:rFonts w:ascii="Times New Roman" w:eastAsia="Times New Roman" w:hAnsi="Times New Roman" w:cs="Times New Roman"/>
          <w:b/>
          <w:bCs/>
          <w:sz w:val="32"/>
          <w:szCs w:val="32"/>
        </w:rPr>
      </w:pPr>
      <w:bookmarkStart w:id="0" w:name="_heading=h.n9ln7we48rz8" w:colFirst="0" w:colLast="0"/>
      <w:bookmarkEnd w:id="0"/>
      <w:r w:rsidRPr="009206C2">
        <w:rPr>
          <w:rFonts w:ascii="Times New Roman" w:eastAsia="Times New Roman" w:hAnsi="Times New Roman" w:cs="Times New Roman"/>
          <w:b/>
          <w:bCs/>
          <w:sz w:val="32"/>
          <w:szCs w:val="32"/>
        </w:rPr>
        <w:t>Abstract</w:t>
      </w:r>
    </w:p>
    <w:p w14:paraId="7EBB599E" w14:textId="77777777" w:rsidR="007E2F22" w:rsidRPr="009206C2" w:rsidRDefault="00522090">
      <w:pPr>
        <w:spacing w:before="240" w:after="240"/>
        <w:jc w:val="both"/>
        <w:rPr>
          <w:rFonts w:ascii="Times New Roman" w:eastAsia="Times New Roman" w:hAnsi="Times New Roman" w:cs="Times New Roman"/>
          <w:sz w:val="24"/>
          <w:szCs w:val="24"/>
        </w:rPr>
      </w:pPr>
      <w:commentRangeStart w:id="1"/>
      <w:r w:rsidRPr="009206C2">
        <w:rPr>
          <w:rFonts w:ascii="Times New Roman" w:eastAsia="Times New Roman" w:hAnsi="Times New Roman" w:cs="Times New Roman"/>
          <w:sz w:val="24"/>
          <w:szCs w:val="24"/>
        </w:rPr>
        <w:t>Ambiguous genitalia in children, a condition within the broader category of Disorders of Sex Development (DSDs), presents complex medical, surgical, and psychosocial challenges. Traditionally diagnosed based on physical examination and clinical signs, DSDs are increasingly understood through genetic, hormonal, and molecular diagnostics, highlighting the need for a multidisciplinary approach</w:t>
      </w:r>
      <w:commentRangeEnd w:id="1"/>
      <w:r w:rsidR="00852600">
        <w:rPr>
          <w:rStyle w:val="CommentReference"/>
        </w:rPr>
        <w:commentReference w:id="1"/>
      </w:r>
      <w:r w:rsidRPr="009206C2">
        <w:rPr>
          <w:rFonts w:ascii="Times New Roman" w:eastAsia="Times New Roman" w:hAnsi="Times New Roman" w:cs="Times New Roman"/>
          <w:sz w:val="24"/>
          <w:szCs w:val="24"/>
        </w:rPr>
        <w:t xml:space="preserve">. </w:t>
      </w:r>
      <w:commentRangeStart w:id="2"/>
      <w:r w:rsidRPr="009206C2">
        <w:rPr>
          <w:rFonts w:ascii="Times New Roman" w:eastAsia="Times New Roman" w:hAnsi="Times New Roman" w:cs="Times New Roman"/>
          <w:sz w:val="24"/>
          <w:szCs w:val="24"/>
        </w:rPr>
        <w:t xml:space="preserve">This narrative review aims to synthesize current knowledge on diagnostic strategies, surgical management, and psychosocial outcomes associated with ambiguous genitalia, focusing on best practices and emerging trends. A comprehensive literature search was conducted across PubMed and ScienceDirect for studies published from 2020 to the search date (January 18, 2026). The review identified that early diagnosis is critical for informing sex assignment and surgical decisions, but ongoing challenges remain in balancing ethical considerations and the long-term psychosocial impact of early interventions. It was found that current surgical practices emphasize individualized care, but ethical debates persist regarding the timing of irreversible procedures. </w:t>
      </w:r>
      <w:commentRangeEnd w:id="2"/>
      <w:r w:rsidR="00852600">
        <w:rPr>
          <w:rStyle w:val="CommentReference"/>
        </w:rPr>
        <w:commentReference w:id="2"/>
      </w:r>
      <w:r w:rsidRPr="009206C2">
        <w:rPr>
          <w:rFonts w:ascii="Times New Roman" w:eastAsia="Times New Roman" w:hAnsi="Times New Roman" w:cs="Times New Roman"/>
          <w:sz w:val="24"/>
          <w:szCs w:val="24"/>
        </w:rPr>
        <w:t>Furthermore, significant gaps remain in longitudinal outcomes and psychosocial support, which are often under-implemented in clinical practice despite their importance. The review concludes by highlighting the need for standardized multidisciplinary care pathways and longitudinal research on the psychosocial aspects of DSD management to improve both clinical outcomes and patient well-being.</w:t>
      </w:r>
    </w:p>
    <w:p w14:paraId="746A107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Keywords:</w:t>
      </w:r>
      <w:r w:rsidRPr="009206C2">
        <w:rPr>
          <w:rFonts w:ascii="Times New Roman" w:eastAsia="Times New Roman" w:hAnsi="Times New Roman" w:cs="Times New Roman"/>
          <w:sz w:val="24"/>
          <w:szCs w:val="24"/>
        </w:rPr>
        <w:t xml:space="preserve"> Ambiguous genitalia, Disorders of Sex Development, Diagnosis, Surgery, Psychosocial outcomes, Multidisciplinary care, Ethical considerations</w:t>
      </w:r>
    </w:p>
    <w:p w14:paraId="240667B2" w14:textId="77777777" w:rsidR="007E2F22" w:rsidRPr="009206C2" w:rsidRDefault="007E2F22">
      <w:pPr>
        <w:rPr>
          <w:rFonts w:ascii="Times New Roman" w:eastAsia="Times New Roman" w:hAnsi="Times New Roman" w:cs="Times New Roman"/>
          <w:sz w:val="24"/>
          <w:szCs w:val="24"/>
        </w:rPr>
      </w:pPr>
    </w:p>
    <w:p w14:paraId="24C4CFA3" w14:textId="77777777" w:rsidR="007E2F22" w:rsidRPr="009206C2" w:rsidRDefault="00522090">
      <w:pPr>
        <w:pStyle w:val="Heading1"/>
        <w:numPr>
          <w:ilvl w:val="0"/>
          <w:numId w:val="2"/>
        </w:numPr>
        <w:rPr>
          <w:rFonts w:ascii="Times New Roman" w:eastAsia="Times New Roman" w:hAnsi="Times New Roman" w:cs="Times New Roman"/>
          <w:b/>
          <w:bCs/>
          <w:sz w:val="32"/>
          <w:szCs w:val="32"/>
        </w:rPr>
      </w:pPr>
      <w:bookmarkStart w:id="3" w:name="_heading=h.k59dzh8mq9y0" w:colFirst="0" w:colLast="0"/>
      <w:bookmarkEnd w:id="3"/>
      <w:r w:rsidRPr="009206C2">
        <w:rPr>
          <w:rFonts w:ascii="Times New Roman" w:eastAsia="Times New Roman" w:hAnsi="Times New Roman" w:cs="Times New Roman"/>
          <w:b/>
          <w:bCs/>
          <w:sz w:val="32"/>
          <w:szCs w:val="32"/>
        </w:rPr>
        <w:t>Introduction</w:t>
      </w:r>
    </w:p>
    <w:p w14:paraId="2D5E6DF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in newborns and children represents a complex clinical and psychosocial phenomenon situated within the broader category of Disorders/Differences of Sex Development (DSDs)—a spectrum of congenital conditions characterized by atypical development of chromosomal, gonadal, or anatomical sex structures (</w:t>
      </w:r>
      <w:proofErr w:type="spellStart"/>
      <w:r w:rsidRPr="009206C2">
        <w:rPr>
          <w:rFonts w:ascii="Times New Roman" w:eastAsia="Times New Roman" w:hAnsi="Times New Roman" w:cs="Times New Roman"/>
          <w:sz w:val="24"/>
          <w:szCs w:val="24"/>
        </w:rPr>
        <w:t>Mehmood</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2026). Historically, terms such as intersex, hermaphroditism, and </w:t>
      </w:r>
      <w:proofErr w:type="spellStart"/>
      <w:r w:rsidRPr="009206C2">
        <w:rPr>
          <w:rFonts w:ascii="Times New Roman" w:eastAsia="Times New Roman" w:hAnsi="Times New Roman" w:cs="Times New Roman"/>
          <w:sz w:val="24"/>
          <w:szCs w:val="24"/>
        </w:rPr>
        <w:t>pseudohermaphroditism</w:t>
      </w:r>
      <w:proofErr w:type="spellEnd"/>
      <w:r w:rsidRPr="009206C2">
        <w:rPr>
          <w:rFonts w:ascii="Times New Roman" w:eastAsia="Times New Roman" w:hAnsi="Times New Roman" w:cs="Times New Roman"/>
          <w:sz w:val="24"/>
          <w:szCs w:val="24"/>
        </w:rPr>
        <w:t xml:space="preserve"> were used to describe these conditions. However, such nomenclature has been widely abandoned due to its imprecision and potential for stigma, replaced following the Chicago Consensus by the inclusive and clinically </w:t>
      </w:r>
      <w:r w:rsidRPr="009206C2">
        <w:rPr>
          <w:rFonts w:ascii="Times New Roman" w:eastAsia="Times New Roman" w:hAnsi="Times New Roman" w:cs="Times New Roman"/>
          <w:sz w:val="24"/>
          <w:szCs w:val="24"/>
        </w:rPr>
        <w:lastRenderedPageBreak/>
        <w:t>oriented term “DSDs” (</w:t>
      </w:r>
      <w:proofErr w:type="spellStart"/>
      <w:r w:rsidRPr="009206C2">
        <w:rPr>
          <w:rFonts w:ascii="Times New Roman" w:eastAsia="Times New Roman" w:hAnsi="Times New Roman" w:cs="Times New Roman"/>
          <w:sz w:val="24"/>
          <w:szCs w:val="24"/>
        </w:rPr>
        <w:t>Mehmood</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2026; Berglund et al., 2025). This shift in nomenclature reflects a broader evolution in clinical thinking that foregrounds biological diversity while acknowledging the role of emerging genetic and molecular insights in understanding sex development.</w:t>
      </w:r>
    </w:p>
    <w:p w14:paraId="1AAE719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biological basis of sex development is a meticulously orchestrated process involving genetic, hormonal, and morphological events that determine phenotypic sex. Under normal conditions, the bipotential gonads differentiate into testes or ovaries driven by gene expression cues such as SRY, followed by hormone‑mediated external genital formation; disruptions in these pathways may result in incongruent development of internal and external genitalia (</w:t>
      </w:r>
      <w:proofErr w:type="spellStart"/>
      <w:r w:rsidRPr="009206C2">
        <w:rPr>
          <w:rFonts w:ascii="Times New Roman" w:eastAsia="Times New Roman" w:hAnsi="Times New Roman" w:cs="Times New Roman"/>
          <w:sz w:val="24"/>
          <w:szCs w:val="24"/>
        </w:rPr>
        <w:t>Mehmood</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2026). When such discordance occurs, typically due to chromosomal anomalies (e.g., 46,XY or 46,XX variations), atypical hormone synthesis or receptor function, or differences in receptor </w:t>
      </w:r>
      <w:proofErr w:type="spellStart"/>
      <w:r w:rsidRPr="009206C2">
        <w:rPr>
          <w:rFonts w:ascii="Times New Roman" w:eastAsia="Times New Roman" w:hAnsi="Times New Roman" w:cs="Times New Roman"/>
          <w:sz w:val="24"/>
          <w:szCs w:val="24"/>
        </w:rPr>
        <w:t>signalling</w:t>
      </w:r>
      <w:proofErr w:type="spellEnd"/>
      <w:r w:rsidRPr="009206C2">
        <w:rPr>
          <w:rFonts w:ascii="Times New Roman" w:eastAsia="Times New Roman" w:hAnsi="Times New Roman" w:cs="Times New Roman"/>
          <w:sz w:val="24"/>
          <w:szCs w:val="24"/>
        </w:rPr>
        <w:t>, DSDs arise, and ambiguous genitalia may be evident at birth (</w:t>
      </w:r>
      <w:proofErr w:type="spellStart"/>
      <w:r w:rsidRPr="009206C2">
        <w:rPr>
          <w:rFonts w:ascii="Times New Roman" w:eastAsia="Times New Roman" w:hAnsi="Times New Roman" w:cs="Times New Roman"/>
          <w:sz w:val="24"/>
          <w:szCs w:val="24"/>
        </w:rPr>
        <w:t>Mehmood</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2026; </w:t>
      </w:r>
      <w:proofErr w:type="spellStart"/>
      <w:r w:rsidRPr="009206C2">
        <w:rPr>
          <w:rFonts w:ascii="Times New Roman" w:eastAsia="Times New Roman" w:hAnsi="Times New Roman" w:cs="Times New Roman"/>
          <w:sz w:val="24"/>
          <w:szCs w:val="24"/>
        </w:rPr>
        <w:t>Faradz</w:t>
      </w:r>
      <w:proofErr w:type="spellEnd"/>
      <w:r w:rsidRPr="009206C2">
        <w:rPr>
          <w:rFonts w:ascii="Times New Roman" w:eastAsia="Times New Roman" w:hAnsi="Times New Roman" w:cs="Times New Roman"/>
          <w:sz w:val="24"/>
          <w:szCs w:val="24"/>
        </w:rPr>
        <w:t xml:space="preserve"> et al., 2025). Such conditions require careful clinical evaluation, as their etiologies range from congenital adrenal hyperplasia to androgen insensitivity syndromes and rarer genetic mutations, each with unique diagnostic and management implications (Berglund et al., 2025;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w:t>
      </w:r>
    </w:p>
    <w:p w14:paraId="31481F7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epidemiology of ambiguous genitalia and related DSDs has been increasingly refined through contemporary cohort studies. Population‑based research suggests an overall DSD prevalence of approximately 1 in 2,735 to 1 in 10,000 live births, with variation across DSD subtypes; sex chromosome DSDs occur more frequently than 46,XY or 46,XX categories in some cohorts (Berglund et al., 2025; Metzger et al., 2024). Congenital adrenal hyperplasia (46</w:t>
      </w:r>
      <w:proofErr w:type="gramStart"/>
      <w:r w:rsidRPr="009206C2">
        <w:rPr>
          <w:rFonts w:ascii="Times New Roman" w:eastAsia="Times New Roman" w:hAnsi="Times New Roman" w:cs="Times New Roman"/>
          <w:sz w:val="24"/>
          <w:szCs w:val="24"/>
        </w:rPr>
        <w:t>,XX</w:t>
      </w:r>
      <w:proofErr w:type="gramEnd"/>
      <w:r w:rsidRPr="009206C2">
        <w:rPr>
          <w:rFonts w:ascii="Times New Roman" w:eastAsia="Times New Roman" w:hAnsi="Times New Roman" w:cs="Times New Roman"/>
          <w:sz w:val="24"/>
          <w:szCs w:val="24"/>
        </w:rPr>
        <w:t xml:space="preserve"> DSD) constitutes one of the more common presentations when ambiguous genitalia are present, reflecting its endocrine basis and clinical visibility at birth (Metzger et al., 2024). Recognizing such prevalence patterns is essential for clinicians and healthcare planners, particularly in regions with limited newborn screening infrastructures where delayed diagnosis remains pervasive.</w:t>
      </w:r>
    </w:p>
    <w:p w14:paraId="36EC1D3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clinical implications of early recognition of ambiguous genitalia extend beyond immediate medical management. The diagnosis triggers multiple high‑stakes decisions, including sex assignment, timing of surgical interventions, and long‑term psychosocial planning (Ishii et al., 2025). Early multidisciplinary involvement is advocated in international guidelines to ensure integrated care across pediatric endocrinology, surgery, clinical genetics, psychology, and social support services (Ishii et al., 2026;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 Such an approach not only enhances the accuracy of diagnosis through coordinated assessments but also contextualizes decision‑making within family values and long‑term psychosocial outcomes. This is underscored by emerging models of structured care that integrate standardized information management processes to support families during the initial diagnostic period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w:t>
      </w:r>
    </w:p>
    <w:p w14:paraId="1B2A23B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psychosocial significance of ambiguous genitalia and DSDs is a critical domain of investigation. Longitudinal and cross‑sectional research has documented heightened rates of </w:t>
      </w:r>
      <w:r w:rsidRPr="009206C2">
        <w:rPr>
          <w:rFonts w:ascii="Times New Roman" w:eastAsia="Times New Roman" w:hAnsi="Times New Roman" w:cs="Times New Roman"/>
          <w:sz w:val="24"/>
          <w:szCs w:val="24"/>
        </w:rPr>
        <w:lastRenderedPageBreak/>
        <w:t>anxiety, body image concerns, and gender identity complexity among affected individuals, as well as significant parental stress and uncertainty, particularly in the absence of comprehensive support systems (</w:t>
      </w:r>
      <w:proofErr w:type="spellStart"/>
      <w:r w:rsidRPr="009206C2">
        <w:rPr>
          <w:rFonts w:ascii="Times New Roman" w:eastAsia="Times New Roman" w:hAnsi="Times New Roman" w:cs="Times New Roman"/>
          <w:sz w:val="24"/>
          <w:szCs w:val="24"/>
        </w:rPr>
        <w:t>Saktini</w:t>
      </w:r>
      <w:proofErr w:type="spellEnd"/>
      <w:r w:rsidRPr="009206C2">
        <w:rPr>
          <w:rFonts w:ascii="Times New Roman" w:eastAsia="Times New Roman" w:hAnsi="Times New Roman" w:cs="Times New Roman"/>
          <w:sz w:val="24"/>
          <w:szCs w:val="24"/>
        </w:rPr>
        <w:t xml:space="preserve"> et al., 2024; Arizona et al., 2023). Psychiatric and psychological support is increasingly recognized as a core element of multidisciplinary care, with evidence suggesting that early, structured interventions can meaningfully improve adaptive coping and quality of life (Arizona et al., 2023). Nevertheless, barriers such as cultural stigma, limited access to mental health services, and inconsistent integration of psychosocial care into clinical pathways remain widespread, especially in resource‑limited settings (</w:t>
      </w:r>
      <w:proofErr w:type="spellStart"/>
      <w:r w:rsidRPr="009206C2">
        <w:rPr>
          <w:rFonts w:ascii="Times New Roman" w:eastAsia="Times New Roman" w:hAnsi="Times New Roman" w:cs="Times New Roman"/>
          <w:sz w:val="24"/>
          <w:szCs w:val="24"/>
        </w:rPr>
        <w:t>Faradz</w:t>
      </w:r>
      <w:proofErr w:type="spellEnd"/>
      <w:r w:rsidRPr="009206C2">
        <w:rPr>
          <w:rFonts w:ascii="Times New Roman" w:eastAsia="Times New Roman" w:hAnsi="Times New Roman" w:cs="Times New Roman"/>
          <w:sz w:val="24"/>
          <w:szCs w:val="24"/>
        </w:rPr>
        <w:t xml:space="preserve"> et al., 2025).</w:t>
      </w:r>
    </w:p>
    <w:p w14:paraId="3AA9280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Amidst these clinical, ethical, and psychosocial dimensions, significant controversies persist. Notable among these is the debate over the timing of surgical interventions and the ethics of early sex assignment when long‑term gender identity remains uncertain (Ishii et al., 2026). Contemporary guidelines recommend careful deliberation and, in some cases, deferral of irreversible surgical procedures until sufficient diagnostic and developmental information is available, recognizing the potential lifelong impact of early decisions on identity and sexual function (Ishii et al., 2026). Such ethical considerations crystallize the need for evidence‑based practice that transcends organ‑focused surgery to encompass individualized evaluation of developmental trajectories and emerging self‑identification.</w:t>
      </w:r>
    </w:p>
    <w:p w14:paraId="06717AC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Given these complexities, the purpose of the present narrative review is threefold: to synthesize current knowledge on diagnostic approaches for ambiguous genitalia in children, to evaluate contemporary surgical management strategies within ethical and multidisciplinary frameworks, and to elucidate the psychosocial outcomes associated with DSDs. By systematically integrating recent literature across clinical and psychosocial domains, this review aims to offer a holistic account of current practices and contemporary challenges, thereby informing clinicians, researchers, and policymakers engaged in DSD care and advocacy.</w:t>
      </w:r>
    </w:p>
    <w:p w14:paraId="4A7EC1E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scope of this review is delineated to include peer‑reviewed clinical research, consensus guidelines, and evidence‑based narratives addressing newborn and pediatric presentations of ambiguous genitalia. It foregrounds the interplay between biological, surgical, psychological, and ethical factors shaping care pathways, while highlighting gaps warranting future investigation. By advancing a comprehensive understanding of this multifaceted condition, this research aspires to contribute meaningfully to the evidence base guiding holistic, ethically grounded, and patient‑centered management of ambiguous genitalia in children.</w:t>
      </w:r>
    </w:p>
    <w:p w14:paraId="7BE2D1C6" w14:textId="77777777" w:rsidR="007E2F22" w:rsidRPr="009206C2" w:rsidRDefault="007E2F22">
      <w:pPr>
        <w:jc w:val="both"/>
        <w:rPr>
          <w:rFonts w:ascii="Times New Roman" w:eastAsia="Times New Roman" w:hAnsi="Times New Roman" w:cs="Times New Roman"/>
          <w:sz w:val="24"/>
          <w:szCs w:val="24"/>
        </w:rPr>
      </w:pPr>
    </w:p>
    <w:p w14:paraId="4796A4F8" w14:textId="77777777" w:rsidR="007E2F22" w:rsidRPr="009206C2" w:rsidRDefault="00522090">
      <w:pPr>
        <w:pStyle w:val="Heading2"/>
        <w:keepNext w:val="0"/>
        <w:keepLines w:val="0"/>
        <w:numPr>
          <w:ilvl w:val="0"/>
          <w:numId w:val="2"/>
        </w:numPr>
        <w:spacing w:after="80"/>
        <w:rPr>
          <w:rFonts w:ascii="Times New Roman" w:eastAsia="Times New Roman" w:hAnsi="Times New Roman" w:cs="Times New Roman"/>
          <w:b/>
          <w:bCs/>
        </w:rPr>
      </w:pPr>
      <w:bookmarkStart w:id="4" w:name="_heading=h.d0wbvs5rea49" w:colFirst="0" w:colLast="0"/>
      <w:bookmarkEnd w:id="4"/>
      <w:r w:rsidRPr="009206C2">
        <w:rPr>
          <w:rFonts w:ascii="Times New Roman" w:eastAsia="Times New Roman" w:hAnsi="Times New Roman" w:cs="Times New Roman"/>
          <w:b/>
          <w:bCs/>
        </w:rPr>
        <w:t>Methodology</w:t>
      </w:r>
    </w:p>
    <w:p w14:paraId="7943AAA9"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Study Design: </w:t>
      </w:r>
      <w:r w:rsidRPr="009206C2">
        <w:rPr>
          <w:rFonts w:ascii="Times New Roman" w:eastAsia="Times New Roman" w:hAnsi="Times New Roman" w:cs="Times New Roman"/>
          <w:sz w:val="24"/>
          <w:szCs w:val="24"/>
        </w:rPr>
        <w:t xml:space="preserve">This study was conducted as a narrative review, synthesizing the existing literature on ambiguous genitalia in children, with a focus on diagnostic approaches, surgical management, </w:t>
      </w:r>
      <w:r w:rsidRPr="009206C2">
        <w:rPr>
          <w:rFonts w:ascii="Times New Roman" w:eastAsia="Times New Roman" w:hAnsi="Times New Roman" w:cs="Times New Roman"/>
          <w:sz w:val="24"/>
          <w:szCs w:val="24"/>
        </w:rPr>
        <w:lastRenderedPageBreak/>
        <w:t>and psychosocial outcomes. Given the multidisciplinary nature of the topic, a broad range of studies, including clinical trials, case reports, and expert consensus guidelines, were reviewed to offer a comprehensive understanding of current practices and challenges. The narrative review approach was selected due to its flexibility in synthesizing diverse types of evidence across multiple domains, including clinical, surgical, and psychosocial contexts.</w:t>
      </w:r>
    </w:p>
    <w:p w14:paraId="33F71D2A"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Search Strategy:</w:t>
      </w:r>
      <w:r w:rsidRPr="009206C2">
        <w:rPr>
          <w:rFonts w:ascii="Times New Roman" w:eastAsia="Times New Roman" w:hAnsi="Times New Roman" w:cs="Times New Roman"/>
          <w:sz w:val="24"/>
          <w:szCs w:val="24"/>
        </w:rPr>
        <w:t xml:space="preserve"> The literature search was conducted on January 18, 2026 across three major databases: PubMed, and ScienceDirect. The search covered publications from 2020 to the search date, ensuring that the findings reflect the most current advancements in the field. The databases were chosen based on their extensive coverage of medical, surgical, and psychosocial research articles. </w:t>
      </w:r>
    </w:p>
    <w:p w14:paraId="2A26B33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In PubMed, </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Title and abstract keywords, and Boolean operators ("AND" and "OR") were included in the search while for the database that do not feature </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w:t>
      </w:r>
      <w:proofErr w:type="spellStart"/>
      <w:r w:rsidRPr="009206C2">
        <w:rPr>
          <w:rFonts w:ascii="Times New Roman" w:eastAsia="Times New Roman" w:hAnsi="Times New Roman" w:cs="Times New Roman"/>
          <w:sz w:val="24"/>
          <w:szCs w:val="24"/>
        </w:rPr>
        <w:t>ScienceDirect</w:t>
      </w:r>
      <w:proofErr w:type="spellEnd"/>
      <w:r w:rsidRPr="009206C2">
        <w:rPr>
          <w:rFonts w:ascii="Times New Roman" w:eastAsia="Times New Roman" w:hAnsi="Times New Roman" w:cs="Times New Roman"/>
          <w:sz w:val="24"/>
          <w:szCs w:val="24"/>
        </w:rPr>
        <w:t>) only Title and abstract keywords, and Boolean operators ("AND" and "OR") were utilized (Young, n.d.; Wang et al., 2022; Grewal et al., 2016). The search strings and filters used for each database were as shown in Table 1:</w:t>
      </w:r>
    </w:p>
    <w:p w14:paraId="29B53DF6" w14:textId="77777777" w:rsidR="007E2F22" w:rsidRPr="009206C2" w:rsidRDefault="00522090">
      <w:pPr>
        <w:spacing w:before="240" w:after="40"/>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1: Search Strategy</w:t>
      </w: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1200"/>
        <w:gridCol w:w="945"/>
        <w:gridCol w:w="1155"/>
      </w:tblGrid>
      <w:tr w:rsidR="007E2F22" w:rsidRPr="009206C2" w14:paraId="2AC6851F" w14:textId="77777777">
        <w:tc>
          <w:tcPr>
            <w:tcW w:w="1200" w:type="dxa"/>
            <w:tcMar>
              <w:top w:w="100" w:type="dxa"/>
              <w:left w:w="100" w:type="dxa"/>
              <w:bottom w:w="100" w:type="dxa"/>
              <w:right w:w="100" w:type="dxa"/>
            </w:tcMar>
          </w:tcPr>
          <w:p w14:paraId="2916D412"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Database</w:t>
            </w:r>
          </w:p>
        </w:tc>
        <w:tc>
          <w:tcPr>
            <w:tcW w:w="4800" w:type="dxa"/>
            <w:tcMar>
              <w:top w:w="100" w:type="dxa"/>
              <w:left w:w="100" w:type="dxa"/>
              <w:bottom w:w="100" w:type="dxa"/>
              <w:right w:w="100" w:type="dxa"/>
            </w:tcMar>
          </w:tcPr>
          <w:p w14:paraId="6BD277E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Search strings</w:t>
            </w:r>
          </w:p>
        </w:tc>
        <w:tc>
          <w:tcPr>
            <w:tcW w:w="1200" w:type="dxa"/>
            <w:tcMar>
              <w:top w:w="100" w:type="dxa"/>
              <w:left w:w="100" w:type="dxa"/>
              <w:bottom w:w="100" w:type="dxa"/>
              <w:right w:w="100" w:type="dxa"/>
            </w:tcMar>
          </w:tcPr>
          <w:p w14:paraId="044DB534"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Search yield</w:t>
            </w:r>
          </w:p>
        </w:tc>
        <w:tc>
          <w:tcPr>
            <w:tcW w:w="945" w:type="dxa"/>
            <w:tcMar>
              <w:top w:w="100" w:type="dxa"/>
              <w:left w:w="100" w:type="dxa"/>
              <w:bottom w:w="100" w:type="dxa"/>
              <w:right w:w="100" w:type="dxa"/>
            </w:tcMar>
          </w:tcPr>
          <w:p w14:paraId="342D43DD"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Filters applied</w:t>
            </w:r>
          </w:p>
        </w:tc>
        <w:tc>
          <w:tcPr>
            <w:tcW w:w="1155" w:type="dxa"/>
            <w:tcMar>
              <w:top w:w="100" w:type="dxa"/>
              <w:left w:w="100" w:type="dxa"/>
              <w:bottom w:w="100" w:type="dxa"/>
              <w:right w:w="100" w:type="dxa"/>
            </w:tcMar>
          </w:tcPr>
          <w:p w14:paraId="4791431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Yield after filtering</w:t>
            </w:r>
          </w:p>
        </w:tc>
      </w:tr>
      <w:tr w:rsidR="007E2F22" w:rsidRPr="009206C2" w14:paraId="0B6ACA6A" w14:textId="77777777">
        <w:tc>
          <w:tcPr>
            <w:tcW w:w="1200" w:type="dxa"/>
            <w:tcMar>
              <w:top w:w="100" w:type="dxa"/>
              <w:left w:w="100" w:type="dxa"/>
              <w:bottom w:w="100" w:type="dxa"/>
              <w:right w:w="100" w:type="dxa"/>
            </w:tcMar>
          </w:tcPr>
          <w:p w14:paraId="1CEDB49B"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PubMed</w:t>
            </w:r>
          </w:p>
        </w:tc>
        <w:tc>
          <w:tcPr>
            <w:tcW w:w="4800" w:type="dxa"/>
            <w:tcMar>
              <w:top w:w="100" w:type="dxa"/>
              <w:left w:w="100" w:type="dxa"/>
              <w:bottom w:w="100" w:type="dxa"/>
              <w:right w:w="100" w:type="dxa"/>
            </w:tcMar>
          </w:tcPr>
          <w:p w14:paraId="66365694"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(Ambiguous genitalia[Title/Abstract])) OR (Disorders of Sex Development[Title/Abstract])) AND ((Diagnosis[</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(Diagnosis[Title/Abstract]))) AND ((Surgical management[</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(Surgical management[Title/Abstract]))) AND (((Children[</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(Children[Title/Abstract])) OR (Pediatrics[Title/Abstract]))</w:t>
            </w:r>
          </w:p>
        </w:tc>
        <w:tc>
          <w:tcPr>
            <w:tcW w:w="1200" w:type="dxa"/>
            <w:tcMar>
              <w:top w:w="100" w:type="dxa"/>
              <w:left w:w="100" w:type="dxa"/>
              <w:bottom w:w="100" w:type="dxa"/>
              <w:right w:w="100" w:type="dxa"/>
            </w:tcMar>
          </w:tcPr>
          <w:p w14:paraId="4DA4556A"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93</w:t>
            </w:r>
          </w:p>
        </w:tc>
        <w:tc>
          <w:tcPr>
            <w:tcW w:w="945" w:type="dxa"/>
            <w:tcMar>
              <w:top w:w="100" w:type="dxa"/>
              <w:left w:w="100" w:type="dxa"/>
              <w:bottom w:w="100" w:type="dxa"/>
              <w:right w:w="100" w:type="dxa"/>
            </w:tcMar>
          </w:tcPr>
          <w:p w14:paraId="346DA1B2"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2020 to the search date, Free full text, English, Humans</w:t>
            </w:r>
          </w:p>
        </w:tc>
        <w:tc>
          <w:tcPr>
            <w:tcW w:w="1155" w:type="dxa"/>
            <w:tcMar>
              <w:top w:w="100" w:type="dxa"/>
              <w:left w:w="100" w:type="dxa"/>
              <w:bottom w:w="100" w:type="dxa"/>
              <w:right w:w="100" w:type="dxa"/>
            </w:tcMar>
          </w:tcPr>
          <w:p w14:paraId="6CE0E98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3</w:t>
            </w:r>
          </w:p>
        </w:tc>
      </w:tr>
      <w:tr w:rsidR="007E2F22" w:rsidRPr="009206C2" w14:paraId="2C2124A7" w14:textId="77777777">
        <w:tc>
          <w:tcPr>
            <w:tcW w:w="1200" w:type="dxa"/>
            <w:tcMar>
              <w:top w:w="100" w:type="dxa"/>
              <w:left w:w="100" w:type="dxa"/>
              <w:bottom w:w="100" w:type="dxa"/>
              <w:right w:w="100" w:type="dxa"/>
            </w:tcMar>
          </w:tcPr>
          <w:p w14:paraId="1AE4022D"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ScienceDirect</w:t>
            </w:r>
          </w:p>
        </w:tc>
        <w:tc>
          <w:tcPr>
            <w:tcW w:w="4800" w:type="dxa"/>
            <w:tcMar>
              <w:top w:w="100" w:type="dxa"/>
              <w:left w:w="100" w:type="dxa"/>
              <w:bottom w:w="100" w:type="dxa"/>
              <w:right w:w="100" w:type="dxa"/>
            </w:tcMar>
          </w:tcPr>
          <w:p w14:paraId="38343EA2"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AND (Disorders of Sex Development) AND (Diagnosis) AND (Surgical management) AND (Children  OR Pediatrics) AND (Psychosocial outcomes)</w:t>
            </w:r>
          </w:p>
        </w:tc>
        <w:tc>
          <w:tcPr>
            <w:tcW w:w="1200" w:type="dxa"/>
            <w:tcMar>
              <w:top w:w="100" w:type="dxa"/>
              <w:left w:w="100" w:type="dxa"/>
              <w:bottom w:w="100" w:type="dxa"/>
              <w:right w:w="100" w:type="dxa"/>
            </w:tcMar>
          </w:tcPr>
          <w:p w14:paraId="47538EDD"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357</w:t>
            </w:r>
          </w:p>
        </w:tc>
        <w:tc>
          <w:tcPr>
            <w:tcW w:w="945" w:type="dxa"/>
            <w:tcMar>
              <w:top w:w="100" w:type="dxa"/>
              <w:left w:w="100" w:type="dxa"/>
              <w:bottom w:w="100" w:type="dxa"/>
              <w:right w:w="100" w:type="dxa"/>
            </w:tcMar>
          </w:tcPr>
          <w:p w14:paraId="6B9C8F19"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2020 to the search date, Review articles</w:t>
            </w:r>
            <w:r w:rsidRPr="009206C2">
              <w:rPr>
                <w:rFonts w:ascii="Times New Roman" w:eastAsia="Times New Roman" w:hAnsi="Times New Roman" w:cs="Times New Roman"/>
                <w:sz w:val="24"/>
                <w:szCs w:val="24"/>
              </w:rPr>
              <w:lastRenderedPageBreak/>
              <w:t>, Research articles, open access</w:t>
            </w:r>
          </w:p>
        </w:tc>
        <w:tc>
          <w:tcPr>
            <w:tcW w:w="1155" w:type="dxa"/>
            <w:tcMar>
              <w:top w:w="100" w:type="dxa"/>
              <w:left w:w="100" w:type="dxa"/>
              <w:bottom w:w="100" w:type="dxa"/>
              <w:right w:w="100" w:type="dxa"/>
            </w:tcMar>
          </w:tcPr>
          <w:p w14:paraId="702A919D"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10</w:t>
            </w:r>
          </w:p>
        </w:tc>
      </w:tr>
    </w:tbl>
    <w:p w14:paraId="0E87F4CF"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Literature Selection: </w:t>
      </w:r>
      <w:r w:rsidRPr="009206C2">
        <w:rPr>
          <w:rFonts w:ascii="Times New Roman" w:eastAsia="Times New Roman" w:hAnsi="Times New Roman" w:cs="Times New Roman"/>
          <w:sz w:val="24"/>
          <w:szCs w:val="24"/>
        </w:rPr>
        <w:t>The literature selection process was conducted in two phases by two independent reviewers and any discrepancy was resolved through consensus. During the first phase (Title and Abstract Screening), articles were selected based on their relevance to the study’s research questions. Titles and abstracts were screened to determine whether they addressed topics related to ambiguous genitalia in children, diagnostic approaches, surgical interventions, or psychosocial outcomes.</w:t>
      </w:r>
      <w:r w:rsidRPr="009206C2">
        <w:rPr>
          <w:rFonts w:ascii="Times New Roman" w:eastAsia="Times New Roman" w:hAnsi="Times New Roman" w:cs="Times New Roman"/>
          <w:sz w:val="24"/>
          <w:szCs w:val="24"/>
        </w:rPr>
        <w:br/>
        <w:t>In the second phase (Full Text Review), the full text of the selected articles was reviewed to ensure they met the eligibility criteria, with particular attention to studies providing detailed insights into diagnostic methods, surgical management, and psychosocial outcomes. Articles were excluded if they did not meet the focus of the review or lacked relevance to pediatric care.</w:t>
      </w:r>
    </w:p>
    <w:p w14:paraId="10C77062"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Eligibility Criteria: </w:t>
      </w:r>
      <w:r w:rsidRPr="009206C2">
        <w:rPr>
          <w:rFonts w:ascii="Times New Roman" w:eastAsia="Times New Roman" w:hAnsi="Times New Roman" w:cs="Times New Roman"/>
          <w:sz w:val="24"/>
          <w:szCs w:val="24"/>
        </w:rPr>
        <w:t>The included studies were peer-reviewed studies published between 2020 and the search date, articles that specifically focused on ambiguous genitalia or disorders of sex development (DSD) in children, studies that discussed diagnostic approaches, surgical management, or psychosocial outcomes in children with ambiguous genitalia, as well as case studies, observational studies, clinical reviews, and expert consensus guidelines. Studies that offered quantitative or qualitative data relevant to the diagnosis, management, or psychosocial implications of ambiguous genitalia were also included.</w:t>
      </w:r>
    </w:p>
    <w:p w14:paraId="4E2F288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However, studies were excluded if they focused exclusively on adult populations or neonates not diagnosed with ambiguous genitalia. Studies not published from 2020 to the search date or those lacking clear relevance to the scope of the study as well as studies with insufficient data on the clinical or psychosocial aspects of managing ambiguous genitalia were excluded. Articles that did not undergo peer-review or were from non-academic sources (e.g., personal blogs, news articles) were also excluded.</w:t>
      </w:r>
    </w:p>
    <w:p w14:paraId="0231D2F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The included studies: </w:t>
      </w:r>
      <w:r w:rsidRPr="009206C2">
        <w:rPr>
          <w:rFonts w:ascii="Times New Roman" w:eastAsia="Times New Roman" w:hAnsi="Times New Roman" w:cs="Times New Roman"/>
          <w:sz w:val="24"/>
          <w:szCs w:val="24"/>
        </w:rPr>
        <w:t xml:space="preserve">A total of 482 records were identified through database searches and reference lists. Of these, 93 records were sourced from PubMed, 357 from ScienceDirect, and 32 from reference lists. Appropriate database filters such as 2020 to the search date, free full text, English language, and humans and open access filters were applied. After applying these filters, 437 records were excluded leaving 45 records for title and abstract screening. After title and abstract screening, 16 records were removed of which four were duplicate records and 14 were removed based on exclusion criteria. Following further eligibility assessment of the remaining 29 </w:t>
      </w:r>
      <w:r w:rsidRPr="009206C2">
        <w:rPr>
          <w:rFonts w:ascii="Times New Roman" w:eastAsia="Times New Roman" w:hAnsi="Times New Roman" w:cs="Times New Roman"/>
          <w:sz w:val="24"/>
          <w:szCs w:val="24"/>
        </w:rPr>
        <w:lastRenderedPageBreak/>
        <w:t>articles were subjected to full text review, 24 studies were included in this review as shown in Figure 1.</w:t>
      </w:r>
    </w:p>
    <w:p w14:paraId="4C76984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noProof/>
          <w:sz w:val="24"/>
          <w:szCs w:val="24"/>
          <w:lang w:val="en-US" w:eastAsia="en-US"/>
        </w:rPr>
        <w:drawing>
          <wp:inline distT="114300" distB="114300" distL="114300" distR="114300" wp14:anchorId="1B56C05C" wp14:editId="6A1E4690">
            <wp:extent cx="5943600" cy="486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864100"/>
                    </a:xfrm>
                    <a:prstGeom prst="rect">
                      <a:avLst/>
                    </a:prstGeom>
                    <a:ln/>
                  </pic:spPr>
                </pic:pic>
              </a:graphicData>
            </a:graphic>
          </wp:inline>
        </w:drawing>
      </w:r>
    </w:p>
    <w:p w14:paraId="7CBDD4FB" w14:textId="77777777" w:rsidR="007E2F22" w:rsidRPr="009206C2" w:rsidRDefault="00522090">
      <w:pPr>
        <w:spacing w:before="240" w:after="240"/>
        <w:rPr>
          <w:rFonts w:ascii="Times New Roman" w:eastAsia="Times New Roman" w:hAnsi="Times New Roman" w:cs="Times New Roman"/>
          <w:sz w:val="24"/>
          <w:szCs w:val="24"/>
        </w:rPr>
      </w:pPr>
      <w:r w:rsidRPr="009206C2">
        <w:rPr>
          <w:rFonts w:ascii="Times New Roman" w:eastAsia="Times New Roman" w:hAnsi="Times New Roman" w:cs="Times New Roman"/>
          <w:b/>
          <w:bCs/>
          <w:i/>
          <w:iCs/>
          <w:sz w:val="24"/>
          <w:szCs w:val="24"/>
        </w:rPr>
        <w:t>Figure 1: Preferred Reporting Items for Systematic Reviews and Meta-Analysis (PRISMA) Flow Diagram (Page et al., 2021)</w:t>
      </w:r>
    </w:p>
    <w:p w14:paraId="19A0A090"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Data Synthesis:</w:t>
      </w:r>
      <w:r w:rsidRPr="009206C2">
        <w:rPr>
          <w:rFonts w:ascii="Times New Roman" w:eastAsia="Times New Roman" w:hAnsi="Times New Roman" w:cs="Times New Roman"/>
          <w:sz w:val="24"/>
          <w:szCs w:val="24"/>
        </w:rPr>
        <w:t xml:space="preserve"> A narrative synthesis approach was employed, where findings from different study designs were categorized into themes corresponding to the diagnostic, surgical, and psychosocial outcomes of ambiguous genitalia. Studies were analyzed for key patterns and insights, providing a comprehensive understanding of current practices and research gaps in the management of ambiguous genitalia in children.</w:t>
      </w:r>
    </w:p>
    <w:p w14:paraId="423C860F" w14:textId="77777777" w:rsidR="007E2F22" w:rsidRPr="009206C2" w:rsidRDefault="007E2F22">
      <w:pPr>
        <w:spacing w:before="240" w:after="240"/>
        <w:jc w:val="both"/>
        <w:rPr>
          <w:rFonts w:ascii="Times New Roman" w:eastAsia="Times New Roman" w:hAnsi="Times New Roman" w:cs="Times New Roman"/>
          <w:sz w:val="24"/>
          <w:szCs w:val="24"/>
        </w:rPr>
      </w:pPr>
    </w:p>
    <w:p w14:paraId="26EFCDCF" w14:textId="77777777" w:rsidR="007E2F22" w:rsidRPr="009206C2" w:rsidRDefault="007E2F22">
      <w:pPr>
        <w:spacing w:before="240" w:after="240"/>
        <w:jc w:val="both"/>
        <w:rPr>
          <w:rFonts w:ascii="Times New Roman" w:eastAsia="Times New Roman" w:hAnsi="Times New Roman" w:cs="Times New Roman"/>
          <w:sz w:val="24"/>
          <w:szCs w:val="24"/>
        </w:rPr>
      </w:pPr>
    </w:p>
    <w:p w14:paraId="58B7484D" w14:textId="77777777" w:rsidR="007E2F22" w:rsidRPr="009206C2" w:rsidRDefault="007E2F22">
      <w:pPr>
        <w:jc w:val="both"/>
        <w:rPr>
          <w:rFonts w:ascii="Times New Roman" w:eastAsia="Times New Roman" w:hAnsi="Times New Roman" w:cs="Times New Roman"/>
          <w:sz w:val="24"/>
          <w:szCs w:val="24"/>
        </w:rPr>
      </w:pPr>
    </w:p>
    <w:p w14:paraId="0A5DA477" w14:textId="77777777" w:rsidR="007E2F22" w:rsidRPr="009206C2" w:rsidRDefault="00522090">
      <w:pPr>
        <w:pStyle w:val="Heading1"/>
        <w:keepNext w:val="0"/>
        <w:keepLines w:val="0"/>
        <w:numPr>
          <w:ilvl w:val="0"/>
          <w:numId w:val="2"/>
        </w:numPr>
        <w:spacing w:after="80"/>
        <w:rPr>
          <w:rFonts w:ascii="Times New Roman" w:eastAsia="Times New Roman" w:hAnsi="Times New Roman" w:cs="Times New Roman"/>
          <w:b/>
          <w:bCs/>
          <w:sz w:val="32"/>
          <w:szCs w:val="32"/>
        </w:rPr>
      </w:pPr>
      <w:bookmarkStart w:id="5" w:name="_heading=h.drk2a9hifa92" w:colFirst="0" w:colLast="0"/>
      <w:bookmarkEnd w:id="5"/>
      <w:r w:rsidRPr="009206C2">
        <w:rPr>
          <w:rFonts w:ascii="Times New Roman" w:eastAsia="Times New Roman" w:hAnsi="Times New Roman" w:cs="Times New Roman"/>
          <w:b/>
          <w:bCs/>
          <w:sz w:val="32"/>
          <w:szCs w:val="32"/>
        </w:rPr>
        <w:lastRenderedPageBreak/>
        <w:t>Diagnostic Approaches to Ambiguous Genitalia in Children</w:t>
      </w:r>
    </w:p>
    <w:p w14:paraId="457B31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Accurate and timely diagnosis of ambiguous genitalia in children is foundational to effective clinical management, guiding decisions about sex assignment, potential life‑threatening conditions (e.g., congenital adrenal hyperplasia), and long‑term care planning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Contemporary diagnostic approaches integrate comprehensive clinical evaluation, endocrine and biochemical testing, imaging studies, cytogenetic analysis, and genetic testing, forming a stepwise framework that leverages multidisciplinary expertise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et al., 2024; Al‑Sahar et al., 2024).</w:t>
      </w:r>
    </w:p>
    <w:p w14:paraId="222DF93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diagnostic workup typically begins with a thorough physical examination conducted by an experienced pediatric clinician to document genital morphology, assess virilization (e.g., Prader/Quigley scoring), and identify associated anomalies. Detailed measurements of genital structures and evaluation of palpable gonads provide essential early phenotypic data, which narrows differential diagnoses and prioritizes further testing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Biochemical evaluation includes measurement of electrolytes and 17‑hydroxyprogesterone levels to rapidly exclude or confirm congenital adrenal hyperplasia, especially 21‑hydroxylase deficiency, given its potential for critical salt‑wasting crises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Early hormonal profiling also incorporates anti‑Müllerian hormone (AMH), luteinizing hormone (LH), follicle‑stimulating hormone (FSH), and testosterone/dihydrotestosterone ratios in conjunction with age‑appropriate reference ranges to differentiate biosynthetic and receptor‑mediated disorders (Jindal et al., 2024).</w:t>
      </w:r>
    </w:p>
    <w:p w14:paraId="58BE895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Cytogenetic analysis through karyotyping establishes chromosomal sex and informs subsequent diagnostic direction, distinguishing sex chromosome DSD (e.g., mosaicism) from 46,XY or 46,XX DSD categories (Al‑Sahar et al., 2024; Ishii et al., 2025). Imaging modalities play a crucial role in anatomical phenotyping; transabdominal and pelvic ultrasound as first‑line tools identify internal structures such as Müllerian derivatives, while magnetic resonance imaging (MRI) offers superior soft‑tissue resolution—critical when ultrasound findings are equivocal or deeper structures (e.g., gonads, uterus) require clarification (Kumar et al., 2024).</w:t>
      </w:r>
    </w:p>
    <w:p w14:paraId="20A8EBE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advent of molecular techniques has transformed DSD diagnostics, enabling targeted gene panels, next‑generation sequencing (NGS), whole‑exome (WES) and whole‑genome sequencing (WGS) to detect known and novel pathogenic variants that underlie specific DSD forms. These genetic tools complement traditional approaches and are particularly valuable when clinical and biochemical data are inconclusive, improving diagnostic yield and informing prognosis and familial counseling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et al., 2024; Priyadarshini et al., 2024). Recent reviews emphasize that while genetic testing may not be universally accessible, it increasingly serves as a definitive diagnostic layer and should be coordinated with phenotype‑driven assessment to optimize interpretation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et al., 2024).</w:t>
      </w:r>
    </w:p>
    <w:p w14:paraId="0B6F20C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Practical diagnostic algorithms commonly used in tertiary centers prioritize hierarchical evaluation—beginning with clinical and hormonal assessment, followed by chromosomal analysis, imaging, and advanced molecular genetics as indicated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Multidisciplinary collaboration is imperative throughout the process, ensuring integration of pediatric endocrinology, clinical genetics, radiology, and urology inputs. This approach enhances diagnostic accuracy, shortens time to etiology determination, and strengthens care planning for ambiguous genitalia and related DSDs in children.</w:t>
      </w:r>
    </w:p>
    <w:p w14:paraId="4149A260" w14:textId="77777777" w:rsidR="007E2F22" w:rsidRPr="009206C2" w:rsidRDefault="00522090">
      <w:pPr>
        <w:spacing w:before="240" w:after="240"/>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1: Summary of Diagnostic Tools for Ambiguous Genitalia</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2493"/>
        <w:gridCol w:w="1577"/>
        <w:gridCol w:w="1385"/>
        <w:gridCol w:w="1535"/>
      </w:tblGrid>
      <w:tr w:rsidR="007E2F22" w:rsidRPr="009206C2" w14:paraId="10137364" w14:textId="77777777">
        <w:trPr>
          <w:trHeight w:val="50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7112B"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Diagnostic Tool</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A85B8"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Purpose/Use</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38E1A7"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Application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5763E"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Advantages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619AB"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Limitations</w:t>
            </w:r>
          </w:p>
        </w:tc>
      </w:tr>
      <w:tr w:rsidR="007E2F22" w:rsidRPr="009206C2" w14:paraId="01DDA56F"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3E74A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Clinical Examination</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D324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Initial assessment of genital morphology and physical characteristics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DEBC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First-line evaluation for sex assignment and virilization scoring (Prader, Quigley)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B67B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Provides immediate phenotypic data on external genitalia</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7C92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May not differentiate between genetic or hormonal causes; depends on clinician experience</w:t>
            </w:r>
          </w:p>
        </w:tc>
      </w:tr>
      <w:tr w:rsidR="007E2F22" w:rsidRPr="009206C2" w14:paraId="14DCCF61" w14:textId="77777777">
        <w:trPr>
          <w:trHeight w:val="320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0496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Biochemical/Hormonal Tests</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C23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Measures of key hormones (17‑hydroxyprogesterone, testosterone, AMH)</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1D90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identify disorders such as congenital adrenal hyperplasia (CAH) or androgen insensitivity syndrome (AIS)</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510CE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Rapid results, effective for identifying certain conditions (e.g., CAH)</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899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Hormonal levels can fluctuate; requires age-specific reference ranges</w:t>
            </w:r>
          </w:p>
        </w:tc>
      </w:tr>
      <w:tr w:rsidR="007E2F22" w:rsidRPr="009206C2" w14:paraId="7ABA3B1D" w14:textId="77777777">
        <w:trPr>
          <w:trHeight w:val="212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C78E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Cytogenetic Testing (Karyotyping)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8213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Identification of chromosomal sex and structural chromosomal anomalies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03F3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detect sex chromosome DSDs and mosaicism (e.g., 45,X/46,XY)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4CAF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Essential for definitive diagnosis of sex chromosome DSDs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C086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Requires specialized laboratory resources; not always conclusive in mosaic cases</w:t>
            </w:r>
          </w:p>
        </w:tc>
      </w:tr>
      <w:tr w:rsidR="007E2F22" w:rsidRPr="009206C2" w14:paraId="14C593D2"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ACB7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Genetic Testing (NGS, WES, WGS)</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D28F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Identification of genetic mutations in DSD-related genes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877A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Comprehensive tool for identifying known and novel pathogenic mutations (e.g., SRY, AR, SRD5A2)</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3DE5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High diagnostic yield, can detect previously unknown conditions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C4CBA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Expensive, may not be accessible in all settings, requires interpretation of variants of uncertain significance</w:t>
            </w:r>
          </w:p>
        </w:tc>
      </w:tr>
      <w:tr w:rsidR="007E2F22" w:rsidRPr="009206C2" w14:paraId="3DEA7420"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C4A41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Ultrasound Imaging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73D0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Visualizes internal structures (gonads, uterus, Mullerian derivatives)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4C099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identify the presence of internal genitalia (e.g., testes, ovaries) and assess gonadal location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8782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Non-invasive, widely accessible, quick</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C5BCD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Limited in detail for deep structures, dependent on operator skill</w:t>
            </w:r>
          </w:p>
        </w:tc>
      </w:tr>
      <w:tr w:rsidR="007E2F22" w:rsidRPr="009206C2" w14:paraId="63294581" w14:textId="77777777">
        <w:trPr>
          <w:trHeight w:val="212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5B86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MRI (Magnetic Resonance Imaging)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2F496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Detailed visualization of soft tissues, gonads, and reproductive organs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1F473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when ultrasound findings are inconclusive or deeper structures need evaluation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FCB4B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Provides high-resolution images, non-invasive</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CD9B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Expensive, less accessible in some settings</w:t>
            </w:r>
          </w:p>
        </w:tc>
      </w:tr>
      <w:tr w:rsidR="007E2F22" w:rsidRPr="009206C2" w14:paraId="7945F5D3"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C41A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Pelvic Examination</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F6AB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Direct internal examination to assess internal reproductive structures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D365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For evaluation of vaginal length, Müllerian duct remnants, and gonadal position in ambiguous genitalia</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B3F6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Offers direct visualization; can be combined with other exams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1B9C3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Invasive, uncomfortable, typically performed under anesthesia in infants</w:t>
            </w:r>
          </w:p>
        </w:tc>
      </w:tr>
      <w:tr w:rsidR="007E2F22" w:rsidRPr="009206C2" w14:paraId="4CCF58D5" w14:textId="77777777">
        <w:trPr>
          <w:trHeight w:val="239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90D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Endocrine Testing (AMH, LH, FSH, DHT)</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6802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Assesses gonadal function and androgen receptor activity</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FE49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for distinguishing between androgen insensitivity syndrome (AIS) and other forms of DSD</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0343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Helps identify receptor defects, crucial for AIS diagnosis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FFBE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Requires specific hormonal profiles, may vary by age and gender</w:t>
            </w:r>
          </w:p>
        </w:tc>
      </w:tr>
    </w:tbl>
    <w:p w14:paraId="498FB8A6" w14:textId="77777777" w:rsidR="007E2F22" w:rsidRPr="009206C2" w:rsidRDefault="007E2F22">
      <w:pPr>
        <w:jc w:val="both"/>
        <w:rPr>
          <w:rFonts w:ascii="Times New Roman" w:eastAsia="Times New Roman" w:hAnsi="Times New Roman" w:cs="Times New Roman"/>
          <w:sz w:val="24"/>
          <w:szCs w:val="24"/>
        </w:rPr>
      </w:pPr>
    </w:p>
    <w:p w14:paraId="29AB86E8"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6" w:name="_heading=h.xdx7goc05u5g" w:colFirst="0" w:colLast="0"/>
      <w:bookmarkEnd w:id="6"/>
      <w:r w:rsidRPr="009206C2">
        <w:rPr>
          <w:rFonts w:ascii="Times New Roman" w:eastAsia="Times New Roman" w:hAnsi="Times New Roman" w:cs="Times New Roman"/>
          <w:b/>
          <w:bCs/>
          <w:sz w:val="32"/>
          <w:szCs w:val="32"/>
        </w:rPr>
        <w:t>4. Surgical Management of Ambiguous Genitalia in Children</w:t>
      </w:r>
    </w:p>
    <w:p w14:paraId="34633A8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Surgical management in children with ambiguous genitalia is a critical component of multidisciplinary clinical care designed to restore functional anatomy, optimize future urinary and </w:t>
      </w:r>
      <w:r w:rsidRPr="009206C2">
        <w:rPr>
          <w:rFonts w:ascii="Times New Roman" w:eastAsia="Times New Roman" w:hAnsi="Times New Roman" w:cs="Times New Roman"/>
          <w:sz w:val="24"/>
          <w:szCs w:val="24"/>
        </w:rPr>
        <w:lastRenderedPageBreak/>
        <w:t>sexual function, and support psychosocial development within the context of individual circumstances and family preferences. Contemporary surgical strategies integrate evolving ethical standards, evidence on outcomes, and multidisciplinary consensus on indications and timing of procedures (Vicario et al., 2025).</w:t>
      </w:r>
    </w:p>
    <w:p w14:paraId="5DC8915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Reconstructive surgery for children with ambiguous genitalia varies widely according to underlying diagnoses, severity, and sex assignment decisions. In 46</w:t>
      </w:r>
      <w:proofErr w:type="gramStart"/>
      <w:r w:rsidRPr="009206C2">
        <w:rPr>
          <w:rFonts w:ascii="Times New Roman" w:eastAsia="Times New Roman" w:hAnsi="Times New Roman" w:cs="Times New Roman"/>
          <w:sz w:val="24"/>
          <w:szCs w:val="24"/>
        </w:rPr>
        <w:t>,XY</w:t>
      </w:r>
      <w:proofErr w:type="gramEnd"/>
      <w:r w:rsidRPr="009206C2">
        <w:rPr>
          <w:rFonts w:ascii="Times New Roman" w:eastAsia="Times New Roman" w:hAnsi="Times New Roman" w:cs="Times New Roman"/>
          <w:sz w:val="24"/>
          <w:szCs w:val="24"/>
        </w:rPr>
        <w:t xml:space="preserve"> DSD such as complete or partial androgen insensitivity and gonadal dysgenesis, surgical efforts may include penile reconstruction, hypospadias repair, urethroplasty, and gonadectomy when indicated for tumor risk management or functional concerns (Das et al., 2026; Peng et al., 2024). Similarly, for children with congenital adrenal hyperplasia (CAH) and severe </w:t>
      </w:r>
      <w:proofErr w:type="spellStart"/>
      <w:r w:rsidRPr="009206C2">
        <w:rPr>
          <w:rFonts w:ascii="Times New Roman" w:eastAsia="Times New Roman" w:hAnsi="Times New Roman" w:cs="Times New Roman"/>
          <w:sz w:val="24"/>
          <w:szCs w:val="24"/>
        </w:rPr>
        <w:t>virilization</w:t>
      </w:r>
      <w:proofErr w:type="spellEnd"/>
      <w:r w:rsidRPr="009206C2">
        <w:rPr>
          <w:rFonts w:ascii="Times New Roman" w:eastAsia="Times New Roman" w:hAnsi="Times New Roman" w:cs="Times New Roman"/>
          <w:sz w:val="24"/>
          <w:szCs w:val="24"/>
        </w:rPr>
        <w:t xml:space="preserve">, feminizing </w:t>
      </w:r>
      <w:proofErr w:type="spellStart"/>
      <w:r w:rsidRPr="009206C2">
        <w:rPr>
          <w:rFonts w:ascii="Times New Roman" w:eastAsia="Times New Roman" w:hAnsi="Times New Roman" w:cs="Times New Roman"/>
          <w:sz w:val="24"/>
          <w:szCs w:val="24"/>
        </w:rPr>
        <w:t>genitoplasty</w:t>
      </w:r>
      <w:proofErr w:type="spellEnd"/>
      <w:r w:rsidRPr="009206C2">
        <w:rPr>
          <w:rFonts w:ascii="Times New Roman" w:eastAsia="Times New Roman" w:hAnsi="Times New Roman" w:cs="Times New Roman"/>
          <w:sz w:val="24"/>
          <w:szCs w:val="24"/>
        </w:rPr>
        <w:t xml:space="preserve">—including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vaginoplasty</w:t>
      </w:r>
      <w:proofErr w:type="spellEnd"/>
      <w:r w:rsidRPr="009206C2">
        <w:rPr>
          <w:rFonts w:ascii="Times New Roman" w:eastAsia="Times New Roman" w:hAnsi="Times New Roman" w:cs="Times New Roman"/>
          <w:sz w:val="24"/>
          <w:szCs w:val="24"/>
        </w:rPr>
        <w:t>, and labioplasty—is among the most frequently reported reconstructive procedures (Jun et al., 2021).</w:t>
      </w:r>
    </w:p>
    <w:p w14:paraId="727BFFE8" w14:textId="77777777" w:rsidR="007E2F22" w:rsidRPr="009206C2" w:rsidRDefault="007E2F22">
      <w:pPr>
        <w:jc w:val="both"/>
        <w:rPr>
          <w:rFonts w:ascii="Times New Roman" w:eastAsia="Times New Roman" w:hAnsi="Times New Roman" w:cs="Times New Roman"/>
          <w:sz w:val="24"/>
          <w:szCs w:val="24"/>
        </w:rPr>
      </w:pPr>
    </w:p>
    <w:p w14:paraId="1A15508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pediatric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xml:space="preserve"> experience reported in pediatric surgical literature demonstrates that early reconstructive surgery, performed in infancy or early childhood, can yield acceptable mid‑term anatomical results with low perioperative complications when techniques preserve neurovascular integrity (Jun et al., 2021). Despite this, surgical timing and techniques remain subjects of ongoing debate, with evidence supporting individualized decision‑making and shared consent processes involving families and multidisciplinary teams (Bennecke et al., 2021).</w:t>
      </w:r>
    </w:p>
    <w:p w14:paraId="3EC0395E" w14:textId="77777777" w:rsidR="007E2F22" w:rsidRPr="009206C2" w:rsidRDefault="007E2F22">
      <w:pPr>
        <w:jc w:val="both"/>
        <w:rPr>
          <w:rFonts w:ascii="Times New Roman" w:eastAsia="Times New Roman" w:hAnsi="Times New Roman" w:cs="Times New Roman"/>
          <w:sz w:val="24"/>
          <w:szCs w:val="24"/>
        </w:rPr>
      </w:pPr>
    </w:p>
    <w:p w14:paraId="6F65A68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 cases of chromosomal mosaicism such as 45</w:t>
      </w:r>
      <w:proofErr w:type="gramStart"/>
      <w:r w:rsidRPr="009206C2">
        <w:rPr>
          <w:rFonts w:ascii="Times New Roman" w:eastAsia="Times New Roman" w:hAnsi="Times New Roman" w:cs="Times New Roman"/>
          <w:sz w:val="24"/>
          <w:szCs w:val="24"/>
        </w:rPr>
        <w:t>,X</w:t>
      </w:r>
      <w:proofErr w:type="gramEnd"/>
      <w:r w:rsidRPr="009206C2">
        <w:rPr>
          <w:rFonts w:ascii="Times New Roman" w:eastAsia="Times New Roman" w:hAnsi="Times New Roman" w:cs="Times New Roman"/>
          <w:sz w:val="24"/>
          <w:szCs w:val="24"/>
        </w:rPr>
        <w:t>/46,XY DSD, surgical approaches often include gonadal biopsy, laparoscopic exploration, and reconstructive genital surgery tailored to phenotypic presentation and chosen gender of rearing (Peng et al., 2024). In this cohort, hypospadias combined with cryptorchidism and Müllerian duct remnants were common surgical considerations, demonstrating that reconstructive pathways must balance anatomical correction with careful evaluation of gonadal status and future fertility potential.</w:t>
      </w:r>
    </w:p>
    <w:p w14:paraId="29B3ACDE" w14:textId="77777777" w:rsidR="007E2F22" w:rsidRPr="009206C2" w:rsidRDefault="007E2F22">
      <w:pPr>
        <w:jc w:val="both"/>
        <w:rPr>
          <w:rFonts w:ascii="Times New Roman" w:eastAsia="Times New Roman" w:hAnsi="Times New Roman" w:cs="Times New Roman"/>
          <w:sz w:val="24"/>
          <w:szCs w:val="24"/>
        </w:rPr>
      </w:pPr>
    </w:p>
    <w:p w14:paraId="6CFB904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Importantly, surgical principles in DSD emphasize preservation of function (e.g., urinary continence, potential sexual function) and minimization of surgical morbidity while avoiding procedures that may later prove discordant with gender identity or sexual preferences. This emphasis reflects broader shifts in surgical ethics and consensus guidelines, advocating case‑by‑case evaluation rather than blanket early surgical intervention (Bennecke et al., 2021).</w:t>
      </w:r>
    </w:p>
    <w:p w14:paraId="09DB90AD" w14:textId="77777777" w:rsidR="007E2F22" w:rsidRPr="009206C2" w:rsidRDefault="007E2F22">
      <w:pPr>
        <w:jc w:val="both"/>
        <w:rPr>
          <w:rFonts w:ascii="Times New Roman" w:eastAsia="Times New Roman" w:hAnsi="Times New Roman" w:cs="Times New Roman"/>
          <w:sz w:val="24"/>
          <w:szCs w:val="24"/>
        </w:rPr>
      </w:pPr>
    </w:p>
    <w:p w14:paraId="4749E10A"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Long‑term outcome studies further underscore that multidisciplinary care—including preoperative endocrinology, genetic counselling, surgical planning, and psychosocial support—is essential to optimize physical outcomes and psychosocial well‑being. Patients and families should be engaged in shared decision‑making, with clear understanding of potential benefits and limitations of surgery, including long‑term follow‑up needs (Vicario et al., 2025).</w:t>
      </w:r>
    </w:p>
    <w:p w14:paraId="784B0C34" w14:textId="77777777" w:rsidR="007E2F22" w:rsidRPr="009206C2" w:rsidRDefault="007E2F22">
      <w:pPr>
        <w:jc w:val="both"/>
        <w:rPr>
          <w:rFonts w:ascii="Times New Roman" w:eastAsia="Times New Roman" w:hAnsi="Times New Roman" w:cs="Times New Roman"/>
          <w:sz w:val="24"/>
          <w:szCs w:val="24"/>
        </w:rPr>
      </w:pPr>
    </w:p>
    <w:p w14:paraId="7220235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 xml:space="preserve">In summary, surgical management of ambiguous genitalia in children is highly individualized and should integrate diagnostic clarity, functional and psychosocial goals, and ethical principles, supported by evidence from recent clinical outcome studies on hypospadias repair,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and reconstructive surgeries tailored to specific DSD conditions.</w:t>
      </w:r>
    </w:p>
    <w:p w14:paraId="55F8DBEE" w14:textId="77777777" w:rsidR="007E2F22" w:rsidRPr="009206C2" w:rsidRDefault="007E2F22">
      <w:pPr>
        <w:jc w:val="both"/>
        <w:rPr>
          <w:rFonts w:ascii="Times New Roman" w:eastAsia="Times New Roman" w:hAnsi="Times New Roman" w:cs="Times New Roman"/>
          <w:sz w:val="24"/>
          <w:szCs w:val="24"/>
        </w:rPr>
      </w:pPr>
    </w:p>
    <w:p w14:paraId="471A2821" w14:textId="77777777" w:rsidR="007E2F22" w:rsidRPr="009206C2" w:rsidRDefault="00522090">
      <w:pPr>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2: Comparison of Surgical Techniques for Ambiguous Genitalia</w:t>
      </w:r>
    </w:p>
    <w:p w14:paraId="51825EB1" w14:textId="77777777" w:rsidR="007E2F22" w:rsidRPr="009206C2" w:rsidRDefault="007E2F22">
      <w:pPr>
        <w:jc w:val="both"/>
        <w:rPr>
          <w:rFonts w:ascii="Times New Roman" w:eastAsia="Times New Roman" w:hAnsi="Times New Roman" w:cs="Times New Roman"/>
          <w:sz w:val="24"/>
          <w:szCs w:val="24"/>
        </w:rPr>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0"/>
        <w:gridCol w:w="1982"/>
        <w:gridCol w:w="1462"/>
        <w:gridCol w:w="2155"/>
        <w:gridCol w:w="2011"/>
      </w:tblGrid>
      <w:tr w:rsidR="007E2F22" w:rsidRPr="009206C2" w14:paraId="398E4E58" w14:textId="77777777">
        <w:trPr>
          <w:trHeight w:val="77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78AF0"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Surgical Procedure</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9DC79"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Indications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BEC25"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Typical Age Range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0F0748"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Expected Outcomes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725B4"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Known Complications</w:t>
            </w:r>
          </w:p>
        </w:tc>
      </w:tr>
      <w:tr w:rsidR="007E2F22" w:rsidRPr="009206C2" w14:paraId="40BFF6DC"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06BA6" w14:textId="77777777" w:rsidR="007E2F22" w:rsidRPr="009206C2" w:rsidRDefault="00522090">
            <w:pPr>
              <w:jc w:val="both"/>
              <w:rPr>
                <w:rFonts w:ascii="Times New Roman" w:eastAsia="Times New Roman" w:hAnsi="Times New Roman" w:cs="Times New Roman"/>
                <w:sz w:val="24"/>
                <w:szCs w:val="24"/>
              </w:rPr>
            </w:pPr>
            <w:proofErr w:type="spellStart"/>
            <w:r w:rsidRPr="009206C2">
              <w:rPr>
                <w:rFonts w:ascii="Times New Roman" w:eastAsia="Times New Roman" w:hAnsi="Times New Roman" w:cs="Times New Roman"/>
                <w:b/>
                <w:bCs/>
                <w:sz w:val="24"/>
                <w:szCs w:val="24"/>
              </w:rPr>
              <w:t>Clitoroplasty</w:t>
            </w:r>
            <w:proofErr w:type="spellEnd"/>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E857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Severe clitoral hypertrophy in females (e.g., CAH)</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1F42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F52A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Restores normal clitoral anatomy and function</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3BBF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Nerve injury, scarring, unsatisfactory cosmetic results</w:t>
            </w:r>
          </w:p>
        </w:tc>
      </w:tr>
      <w:tr w:rsidR="007E2F22" w:rsidRPr="009206C2" w14:paraId="2635C966"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E2BD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Feminizing </w:t>
            </w:r>
            <w:proofErr w:type="spellStart"/>
            <w:r w:rsidRPr="009206C2">
              <w:rPr>
                <w:rFonts w:ascii="Times New Roman" w:eastAsia="Times New Roman" w:hAnsi="Times New Roman" w:cs="Times New Roman"/>
                <w:b/>
                <w:bCs/>
                <w:sz w:val="24"/>
                <w:szCs w:val="24"/>
              </w:rPr>
              <w:t>Genitoplasty</w:t>
            </w:r>
            <w:proofErr w:type="spellEnd"/>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5A43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46,XX DSD (CAH) with virilization</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A81AA"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DD37D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Creation of female‑appearing genitalia, functional vaginal canal</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502B5"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Cosmetic outcomes, sexual dysfunction, scarring</w:t>
            </w:r>
          </w:p>
        </w:tc>
      </w:tr>
      <w:tr w:rsidR="007E2F22" w:rsidRPr="009206C2" w14:paraId="5F913EDA" w14:textId="77777777">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C1A41"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Hypospadias Repair</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8256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46,XY DSD (androgen insensitivity, gonadal dysgenesis) with hypospadias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FA892"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2E62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Normal penile function and appearance</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4E6A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Urethral fistula, stenosis, complications in sexual function</w:t>
            </w:r>
          </w:p>
        </w:tc>
      </w:tr>
      <w:tr w:rsidR="007E2F22" w:rsidRPr="009206C2" w14:paraId="64CD10DB" w14:textId="77777777">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25152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Gonadectomy (Testes Removal)</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9387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High risk of gonadal malignancy (e.g., </w:t>
            </w:r>
            <w:proofErr w:type="spellStart"/>
            <w:r w:rsidRPr="009206C2">
              <w:rPr>
                <w:rFonts w:ascii="Times New Roman" w:eastAsia="Times New Roman" w:hAnsi="Times New Roman" w:cs="Times New Roman"/>
                <w:sz w:val="24"/>
                <w:szCs w:val="24"/>
              </w:rPr>
              <w:t>dysgenetic</w:t>
            </w:r>
            <w:proofErr w:type="spellEnd"/>
            <w:r w:rsidRPr="009206C2">
              <w:rPr>
                <w:rFonts w:ascii="Times New Roman" w:eastAsia="Times New Roman" w:hAnsi="Times New Roman" w:cs="Times New Roman"/>
                <w:sz w:val="24"/>
                <w:szCs w:val="24"/>
              </w:rPr>
              <w:t xml:space="preserve"> gonads,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8B32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Typically before puberty</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EC62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Prevents tumor risk, removes nonfunctional gonads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482D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Hormonal imbalances, infertility, psychological impact</w:t>
            </w:r>
          </w:p>
        </w:tc>
      </w:tr>
      <w:tr w:rsidR="007E2F22" w:rsidRPr="009206C2" w14:paraId="4F39A8CA" w14:textId="77777777">
        <w:trPr>
          <w:trHeight w:val="158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C80B8" w14:textId="77777777" w:rsidR="007E2F22" w:rsidRPr="009206C2" w:rsidRDefault="00522090">
            <w:pPr>
              <w:jc w:val="both"/>
              <w:rPr>
                <w:rFonts w:ascii="Times New Roman" w:eastAsia="Times New Roman" w:hAnsi="Times New Roman" w:cs="Times New Roman"/>
                <w:sz w:val="24"/>
                <w:szCs w:val="24"/>
              </w:rPr>
            </w:pPr>
            <w:proofErr w:type="spellStart"/>
            <w:r w:rsidRPr="009206C2">
              <w:rPr>
                <w:rFonts w:ascii="Times New Roman" w:eastAsia="Times New Roman" w:hAnsi="Times New Roman" w:cs="Times New Roman"/>
                <w:b/>
                <w:bCs/>
                <w:sz w:val="24"/>
                <w:szCs w:val="24"/>
              </w:rPr>
              <w:t>Genitoplasty</w:t>
            </w:r>
            <w:proofErr w:type="spellEnd"/>
            <w:r w:rsidRPr="009206C2">
              <w:rPr>
                <w:rFonts w:ascii="Times New Roman" w:eastAsia="Times New Roman" w:hAnsi="Times New Roman" w:cs="Times New Roman"/>
                <w:b/>
                <w:bCs/>
                <w:sz w:val="24"/>
                <w:szCs w:val="24"/>
              </w:rPr>
              <w:t xml:space="preserve"> for 46,XY DSD</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B2E08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in 46,XY DSD (e.g., mixed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5D1C3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0F92F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Functional or aesthetic reconstruction of male or female genitalia</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6D22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Complications similar to hypospadias repair</w:t>
            </w:r>
          </w:p>
        </w:tc>
      </w:tr>
      <w:tr w:rsidR="007E2F22" w:rsidRPr="009206C2" w14:paraId="62F58C28" w14:textId="77777777">
        <w:trPr>
          <w:trHeight w:val="212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0D402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Vaginoplasty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3C7C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Feminization in cases of 46,XY DSD with vaginal agenesis or insufficient vaginal development</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3F76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Early to </w:t>
            </w:r>
            <w:proofErr w:type="spellStart"/>
            <w:r w:rsidRPr="009206C2">
              <w:rPr>
                <w:rFonts w:ascii="Times New Roman" w:eastAsia="Times New Roman" w:hAnsi="Times New Roman" w:cs="Times New Roman"/>
                <w:sz w:val="24"/>
                <w:szCs w:val="24"/>
              </w:rPr>
              <w:t>mid childhood</w:t>
            </w:r>
            <w:proofErr w:type="spellEnd"/>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8248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Creation of a functional vagina for future sexual activity</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D63A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Vaginal stenosis, issues with sexual function, wound dehiscence</w:t>
            </w:r>
          </w:p>
        </w:tc>
      </w:tr>
      <w:tr w:rsidR="007E2F22" w:rsidRPr="009206C2" w14:paraId="2FD26C68"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ED03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Urethroplasty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7C21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Urethral defects (e.g., hypospadias, posterior urethral valves)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D2DC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Early childhood to adolescence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2906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Reconstruction of functional urethra, enabling normal urination</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9FAA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Incontinence, stenosis, fistula formation</w:t>
            </w:r>
          </w:p>
        </w:tc>
      </w:tr>
      <w:tr w:rsidR="007E2F22" w:rsidRPr="009206C2" w14:paraId="61FB5626" w14:textId="77777777">
        <w:trPr>
          <w:trHeight w:val="239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5960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Laparoscopic Gonadal Exploration</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A9E9A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Gonads not palpable, suspected undescended testes, suspected gonadal dysgenesis or malignancy</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768F34"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adolescence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60935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Diagnosis and potential removal of </w:t>
            </w:r>
            <w:proofErr w:type="spellStart"/>
            <w:r w:rsidRPr="009206C2">
              <w:rPr>
                <w:rFonts w:ascii="Times New Roman" w:eastAsia="Times New Roman" w:hAnsi="Times New Roman" w:cs="Times New Roman"/>
                <w:sz w:val="24"/>
                <w:szCs w:val="24"/>
              </w:rPr>
              <w:t>dysgenetic</w:t>
            </w:r>
            <w:proofErr w:type="spellEnd"/>
            <w:r w:rsidRPr="009206C2">
              <w:rPr>
                <w:rFonts w:ascii="Times New Roman" w:eastAsia="Times New Roman" w:hAnsi="Times New Roman" w:cs="Times New Roman"/>
                <w:sz w:val="24"/>
                <w:szCs w:val="24"/>
              </w:rPr>
              <w:t xml:space="preserve"> gonads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01A3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Surgical complications such as bleeding or injury to surrounding organs</w:t>
            </w:r>
          </w:p>
        </w:tc>
      </w:tr>
    </w:tbl>
    <w:p w14:paraId="0224CE4B" w14:textId="77777777" w:rsidR="007E2F22" w:rsidRPr="009206C2" w:rsidRDefault="007E2F22">
      <w:pPr>
        <w:jc w:val="both"/>
        <w:rPr>
          <w:rFonts w:ascii="Times New Roman" w:eastAsia="Times New Roman" w:hAnsi="Times New Roman" w:cs="Times New Roman"/>
          <w:sz w:val="24"/>
          <w:szCs w:val="24"/>
        </w:rPr>
      </w:pPr>
    </w:p>
    <w:p w14:paraId="590AC898" w14:textId="77777777" w:rsidR="007E2F22" w:rsidRPr="009206C2" w:rsidRDefault="007E2F22">
      <w:pPr>
        <w:jc w:val="both"/>
        <w:rPr>
          <w:rFonts w:ascii="Times New Roman" w:eastAsia="Times New Roman" w:hAnsi="Times New Roman" w:cs="Times New Roman"/>
          <w:sz w:val="24"/>
          <w:szCs w:val="24"/>
        </w:rPr>
      </w:pPr>
    </w:p>
    <w:p w14:paraId="0DBE55A7"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7" w:name="_heading=h.7aviet1416dt" w:colFirst="0" w:colLast="0"/>
      <w:bookmarkEnd w:id="7"/>
      <w:r w:rsidRPr="009206C2">
        <w:rPr>
          <w:rFonts w:ascii="Times New Roman" w:eastAsia="Times New Roman" w:hAnsi="Times New Roman" w:cs="Times New Roman"/>
          <w:b/>
          <w:bCs/>
          <w:sz w:val="32"/>
          <w:szCs w:val="32"/>
        </w:rPr>
        <w:t>5</w:t>
      </w:r>
      <w:commentRangeStart w:id="8"/>
      <w:r w:rsidRPr="009206C2">
        <w:rPr>
          <w:rFonts w:ascii="Times New Roman" w:eastAsia="Times New Roman" w:hAnsi="Times New Roman" w:cs="Times New Roman"/>
          <w:b/>
          <w:bCs/>
          <w:sz w:val="32"/>
          <w:szCs w:val="32"/>
        </w:rPr>
        <w:t>. Psychosocial Outcomes and Challenges</w:t>
      </w:r>
      <w:commentRangeEnd w:id="8"/>
      <w:r w:rsidR="00852600">
        <w:rPr>
          <w:rStyle w:val="CommentReference"/>
        </w:rPr>
        <w:commentReference w:id="8"/>
      </w:r>
    </w:p>
    <w:p w14:paraId="59E8976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experience of ambiguous genitalia and related DSD conditions extends well beyond the biological and surgical domains into profound psychosocial and emotional terrain that affects both children and their families. Children born with ambiguous genitalia often contend with issues of identity formation, body image, social stigma, and mental well‑being as they progress through development and social environments (Gramc et al., 2024). The uncertainty surrounding bodily characteristics and gender identity may contribute to psychological stress, particularly in social </w:t>
      </w:r>
      <w:bookmarkStart w:id="9" w:name="_GoBack"/>
      <w:bookmarkEnd w:id="9"/>
      <w:r w:rsidRPr="009206C2">
        <w:rPr>
          <w:rFonts w:ascii="Times New Roman" w:eastAsia="Times New Roman" w:hAnsi="Times New Roman" w:cs="Times New Roman"/>
          <w:sz w:val="24"/>
          <w:szCs w:val="24"/>
        </w:rPr>
        <w:t>contexts where deviation from binary norms is stigmatized, reinforcing the need for early, integrated psychosocial support as part of holistic care (Gramc et al., 2024).</w:t>
      </w:r>
    </w:p>
    <w:p w14:paraId="4B04F29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Parents and caregivers of children with ambiguous genitalia frequently face intense emotional burdens, with studies documenting high prevalence of anxiety, depressive symptoms, and persistent stress. A recent cross‑sectional investigation among parents of children with congenital adrenal hyperplasia‑related DSD found that over half of caregivers exhibited depressive symptomatology and significant anxiety, with coping strategies such as acceptance, planning, and </w:t>
      </w:r>
      <w:r w:rsidRPr="009206C2">
        <w:rPr>
          <w:rFonts w:ascii="Times New Roman" w:eastAsia="Times New Roman" w:hAnsi="Times New Roman" w:cs="Times New Roman"/>
          <w:sz w:val="24"/>
          <w:szCs w:val="24"/>
        </w:rPr>
        <w:lastRenderedPageBreak/>
        <w:t xml:space="preserve">religious reliance being common (Toumi et al., 2025). These findings underscore the </w:t>
      </w:r>
      <w:proofErr w:type="spellStart"/>
      <w:r w:rsidRPr="009206C2">
        <w:rPr>
          <w:rFonts w:ascii="Times New Roman" w:eastAsia="Times New Roman" w:hAnsi="Times New Roman" w:cs="Times New Roman"/>
          <w:sz w:val="24"/>
          <w:szCs w:val="24"/>
        </w:rPr>
        <w:t>psychoaffective</w:t>
      </w:r>
      <w:proofErr w:type="spellEnd"/>
      <w:r w:rsidRPr="009206C2">
        <w:rPr>
          <w:rFonts w:ascii="Times New Roman" w:eastAsia="Times New Roman" w:hAnsi="Times New Roman" w:cs="Times New Roman"/>
          <w:sz w:val="24"/>
          <w:szCs w:val="24"/>
        </w:rPr>
        <w:t xml:space="preserve"> impact on caregivers and highlight predictive factors—such as the child’s age at surgery and lack of disclosure—that influence parental mental health (Toumi et al., 2025).</w:t>
      </w:r>
    </w:p>
    <w:p w14:paraId="17DAFF6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Comprehensive surveys of healthcare professionals and peer support groups across Europe reveal that psychosocial support remains under‑implemented in routine care despite broad recognition of its importance. Although many professionals acknowledge the value of psychosocial interventions at diagnosis and throughout childhood, only a minority report that such support is routinely provided, indicating gaps between ideal practice and clinical reality (Gramc et al., 2024). This reinforces earlier narrative synthesis on the necessity of psychosocial care to help families navigate diagnostic ambiguity, medical decisions, and long‑term adaptation (Gramc et al., 2024).</w:t>
      </w:r>
    </w:p>
    <w:p w14:paraId="4784812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Furthermore, research affirms the value of peer support networks and multidisciplinary collaboration in mitigating feelings of isolation and facilitating better psychosocial adjustment. Peer support allows families and children to share experiences, build resilience, and foster community, which can enhance coping and reduce the sense of being alone in a complex healthcare journey (Gramc et al., 2024). In many instances, peer‑led initiatives complement clinical care, helping to bridge emotional gaps that purely medical interventions may not address.</w:t>
      </w:r>
    </w:p>
    <w:p w14:paraId="415CCA7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Importantly, emerging studies emphasize that psychological care should be integrated early and consistently across the continuum of care for DSD. Models that embed clinical psychologists, social workers, and counsellors within multidisciplinary teams show promise in addressing emotional distress, promoting effective communication, and supporting personal agency as children mature (Alderson et al., 2023). These approaches aim not only to minimize psychosocial risk but also to empower children and families to articulate their values, preferences, and long‑term goals in their care trajectory.</w:t>
      </w:r>
    </w:p>
    <w:p w14:paraId="1FCFB0F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Collectively, this body of evidence highlights that ambiguous genitalia and DSD have multifaceted psychosocial impacts that demand structured psychosocial support, family engagement, and integration of mental health professionals within clinical teams to improve quality of life across developmental stages.</w:t>
      </w:r>
    </w:p>
    <w:p w14:paraId="7DC3B722"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noProof/>
          <w:sz w:val="24"/>
          <w:szCs w:val="24"/>
          <w:lang w:val="en-US" w:eastAsia="en-US"/>
        </w:rPr>
        <w:lastRenderedPageBreak/>
        <w:drawing>
          <wp:inline distT="114300" distB="114300" distL="114300" distR="114300" wp14:anchorId="2685E48C" wp14:editId="799D875A">
            <wp:extent cx="5943600" cy="3962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58558C49" w14:textId="345B51AA" w:rsidR="007E2F22" w:rsidRPr="009206C2" w:rsidRDefault="00522090">
      <w:pPr>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 xml:space="preserve">Figure </w:t>
      </w:r>
      <w:r w:rsidR="006A3CDC" w:rsidRPr="009206C2">
        <w:rPr>
          <w:rFonts w:ascii="Times New Roman" w:eastAsia="Times New Roman" w:hAnsi="Times New Roman" w:cs="Times New Roman"/>
          <w:b/>
          <w:bCs/>
          <w:i/>
          <w:iCs/>
          <w:sz w:val="24"/>
          <w:szCs w:val="24"/>
        </w:rPr>
        <w:t>2</w:t>
      </w:r>
      <w:r w:rsidRPr="009206C2">
        <w:rPr>
          <w:rFonts w:ascii="Times New Roman" w:eastAsia="Times New Roman" w:hAnsi="Times New Roman" w:cs="Times New Roman"/>
          <w:b/>
          <w:bCs/>
          <w:i/>
          <w:iCs/>
          <w:sz w:val="24"/>
          <w:szCs w:val="24"/>
        </w:rPr>
        <w:t>: Psychosocial challenges in children with ambiguous genitalia</w:t>
      </w:r>
    </w:p>
    <w:p w14:paraId="64F3ACF3" w14:textId="77777777" w:rsidR="007E2F22" w:rsidRPr="009206C2" w:rsidRDefault="007E2F22">
      <w:pPr>
        <w:jc w:val="both"/>
        <w:rPr>
          <w:rFonts w:ascii="Times New Roman" w:eastAsia="Times New Roman" w:hAnsi="Times New Roman" w:cs="Times New Roman"/>
          <w:b/>
          <w:bCs/>
          <w:i/>
          <w:iCs/>
          <w:sz w:val="24"/>
          <w:szCs w:val="24"/>
        </w:rPr>
      </w:pPr>
    </w:p>
    <w:p w14:paraId="733EDDB6" w14:textId="77777777" w:rsidR="007E2F22" w:rsidRPr="009206C2" w:rsidRDefault="007E2F22">
      <w:pPr>
        <w:jc w:val="both"/>
        <w:rPr>
          <w:rFonts w:ascii="Times New Roman" w:eastAsia="Times New Roman" w:hAnsi="Times New Roman" w:cs="Times New Roman"/>
          <w:sz w:val="24"/>
          <w:szCs w:val="24"/>
        </w:rPr>
      </w:pPr>
    </w:p>
    <w:p w14:paraId="4DCC7D7C" w14:textId="77777777" w:rsidR="007E2F22" w:rsidRPr="009206C2" w:rsidRDefault="00522090">
      <w:pPr>
        <w:pStyle w:val="Heading2"/>
        <w:keepNext w:val="0"/>
        <w:keepLines w:val="0"/>
        <w:spacing w:after="80"/>
        <w:jc w:val="both"/>
        <w:rPr>
          <w:rFonts w:ascii="Times New Roman" w:eastAsia="Times New Roman" w:hAnsi="Times New Roman" w:cs="Times New Roman"/>
          <w:b/>
          <w:bCs/>
          <w:sz w:val="34"/>
          <w:szCs w:val="34"/>
        </w:rPr>
      </w:pPr>
      <w:bookmarkStart w:id="10" w:name="_heading=h.14g5dlgbux2a" w:colFirst="0" w:colLast="0"/>
      <w:bookmarkEnd w:id="10"/>
      <w:r w:rsidRPr="009206C2">
        <w:rPr>
          <w:rFonts w:ascii="Times New Roman" w:eastAsia="Times New Roman" w:hAnsi="Times New Roman" w:cs="Times New Roman"/>
          <w:b/>
          <w:bCs/>
          <w:sz w:val="34"/>
          <w:szCs w:val="34"/>
        </w:rPr>
        <w:t>6. Ethical and Human Rights Considerations</w:t>
      </w:r>
    </w:p>
    <w:p w14:paraId="38F6ED5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ethical landscape in the management of ambiguous genitalia and DSD in children is complex, shaped not only by clinical imperatives but also evolving principles of autonomy, consent, bodily integrity, and human rights. Central to these discussions is the ethical tension between early surgical intervention and respect for the developing child’s right to participate in decisions that will profoundly affect their future identity, bodily function, and psychological well‑being (</w:t>
      </w:r>
      <w:proofErr w:type="spellStart"/>
      <w:r w:rsidRPr="009206C2">
        <w:rPr>
          <w:rFonts w:ascii="Times New Roman" w:eastAsia="Times New Roman" w:hAnsi="Times New Roman" w:cs="Times New Roman"/>
          <w:sz w:val="24"/>
          <w:szCs w:val="24"/>
        </w:rPr>
        <w:t>Claahsen</w:t>
      </w:r>
      <w:proofErr w:type="spellEnd"/>
      <w:r w:rsidRPr="009206C2">
        <w:rPr>
          <w:rFonts w:ascii="Times New Roman" w:eastAsia="Times New Roman" w:hAnsi="Times New Roman" w:cs="Times New Roman"/>
          <w:sz w:val="24"/>
          <w:szCs w:val="24"/>
        </w:rPr>
        <w:t xml:space="preserve">‑van der </w:t>
      </w:r>
      <w:proofErr w:type="spellStart"/>
      <w:r w:rsidRPr="009206C2">
        <w:rPr>
          <w:rFonts w:ascii="Times New Roman" w:eastAsia="Times New Roman" w:hAnsi="Times New Roman" w:cs="Times New Roman"/>
          <w:sz w:val="24"/>
          <w:szCs w:val="24"/>
        </w:rPr>
        <w:t>Grinten</w:t>
      </w:r>
      <w:proofErr w:type="spellEnd"/>
      <w:r w:rsidRPr="009206C2">
        <w:rPr>
          <w:rFonts w:ascii="Times New Roman" w:eastAsia="Times New Roman" w:hAnsi="Times New Roman" w:cs="Times New Roman"/>
          <w:sz w:val="24"/>
          <w:szCs w:val="24"/>
        </w:rPr>
        <w:t xml:space="preserve"> et al., 2026).</w:t>
      </w:r>
    </w:p>
    <w:p w14:paraId="73FB0C2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 foundational ethical question concerns the timing of elective genital surgeries. Traditional practice </w:t>
      </w:r>
      <w:proofErr w:type="spellStart"/>
      <w:r w:rsidRPr="009206C2">
        <w:rPr>
          <w:rFonts w:ascii="Times New Roman" w:eastAsia="Times New Roman" w:hAnsi="Times New Roman" w:cs="Times New Roman"/>
          <w:sz w:val="24"/>
          <w:szCs w:val="24"/>
        </w:rPr>
        <w:t>favoured</w:t>
      </w:r>
      <w:proofErr w:type="spellEnd"/>
      <w:r w:rsidRPr="009206C2">
        <w:rPr>
          <w:rFonts w:ascii="Times New Roman" w:eastAsia="Times New Roman" w:hAnsi="Times New Roman" w:cs="Times New Roman"/>
          <w:sz w:val="24"/>
          <w:szCs w:val="24"/>
        </w:rPr>
        <w:t xml:space="preserve"> early surgery to align physical appearance with a chosen gender and to ostensibly minimize psychosocial distress. However, there is no conclusive evidence demonstrating superiority of early cosmetic procedures over deferred approaches in terms of long‑term wellbeing, and many international consensus guidelines now recommend individualized decision‑making rooted in multidisciplinary evaluation rather than routine early interventions (Ishii et al., 2025). Shared decision‑making models, in which families, clinicians, and—when possible—the child </w:t>
      </w:r>
      <w:r w:rsidRPr="009206C2">
        <w:rPr>
          <w:rFonts w:ascii="Times New Roman" w:eastAsia="Times New Roman" w:hAnsi="Times New Roman" w:cs="Times New Roman"/>
          <w:sz w:val="24"/>
          <w:szCs w:val="24"/>
        </w:rPr>
        <w:lastRenderedPageBreak/>
        <w:t>engages collaboratively, are increasingly advocated to balance potential benefits and harms (Suorsa-Johnson et al., 2023).</w:t>
      </w:r>
    </w:p>
    <w:p w14:paraId="010DF1D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Consent and autonomy represent core ethical pillars. Infants and young children cannot provide informed consent, raising questions about parental proxy decision‑making and the ethical legitimacy of irreversible procedures performed without the individual’s participation (</w:t>
      </w:r>
      <w:proofErr w:type="spellStart"/>
      <w:r w:rsidRPr="009206C2">
        <w:rPr>
          <w:rFonts w:ascii="Times New Roman" w:eastAsia="Times New Roman" w:hAnsi="Times New Roman" w:cs="Times New Roman"/>
          <w:sz w:val="24"/>
          <w:szCs w:val="24"/>
        </w:rPr>
        <w:t>Claahsen</w:t>
      </w:r>
      <w:proofErr w:type="spellEnd"/>
      <w:r w:rsidRPr="009206C2">
        <w:rPr>
          <w:rFonts w:ascii="Times New Roman" w:eastAsia="Times New Roman" w:hAnsi="Times New Roman" w:cs="Times New Roman"/>
          <w:sz w:val="24"/>
          <w:szCs w:val="24"/>
        </w:rPr>
        <w:t xml:space="preserve">‑van der </w:t>
      </w:r>
      <w:proofErr w:type="spellStart"/>
      <w:r w:rsidRPr="009206C2">
        <w:rPr>
          <w:rFonts w:ascii="Times New Roman" w:eastAsia="Times New Roman" w:hAnsi="Times New Roman" w:cs="Times New Roman"/>
          <w:sz w:val="24"/>
          <w:szCs w:val="24"/>
        </w:rPr>
        <w:t>Grinten</w:t>
      </w:r>
      <w:proofErr w:type="spellEnd"/>
      <w:r w:rsidRPr="009206C2">
        <w:rPr>
          <w:rFonts w:ascii="Times New Roman" w:eastAsia="Times New Roman" w:hAnsi="Times New Roman" w:cs="Times New Roman"/>
          <w:sz w:val="24"/>
          <w:szCs w:val="24"/>
        </w:rPr>
        <w:t xml:space="preserve"> et al., 2026). Human rights bodies and advocacy groups have framed non‑urgent genital surgeries on minors as potential violations of bodily autonomy and physical integrity, echoing broader human rights concerns about medically unnecessary interventions on those unable to consent (Surendran et al., 2025).</w:t>
      </w:r>
    </w:p>
    <w:p w14:paraId="0F03651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Legal reforms in several jurisdictions reflect these ethical shifts. For example, legislative measures in Germany and other European contexts have instituted restrictions or procedural safeguards that delay non‑essential genital procedures until children can provide assent or until a court authorizes them on demonstrated medical necessity, illustrating how policy and ethics intersect to protect vulnerable minors (Schäfer et al., 2024).</w:t>
      </w:r>
    </w:p>
    <w:p w14:paraId="104A5F6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Another ethical dimension concerns justice and the rights of the child. Advocates argue that decisions about genital surgery and sex assignment constitute not just clinical judgments but human rights questions—raising important discussions around whether children should be shielded from irreversible decisions until they can meaningfully participate (Kamoun &amp; Dalke, 2025). Respect for diversity of sex characteristics and expanding recognition of the spectrum of biological sex further support ethical frameworks that prioritize affirmation over normalization, challenging binary assumptions that have historically driven early surgical practices (Kamoun &amp; Dalke, 2025).</w:t>
      </w:r>
    </w:p>
    <w:p w14:paraId="103BBAC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Ethical deliberations also emphasize that clinicians should communicate clearly about uncertainties, long‑term outcomes, and the weight of irreversible decisions, ensuring informed and collaborative consent processes with families—and ideally with the child as they grow—to uphold both clinical integrity and human rights protections (Lapham et al., 2023).</w:t>
      </w:r>
    </w:p>
    <w:p w14:paraId="5E79C5F0" w14:textId="77777777" w:rsidR="007E2F22" w:rsidRPr="009206C2" w:rsidRDefault="007E2F22">
      <w:pPr>
        <w:spacing w:before="240" w:after="240"/>
        <w:jc w:val="both"/>
        <w:rPr>
          <w:rFonts w:ascii="Times New Roman" w:eastAsia="Times New Roman" w:hAnsi="Times New Roman" w:cs="Times New Roman"/>
          <w:sz w:val="24"/>
          <w:szCs w:val="24"/>
        </w:rPr>
      </w:pPr>
    </w:p>
    <w:p w14:paraId="00AB75A0"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11" w:name="_heading=h.mmxidtcqir75" w:colFirst="0" w:colLast="0"/>
      <w:bookmarkEnd w:id="11"/>
      <w:r w:rsidRPr="009206C2">
        <w:rPr>
          <w:rFonts w:ascii="Times New Roman" w:eastAsia="Times New Roman" w:hAnsi="Times New Roman" w:cs="Times New Roman"/>
          <w:b/>
          <w:bCs/>
          <w:sz w:val="32"/>
          <w:szCs w:val="32"/>
        </w:rPr>
        <w:t>7. Current Trends and Advances in Treatment</w:t>
      </w:r>
    </w:p>
    <w:p w14:paraId="4CCC266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Recent years have seen significant innovations in the care and long‑term management of children with ambiguous genitalia and related DSDs that go beyond traditional surgical and diagnostic frameworks. One of the most notable developments is the emergence of genomic‑targeted therapeutic research, particularly in the domain of gene therapy and gene‑editing technologies. Reviews of sex‑determining gene expression and manipulation—including key genes such as SRY, SOX9, NR5A1, WT1, and AR—suggest that future therapeutic strategies might aim to </w:t>
      </w:r>
      <w:r w:rsidRPr="009206C2">
        <w:rPr>
          <w:rFonts w:ascii="Times New Roman" w:eastAsia="Times New Roman" w:hAnsi="Times New Roman" w:cs="Times New Roman"/>
          <w:sz w:val="24"/>
          <w:szCs w:val="24"/>
        </w:rPr>
        <w:lastRenderedPageBreak/>
        <w:t>correct or compensate for underlying genetic defects, potentially revolutionizing how certain DSDs are treated at a fundamental biological level (Peng et al., 2025). Early in‑vitro work using tools like CRISPR/Cas9 and viral vector‑mediated gene delivery has shown proof‑of‑concept in modulating gene expression relevant to sex differentiation pathways, hinting at long‑term therapeutic potential (Peng et al., 2025).</w:t>
      </w:r>
    </w:p>
    <w:p w14:paraId="4EEB49B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Parallel to these molecular advances, there is growing recognition of the importance of standardized, multidisciplinary care pathways that extend throughout childhood and adolescence. Innovative frameworks are being championed that embed data‑driven quality improvement into routine care, enabling systematic tracking of clinical outcomes, structured follow‑up, and longitudinal evaluation of physical and psychosocial trajectories (Willemsen et al., 2026). These models leverage health intelligence platforms and interactive dashboards to support multidisciplinary teams and enhance consistency and quality across diverse clinical settings. Such structured care not only improves short‑term decision‑making but also facilitates evidence generation for future research and guideline development.</w:t>
      </w:r>
    </w:p>
    <w:p w14:paraId="3377CB2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Complementing these system‑level advances, early implementation projects like the Empower‑DSD information management program demonstrate how structured information transfer and parent education can significantly mitigate stress and uncertainty immediately following diagnosis. This standardized approach to early family engagement promotes trust in multidisciplinary teams and lays a foundation for sustained adaptive coping mechanisms in both parents and children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w:t>
      </w:r>
    </w:p>
    <w:p w14:paraId="15BA1AB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Another trend gaining traction is the integration of psychiatric training and long‑term mental health follow‑up within DSD care teams. Emerging models embed psychiatric expertise directly into multidisciplinary clinics, enhancing clinicians’ capacity to address long‑term psychological adjustment and supporting resident physicians in acquiring relevant skills for holistic DSD management (</w:t>
      </w:r>
      <w:proofErr w:type="spellStart"/>
      <w:r w:rsidRPr="009206C2">
        <w:rPr>
          <w:rFonts w:ascii="Times New Roman" w:eastAsia="Times New Roman" w:hAnsi="Times New Roman" w:cs="Times New Roman"/>
          <w:sz w:val="24"/>
          <w:szCs w:val="24"/>
        </w:rPr>
        <w:t>Özbaran</w:t>
      </w:r>
      <w:proofErr w:type="spellEnd"/>
      <w:r w:rsidRPr="009206C2">
        <w:rPr>
          <w:rFonts w:ascii="Times New Roman" w:eastAsia="Times New Roman" w:hAnsi="Times New Roman" w:cs="Times New Roman"/>
          <w:sz w:val="24"/>
          <w:szCs w:val="24"/>
        </w:rPr>
        <w:t xml:space="preserve"> et al., 2025).</w:t>
      </w:r>
    </w:p>
    <w:p w14:paraId="1F9FE67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Finally, quality improvement research highlights the need to benchmark DSD care through standardized quality indicators tied to structure, process, and outcomes. This trend underscores not only clinical excellence but also health system accountability, emphasizing that best practice guidelines should be operationalized with measurable benchmarks to ensure optimal care across varied healthcare environments and populations (</w:t>
      </w:r>
      <w:proofErr w:type="spellStart"/>
      <w:r w:rsidRPr="009206C2">
        <w:rPr>
          <w:rFonts w:ascii="Times New Roman" w:eastAsia="Times New Roman" w:hAnsi="Times New Roman" w:cs="Times New Roman"/>
          <w:sz w:val="24"/>
          <w:szCs w:val="24"/>
        </w:rPr>
        <w:t>Döhnert</w:t>
      </w:r>
      <w:proofErr w:type="spellEnd"/>
      <w:r w:rsidRPr="009206C2">
        <w:rPr>
          <w:rFonts w:ascii="Times New Roman" w:eastAsia="Times New Roman" w:hAnsi="Times New Roman" w:cs="Times New Roman"/>
          <w:sz w:val="24"/>
          <w:szCs w:val="24"/>
        </w:rPr>
        <w:t xml:space="preserve"> &amp; Davies, 2025).</w:t>
      </w:r>
    </w:p>
    <w:p w14:paraId="5459A3CC" w14:textId="77777777" w:rsidR="007E2F22" w:rsidRPr="009206C2" w:rsidRDefault="007E2F22">
      <w:pPr>
        <w:spacing w:before="240" w:after="240"/>
        <w:jc w:val="both"/>
        <w:rPr>
          <w:rFonts w:ascii="Times New Roman" w:eastAsia="Times New Roman" w:hAnsi="Times New Roman" w:cs="Times New Roman"/>
          <w:sz w:val="24"/>
          <w:szCs w:val="24"/>
        </w:rPr>
      </w:pPr>
    </w:p>
    <w:p w14:paraId="0DED9BE9"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12" w:name="_heading=h.wb52zxihhs9s" w:colFirst="0" w:colLast="0"/>
      <w:bookmarkEnd w:id="12"/>
      <w:r w:rsidRPr="009206C2">
        <w:rPr>
          <w:rFonts w:ascii="Times New Roman" w:eastAsia="Times New Roman" w:hAnsi="Times New Roman" w:cs="Times New Roman"/>
          <w:b/>
          <w:bCs/>
          <w:sz w:val="32"/>
          <w:szCs w:val="32"/>
        </w:rPr>
        <w:t>8. Future Directions and Research Gaps</w:t>
      </w:r>
    </w:p>
    <w:p w14:paraId="6F82E21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Despite substantial progress in understanding and managing ambiguous genitalia and related differences/disorders of sex development (DSDs), numerous gaps in knowledge and practice </w:t>
      </w:r>
      <w:r w:rsidRPr="009206C2">
        <w:rPr>
          <w:rFonts w:ascii="Times New Roman" w:eastAsia="Times New Roman" w:hAnsi="Times New Roman" w:cs="Times New Roman"/>
          <w:sz w:val="24"/>
          <w:szCs w:val="24"/>
        </w:rPr>
        <w:lastRenderedPageBreak/>
        <w:t>remain—highlighting clear directions for future research and clinical innovation. A central area requiring further study is the mechanisms of sex determination and genotype–phenotype correlation, particularly for rare and poorly characterized genetic etiologies. Current genomic technologies (e.g., next‑generation sequencing and whole‑genome sequencing) significantly improve diagnostic precision but still fail to identify the underlying cause in a large proportion of DSD cases, particularly in 46,XY individuals (Ishii et al., 2025).</w:t>
      </w:r>
    </w:p>
    <w:p w14:paraId="0B2902F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Closely linked is the need for longitudinal outcomes research, which is strikingly under‑represented in the literature given the lifelong implications of DSD and its management. Long‑term follow‑up studies encompassing physical health, fertility, sexual function, psychosocial adjustment, and quality of life are essential to inform evidence‑based recommendations and to discern the impact of early interventions—surgical or otherwise—over developmental time horizons. Although some registries and multicenter cohorts exist, there is a lack of cohesive strategy for standardized data collection and long‑term outcome reporting across diverse healthcare settings (</w:t>
      </w:r>
      <w:proofErr w:type="spellStart"/>
      <w:r w:rsidRPr="009206C2">
        <w:rPr>
          <w:rFonts w:ascii="Times New Roman" w:eastAsia="Times New Roman" w:hAnsi="Times New Roman" w:cs="Times New Roman"/>
          <w:sz w:val="24"/>
          <w:szCs w:val="24"/>
        </w:rPr>
        <w:t>Döhnert</w:t>
      </w:r>
      <w:proofErr w:type="spellEnd"/>
      <w:r w:rsidRPr="009206C2">
        <w:rPr>
          <w:rFonts w:ascii="Times New Roman" w:eastAsia="Times New Roman" w:hAnsi="Times New Roman" w:cs="Times New Roman"/>
          <w:sz w:val="24"/>
          <w:szCs w:val="24"/>
        </w:rPr>
        <w:t xml:space="preserve"> &amp; Davies, 2025).</w:t>
      </w:r>
    </w:p>
    <w:p w14:paraId="3F62CF5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variability in multidisciplinary care models worldwide further underscores gaps in standardization. While multidisciplinary teams are broadly endorsed, the specific composition of care teams, roles of allied professionals (e.g., psychologists and genetic counsellors), and integration of care pathways throughout childhood and adolescence vary considerably across </w:t>
      </w:r>
      <w:proofErr w:type="spellStart"/>
      <w:r w:rsidRPr="009206C2">
        <w:rPr>
          <w:rFonts w:ascii="Times New Roman" w:eastAsia="Times New Roman" w:hAnsi="Times New Roman" w:cs="Times New Roman"/>
          <w:sz w:val="24"/>
          <w:szCs w:val="24"/>
        </w:rPr>
        <w:t>centres</w:t>
      </w:r>
      <w:proofErr w:type="spellEnd"/>
      <w:r w:rsidRPr="009206C2">
        <w:rPr>
          <w:rFonts w:ascii="Times New Roman" w:eastAsia="Times New Roman" w:hAnsi="Times New Roman" w:cs="Times New Roman"/>
          <w:sz w:val="24"/>
          <w:szCs w:val="24"/>
        </w:rPr>
        <w:t xml:space="preserve"> and regions (</w:t>
      </w:r>
      <w:proofErr w:type="spellStart"/>
      <w:r w:rsidRPr="009206C2">
        <w:rPr>
          <w:rFonts w:ascii="Times New Roman" w:eastAsia="Times New Roman" w:hAnsi="Times New Roman" w:cs="Times New Roman"/>
          <w:sz w:val="24"/>
          <w:szCs w:val="24"/>
        </w:rPr>
        <w:t>Hidouri</w:t>
      </w:r>
      <w:proofErr w:type="spellEnd"/>
      <w:r w:rsidRPr="009206C2">
        <w:rPr>
          <w:rFonts w:ascii="Times New Roman" w:eastAsia="Times New Roman" w:hAnsi="Times New Roman" w:cs="Times New Roman"/>
          <w:sz w:val="24"/>
          <w:szCs w:val="24"/>
        </w:rPr>
        <w:t xml:space="preserve"> et al., 2025). Structured frameworks that define best practices and implement quality benchmarks are needed to reduce variability and enhance care quality globally. </w:t>
      </w:r>
    </w:p>
    <w:p w14:paraId="4CB9E74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Emerging evidence also points to gaps in prenatal and perinatal management strategies for ambiguous genitalia and DSD, as diagnostic capabilities in utero continue to advance. Research questions remain about how prenatal diagnosis influences postnatal management decisions, parental preparedness, timing of interventions, and early family adjustment. Efforts that bridge prenatal and postnatal research can help optimize longitudinal care trajectories and family support structures (</w:t>
      </w:r>
      <w:proofErr w:type="spellStart"/>
      <w:r w:rsidRPr="009206C2">
        <w:rPr>
          <w:rFonts w:ascii="Times New Roman" w:eastAsia="Times New Roman" w:hAnsi="Times New Roman" w:cs="Times New Roman"/>
          <w:sz w:val="24"/>
          <w:szCs w:val="24"/>
        </w:rPr>
        <w:t>Hidouri</w:t>
      </w:r>
      <w:proofErr w:type="spellEnd"/>
      <w:r w:rsidRPr="009206C2">
        <w:rPr>
          <w:rFonts w:ascii="Times New Roman" w:eastAsia="Times New Roman" w:hAnsi="Times New Roman" w:cs="Times New Roman"/>
          <w:sz w:val="24"/>
          <w:szCs w:val="24"/>
        </w:rPr>
        <w:t xml:space="preserve"> et al., 2025).</w:t>
      </w:r>
    </w:p>
    <w:p w14:paraId="12EA1CA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Finally, psychosocial development and identity formation in individuals with DSD require more focused investigation. Although the impact of ambiguous genitalia on mental health and quality of life is increasingly recognized, there is a shortage of robust, prospective psychosocial studies that track adaptive functioning, social integration, and identity outcomes from childhood into adulthood. Furthermore, culturally sensitive research is needed to understand how sociocultural contexts shape experiences of stigma, disclosure, and care engagement across diverse populations (Utari et al., 2025).</w:t>
      </w:r>
    </w:p>
    <w:p w14:paraId="3A5A23A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Addressing these research gaps—through collaborative international cohorts, standardized outcome measures, and holistic multidisciplinary research programs—will be critical to advancing care and supporting optimal long‑term outcomes for children and families affected by ambiguous genitalia and DSD.</w:t>
      </w:r>
    </w:p>
    <w:p w14:paraId="2F16E0F0" w14:textId="77777777" w:rsidR="007E2F22" w:rsidRPr="009206C2" w:rsidRDefault="007E2F22">
      <w:pPr>
        <w:spacing w:before="240" w:after="240"/>
        <w:jc w:val="both"/>
        <w:rPr>
          <w:rFonts w:ascii="Times New Roman" w:eastAsia="Times New Roman" w:hAnsi="Times New Roman" w:cs="Times New Roman"/>
          <w:sz w:val="24"/>
          <w:szCs w:val="24"/>
        </w:rPr>
      </w:pPr>
    </w:p>
    <w:p w14:paraId="1BC02929" w14:textId="77777777" w:rsidR="007E2F22" w:rsidRPr="009206C2" w:rsidRDefault="00522090">
      <w:pPr>
        <w:pStyle w:val="Heading1"/>
        <w:spacing w:before="240" w:after="240"/>
        <w:rPr>
          <w:rFonts w:ascii="Times New Roman" w:eastAsia="Times New Roman" w:hAnsi="Times New Roman" w:cs="Times New Roman"/>
          <w:b/>
          <w:bCs/>
          <w:sz w:val="32"/>
          <w:szCs w:val="32"/>
        </w:rPr>
      </w:pPr>
      <w:bookmarkStart w:id="13" w:name="_heading=h.kwtsjfnd7qi0" w:colFirst="0" w:colLast="0"/>
      <w:bookmarkEnd w:id="13"/>
      <w:r w:rsidRPr="009206C2">
        <w:rPr>
          <w:rFonts w:ascii="Times New Roman" w:eastAsia="Times New Roman" w:hAnsi="Times New Roman" w:cs="Times New Roman"/>
          <w:b/>
          <w:bCs/>
          <w:sz w:val="32"/>
          <w:szCs w:val="32"/>
        </w:rPr>
        <w:t>Conclusion</w:t>
      </w:r>
    </w:p>
    <w:p w14:paraId="35F7D8C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This study highlights the complexity of diagnosing and managing ambiguous genitalia in children, emphasizing the multifaceted nature of Disorders of Sex Development (DSDs). It was found that early and accurate diagnosis, facilitated by advanced genetic and hormonal testing, is critical in guiding medical, surgical, and psychosocial interventions. The review also identified the diverse surgical approaches, noting that decisions regarding timing and type of surgery should be personalized, considering both clinical needs and long-term psychosocial outcomes. However, significant gaps remain in longitudinal outcome studies and psychosocial support, indicating the need for more research on the lifetime impact of DSDs, particularly concerning mental health and identity formation.</w:t>
      </w:r>
    </w:p>
    <w:p w14:paraId="0044C7D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Practical recommendations include the standardization of multidisciplinary care across healthcare settings and the integration of psychosocial services into routine clinical practice. Future research should focus on genomic innovations for a more comprehensive understanding of DSD etiology, alongside global collaboration to create consistent care pathways. Policy implications call for greater focus on ethical frameworks that respect the rights of affected children while supporting shared decision-making in complex clinical situations. This comprehensive approach will be essential in improving both clinical outcomes and quality of life for individuals with ambiguous genitalia.</w:t>
      </w:r>
    </w:p>
    <w:p w14:paraId="69B3C372" w14:textId="77777777" w:rsidR="007E2F22" w:rsidRPr="009206C2" w:rsidRDefault="007E2F22">
      <w:pPr>
        <w:spacing w:before="240" w:after="240"/>
        <w:jc w:val="both"/>
        <w:rPr>
          <w:rFonts w:ascii="Times New Roman" w:eastAsia="Times New Roman" w:hAnsi="Times New Roman" w:cs="Times New Roman"/>
          <w:sz w:val="24"/>
          <w:szCs w:val="24"/>
        </w:rPr>
      </w:pPr>
    </w:p>
    <w:p w14:paraId="305DD0AC" w14:textId="77777777" w:rsidR="007E2F22" w:rsidRPr="009206C2" w:rsidRDefault="007E2F22">
      <w:pPr>
        <w:spacing w:before="240" w:after="240"/>
        <w:jc w:val="both"/>
        <w:rPr>
          <w:rFonts w:ascii="Times New Roman" w:eastAsia="Times New Roman" w:hAnsi="Times New Roman" w:cs="Times New Roman"/>
          <w:sz w:val="24"/>
          <w:szCs w:val="24"/>
        </w:rPr>
      </w:pPr>
    </w:p>
    <w:p w14:paraId="1A1B19B3" w14:textId="77777777" w:rsidR="007E2F22" w:rsidRPr="009206C2" w:rsidRDefault="00522090">
      <w:pPr>
        <w:spacing w:before="240" w:after="240" w:line="360" w:lineRule="auto"/>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Competing Interests:</w:t>
      </w:r>
      <w:r w:rsidRPr="009206C2">
        <w:rPr>
          <w:rFonts w:ascii="Times New Roman" w:eastAsia="Times New Roman" w:hAnsi="Times New Roman" w:cs="Times New Roman"/>
          <w:sz w:val="24"/>
          <w:szCs w:val="24"/>
        </w:rPr>
        <w:t xml:space="preserve"> All the authors declare that they have no conflict of interest.</w:t>
      </w:r>
    </w:p>
    <w:p w14:paraId="1CB598E2" w14:textId="77777777" w:rsidR="007E2F22" w:rsidRPr="009206C2" w:rsidRDefault="00522090">
      <w:pPr>
        <w:shd w:val="clear" w:color="auto" w:fill="FCFCFC"/>
        <w:spacing w:after="100" w:line="360" w:lineRule="auto"/>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Ethics approval and consent to participate:</w:t>
      </w:r>
      <w:r w:rsidRPr="009206C2">
        <w:rPr>
          <w:rFonts w:ascii="Times New Roman" w:eastAsia="Times New Roman" w:hAnsi="Times New Roman" w:cs="Times New Roman"/>
          <w:sz w:val="24"/>
          <w:szCs w:val="24"/>
        </w:rPr>
        <w:t xml:space="preserve"> Not applicable</w:t>
      </w:r>
    </w:p>
    <w:p w14:paraId="7DB6DA0F" w14:textId="77777777" w:rsidR="007E2F22" w:rsidRPr="009206C2" w:rsidRDefault="00522090">
      <w:pPr>
        <w:shd w:val="clear" w:color="auto" w:fill="FCFCFC"/>
        <w:spacing w:after="100" w:line="36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 xml:space="preserve">Consent for publication: </w:t>
      </w:r>
      <w:r w:rsidRPr="009206C2">
        <w:rPr>
          <w:rFonts w:ascii="Times New Roman" w:eastAsia="Times New Roman" w:hAnsi="Times New Roman" w:cs="Times New Roman"/>
          <w:sz w:val="24"/>
          <w:szCs w:val="24"/>
        </w:rPr>
        <w:t>Not applicable</w:t>
      </w:r>
    </w:p>
    <w:p w14:paraId="6AD867FC" w14:textId="77777777" w:rsidR="007E2F22" w:rsidRPr="009206C2" w:rsidRDefault="00522090">
      <w:pPr>
        <w:shd w:val="clear" w:color="auto" w:fill="FCFCFC"/>
        <w:spacing w:after="100" w:line="360" w:lineRule="auto"/>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Availability of data and material: </w:t>
      </w:r>
      <w:r w:rsidRPr="009206C2">
        <w:rPr>
          <w:rFonts w:ascii="Times New Roman" w:eastAsia="Times New Roman" w:hAnsi="Times New Roman" w:cs="Times New Roman"/>
          <w:sz w:val="24"/>
          <w:szCs w:val="24"/>
        </w:rPr>
        <w:t>All the resources consulted in the review are provided in the reference section</w:t>
      </w:r>
    </w:p>
    <w:p w14:paraId="3EF5CCBC" w14:textId="77777777" w:rsidR="007E2F22" w:rsidRPr="009206C2" w:rsidRDefault="007E2F22">
      <w:pPr>
        <w:spacing w:before="240" w:after="240"/>
        <w:jc w:val="both"/>
        <w:rPr>
          <w:rFonts w:ascii="Times New Roman" w:eastAsia="Times New Roman" w:hAnsi="Times New Roman" w:cs="Times New Roman"/>
          <w:sz w:val="24"/>
          <w:szCs w:val="24"/>
        </w:rPr>
      </w:pPr>
    </w:p>
    <w:p w14:paraId="76BC2F9F" w14:textId="77777777" w:rsidR="007E2F22" w:rsidRPr="009206C2" w:rsidRDefault="00522090">
      <w:pPr>
        <w:pStyle w:val="Heading1"/>
        <w:spacing w:before="240" w:after="240"/>
        <w:rPr>
          <w:rFonts w:ascii="Times New Roman" w:eastAsia="Times New Roman" w:hAnsi="Times New Roman" w:cs="Times New Roman"/>
          <w:b/>
          <w:bCs/>
          <w:sz w:val="32"/>
          <w:szCs w:val="32"/>
        </w:rPr>
      </w:pPr>
      <w:bookmarkStart w:id="14" w:name="_heading=h.dl6d2czw3c9" w:colFirst="0" w:colLast="0"/>
      <w:bookmarkEnd w:id="14"/>
      <w:r w:rsidRPr="009206C2">
        <w:rPr>
          <w:rFonts w:ascii="Times New Roman" w:eastAsia="Times New Roman" w:hAnsi="Times New Roman" w:cs="Times New Roman"/>
          <w:b/>
          <w:bCs/>
          <w:sz w:val="32"/>
          <w:szCs w:val="32"/>
        </w:rPr>
        <w:lastRenderedPageBreak/>
        <w:t>References</w:t>
      </w:r>
    </w:p>
    <w:p w14:paraId="2C7BD31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Alderson, J., Hamblin, R. P., &amp; Crowne, E. C. (2023). Psychological Care of Children and Families with Variations or Differences in Sex Development. </w:t>
      </w:r>
      <w:r w:rsidRPr="009206C2">
        <w:rPr>
          <w:rFonts w:ascii="Times New Roman" w:eastAsia="Times New Roman" w:hAnsi="Times New Roman" w:cs="Times New Roman"/>
          <w:i/>
          <w:iCs/>
          <w:sz w:val="24"/>
          <w:szCs w:val="24"/>
        </w:rPr>
        <w:t xml:space="preserve">Hormone Research in </w:t>
      </w:r>
      <w:proofErr w:type="spellStart"/>
      <w:r w:rsidRPr="009206C2">
        <w:rPr>
          <w:rFonts w:ascii="Times New Roman" w:eastAsia="Times New Roman" w:hAnsi="Times New Roman" w:cs="Times New Roman"/>
          <w:i/>
          <w:iCs/>
          <w:sz w:val="24"/>
          <w:szCs w:val="24"/>
        </w:rPr>
        <w:t>Paediatrics</w:t>
      </w:r>
      <w:proofErr w:type="spellEnd"/>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96</w:t>
      </w:r>
      <w:r w:rsidRPr="009206C2">
        <w:rPr>
          <w:rFonts w:ascii="Times New Roman" w:eastAsia="Times New Roman" w:hAnsi="Times New Roman" w:cs="Times New Roman"/>
          <w:sz w:val="24"/>
          <w:szCs w:val="24"/>
        </w:rPr>
        <w:t>(2), 222–227.</w:t>
      </w:r>
      <w:hyperlink r:id="rId12">
        <w:r w:rsidR="007E2F22" w:rsidRPr="009206C2">
          <w:rPr>
            <w:rFonts w:ascii="Times New Roman" w:eastAsia="Times New Roman" w:hAnsi="Times New Roman" w:cs="Times New Roman"/>
            <w:sz w:val="24"/>
            <w:szCs w:val="24"/>
          </w:rPr>
          <w:t xml:space="preserve"> </w:t>
        </w:r>
      </w:hyperlink>
      <w:hyperlink r:id="rId13">
        <w:r w:rsidR="007E2F22" w:rsidRPr="009206C2">
          <w:rPr>
            <w:rFonts w:ascii="Times New Roman" w:eastAsia="Times New Roman" w:hAnsi="Times New Roman" w:cs="Times New Roman"/>
            <w:color w:val="1155CC"/>
            <w:sz w:val="24"/>
            <w:szCs w:val="24"/>
            <w:u w:val="single"/>
          </w:rPr>
          <w:t>https://doi.org/10.1159/000524517</w:t>
        </w:r>
      </w:hyperlink>
    </w:p>
    <w:p w14:paraId="255EA5D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Al-Sahar, N. F., Al-Ali, A. J., Mansour, A. A., Sahar, N., Al-Ali, A. J., &amp; Mansour, A. A. (2024). Spectrum of Disorders of Sex Development: A Single-Center Experience in the Southern Area of Iraq. </w:t>
      </w:r>
      <w:r w:rsidRPr="009206C2">
        <w:rPr>
          <w:rFonts w:ascii="Times New Roman" w:eastAsia="Times New Roman" w:hAnsi="Times New Roman" w:cs="Times New Roman"/>
          <w:i/>
          <w:iCs/>
          <w:sz w:val="24"/>
          <w:szCs w:val="24"/>
        </w:rPr>
        <w:t>Cureus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(8).</w:t>
      </w:r>
      <w:hyperlink r:id="rId14">
        <w:r w:rsidR="007E2F22" w:rsidRPr="009206C2">
          <w:rPr>
            <w:rFonts w:ascii="Times New Roman" w:eastAsia="Times New Roman" w:hAnsi="Times New Roman" w:cs="Times New Roman"/>
            <w:sz w:val="24"/>
            <w:szCs w:val="24"/>
          </w:rPr>
          <w:t xml:space="preserve"> </w:t>
        </w:r>
      </w:hyperlink>
      <w:hyperlink r:id="rId15">
        <w:r w:rsidR="007E2F22" w:rsidRPr="009206C2">
          <w:rPr>
            <w:rFonts w:ascii="Times New Roman" w:eastAsia="Times New Roman" w:hAnsi="Times New Roman" w:cs="Times New Roman"/>
            <w:color w:val="1155CC"/>
            <w:sz w:val="24"/>
            <w:szCs w:val="24"/>
            <w:u w:val="single"/>
          </w:rPr>
          <w:t>https://doi.org/10.7759/cureus.67571</w:t>
        </w:r>
      </w:hyperlink>
    </w:p>
    <w:p w14:paraId="3B0C6286"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Arizona, P., </w:t>
      </w:r>
      <w:proofErr w:type="spellStart"/>
      <w:r w:rsidRPr="009206C2">
        <w:rPr>
          <w:rFonts w:ascii="Times New Roman" w:eastAsia="Times New Roman" w:hAnsi="Times New Roman" w:cs="Times New Roman"/>
          <w:sz w:val="24"/>
          <w:szCs w:val="24"/>
        </w:rPr>
        <w:t>Febriyana</w:t>
      </w:r>
      <w:proofErr w:type="spellEnd"/>
      <w:r w:rsidRPr="009206C2">
        <w:rPr>
          <w:rFonts w:ascii="Times New Roman" w:eastAsia="Times New Roman" w:hAnsi="Times New Roman" w:cs="Times New Roman"/>
          <w:sz w:val="24"/>
          <w:szCs w:val="24"/>
        </w:rPr>
        <w:t xml:space="preserve">, N., &amp; </w:t>
      </w:r>
      <w:proofErr w:type="spellStart"/>
      <w:r w:rsidRPr="009206C2">
        <w:rPr>
          <w:rFonts w:ascii="Times New Roman" w:eastAsia="Times New Roman" w:hAnsi="Times New Roman" w:cs="Times New Roman"/>
          <w:sz w:val="24"/>
          <w:szCs w:val="24"/>
        </w:rPr>
        <w:t>Kristianto</w:t>
      </w:r>
      <w:proofErr w:type="spellEnd"/>
      <w:r w:rsidRPr="009206C2">
        <w:rPr>
          <w:rFonts w:ascii="Times New Roman" w:eastAsia="Times New Roman" w:hAnsi="Times New Roman" w:cs="Times New Roman"/>
          <w:sz w:val="24"/>
          <w:szCs w:val="24"/>
        </w:rPr>
        <w:t xml:space="preserve">, B. (2023). Psychiatric Approach Management of Ambiguous Genitalia in Children and Teenagers. </w:t>
      </w:r>
      <w:proofErr w:type="spellStart"/>
      <w:r w:rsidRPr="009206C2">
        <w:rPr>
          <w:rFonts w:ascii="Times New Roman" w:eastAsia="Times New Roman" w:hAnsi="Times New Roman" w:cs="Times New Roman"/>
          <w:i/>
          <w:iCs/>
          <w:sz w:val="24"/>
          <w:szCs w:val="24"/>
        </w:rPr>
        <w:t>Jurnal</w:t>
      </w:r>
      <w:proofErr w:type="spellEnd"/>
      <w:r w:rsidRPr="009206C2">
        <w:rPr>
          <w:rFonts w:ascii="Times New Roman" w:eastAsia="Times New Roman" w:hAnsi="Times New Roman" w:cs="Times New Roman"/>
          <w:i/>
          <w:iCs/>
          <w:sz w:val="24"/>
          <w:szCs w:val="24"/>
        </w:rPr>
        <w:t xml:space="preserve"> </w:t>
      </w:r>
      <w:proofErr w:type="spellStart"/>
      <w:r w:rsidRPr="009206C2">
        <w:rPr>
          <w:rFonts w:ascii="Times New Roman" w:eastAsia="Times New Roman" w:hAnsi="Times New Roman" w:cs="Times New Roman"/>
          <w:i/>
          <w:iCs/>
          <w:sz w:val="24"/>
          <w:szCs w:val="24"/>
        </w:rPr>
        <w:t>Psikiatri</w:t>
      </w:r>
      <w:proofErr w:type="spellEnd"/>
      <w:r w:rsidRPr="009206C2">
        <w:rPr>
          <w:rFonts w:ascii="Times New Roman" w:eastAsia="Times New Roman" w:hAnsi="Times New Roman" w:cs="Times New Roman"/>
          <w:i/>
          <w:iCs/>
          <w:sz w:val="24"/>
          <w:szCs w:val="24"/>
        </w:rPr>
        <w:t xml:space="preserve"> Surabaya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12</w:t>
      </w:r>
      <w:r w:rsidRPr="009206C2">
        <w:rPr>
          <w:rFonts w:ascii="Times New Roman" w:eastAsia="Times New Roman" w:hAnsi="Times New Roman" w:cs="Times New Roman"/>
          <w:sz w:val="24"/>
          <w:szCs w:val="24"/>
        </w:rPr>
        <w:t>(1), 1–11.</w:t>
      </w:r>
      <w:hyperlink r:id="rId16">
        <w:r w:rsidR="007E2F22" w:rsidRPr="009206C2">
          <w:rPr>
            <w:rFonts w:ascii="Times New Roman" w:eastAsia="Times New Roman" w:hAnsi="Times New Roman" w:cs="Times New Roman"/>
            <w:sz w:val="24"/>
            <w:szCs w:val="24"/>
          </w:rPr>
          <w:t xml:space="preserve"> </w:t>
        </w:r>
      </w:hyperlink>
      <w:hyperlink r:id="rId17">
        <w:r w:rsidR="007E2F22" w:rsidRPr="009206C2">
          <w:rPr>
            <w:rFonts w:ascii="Times New Roman" w:eastAsia="Times New Roman" w:hAnsi="Times New Roman" w:cs="Times New Roman"/>
            <w:color w:val="1155CC"/>
            <w:sz w:val="24"/>
            <w:szCs w:val="24"/>
            <w:u w:val="single"/>
          </w:rPr>
          <w:t>https://doi.org/10.20473/jps.v12i1.29117</w:t>
        </w:r>
      </w:hyperlink>
    </w:p>
    <w:p w14:paraId="652C8478"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Bennecke, E., Bernstein, S., Lee, P., van de Grift, T. C., </w:t>
      </w:r>
      <w:proofErr w:type="spellStart"/>
      <w:r w:rsidRPr="009206C2">
        <w:rPr>
          <w:rFonts w:ascii="Times New Roman" w:eastAsia="Times New Roman" w:hAnsi="Times New Roman" w:cs="Times New Roman"/>
          <w:sz w:val="24"/>
          <w:szCs w:val="24"/>
        </w:rPr>
        <w:t>Nordenskjöld</w:t>
      </w:r>
      <w:proofErr w:type="spellEnd"/>
      <w:r w:rsidRPr="009206C2">
        <w:rPr>
          <w:rFonts w:ascii="Times New Roman" w:eastAsia="Times New Roman" w:hAnsi="Times New Roman" w:cs="Times New Roman"/>
          <w:sz w:val="24"/>
          <w:szCs w:val="24"/>
        </w:rPr>
        <w:t xml:space="preserve">, A., Rapp, M., Simmonds, M., Streuli, J. C., Thyen, U., &amp; Wiesemann, C. (2021). Early Genital Surgery in Disorders/Differences of Sex Development: Patients’ Perspectives. </w:t>
      </w:r>
      <w:r w:rsidRPr="009206C2">
        <w:rPr>
          <w:rFonts w:ascii="Times New Roman" w:eastAsia="Times New Roman" w:hAnsi="Times New Roman" w:cs="Times New Roman"/>
          <w:i/>
          <w:iCs/>
          <w:sz w:val="24"/>
          <w:szCs w:val="24"/>
        </w:rPr>
        <w:t>Archives of Sexual Behavior</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50</w:t>
      </w:r>
      <w:r w:rsidRPr="009206C2">
        <w:rPr>
          <w:rFonts w:ascii="Times New Roman" w:eastAsia="Times New Roman" w:hAnsi="Times New Roman" w:cs="Times New Roman"/>
          <w:sz w:val="24"/>
          <w:szCs w:val="24"/>
        </w:rPr>
        <w:t>(3), 913–923.</w:t>
      </w:r>
      <w:hyperlink r:id="rId18">
        <w:r w:rsidR="007E2F22" w:rsidRPr="009206C2">
          <w:rPr>
            <w:rFonts w:ascii="Times New Roman" w:eastAsia="Times New Roman" w:hAnsi="Times New Roman" w:cs="Times New Roman"/>
            <w:sz w:val="24"/>
            <w:szCs w:val="24"/>
          </w:rPr>
          <w:t xml:space="preserve"> </w:t>
        </w:r>
      </w:hyperlink>
      <w:hyperlink r:id="rId19">
        <w:r w:rsidR="007E2F22" w:rsidRPr="009206C2">
          <w:rPr>
            <w:rFonts w:ascii="Times New Roman" w:eastAsia="Times New Roman" w:hAnsi="Times New Roman" w:cs="Times New Roman"/>
            <w:color w:val="1155CC"/>
            <w:sz w:val="24"/>
            <w:szCs w:val="24"/>
            <w:u w:val="single"/>
          </w:rPr>
          <w:t>https://doi.org/10.1007/s10508-021-01953-6</w:t>
        </w:r>
      </w:hyperlink>
    </w:p>
    <w:p w14:paraId="77E2EEF8"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Berglund, A., Chang, S., Lind-Holst, M., Stochholm, K., &amp; Gravholt, C. H. (2025). The epidemiology of disorders of sex development. </w:t>
      </w:r>
      <w:r w:rsidRPr="009206C2">
        <w:rPr>
          <w:rFonts w:ascii="Times New Roman" w:eastAsia="Times New Roman" w:hAnsi="Times New Roman" w:cs="Times New Roman"/>
          <w:i/>
          <w:iCs/>
          <w:sz w:val="24"/>
          <w:szCs w:val="24"/>
        </w:rPr>
        <w:t>Best Practice &amp; Research Clinical Endocrinology &amp; Metabolism, Differences &amp; Disorders of Sex Development: A Focus On Outcomes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39</w:t>
      </w:r>
      <w:r w:rsidRPr="009206C2">
        <w:rPr>
          <w:rFonts w:ascii="Times New Roman" w:eastAsia="Times New Roman" w:hAnsi="Times New Roman" w:cs="Times New Roman"/>
          <w:sz w:val="24"/>
          <w:szCs w:val="24"/>
        </w:rPr>
        <w:t>(4), 102002.</w:t>
      </w:r>
      <w:hyperlink r:id="rId20">
        <w:r w:rsidR="007E2F22" w:rsidRPr="009206C2">
          <w:rPr>
            <w:rFonts w:ascii="Times New Roman" w:eastAsia="Times New Roman" w:hAnsi="Times New Roman" w:cs="Times New Roman"/>
            <w:sz w:val="24"/>
            <w:szCs w:val="24"/>
          </w:rPr>
          <w:t xml:space="preserve"> </w:t>
        </w:r>
      </w:hyperlink>
      <w:hyperlink r:id="rId21">
        <w:r w:rsidR="007E2F22" w:rsidRPr="009206C2">
          <w:rPr>
            <w:rFonts w:ascii="Times New Roman" w:eastAsia="Times New Roman" w:hAnsi="Times New Roman" w:cs="Times New Roman"/>
            <w:color w:val="1155CC"/>
            <w:sz w:val="24"/>
            <w:szCs w:val="24"/>
            <w:u w:val="single"/>
          </w:rPr>
          <w:t>https://doi.org/10.1016/j.beem.2025.102002</w:t>
        </w:r>
      </w:hyperlink>
    </w:p>
    <w:p w14:paraId="57F6983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Claahsen</w:t>
      </w:r>
      <w:proofErr w:type="spellEnd"/>
      <w:r w:rsidRPr="009206C2">
        <w:rPr>
          <w:rFonts w:ascii="Times New Roman" w:eastAsia="Times New Roman" w:hAnsi="Times New Roman" w:cs="Times New Roman"/>
          <w:sz w:val="24"/>
          <w:szCs w:val="24"/>
        </w:rPr>
        <w:t xml:space="preserve">-van der </w:t>
      </w:r>
      <w:proofErr w:type="spellStart"/>
      <w:r w:rsidRPr="009206C2">
        <w:rPr>
          <w:rFonts w:ascii="Times New Roman" w:eastAsia="Times New Roman" w:hAnsi="Times New Roman" w:cs="Times New Roman"/>
          <w:sz w:val="24"/>
          <w:szCs w:val="24"/>
        </w:rPr>
        <w:t>Grinten</w:t>
      </w:r>
      <w:proofErr w:type="spellEnd"/>
      <w:r w:rsidRPr="009206C2">
        <w:rPr>
          <w:rFonts w:ascii="Times New Roman" w:eastAsia="Times New Roman" w:hAnsi="Times New Roman" w:cs="Times New Roman"/>
          <w:sz w:val="24"/>
          <w:szCs w:val="24"/>
        </w:rPr>
        <w:t xml:space="preserve">, H. L., Gravholt, C. H., White, E. K., </w:t>
      </w:r>
      <w:proofErr w:type="spellStart"/>
      <w:r w:rsidRPr="009206C2">
        <w:rPr>
          <w:rFonts w:ascii="Times New Roman" w:eastAsia="Times New Roman" w:hAnsi="Times New Roman" w:cs="Times New Roman"/>
          <w:sz w:val="24"/>
          <w:szCs w:val="24"/>
        </w:rPr>
        <w:t>Brösamle</w:t>
      </w:r>
      <w:proofErr w:type="spellEnd"/>
      <w:r w:rsidRPr="009206C2">
        <w:rPr>
          <w:rFonts w:ascii="Times New Roman" w:eastAsia="Times New Roman" w:hAnsi="Times New Roman" w:cs="Times New Roman"/>
          <w:sz w:val="24"/>
          <w:szCs w:val="24"/>
        </w:rPr>
        <w:t xml:space="preserve">, M., Breen, L., Smyth, A., </w:t>
      </w:r>
      <w:proofErr w:type="spellStart"/>
      <w:r w:rsidRPr="009206C2">
        <w:rPr>
          <w:rFonts w:ascii="Times New Roman" w:eastAsia="Times New Roman" w:hAnsi="Times New Roman" w:cs="Times New Roman"/>
          <w:sz w:val="24"/>
          <w:szCs w:val="24"/>
        </w:rPr>
        <w:t>Persani</w:t>
      </w:r>
      <w:proofErr w:type="spellEnd"/>
      <w:r w:rsidRPr="009206C2">
        <w:rPr>
          <w:rFonts w:ascii="Times New Roman" w:eastAsia="Times New Roman" w:hAnsi="Times New Roman" w:cs="Times New Roman"/>
          <w:sz w:val="24"/>
          <w:szCs w:val="24"/>
        </w:rPr>
        <w:t xml:space="preserve">, L., Hiort, O., Main Thematic Group 7 for Sex Development and Maturation in the European Reference Network on Rare Endocrine Conditions (Endo-ERN), &amp; On behalf of the. (2026). ENDO-ERN expert opinion: Addressing the endocrine needs in considering genital surgery in disorders/differences in sex development individuals in Europe. </w:t>
      </w:r>
      <w:r w:rsidRPr="009206C2">
        <w:rPr>
          <w:rFonts w:ascii="Times New Roman" w:eastAsia="Times New Roman" w:hAnsi="Times New Roman" w:cs="Times New Roman"/>
          <w:i/>
          <w:iCs/>
          <w:sz w:val="24"/>
          <w:szCs w:val="24"/>
        </w:rPr>
        <w:t>European Journal of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194</w:t>
      </w:r>
      <w:r w:rsidRPr="009206C2">
        <w:rPr>
          <w:rFonts w:ascii="Times New Roman" w:eastAsia="Times New Roman" w:hAnsi="Times New Roman" w:cs="Times New Roman"/>
          <w:sz w:val="24"/>
          <w:szCs w:val="24"/>
        </w:rPr>
        <w:t>(2), 217–224.</w:t>
      </w:r>
      <w:hyperlink r:id="rId22">
        <w:r w:rsidR="007E2F22" w:rsidRPr="009206C2">
          <w:rPr>
            <w:rFonts w:ascii="Times New Roman" w:eastAsia="Times New Roman" w:hAnsi="Times New Roman" w:cs="Times New Roman"/>
            <w:sz w:val="24"/>
            <w:szCs w:val="24"/>
          </w:rPr>
          <w:t xml:space="preserve"> </w:t>
        </w:r>
      </w:hyperlink>
      <w:hyperlink r:id="rId23">
        <w:r w:rsidR="007E2F22" w:rsidRPr="009206C2">
          <w:rPr>
            <w:rFonts w:ascii="Times New Roman" w:eastAsia="Times New Roman" w:hAnsi="Times New Roman" w:cs="Times New Roman"/>
            <w:color w:val="1155CC"/>
            <w:sz w:val="24"/>
            <w:szCs w:val="24"/>
            <w:u w:val="single"/>
          </w:rPr>
          <w:t>https://doi.org/10.1093/ejendo/lvag009</w:t>
        </w:r>
      </w:hyperlink>
    </w:p>
    <w:p w14:paraId="2A39E35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Das, K., Deb, M., Shubha, A. M., &amp; Pati, A. B. (2026). Surgical management of 46</w:t>
      </w:r>
      <w:proofErr w:type="gramStart"/>
      <w:r w:rsidRPr="009206C2">
        <w:rPr>
          <w:rFonts w:ascii="Times New Roman" w:eastAsia="Times New Roman" w:hAnsi="Times New Roman" w:cs="Times New Roman"/>
          <w:sz w:val="24"/>
          <w:szCs w:val="24"/>
        </w:rPr>
        <w:t>,XY</w:t>
      </w:r>
      <w:proofErr w:type="gramEnd"/>
      <w:r w:rsidRPr="009206C2">
        <w:rPr>
          <w:rFonts w:ascii="Times New Roman" w:eastAsia="Times New Roman" w:hAnsi="Times New Roman" w:cs="Times New Roman"/>
          <w:sz w:val="24"/>
          <w:szCs w:val="24"/>
        </w:rPr>
        <w:t xml:space="preserve"> differences in sex development. </w:t>
      </w:r>
      <w:r w:rsidRPr="009206C2">
        <w:rPr>
          <w:rFonts w:ascii="Times New Roman" w:eastAsia="Times New Roman" w:hAnsi="Times New Roman" w:cs="Times New Roman"/>
          <w:i/>
          <w:iCs/>
          <w:sz w:val="24"/>
          <w:szCs w:val="24"/>
        </w:rPr>
        <w:t>Journal of Pediatric Endocrinology and Diabetes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w:t>
      </w:r>
      <w:r w:rsidRPr="009206C2">
        <w:rPr>
          <w:rFonts w:ascii="Times New Roman" w:eastAsia="Times New Roman" w:hAnsi="Times New Roman" w:cs="Times New Roman"/>
          <w:sz w:val="24"/>
          <w:szCs w:val="24"/>
        </w:rPr>
        <w:t>(3), 130–138.</w:t>
      </w:r>
      <w:hyperlink r:id="rId24">
        <w:r w:rsidR="007E2F22" w:rsidRPr="009206C2">
          <w:rPr>
            <w:rFonts w:ascii="Times New Roman" w:eastAsia="Times New Roman" w:hAnsi="Times New Roman" w:cs="Times New Roman"/>
            <w:sz w:val="24"/>
            <w:szCs w:val="24"/>
          </w:rPr>
          <w:t xml:space="preserve"> </w:t>
        </w:r>
      </w:hyperlink>
      <w:hyperlink r:id="rId25">
        <w:r w:rsidR="007E2F22" w:rsidRPr="009206C2">
          <w:rPr>
            <w:rFonts w:ascii="Times New Roman" w:eastAsia="Times New Roman" w:hAnsi="Times New Roman" w:cs="Times New Roman"/>
            <w:color w:val="1155CC"/>
            <w:sz w:val="24"/>
            <w:szCs w:val="24"/>
            <w:u w:val="single"/>
          </w:rPr>
          <w:t>https://doi.org/10.25259/JPED_81_2025</w:t>
        </w:r>
      </w:hyperlink>
    </w:p>
    <w:p w14:paraId="09D2B83A"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Döhnert, U., &amp; Davies, J. H. (2025). Care quality improvement in differences of sex development. </w:t>
      </w:r>
      <w:r w:rsidRPr="009206C2">
        <w:rPr>
          <w:rFonts w:ascii="Times New Roman" w:eastAsia="Times New Roman" w:hAnsi="Times New Roman" w:cs="Times New Roman"/>
          <w:i/>
          <w:iCs/>
          <w:sz w:val="24"/>
          <w:szCs w:val="24"/>
        </w:rPr>
        <w:t>Best Practice &amp; Research Clinical Endocrinology &amp; Metabolism, Differences &amp; Disorders of Sex Development: A Focus On Outcomes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39</w:t>
      </w:r>
      <w:r w:rsidRPr="009206C2">
        <w:rPr>
          <w:rFonts w:ascii="Times New Roman" w:eastAsia="Times New Roman" w:hAnsi="Times New Roman" w:cs="Times New Roman"/>
          <w:sz w:val="24"/>
          <w:szCs w:val="24"/>
        </w:rPr>
        <w:t>(4), 102016.</w:t>
      </w:r>
      <w:hyperlink r:id="rId26">
        <w:r w:rsidR="007E2F22" w:rsidRPr="009206C2">
          <w:rPr>
            <w:rFonts w:ascii="Times New Roman" w:eastAsia="Times New Roman" w:hAnsi="Times New Roman" w:cs="Times New Roman"/>
            <w:sz w:val="24"/>
            <w:szCs w:val="24"/>
          </w:rPr>
          <w:t xml:space="preserve"> </w:t>
        </w:r>
      </w:hyperlink>
      <w:hyperlink r:id="rId27">
        <w:r w:rsidR="007E2F22" w:rsidRPr="009206C2">
          <w:rPr>
            <w:rFonts w:ascii="Times New Roman" w:eastAsia="Times New Roman" w:hAnsi="Times New Roman" w:cs="Times New Roman"/>
            <w:color w:val="1155CC"/>
            <w:sz w:val="24"/>
            <w:szCs w:val="24"/>
            <w:u w:val="single"/>
          </w:rPr>
          <w:t>https://doi.org/10.1016/j.beem.2025.102016</w:t>
        </w:r>
      </w:hyperlink>
    </w:p>
    <w:p w14:paraId="73F2511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lastRenderedPageBreak/>
        <w:t>Faradz</w:t>
      </w:r>
      <w:proofErr w:type="spellEnd"/>
      <w:r w:rsidRPr="009206C2">
        <w:rPr>
          <w:rFonts w:ascii="Times New Roman" w:eastAsia="Times New Roman" w:hAnsi="Times New Roman" w:cs="Times New Roman"/>
          <w:sz w:val="24"/>
          <w:szCs w:val="24"/>
        </w:rPr>
        <w:t xml:space="preserve">, S., </w:t>
      </w:r>
      <w:proofErr w:type="spellStart"/>
      <w:r w:rsidRPr="009206C2">
        <w:rPr>
          <w:rFonts w:ascii="Times New Roman" w:eastAsia="Times New Roman" w:hAnsi="Times New Roman" w:cs="Times New Roman"/>
          <w:sz w:val="24"/>
          <w:szCs w:val="24"/>
        </w:rPr>
        <w:t>Maritska</w:t>
      </w:r>
      <w:proofErr w:type="spellEnd"/>
      <w:r w:rsidRPr="009206C2">
        <w:rPr>
          <w:rFonts w:ascii="Times New Roman" w:eastAsia="Times New Roman" w:hAnsi="Times New Roman" w:cs="Times New Roman"/>
          <w:sz w:val="24"/>
          <w:szCs w:val="24"/>
        </w:rPr>
        <w:t xml:space="preserve">, Z., </w:t>
      </w:r>
      <w:proofErr w:type="spellStart"/>
      <w:r w:rsidRPr="009206C2">
        <w:rPr>
          <w:rFonts w:ascii="Times New Roman" w:eastAsia="Times New Roman" w:hAnsi="Times New Roman" w:cs="Times New Roman"/>
          <w:sz w:val="24"/>
          <w:szCs w:val="24"/>
        </w:rPr>
        <w:t>Komandur</w:t>
      </w:r>
      <w:proofErr w:type="spellEnd"/>
      <w:r w:rsidRPr="009206C2">
        <w:rPr>
          <w:rFonts w:ascii="Times New Roman" w:eastAsia="Times New Roman" w:hAnsi="Times New Roman" w:cs="Times New Roman"/>
          <w:sz w:val="24"/>
          <w:szCs w:val="24"/>
        </w:rPr>
        <w:t xml:space="preserve">, S., &amp; Hasan, Q. A. (2025). Genetic counselling of disorders of sex development (DSD) in low middle income country (LMIC): Case studies. </w:t>
      </w:r>
      <w:r w:rsidRPr="009206C2">
        <w:rPr>
          <w:rFonts w:ascii="Times New Roman" w:eastAsia="Times New Roman" w:hAnsi="Times New Roman" w:cs="Times New Roman"/>
          <w:i/>
          <w:iCs/>
          <w:sz w:val="24"/>
          <w:szCs w:val="24"/>
        </w:rPr>
        <w:t>Egyptian Journal of Medical Human Genetics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26</w:t>
      </w:r>
      <w:r w:rsidRPr="009206C2">
        <w:rPr>
          <w:rFonts w:ascii="Times New Roman" w:eastAsia="Times New Roman" w:hAnsi="Times New Roman" w:cs="Times New Roman"/>
          <w:sz w:val="24"/>
          <w:szCs w:val="24"/>
        </w:rPr>
        <w:t>(1), 53.</w:t>
      </w:r>
      <w:hyperlink r:id="rId28">
        <w:r w:rsidR="007E2F22" w:rsidRPr="009206C2">
          <w:rPr>
            <w:rFonts w:ascii="Times New Roman" w:eastAsia="Times New Roman" w:hAnsi="Times New Roman" w:cs="Times New Roman"/>
            <w:sz w:val="24"/>
            <w:szCs w:val="24"/>
          </w:rPr>
          <w:t xml:space="preserve"> </w:t>
        </w:r>
      </w:hyperlink>
      <w:hyperlink r:id="rId29">
        <w:r w:rsidR="007E2F22" w:rsidRPr="009206C2">
          <w:rPr>
            <w:rFonts w:ascii="Times New Roman" w:eastAsia="Times New Roman" w:hAnsi="Times New Roman" w:cs="Times New Roman"/>
            <w:color w:val="1155CC"/>
            <w:sz w:val="24"/>
            <w:szCs w:val="24"/>
            <w:u w:val="single"/>
          </w:rPr>
          <w:t>https://doi.org/10.1186/s43042-025-00681-z</w:t>
        </w:r>
      </w:hyperlink>
    </w:p>
    <w:p w14:paraId="321D351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Gramc, M., Monro, S., Stephenson, J., &amp; Streuli, J. (2024). Psychosocial Support for Parents, Infants, Children, and Adolescents with Variations of Sex Characteristics: Results from a Pan-European Survey. </w:t>
      </w:r>
      <w:r w:rsidRPr="009206C2">
        <w:rPr>
          <w:rFonts w:ascii="Times New Roman" w:eastAsia="Times New Roman" w:hAnsi="Times New Roman" w:cs="Times New Roman"/>
          <w:i/>
          <w:iCs/>
          <w:sz w:val="24"/>
          <w:szCs w:val="24"/>
        </w:rPr>
        <w:t>Behavioral Sciences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14</w:t>
      </w:r>
      <w:r w:rsidRPr="009206C2">
        <w:rPr>
          <w:rFonts w:ascii="Times New Roman" w:eastAsia="Times New Roman" w:hAnsi="Times New Roman" w:cs="Times New Roman"/>
          <w:sz w:val="24"/>
          <w:szCs w:val="24"/>
        </w:rPr>
        <w:t>(9), 832.</w:t>
      </w:r>
      <w:hyperlink r:id="rId30">
        <w:r w:rsidR="007E2F22" w:rsidRPr="009206C2">
          <w:rPr>
            <w:rFonts w:ascii="Times New Roman" w:eastAsia="Times New Roman" w:hAnsi="Times New Roman" w:cs="Times New Roman"/>
            <w:sz w:val="24"/>
            <w:szCs w:val="24"/>
          </w:rPr>
          <w:t xml:space="preserve"> </w:t>
        </w:r>
      </w:hyperlink>
      <w:hyperlink r:id="rId31">
        <w:r w:rsidR="007E2F22" w:rsidRPr="009206C2">
          <w:rPr>
            <w:rFonts w:ascii="Times New Roman" w:eastAsia="Times New Roman" w:hAnsi="Times New Roman" w:cs="Times New Roman"/>
            <w:color w:val="1155CC"/>
            <w:sz w:val="24"/>
            <w:szCs w:val="24"/>
            <w:u w:val="single"/>
          </w:rPr>
          <w:t>https://doi.org/10.3390/bs14090832</w:t>
        </w:r>
      </w:hyperlink>
    </w:p>
    <w:p w14:paraId="258AC8D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Grewal, A., Kataria, H., &amp; Dhawan, I. (2016). Literature search for research planning and identification of research problem. </w:t>
      </w:r>
      <w:r w:rsidRPr="009206C2">
        <w:rPr>
          <w:rFonts w:ascii="Times New Roman" w:eastAsia="Times New Roman" w:hAnsi="Times New Roman" w:cs="Times New Roman"/>
          <w:i/>
          <w:iCs/>
          <w:sz w:val="24"/>
          <w:szCs w:val="24"/>
        </w:rPr>
        <w:t xml:space="preserve">Indian Journal of </w:t>
      </w:r>
      <w:proofErr w:type="spellStart"/>
      <w:r w:rsidRPr="009206C2">
        <w:rPr>
          <w:rFonts w:ascii="Times New Roman" w:eastAsia="Times New Roman" w:hAnsi="Times New Roman" w:cs="Times New Roman"/>
          <w:i/>
          <w:iCs/>
          <w:sz w:val="24"/>
          <w:szCs w:val="24"/>
        </w:rPr>
        <w:t>Anaesthesia</w:t>
      </w:r>
      <w:proofErr w:type="spellEnd"/>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60</w:t>
      </w:r>
      <w:r w:rsidRPr="009206C2">
        <w:rPr>
          <w:rFonts w:ascii="Times New Roman" w:eastAsia="Times New Roman" w:hAnsi="Times New Roman" w:cs="Times New Roman"/>
          <w:sz w:val="24"/>
          <w:szCs w:val="24"/>
        </w:rPr>
        <w:t>(9), 635–639.</w:t>
      </w:r>
      <w:hyperlink r:id="rId32">
        <w:r w:rsidR="007E2F22" w:rsidRPr="009206C2">
          <w:rPr>
            <w:rFonts w:ascii="Times New Roman" w:eastAsia="Times New Roman" w:hAnsi="Times New Roman" w:cs="Times New Roman"/>
            <w:sz w:val="24"/>
            <w:szCs w:val="24"/>
          </w:rPr>
          <w:t xml:space="preserve"> </w:t>
        </w:r>
      </w:hyperlink>
      <w:hyperlink r:id="rId33">
        <w:r w:rsidR="007E2F22" w:rsidRPr="009206C2">
          <w:rPr>
            <w:rFonts w:ascii="Times New Roman" w:eastAsia="Times New Roman" w:hAnsi="Times New Roman" w:cs="Times New Roman"/>
            <w:color w:val="1155CC"/>
            <w:sz w:val="24"/>
            <w:szCs w:val="24"/>
            <w:u w:val="single"/>
          </w:rPr>
          <w:t>https://doi.org/10.4103/0019-5049.190618</w:t>
        </w:r>
      </w:hyperlink>
    </w:p>
    <w:p w14:paraId="5847A1E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Hidouri</w:t>
      </w:r>
      <w:proofErr w:type="spellEnd"/>
      <w:r w:rsidRPr="009206C2">
        <w:rPr>
          <w:rFonts w:ascii="Times New Roman" w:eastAsia="Times New Roman" w:hAnsi="Times New Roman" w:cs="Times New Roman"/>
          <w:sz w:val="24"/>
          <w:szCs w:val="24"/>
        </w:rPr>
        <w:t xml:space="preserve">, S., </w:t>
      </w:r>
      <w:proofErr w:type="spellStart"/>
      <w:r w:rsidRPr="009206C2">
        <w:rPr>
          <w:rFonts w:ascii="Times New Roman" w:eastAsia="Times New Roman" w:hAnsi="Times New Roman" w:cs="Times New Roman"/>
          <w:sz w:val="24"/>
          <w:szCs w:val="24"/>
        </w:rPr>
        <w:t>Kalaitzoglou</w:t>
      </w:r>
      <w:proofErr w:type="spellEnd"/>
      <w:r w:rsidRPr="009206C2">
        <w:rPr>
          <w:rFonts w:ascii="Times New Roman" w:eastAsia="Times New Roman" w:hAnsi="Times New Roman" w:cs="Times New Roman"/>
          <w:sz w:val="24"/>
          <w:szCs w:val="24"/>
        </w:rPr>
        <w:t xml:space="preserve">, E., &amp; Romero, C. J. (2025). Editorial: Disorders of sex development in children: advancing multidisciplinary approaches for complex diagnosis and management. </w:t>
      </w:r>
      <w:r w:rsidRPr="009206C2">
        <w:rPr>
          <w:rFonts w:ascii="Times New Roman" w:eastAsia="Times New Roman" w:hAnsi="Times New Roman" w:cs="Times New Roman"/>
          <w:i/>
          <w:iCs/>
          <w:sz w:val="24"/>
          <w:szCs w:val="24"/>
        </w:rPr>
        <w:t>Frontiers in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13</w:t>
      </w:r>
      <w:r w:rsidRPr="009206C2">
        <w:rPr>
          <w:rFonts w:ascii="Times New Roman" w:eastAsia="Times New Roman" w:hAnsi="Times New Roman" w:cs="Times New Roman"/>
          <w:sz w:val="24"/>
          <w:szCs w:val="24"/>
        </w:rPr>
        <w:t>.</w:t>
      </w:r>
      <w:hyperlink r:id="rId34">
        <w:r w:rsidR="007E2F22" w:rsidRPr="009206C2">
          <w:rPr>
            <w:rFonts w:ascii="Times New Roman" w:eastAsia="Times New Roman" w:hAnsi="Times New Roman" w:cs="Times New Roman"/>
            <w:sz w:val="24"/>
            <w:szCs w:val="24"/>
          </w:rPr>
          <w:t xml:space="preserve"> </w:t>
        </w:r>
      </w:hyperlink>
      <w:hyperlink r:id="rId35">
        <w:r w:rsidR="007E2F22" w:rsidRPr="009206C2">
          <w:rPr>
            <w:rFonts w:ascii="Times New Roman" w:eastAsia="Times New Roman" w:hAnsi="Times New Roman" w:cs="Times New Roman"/>
            <w:color w:val="1155CC"/>
            <w:sz w:val="24"/>
            <w:szCs w:val="24"/>
            <w:u w:val="single"/>
          </w:rPr>
          <w:t>https://doi.org/10.3389/fped.2025.1646197</w:t>
        </w:r>
      </w:hyperlink>
    </w:p>
    <w:p w14:paraId="4F1A941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Ishii, T., </w:t>
      </w:r>
      <w:proofErr w:type="spellStart"/>
      <w:r w:rsidRPr="009206C2">
        <w:rPr>
          <w:rFonts w:ascii="Times New Roman" w:eastAsia="Times New Roman" w:hAnsi="Times New Roman" w:cs="Times New Roman"/>
          <w:sz w:val="24"/>
          <w:szCs w:val="24"/>
        </w:rPr>
        <w:t>Kashimada</w:t>
      </w:r>
      <w:proofErr w:type="spellEnd"/>
      <w:r w:rsidRPr="009206C2">
        <w:rPr>
          <w:rFonts w:ascii="Times New Roman" w:eastAsia="Times New Roman" w:hAnsi="Times New Roman" w:cs="Times New Roman"/>
          <w:sz w:val="24"/>
          <w:szCs w:val="24"/>
        </w:rPr>
        <w:t xml:space="preserve">, K., Kawai, M., </w:t>
      </w:r>
      <w:proofErr w:type="spellStart"/>
      <w:r w:rsidRPr="009206C2">
        <w:rPr>
          <w:rFonts w:ascii="Times New Roman" w:eastAsia="Times New Roman" w:hAnsi="Times New Roman" w:cs="Times New Roman"/>
          <w:sz w:val="24"/>
          <w:szCs w:val="24"/>
        </w:rPr>
        <w:t>Itonaga</w:t>
      </w:r>
      <w:proofErr w:type="spellEnd"/>
      <w:r w:rsidRPr="009206C2">
        <w:rPr>
          <w:rFonts w:ascii="Times New Roman" w:eastAsia="Times New Roman" w:hAnsi="Times New Roman" w:cs="Times New Roman"/>
          <w:sz w:val="24"/>
          <w:szCs w:val="24"/>
        </w:rPr>
        <w:t xml:space="preserve">, T., Iwasa, T., Utsunomiya, A., Ozaki, K., Kawamura, K., Kanno, J., Koh, J., Kojima, Y., Sasaki, S., Sato, H., Shiraishi, K., </w:t>
      </w:r>
      <w:proofErr w:type="spellStart"/>
      <w:r w:rsidRPr="009206C2">
        <w:rPr>
          <w:rFonts w:ascii="Times New Roman" w:eastAsia="Times New Roman" w:hAnsi="Times New Roman" w:cs="Times New Roman"/>
          <w:sz w:val="24"/>
          <w:szCs w:val="24"/>
        </w:rPr>
        <w:t>Naiki</w:t>
      </w:r>
      <w:proofErr w:type="spellEnd"/>
      <w:r w:rsidRPr="009206C2">
        <w:rPr>
          <w:rFonts w:ascii="Times New Roman" w:eastAsia="Times New Roman" w:hAnsi="Times New Roman" w:cs="Times New Roman"/>
          <w:sz w:val="24"/>
          <w:szCs w:val="24"/>
        </w:rPr>
        <w:t xml:space="preserve">, Y., Nishiyama, M., </w:t>
      </w:r>
      <w:proofErr w:type="spellStart"/>
      <w:r w:rsidRPr="009206C2">
        <w:rPr>
          <w:rFonts w:ascii="Times New Roman" w:eastAsia="Times New Roman" w:hAnsi="Times New Roman" w:cs="Times New Roman"/>
          <w:sz w:val="24"/>
          <w:szCs w:val="24"/>
        </w:rPr>
        <w:t>Hamajima</w:t>
      </w:r>
      <w:proofErr w:type="spellEnd"/>
      <w:r w:rsidRPr="009206C2">
        <w:rPr>
          <w:rFonts w:ascii="Times New Roman" w:eastAsia="Times New Roman" w:hAnsi="Times New Roman" w:cs="Times New Roman"/>
          <w:sz w:val="24"/>
          <w:szCs w:val="24"/>
        </w:rPr>
        <w:t xml:space="preserve">, T., Fujisawa, Y., Makita, N., … Ogata, T. (2026). Clinical practice guidelines for the management of differences of sex development in Japan. </w:t>
      </w:r>
      <w:r w:rsidRPr="009206C2">
        <w:rPr>
          <w:rFonts w:ascii="Times New Roman" w:eastAsia="Times New Roman" w:hAnsi="Times New Roman" w:cs="Times New Roman"/>
          <w:i/>
          <w:iCs/>
          <w:sz w:val="24"/>
          <w:szCs w:val="24"/>
        </w:rPr>
        <w:t>Clinical Pediatric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35</w:t>
      </w:r>
      <w:r w:rsidRPr="009206C2">
        <w:rPr>
          <w:rFonts w:ascii="Times New Roman" w:eastAsia="Times New Roman" w:hAnsi="Times New Roman" w:cs="Times New Roman"/>
          <w:sz w:val="24"/>
          <w:szCs w:val="24"/>
        </w:rPr>
        <w:t>(1), 1–49.</w:t>
      </w:r>
      <w:hyperlink r:id="rId36">
        <w:r w:rsidR="007E2F22" w:rsidRPr="009206C2">
          <w:rPr>
            <w:rFonts w:ascii="Times New Roman" w:eastAsia="Times New Roman" w:hAnsi="Times New Roman" w:cs="Times New Roman"/>
            <w:sz w:val="24"/>
            <w:szCs w:val="24"/>
          </w:rPr>
          <w:t xml:space="preserve"> </w:t>
        </w:r>
      </w:hyperlink>
      <w:hyperlink r:id="rId37">
        <w:r w:rsidR="007E2F22" w:rsidRPr="009206C2">
          <w:rPr>
            <w:rFonts w:ascii="Times New Roman" w:eastAsia="Times New Roman" w:hAnsi="Times New Roman" w:cs="Times New Roman"/>
            <w:color w:val="1155CC"/>
            <w:sz w:val="24"/>
            <w:szCs w:val="24"/>
            <w:u w:val="single"/>
          </w:rPr>
          <w:t>https://doi.org/10.1297/cpe.2025-0073</w:t>
        </w:r>
      </w:hyperlink>
    </w:p>
    <w:p w14:paraId="49B06EFA"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Jindal, A., Rana, L., &amp; Uppal, K. (2024). Biochemical, Cytogenetic and Molecular Evaluation of Ambiguous Genitalia in Pediatric Patients. </w:t>
      </w:r>
      <w:r w:rsidRPr="009206C2">
        <w:rPr>
          <w:rFonts w:ascii="Times New Roman" w:eastAsia="Times New Roman" w:hAnsi="Times New Roman" w:cs="Times New Roman"/>
          <w:i/>
          <w:iCs/>
          <w:sz w:val="24"/>
          <w:szCs w:val="24"/>
        </w:rPr>
        <w:t>International Journal of Health Sciences and Research</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14</w:t>
      </w:r>
      <w:r w:rsidRPr="009206C2">
        <w:rPr>
          <w:rFonts w:ascii="Times New Roman" w:eastAsia="Times New Roman" w:hAnsi="Times New Roman" w:cs="Times New Roman"/>
          <w:sz w:val="24"/>
          <w:szCs w:val="24"/>
        </w:rPr>
        <w:t>(2), 70–75.</w:t>
      </w:r>
      <w:hyperlink r:id="rId38">
        <w:r w:rsidR="007E2F22" w:rsidRPr="009206C2">
          <w:rPr>
            <w:rFonts w:ascii="Times New Roman" w:eastAsia="Times New Roman" w:hAnsi="Times New Roman" w:cs="Times New Roman"/>
            <w:sz w:val="24"/>
            <w:szCs w:val="24"/>
          </w:rPr>
          <w:t xml:space="preserve"> </w:t>
        </w:r>
      </w:hyperlink>
      <w:hyperlink r:id="rId39">
        <w:r w:rsidR="007E2F22" w:rsidRPr="009206C2">
          <w:rPr>
            <w:rFonts w:ascii="Times New Roman" w:eastAsia="Times New Roman" w:hAnsi="Times New Roman" w:cs="Times New Roman"/>
            <w:color w:val="1155CC"/>
            <w:sz w:val="24"/>
            <w:szCs w:val="24"/>
            <w:u w:val="single"/>
          </w:rPr>
          <w:t>https://doi.org/10.52403/ijhsr.20240209</w:t>
        </w:r>
      </w:hyperlink>
    </w:p>
    <w:p w14:paraId="109E5C3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Jun, J., Song, S. H., Park, S., Han, J. H., &amp; Kim, K. S. (2021). Surgical Outcomes of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xml:space="preserve"> in Children with Congenital Adrenal Hyperplasia and Clitoral Hypertrophy: A 19-Year Experience of a Single Surgeon. </w:t>
      </w:r>
      <w:r w:rsidRPr="009206C2">
        <w:rPr>
          <w:rFonts w:ascii="Times New Roman" w:eastAsia="Times New Roman" w:hAnsi="Times New Roman" w:cs="Times New Roman"/>
          <w:i/>
          <w:iCs/>
          <w:sz w:val="24"/>
          <w:szCs w:val="24"/>
        </w:rPr>
        <w:t>International Journal of Environmental Research and Public Health</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18</w:t>
      </w:r>
      <w:r w:rsidRPr="009206C2">
        <w:rPr>
          <w:rFonts w:ascii="Times New Roman" w:eastAsia="Times New Roman" w:hAnsi="Times New Roman" w:cs="Times New Roman"/>
          <w:sz w:val="24"/>
          <w:szCs w:val="24"/>
        </w:rPr>
        <w:t>(21), 11152.</w:t>
      </w:r>
      <w:hyperlink r:id="rId40">
        <w:r w:rsidR="007E2F22" w:rsidRPr="009206C2">
          <w:rPr>
            <w:rFonts w:ascii="Times New Roman" w:eastAsia="Times New Roman" w:hAnsi="Times New Roman" w:cs="Times New Roman"/>
            <w:sz w:val="24"/>
            <w:szCs w:val="24"/>
          </w:rPr>
          <w:t xml:space="preserve"> </w:t>
        </w:r>
      </w:hyperlink>
      <w:hyperlink r:id="rId41">
        <w:r w:rsidR="007E2F22" w:rsidRPr="009206C2">
          <w:rPr>
            <w:rFonts w:ascii="Times New Roman" w:eastAsia="Times New Roman" w:hAnsi="Times New Roman" w:cs="Times New Roman"/>
            <w:color w:val="1155CC"/>
            <w:sz w:val="24"/>
            <w:szCs w:val="24"/>
            <w:u w:val="single"/>
          </w:rPr>
          <w:t>https://doi.org/10.3390/ijerph182111152</w:t>
        </w:r>
      </w:hyperlink>
    </w:p>
    <w:p w14:paraId="26456DD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Kamoun, C., &amp; Dalke, K. B. (2025). Embracing Difference in Intersex Variations. </w:t>
      </w:r>
      <w:r w:rsidRPr="009206C2">
        <w:rPr>
          <w:rFonts w:ascii="Times New Roman" w:eastAsia="Times New Roman" w:hAnsi="Times New Roman" w:cs="Times New Roman"/>
          <w:i/>
          <w:iCs/>
          <w:sz w:val="24"/>
          <w:szCs w:val="24"/>
        </w:rPr>
        <w:t>Clinical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64</w:t>
      </w:r>
      <w:r w:rsidRPr="009206C2">
        <w:rPr>
          <w:rFonts w:ascii="Times New Roman" w:eastAsia="Times New Roman" w:hAnsi="Times New Roman" w:cs="Times New Roman"/>
          <w:sz w:val="24"/>
          <w:szCs w:val="24"/>
        </w:rPr>
        <w:t>(6), 753–760.</w:t>
      </w:r>
      <w:hyperlink r:id="rId42">
        <w:r w:rsidR="007E2F22" w:rsidRPr="009206C2">
          <w:rPr>
            <w:rFonts w:ascii="Times New Roman" w:eastAsia="Times New Roman" w:hAnsi="Times New Roman" w:cs="Times New Roman"/>
            <w:sz w:val="24"/>
            <w:szCs w:val="24"/>
          </w:rPr>
          <w:t xml:space="preserve"> </w:t>
        </w:r>
      </w:hyperlink>
      <w:hyperlink r:id="rId43">
        <w:r w:rsidR="007E2F22" w:rsidRPr="009206C2">
          <w:rPr>
            <w:rFonts w:ascii="Times New Roman" w:eastAsia="Times New Roman" w:hAnsi="Times New Roman" w:cs="Times New Roman"/>
            <w:color w:val="1155CC"/>
            <w:sz w:val="24"/>
            <w:szCs w:val="24"/>
            <w:u w:val="single"/>
          </w:rPr>
          <w:t>https://doi.org/10.1177/00099228241299909</w:t>
        </w:r>
      </w:hyperlink>
    </w:p>
    <w:p w14:paraId="5092ED1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D. Ö., Özen, S.,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D. Ö., &amp; Özen, S. (2024). Current Diagnostic Approaches in the Genetic Diagnosis of Disorders of Sex Development. </w:t>
      </w:r>
      <w:r w:rsidRPr="009206C2">
        <w:rPr>
          <w:rFonts w:ascii="Times New Roman" w:eastAsia="Times New Roman" w:hAnsi="Times New Roman" w:cs="Times New Roman"/>
          <w:i/>
          <w:iCs/>
          <w:sz w:val="24"/>
          <w:szCs w:val="24"/>
        </w:rPr>
        <w:t>Journal of Clinical Research in Pediatric Endocrinology</w:t>
      </w:r>
      <w:r w:rsidRPr="009206C2">
        <w:rPr>
          <w:rFonts w:ascii="Times New Roman" w:eastAsia="Times New Roman" w:hAnsi="Times New Roman" w:cs="Times New Roman"/>
          <w:sz w:val="24"/>
          <w:szCs w:val="24"/>
        </w:rPr>
        <w:t>.</w:t>
      </w:r>
      <w:hyperlink r:id="rId44">
        <w:r w:rsidR="007E2F22" w:rsidRPr="009206C2">
          <w:rPr>
            <w:rFonts w:ascii="Times New Roman" w:eastAsia="Times New Roman" w:hAnsi="Times New Roman" w:cs="Times New Roman"/>
            <w:sz w:val="24"/>
            <w:szCs w:val="24"/>
          </w:rPr>
          <w:t xml:space="preserve"> </w:t>
        </w:r>
      </w:hyperlink>
      <w:hyperlink r:id="rId45">
        <w:r w:rsidR="007E2F22" w:rsidRPr="009206C2">
          <w:rPr>
            <w:rFonts w:ascii="Times New Roman" w:eastAsia="Times New Roman" w:hAnsi="Times New Roman" w:cs="Times New Roman"/>
            <w:color w:val="1155CC"/>
            <w:sz w:val="24"/>
            <w:szCs w:val="24"/>
            <w:u w:val="single"/>
          </w:rPr>
          <w:t>https://doi.org/10.4274/jcrpe.galenos.2024.2024-3-3</w:t>
        </w:r>
      </w:hyperlink>
    </w:p>
    <w:p w14:paraId="2F9DDF4D"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Kumar, I., Prakash, A., Aggarwal, P., Chowdhary, S., &amp; Verma, A. (2024). Disorders of sexual development: Structured radiological reporting and practical approach. </w:t>
      </w:r>
      <w:r w:rsidRPr="009206C2">
        <w:rPr>
          <w:rFonts w:ascii="Times New Roman" w:eastAsia="Times New Roman" w:hAnsi="Times New Roman" w:cs="Times New Roman"/>
          <w:i/>
          <w:iCs/>
          <w:sz w:val="24"/>
          <w:szCs w:val="24"/>
        </w:rPr>
        <w:t>Abdominal Radiology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49</w:t>
      </w:r>
      <w:r w:rsidRPr="009206C2">
        <w:rPr>
          <w:rFonts w:ascii="Times New Roman" w:eastAsia="Times New Roman" w:hAnsi="Times New Roman" w:cs="Times New Roman"/>
          <w:sz w:val="24"/>
          <w:szCs w:val="24"/>
        </w:rPr>
        <w:t>(2), 523–534.</w:t>
      </w:r>
      <w:hyperlink r:id="rId46">
        <w:r w:rsidR="007E2F22" w:rsidRPr="009206C2">
          <w:rPr>
            <w:rFonts w:ascii="Times New Roman" w:eastAsia="Times New Roman" w:hAnsi="Times New Roman" w:cs="Times New Roman"/>
            <w:sz w:val="24"/>
            <w:szCs w:val="24"/>
          </w:rPr>
          <w:t xml:space="preserve"> </w:t>
        </w:r>
      </w:hyperlink>
      <w:hyperlink r:id="rId47">
        <w:r w:rsidR="007E2F22" w:rsidRPr="009206C2">
          <w:rPr>
            <w:rFonts w:ascii="Times New Roman" w:eastAsia="Times New Roman" w:hAnsi="Times New Roman" w:cs="Times New Roman"/>
            <w:color w:val="1155CC"/>
            <w:sz w:val="24"/>
            <w:szCs w:val="24"/>
            <w:u w:val="single"/>
          </w:rPr>
          <w:t>https://doi.org/10.1007/s00261-023-04066-x</w:t>
        </w:r>
      </w:hyperlink>
    </w:p>
    <w:p w14:paraId="568C47F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 xml:space="preserve">Lapham, Z. K., Gardner, M., </w:t>
      </w:r>
      <w:proofErr w:type="spellStart"/>
      <w:r w:rsidRPr="009206C2">
        <w:rPr>
          <w:rFonts w:ascii="Times New Roman" w:eastAsia="Times New Roman" w:hAnsi="Times New Roman" w:cs="Times New Roman"/>
          <w:sz w:val="24"/>
          <w:szCs w:val="24"/>
        </w:rPr>
        <w:t>Sheinker</w:t>
      </w:r>
      <w:proofErr w:type="spellEnd"/>
      <w:r w:rsidRPr="009206C2">
        <w:rPr>
          <w:rFonts w:ascii="Times New Roman" w:eastAsia="Times New Roman" w:hAnsi="Times New Roman" w:cs="Times New Roman"/>
          <w:sz w:val="24"/>
          <w:szCs w:val="24"/>
        </w:rPr>
        <w:t xml:space="preserve">, S., Suorsa-Johnson, K. I., Kogan, B. A., Lee, P. A., &amp; Sandberg, D. E. (2023). Written surgical informed consent elements in pediatric differences of sex development: Pediatric urologist and endocrinologist perspectives. </w:t>
      </w:r>
      <w:r w:rsidRPr="009206C2">
        <w:rPr>
          <w:rFonts w:ascii="Times New Roman" w:eastAsia="Times New Roman" w:hAnsi="Times New Roman" w:cs="Times New Roman"/>
          <w:i/>
          <w:iCs/>
          <w:sz w:val="24"/>
          <w:szCs w:val="24"/>
        </w:rPr>
        <w:t>Frontiers in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w:t>
      </w:r>
      <w:r w:rsidRPr="009206C2">
        <w:rPr>
          <w:rFonts w:ascii="Times New Roman" w:eastAsia="Times New Roman" w:hAnsi="Times New Roman" w:cs="Times New Roman"/>
          <w:sz w:val="24"/>
          <w:szCs w:val="24"/>
        </w:rPr>
        <w:t>, 1188822.</w:t>
      </w:r>
      <w:hyperlink r:id="rId48">
        <w:r w:rsidR="007E2F22" w:rsidRPr="009206C2">
          <w:rPr>
            <w:rFonts w:ascii="Times New Roman" w:eastAsia="Times New Roman" w:hAnsi="Times New Roman" w:cs="Times New Roman"/>
            <w:sz w:val="24"/>
            <w:szCs w:val="24"/>
          </w:rPr>
          <w:t xml:space="preserve"> </w:t>
        </w:r>
      </w:hyperlink>
      <w:hyperlink r:id="rId49">
        <w:r w:rsidR="007E2F22" w:rsidRPr="009206C2">
          <w:rPr>
            <w:rFonts w:ascii="Times New Roman" w:eastAsia="Times New Roman" w:hAnsi="Times New Roman" w:cs="Times New Roman"/>
            <w:color w:val="1155CC"/>
            <w:sz w:val="24"/>
            <w:szCs w:val="24"/>
            <w:u w:val="single"/>
          </w:rPr>
          <w:t>https://doi.org/10.3389/fruro.2023.1188822</w:t>
        </w:r>
      </w:hyperlink>
    </w:p>
    <w:p w14:paraId="5EB0C08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Mehmood, K. T.,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R. M. (2026). Ambiguous Genitalia and Disorders of Sexual Differentiation. In </w:t>
      </w:r>
      <w:proofErr w:type="spellStart"/>
      <w:r w:rsidRPr="009206C2">
        <w:rPr>
          <w:rFonts w:ascii="Times New Roman" w:eastAsia="Times New Roman" w:hAnsi="Times New Roman" w:cs="Times New Roman"/>
          <w:i/>
          <w:iCs/>
          <w:sz w:val="24"/>
          <w:szCs w:val="24"/>
        </w:rPr>
        <w:t>StatPearls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StatPearls</w:t>
      </w:r>
      <w:proofErr w:type="spellEnd"/>
      <w:r w:rsidRPr="009206C2">
        <w:rPr>
          <w:rFonts w:ascii="Times New Roman" w:eastAsia="Times New Roman" w:hAnsi="Times New Roman" w:cs="Times New Roman"/>
          <w:sz w:val="24"/>
          <w:szCs w:val="24"/>
        </w:rPr>
        <w:t xml:space="preserve"> Publishing.</w:t>
      </w:r>
      <w:hyperlink r:id="rId50">
        <w:r w:rsidR="007E2F22" w:rsidRPr="009206C2">
          <w:rPr>
            <w:rFonts w:ascii="Times New Roman" w:eastAsia="Times New Roman" w:hAnsi="Times New Roman" w:cs="Times New Roman"/>
            <w:sz w:val="24"/>
            <w:szCs w:val="24"/>
          </w:rPr>
          <w:t xml:space="preserve"> </w:t>
        </w:r>
      </w:hyperlink>
      <w:hyperlink r:id="rId51">
        <w:r w:rsidR="007E2F22" w:rsidRPr="009206C2">
          <w:rPr>
            <w:rFonts w:ascii="Times New Roman" w:eastAsia="Times New Roman" w:hAnsi="Times New Roman" w:cs="Times New Roman"/>
            <w:color w:val="1155CC"/>
            <w:sz w:val="24"/>
            <w:szCs w:val="24"/>
            <w:u w:val="single"/>
          </w:rPr>
          <w:t>http://www.ncbi.nlm.nih.gov/books/NBK557435/</w:t>
        </w:r>
      </w:hyperlink>
    </w:p>
    <w:p w14:paraId="3DD66B3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Metzger, S., Sommer, G., </w:t>
      </w:r>
      <w:proofErr w:type="spellStart"/>
      <w:r w:rsidRPr="009206C2">
        <w:rPr>
          <w:rFonts w:ascii="Times New Roman" w:eastAsia="Times New Roman" w:hAnsi="Times New Roman" w:cs="Times New Roman"/>
          <w:sz w:val="24"/>
          <w:szCs w:val="24"/>
        </w:rPr>
        <w:t>Flück</w:t>
      </w:r>
      <w:proofErr w:type="spellEnd"/>
      <w:r w:rsidRPr="009206C2">
        <w:rPr>
          <w:rFonts w:ascii="Times New Roman" w:eastAsia="Times New Roman" w:hAnsi="Times New Roman" w:cs="Times New Roman"/>
          <w:sz w:val="24"/>
          <w:szCs w:val="24"/>
        </w:rPr>
        <w:t xml:space="preserve">, C. E., &amp; Group, S. D. C. S. (2024). </w:t>
      </w:r>
      <w:r w:rsidRPr="009206C2">
        <w:rPr>
          <w:rFonts w:ascii="Times New Roman" w:eastAsia="Times New Roman" w:hAnsi="Times New Roman" w:cs="Times New Roman"/>
          <w:i/>
          <w:iCs/>
          <w:sz w:val="24"/>
          <w:szCs w:val="24"/>
        </w:rPr>
        <w:t>Prevalence of differences of sex development in children and adolescents in Switzerland from 2000-2019</w:t>
      </w:r>
      <w:r w:rsidRPr="009206C2">
        <w:rPr>
          <w:rFonts w:ascii="Times New Roman" w:eastAsia="Times New Roman" w:hAnsi="Times New Roman" w:cs="Times New Roman"/>
          <w:sz w:val="24"/>
          <w:szCs w:val="24"/>
        </w:rPr>
        <w:t xml:space="preserve"> (p. 2024.03.11.24304115). </w:t>
      </w:r>
      <w:proofErr w:type="spellStart"/>
      <w:r w:rsidRPr="009206C2">
        <w:rPr>
          <w:rFonts w:ascii="Times New Roman" w:eastAsia="Times New Roman" w:hAnsi="Times New Roman" w:cs="Times New Roman"/>
          <w:sz w:val="24"/>
          <w:szCs w:val="24"/>
        </w:rPr>
        <w:t>medRxiv</w:t>
      </w:r>
      <w:proofErr w:type="spellEnd"/>
      <w:r w:rsidRPr="009206C2">
        <w:rPr>
          <w:rFonts w:ascii="Times New Roman" w:eastAsia="Times New Roman" w:hAnsi="Times New Roman" w:cs="Times New Roman"/>
          <w:sz w:val="24"/>
          <w:szCs w:val="24"/>
        </w:rPr>
        <w:t>.</w:t>
      </w:r>
      <w:hyperlink r:id="rId52">
        <w:r w:rsidR="007E2F22" w:rsidRPr="009206C2">
          <w:rPr>
            <w:rFonts w:ascii="Times New Roman" w:eastAsia="Times New Roman" w:hAnsi="Times New Roman" w:cs="Times New Roman"/>
            <w:sz w:val="24"/>
            <w:szCs w:val="24"/>
          </w:rPr>
          <w:t xml:space="preserve"> </w:t>
        </w:r>
      </w:hyperlink>
      <w:hyperlink r:id="rId53">
        <w:r w:rsidR="007E2F22" w:rsidRPr="009206C2">
          <w:rPr>
            <w:rFonts w:ascii="Times New Roman" w:eastAsia="Times New Roman" w:hAnsi="Times New Roman" w:cs="Times New Roman"/>
            <w:color w:val="1155CC"/>
            <w:sz w:val="24"/>
            <w:szCs w:val="24"/>
            <w:u w:val="single"/>
          </w:rPr>
          <w:t>https://doi.org/10.1101/2024.03.11.24304115</w:t>
        </w:r>
      </w:hyperlink>
    </w:p>
    <w:p w14:paraId="65DCAA1F"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Özbaran</w:t>
      </w:r>
      <w:proofErr w:type="spellEnd"/>
      <w:r w:rsidRPr="009206C2">
        <w:rPr>
          <w:rFonts w:ascii="Times New Roman" w:eastAsia="Times New Roman" w:hAnsi="Times New Roman" w:cs="Times New Roman"/>
          <w:sz w:val="24"/>
          <w:szCs w:val="24"/>
        </w:rPr>
        <w:t xml:space="preserve">, N. B., </w:t>
      </w:r>
      <w:proofErr w:type="spellStart"/>
      <w:r w:rsidRPr="009206C2">
        <w:rPr>
          <w:rFonts w:ascii="Times New Roman" w:eastAsia="Times New Roman" w:hAnsi="Times New Roman" w:cs="Times New Roman"/>
          <w:sz w:val="24"/>
          <w:szCs w:val="24"/>
        </w:rPr>
        <w:t>Yılancıoğlu</w:t>
      </w:r>
      <w:proofErr w:type="spellEnd"/>
      <w:r w:rsidRPr="009206C2">
        <w:rPr>
          <w:rFonts w:ascii="Times New Roman" w:eastAsia="Times New Roman" w:hAnsi="Times New Roman" w:cs="Times New Roman"/>
          <w:sz w:val="24"/>
          <w:szCs w:val="24"/>
        </w:rPr>
        <w:t xml:space="preserve">, H. Y., Kaleli, İ. İ., </w:t>
      </w:r>
      <w:proofErr w:type="spellStart"/>
      <w:r w:rsidRPr="009206C2">
        <w:rPr>
          <w:rFonts w:ascii="Times New Roman" w:eastAsia="Times New Roman" w:hAnsi="Times New Roman" w:cs="Times New Roman"/>
          <w:sz w:val="24"/>
          <w:szCs w:val="24"/>
        </w:rPr>
        <w:t>Haklı</w:t>
      </w:r>
      <w:proofErr w:type="spellEnd"/>
      <w:r w:rsidRPr="009206C2">
        <w:rPr>
          <w:rFonts w:ascii="Times New Roman" w:eastAsia="Times New Roman" w:hAnsi="Times New Roman" w:cs="Times New Roman"/>
          <w:sz w:val="24"/>
          <w:szCs w:val="24"/>
        </w:rPr>
        <w:t xml:space="preserve">, Y. B. C., </w:t>
      </w:r>
      <w:proofErr w:type="spellStart"/>
      <w:r w:rsidRPr="009206C2">
        <w:rPr>
          <w:rFonts w:ascii="Times New Roman" w:eastAsia="Times New Roman" w:hAnsi="Times New Roman" w:cs="Times New Roman"/>
          <w:sz w:val="24"/>
          <w:szCs w:val="24"/>
        </w:rPr>
        <w:t>İçöz</w:t>
      </w:r>
      <w:proofErr w:type="spellEnd"/>
      <w:r w:rsidRPr="009206C2">
        <w:rPr>
          <w:rFonts w:ascii="Times New Roman" w:eastAsia="Times New Roman" w:hAnsi="Times New Roman" w:cs="Times New Roman"/>
          <w:sz w:val="24"/>
          <w:szCs w:val="24"/>
        </w:rPr>
        <w:t xml:space="preserve">, C.,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D. Ö., Özen, S., </w:t>
      </w:r>
      <w:proofErr w:type="spellStart"/>
      <w:r w:rsidRPr="009206C2">
        <w:rPr>
          <w:rFonts w:ascii="Times New Roman" w:eastAsia="Times New Roman" w:hAnsi="Times New Roman" w:cs="Times New Roman"/>
          <w:sz w:val="24"/>
          <w:szCs w:val="24"/>
        </w:rPr>
        <w:t>Özbaran</w:t>
      </w:r>
      <w:proofErr w:type="spellEnd"/>
      <w:r w:rsidRPr="009206C2">
        <w:rPr>
          <w:rFonts w:ascii="Times New Roman" w:eastAsia="Times New Roman" w:hAnsi="Times New Roman" w:cs="Times New Roman"/>
          <w:sz w:val="24"/>
          <w:szCs w:val="24"/>
        </w:rPr>
        <w:t xml:space="preserve">, N. B., </w:t>
      </w:r>
      <w:proofErr w:type="spellStart"/>
      <w:r w:rsidRPr="009206C2">
        <w:rPr>
          <w:rFonts w:ascii="Times New Roman" w:eastAsia="Times New Roman" w:hAnsi="Times New Roman" w:cs="Times New Roman"/>
          <w:sz w:val="24"/>
          <w:szCs w:val="24"/>
        </w:rPr>
        <w:t>Yılancıoğlu</w:t>
      </w:r>
      <w:proofErr w:type="spellEnd"/>
      <w:r w:rsidRPr="009206C2">
        <w:rPr>
          <w:rFonts w:ascii="Times New Roman" w:eastAsia="Times New Roman" w:hAnsi="Times New Roman" w:cs="Times New Roman"/>
          <w:sz w:val="24"/>
          <w:szCs w:val="24"/>
        </w:rPr>
        <w:t xml:space="preserve">, H. Y., Kaleli, İ. İ., </w:t>
      </w:r>
      <w:proofErr w:type="spellStart"/>
      <w:r w:rsidRPr="009206C2">
        <w:rPr>
          <w:rFonts w:ascii="Times New Roman" w:eastAsia="Times New Roman" w:hAnsi="Times New Roman" w:cs="Times New Roman"/>
          <w:sz w:val="24"/>
          <w:szCs w:val="24"/>
        </w:rPr>
        <w:t>Haklı</w:t>
      </w:r>
      <w:proofErr w:type="spellEnd"/>
      <w:r w:rsidRPr="009206C2">
        <w:rPr>
          <w:rFonts w:ascii="Times New Roman" w:eastAsia="Times New Roman" w:hAnsi="Times New Roman" w:cs="Times New Roman"/>
          <w:sz w:val="24"/>
          <w:szCs w:val="24"/>
        </w:rPr>
        <w:t xml:space="preserve">, Y. B. C., </w:t>
      </w:r>
      <w:proofErr w:type="spellStart"/>
      <w:r w:rsidRPr="009206C2">
        <w:rPr>
          <w:rFonts w:ascii="Times New Roman" w:eastAsia="Times New Roman" w:hAnsi="Times New Roman" w:cs="Times New Roman"/>
          <w:sz w:val="24"/>
          <w:szCs w:val="24"/>
        </w:rPr>
        <w:t>İçöz</w:t>
      </w:r>
      <w:proofErr w:type="spellEnd"/>
      <w:r w:rsidRPr="009206C2">
        <w:rPr>
          <w:rFonts w:ascii="Times New Roman" w:eastAsia="Times New Roman" w:hAnsi="Times New Roman" w:cs="Times New Roman"/>
          <w:sz w:val="24"/>
          <w:szCs w:val="24"/>
        </w:rPr>
        <w:t xml:space="preserve">, C.,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D. Ö., &amp; Özen, S. (2025). A Comprehensive Child Psychiatry Approach for Managing Patients with Differences of Sexual Development in a Multidisciplinary Setting: An Alternative Follow-up Model. </w:t>
      </w:r>
      <w:r w:rsidRPr="009206C2">
        <w:rPr>
          <w:rFonts w:ascii="Times New Roman" w:eastAsia="Times New Roman" w:hAnsi="Times New Roman" w:cs="Times New Roman"/>
          <w:i/>
          <w:iCs/>
          <w:sz w:val="24"/>
          <w:szCs w:val="24"/>
        </w:rPr>
        <w:t>Journal of Clinical Research in Pediatric Endocrinology</w:t>
      </w:r>
      <w:r w:rsidRPr="009206C2">
        <w:rPr>
          <w:rFonts w:ascii="Times New Roman" w:eastAsia="Times New Roman" w:hAnsi="Times New Roman" w:cs="Times New Roman"/>
          <w:sz w:val="24"/>
          <w:szCs w:val="24"/>
        </w:rPr>
        <w:t>.</w:t>
      </w:r>
      <w:hyperlink r:id="rId54">
        <w:r w:rsidR="007E2F22" w:rsidRPr="009206C2">
          <w:rPr>
            <w:rFonts w:ascii="Times New Roman" w:eastAsia="Times New Roman" w:hAnsi="Times New Roman" w:cs="Times New Roman"/>
            <w:sz w:val="24"/>
            <w:szCs w:val="24"/>
          </w:rPr>
          <w:t xml:space="preserve"> </w:t>
        </w:r>
      </w:hyperlink>
      <w:hyperlink r:id="rId55">
        <w:r w:rsidR="007E2F22" w:rsidRPr="009206C2">
          <w:rPr>
            <w:rFonts w:ascii="Times New Roman" w:eastAsia="Times New Roman" w:hAnsi="Times New Roman" w:cs="Times New Roman"/>
            <w:color w:val="1155CC"/>
            <w:sz w:val="24"/>
            <w:szCs w:val="24"/>
            <w:u w:val="single"/>
          </w:rPr>
          <w:t>https://doi.org/10.4274/jcrpe.galenos.2025.2025-2-14</w:t>
        </w:r>
      </w:hyperlink>
    </w:p>
    <w:p w14:paraId="5D77527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Page, M. J., McKenzie, J. E., Bossuyt, P. M., </w:t>
      </w:r>
      <w:proofErr w:type="spellStart"/>
      <w:r w:rsidRPr="009206C2">
        <w:rPr>
          <w:rFonts w:ascii="Times New Roman" w:eastAsia="Times New Roman" w:hAnsi="Times New Roman" w:cs="Times New Roman"/>
          <w:sz w:val="24"/>
          <w:szCs w:val="24"/>
        </w:rPr>
        <w:t>Boutron</w:t>
      </w:r>
      <w:proofErr w:type="spellEnd"/>
      <w:r w:rsidRPr="009206C2">
        <w:rPr>
          <w:rFonts w:ascii="Times New Roman" w:eastAsia="Times New Roman" w:hAnsi="Times New Roman" w:cs="Times New Roman"/>
          <w:sz w:val="24"/>
          <w:szCs w:val="24"/>
        </w:rPr>
        <w:t xml:space="preserve">, I., Hoffmann, T. C., Mulrow, C. D., </w:t>
      </w:r>
      <w:proofErr w:type="spellStart"/>
      <w:r w:rsidRPr="009206C2">
        <w:rPr>
          <w:rFonts w:ascii="Times New Roman" w:eastAsia="Times New Roman" w:hAnsi="Times New Roman" w:cs="Times New Roman"/>
          <w:sz w:val="24"/>
          <w:szCs w:val="24"/>
        </w:rPr>
        <w:t>Shamseer</w:t>
      </w:r>
      <w:proofErr w:type="spellEnd"/>
      <w:r w:rsidRPr="009206C2">
        <w:rPr>
          <w:rFonts w:ascii="Times New Roman" w:eastAsia="Times New Roman" w:hAnsi="Times New Roman" w:cs="Times New Roman"/>
          <w:sz w:val="24"/>
          <w:szCs w:val="24"/>
        </w:rPr>
        <w:t xml:space="preserve">, L., Tetzlaff, J. M., Akl, E. A., Brennan, S. E., Chou, R., Glanville, J., Grimshaw, J. M., Hróbjartsson, A., Lalu, M. M., Li, T., Loder, E. W., Mayo-Wilson, E., McDonald, S., … Moher, D. (2021). The PRISMA 2020 statement: An updated guideline for reporting systematic reviews. </w:t>
      </w:r>
      <w:r w:rsidRPr="009206C2">
        <w:rPr>
          <w:rFonts w:ascii="Times New Roman" w:eastAsia="Times New Roman" w:hAnsi="Times New Roman" w:cs="Times New Roman"/>
          <w:i/>
          <w:iCs/>
          <w:sz w:val="24"/>
          <w:szCs w:val="24"/>
        </w:rPr>
        <w:t>BMJ</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372</w:t>
      </w:r>
      <w:r w:rsidRPr="009206C2">
        <w:rPr>
          <w:rFonts w:ascii="Times New Roman" w:eastAsia="Times New Roman" w:hAnsi="Times New Roman" w:cs="Times New Roman"/>
          <w:sz w:val="24"/>
          <w:szCs w:val="24"/>
        </w:rPr>
        <w:t>, n71.</w:t>
      </w:r>
      <w:hyperlink r:id="rId56">
        <w:r w:rsidR="007E2F22" w:rsidRPr="009206C2">
          <w:rPr>
            <w:rFonts w:ascii="Times New Roman" w:eastAsia="Times New Roman" w:hAnsi="Times New Roman" w:cs="Times New Roman"/>
            <w:sz w:val="24"/>
            <w:szCs w:val="24"/>
          </w:rPr>
          <w:t xml:space="preserve"> </w:t>
        </w:r>
      </w:hyperlink>
      <w:hyperlink r:id="rId57">
        <w:r w:rsidR="007E2F22" w:rsidRPr="009206C2">
          <w:rPr>
            <w:rFonts w:ascii="Times New Roman" w:eastAsia="Times New Roman" w:hAnsi="Times New Roman" w:cs="Times New Roman"/>
            <w:color w:val="1155CC"/>
            <w:sz w:val="24"/>
            <w:szCs w:val="24"/>
            <w:u w:val="single"/>
          </w:rPr>
          <w:t>https://doi.org/10.1136/bmj.n71</w:t>
        </w:r>
      </w:hyperlink>
    </w:p>
    <w:p w14:paraId="45A4361D"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Peng, L., Chen, Y., Hu, J., Zhao, Y., &amp; Qin, F. (2024). Clinical characteristics and surgical treatment of children with 45, X/46, XY differences of sex development. </w:t>
      </w:r>
      <w:r w:rsidRPr="009206C2">
        <w:rPr>
          <w:rFonts w:ascii="Times New Roman" w:eastAsia="Times New Roman" w:hAnsi="Times New Roman" w:cs="Times New Roman"/>
          <w:i/>
          <w:iCs/>
          <w:sz w:val="24"/>
          <w:szCs w:val="24"/>
        </w:rPr>
        <w:t>Journal of Pediatric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20</w:t>
      </w:r>
      <w:r w:rsidRPr="009206C2">
        <w:rPr>
          <w:rFonts w:ascii="Times New Roman" w:eastAsia="Times New Roman" w:hAnsi="Times New Roman" w:cs="Times New Roman"/>
          <w:sz w:val="24"/>
          <w:szCs w:val="24"/>
        </w:rPr>
        <w:t>(4), 696–702.</w:t>
      </w:r>
      <w:hyperlink r:id="rId58">
        <w:r w:rsidR="007E2F22" w:rsidRPr="009206C2">
          <w:rPr>
            <w:rFonts w:ascii="Times New Roman" w:eastAsia="Times New Roman" w:hAnsi="Times New Roman" w:cs="Times New Roman"/>
            <w:sz w:val="24"/>
            <w:szCs w:val="24"/>
          </w:rPr>
          <w:t xml:space="preserve"> </w:t>
        </w:r>
      </w:hyperlink>
      <w:hyperlink r:id="rId59">
        <w:r w:rsidR="007E2F22" w:rsidRPr="009206C2">
          <w:rPr>
            <w:rFonts w:ascii="Times New Roman" w:eastAsia="Times New Roman" w:hAnsi="Times New Roman" w:cs="Times New Roman"/>
            <w:color w:val="1155CC"/>
            <w:sz w:val="24"/>
            <w:szCs w:val="24"/>
            <w:u w:val="single"/>
          </w:rPr>
          <w:t>https://doi.org/10.1016/j.jpurol.2024.03.002</w:t>
        </w:r>
      </w:hyperlink>
    </w:p>
    <w:p w14:paraId="47BCD2E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Peng, W., Zhao, Q., Chen, J., Peng, H., &amp; Jiang, H. (2025). Gene therapy for disorders of sex development: Current applications and future challenges. </w:t>
      </w:r>
      <w:r w:rsidRPr="009206C2">
        <w:rPr>
          <w:rFonts w:ascii="Times New Roman" w:eastAsia="Times New Roman" w:hAnsi="Times New Roman" w:cs="Times New Roman"/>
          <w:i/>
          <w:iCs/>
          <w:sz w:val="24"/>
          <w:szCs w:val="24"/>
        </w:rPr>
        <w:t>Frontiers in Genetics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 1661127.</w:t>
      </w:r>
      <w:hyperlink r:id="rId60">
        <w:r w:rsidR="007E2F22" w:rsidRPr="009206C2">
          <w:rPr>
            <w:rFonts w:ascii="Times New Roman" w:eastAsia="Times New Roman" w:hAnsi="Times New Roman" w:cs="Times New Roman"/>
            <w:sz w:val="24"/>
            <w:szCs w:val="24"/>
          </w:rPr>
          <w:t xml:space="preserve"> </w:t>
        </w:r>
      </w:hyperlink>
      <w:hyperlink r:id="rId61">
        <w:r w:rsidR="007E2F22" w:rsidRPr="009206C2">
          <w:rPr>
            <w:rFonts w:ascii="Times New Roman" w:eastAsia="Times New Roman" w:hAnsi="Times New Roman" w:cs="Times New Roman"/>
            <w:color w:val="1155CC"/>
            <w:sz w:val="24"/>
            <w:szCs w:val="24"/>
            <w:u w:val="single"/>
          </w:rPr>
          <w:t>https://doi.org/10.3389/fgene.2025.1661127</w:t>
        </w:r>
      </w:hyperlink>
    </w:p>
    <w:p w14:paraId="31F4802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Saktini</w:t>
      </w:r>
      <w:proofErr w:type="spellEnd"/>
      <w:r w:rsidRPr="009206C2">
        <w:rPr>
          <w:rFonts w:ascii="Times New Roman" w:eastAsia="Times New Roman" w:hAnsi="Times New Roman" w:cs="Times New Roman"/>
          <w:sz w:val="24"/>
          <w:szCs w:val="24"/>
        </w:rPr>
        <w:t xml:space="preserve">, F., </w:t>
      </w:r>
      <w:proofErr w:type="spellStart"/>
      <w:r w:rsidRPr="009206C2">
        <w:rPr>
          <w:rFonts w:ascii="Times New Roman" w:eastAsia="Times New Roman" w:hAnsi="Times New Roman" w:cs="Times New Roman"/>
          <w:sz w:val="24"/>
          <w:szCs w:val="24"/>
        </w:rPr>
        <w:t>Asikin</w:t>
      </w:r>
      <w:proofErr w:type="spellEnd"/>
      <w:r w:rsidRPr="009206C2">
        <w:rPr>
          <w:rFonts w:ascii="Times New Roman" w:eastAsia="Times New Roman" w:hAnsi="Times New Roman" w:cs="Times New Roman"/>
          <w:sz w:val="24"/>
          <w:szCs w:val="24"/>
        </w:rPr>
        <w:t xml:space="preserve">, H. G., A.s, W. S., &amp; Utari, A. (2024). Disorders of Sex Development: A Review of Medical and Psychosocial Aspects. </w:t>
      </w:r>
      <w:proofErr w:type="spellStart"/>
      <w:r w:rsidRPr="009206C2">
        <w:rPr>
          <w:rFonts w:ascii="Times New Roman" w:eastAsia="Times New Roman" w:hAnsi="Times New Roman" w:cs="Times New Roman"/>
          <w:i/>
          <w:iCs/>
          <w:sz w:val="24"/>
          <w:szCs w:val="24"/>
        </w:rPr>
        <w:t>Diponegoro</w:t>
      </w:r>
      <w:proofErr w:type="spellEnd"/>
      <w:r w:rsidRPr="009206C2">
        <w:rPr>
          <w:rFonts w:ascii="Times New Roman" w:eastAsia="Times New Roman" w:hAnsi="Times New Roman" w:cs="Times New Roman"/>
          <w:i/>
          <w:iCs/>
          <w:sz w:val="24"/>
          <w:szCs w:val="24"/>
        </w:rPr>
        <w:t xml:space="preserve"> International Medical Journal</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w:t>
      </w:r>
      <w:r w:rsidRPr="009206C2">
        <w:rPr>
          <w:rFonts w:ascii="Times New Roman" w:eastAsia="Times New Roman" w:hAnsi="Times New Roman" w:cs="Times New Roman"/>
          <w:sz w:val="24"/>
          <w:szCs w:val="24"/>
        </w:rPr>
        <w:t>(2), 36–43.</w:t>
      </w:r>
      <w:hyperlink r:id="rId62">
        <w:r w:rsidR="007E2F22" w:rsidRPr="009206C2">
          <w:rPr>
            <w:rFonts w:ascii="Times New Roman" w:eastAsia="Times New Roman" w:hAnsi="Times New Roman" w:cs="Times New Roman"/>
            <w:sz w:val="24"/>
            <w:szCs w:val="24"/>
          </w:rPr>
          <w:t xml:space="preserve"> </w:t>
        </w:r>
      </w:hyperlink>
      <w:hyperlink r:id="rId63">
        <w:r w:rsidR="007E2F22" w:rsidRPr="009206C2">
          <w:rPr>
            <w:rFonts w:ascii="Times New Roman" w:eastAsia="Times New Roman" w:hAnsi="Times New Roman" w:cs="Times New Roman"/>
            <w:color w:val="1155CC"/>
            <w:sz w:val="24"/>
            <w:szCs w:val="24"/>
            <w:u w:val="single"/>
          </w:rPr>
          <w:t>https://doi.org/10.14710/dimj.v5i2.25084</w:t>
        </w:r>
      </w:hyperlink>
    </w:p>
    <w:p w14:paraId="0BE5188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Schäfer, F.-M., Schwab-Eckhardt, B., </w:t>
      </w:r>
      <w:proofErr w:type="spellStart"/>
      <w:r w:rsidRPr="009206C2">
        <w:rPr>
          <w:rFonts w:ascii="Times New Roman" w:eastAsia="Times New Roman" w:hAnsi="Times New Roman" w:cs="Times New Roman"/>
          <w:sz w:val="24"/>
          <w:szCs w:val="24"/>
        </w:rPr>
        <w:t>Voß</w:t>
      </w:r>
      <w:proofErr w:type="spellEnd"/>
      <w:r w:rsidRPr="009206C2">
        <w:rPr>
          <w:rFonts w:ascii="Times New Roman" w:eastAsia="Times New Roman" w:hAnsi="Times New Roman" w:cs="Times New Roman"/>
          <w:sz w:val="24"/>
          <w:szCs w:val="24"/>
        </w:rPr>
        <w:t xml:space="preserve">, E., Schroth, M., Staudt, F., &amp; Stehr, M. (2024). Short-Term Impact of Newly Imposed Legal Restriction on DSD Surgery in Children in Germany. </w:t>
      </w:r>
      <w:r w:rsidRPr="009206C2">
        <w:rPr>
          <w:rFonts w:ascii="Times New Roman" w:eastAsia="Times New Roman" w:hAnsi="Times New Roman" w:cs="Times New Roman"/>
          <w:i/>
          <w:iCs/>
          <w:sz w:val="24"/>
          <w:szCs w:val="24"/>
        </w:rPr>
        <w:t>Children</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11</w:t>
      </w:r>
      <w:r w:rsidRPr="009206C2">
        <w:rPr>
          <w:rFonts w:ascii="Times New Roman" w:eastAsia="Times New Roman" w:hAnsi="Times New Roman" w:cs="Times New Roman"/>
          <w:sz w:val="24"/>
          <w:szCs w:val="24"/>
        </w:rPr>
        <w:t>(9), 1104.</w:t>
      </w:r>
      <w:hyperlink r:id="rId64">
        <w:r w:rsidR="007E2F22" w:rsidRPr="009206C2">
          <w:rPr>
            <w:rFonts w:ascii="Times New Roman" w:eastAsia="Times New Roman" w:hAnsi="Times New Roman" w:cs="Times New Roman"/>
            <w:sz w:val="24"/>
            <w:szCs w:val="24"/>
          </w:rPr>
          <w:t xml:space="preserve"> </w:t>
        </w:r>
      </w:hyperlink>
      <w:hyperlink r:id="rId65">
        <w:r w:rsidR="007E2F22" w:rsidRPr="009206C2">
          <w:rPr>
            <w:rFonts w:ascii="Times New Roman" w:eastAsia="Times New Roman" w:hAnsi="Times New Roman" w:cs="Times New Roman"/>
            <w:color w:val="1155CC"/>
            <w:sz w:val="24"/>
            <w:szCs w:val="24"/>
            <w:u w:val="single"/>
          </w:rPr>
          <w:t>https://doi.org/10.3390/children11091104</w:t>
        </w:r>
      </w:hyperlink>
    </w:p>
    <w:p w14:paraId="6EEAF45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 xml:space="preserve">Suorsa-Johnson, K., Delaney, R. K., Fagerlin, A., &amp; Sandberg, D. E. (2023). Editorial: Shared decision making in pediatric differences/disorders of sex development. </w:t>
      </w:r>
      <w:r w:rsidRPr="009206C2">
        <w:rPr>
          <w:rFonts w:ascii="Times New Roman" w:eastAsia="Times New Roman" w:hAnsi="Times New Roman" w:cs="Times New Roman"/>
          <w:i/>
          <w:iCs/>
          <w:sz w:val="24"/>
          <w:szCs w:val="24"/>
        </w:rPr>
        <w:t>Frontiers in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w:t>
      </w:r>
      <w:r w:rsidRPr="009206C2">
        <w:rPr>
          <w:rFonts w:ascii="Times New Roman" w:eastAsia="Times New Roman" w:hAnsi="Times New Roman" w:cs="Times New Roman"/>
          <w:sz w:val="24"/>
          <w:szCs w:val="24"/>
        </w:rPr>
        <w:t>.</w:t>
      </w:r>
      <w:hyperlink r:id="rId66">
        <w:r w:rsidR="007E2F22" w:rsidRPr="009206C2">
          <w:rPr>
            <w:rFonts w:ascii="Times New Roman" w:eastAsia="Times New Roman" w:hAnsi="Times New Roman" w:cs="Times New Roman"/>
            <w:sz w:val="24"/>
            <w:szCs w:val="24"/>
          </w:rPr>
          <w:t xml:space="preserve"> </w:t>
        </w:r>
      </w:hyperlink>
      <w:hyperlink r:id="rId67">
        <w:r w:rsidR="007E2F22" w:rsidRPr="009206C2">
          <w:rPr>
            <w:rFonts w:ascii="Times New Roman" w:eastAsia="Times New Roman" w:hAnsi="Times New Roman" w:cs="Times New Roman"/>
            <w:color w:val="1155CC"/>
            <w:sz w:val="24"/>
            <w:szCs w:val="24"/>
            <w:u w:val="single"/>
          </w:rPr>
          <w:t>https://doi.org/10.3389/fruro.2023.1281181</w:t>
        </w:r>
      </w:hyperlink>
    </w:p>
    <w:p w14:paraId="46ADA79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Surendran, S., Toh, H. J., Voo, T. C., De Foo, C., &amp; Dunn, M. (2025). A scoping review of the ethical issues in gender-affirming care for transgender and gender-diverse individuals. </w:t>
      </w:r>
      <w:r w:rsidRPr="009206C2">
        <w:rPr>
          <w:rFonts w:ascii="Times New Roman" w:eastAsia="Times New Roman" w:hAnsi="Times New Roman" w:cs="Times New Roman"/>
          <w:i/>
          <w:iCs/>
          <w:sz w:val="24"/>
          <w:szCs w:val="24"/>
        </w:rPr>
        <w:t>BMC Medical Ethics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26</w:t>
      </w:r>
      <w:r w:rsidRPr="009206C2">
        <w:rPr>
          <w:rFonts w:ascii="Times New Roman" w:eastAsia="Times New Roman" w:hAnsi="Times New Roman" w:cs="Times New Roman"/>
          <w:sz w:val="24"/>
          <w:szCs w:val="24"/>
        </w:rPr>
        <w:t>, 54.</w:t>
      </w:r>
      <w:hyperlink r:id="rId68">
        <w:r w:rsidR="007E2F22" w:rsidRPr="009206C2">
          <w:rPr>
            <w:rFonts w:ascii="Times New Roman" w:eastAsia="Times New Roman" w:hAnsi="Times New Roman" w:cs="Times New Roman"/>
            <w:sz w:val="24"/>
            <w:szCs w:val="24"/>
          </w:rPr>
          <w:t xml:space="preserve"> </w:t>
        </w:r>
      </w:hyperlink>
      <w:hyperlink r:id="rId69">
        <w:r w:rsidR="007E2F22" w:rsidRPr="009206C2">
          <w:rPr>
            <w:rFonts w:ascii="Times New Roman" w:eastAsia="Times New Roman" w:hAnsi="Times New Roman" w:cs="Times New Roman"/>
            <w:color w:val="1155CC"/>
            <w:sz w:val="24"/>
            <w:szCs w:val="24"/>
            <w:u w:val="single"/>
          </w:rPr>
          <w:t>https://doi.org/10.1186/s12910-025-01216-2</w:t>
        </w:r>
      </w:hyperlink>
    </w:p>
    <w:p w14:paraId="0F0440C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Toumi, A., Sfar, S., Ounissi, H., Ben Haouala, A., </w:t>
      </w:r>
      <w:proofErr w:type="spellStart"/>
      <w:r w:rsidRPr="009206C2">
        <w:rPr>
          <w:rFonts w:ascii="Times New Roman" w:eastAsia="Times New Roman" w:hAnsi="Times New Roman" w:cs="Times New Roman"/>
          <w:sz w:val="24"/>
          <w:szCs w:val="24"/>
        </w:rPr>
        <w:t>Dhouib</w:t>
      </w:r>
      <w:proofErr w:type="spellEnd"/>
      <w:r w:rsidRPr="009206C2">
        <w:rPr>
          <w:rFonts w:ascii="Times New Roman" w:eastAsia="Times New Roman" w:hAnsi="Times New Roman" w:cs="Times New Roman"/>
          <w:sz w:val="24"/>
          <w:szCs w:val="24"/>
        </w:rPr>
        <w:t xml:space="preserve">, W., </w:t>
      </w:r>
      <w:proofErr w:type="spellStart"/>
      <w:r w:rsidRPr="009206C2">
        <w:rPr>
          <w:rFonts w:ascii="Times New Roman" w:eastAsia="Times New Roman" w:hAnsi="Times New Roman" w:cs="Times New Roman"/>
          <w:sz w:val="24"/>
          <w:szCs w:val="24"/>
        </w:rPr>
        <w:t>Ksia</w:t>
      </w:r>
      <w:proofErr w:type="spellEnd"/>
      <w:r w:rsidRPr="009206C2">
        <w:rPr>
          <w:rFonts w:ascii="Times New Roman" w:eastAsia="Times New Roman" w:hAnsi="Times New Roman" w:cs="Times New Roman"/>
          <w:sz w:val="24"/>
          <w:szCs w:val="24"/>
        </w:rPr>
        <w:t xml:space="preserve">, A., Mekki, M., Belghith, M., &amp; Sahnoun, L. (2025). Parenting a Child </w:t>
      </w:r>
      <w:proofErr w:type="gramStart"/>
      <w:r w:rsidRPr="009206C2">
        <w:rPr>
          <w:rFonts w:ascii="Times New Roman" w:eastAsia="Times New Roman" w:hAnsi="Times New Roman" w:cs="Times New Roman"/>
          <w:sz w:val="24"/>
          <w:szCs w:val="24"/>
        </w:rPr>
        <w:t>With</w:t>
      </w:r>
      <w:proofErr w:type="gramEnd"/>
      <w:r w:rsidRPr="009206C2">
        <w:rPr>
          <w:rFonts w:ascii="Times New Roman" w:eastAsia="Times New Roman" w:hAnsi="Times New Roman" w:cs="Times New Roman"/>
          <w:sz w:val="24"/>
          <w:szCs w:val="24"/>
        </w:rPr>
        <w:t xml:space="preserve"> Disorder of Sexual Development in Traditional Society: Psychological Impact. </w:t>
      </w:r>
      <w:r w:rsidRPr="009206C2">
        <w:rPr>
          <w:rFonts w:ascii="Times New Roman" w:eastAsia="Times New Roman" w:hAnsi="Times New Roman" w:cs="Times New Roman"/>
          <w:i/>
          <w:iCs/>
          <w:sz w:val="24"/>
          <w:szCs w:val="24"/>
        </w:rPr>
        <w:t>Journal of Pediatric Surgery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60</w:t>
      </w:r>
      <w:r w:rsidRPr="009206C2">
        <w:rPr>
          <w:rFonts w:ascii="Times New Roman" w:eastAsia="Times New Roman" w:hAnsi="Times New Roman" w:cs="Times New Roman"/>
          <w:sz w:val="24"/>
          <w:szCs w:val="24"/>
        </w:rPr>
        <w:t>(2), 162067.</w:t>
      </w:r>
      <w:hyperlink r:id="rId70">
        <w:r w:rsidR="007E2F22" w:rsidRPr="009206C2">
          <w:rPr>
            <w:rFonts w:ascii="Times New Roman" w:eastAsia="Times New Roman" w:hAnsi="Times New Roman" w:cs="Times New Roman"/>
            <w:sz w:val="24"/>
            <w:szCs w:val="24"/>
          </w:rPr>
          <w:t xml:space="preserve"> </w:t>
        </w:r>
      </w:hyperlink>
      <w:hyperlink r:id="rId71">
        <w:r w:rsidR="007E2F22" w:rsidRPr="009206C2">
          <w:rPr>
            <w:rFonts w:ascii="Times New Roman" w:eastAsia="Times New Roman" w:hAnsi="Times New Roman" w:cs="Times New Roman"/>
            <w:color w:val="1155CC"/>
            <w:sz w:val="24"/>
            <w:szCs w:val="24"/>
            <w:u w:val="single"/>
          </w:rPr>
          <w:t>https://doi.org/10.1016/j.jpedsurg.2024.162067</w:t>
        </w:r>
      </w:hyperlink>
    </w:p>
    <w:p w14:paraId="3135C6B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Utari, A., </w:t>
      </w:r>
      <w:proofErr w:type="spellStart"/>
      <w:r w:rsidRPr="009206C2">
        <w:rPr>
          <w:rFonts w:ascii="Times New Roman" w:eastAsia="Times New Roman" w:hAnsi="Times New Roman" w:cs="Times New Roman"/>
          <w:sz w:val="24"/>
          <w:szCs w:val="24"/>
        </w:rPr>
        <w:t>Silberkasten</w:t>
      </w:r>
      <w:proofErr w:type="spellEnd"/>
      <w:r w:rsidRPr="009206C2">
        <w:rPr>
          <w:rFonts w:ascii="Times New Roman" w:eastAsia="Times New Roman" w:hAnsi="Times New Roman" w:cs="Times New Roman"/>
          <w:sz w:val="24"/>
          <w:szCs w:val="24"/>
        </w:rPr>
        <w:t xml:space="preserve">, M., Musa, S., Hassan, S., Sharma, R., Bramer, W., van der </w:t>
      </w:r>
      <w:proofErr w:type="spellStart"/>
      <w:r w:rsidRPr="009206C2">
        <w:rPr>
          <w:rFonts w:ascii="Times New Roman" w:eastAsia="Times New Roman" w:hAnsi="Times New Roman" w:cs="Times New Roman"/>
          <w:sz w:val="24"/>
          <w:szCs w:val="24"/>
        </w:rPr>
        <w:t>Zwan</w:t>
      </w:r>
      <w:proofErr w:type="spellEnd"/>
      <w:r w:rsidRPr="009206C2">
        <w:rPr>
          <w:rFonts w:ascii="Times New Roman" w:eastAsia="Times New Roman" w:hAnsi="Times New Roman" w:cs="Times New Roman"/>
          <w:sz w:val="24"/>
          <w:szCs w:val="24"/>
        </w:rPr>
        <w:t xml:space="preserve">, Y. G., &amp; Drop, S. L. S. (2025). Global perspective of psychosocial care of patients with differences of sex development from low-income countries. </w:t>
      </w:r>
      <w:r w:rsidRPr="009206C2">
        <w:rPr>
          <w:rFonts w:ascii="Times New Roman" w:eastAsia="Times New Roman" w:hAnsi="Times New Roman" w:cs="Times New Roman"/>
          <w:i/>
          <w:iCs/>
          <w:sz w:val="24"/>
          <w:szCs w:val="24"/>
        </w:rPr>
        <w:t>Journal of Reproductive and Infant Psychology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43</w:t>
      </w:r>
      <w:r w:rsidRPr="009206C2">
        <w:rPr>
          <w:rFonts w:ascii="Times New Roman" w:eastAsia="Times New Roman" w:hAnsi="Times New Roman" w:cs="Times New Roman"/>
          <w:sz w:val="24"/>
          <w:szCs w:val="24"/>
        </w:rPr>
        <w:t>(2), 366–384.</w:t>
      </w:r>
      <w:hyperlink r:id="rId72">
        <w:r w:rsidR="007E2F22" w:rsidRPr="009206C2">
          <w:rPr>
            <w:rFonts w:ascii="Times New Roman" w:eastAsia="Times New Roman" w:hAnsi="Times New Roman" w:cs="Times New Roman"/>
            <w:sz w:val="24"/>
            <w:szCs w:val="24"/>
          </w:rPr>
          <w:t xml:space="preserve"> </w:t>
        </w:r>
      </w:hyperlink>
      <w:hyperlink r:id="rId73">
        <w:r w:rsidR="007E2F22" w:rsidRPr="009206C2">
          <w:rPr>
            <w:rFonts w:ascii="Times New Roman" w:eastAsia="Times New Roman" w:hAnsi="Times New Roman" w:cs="Times New Roman"/>
            <w:color w:val="1155CC"/>
            <w:sz w:val="24"/>
            <w:szCs w:val="24"/>
            <w:u w:val="single"/>
          </w:rPr>
          <w:t>https://doi.org/10.1080/02646838.2024.2439926</w:t>
        </w:r>
      </w:hyperlink>
    </w:p>
    <w:p w14:paraId="7716468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Vicario, S., </w:t>
      </w:r>
      <w:proofErr w:type="spellStart"/>
      <w:r w:rsidRPr="009206C2">
        <w:rPr>
          <w:rFonts w:ascii="Times New Roman" w:eastAsia="Times New Roman" w:hAnsi="Times New Roman" w:cs="Times New Roman"/>
          <w:sz w:val="24"/>
          <w:szCs w:val="24"/>
        </w:rPr>
        <w:t>Escolino</w:t>
      </w:r>
      <w:proofErr w:type="spellEnd"/>
      <w:r w:rsidRPr="009206C2">
        <w:rPr>
          <w:rFonts w:ascii="Times New Roman" w:eastAsia="Times New Roman" w:hAnsi="Times New Roman" w:cs="Times New Roman"/>
          <w:sz w:val="24"/>
          <w:szCs w:val="24"/>
        </w:rPr>
        <w:t xml:space="preserve">, M., Esposito, G., Porcaro, M., Di Mase, R., </w:t>
      </w:r>
      <w:proofErr w:type="spellStart"/>
      <w:r w:rsidRPr="009206C2">
        <w:rPr>
          <w:rFonts w:ascii="Times New Roman" w:eastAsia="Times New Roman" w:hAnsi="Times New Roman" w:cs="Times New Roman"/>
          <w:sz w:val="24"/>
          <w:szCs w:val="24"/>
        </w:rPr>
        <w:t>Azizoglu</w:t>
      </w:r>
      <w:proofErr w:type="spellEnd"/>
      <w:r w:rsidRPr="009206C2">
        <w:rPr>
          <w:rFonts w:ascii="Times New Roman" w:eastAsia="Times New Roman" w:hAnsi="Times New Roman" w:cs="Times New Roman"/>
          <w:sz w:val="24"/>
          <w:szCs w:val="24"/>
        </w:rPr>
        <w:t>, M., &amp; Esposito, C. (2025). Clinical Spectrum, Surgical Management, and Outcomes of NR5A1-Related 46</w:t>
      </w:r>
      <w:proofErr w:type="gramStart"/>
      <w:r w:rsidRPr="009206C2">
        <w:rPr>
          <w:rFonts w:ascii="Times New Roman" w:eastAsia="Times New Roman" w:hAnsi="Times New Roman" w:cs="Times New Roman"/>
          <w:sz w:val="24"/>
          <w:szCs w:val="24"/>
        </w:rPr>
        <w:t>,XY</w:t>
      </w:r>
      <w:proofErr w:type="gramEnd"/>
      <w:r w:rsidRPr="009206C2">
        <w:rPr>
          <w:rFonts w:ascii="Times New Roman" w:eastAsia="Times New Roman" w:hAnsi="Times New Roman" w:cs="Times New Roman"/>
          <w:sz w:val="24"/>
          <w:szCs w:val="24"/>
        </w:rPr>
        <w:t xml:space="preserve"> Differences of Sex Development: A Narrative Review. </w:t>
      </w:r>
      <w:r w:rsidRPr="009206C2">
        <w:rPr>
          <w:rFonts w:ascii="Times New Roman" w:eastAsia="Times New Roman" w:hAnsi="Times New Roman" w:cs="Times New Roman"/>
          <w:i/>
          <w:iCs/>
          <w:sz w:val="24"/>
          <w:szCs w:val="24"/>
        </w:rPr>
        <w:t>Medicina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61</w:t>
      </w:r>
      <w:r w:rsidRPr="009206C2">
        <w:rPr>
          <w:rFonts w:ascii="Times New Roman" w:eastAsia="Times New Roman" w:hAnsi="Times New Roman" w:cs="Times New Roman"/>
          <w:sz w:val="24"/>
          <w:szCs w:val="24"/>
        </w:rPr>
        <w:t>(11), 1965.</w:t>
      </w:r>
      <w:hyperlink r:id="rId74">
        <w:r w:rsidR="007E2F22" w:rsidRPr="009206C2">
          <w:rPr>
            <w:rFonts w:ascii="Times New Roman" w:eastAsia="Times New Roman" w:hAnsi="Times New Roman" w:cs="Times New Roman"/>
            <w:sz w:val="24"/>
            <w:szCs w:val="24"/>
          </w:rPr>
          <w:t xml:space="preserve"> </w:t>
        </w:r>
      </w:hyperlink>
      <w:hyperlink r:id="rId75">
        <w:r w:rsidR="007E2F22" w:rsidRPr="009206C2">
          <w:rPr>
            <w:rFonts w:ascii="Times New Roman" w:eastAsia="Times New Roman" w:hAnsi="Times New Roman" w:cs="Times New Roman"/>
            <w:color w:val="1155CC"/>
            <w:sz w:val="24"/>
            <w:szCs w:val="24"/>
            <w:u w:val="single"/>
          </w:rPr>
          <w:t>https://doi.org/10.3390/medicina61111965</w:t>
        </w:r>
      </w:hyperlink>
    </w:p>
    <w:p w14:paraId="2C9DA62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Wang, S., </w:t>
      </w:r>
      <w:proofErr w:type="spellStart"/>
      <w:r w:rsidRPr="009206C2">
        <w:rPr>
          <w:rFonts w:ascii="Times New Roman" w:eastAsia="Times New Roman" w:hAnsi="Times New Roman" w:cs="Times New Roman"/>
          <w:sz w:val="24"/>
          <w:szCs w:val="24"/>
        </w:rPr>
        <w:t>Scells</w:t>
      </w:r>
      <w:proofErr w:type="spellEnd"/>
      <w:r w:rsidRPr="009206C2">
        <w:rPr>
          <w:rFonts w:ascii="Times New Roman" w:eastAsia="Times New Roman" w:hAnsi="Times New Roman" w:cs="Times New Roman"/>
          <w:sz w:val="24"/>
          <w:szCs w:val="24"/>
        </w:rPr>
        <w:t xml:space="preserve">, H., Koopman, B., &amp; </w:t>
      </w:r>
      <w:proofErr w:type="spellStart"/>
      <w:r w:rsidRPr="009206C2">
        <w:rPr>
          <w:rFonts w:ascii="Times New Roman" w:eastAsia="Times New Roman" w:hAnsi="Times New Roman" w:cs="Times New Roman"/>
          <w:sz w:val="24"/>
          <w:szCs w:val="24"/>
        </w:rPr>
        <w:t>Zuccon</w:t>
      </w:r>
      <w:proofErr w:type="spellEnd"/>
      <w:r w:rsidRPr="009206C2">
        <w:rPr>
          <w:rFonts w:ascii="Times New Roman" w:eastAsia="Times New Roman" w:hAnsi="Times New Roman" w:cs="Times New Roman"/>
          <w:sz w:val="24"/>
          <w:szCs w:val="24"/>
        </w:rPr>
        <w:t xml:space="preserve">, G. (2022). Automated </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 suggestion for effective query formulation in systematic reviews literature search. </w:t>
      </w:r>
      <w:r w:rsidRPr="009206C2">
        <w:rPr>
          <w:rFonts w:ascii="Times New Roman" w:eastAsia="Times New Roman" w:hAnsi="Times New Roman" w:cs="Times New Roman"/>
          <w:i/>
          <w:iCs/>
          <w:sz w:val="24"/>
          <w:szCs w:val="24"/>
        </w:rPr>
        <w:t>Intelligent Systems with Applications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 200141.</w:t>
      </w:r>
      <w:hyperlink r:id="rId76">
        <w:r w:rsidR="007E2F22" w:rsidRPr="009206C2">
          <w:rPr>
            <w:rFonts w:ascii="Times New Roman" w:eastAsia="Times New Roman" w:hAnsi="Times New Roman" w:cs="Times New Roman"/>
            <w:sz w:val="24"/>
            <w:szCs w:val="24"/>
          </w:rPr>
          <w:t xml:space="preserve"> </w:t>
        </w:r>
      </w:hyperlink>
      <w:hyperlink r:id="rId77">
        <w:r w:rsidR="007E2F22" w:rsidRPr="009206C2">
          <w:rPr>
            <w:rFonts w:ascii="Times New Roman" w:eastAsia="Times New Roman" w:hAnsi="Times New Roman" w:cs="Times New Roman"/>
            <w:color w:val="1155CC"/>
            <w:sz w:val="24"/>
            <w:szCs w:val="24"/>
            <w:u w:val="single"/>
          </w:rPr>
          <w:t>https://doi.org/10.1016/j.iswa.2022.200141</w:t>
        </w:r>
      </w:hyperlink>
    </w:p>
    <w:p w14:paraId="36FB133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K., Marshall, L., Jürgensen, M., Wiegmann, S., Kalender, U., </w:t>
      </w:r>
      <w:proofErr w:type="spellStart"/>
      <w:r w:rsidRPr="009206C2">
        <w:rPr>
          <w:rFonts w:ascii="Times New Roman" w:eastAsia="Times New Roman" w:hAnsi="Times New Roman" w:cs="Times New Roman"/>
          <w:sz w:val="24"/>
          <w:szCs w:val="24"/>
        </w:rPr>
        <w:t>Brösamle</w:t>
      </w:r>
      <w:proofErr w:type="spellEnd"/>
      <w:r w:rsidRPr="009206C2">
        <w:rPr>
          <w:rFonts w:ascii="Times New Roman" w:eastAsia="Times New Roman" w:hAnsi="Times New Roman" w:cs="Times New Roman"/>
          <w:sz w:val="24"/>
          <w:szCs w:val="24"/>
        </w:rPr>
        <w:t>, M., Herrmann, G., Hiort, O., Janssen-</w:t>
      </w:r>
      <w:proofErr w:type="spellStart"/>
      <w:r w:rsidRPr="009206C2">
        <w:rPr>
          <w:rFonts w:ascii="Times New Roman" w:eastAsia="Times New Roman" w:hAnsi="Times New Roman" w:cs="Times New Roman"/>
          <w:sz w:val="24"/>
          <w:szCs w:val="24"/>
        </w:rPr>
        <w:t>Schmidchen</w:t>
      </w:r>
      <w:proofErr w:type="spellEnd"/>
      <w:r w:rsidRPr="009206C2">
        <w:rPr>
          <w:rFonts w:ascii="Times New Roman" w:eastAsia="Times New Roman" w:hAnsi="Times New Roman" w:cs="Times New Roman"/>
          <w:sz w:val="24"/>
          <w:szCs w:val="24"/>
        </w:rPr>
        <w:t xml:space="preserve">, G., Richter-Unruh, A., </w:t>
      </w:r>
      <w:proofErr w:type="spellStart"/>
      <w:r w:rsidRPr="009206C2">
        <w:rPr>
          <w:rFonts w:ascii="Times New Roman" w:eastAsia="Times New Roman" w:hAnsi="Times New Roman" w:cs="Times New Roman"/>
          <w:sz w:val="24"/>
          <w:szCs w:val="24"/>
        </w:rPr>
        <w:t>Wabitsch</w:t>
      </w:r>
      <w:proofErr w:type="spellEnd"/>
      <w:r w:rsidRPr="009206C2">
        <w:rPr>
          <w:rFonts w:ascii="Times New Roman" w:eastAsia="Times New Roman" w:hAnsi="Times New Roman" w:cs="Times New Roman"/>
          <w:sz w:val="24"/>
          <w:szCs w:val="24"/>
        </w:rPr>
        <w:t xml:space="preserve">, M., Wunn, C., Keil, T., Neumann, U., &amp; </w:t>
      </w:r>
      <w:proofErr w:type="spellStart"/>
      <w:r w:rsidRPr="009206C2">
        <w:rPr>
          <w:rFonts w:ascii="Times New Roman" w:eastAsia="Times New Roman" w:hAnsi="Times New Roman" w:cs="Times New Roman"/>
          <w:sz w:val="24"/>
          <w:szCs w:val="24"/>
        </w:rPr>
        <w:t>Stöckigt</w:t>
      </w:r>
      <w:proofErr w:type="spellEnd"/>
      <w:r w:rsidRPr="009206C2">
        <w:rPr>
          <w:rFonts w:ascii="Times New Roman" w:eastAsia="Times New Roman" w:hAnsi="Times New Roman" w:cs="Times New Roman"/>
          <w:sz w:val="24"/>
          <w:szCs w:val="24"/>
        </w:rPr>
        <w:t xml:space="preserve">, B. (2025). Structured care after a DSD diagnosis in childhood: A mixed methods evaluation of the Empower-DSD program. </w:t>
      </w:r>
      <w:r w:rsidRPr="009206C2">
        <w:rPr>
          <w:rFonts w:ascii="Times New Roman" w:eastAsia="Times New Roman" w:hAnsi="Times New Roman" w:cs="Times New Roman"/>
          <w:i/>
          <w:iCs/>
          <w:sz w:val="24"/>
          <w:szCs w:val="24"/>
        </w:rPr>
        <w:t>Frontiers in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13</w:t>
      </w:r>
      <w:r w:rsidRPr="009206C2">
        <w:rPr>
          <w:rFonts w:ascii="Times New Roman" w:eastAsia="Times New Roman" w:hAnsi="Times New Roman" w:cs="Times New Roman"/>
          <w:sz w:val="24"/>
          <w:szCs w:val="24"/>
        </w:rPr>
        <w:t>.</w:t>
      </w:r>
      <w:hyperlink r:id="rId78">
        <w:r w:rsidR="007E2F22" w:rsidRPr="009206C2">
          <w:rPr>
            <w:rFonts w:ascii="Times New Roman" w:eastAsia="Times New Roman" w:hAnsi="Times New Roman" w:cs="Times New Roman"/>
            <w:sz w:val="24"/>
            <w:szCs w:val="24"/>
          </w:rPr>
          <w:t xml:space="preserve"> </w:t>
        </w:r>
      </w:hyperlink>
      <w:hyperlink r:id="rId79">
        <w:r w:rsidR="007E2F22" w:rsidRPr="009206C2">
          <w:rPr>
            <w:rFonts w:ascii="Times New Roman" w:eastAsia="Times New Roman" w:hAnsi="Times New Roman" w:cs="Times New Roman"/>
            <w:color w:val="1155CC"/>
            <w:sz w:val="24"/>
            <w:szCs w:val="24"/>
            <w:u w:val="single"/>
          </w:rPr>
          <w:t>https://doi.org/10.3389/fped.2025.1488411</w:t>
        </w:r>
      </w:hyperlink>
    </w:p>
    <w:p w14:paraId="591DB71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Willemsen, L. A., </w:t>
      </w:r>
      <w:proofErr w:type="spellStart"/>
      <w:r w:rsidRPr="009206C2">
        <w:rPr>
          <w:rFonts w:ascii="Times New Roman" w:eastAsia="Times New Roman" w:hAnsi="Times New Roman" w:cs="Times New Roman"/>
          <w:sz w:val="24"/>
          <w:szCs w:val="24"/>
        </w:rPr>
        <w:t>Stoter</w:t>
      </w:r>
      <w:proofErr w:type="spellEnd"/>
      <w:r w:rsidRPr="009206C2">
        <w:rPr>
          <w:rFonts w:ascii="Times New Roman" w:eastAsia="Times New Roman" w:hAnsi="Times New Roman" w:cs="Times New Roman"/>
          <w:sz w:val="24"/>
          <w:szCs w:val="24"/>
        </w:rPr>
        <w:t xml:space="preserve">, M., van den Boogaard, E., Both, S., Groen, L. A., </w:t>
      </w:r>
      <w:proofErr w:type="spellStart"/>
      <w:r w:rsidRPr="009206C2">
        <w:rPr>
          <w:rFonts w:ascii="Times New Roman" w:eastAsia="Times New Roman" w:hAnsi="Times New Roman" w:cs="Times New Roman"/>
          <w:sz w:val="24"/>
          <w:szCs w:val="24"/>
        </w:rPr>
        <w:t>Kreukels</w:t>
      </w:r>
      <w:proofErr w:type="spellEnd"/>
      <w:r w:rsidRPr="009206C2">
        <w:rPr>
          <w:rFonts w:ascii="Times New Roman" w:eastAsia="Times New Roman" w:hAnsi="Times New Roman" w:cs="Times New Roman"/>
          <w:sz w:val="24"/>
          <w:szCs w:val="24"/>
        </w:rPr>
        <w:t xml:space="preserve">, B. P. C., Kuiper, K. C., </w:t>
      </w:r>
      <w:proofErr w:type="spellStart"/>
      <w:r w:rsidRPr="009206C2">
        <w:rPr>
          <w:rFonts w:ascii="Times New Roman" w:eastAsia="Times New Roman" w:hAnsi="Times New Roman" w:cs="Times New Roman"/>
          <w:sz w:val="24"/>
          <w:szCs w:val="24"/>
        </w:rPr>
        <w:t>Nieuwersteeg</w:t>
      </w:r>
      <w:proofErr w:type="spellEnd"/>
      <w:r w:rsidRPr="009206C2">
        <w:rPr>
          <w:rFonts w:ascii="Times New Roman" w:eastAsia="Times New Roman" w:hAnsi="Times New Roman" w:cs="Times New Roman"/>
          <w:sz w:val="24"/>
          <w:szCs w:val="24"/>
        </w:rPr>
        <w:t xml:space="preserve">, J. N., Roussel, N. A., van der Sluijs Veer, L., de Vries, A. L. C., </w:t>
      </w:r>
      <w:proofErr w:type="spellStart"/>
      <w:r w:rsidRPr="009206C2">
        <w:rPr>
          <w:rFonts w:ascii="Times New Roman" w:eastAsia="Times New Roman" w:hAnsi="Times New Roman" w:cs="Times New Roman"/>
          <w:sz w:val="24"/>
          <w:szCs w:val="24"/>
        </w:rPr>
        <w:t>Zwijnenburg</w:t>
      </w:r>
      <w:proofErr w:type="spellEnd"/>
      <w:r w:rsidRPr="009206C2">
        <w:rPr>
          <w:rFonts w:ascii="Times New Roman" w:eastAsia="Times New Roman" w:hAnsi="Times New Roman" w:cs="Times New Roman"/>
          <w:sz w:val="24"/>
          <w:szCs w:val="24"/>
        </w:rPr>
        <w:t xml:space="preserve">, P. J. G., den </w:t>
      </w:r>
      <w:proofErr w:type="spellStart"/>
      <w:r w:rsidRPr="009206C2">
        <w:rPr>
          <w:rFonts w:ascii="Times New Roman" w:eastAsia="Times New Roman" w:hAnsi="Times New Roman" w:cs="Times New Roman"/>
          <w:sz w:val="24"/>
          <w:szCs w:val="24"/>
        </w:rPr>
        <w:t>Heijer</w:t>
      </w:r>
      <w:proofErr w:type="spellEnd"/>
      <w:r w:rsidRPr="009206C2">
        <w:rPr>
          <w:rFonts w:ascii="Times New Roman" w:eastAsia="Times New Roman" w:hAnsi="Times New Roman" w:cs="Times New Roman"/>
          <w:sz w:val="24"/>
          <w:szCs w:val="24"/>
        </w:rPr>
        <w:t xml:space="preserve">, M., </w:t>
      </w:r>
      <w:proofErr w:type="spellStart"/>
      <w:r w:rsidRPr="009206C2">
        <w:rPr>
          <w:rFonts w:ascii="Times New Roman" w:eastAsia="Times New Roman" w:hAnsi="Times New Roman" w:cs="Times New Roman"/>
          <w:sz w:val="24"/>
          <w:szCs w:val="24"/>
        </w:rPr>
        <w:t>Oosterlaan</w:t>
      </w:r>
      <w:proofErr w:type="spellEnd"/>
      <w:r w:rsidRPr="009206C2">
        <w:rPr>
          <w:rFonts w:ascii="Times New Roman" w:eastAsia="Times New Roman" w:hAnsi="Times New Roman" w:cs="Times New Roman"/>
          <w:sz w:val="24"/>
          <w:szCs w:val="24"/>
        </w:rPr>
        <w:t xml:space="preserve">, J., </w:t>
      </w:r>
      <w:proofErr w:type="spellStart"/>
      <w:r w:rsidRPr="009206C2">
        <w:rPr>
          <w:rFonts w:ascii="Times New Roman" w:eastAsia="Times New Roman" w:hAnsi="Times New Roman" w:cs="Times New Roman"/>
          <w:sz w:val="24"/>
          <w:szCs w:val="24"/>
        </w:rPr>
        <w:t>Hannema</w:t>
      </w:r>
      <w:proofErr w:type="spellEnd"/>
      <w:r w:rsidRPr="009206C2">
        <w:rPr>
          <w:rFonts w:ascii="Times New Roman" w:eastAsia="Times New Roman" w:hAnsi="Times New Roman" w:cs="Times New Roman"/>
          <w:sz w:val="24"/>
          <w:szCs w:val="24"/>
        </w:rPr>
        <w:t xml:space="preserve">, S. E., &amp; Follow Me DSD study group. (2026). Standardized multidisciplinary care for children and adolescents with differences of sex development: A health intelligence approach. </w:t>
      </w:r>
      <w:r w:rsidRPr="009206C2">
        <w:rPr>
          <w:rFonts w:ascii="Times New Roman" w:eastAsia="Times New Roman" w:hAnsi="Times New Roman" w:cs="Times New Roman"/>
          <w:i/>
          <w:iCs/>
          <w:sz w:val="24"/>
          <w:szCs w:val="24"/>
        </w:rPr>
        <w:t>The Journal of Sexual Medicine</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23</w:t>
      </w:r>
      <w:r w:rsidRPr="009206C2">
        <w:rPr>
          <w:rFonts w:ascii="Times New Roman" w:eastAsia="Times New Roman" w:hAnsi="Times New Roman" w:cs="Times New Roman"/>
          <w:sz w:val="24"/>
          <w:szCs w:val="24"/>
        </w:rPr>
        <w:t>(2), qdaf382.</w:t>
      </w:r>
      <w:hyperlink r:id="rId80">
        <w:r w:rsidR="007E2F22" w:rsidRPr="009206C2">
          <w:rPr>
            <w:rFonts w:ascii="Times New Roman" w:eastAsia="Times New Roman" w:hAnsi="Times New Roman" w:cs="Times New Roman"/>
            <w:sz w:val="24"/>
            <w:szCs w:val="24"/>
          </w:rPr>
          <w:t xml:space="preserve"> </w:t>
        </w:r>
      </w:hyperlink>
      <w:hyperlink r:id="rId81">
        <w:r w:rsidR="007E2F22" w:rsidRPr="009206C2">
          <w:rPr>
            <w:rFonts w:ascii="Times New Roman" w:eastAsia="Times New Roman" w:hAnsi="Times New Roman" w:cs="Times New Roman"/>
            <w:color w:val="1155CC"/>
            <w:sz w:val="24"/>
            <w:szCs w:val="24"/>
            <w:u w:val="single"/>
          </w:rPr>
          <w:t>https://doi.org/10.1093/jsxmed/qdaf382</w:t>
        </w:r>
      </w:hyperlink>
    </w:p>
    <w:p w14:paraId="6404F1F2" w14:textId="77777777" w:rsidR="007E2F22" w:rsidRPr="009206C2" w:rsidRDefault="00522090">
      <w:pPr>
        <w:spacing w:before="240" w:after="240"/>
        <w:ind w:left="880" w:hanging="440"/>
        <w:jc w:val="both"/>
        <w:rPr>
          <w:rFonts w:ascii="Times New Roman" w:eastAsia="Times New Roman" w:hAnsi="Times New Roman" w:cs="Times New Roman"/>
          <w:sz w:val="24"/>
          <w:szCs w:val="24"/>
        </w:rPr>
      </w:pPr>
      <w:proofErr w:type="spellStart"/>
      <w:r w:rsidRPr="009206C2">
        <w:rPr>
          <w:rFonts w:ascii="Times New Roman" w:eastAsia="Times New Roman" w:hAnsi="Times New Roman" w:cs="Times New Roman"/>
          <w:sz w:val="24"/>
          <w:szCs w:val="24"/>
        </w:rPr>
        <w:lastRenderedPageBreak/>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Z., &amp; Guran, T. (2024). Diagnosis and management of non-CAH 46</w:t>
      </w:r>
      <w:proofErr w:type="gramStart"/>
      <w:r w:rsidRPr="009206C2">
        <w:rPr>
          <w:rFonts w:ascii="Times New Roman" w:eastAsia="Times New Roman" w:hAnsi="Times New Roman" w:cs="Times New Roman"/>
          <w:sz w:val="24"/>
          <w:szCs w:val="24"/>
        </w:rPr>
        <w:t>,XX</w:t>
      </w:r>
      <w:proofErr w:type="gramEnd"/>
      <w:r w:rsidRPr="009206C2">
        <w:rPr>
          <w:rFonts w:ascii="Times New Roman" w:eastAsia="Times New Roman" w:hAnsi="Times New Roman" w:cs="Times New Roman"/>
          <w:sz w:val="24"/>
          <w:szCs w:val="24"/>
        </w:rPr>
        <w:t xml:space="preserve"> disorders/differences in sex development. </w:t>
      </w:r>
      <w:r w:rsidRPr="009206C2">
        <w:rPr>
          <w:rFonts w:ascii="Times New Roman" w:eastAsia="Times New Roman" w:hAnsi="Times New Roman" w:cs="Times New Roman"/>
          <w:i/>
          <w:iCs/>
          <w:sz w:val="24"/>
          <w:szCs w:val="24"/>
        </w:rPr>
        <w:t>Frontiers in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15</w:t>
      </w:r>
      <w:r w:rsidRPr="009206C2">
        <w:rPr>
          <w:rFonts w:ascii="Times New Roman" w:eastAsia="Times New Roman" w:hAnsi="Times New Roman" w:cs="Times New Roman"/>
          <w:sz w:val="24"/>
          <w:szCs w:val="24"/>
        </w:rPr>
        <w:t>, 1354759.</w:t>
      </w:r>
      <w:hyperlink r:id="rId82">
        <w:r w:rsidR="007E2F22" w:rsidRPr="009206C2">
          <w:rPr>
            <w:rFonts w:ascii="Times New Roman" w:eastAsia="Times New Roman" w:hAnsi="Times New Roman" w:cs="Times New Roman"/>
            <w:sz w:val="24"/>
            <w:szCs w:val="24"/>
          </w:rPr>
          <w:t xml:space="preserve"> </w:t>
        </w:r>
      </w:hyperlink>
      <w:hyperlink r:id="rId83">
        <w:r w:rsidR="007E2F22" w:rsidRPr="009206C2">
          <w:rPr>
            <w:rFonts w:ascii="Times New Roman" w:eastAsia="Times New Roman" w:hAnsi="Times New Roman" w:cs="Times New Roman"/>
            <w:color w:val="1155CC"/>
            <w:sz w:val="24"/>
            <w:szCs w:val="24"/>
            <w:u w:val="single"/>
          </w:rPr>
          <w:t>https://doi.org/10.3389/fendo.2024.1354759</w:t>
        </w:r>
      </w:hyperlink>
    </w:p>
    <w:p w14:paraId="2CC2CAE6" w14:textId="77777777" w:rsidR="007E2F22" w:rsidRPr="009206C2" w:rsidRDefault="007E2F22">
      <w:pPr>
        <w:spacing w:before="240" w:after="240"/>
        <w:jc w:val="both"/>
        <w:rPr>
          <w:rFonts w:ascii="Times New Roman" w:eastAsia="Times New Roman" w:hAnsi="Times New Roman" w:cs="Times New Roman"/>
          <w:sz w:val="24"/>
          <w:szCs w:val="24"/>
        </w:rPr>
      </w:pPr>
    </w:p>
    <w:p w14:paraId="47EEA84E" w14:textId="77777777" w:rsidR="007E2F22" w:rsidRPr="009206C2" w:rsidRDefault="007E2F22">
      <w:pPr>
        <w:spacing w:before="240" w:after="240"/>
        <w:jc w:val="both"/>
        <w:rPr>
          <w:rFonts w:ascii="Times New Roman" w:eastAsia="Times New Roman" w:hAnsi="Times New Roman" w:cs="Times New Roman"/>
          <w:sz w:val="24"/>
          <w:szCs w:val="24"/>
        </w:rPr>
      </w:pPr>
    </w:p>
    <w:p w14:paraId="29BB8E81" w14:textId="77777777" w:rsidR="007E2F22" w:rsidRPr="009206C2" w:rsidRDefault="007E2F22">
      <w:pPr>
        <w:jc w:val="both"/>
        <w:rPr>
          <w:rFonts w:ascii="Times New Roman" w:eastAsia="Times New Roman" w:hAnsi="Times New Roman" w:cs="Times New Roman"/>
          <w:sz w:val="24"/>
          <w:szCs w:val="24"/>
        </w:rPr>
      </w:pPr>
    </w:p>
    <w:sectPr w:rsidR="007E2F22" w:rsidRPr="009206C2">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URI" w:date="2026-04-02T10:31:00Z" w:initials="W">
    <w:p w14:paraId="11D39EC5" w14:textId="77777777" w:rsidR="00852600" w:rsidRPr="00852600" w:rsidRDefault="00852600" w:rsidP="00852600">
      <w:pPr>
        <w:pStyle w:val="HTMLPreformatted"/>
      </w:pPr>
      <w:r>
        <w:rPr>
          <w:rStyle w:val="CommentReference"/>
        </w:rPr>
        <w:annotationRef/>
      </w:r>
      <w:r w:rsidRPr="00852600">
        <w:rPr>
          <w:lang w:val="en"/>
        </w:rPr>
        <w:t>Please write a situation analysis of Ambiguous Genitalia in Children regarding its prevalence and impact, what is the background to this research?</w:t>
      </w:r>
    </w:p>
    <w:p w14:paraId="06D884D1" w14:textId="3B6BEAA4" w:rsidR="00852600" w:rsidRDefault="00852600">
      <w:pPr>
        <w:pStyle w:val="CommentText"/>
      </w:pPr>
    </w:p>
  </w:comment>
  <w:comment w:id="2" w:author="WURI" w:date="2026-04-02T10:32:00Z" w:initials="W">
    <w:p w14:paraId="0E6D86C3" w14:textId="77777777" w:rsidR="00852600" w:rsidRDefault="00852600" w:rsidP="00852600">
      <w:pPr>
        <w:pStyle w:val="HTMLPreformatted"/>
      </w:pPr>
      <w:r>
        <w:rPr>
          <w:rStyle w:val="CommentReference"/>
        </w:rPr>
        <w:annotationRef/>
      </w:r>
      <w:r>
        <w:rPr>
          <w:rStyle w:val="y2iqfc"/>
          <w:lang w:val="en"/>
        </w:rPr>
        <w:t>Please write down what the inclusion criteria are.</w:t>
      </w:r>
    </w:p>
    <w:p w14:paraId="7E7EAA34" w14:textId="5C548766" w:rsidR="00852600" w:rsidRDefault="00852600">
      <w:pPr>
        <w:pStyle w:val="CommentText"/>
      </w:pPr>
    </w:p>
  </w:comment>
  <w:comment w:id="8" w:author="WURI" w:date="2026-04-02T10:41:00Z" w:initials="W">
    <w:p w14:paraId="6980CB15" w14:textId="77777777" w:rsidR="00852600" w:rsidRDefault="00852600" w:rsidP="00852600">
      <w:pPr>
        <w:pStyle w:val="HTMLPreformatted"/>
      </w:pPr>
      <w:r>
        <w:rPr>
          <w:rStyle w:val="CommentReference"/>
        </w:rPr>
        <w:annotationRef/>
      </w:r>
      <w:r>
        <w:rPr>
          <w:rStyle w:val="y2iqfc"/>
          <w:lang w:val="en"/>
        </w:rPr>
        <w:t>The discussion can be sharpened by increasing the journal literature in the discussion.</w:t>
      </w:r>
    </w:p>
    <w:p w14:paraId="6D761D0B" w14:textId="6745295A" w:rsidR="00852600" w:rsidRDefault="0085260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D884D1" w15:done="0"/>
  <w15:commentEx w15:paraId="7E7EAA34" w15:done="0"/>
  <w15:commentEx w15:paraId="6D761D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2E04B" w14:textId="77777777" w:rsidR="002E2142" w:rsidRDefault="002E2142" w:rsidP="006348EC">
      <w:pPr>
        <w:spacing w:line="240" w:lineRule="auto"/>
      </w:pPr>
      <w:r>
        <w:separator/>
      </w:r>
    </w:p>
  </w:endnote>
  <w:endnote w:type="continuationSeparator" w:id="0">
    <w:p w14:paraId="3A2A5CBF" w14:textId="77777777" w:rsidR="002E2142" w:rsidRDefault="002E2142" w:rsidP="00634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6D6F68E-037E-4BEB-AB11-1FD4C34D2FA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931D97-1DC8-4CCE-9917-B2BB74EA60A4}"/>
  </w:font>
  <w:font w:name="Cambria">
    <w:panose1 w:val="02040503050406030204"/>
    <w:charset w:val="00"/>
    <w:family w:val="roman"/>
    <w:pitch w:val="variable"/>
    <w:sig w:usb0="E00006FF" w:usb1="420024FF" w:usb2="02000000" w:usb3="00000000" w:csb0="0000019F" w:csb1="00000000"/>
    <w:embedRegular r:id="rId3" w:fontKey="{1CB08809-C541-47A0-A9A8-7DD068BC1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6A24" w14:textId="77777777" w:rsidR="006348EC" w:rsidRDefault="006348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9D26A" w14:textId="77777777" w:rsidR="006348EC" w:rsidRDefault="006348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9DF32" w14:textId="77777777" w:rsidR="006348EC" w:rsidRDefault="006348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35A31" w14:textId="77777777" w:rsidR="002E2142" w:rsidRDefault="002E2142" w:rsidP="006348EC">
      <w:pPr>
        <w:spacing w:line="240" w:lineRule="auto"/>
      </w:pPr>
      <w:r>
        <w:separator/>
      </w:r>
    </w:p>
  </w:footnote>
  <w:footnote w:type="continuationSeparator" w:id="0">
    <w:p w14:paraId="64E18C4D" w14:textId="77777777" w:rsidR="002E2142" w:rsidRDefault="002E2142" w:rsidP="006348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A56B7" w14:textId="59708FAD" w:rsidR="006348EC" w:rsidRDefault="002E2142">
    <w:pPr>
      <w:pStyle w:val="Header"/>
    </w:pPr>
    <w:r>
      <w:rPr>
        <w:noProof/>
      </w:rPr>
      <w:pict w14:anchorId="7D7A5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B9F8F" w14:textId="51BCC529" w:rsidR="006348EC" w:rsidRDefault="002E2142">
    <w:pPr>
      <w:pStyle w:val="Header"/>
    </w:pPr>
    <w:r>
      <w:rPr>
        <w:noProof/>
      </w:rPr>
      <w:pict w14:anchorId="74CF5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96BAC" w14:textId="2D87167F" w:rsidR="006348EC" w:rsidRDefault="002E2142">
    <w:pPr>
      <w:pStyle w:val="Header"/>
    </w:pPr>
    <w:r>
      <w:rPr>
        <w:noProof/>
      </w:rPr>
      <w:pict w14:anchorId="20711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2E12"/>
    <w:multiLevelType w:val="multilevel"/>
    <w:tmpl w:val="3A8EC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CB3265"/>
    <w:multiLevelType w:val="multilevel"/>
    <w:tmpl w:val="21565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URI">
    <w15:presenceInfo w15:providerId="None" w15:userId="WU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F22"/>
    <w:rsid w:val="001967F7"/>
    <w:rsid w:val="00274F01"/>
    <w:rsid w:val="002E2142"/>
    <w:rsid w:val="00522090"/>
    <w:rsid w:val="006348EC"/>
    <w:rsid w:val="006A3CDC"/>
    <w:rsid w:val="007E2F22"/>
    <w:rsid w:val="00852600"/>
    <w:rsid w:val="00876AA8"/>
    <w:rsid w:val="009206C2"/>
    <w:rsid w:val="00E1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7B1885"/>
  <w15:docId w15:val="{0D1A0590-DDCB-4694-9613-5E68564C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character" w:styleId="Hyperlink">
    <w:name w:val="Hyperlink"/>
    <w:basedOn w:val="DefaultParagraphFont"/>
    <w:uiPriority w:val="99"/>
    <w:unhideWhenUsed/>
    <w:rsid w:val="00E17043"/>
    <w:rPr>
      <w:color w:val="0000FF" w:themeColor="hyperlink"/>
      <w:u w:val="single"/>
    </w:rPr>
  </w:style>
  <w:style w:type="character" w:customStyle="1" w:styleId="UnresolvedMention">
    <w:name w:val="Unresolved Mention"/>
    <w:basedOn w:val="DefaultParagraphFont"/>
    <w:uiPriority w:val="99"/>
    <w:semiHidden/>
    <w:unhideWhenUsed/>
    <w:rsid w:val="00E17043"/>
    <w:rPr>
      <w:color w:val="605E5C"/>
      <w:shd w:val="clear" w:color="auto" w:fill="E1DFDD"/>
    </w:rPr>
  </w:style>
  <w:style w:type="paragraph" w:styleId="Header">
    <w:name w:val="header"/>
    <w:basedOn w:val="Normal"/>
    <w:link w:val="HeaderChar"/>
    <w:uiPriority w:val="99"/>
    <w:unhideWhenUsed/>
    <w:rsid w:val="006348EC"/>
    <w:pPr>
      <w:tabs>
        <w:tab w:val="center" w:pos="4680"/>
        <w:tab w:val="right" w:pos="9360"/>
      </w:tabs>
      <w:spacing w:line="240" w:lineRule="auto"/>
    </w:pPr>
  </w:style>
  <w:style w:type="character" w:customStyle="1" w:styleId="HeaderChar">
    <w:name w:val="Header Char"/>
    <w:basedOn w:val="DefaultParagraphFont"/>
    <w:link w:val="Header"/>
    <w:uiPriority w:val="99"/>
    <w:rsid w:val="006348EC"/>
  </w:style>
  <w:style w:type="paragraph" w:styleId="Footer">
    <w:name w:val="footer"/>
    <w:basedOn w:val="Normal"/>
    <w:link w:val="FooterChar"/>
    <w:uiPriority w:val="99"/>
    <w:unhideWhenUsed/>
    <w:rsid w:val="006348EC"/>
    <w:pPr>
      <w:tabs>
        <w:tab w:val="center" w:pos="4680"/>
        <w:tab w:val="right" w:pos="9360"/>
      </w:tabs>
      <w:spacing w:line="240" w:lineRule="auto"/>
    </w:pPr>
  </w:style>
  <w:style w:type="character" w:customStyle="1" w:styleId="FooterChar">
    <w:name w:val="Footer Char"/>
    <w:basedOn w:val="DefaultParagraphFont"/>
    <w:link w:val="Footer"/>
    <w:uiPriority w:val="99"/>
    <w:rsid w:val="006348EC"/>
  </w:style>
  <w:style w:type="character" w:styleId="CommentReference">
    <w:name w:val="annotation reference"/>
    <w:basedOn w:val="DefaultParagraphFont"/>
    <w:uiPriority w:val="99"/>
    <w:semiHidden/>
    <w:unhideWhenUsed/>
    <w:rsid w:val="00852600"/>
    <w:rPr>
      <w:sz w:val="16"/>
      <w:szCs w:val="16"/>
    </w:rPr>
  </w:style>
  <w:style w:type="paragraph" w:styleId="CommentText">
    <w:name w:val="annotation text"/>
    <w:basedOn w:val="Normal"/>
    <w:link w:val="CommentTextChar"/>
    <w:uiPriority w:val="99"/>
    <w:semiHidden/>
    <w:unhideWhenUsed/>
    <w:rsid w:val="00852600"/>
    <w:pPr>
      <w:spacing w:line="240" w:lineRule="auto"/>
    </w:pPr>
    <w:rPr>
      <w:sz w:val="20"/>
      <w:szCs w:val="20"/>
    </w:rPr>
  </w:style>
  <w:style w:type="character" w:customStyle="1" w:styleId="CommentTextChar">
    <w:name w:val="Comment Text Char"/>
    <w:basedOn w:val="DefaultParagraphFont"/>
    <w:link w:val="CommentText"/>
    <w:uiPriority w:val="99"/>
    <w:semiHidden/>
    <w:rsid w:val="00852600"/>
    <w:rPr>
      <w:sz w:val="20"/>
      <w:szCs w:val="20"/>
    </w:rPr>
  </w:style>
  <w:style w:type="paragraph" w:styleId="CommentSubject">
    <w:name w:val="annotation subject"/>
    <w:basedOn w:val="CommentText"/>
    <w:next w:val="CommentText"/>
    <w:link w:val="CommentSubjectChar"/>
    <w:uiPriority w:val="99"/>
    <w:semiHidden/>
    <w:unhideWhenUsed/>
    <w:rsid w:val="00852600"/>
    <w:rPr>
      <w:b/>
      <w:bCs/>
    </w:rPr>
  </w:style>
  <w:style w:type="character" w:customStyle="1" w:styleId="CommentSubjectChar">
    <w:name w:val="Comment Subject Char"/>
    <w:basedOn w:val="CommentTextChar"/>
    <w:link w:val="CommentSubject"/>
    <w:uiPriority w:val="99"/>
    <w:semiHidden/>
    <w:rsid w:val="00852600"/>
    <w:rPr>
      <w:b/>
      <w:bCs/>
      <w:sz w:val="20"/>
      <w:szCs w:val="20"/>
    </w:rPr>
  </w:style>
  <w:style w:type="paragraph" w:styleId="BalloonText">
    <w:name w:val="Balloon Text"/>
    <w:basedOn w:val="Normal"/>
    <w:link w:val="BalloonTextChar"/>
    <w:uiPriority w:val="99"/>
    <w:semiHidden/>
    <w:unhideWhenUsed/>
    <w:rsid w:val="008526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600"/>
    <w:rPr>
      <w:rFonts w:ascii="Segoe UI" w:hAnsi="Segoe UI" w:cs="Segoe UI"/>
      <w:sz w:val="18"/>
      <w:szCs w:val="18"/>
    </w:rPr>
  </w:style>
  <w:style w:type="paragraph" w:styleId="HTMLPreformatted">
    <w:name w:val="HTML Preformatted"/>
    <w:basedOn w:val="Normal"/>
    <w:link w:val="HTMLPreformattedChar"/>
    <w:uiPriority w:val="99"/>
    <w:semiHidden/>
    <w:unhideWhenUsed/>
    <w:rsid w:val="00852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852600"/>
    <w:rPr>
      <w:rFonts w:ascii="Courier New" w:eastAsia="Times New Roman" w:hAnsi="Courier New" w:cs="Courier New"/>
      <w:sz w:val="20"/>
      <w:szCs w:val="20"/>
      <w:lang w:val="en-US" w:eastAsia="en-US"/>
    </w:rPr>
  </w:style>
  <w:style w:type="character" w:customStyle="1" w:styleId="y2iqfc">
    <w:name w:val="y2iqfc"/>
    <w:basedOn w:val="DefaultParagraphFont"/>
    <w:rsid w:val="00852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03341">
      <w:bodyDiv w:val="1"/>
      <w:marLeft w:val="0"/>
      <w:marRight w:val="0"/>
      <w:marTop w:val="0"/>
      <w:marBottom w:val="0"/>
      <w:divBdr>
        <w:top w:val="none" w:sz="0" w:space="0" w:color="auto"/>
        <w:left w:val="none" w:sz="0" w:space="0" w:color="auto"/>
        <w:bottom w:val="none" w:sz="0" w:space="0" w:color="auto"/>
        <w:right w:val="none" w:sz="0" w:space="0" w:color="auto"/>
      </w:divBdr>
    </w:div>
    <w:div w:id="305664900">
      <w:bodyDiv w:val="1"/>
      <w:marLeft w:val="0"/>
      <w:marRight w:val="0"/>
      <w:marTop w:val="0"/>
      <w:marBottom w:val="0"/>
      <w:divBdr>
        <w:top w:val="none" w:sz="0" w:space="0" w:color="auto"/>
        <w:left w:val="none" w:sz="0" w:space="0" w:color="auto"/>
        <w:bottom w:val="none" w:sz="0" w:space="0" w:color="auto"/>
        <w:right w:val="none" w:sz="0" w:space="0" w:color="auto"/>
      </w:divBdr>
    </w:div>
    <w:div w:id="527764472">
      <w:bodyDiv w:val="1"/>
      <w:marLeft w:val="0"/>
      <w:marRight w:val="0"/>
      <w:marTop w:val="0"/>
      <w:marBottom w:val="0"/>
      <w:divBdr>
        <w:top w:val="none" w:sz="0" w:space="0" w:color="auto"/>
        <w:left w:val="none" w:sz="0" w:space="0" w:color="auto"/>
        <w:bottom w:val="none" w:sz="0" w:space="0" w:color="auto"/>
        <w:right w:val="none" w:sz="0" w:space="0" w:color="auto"/>
      </w:divBdr>
    </w:div>
    <w:div w:id="877396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eem.2025.102016" TargetMode="External"/><Relationship Id="rId21" Type="http://schemas.openxmlformats.org/officeDocument/2006/relationships/hyperlink" Target="https://doi.org/10.1016/j.beem.2025.102002" TargetMode="External"/><Relationship Id="rId42" Type="http://schemas.openxmlformats.org/officeDocument/2006/relationships/hyperlink" Target="https://doi.org/10.1177/00099228241299909" TargetMode="External"/><Relationship Id="rId47" Type="http://schemas.openxmlformats.org/officeDocument/2006/relationships/hyperlink" Target="https://doi.org/10.1007/s00261-023-04066-x" TargetMode="External"/><Relationship Id="rId63" Type="http://schemas.openxmlformats.org/officeDocument/2006/relationships/hyperlink" Target="https://doi.org/10.14710/dimj.v5i2.25084" TargetMode="External"/><Relationship Id="rId68" Type="http://schemas.openxmlformats.org/officeDocument/2006/relationships/hyperlink" Target="https://doi.org/10.1186/s12910-025-01216-2"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doi.org/10.20473/jps.v12i1.29117" TargetMode="External"/><Relationship Id="rId11" Type="http://schemas.openxmlformats.org/officeDocument/2006/relationships/image" Target="media/image2.png"/><Relationship Id="rId32" Type="http://schemas.openxmlformats.org/officeDocument/2006/relationships/hyperlink" Target="https://doi.org/10.4103/0019-5049.190618" TargetMode="External"/><Relationship Id="rId37" Type="http://schemas.openxmlformats.org/officeDocument/2006/relationships/hyperlink" Target="https://doi.org/10.1297/cpe.2025-0073" TargetMode="External"/><Relationship Id="rId53" Type="http://schemas.openxmlformats.org/officeDocument/2006/relationships/hyperlink" Target="https://doi.org/10.1101/2024.03.11.24304115" TargetMode="External"/><Relationship Id="rId58" Type="http://schemas.openxmlformats.org/officeDocument/2006/relationships/hyperlink" Target="https://doi.org/10.1016/j.jpurol.2024.03.002" TargetMode="External"/><Relationship Id="rId74" Type="http://schemas.openxmlformats.org/officeDocument/2006/relationships/hyperlink" Target="https://doi.org/10.3390/medicina61111965" TargetMode="External"/><Relationship Id="rId79" Type="http://schemas.openxmlformats.org/officeDocument/2006/relationships/hyperlink" Target="https://doi.org/10.3389/fped.2025.1488411"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doi.org/10.7759/cureus.67571" TargetMode="External"/><Relationship Id="rId22" Type="http://schemas.openxmlformats.org/officeDocument/2006/relationships/hyperlink" Target="https://doi.org/10.1093/ejendo/lvag009" TargetMode="External"/><Relationship Id="rId27" Type="http://schemas.openxmlformats.org/officeDocument/2006/relationships/hyperlink" Target="https://doi.org/10.1016/j.beem.2025.102016" TargetMode="External"/><Relationship Id="rId30" Type="http://schemas.openxmlformats.org/officeDocument/2006/relationships/hyperlink" Target="https://doi.org/10.3390/bs14090832" TargetMode="External"/><Relationship Id="rId35" Type="http://schemas.openxmlformats.org/officeDocument/2006/relationships/hyperlink" Target="https://doi.org/10.3389/fped.2025.1646197" TargetMode="External"/><Relationship Id="rId43" Type="http://schemas.openxmlformats.org/officeDocument/2006/relationships/hyperlink" Target="https://doi.org/10.1177/00099228241299909" TargetMode="External"/><Relationship Id="rId48" Type="http://schemas.openxmlformats.org/officeDocument/2006/relationships/hyperlink" Target="https://doi.org/10.3389/fruro.2023.1188822" TargetMode="External"/><Relationship Id="rId56" Type="http://schemas.openxmlformats.org/officeDocument/2006/relationships/hyperlink" Target="https://doi.org/10.1136/bmj.n71" TargetMode="External"/><Relationship Id="rId64" Type="http://schemas.openxmlformats.org/officeDocument/2006/relationships/hyperlink" Target="https://doi.org/10.3390/children11091104" TargetMode="External"/><Relationship Id="rId69" Type="http://schemas.openxmlformats.org/officeDocument/2006/relationships/hyperlink" Target="https://doi.org/10.1186/s12910-025-01216-2" TargetMode="External"/><Relationship Id="rId77" Type="http://schemas.openxmlformats.org/officeDocument/2006/relationships/hyperlink" Target="https://doi.org/10.1016/j.iswa.2022.200141" TargetMode="External"/><Relationship Id="rId8" Type="http://schemas.openxmlformats.org/officeDocument/2006/relationships/comments" Target="comments.xml"/><Relationship Id="rId51" Type="http://schemas.openxmlformats.org/officeDocument/2006/relationships/hyperlink" Target="http://www.ncbi.nlm.nih.gov/books/NBK557435/" TargetMode="External"/><Relationship Id="rId72" Type="http://schemas.openxmlformats.org/officeDocument/2006/relationships/hyperlink" Target="https://doi.org/10.1080/02646838.2024.2439926" TargetMode="External"/><Relationship Id="rId80" Type="http://schemas.openxmlformats.org/officeDocument/2006/relationships/hyperlink" Target="https://doi.org/10.1093/jsxmed/qdaf382"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1159/000524517" TargetMode="External"/><Relationship Id="rId17" Type="http://schemas.openxmlformats.org/officeDocument/2006/relationships/hyperlink" Target="https://doi.org/10.20473/jps.v12i1.29117" TargetMode="External"/><Relationship Id="rId25" Type="http://schemas.openxmlformats.org/officeDocument/2006/relationships/hyperlink" Target="https://doi.org/10.25259/JPED_81_2025" TargetMode="External"/><Relationship Id="rId33" Type="http://schemas.openxmlformats.org/officeDocument/2006/relationships/hyperlink" Target="https://doi.org/10.4103/0019-5049.190618" TargetMode="External"/><Relationship Id="rId38" Type="http://schemas.openxmlformats.org/officeDocument/2006/relationships/hyperlink" Target="https://doi.org/10.52403/ijhsr.20240209" TargetMode="External"/><Relationship Id="rId46" Type="http://schemas.openxmlformats.org/officeDocument/2006/relationships/hyperlink" Target="https://doi.org/10.1007/s00261-023-04066-x" TargetMode="External"/><Relationship Id="rId59" Type="http://schemas.openxmlformats.org/officeDocument/2006/relationships/hyperlink" Target="https://doi.org/10.1016/j.jpurol.2024.03.002" TargetMode="External"/><Relationship Id="rId67" Type="http://schemas.openxmlformats.org/officeDocument/2006/relationships/hyperlink" Target="https://doi.org/10.3389/fruro.2023.1281181" TargetMode="External"/><Relationship Id="rId20" Type="http://schemas.openxmlformats.org/officeDocument/2006/relationships/hyperlink" Target="https://doi.org/10.1016/j.beem.2025.102002" TargetMode="External"/><Relationship Id="rId41" Type="http://schemas.openxmlformats.org/officeDocument/2006/relationships/hyperlink" Target="https://doi.org/10.3390/ijerph182111152" TargetMode="External"/><Relationship Id="rId54" Type="http://schemas.openxmlformats.org/officeDocument/2006/relationships/hyperlink" Target="https://doi.org/10.4274/jcrpe.galenos.2025.2025-2-14" TargetMode="External"/><Relationship Id="rId62" Type="http://schemas.openxmlformats.org/officeDocument/2006/relationships/hyperlink" Target="https://doi.org/10.14710/dimj.v5i2.25084" TargetMode="External"/><Relationship Id="rId70" Type="http://schemas.openxmlformats.org/officeDocument/2006/relationships/hyperlink" Target="https://doi.org/10.1016/j.jpedsurg.2024.162067" TargetMode="External"/><Relationship Id="rId75" Type="http://schemas.openxmlformats.org/officeDocument/2006/relationships/hyperlink" Target="https://doi.org/10.3390/medicina61111965" TargetMode="External"/><Relationship Id="rId83" Type="http://schemas.openxmlformats.org/officeDocument/2006/relationships/hyperlink" Target="https://doi.org/10.3389/fendo.2024.1354759" TargetMode="External"/><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7759/cureus.67571" TargetMode="External"/><Relationship Id="rId23" Type="http://schemas.openxmlformats.org/officeDocument/2006/relationships/hyperlink" Target="https://doi.org/10.1093/ejendo/lvag009" TargetMode="External"/><Relationship Id="rId28" Type="http://schemas.openxmlformats.org/officeDocument/2006/relationships/hyperlink" Target="https://doi.org/10.1186/s43042-025-00681-z" TargetMode="External"/><Relationship Id="rId36" Type="http://schemas.openxmlformats.org/officeDocument/2006/relationships/hyperlink" Target="https://doi.org/10.1297/cpe.2025-0073" TargetMode="External"/><Relationship Id="rId49" Type="http://schemas.openxmlformats.org/officeDocument/2006/relationships/hyperlink" Target="https://doi.org/10.3389/fruro.2023.1188822" TargetMode="External"/><Relationship Id="rId57" Type="http://schemas.openxmlformats.org/officeDocument/2006/relationships/hyperlink" Target="https://doi.org/10.1136/bmj.n71" TargetMode="External"/><Relationship Id="rId10" Type="http://schemas.openxmlformats.org/officeDocument/2006/relationships/image" Target="media/image1.png"/><Relationship Id="rId31" Type="http://schemas.openxmlformats.org/officeDocument/2006/relationships/hyperlink" Target="https://doi.org/10.3390/bs14090832" TargetMode="External"/><Relationship Id="rId44" Type="http://schemas.openxmlformats.org/officeDocument/2006/relationships/hyperlink" Target="https://doi.org/10.4274/jcrpe.galenos.2024.2024-3-3" TargetMode="External"/><Relationship Id="rId52" Type="http://schemas.openxmlformats.org/officeDocument/2006/relationships/hyperlink" Target="https://doi.org/10.1101/2024.03.11.24304115" TargetMode="External"/><Relationship Id="rId60" Type="http://schemas.openxmlformats.org/officeDocument/2006/relationships/hyperlink" Target="https://doi.org/10.3389/fgene.2025.1661127" TargetMode="External"/><Relationship Id="rId65" Type="http://schemas.openxmlformats.org/officeDocument/2006/relationships/hyperlink" Target="https://doi.org/10.3390/children11091104" TargetMode="External"/><Relationship Id="rId73" Type="http://schemas.openxmlformats.org/officeDocument/2006/relationships/hyperlink" Target="https://doi.org/10.1080/02646838.2024.2439926" TargetMode="External"/><Relationship Id="rId78" Type="http://schemas.openxmlformats.org/officeDocument/2006/relationships/hyperlink" Target="https://doi.org/10.3389/fped.2025.1488411" TargetMode="External"/><Relationship Id="rId81" Type="http://schemas.openxmlformats.org/officeDocument/2006/relationships/hyperlink" Target="https://doi.org/10.1093/jsxmed/qdaf382" TargetMode="External"/><Relationship Id="rId86"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159/000524517" TargetMode="External"/><Relationship Id="rId18" Type="http://schemas.openxmlformats.org/officeDocument/2006/relationships/hyperlink" Target="https://doi.org/10.1007/s10508-021-01953-6" TargetMode="External"/><Relationship Id="rId39" Type="http://schemas.openxmlformats.org/officeDocument/2006/relationships/hyperlink" Target="https://doi.org/10.52403/ijhsr.20240209" TargetMode="External"/><Relationship Id="rId34" Type="http://schemas.openxmlformats.org/officeDocument/2006/relationships/hyperlink" Target="https://doi.org/10.3389/fped.2025.1646197" TargetMode="External"/><Relationship Id="rId50" Type="http://schemas.openxmlformats.org/officeDocument/2006/relationships/hyperlink" Target="http://www.ncbi.nlm.nih.gov/books/NBK557435/" TargetMode="External"/><Relationship Id="rId55" Type="http://schemas.openxmlformats.org/officeDocument/2006/relationships/hyperlink" Target="https://doi.org/10.4274/jcrpe.galenos.2025.2025-2-14" TargetMode="External"/><Relationship Id="rId76" Type="http://schemas.openxmlformats.org/officeDocument/2006/relationships/hyperlink" Target="https://doi.org/10.1016/j.iswa.2022.200141" TargetMode="External"/><Relationship Id="rId7" Type="http://schemas.openxmlformats.org/officeDocument/2006/relationships/endnotes" Target="endnotes.xml"/><Relationship Id="rId71" Type="http://schemas.openxmlformats.org/officeDocument/2006/relationships/hyperlink" Target="https://doi.org/10.1016/j.jpedsurg.2024.162067"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1186/s43042-025-00681-z" TargetMode="External"/><Relationship Id="rId24" Type="http://schemas.openxmlformats.org/officeDocument/2006/relationships/hyperlink" Target="https://doi.org/10.25259/JPED_81_2025" TargetMode="External"/><Relationship Id="rId40" Type="http://schemas.openxmlformats.org/officeDocument/2006/relationships/hyperlink" Target="https://doi.org/10.3390/ijerph182111152" TargetMode="External"/><Relationship Id="rId45" Type="http://schemas.openxmlformats.org/officeDocument/2006/relationships/hyperlink" Target="https://doi.org/10.4274/jcrpe.galenos.2024.2024-3-3" TargetMode="External"/><Relationship Id="rId66" Type="http://schemas.openxmlformats.org/officeDocument/2006/relationships/hyperlink" Target="https://doi.org/10.3389/fruro.2023.1281181" TargetMode="External"/><Relationship Id="rId87" Type="http://schemas.openxmlformats.org/officeDocument/2006/relationships/footer" Target="footer2.xml"/><Relationship Id="rId61" Type="http://schemas.openxmlformats.org/officeDocument/2006/relationships/hyperlink" Target="https://doi.org/10.3389/fgene.2025.1661127" TargetMode="External"/><Relationship Id="rId82" Type="http://schemas.openxmlformats.org/officeDocument/2006/relationships/hyperlink" Target="https://doi.org/10.3389/fendo.2024.1354759" TargetMode="External"/><Relationship Id="rId19" Type="http://schemas.openxmlformats.org/officeDocument/2006/relationships/hyperlink" Target="https://doi.org/10.1007/s10508-021-01953-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wmblctX5loKmzmjbU3EqG9WpBQ==">CgMxLjAyDmgubjlsbjd3ZTQ4cno4Mg5oLms1OWR6aDhtcTl5MDIOaC5kMHdidnM1cmVhNDkyDmguZHJrMmE5aGlmYTkyMg5oLnhkeDdnb2MwNXU1ZzIOaC43YXZpZXQxNDE2ZHQyDmguMTRnNWRsZ2J1eDJhMg5oLm1teGlkdGNxaXI3NTIOaC53YjUyenhpaGhzOXMyDmgua3d0c2pmbmQ3cWkwMg1oLmRsNmQyY3p3M2M5OAByITFkRUdmdjFoTG5RdTJXUG9DTHhINERqNFoxcE4zT1p6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8450</Words>
  <Characters>48168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WURI</dc:creator>
  <cp:lastModifiedBy>WURI</cp:lastModifiedBy>
  <cp:revision>2</cp:revision>
  <dcterms:created xsi:type="dcterms:W3CDTF">2026-04-02T03:42:00Z</dcterms:created>
  <dcterms:modified xsi:type="dcterms:W3CDTF">2026-04-02T03:42:00Z</dcterms:modified>
</cp:coreProperties>
</file>