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DB6BF" w14:textId="77777777" w:rsidR="00086A58" w:rsidRDefault="009B1C7A">
      <w:pPr>
        <w:pStyle w:val="Heading3"/>
        <w:keepNext w:val="0"/>
        <w:keepLines w:val="0"/>
        <w:spacing w:before="280"/>
        <w:jc w:val="center"/>
        <w:rPr>
          <w:rFonts w:ascii="Times New Roman" w:eastAsia="Times New Roman" w:hAnsi="Times New Roman" w:cs="Times New Roman"/>
          <w:b/>
          <w:bCs/>
          <w:color w:val="000000"/>
          <w:sz w:val="36"/>
          <w:szCs w:val="36"/>
          <w:highlight w:val="white"/>
        </w:rPr>
      </w:pPr>
      <w:bookmarkStart w:id="0" w:name="_heading=h.gs2f44vtifr1" w:colFirst="0" w:colLast="0"/>
      <w:bookmarkStart w:id="1" w:name="_GoBack"/>
      <w:bookmarkEnd w:id="0"/>
      <w:bookmarkEnd w:id="1"/>
      <w:r>
        <w:rPr>
          <w:rFonts w:ascii="Times New Roman" w:eastAsia="Times New Roman" w:hAnsi="Times New Roman" w:cs="Times New Roman"/>
          <w:b/>
          <w:bCs/>
          <w:color w:val="000000"/>
          <w:sz w:val="36"/>
          <w:szCs w:val="36"/>
          <w:highlight w:val="white"/>
        </w:rPr>
        <w:t>Teachers' Perspectives on Inclusive Education for Children with Special Needs</w:t>
      </w:r>
    </w:p>
    <w:p w14:paraId="2B487EE0" w14:textId="77777777" w:rsidR="00086A58" w:rsidRDefault="00086A58">
      <w:pPr>
        <w:rPr>
          <w:rFonts w:ascii="Times New Roman" w:eastAsia="Times New Roman" w:hAnsi="Times New Roman" w:cs="Times New Roman"/>
          <w:sz w:val="20"/>
          <w:szCs w:val="20"/>
        </w:rPr>
      </w:pPr>
    </w:p>
    <w:p w14:paraId="173827C7" w14:textId="77777777" w:rsidR="00086A58" w:rsidRDefault="00086A58">
      <w:pPr>
        <w:rPr>
          <w:rFonts w:ascii="Times New Roman" w:eastAsia="Times New Roman" w:hAnsi="Times New Roman" w:cs="Times New Roman"/>
          <w:sz w:val="20"/>
          <w:szCs w:val="20"/>
        </w:rPr>
      </w:pPr>
    </w:p>
    <w:p w14:paraId="41580F5E" w14:textId="77777777" w:rsidR="00137E57" w:rsidRDefault="00137E57">
      <w:pPr>
        <w:pStyle w:val="Heading3"/>
        <w:keepNext w:val="0"/>
        <w:keepLines w:val="0"/>
        <w:spacing w:before="280"/>
        <w:rPr>
          <w:rFonts w:ascii="Times New Roman" w:eastAsia="Times New Roman" w:hAnsi="Times New Roman" w:cs="Times New Roman"/>
          <w:b/>
          <w:bCs/>
          <w:color w:val="000000"/>
          <w:sz w:val="32"/>
          <w:szCs w:val="32"/>
          <w:highlight w:val="white"/>
        </w:rPr>
      </w:pPr>
      <w:bookmarkStart w:id="2" w:name="_heading=h.8udgfzst0tau" w:colFirst="0" w:colLast="0"/>
      <w:bookmarkEnd w:id="2"/>
    </w:p>
    <w:p w14:paraId="2BB37BE5" w14:textId="541B960B" w:rsidR="00086A58" w:rsidRDefault="009B1C7A">
      <w:pPr>
        <w:pStyle w:val="Heading3"/>
        <w:keepNext w:val="0"/>
        <w:keepLines w:val="0"/>
        <w:spacing w:before="280"/>
        <w:rPr>
          <w:rFonts w:ascii="Times New Roman" w:eastAsia="Times New Roman" w:hAnsi="Times New Roman" w:cs="Times New Roman"/>
          <w:b/>
          <w:bCs/>
          <w:color w:val="000000"/>
          <w:sz w:val="32"/>
          <w:szCs w:val="32"/>
          <w:highlight w:val="white"/>
        </w:rPr>
      </w:pPr>
      <w:r>
        <w:rPr>
          <w:rFonts w:ascii="Times New Roman" w:eastAsia="Times New Roman" w:hAnsi="Times New Roman" w:cs="Times New Roman"/>
          <w:b/>
          <w:bCs/>
          <w:color w:val="000000"/>
          <w:sz w:val="32"/>
          <w:szCs w:val="32"/>
          <w:highlight w:val="white"/>
        </w:rPr>
        <w:t>Abstract</w:t>
      </w:r>
    </w:p>
    <w:p w14:paraId="1FA4C248" w14:textId="77777777" w:rsidR="00086A58" w:rsidRDefault="009B1C7A">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investigates teachers' perspectives on inclusive education for children with special needs in Nigerian private schools. The primary purpose is to assess teachers' understanding of inclusive education, their familiarity with effective teaching strategies, and their preparedness to implement inclusive practices. A structured questionnaire was distributed to 64 teachers across three private schools in Anambra State, Nigeria. The findings indicate that while teachers generally have a strong understanding of the core concepts of inclusive education, there are notable gaps in their knowledge of specialized teaching strategies and the use of assistive technologies. Additionally, the study highlights significant challenges related to inadequate teacher training, insufficient resources, and lack of institutional support, which hinder the effective implementation of inclusive education practices. Teachers expressed a strong desire for further professional development, with 93.2% indicating a willingness to engage in additional training. The study emphasizes the need for targeted professional development programs to enhance teachers' competencies in inclusive education, including training in specialized teaching methods and assistive technologies. Furthermore, resource allocation must be improved to support the integration of children with special needs into mainstream classrooms. The findings suggest that a collaborative approach among teachers, special education staff, and school administrators is essential for creating a truly inclusive environment. This study contributes to the growing body of research on inclusive education and provides practical recommendations for policy reforms to support inclusive practices in Nigerian schools.</w:t>
      </w:r>
    </w:p>
    <w:p w14:paraId="0EBDFF94" w14:textId="77777777" w:rsidR="00086A58" w:rsidRDefault="00086A58">
      <w:pPr>
        <w:shd w:val="clear" w:color="auto" w:fill="FFFFFF"/>
        <w:jc w:val="both"/>
        <w:rPr>
          <w:rFonts w:ascii="Bell MT" w:eastAsia="Bell MT" w:hAnsi="Bell MT" w:cs="Bell MT"/>
          <w:sz w:val="20"/>
          <w:szCs w:val="20"/>
        </w:rPr>
      </w:pPr>
    </w:p>
    <w:p w14:paraId="2A0285D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Inclusive education, Special needs, Teacher’s perspectives, Professional development, Nigeria, Teaching strategies</w:t>
      </w:r>
    </w:p>
    <w:p w14:paraId="3DD46D7B" w14:textId="77777777" w:rsidR="00086A58" w:rsidRDefault="00086A58">
      <w:pPr>
        <w:jc w:val="both"/>
        <w:rPr>
          <w:rFonts w:ascii="Times New Roman" w:eastAsia="Times New Roman" w:hAnsi="Times New Roman" w:cs="Times New Roman"/>
          <w:sz w:val="24"/>
          <w:szCs w:val="24"/>
          <w:highlight w:val="white"/>
        </w:rPr>
      </w:pPr>
    </w:p>
    <w:p w14:paraId="1978D743" w14:textId="77777777" w:rsidR="00086A58" w:rsidRDefault="009B1C7A">
      <w:pPr>
        <w:pStyle w:val="Heading3"/>
        <w:keepNext w:val="0"/>
        <w:keepLines w:val="0"/>
        <w:spacing w:before="280"/>
        <w:rPr>
          <w:rFonts w:ascii="Times New Roman" w:eastAsia="Times New Roman" w:hAnsi="Times New Roman" w:cs="Times New Roman"/>
          <w:b/>
          <w:bCs/>
          <w:color w:val="000000"/>
          <w:sz w:val="32"/>
          <w:szCs w:val="32"/>
          <w:highlight w:val="white"/>
        </w:rPr>
      </w:pPr>
      <w:bookmarkStart w:id="3" w:name="_heading=h.sbwbrwqkkt5k" w:colFirst="0" w:colLast="0"/>
      <w:bookmarkEnd w:id="3"/>
      <w:r>
        <w:rPr>
          <w:rFonts w:ascii="Times New Roman" w:eastAsia="Times New Roman" w:hAnsi="Times New Roman" w:cs="Times New Roman"/>
          <w:b/>
          <w:bCs/>
          <w:color w:val="000000"/>
          <w:sz w:val="32"/>
          <w:szCs w:val="32"/>
          <w:highlight w:val="white"/>
        </w:rPr>
        <w:t>Introduction</w:t>
      </w:r>
    </w:p>
    <w:p w14:paraId="4BE6D512"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4" w:name="_heading=h.p94uhcau3007" w:colFirst="0" w:colLast="0"/>
      <w:bookmarkEnd w:id="4"/>
      <w:r>
        <w:rPr>
          <w:rFonts w:ascii="Times New Roman" w:eastAsia="Times New Roman" w:hAnsi="Times New Roman" w:cs="Times New Roman"/>
          <w:b/>
          <w:bCs/>
          <w:color w:val="000000"/>
          <w:sz w:val="28"/>
          <w:szCs w:val="28"/>
          <w:highlight w:val="white"/>
        </w:rPr>
        <w:t>Background of the Study</w:t>
      </w:r>
    </w:p>
    <w:p w14:paraId="7188E21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Inclusive education has been globally recognized as a fundamental principle for promoting educational equality, ensuring that every child, regardless of their background or abilities, has access to quality education. It involves integrating students with special needs into mainstream schools and fostering an environment where all students, including those with disabilities, feel valued and supported in their learning journey (Ainscow, 2020; UNICEF, n.d.). Effective inclusive education requires more than just physical integration; it demands that teachers have a solid understanding of various disabilities, appropriate teaching strategies, and how to create inclusive environments. Teachers’ knowledge of these concepts plays a central role in the successful implementation of inclusive education (Chow et al., 2024).</w:t>
      </w:r>
    </w:p>
    <w:p w14:paraId="2B55677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Nigeria, inclusive education is still in its early stages, and its implementation faces several challenges. Despite national policies promoting inclusive education, there is a significant gap between policy and practice, especially in terms of teacher knowledge and preparation (Angwaomaodoko, 2023). Private schools face unique challenges in this regard, including limited training opportunities for teachers and insufficient resources to support students with special needs (</w:t>
      </w:r>
      <w:proofErr w:type="spellStart"/>
      <w:r>
        <w:rPr>
          <w:rFonts w:ascii="Times New Roman" w:eastAsia="Times New Roman" w:hAnsi="Times New Roman" w:cs="Times New Roman"/>
          <w:sz w:val="24"/>
          <w:szCs w:val="24"/>
          <w:highlight w:val="white"/>
        </w:rPr>
        <w:t>Angwaomaodoko</w:t>
      </w:r>
      <w:proofErr w:type="spellEnd"/>
      <w:r>
        <w:rPr>
          <w:rFonts w:ascii="Times New Roman" w:eastAsia="Times New Roman" w:hAnsi="Times New Roman" w:cs="Times New Roman"/>
          <w:sz w:val="24"/>
          <w:szCs w:val="24"/>
          <w:highlight w:val="white"/>
        </w:rPr>
        <w:t xml:space="preserve">, 2023; </w:t>
      </w:r>
      <w:proofErr w:type="spellStart"/>
      <w:r>
        <w:rPr>
          <w:rFonts w:ascii="Times New Roman" w:eastAsia="Times New Roman" w:hAnsi="Times New Roman" w:cs="Times New Roman"/>
          <w:sz w:val="24"/>
          <w:szCs w:val="24"/>
          <w:highlight w:val="white"/>
        </w:rPr>
        <w:t>Orlunga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Alikor</w:t>
      </w:r>
      <w:proofErr w:type="spellEnd"/>
      <w:r>
        <w:rPr>
          <w:rFonts w:ascii="Times New Roman" w:eastAsia="Times New Roman" w:hAnsi="Times New Roman" w:cs="Times New Roman"/>
          <w:sz w:val="24"/>
          <w:szCs w:val="24"/>
          <w:highlight w:val="white"/>
        </w:rPr>
        <w:t>, 2023). This research seeks to assess the knowledge of teachers regarding inclusive education for children with special needs and how this knowledge impacts their ability to implement inclusive teaching strategies.</w:t>
      </w:r>
    </w:p>
    <w:p w14:paraId="066E159F"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5" w:name="_heading=h.792ggnkfevk0" w:colFirst="0" w:colLast="0"/>
      <w:bookmarkEnd w:id="5"/>
      <w:r>
        <w:rPr>
          <w:rFonts w:ascii="Times New Roman" w:eastAsia="Times New Roman" w:hAnsi="Times New Roman" w:cs="Times New Roman"/>
          <w:b/>
          <w:bCs/>
          <w:color w:val="000000"/>
          <w:sz w:val="28"/>
          <w:szCs w:val="28"/>
          <w:highlight w:val="white"/>
        </w:rPr>
        <w:t>Problem Statement</w:t>
      </w:r>
    </w:p>
    <w:p w14:paraId="484037B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the importance of inclusive education is widely acknowledged, there is a dearth of research specifically focused on assessing teachers’ knowledge of inclusive education in Nigerian schools. The success of inclusive education programs heavily relies on teachers’ understanding of inclusive practices, disabilities, and the strategies necessary to support children with special needs (Adigun, 2021). However, there has been limited exploration of how well teachers in Nigerian secondary schools understand these principles and practices.</w:t>
      </w:r>
    </w:p>
    <w:p w14:paraId="62A7830F" w14:textId="77777777" w:rsidR="00086A58" w:rsidRDefault="009B1C7A">
      <w:pPr>
        <w:spacing w:before="240" w:after="240"/>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At  private</w:t>
      </w:r>
      <w:proofErr w:type="gramEnd"/>
      <w:r>
        <w:rPr>
          <w:rFonts w:ascii="Times New Roman" w:eastAsia="Times New Roman" w:hAnsi="Times New Roman" w:cs="Times New Roman"/>
          <w:sz w:val="24"/>
          <w:szCs w:val="24"/>
          <w:highlight w:val="white"/>
        </w:rPr>
        <w:t xml:space="preserve"> schools, the teachers' knowledge about inclusive education is yet to be thoroughly explored. Given the lack of formal training opportunities in special education, this study is crucial in filling the gap by evaluating the teachers’ level of knowledge and the implications this has for their teaching practices. The findings will contribute to a deeper understanding of how teachers’ knowledge influences the implementation of inclusive education in a private school setting in Nigeria.</w:t>
      </w:r>
    </w:p>
    <w:p w14:paraId="4F5BCD23"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6" w:name="_heading=h.mmhpailjwd8d" w:colFirst="0" w:colLast="0"/>
      <w:bookmarkEnd w:id="6"/>
      <w:r>
        <w:rPr>
          <w:rFonts w:ascii="Times New Roman" w:eastAsia="Times New Roman" w:hAnsi="Times New Roman" w:cs="Times New Roman"/>
          <w:b/>
          <w:bCs/>
          <w:color w:val="000000"/>
          <w:sz w:val="28"/>
          <w:szCs w:val="28"/>
          <w:highlight w:val="white"/>
        </w:rPr>
        <w:t>Research Questions</w:t>
      </w:r>
    </w:p>
    <w:p w14:paraId="0FD986C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research questions guiding this study are:</w:t>
      </w:r>
    </w:p>
    <w:p w14:paraId="2713D8E2" w14:textId="77777777" w:rsidR="00086A58" w:rsidRDefault="009B1C7A">
      <w:pPr>
        <w:numPr>
          <w:ilvl w:val="0"/>
          <w:numId w:val="3"/>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is the level of knowledge of teachers regarding inclusive education for children with special needs?</w:t>
      </w:r>
      <w:r>
        <w:rPr>
          <w:rFonts w:ascii="Times New Roman" w:eastAsia="Times New Roman" w:hAnsi="Times New Roman" w:cs="Times New Roman"/>
          <w:sz w:val="24"/>
          <w:szCs w:val="24"/>
          <w:highlight w:val="white"/>
        </w:rPr>
        <w:br/>
      </w:r>
    </w:p>
    <w:p w14:paraId="3F741B1C" w14:textId="77777777" w:rsidR="00086A58" w:rsidRDefault="009B1C7A">
      <w:pPr>
        <w:numPr>
          <w:ilvl w:val="0"/>
          <w:numId w:val="3"/>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How well do teachers understand the challenges and benefits of inclusive education in their classrooms?</w:t>
      </w:r>
      <w:r>
        <w:rPr>
          <w:rFonts w:ascii="Times New Roman" w:eastAsia="Times New Roman" w:hAnsi="Times New Roman" w:cs="Times New Roman"/>
          <w:sz w:val="24"/>
          <w:szCs w:val="24"/>
          <w:highlight w:val="white"/>
        </w:rPr>
        <w:br/>
      </w:r>
    </w:p>
    <w:p w14:paraId="6440E62C" w14:textId="77777777" w:rsidR="00086A58" w:rsidRDefault="009B1C7A">
      <w:pPr>
        <w:numPr>
          <w:ilvl w:val="0"/>
          <w:numId w:val="3"/>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prepared are teachers to implement inclusive education practices, given their knowledge and available resources?</w:t>
      </w:r>
      <w:r>
        <w:rPr>
          <w:rFonts w:ascii="Times New Roman" w:eastAsia="Times New Roman" w:hAnsi="Times New Roman" w:cs="Times New Roman"/>
          <w:sz w:val="24"/>
          <w:szCs w:val="24"/>
          <w:highlight w:val="white"/>
        </w:rPr>
        <w:br/>
      </w:r>
    </w:p>
    <w:p w14:paraId="28CB207E"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7" w:name="_heading=h.499b2nrbbju0" w:colFirst="0" w:colLast="0"/>
      <w:bookmarkEnd w:id="7"/>
      <w:r>
        <w:rPr>
          <w:rFonts w:ascii="Times New Roman" w:eastAsia="Times New Roman" w:hAnsi="Times New Roman" w:cs="Times New Roman"/>
          <w:b/>
          <w:bCs/>
          <w:color w:val="000000"/>
          <w:sz w:val="28"/>
          <w:szCs w:val="28"/>
          <w:highlight w:val="white"/>
        </w:rPr>
        <w:t>Objective of the Study</w:t>
      </w:r>
    </w:p>
    <w:p w14:paraId="13AA5AF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objective of this study is to assess the knowledge of teachers regarding inclusive education for children with special needs.  </w:t>
      </w:r>
    </w:p>
    <w:p w14:paraId="096F88E0"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8" w:name="_heading=h.a9vm9jbfhgrc" w:colFirst="0" w:colLast="0"/>
      <w:bookmarkEnd w:id="8"/>
      <w:r>
        <w:rPr>
          <w:rFonts w:ascii="Times New Roman" w:eastAsia="Times New Roman" w:hAnsi="Times New Roman" w:cs="Times New Roman"/>
          <w:b/>
          <w:bCs/>
          <w:color w:val="000000"/>
          <w:sz w:val="28"/>
          <w:szCs w:val="28"/>
          <w:highlight w:val="white"/>
        </w:rPr>
        <w:t>Significance of the Study</w:t>
      </w:r>
    </w:p>
    <w:p w14:paraId="16E2AB2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significantly contributes to the body of knowledge on inclusive education, particularly in the Nigerian context. By focusing on teachers' knowledge, this research will provide important insights into the role that teacher knowledge plays in the successful integration of children with special needs into mainstream classrooms. The findings are valuable for policymakers, educators, and teacher training institutions, highlighting areas where more focused training is needed. The study also offers practical recommendations for enhancing the knowledge and preparedness of teachers to effectively implement inclusive education in schools. Moreover, it will serve as a resource for future research, particularly in private secondary schools where inclusive education is often less rigorously studied.</w:t>
      </w:r>
    </w:p>
    <w:p w14:paraId="10CBDBD8"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9" w:name="_heading=h.s80t6ly4vxek" w:colFirst="0" w:colLast="0"/>
      <w:bookmarkEnd w:id="9"/>
      <w:r>
        <w:rPr>
          <w:rFonts w:ascii="Times New Roman" w:eastAsia="Times New Roman" w:hAnsi="Times New Roman" w:cs="Times New Roman"/>
          <w:b/>
          <w:bCs/>
          <w:color w:val="000000"/>
          <w:sz w:val="28"/>
          <w:szCs w:val="28"/>
          <w:highlight w:val="white"/>
        </w:rPr>
        <w:t>Scope of the Study</w:t>
      </w:r>
    </w:p>
    <w:p w14:paraId="77BDB28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 examined teachers’ knowledge in various areas, including their understanding of the core principles of inclusive education, their familiarity with different types of special needs and disabilities, and their awareness of the strategies required to support students with special needs in the classroom. Additionally, the study explored the extent of formal training and professional development received by the teachers. The study also identified the challenges teachers face in implementing inclusive practices and the types of support they require to enhance their knowledge and teaching effectiveness. By focusing on these aspects, the study aims to provide valuable insights into the current state of teachers' knowledge about inclusive </w:t>
      </w:r>
      <w:proofErr w:type="gramStart"/>
      <w:r>
        <w:rPr>
          <w:rFonts w:ascii="Times New Roman" w:eastAsia="Times New Roman" w:hAnsi="Times New Roman" w:cs="Times New Roman"/>
          <w:sz w:val="24"/>
          <w:szCs w:val="24"/>
          <w:highlight w:val="white"/>
        </w:rPr>
        <w:t>education  and</w:t>
      </w:r>
      <w:proofErr w:type="gramEnd"/>
      <w:r>
        <w:rPr>
          <w:rFonts w:ascii="Times New Roman" w:eastAsia="Times New Roman" w:hAnsi="Times New Roman" w:cs="Times New Roman"/>
          <w:sz w:val="24"/>
          <w:szCs w:val="24"/>
          <w:highlight w:val="white"/>
        </w:rPr>
        <w:t xml:space="preserve"> contribute to efforts to improve inclusive practices in education.</w:t>
      </w:r>
    </w:p>
    <w:p w14:paraId="4377B732" w14:textId="77777777" w:rsidR="00086A58" w:rsidRDefault="00086A58">
      <w:pPr>
        <w:spacing w:before="240" w:after="240"/>
        <w:jc w:val="both"/>
        <w:rPr>
          <w:rFonts w:ascii="Times New Roman" w:eastAsia="Times New Roman" w:hAnsi="Times New Roman" w:cs="Times New Roman"/>
          <w:sz w:val="24"/>
          <w:szCs w:val="24"/>
          <w:highlight w:val="white"/>
        </w:rPr>
      </w:pPr>
    </w:p>
    <w:p w14:paraId="62BBC943" w14:textId="77777777" w:rsidR="00086A58" w:rsidRDefault="009B1C7A">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Literature Review</w:t>
      </w:r>
    </w:p>
    <w:p w14:paraId="5924EFD9"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The Concept of Inclusive Education</w:t>
      </w:r>
    </w:p>
    <w:p w14:paraId="79122FD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Inclusive education is a pedagogical approach that aims to ensure that all students, regardless of their abilities or disabilities, are integrated into regular classrooms. The goal is not merely physical integration but to foster social, academic, and emotional inclusivity, ensuring that every child benefits from a supportive, diverse learning environment (</w:t>
      </w:r>
      <w:proofErr w:type="spellStart"/>
      <w:r>
        <w:rPr>
          <w:rFonts w:ascii="Times New Roman" w:eastAsia="Times New Roman" w:hAnsi="Times New Roman" w:cs="Times New Roman"/>
          <w:sz w:val="24"/>
          <w:szCs w:val="24"/>
          <w:highlight w:val="white"/>
        </w:rPr>
        <w:t>Jardinez</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Natividad</w:t>
      </w:r>
      <w:proofErr w:type="spellEnd"/>
      <w:r>
        <w:rPr>
          <w:rFonts w:ascii="Times New Roman" w:eastAsia="Times New Roman" w:hAnsi="Times New Roman" w:cs="Times New Roman"/>
          <w:sz w:val="24"/>
          <w:szCs w:val="24"/>
          <w:highlight w:val="white"/>
        </w:rPr>
        <w:t>, 2024). Inclusive education requires a shift from a traditional model where children with special needs are segregated into separate classrooms, to one where educational systems accommodate a range of learning needs in mainstream settings. This shift demands comprehensive planning, teacher training, and an inclusive curriculum that addresses diverse student needs (</w:t>
      </w:r>
      <w:proofErr w:type="spellStart"/>
      <w:r>
        <w:rPr>
          <w:rFonts w:ascii="Times New Roman" w:eastAsia="Times New Roman" w:hAnsi="Times New Roman" w:cs="Times New Roman"/>
          <w:sz w:val="24"/>
          <w:szCs w:val="24"/>
          <w:highlight w:val="white"/>
        </w:rPr>
        <w:t>Walelgn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Asres</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Bessarab</w:t>
      </w:r>
      <w:proofErr w:type="spellEnd"/>
      <w:r>
        <w:rPr>
          <w:rFonts w:ascii="Times New Roman" w:eastAsia="Times New Roman" w:hAnsi="Times New Roman" w:cs="Times New Roman"/>
          <w:sz w:val="24"/>
          <w:szCs w:val="24"/>
          <w:highlight w:val="white"/>
        </w:rPr>
        <w:t xml:space="preserve"> et al., 2023). However, the success of inclusive education depends heavily on the attitudes of teachers, their preparedness to handle such diversity, and the support provided by schools and communities (Van Steen &amp; Wilson, 2020).</w:t>
      </w:r>
    </w:p>
    <w:p w14:paraId="49C36843"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Global Perspective on Inclusive Education for Children with Special Needs</w:t>
      </w:r>
    </w:p>
    <w:p w14:paraId="68839BB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Across the globe, inclusive education has been recognized as a fundamental right for children with special needs. The United Nations Convention on the Rights of Persons with Disabilities (CRPD) and UNESCO’s Salamanca Statement (1994) stress that inclusive education is essential to achieving educational equity. Many countries have implemented policies to promote inclusion, but the effectiveness of these initiatives often hinges on the preparedness and attitudes of educators (UNESCO, 1994; World Bank, 2025). For instance, in countries such as Finland and Ireland, inclusive education is a well-integrated aspect of the educational system, with teachers receiving specialized training in managing classrooms with diverse learners (European Agency for Special Needs and Inclusive Education, 2025). These nations also provide a variety of resources and support systems that enable teachers to deliver inclusive education effectively. However, even in these settings, challenges such as class sizes, insufficient resources, and inadequate teacher training remain prominent obstacles (European Association of Service Providers for Persons with Disabilities, 2023).</w:t>
      </w:r>
    </w:p>
    <w:p w14:paraId="1BF8CED6"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Teacher Attitudes Towards Inclusive Education</w:t>
      </w:r>
    </w:p>
    <w:p w14:paraId="3323B30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Teachers’ attitudes towards inclusive education are crucial in shaping the implementation of inclusive practices. Positive attitudes are associated with greater success in integrating children with special needs into regular classrooms (</w:t>
      </w:r>
      <w:proofErr w:type="spellStart"/>
      <w:r>
        <w:rPr>
          <w:rFonts w:ascii="Times New Roman" w:eastAsia="Times New Roman" w:hAnsi="Times New Roman" w:cs="Times New Roman"/>
          <w:sz w:val="24"/>
          <w:szCs w:val="24"/>
          <w:highlight w:val="white"/>
        </w:rPr>
        <w:t>Charitaki</w:t>
      </w:r>
      <w:proofErr w:type="spellEnd"/>
      <w:r>
        <w:rPr>
          <w:rFonts w:ascii="Times New Roman" w:eastAsia="Times New Roman" w:hAnsi="Times New Roman" w:cs="Times New Roman"/>
          <w:sz w:val="24"/>
          <w:szCs w:val="24"/>
          <w:highlight w:val="white"/>
        </w:rPr>
        <w:t xml:space="preserve"> et al., 2022). Studies have shown that teachers who view inclusive education positively are more likely to employ inclusive teaching strategies, engage with all students, and create an environment conducive to learning for children with special needs (Kazmi et al., 2023). However, negative attitudes, often resulting from lack of training, fear of inadequate support, or misconceptions about the capabilities of students with special needs, can hinder the effectiveness of inclusive education (</w:t>
      </w:r>
      <w:proofErr w:type="spellStart"/>
      <w:r>
        <w:rPr>
          <w:rFonts w:ascii="Times New Roman" w:eastAsia="Times New Roman" w:hAnsi="Times New Roman" w:cs="Times New Roman"/>
          <w:sz w:val="24"/>
          <w:szCs w:val="24"/>
          <w:highlight w:val="white"/>
        </w:rPr>
        <w:t>Alkahtani</w:t>
      </w:r>
      <w:proofErr w:type="spellEnd"/>
      <w:r>
        <w:rPr>
          <w:rFonts w:ascii="Times New Roman" w:eastAsia="Times New Roman" w:hAnsi="Times New Roman" w:cs="Times New Roman"/>
          <w:sz w:val="24"/>
          <w:szCs w:val="24"/>
          <w:highlight w:val="white"/>
        </w:rPr>
        <w:t>, 2022). In Nigeria, while there is a growing recognition of the importance of inclusive education, many teachers hold reservations, primarily due to inadequate training and lack of resources (</w:t>
      </w:r>
      <w:proofErr w:type="spellStart"/>
      <w:r>
        <w:rPr>
          <w:rFonts w:ascii="Times New Roman" w:eastAsia="Times New Roman" w:hAnsi="Times New Roman" w:cs="Times New Roman"/>
          <w:sz w:val="24"/>
          <w:szCs w:val="24"/>
          <w:highlight w:val="white"/>
        </w:rPr>
        <w:t>Adesokan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Bojuwoye</w:t>
      </w:r>
      <w:proofErr w:type="spellEnd"/>
      <w:r>
        <w:rPr>
          <w:rFonts w:ascii="Times New Roman" w:eastAsia="Times New Roman" w:hAnsi="Times New Roman" w:cs="Times New Roman"/>
          <w:sz w:val="24"/>
          <w:szCs w:val="24"/>
          <w:highlight w:val="white"/>
        </w:rPr>
        <w:t>, 2023).</w:t>
      </w:r>
    </w:p>
    <w:p w14:paraId="7B989BE3"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Challenges and Benefits of Inclusive Education</w:t>
      </w:r>
    </w:p>
    <w:p w14:paraId="28A14D1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challenges associated with inclusive education are multifaceted. Teachers often face difficulties in adapting teaching methods to cater to the diverse needs of students, particularly when there is a lack of specialized training or support (Jabri et al., 2025). Furthermore, overcrowded classrooms, insufficient teaching aids, and the lack of collaborative planning time with special education experts exacerbate the difficulties faced by teachers in inclusive classrooms (Abeykoon, 2024). In Nigeria, many schools lack the infrastructure necessary to accommodate students with special needs, such as wheelchair-accessible classrooms or specialized learning materials (Isaac et al., 2025). These challenges contribute to teacher burnout, frustration, and sometimes resistance to inclusive practices.</w:t>
      </w:r>
    </w:p>
    <w:p w14:paraId="4F16A43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the other hand, the benefits of inclusive education are profound. For students with special needs, being integrated into mainstream classrooms promotes social inclusion, enhances self-esteem, and provides opportunities for greater academic achievement (Julien, 2025). For teachers, inclusive education can encourage professional growth, as it requires them to be creative and adapt their teaching strategies to meet diverse learning needs. Moreover, inclusive education fosters a sense of community, as students learn to appreciate differences and collaborate with peers from various backgrounds (Woodcock et al., 2022).</w:t>
      </w:r>
    </w:p>
    <w:p w14:paraId="32A7F6A1"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Best Practices in Inclusive Education</w:t>
      </w:r>
    </w:p>
    <w:p w14:paraId="70AD4DF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overcome the challenges associated with inclusive education, several best practices have emerged. These include differentiated instruction, where teachers modify their teaching techniques to cater to students’ individual needs; cooperative learning, which encourages students to work together in diverse groups; and collaborative teaching, which involves special education teachers working alongside general education teachers to provide targeted support (</w:t>
      </w:r>
      <w:proofErr w:type="spellStart"/>
      <w:r>
        <w:rPr>
          <w:rFonts w:ascii="Times New Roman" w:eastAsia="Times New Roman" w:hAnsi="Times New Roman" w:cs="Times New Roman"/>
          <w:sz w:val="24"/>
          <w:szCs w:val="24"/>
          <w:highlight w:val="white"/>
        </w:rPr>
        <w:t>Goyibova</w:t>
      </w:r>
      <w:proofErr w:type="spellEnd"/>
      <w:r>
        <w:rPr>
          <w:rFonts w:ascii="Times New Roman" w:eastAsia="Times New Roman" w:hAnsi="Times New Roman" w:cs="Times New Roman"/>
          <w:sz w:val="24"/>
          <w:szCs w:val="24"/>
          <w:highlight w:val="white"/>
        </w:rPr>
        <w:t xml:space="preserve"> et al., 2025). In countries with robust inclusive education systems, teachers are often trained in strategies such as Universal Design for Learning (UDL), which provides a flexible approach to teaching and learning that accommodates the diverse needs of all students (Doyle et al., 2025). Additionally, fostering a school culture that values diversity, providing adequate resources, and offering ongoing professional development for teachers are critical components of successful inclusion (Valle-Flórez et al., 2022).</w:t>
      </w:r>
    </w:p>
    <w:p w14:paraId="4395B209"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The Nigerian Context: Inclusion in Nigerian Schools</w:t>
      </w:r>
    </w:p>
    <w:p w14:paraId="60DBD5E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Nigeria, the implementation of inclusive education is still evolving. While the government has made strides in promoting inclusive education through policies like the National Policy on Education, there are significant gaps in its execution. The lack of adequate infrastructure, specialized training for teachers, and societal attitudes toward disability contribute to the slow adoption of inclusive practices in many schools (</w:t>
      </w:r>
      <w:proofErr w:type="spellStart"/>
      <w:r>
        <w:rPr>
          <w:rFonts w:ascii="Times New Roman" w:eastAsia="Times New Roman" w:hAnsi="Times New Roman" w:cs="Times New Roman"/>
          <w:sz w:val="24"/>
          <w:szCs w:val="24"/>
          <w:highlight w:val="white"/>
        </w:rPr>
        <w:t>Alumona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Odoh</w:t>
      </w:r>
      <w:proofErr w:type="spellEnd"/>
      <w:r>
        <w:rPr>
          <w:rFonts w:ascii="Times New Roman" w:eastAsia="Times New Roman" w:hAnsi="Times New Roman" w:cs="Times New Roman"/>
          <w:sz w:val="24"/>
          <w:szCs w:val="24"/>
          <w:highlight w:val="white"/>
        </w:rPr>
        <w:t xml:space="preserve">, 2025). In private schools, the </w:t>
      </w:r>
      <w:r>
        <w:rPr>
          <w:rFonts w:ascii="Times New Roman" w:eastAsia="Times New Roman" w:hAnsi="Times New Roman" w:cs="Times New Roman"/>
          <w:sz w:val="24"/>
          <w:szCs w:val="24"/>
          <w:highlight w:val="white"/>
        </w:rPr>
        <w:lastRenderedPageBreak/>
        <w:t>challenges may be more pronounced, as these schools often operate with limited resources and may not be as well-equipped to implement inclusive education effectively. Despite these challenges, there are examples of successful inclusion in Nigerian schools, where teachers, with the right support, have been able to make meaningful adjustments to accommodate students with special needs (Angwaomaodoko, 2023).</w:t>
      </w:r>
    </w:p>
    <w:p w14:paraId="6CAA5942" w14:textId="77777777" w:rsidR="00086A58" w:rsidRDefault="00086A58">
      <w:pPr>
        <w:spacing w:before="240" w:after="240"/>
        <w:jc w:val="both"/>
        <w:rPr>
          <w:rFonts w:ascii="Times New Roman" w:eastAsia="Times New Roman" w:hAnsi="Times New Roman" w:cs="Times New Roman"/>
          <w:b/>
          <w:bCs/>
          <w:sz w:val="24"/>
          <w:szCs w:val="24"/>
          <w:highlight w:val="white"/>
        </w:rPr>
      </w:pPr>
    </w:p>
    <w:p w14:paraId="5E2F1E5A" w14:textId="77777777" w:rsidR="00086A58" w:rsidRDefault="009B1C7A">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Methodology</w:t>
      </w:r>
    </w:p>
    <w:p w14:paraId="50AC59C1"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Design</w:t>
      </w:r>
    </w:p>
    <w:p w14:paraId="7EFC3300"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employed a cross-sectional descriptive study design, which is appropriate for gathering data on teachers' attitudes, experiences, and preparedness for inclusive education at a single point in time. A cross-sectional design is ideal for understanding the current perceptions and practices of teachers regarding inclusive education without longitudinal observation. This design allows for the collection of quantitative data through structured questionnaires, providing a clear snapshot of the attitudes, preparedness, and challenges teachers face in implementing inclusive education.</w:t>
      </w:r>
    </w:p>
    <w:p w14:paraId="2C3D8ACD"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Population of the Study</w:t>
      </w:r>
    </w:p>
    <w:p w14:paraId="5002A16E"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population for this study consists of the 70 teachers working in three (3) primary and secondary schools located in Anambra State, Nigeria. The included schools have a diverse student body, including children with special needs, and they serve as an ideal setting for examining the attitudes and practices of teachers regarding inclusive education.  </w:t>
      </w:r>
    </w:p>
    <w:p w14:paraId="0FF7D354"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Sample Size and Sampling Technique</w:t>
      </w:r>
    </w:p>
    <w:p w14:paraId="3172F33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Given that the teachers at the three (3) schools were 70, a census sampling technique was employed, in </w:t>
      </w:r>
      <w:proofErr w:type="gramStart"/>
      <w:r>
        <w:rPr>
          <w:rFonts w:ascii="Times New Roman" w:eastAsia="Times New Roman" w:hAnsi="Times New Roman" w:cs="Times New Roman"/>
          <w:sz w:val="24"/>
          <w:szCs w:val="24"/>
          <w:highlight w:val="white"/>
        </w:rPr>
        <w:t>which  all</w:t>
      </w:r>
      <w:proofErr w:type="gramEnd"/>
      <w:r>
        <w:rPr>
          <w:rFonts w:ascii="Times New Roman" w:eastAsia="Times New Roman" w:hAnsi="Times New Roman" w:cs="Times New Roman"/>
          <w:sz w:val="24"/>
          <w:szCs w:val="24"/>
          <w:highlight w:val="white"/>
        </w:rPr>
        <w:t xml:space="preserve"> teachers in the schools were included in the study. This approach was chosen because the population is small, and it allowed for the inclusion of every teacher’s perspective, ensuring a comprehensive view of the attitudes, preparedness, and experiences of teachers regarding inclusive education.  </w:t>
      </w:r>
    </w:p>
    <w:p w14:paraId="21EA4E11"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Instrument for Data Collection</w:t>
      </w:r>
    </w:p>
    <w:p w14:paraId="34C1B30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instrument used for data collection was a structured questionnaire. The questionnaire was developed to gather information on various aspects of inclusive education, including teachers’ attitudes, preparedness, and their experiences with children with special needs. The questionnaire was divided into the following sections:</w:t>
      </w:r>
    </w:p>
    <w:p w14:paraId="05FDC6A6" w14:textId="77777777" w:rsidR="00086A58" w:rsidRDefault="009B1C7A">
      <w:pPr>
        <w:numPr>
          <w:ilvl w:val="0"/>
          <w:numId w:val="2"/>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Demographic Information</w:t>
      </w:r>
      <w:r>
        <w:rPr>
          <w:rFonts w:ascii="Times New Roman" w:eastAsia="Times New Roman" w:hAnsi="Times New Roman" w:cs="Times New Roman"/>
          <w:sz w:val="24"/>
          <w:szCs w:val="24"/>
          <w:highlight w:val="white"/>
        </w:rPr>
        <w:t>: This section collected basic information such as age, gender, years of teaching experience, and educational qualifications.</w:t>
      </w:r>
    </w:p>
    <w:p w14:paraId="73BA7D22" w14:textId="77777777" w:rsidR="00086A58" w:rsidRDefault="009B1C7A">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Knowledge of Inclusive Education</w:t>
      </w:r>
      <w:r>
        <w:rPr>
          <w:rFonts w:ascii="Times New Roman" w:eastAsia="Times New Roman" w:hAnsi="Times New Roman" w:cs="Times New Roman"/>
          <w:sz w:val="24"/>
          <w:szCs w:val="24"/>
          <w:highlight w:val="white"/>
        </w:rPr>
        <w:t>: This section assessed teachers' understanding of the core concepts of inclusive education, including definitions, principles, and key practices related to inclusive education.</w:t>
      </w:r>
    </w:p>
    <w:p w14:paraId="545F6F58" w14:textId="77777777" w:rsidR="00086A58" w:rsidRDefault="009B1C7A">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Knowledge of Special Education Needs and Disabilities</w:t>
      </w:r>
      <w:r>
        <w:rPr>
          <w:rFonts w:ascii="Times New Roman" w:eastAsia="Times New Roman" w:hAnsi="Times New Roman" w:cs="Times New Roman"/>
          <w:sz w:val="24"/>
          <w:szCs w:val="24"/>
          <w:highlight w:val="white"/>
        </w:rPr>
        <w:t>: This section explored teachers' awareness of different types of disabilities, the legal rights of children with special needs, and their ability to identify and support these students.</w:t>
      </w:r>
    </w:p>
    <w:p w14:paraId="6C3F75AE" w14:textId="77777777" w:rsidR="00086A58" w:rsidRDefault="009B1C7A">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Strategies for Supporting Children with Special Needs</w:t>
      </w:r>
      <w:r>
        <w:rPr>
          <w:rFonts w:ascii="Times New Roman" w:eastAsia="Times New Roman" w:hAnsi="Times New Roman" w:cs="Times New Roman"/>
          <w:sz w:val="24"/>
          <w:szCs w:val="24"/>
          <w:highlight w:val="white"/>
        </w:rPr>
        <w:t xml:space="preserve">: This section focused on teachers' knowledge of effective teaching strategies and accommodations used to support students with special needs. </w:t>
      </w:r>
    </w:p>
    <w:p w14:paraId="599297EF" w14:textId="77777777" w:rsidR="00086A58" w:rsidRDefault="009B1C7A">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Training and Professional Development</w:t>
      </w:r>
      <w:r>
        <w:rPr>
          <w:rFonts w:ascii="Times New Roman" w:eastAsia="Times New Roman" w:hAnsi="Times New Roman" w:cs="Times New Roman"/>
          <w:sz w:val="24"/>
          <w:szCs w:val="24"/>
          <w:highlight w:val="white"/>
        </w:rPr>
        <w:t xml:space="preserve">: This section gathered data on the teachers' formal training in inclusive education and their openness to further professional development. </w:t>
      </w:r>
    </w:p>
    <w:p w14:paraId="67DB9240" w14:textId="77777777" w:rsidR="00086A58" w:rsidRDefault="009B1C7A">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Benefits and Challenges</w:t>
      </w:r>
      <w:r>
        <w:rPr>
          <w:rFonts w:ascii="Times New Roman" w:eastAsia="Times New Roman" w:hAnsi="Times New Roman" w:cs="Times New Roman"/>
          <w:sz w:val="24"/>
          <w:szCs w:val="24"/>
          <w:highlight w:val="white"/>
        </w:rPr>
        <w:t>: This section aimed to identify the perceived benefits of inclusive education. It also sought to assess the challenges teachers face in implementing inclusive education.</w:t>
      </w:r>
    </w:p>
    <w:p w14:paraId="6D8686B3"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Validation and Reliability of the Instrument</w:t>
      </w:r>
    </w:p>
    <w:p w14:paraId="5CEA7EFB"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questionnaire was validated through expert reviews. A panel of three experts in inclusive education, special education, and educational psychology examined the instrument for content validity. Based on their feedback, minor adjustments were made to the wording of certain questions to ensure clarity and relevance. Additionally, a pilot test of the questionnaire was conducted with a small group of teachers at another school to assess its reliability and clarity. The results from the pilot test indicated that the instrument was reliable, with a Cronbach’s alpha coefficient of 0.85, suggesting high internal consistency.</w:t>
      </w:r>
    </w:p>
    <w:p w14:paraId="2B164A10"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Method of Data Collection</w:t>
      </w:r>
    </w:p>
    <w:p w14:paraId="11240A5A"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 was collected through an online survey. The questionnaires were distributed during a scheduled meeting with the teachers, where they were given adequate time to complete the survey. The researchers ensured that the teachers understood the purpose of the study and the anonymity of their responses. Teachers were assured that their participation was voluntary, and that their responses would remain confidential. The data collection process took place over a two-week period.</w:t>
      </w:r>
    </w:p>
    <w:p w14:paraId="2EADDD90" w14:textId="77777777" w:rsidR="00086A58" w:rsidRDefault="009B1C7A">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Method of Data Analysis</w:t>
      </w:r>
    </w:p>
    <w:p w14:paraId="5F199FF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data collected from the questionnaires were analyzed using descriptive, including frequencies and percentages.</w:t>
      </w:r>
    </w:p>
    <w:p w14:paraId="751BECCC" w14:textId="77777777" w:rsidR="00086A58" w:rsidRDefault="00086A58">
      <w:pPr>
        <w:spacing w:before="240" w:after="240"/>
        <w:jc w:val="both"/>
        <w:rPr>
          <w:rFonts w:ascii="Times New Roman" w:eastAsia="Times New Roman" w:hAnsi="Times New Roman" w:cs="Times New Roman"/>
          <w:sz w:val="24"/>
          <w:szCs w:val="24"/>
          <w:highlight w:val="white"/>
        </w:rPr>
      </w:pPr>
    </w:p>
    <w:p w14:paraId="4B585548" w14:textId="77777777" w:rsidR="00086A58" w:rsidRDefault="009B1C7A">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Results</w:t>
      </w:r>
    </w:p>
    <w:p w14:paraId="16CC78B6" w14:textId="77777777" w:rsidR="00086A58" w:rsidRDefault="009B1C7A">
      <w:pPr>
        <w:pStyle w:val="Heading3"/>
        <w:keepNext w:val="0"/>
        <w:keepLines w:val="0"/>
        <w:numPr>
          <w:ilvl w:val="0"/>
          <w:numId w:val="4"/>
        </w:numPr>
        <w:spacing w:before="280"/>
        <w:rPr>
          <w:rFonts w:ascii="Times New Roman" w:eastAsia="Times New Roman" w:hAnsi="Times New Roman" w:cs="Times New Roman"/>
          <w:b/>
          <w:bCs/>
          <w:color w:val="000000"/>
          <w:highlight w:val="white"/>
        </w:rPr>
      </w:pPr>
      <w:bookmarkStart w:id="10" w:name="_heading=h.uctvcxhl3mfu" w:colFirst="0" w:colLast="0"/>
      <w:bookmarkEnd w:id="10"/>
      <w:r>
        <w:rPr>
          <w:rFonts w:ascii="Times New Roman" w:eastAsia="Times New Roman" w:hAnsi="Times New Roman" w:cs="Times New Roman"/>
          <w:b/>
          <w:bCs/>
          <w:color w:val="000000"/>
          <w:highlight w:val="white"/>
        </w:rPr>
        <w:t>Response Rate</w:t>
      </w:r>
    </w:p>
    <w:p w14:paraId="3D3F9185"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The response rate for this study was calculated based on the total number of participants (70) and the number of responses received (64). The response rate was therefore 91.4%, indicating a strong level of participation in the survey, which enhances the reliability of the results.</w:t>
      </w:r>
    </w:p>
    <w:p w14:paraId="4ABE6605"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Demographic Information</w:t>
      </w:r>
    </w:p>
    <w:p w14:paraId="055CAB5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majority of respondents were between the ages of 31-40 (46.9%), followed by those aged 20-30 (40.6%) and this is pictorially represented in Figure 1. A significant proportion of the participants were female (59.4%) compared to male respondents (40.6%) as shown in Figure 2. In terms of teaching experience, most participants had between 1-5 years of experience (46.9%), with a smaller group having over 16 years of teaching experience (6.3%). Regarding experience with children with special needs, half of the teachers had 1-5 years of experience (50%), and a considerable portion had less than a year of experience (28.1%). Most participants held a Bachelor’s Degree (75%), with a few holding Master's Degrees (9.4%) or other qualifications like NCE (9.4%) (See table 1).</w:t>
      </w:r>
    </w:p>
    <w:p w14:paraId="4F25835E"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1: Socio-demographic characteristics of the participating teachers</w:t>
      </w:r>
    </w:p>
    <w:tbl>
      <w:tblPr>
        <w:tblStyle w:val="a5"/>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3615"/>
        <w:gridCol w:w="3120"/>
      </w:tblGrid>
      <w:tr w:rsidR="00086A58" w14:paraId="570839D2" w14:textId="77777777">
        <w:tc>
          <w:tcPr>
            <w:tcW w:w="2610" w:type="dxa"/>
            <w:tcBorders>
              <w:top w:val="single" w:sz="24" w:space="0" w:color="000000"/>
              <w:left w:val="nil"/>
              <w:bottom w:val="single" w:sz="24" w:space="0" w:color="000000"/>
              <w:right w:val="nil"/>
            </w:tcBorders>
            <w:tcMar>
              <w:top w:w="100" w:type="dxa"/>
              <w:left w:w="100" w:type="dxa"/>
              <w:bottom w:w="100" w:type="dxa"/>
              <w:right w:w="100" w:type="dxa"/>
            </w:tcMar>
          </w:tcPr>
          <w:p w14:paraId="6D2D7C6C"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Social-Demographic Characteristics</w:t>
            </w:r>
          </w:p>
        </w:tc>
        <w:tc>
          <w:tcPr>
            <w:tcW w:w="3615" w:type="dxa"/>
            <w:tcBorders>
              <w:top w:val="single" w:sz="24" w:space="0" w:color="000000"/>
              <w:left w:val="nil"/>
              <w:bottom w:val="single" w:sz="24" w:space="0" w:color="000000"/>
            </w:tcBorders>
            <w:tcMar>
              <w:top w:w="100" w:type="dxa"/>
              <w:left w:w="100" w:type="dxa"/>
              <w:bottom w:w="100" w:type="dxa"/>
              <w:right w:w="100" w:type="dxa"/>
            </w:tcMar>
          </w:tcPr>
          <w:p w14:paraId="050B1BD2" w14:textId="77777777" w:rsidR="00086A58" w:rsidRDefault="00086A58">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p>
        </w:tc>
        <w:tc>
          <w:tcPr>
            <w:tcW w:w="3120" w:type="dxa"/>
            <w:tcBorders>
              <w:top w:val="single" w:sz="24" w:space="0" w:color="000000"/>
              <w:bottom w:val="single" w:sz="24" w:space="0" w:color="000000"/>
              <w:right w:val="nil"/>
            </w:tcBorders>
            <w:tcMar>
              <w:top w:w="100" w:type="dxa"/>
              <w:left w:w="100" w:type="dxa"/>
              <w:bottom w:w="100" w:type="dxa"/>
              <w:right w:w="100" w:type="dxa"/>
            </w:tcMar>
          </w:tcPr>
          <w:p w14:paraId="16370003"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Total (Percentage)</w:t>
            </w:r>
          </w:p>
        </w:tc>
      </w:tr>
      <w:tr w:rsidR="00086A58" w14:paraId="4F9E17B9" w14:textId="77777777">
        <w:tc>
          <w:tcPr>
            <w:tcW w:w="2610" w:type="dxa"/>
            <w:tcBorders>
              <w:top w:val="single" w:sz="24" w:space="0" w:color="000000"/>
              <w:left w:val="nil"/>
              <w:bottom w:val="nil"/>
              <w:right w:val="nil"/>
            </w:tcBorders>
            <w:tcMar>
              <w:top w:w="100" w:type="dxa"/>
              <w:left w:w="100" w:type="dxa"/>
              <w:bottom w:w="100" w:type="dxa"/>
              <w:right w:w="100" w:type="dxa"/>
            </w:tcMar>
          </w:tcPr>
          <w:p w14:paraId="719F191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 Range</w:t>
            </w:r>
          </w:p>
        </w:tc>
        <w:tc>
          <w:tcPr>
            <w:tcW w:w="3615" w:type="dxa"/>
            <w:tcBorders>
              <w:top w:val="single" w:sz="24" w:space="0" w:color="000000"/>
              <w:left w:val="nil"/>
              <w:bottom w:val="nil"/>
              <w:right w:val="single" w:sz="4" w:space="0" w:color="000000"/>
            </w:tcBorders>
            <w:tcMar>
              <w:top w:w="100" w:type="dxa"/>
              <w:left w:w="100" w:type="dxa"/>
              <w:bottom w:w="100" w:type="dxa"/>
              <w:right w:w="100" w:type="dxa"/>
            </w:tcMar>
          </w:tcPr>
          <w:p w14:paraId="7F932F9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20-30</w:t>
            </w:r>
          </w:p>
        </w:tc>
        <w:tc>
          <w:tcPr>
            <w:tcW w:w="3120" w:type="dxa"/>
            <w:tcBorders>
              <w:top w:val="single" w:sz="24" w:space="0" w:color="000000"/>
              <w:left w:val="single" w:sz="4" w:space="0" w:color="000000"/>
              <w:bottom w:val="nil"/>
              <w:right w:val="nil"/>
            </w:tcBorders>
            <w:tcMar>
              <w:top w:w="100" w:type="dxa"/>
              <w:left w:w="100" w:type="dxa"/>
              <w:bottom w:w="100" w:type="dxa"/>
              <w:right w:w="100" w:type="dxa"/>
            </w:tcMar>
          </w:tcPr>
          <w:p w14:paraId="4C96C8B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r w:rsidR="00086A58" w14:paraId="0ED14CB7" w14:textId="77777777">
        <w:tc>
          <w:tcPr>
            <w:tcW w:w="2610" w:type="dxa"/>
            <w:tcBorders>
              <w:top w:val="nil"/>
              <w:left w:val="nil"/>
              <w:bottom w:val="nil"/>
              <w:right w:val="nil"/>
            </w:tcBorders>
            <w:tcMar>
              <w:top w:w="100" w:type="dxa"/>
              <w:left w:w="100" w:type="dxa"/>
              <w:bottom w:w="100" w:type="dxa"/>
              <w:right w:w="100" w:type="dxa"/>
            </w:tcMar>
          </w:tcPr>
          <w:p w14:paraId="7F0103D9" w14:textId="77777777" w:rsidR="00086A58" w:rsidRDefault="00086A58">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64FD8E6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31-40</w:t>
            </w:r>
          </w:p>
        </w:tc>
        <w:tc>
          <w:tcPr>
            <w:tcW w:w="3120" w:type="dxa"/>
            <w:tcBorders>
              <w:top w:val="nil"/>
              <w:left w:val="single" w:sz="4" w:space="0" w:color="000000"/>
              <w:bottom w:val="nil"/>
              <w:right w:val="nil"/>
            </w:tcBorders>
            <w:tcMar>
              <w:top w:w="100" w:type="dxa"/>
              <w:left w:w="100" w:type="dxa"/>
              <w:bottom w:w="100" w:type="dxa"/>
              <w:right w:w="100" w:type="dxa"/>
            </w:tcMar>
          </w:tcPr>
          <w:p w14:paraId="6E4CAE8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r>
      <w:tr w:rsidR="00086A58" w14:paraId="1BB13BEC" w14:textId="77777777">
        <w:tc>
          <w:tcPr>
            <w:tcW w:w="2610" w:type="dxa"/>
            <w:tcBorders>
              <w:top w:val="nil"/>
              <w:left w:val="nil"/>
              <w:bottom w:val="nil"/>
              <w:right w:val="nil"/>
            </w:tcBorders>
            <w:tcMar>
              <w:top w:w="100" w:type="dxa"/>
              <w:left w:w="100" w:type="dxa"/>
              <w:bottom w:w="100" w:type="dxa"/>
              <w:right w:w="100" w:type="dxa"/>
            </w:tcMar>
          </w:tcPr>
          <w:p w14:paraId="0E78B4C4" w14:textId="77777777" w:rsidR="00086A58" w:rsidRDefault="00086A58">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47BB841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41-50</w:t>
            </w:r>
          </w:p>
        </w:tc>
        <w:tc>
          <w:tcPr>
            <w:tcW w:w="3120" w:type="dxa"/>
            <w:tcBorders>
              <w:top w:val="nil"/>
              <w:left w:val="single" w:sz="4" w:space="0" w:color="000000"/>
              <w:bottom w:val="nil"/>
              <w:right w:val="nil"/>
            </w:tcBorders>
            <w:tcMar>
              <w:top w:w="100" w:type="dxa"/>
              <w:left w:w="100" w:type="dxa"/>
              <w:bottom w:w="100" w:type="dxa"/>
              <w:right w:w="100" w:type="dxa"/>
            </w:tcMar>
          </w:tcPr>
          <w:p w14:paraId="7FC74BB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(12.5%)</w:t>
            </w:r>
          </w:p>
        </w:tc>
      </w:tr>
      <w:tr w:rsidR="00086A58" w14:paraId="5D7D1AA0" w14:textId="77777777">
        <w:tc>
          <w:tcPr>
            <w:tcW w:w="2610" w:type="dxa"/>
            <w:tcBorders>
              <w:top w:val="nil"/>
              <w:left w:val="nil"/>
              <w:bottom w:val="single" w:sz="4" w:space="0" w:color="000000"/>
              <w:right w:val="nil"/>
            </w:tcBorders>
            <w:tcMar>
              <w:top w:w="100" w:type="dxa"/>
              <w:left w:w="100" w:type="dxa"/>
              <w:bottom w:w="100" w:type="dxa"/>
              <w:right w:w="100" w:type="dxa"/>
            </w:tcMar>
          </w:tcPr>
          <w:p w14:paraId="7954914A" w14:textId="77777777" w:rsidR="00086A58" w:rsidRDefault="00086A58">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p>
        </w:tc>
        <w:tc>
          <w:tcPr>
            <w:tcW w:w="3615" w:type="dxa"/>
            <w:tcBorders>
              <w:top w:val="nil"/>
              <w:left w:val="nil"/>
              <w:bottom w:val="single" w:sz="4" w:space="0" w:color="000000"/>
              <w:right w:val="single" w:sz="4" w:space="0" w:color="000000"/>
            </w:tcBorders>
            <w:tcMar>
              <w:top w:w="100" w:type="dxa"/>
              <w:left w:w="100" w:type="dxa"/>
              <w:bottom w:w="100" w:type="dxa"/>
              <w:right w:w="100" w:type="dxa"/>
            </w:tcMar>
          </w:tcPr>
          <w:p w14:paraId="3C56CBC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51 and above</w:t>
            </w:r>
          </w:p>
        </w:tc>
        <w:tc>
          <w:tcPr>
            <w:tcW w:w="3120" w:type="dxa"/>
            <w:tcBorders>
              <w:top w:val="nil"/>
              <w:left w:val="single" w:sz="4" w:space="0" w:color="000000"/>
              <w:bottom w:val="single" w:sz="4" w:space="0" w:color="000000"/>
              <w:right w:val="nil"/>
            </w:tcBorders>
            <w:tcMar>
              <w:top w:w="100" w:type="dxa"/>
              <w:left w:w="100" w:type="dxa"/>
              <w:bottom w:w="100" w:type="dxa"/>
              <w:right w:w="100" w:type="dxa"/>
            </w:tcMar>
          </w:tcPr>
          <w:p w14:paraId="68D5647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0D31E41F" w14:textId="77777777">
        <w:tc>
          <w:tcPr>
            <w:tcW w:w="2610" w:type="dxa"/>
            <w:tcBorders>
              <w:top w:val="single" w:sz="4" w:space="0" w:color="000000"/>
              <w:left w:val="nil"/>
              <w:bottom w:val="nil"/>
              <w:right w:val="nil"/>
            </w:tcBorders>
            <w:tcMar>
              <w:top w:w="100" w:type="dxa"/>
              <w:left w:w="100" w:type="dxa"/>
              <w:bottom w:w="100" w:type="dxa"/>
              <w:right w:w="100" w:type="dxa"/>
            </w:tcMar>
          </w:tcPr>
          <w:p w14:paraId="237358B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Gender</w:t>
            </w:r>
          </w:p>
        </w:tc>
        <w:tc>
          <w:tcPr>
            <w:tcW w:w="3615" w:type="dxa"/>
            <w:tcBorders>
              <w:top w:val="single" w:sz="4" w:space="0" w:color="000000"/>
              <w:left w:val="nil"/>
              <w:bottom w:val="nil"/>
            </w:tcBorders>
            <w:tcMar>
              <w:top w:w="100" w:type="dxa"/>
              <w:left w:w="100" w:type="dxa"/>
              <w:bottom w:w="100" w:type="dxa"/>
              <w:right w:w="100" w:type="dxa"/>
            </w:tcMar>
          </w:tcPr>
          <w:p w14:paraId="1B1E861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Male</w:t>
            </w:r>
          </w:p>
        </w:tc>
        <w:tc>
          <w:tcPr>
            <w:tcW w:w="3120" w:type="dxa"/>
            <w:tcBorders>
              <w:top w:val="single" w:sz="4" w:space="0" w:color="000000"/>
              <w:bottom w:val="nil"/>
              <w:right w:val="nil"/>
            </w:tcBorders>
            <w:tcMar>
              <w:top w:w="100" w:type="dxa"/>
              <w:left w:w="100" w:type="dxa"/>
              <w:bottom w:w="100" w:type="dxa"/>
              <w:right w:w="100" w:type="dxa"/>
            </w:tcMar>
          </w:tcPr>
          <w:p w14:paraId="7D0A3F7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r w:rsidR="00086A58" w14:paraId="3363A2DA" w14:textId="77777777">
        <w:tc>
          <w:tcPr>
            <w:tcW w:w="2610" w:type="dxa"/>
            <w:tcBorders>
              <w:top w:val="nil"/>
              <w:left w:val="nil"/>
              <w:bottom w:val="single" w:sz="4" w:space="0" w:color="000000"/>
              <w:right w:val="nil"/>
            </w:tcBorders>
            <w:tcMar>
              <w:top w:w="100" w:type="dxa"/>
              <w:left w:w="100" w:type="dxa"/>
              <w:bottom w:w="100" w:type="dxa"/>
              <w:right w:w="100" w:type="dxa"/>
            </w:tcMar>
          </w:tcPr>
          <w:p w14:paraId="4E0920C0"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tcBorders>
            <w:tcMar>
              <w:top w:w="100" w:type="dxa"/>
              <w:left w:w="100" w:type="dxa"/>
              <w:bottom w:w="100" w:type="dxa"/>
              <w:right w:w="100" w:type="dxa"/>
            </w:tcMar>
          </w:tcPr>
          <w:p w14:paraId="4F3A350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Female</w:t>
            </w:r>
          </w:p>
        </w:tc>
        <w:tc>
          <w:tcPr>
            <w:tcW w:w="3120" w:type="dxa"/>
            <w:tcBorders>
              <w:top w:val="nil"/>
              <w:right w:val="nil"/>
            </w:tcBorders>
            <w:tcMar>
              <w:top w:w="100" w:type="dxa"/>
              <w:left w:w="100" w:type="dxa"/>
              <w:bottom w:w="100" w:type="dxa"/>
              <w:right w:w="100" w:type="dxa"/>
            </w:tcMar>
          </w:tcPr>
          <w:p w14:paraId="071107C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 (59.4%)</w:t>
            </w:r>
          </w:p>
        </w:tc>
      </w:tr>
      <w:tr w:rsidR="00086A58" w14:paraId="4F33184A" w14:textId="77777777">
        <w:tc>
          <w:tcPr>
            <w:tcW w:w="2610" w:type="dxa"/>
            <w:tcBorders>
              <w:top w:val="single" w:sz="4" w:space="0" w:color="000000"/>
              <w:left w:val="nil"/>
              <w:bottom w:val="nil"/>
              <w:right w:val="nil"/>
            </w:tcBorders>
            <w:tcMar>
              <w:top w:w="100" w:type="dxa"/>
              <w:left w:w="100" w:type="dxa"/>
              <w:bottom w:w="100" w:type="dxa"/>
              <w:right w:w="100" w:type="dxa"/>
            </w:tcMar>
          </w:tcPr>
          <w:p w14:paraId="106B44F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Years of Teaching Experience</w:t>
            </w:r>
          </w:p>
        </w:tc>
        <w:tc>
          <w:tcPr>
            <w:tcW w:w="3615" w:type="dxa"/>
            <w:tcBorders>
              <w:left w:val="nil"/>
              <w:bottom w:val="nil"/>
            </w:tcBorders>
            <w:tcMar>
              <w:top w:w="100" w:type="dxa"/>
              <w:left w:w="100" w:type="dxa"/>
              <w:bottom w:w="100" w:type="dxa"/>
              <w:right w:w="100" w:type="dxa"/>
            </w:tcMar>
          </w:tcPr>
          <w:p w14:paraId="7E415AF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&lt; 1 year</w:t>
            </w:r>
          </w:p>
        </w:tc>
        <w:tc>
          <w:tcPr>
            <w:tcW w:w="3120" w:type="dxa"/>
            <w:tcBorders>
              <w:bottom w:val="nil"/>
              <w:right w:val="nil"/>
            </w:tcBorders>
            <w:tcMar>
              <w:top w:w="100" w:type="dxa"/>
              <w:left w:w="100" w:type="dxa"/>
              <w:bottom w:w="100" w:type="dxa"/>
              <w:right w:w="100" w:type="dxa"/>
            </w:tcMar>
          </w:tcPr>
          <w:p w14:paraId="2C4ADDF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47E76625" w14:textId="77777777">
        <w:tc>
          <w:tcPr>
            <w:tcW w:w="2610" w:type="dxa"/>
            <w:tcBorders>
              <w:top w:val="nil"/>
              <w:left w:val="nil"/>
              <w:bottom w:val="nil"/>
              <w:right w:val="nil"/>
            </w:tcBorders>
            <w:tcMar>
              <w:top w:w="100" w:type="dxa"/>
              <w:left w:w="100" w:type="dxa"/>
              <w:bottom w:w="100" w:type="dxa"/>
              <w:right w:w="100" w:type="dxa"/>
            </w:tcMar>
          </w:tcPr>
          <w:p w14:paraId="76379F81"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4EEF02C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 years</w:t>
            </w:r>
          </w:p>
        </w:tc>
        <w:tc>
          <w:tcPr>
            <w:tcW w:w="3120" w:type="dxa"/>
            <w:tcBorders>
              <w:top w:val="nil"/>
              <w:left w:val="single" w:sz="4" w:space="0" w:color="000000"/>
              <w:bottom w:val="nil"/>
              <w:right w:val="nil"/>
            </w:tcBorders>
            <w:tcMar>
              <w:top w:w="100" w:type="dxa"/>
              <w:left w:w="100" w:type="dxa"/>
              <w:bottom w:w="100" w:type="dxa"/>
              <w:right w:w="100" w:type="dxa"/>
            </w:tcMar>
          </w:tcPr>
          <w:p w14:paraId="424ABAA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r>
      <w:tr w:rsidR="00086A58" w14:paraId="6EF048F2" w14:textId="77777777">
        <w:tc>
          <w:tcPr>
            <w:tcW w:w="2610" w:type="dxa"/>
            <w:tcBorders>
              <w:top w:val="nil"/>
              <w:left w:val="nil"/>
              <w:bottom w:val="nil"/>
              <w:right w:val="nil"/>
            </w:tcBorders>
            <w:tcMar>
              <w:top w:w="100" w:type="dxa"/>
              <w:left w:w="100" w:type="dxa"/>
              <w:bottom w:w="100" w:type="dxa"/>
              <w:right w:w="100" w:type="dxa"/>
            </w:tcMar>
          </w:tcPr>
          <w:p w14:paraId="13466C3D"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0FB32EF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6-10 years</w:t>
            </w:r>
          </w:p>
        </w:tc>
        <w:tc>
          <w:tcPr>
            <w:tcW w:w="3120" w:type="dxa"/>
            <w:tcBorders>
              <w:top w:val="nil"/>
              <w:left w:val="single" w:sz="4" w:space="0" w:color="000000"/>
              <w:bottom w:val="nil"/>
              <w:right w:val="nil"/>
            </w:tcBorders>
            <w:tcMar>
              <w:top w:w="100" w:type="dxa"/>
              <w:left w:w="100" w:type="dxa"/>
              <w:bottom w:w="100" w:type="dxa"/>
              <w:right w:w="100" w:type="dxa"/>
            </w:tcMar>
          </w:tcPr>
          <w:p w14:paraId="681E56A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14 </w:t>
            </w:r>
            <w:proofErr w:type="gramStart"/>
            <w:r>
              <w:rPr>
                <w:rFonts w:ascii="Times New Roman" w:eastAsia="Times New Roman" w:hAnsi="Times New Roman" w:cs="Times New Roman"/>
                <w:sz w:val="24"/>
                <w:szCs w:val="24"/>
                <w:highlight w:val="white"/>
              </w:rPr>
              <w:t>( 21.9</w:t>
            </w:r>
            <w:proofErr w:type="gramEnd"/>
            <w:r>
              <w:rPr>
                <w:rFonts w:ascii="Times New Roman" w:eastAsia="Times New Roman" w:hAnsi="Times New Roman" w:cs="Times New Roman"/>
                <w:sz w:val="24"/>
                <w:szCs w:val="24"/>
                <w:highlight w:val="white"/>
              </w:rPr>
              <w:t>%)</w:t>
            </w:r>
          </w:p>
        </w:tc>
      </w:tr>
      <w:tr w:rsidR="00086A58" w14:paraId="36CFC56F" w14:textId="77777777">
        <w:tc>
          <w:tcPr>
            <w:tcW w:w="2610" w:type="dxa"/>
            <w:tcBorders>
              <w:top w:val="nil"/>
              <w:left w:val="nil"/>
              <w:bottom w:val="nil"/>
              <w:right w:val="nil"/>
            </w:tcBorders>
            <w:tcMar>
              <w:top w:w="100" w:type="dxa"/>
              <w:left w:w="100" w:type="dxa"/>
              <w:bottom w:w="100" w:type="dxa"/>
              <w:right w:w="100" w:type="dxa"/>
            </w:tcMar>
          </w:tcPr>
          <w:p w14:paraId="132B4FCC"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7FA0FD8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11-15 years</w:t>
            </w:r>
          </w:p>
        </w:tc>
        <w:tc>
          <w:tcPr>
            <w:tcW w:w="3120" w:type="dxa"/>
            <w:tcBorders>
              <w:top w:val="nil"/>
              <w:left w:val="single" w:sz="4" w:space="0" w:color="000000"/>
              <w:bottom w:val="nil"/>
              <w:right w:val="nil"/>
            </w:tcBorders>
            <w:tcMar>
              <w:top w:w="100" w:type="dxa"/>
              <w:left w:w="100" w:type="dxa"/>
              <w:bottom w:w="100" w:type="dxa"/>
              <w:right w:w="100" w:type="dxa"/>
            </w:tcMar>
          </w:tcPr>
          <w:p w14:paraId="5E2B1BA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14 </w:t>
            </w:r>
            <w:proofErr w:type="gramStart"/>
            <w:r>
              <w:rPr>
                <w:rFonts w:ascii="Times New Roman" w:eastAsia="Times New Roman" w:hAnsi="Times New Roman" w:cs="Times New Roman"/>
                <w:sz w:val="24"/>
                <w:szCs w:val="24"/>
                <w:highlight w:val="white"/>
              </w:rPr>
              <w:t>( 21.9</w:t>
            </w:r>
            <w:proofErr w:type="gramEnd"/>
            <w:r>
              <w:rPr>
                <w:rFonts w:ascii="Times New Roman" w:eastAsia="Times New Roman" w:hAnsi="Times New Roman" w:cs="Times New Roman"/>
                <w:sz w:val="24"/>
                <w:szCs w:val="24"/>
                <w:highlight w:val="white"/>
              </w:rPr>
              <w:t>%)</w:t>
            </w:r>
          </w:p>
        </w:tc>
      </w:tr>
      <w:tr w:rsidR="00086A58" w14:paraId="55CCB916" w14:textId="77777777">
        <w:tc>
          <w:tcPr>
            <w:tcW w:w="2610" w:type="dxa"/>
            <w:tcBorders>
              <w:top w:val="nil"/>
              <w:left w:val="nil"/>
              <w:right w:val="nil"/>
            </w:tcBorders>
            <w:tcMar>
              <w:top w:w="100" w:type="dxa"/>
              <w:left w:w="100" w:type="dxa"/>
              <w:bottom w:w="100" w:type="dxa"/>
              <w:right w:w="100" w:type="dxa"/>
            </w:tcMar>
          </w:tcPr>
          <w:p w14:paraId="5BD5F3E9"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tcBorders>
            <w:tcMar>
              <w:top w:w="100" w:type="dxa"/>
              <w:left w:w="100" w:type="dxa"/>
              <w:bottom w:w="100" w:type="dxa"/>
              <w:right w:w="100" w:type="dxa"/>
            </w:tcMar>
          </w:tcPr>
          <w:p w14:paraId="39FB218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years and above</w:t>
            </w:r>
          </w:p>
        </w:tc>
        <w:tc>
          <w:tcPr>
            <w:tcW w:w="3120" w:type="dxa"/>
            <w:tcBorders>
              <w:top w:val="nil"/>
              <w:right w:val="nil"/>
            </w:tcBorders>
            <w:tcMar>
              <w:top w:w="100" w:type="dxa"/>
              <w:left w:w="100" w:type="dxa"/>
              <w:bottom w:w="100" w:type="dxa"/>
              <w:right w:w="100" w:type="dxa"/>
            </w:tcMar>
          </w:tcPr>
          <w:p w14:paraId="72417FB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r>
      <w:tr w:rsidR="00086A58" w14:paraId="7338E4F7" w14:textId="77777777">
        <w:trPr>
          <w:trHeight w:val="1162"/>
        </w:trPr>
        <w:tc>
          <w:tcPr>
            <w:tcW w:w="2610" w:type="dxa"/>
            <w:tcBorders>
              <w:top w:val="single" w:sz="4" w:space="0" w:color="000000"/>
              <w:left w:val="nil"/>
              <w:bottom w:val="nil"/>
              <w:right w:val="nil"/>
            </w:tcBorders>
            <w:tcMar>
              <w:top w:w="100" w:type="dxa"/>
              <w:left w:w="100" w:type="dxa"/>
              <w:bottom w:w="100" w:type="dxa"/>
              <w:right w:w="100" w:type="dxa"/>
            </w:tcMar>
          </w:tcPr>
          <w:p w14:paraId="29E570B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Years of Experience in teaching Children with Special Needs</w:t>
            </w:r>
          </w:p>
        </w:tc>
        <w:tc>
          <w:tcPr>
            <w:tcW w:w="3615" w:type="dxa"/>
            <w:tcBorders>
              <w:left w:val="nil"/>
              <w:bottom w:val="nil"/>
            </w:tcBorders>
            <w:tcMar>
              <w:top w:w="100" w:type="dxa"/>
              <w:left w:w="100" w:type="dxa"/>
              <w:bottom w:w="100" w:type="dxa"/>
              <w:right w:w="100" w:type="dxa"/>
            </w:tcMar>
          </w:tcPr>
          <w:p w14:paraId="6221C94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&lt; 1 year</w:t>
            </w:r>
          </w:p>
        </w:tc>
        <w:tc>
          <w:tcPr>
            <w:tcW w:w="3120" w:type="dxa"/>
            <w:tcBorders>
              <w:bottom w:val="nil"/>
              <w:right w:val="nil"/>
            </w:tcBorders>
            <w:tcMar>
              <w:top w:w="100" w:type="dxa"/>
              <w:left w:w="100" w:type="dxa"/>
              <w:bottom w:w="100" w:type="dxa"/>
              <w:right w:w="100" w:type="dxa"/>
            </w:tcMar>
          </w:tcPr>
          <w:p w14:paraId="4533E73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(28.1%)</w:t>
            </w:r>
          </w:p>
        </w:tc>
      </w:tr>
      <w:tr w:rsidR="00086A58" w14:paraId="24700378" w14:textId="77777777">
        <w:tc>
          <w:tcPr>
            <w:tcW w:w="2610" w:type="dxa"/>
            <w:tcBorders>
              <w:top w:val="nil"/>
              <w:left w:val="nil"/>
              <w:bottom w:val="nil"/>
              <w:right w:val="nil"/>
            </w:tcBorders>
            <w:tcMar>
              <w:top w:w="100" w:type="dxa"/>
              <w:left w:w="100" w:type="dxa"/>
              <w:bottom w:w="100" w:type="dxa"/>
              <w:right w:w="100" w:type="dxa"/>
            </w:tcMar>
          </w:tcPr>
          <w:p w14:paraId="68B4D156"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7BCFC8F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 years</w:t>
            </w:r>
          </w:p>
        </w:tc>
        <w:tc>
          <w:tcPr>
            <w:tcW w:w="3120" w:type="dxa"/>
            <w:tcBorders>
              <w:top w:val="nil"/>
              <w:left w:val="single" w:sz="4" w:space="0" w:color="000000"/>
              <w:bottom w:val="nil"/>
              <w:right w:val="nil"/>
            </w:tcBorders>
            <w:tcMar>
              <w:top w:w="100" w:type="dxa"/>
              <w:left w:w="100" w:type="dxa"/>
              <w:bottom w:w="100" w:type="dxa"/>
              <w:right w:w="100" w:type="dxa"/>
            </w:tcMar>
          </w:tcPr>
          <w:p w14:paraId="6D5D040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(50%)</w:t>
            </w:r>
          </w:p>
        </w:tc>
      </w:tr>
      <w:tr w:rsidR="00086A58" w14:paraId="3C2DB29E" w14:textId="77777777">
        <w:tc>
          <w:tcPr>
            <w:tcW w:w="2610" w:type="dxa"/>
            <w:tcBorders>
              <w:top w:val="nil"/>
              <w:left w:val="nil"/>
              <w:bottom w:val="nil"/>
              <w:right w:val="nil"/>
            </w:tcBorders>
            <w:tcMar>
              <w:top w:w="100" w:type="dxa"/>
              <w:left w:w="100" w:type="dxa"/>
              <w:bottom w:w="100" w:type="dxa"/>
              <w:right w:w="100" w:type="dxa"/>
            </w:tcMar>
          </w:tcPr>
          <w:p w14:paraId="7841C95D"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0ED6EC8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6-10 years</w:t>
            </w:r>
          </w:p>
        </w:tc>
        <w:tc>
          <w:tcPr>
            <w:tcW w:w="3120" w:type="dxa"/>
            <w:tcBorders>
              <w:top w:val="nil"/>
              <w:left w:val="single" w:sz="4" w:space="0" w:color="000000"/>
              <w:bottom w:val="nil"/>
              <w:right w:val="nil"/>
            </w:tcBorders>
            <w:tcMar>
              <w:top w:w="100" w:type="dxa"/>
              <w:left w:w="100" w:type="dxa"/>
              <w:bottom w:w="100" w:type="dxa"/>
              <w:right w:w="100" w:type="dxa"/>
            </w:tcMar>
          </w:tcPr>
          <w:p w14:paraId="663C8E5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 (15.6%)</w:t>
            </w:r>
          </w:p>
        </w:tc>
      </w:tr>
      <w:tr w:rsidR="00086A58" w14:paraId="65F3394F" w14:textId="77777777">
        <w:tc>
          <w:tcPr>
            <w:tcW w:w="2610" w:type="dxa"/>
            <w:tcBorders>
              <w:top w:val="nil"/>
              <w:left w:val="nil"/>
              <w:bottom w:val="nil"/>
              <w:right w:val="nil"/>
            </w:tcBorders>
            <w:tcMar>
              <w:top w:w="100" w:type="dxa"/>
              <w:left w:w="100" w:type="dxa"/>
              <w:bottom w:w="100" w:type="dxa"/>
              <w:right w:w="100" w:type="dxa"/>
            </w:tcMar>
          </w:tcPr>
          <w:p w14:paraId="402A1969"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nil"/>
              <w:right w:val="single" w:sz="4" w:space="0" w:color="000000"/>
            </w:tcBorders>
            <w:tcMar>
              <w:top w:w="100" w:type="dxa"/>
              <w:left w:w="100" w:type="dxa"/>
              <w:bottom w:w="100" w:type="dxa"/>
              <w:right w:w="100" w:type="dxa"/>
            </w:tcMar>
          </w:tcPr>
          <w:p w14:paraId="2A1DABF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11-15 years</w:t>
            </w:r>
          </w:p>
        </w:tc>
        <w:tc>
          <w:tcPr>
            <w:tcW w:w="3120" w:type="dxa"/>
            <w:tcBorders>
              <w:top w:val="nil"/>
              <w:left w:val="single" w:sz="4" w:space="0" w:color="000000"/>
              <w:bottom w:val="nil"/>
              <w:right w:val="nil"/>
            </w:tcBorders>
            <w:tcMar>
              <w:top w:w="100" w:type="dxa"/>
              <w:left w:w="100" w:type="dxa"/>
              <w:bottom w:w="100" w:type="dxa"/>
              <w:right w:w="100" w:type="dxa"/>
            </w:tcMar>
          </w:tcPr>
          <w:p w14:paraId="4F5AB58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489F3CDD" w14:textId="77777777">
        <w:tc>
          <w:tcPr>
            <w:tcW w:w="2610" w:type="dxa"/>
            <w:tcBorders>
              <w:top w:val="nil"/>
              <w:left w:val="nil"/>
              <w:bottom w:val="single" w:sz="4" w:space="0" w:color="000000"/>
              <w:right w:val="nil"/>
            </w:tcBorders>
            <w:tcMar>
              <w:top w:w="100" w:type="dxa"/>
              <w:left w:w="100" w:type="dxa"/>
              <w:bottom w:w="100" w:type="dxa"/>
              <w:right w:w="100" w:type="dxa"/>
            </w:tcMar>
          </w:tcPr>
          <w:p w14:paraId="3EEA8529"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single" w:sz="4" w:space="0" w:color="000000"/>
            </w:tcBorders>
            <w:tcMar>
              <w:top w:w="100" w:type="dxa"/>
              <w:left w:w="100" w:type="dxa"/>
              <w:bottom w:w="100" w:type="dxa"/>
              <w:right w:w="100" w:type="dxa"/>
            </w:tcMar>
          </w:tcPr>
          <w:p w14:paraId="46033A3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years and above</w:t>
            </w:r>
          </w:p>
        </w:tc>
        <w:tc>
          <w:tcPr>
            <w:tcW w:w="3120" w:type="dxa"/>
            <w:tcBorders>
              <w:top w:val="nil"/>
              <w:bottom w:val="single" w:sz="4" w:space="0" w:color="000000"/>
              <w:right w:val="nil"/>
            </w:tcBorders>
            <w:tcMar>
              <w:top w:w="100" w:type="dxa"/>
              <w:left w:w="100" w:type="dxa"/>
              <w:bottom w:w="100" w:type="dxa"/>
              <w:right w:w="100" w:type="dxa"/>
            </w:tcMar>
          </w:tcPr>
          <w:p w14:paraId="04DDB61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73572546" w14:textId="77777777">
        <w:tc>
          <w:tcPr>
            <w:tcW w:w="2610" w:type="dxa"/>
            <w:tcBorders>
              <w:top w:val="single" w:sz="4" w:space="0" w:color="000000"/>
              <w:left w:val="nil"/>
              <w:bottom w:val="nil"/>
              <w:right w:val="nil"/>
            </w:tcBorders>
            <w:tcMar>
              <w:top w:w="100" w:type="dxa"/>
              <w:left w:w="100" w:type="dxa"/>
              <w:bottom w:w="100" w:type="dxa"/>
              <w:right w:w="100" w:type="dxa"/>
            </w:tcMar>
          </w:tcPr>
          <w:p w14:paraId="1FEEC01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Highest Educational Qualification</w:t>
            </w:r>
          </w:p>
        </w:tc>
        <w:tc>
          <w:tcPr>
            <w:tcW w:w="3615" w:type="dxa"/>
            <w:tcBorders>
              <w:top w:val="single" w:sz="4" w:space="0" w:color="000000"/>
              <w:left w:val="nil"/>
              <w:bottom w:val="nil"/>
            </w:tcBorders>
            <w:tcMar>
              <w:top w:w="100" w:type="dxa"/>
              <w:left w:w="100" w:type="dxa"/>
              <w:bottom w:w="100" w:type="dxa"/>
              <w:right w:w="100" w:type="dxa"/>
            </w:tcMar>
          </w:tcPr>
          <w:p w14:paraId="254B984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 level (secondary school qualification)</w:t>
            </w:r>
          </w:p>
        </w:tc>
        <w:tc>
          <w:tcPr>
            <w:tcW w:w="3120" w:type="dxa"/>
            <w:tcBorders>
              <w:top w:val="single" w:sz="4" w:space="0" w:color="000000"/>
              <w:bottom w:val="nil"/>
              <w:right w:val="nil"/>
            </w:tcBorders>
            <w:tcMar>
              <w:top w:w="100" w:type="dxa"/>
              <w:left w:w="100" w:type="dxa"/>
              <w:bottom w:w="100" w:type="dxa"/>
              <w:right w:w="100" w:type="dxa"/>
            </w:tcMar>
          </w:tcPr>
          <w:p w14:paraId="601DD3E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7006F404" w14:textId="77777777">
        <w:tc>
          <w:tcPr>
            <w:tcW w:w="2610" w:type="dxa"/>
            <w:tcBorders>
              <w:top w:val="nil"/>
              <w:left w:val="nil"/>
              <w:bottom w:val="nil"/>
              <w:right w:val="nil"/>
            </w:tcBorders>
            <w:tcMar>
              <w:top w:w="100" w:type="dxa"/>
              <w:left w:w="100" w:type="dxa"/>
              <w:bottom w:w="100" w:type="dxa"/>
              <w:right w:w="100" w:type="dxa"/>
            </w:tcMar>
          </w:tcPr>
          <w:p w14:paraId="713DDEE5"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3615" w:type="dxa"/>
            <w:tcBorders>
              <w:top w:val="nil"/>
              <w:left w:val="nil"/>
            </w:tcBorders>
            <w:tcMar>
              <w:top w:w="100" w:type="dxa"/>
              <w:left w:w="100" w:type="dxa"/>
              <w:bottom w:w="100" w:type="dxa"/>
              <w:right w:w="100" w:type="dxa"/>
            </w:tcMar>
          </w:tcPr>
          <w:p w14:paraId="6D9CE9C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Bachelor’s Degree</w:t>
            </w:r>
          </w:p>
        </w:tc>
        <w:tc>
          <w:tcPr>
            <w:tcW w:w="3120" w:type="dxa"/>
            <w:tcBorders>
              <w:top w:val="nil"/>
              <w:right w:val="nil"/>
            </w:tcBorders>
            <w:tcMar>
              <w:top w:w="100" w:type="dxa"/>
              <w:left w:w="100" w:type="dxa"/>
              <w:bottom w:w="100" w:type="dxa"/>
              <w:right w:w="100" w:type="dxa"/>
            </w:tcMar>
          </w:tcPr>
          <w:p w14:paraId="37C086F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(75%)</w:t>
            </w:r>
          </w:p>
        </w:tc>
      </w:tr>
      <w:tr w:rsidR="00086A58" w14:paraId="3AE8BF46" w14:textId="77777777">
        <w:tc>
          <w:tcPr>
            <w:tcW w:w="2610" w:type="dxa"/>
            <w:tcBorders>
              <w:top w:val="nil"/>
              <w:left w:val="nil"/>
              <w:bottom w:val="nil"/>
              <w:right w:val="nil"/>
            </w:tcBorders>
            <w:tcMar>
              <w:top w:w="100" w:type="dxa"/>
              <w:left w:w="100" w:type="dxa"/>
              <w:bottom w:w="100" w:type="dxa"/>
              <w:right w:w="100" w:type="dxa"/>
            </w:tcMar>
          </w:tcPr>
          <w:p w14:paraId="55CC3D6E"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tcBorders>
            <w:tcMar>
              <w:top w:w="100" w:type="dxa"/>
              <w:left w:w="100" w:type="dxa"/>
              <w:bottom w:w="100" w:type="dxa"/>
              <w:right w:w="100" w:type="dxa"/>
            </w:tcMar>
          </w:tcPr>
          <w:p w14:paraId="175D881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Master’s Degree</w:t>
            </w:r>
          </w:p>
        </w:tc>
        <w:tc>
          <w:tcPr>
            <w:tcW w:w="3120" w:type="dxa"/>
            <w:tcBorders>
              <w:top w:val="nil"/>
              <w:right w:val="nil"/>
            </w:tcBorders>
            <w:tcMar>
              <w:top w:w="100" w:type="dxa"/>
              <w:left w:w="100" w:type="dxa"/>
              <w:bottom w:w="100" w:type="dxa"/>
              <w:right w:w="100" w:type="dxa"/>
            </w:tcMar>
          </w:tcPr>
          <w:p w14:paraId="7A3AC01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 (9.4%)</w:t>
            </w:r>
          </w:p>
        </w:tc>
      </w:tr>
      <w:tr w:rsidR="00086A58" w14:paraId="48D55DB2" w14:textId="77777777">
        <w:tc>
          <w:tcPr>
            <w:tcW w:w="2610" w:type="dxa"/>
            <w:tcBorders>
              <w:top w:val="nil"/>
              <w:left w:val="nil"/>
              <w:bottom w:val="nil"/>
              <w:right w:val="nil"/>
            </w:tcBorders>
            <w:tcMar>
              <w:top w:w="100" w:type="dxa"/>
              <w:left w:w="100" w:type="dxa"/>
              <w:bottom w:w="100" w:type="dxa"/>
              <w:right w:w="100" w:type="dxa"/>
            </w:tcMar>
          </w:tcPr>
          <w:p w14:paraId="0DFEB6D3"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tcBorders>
            <w:tcMar>
              <w:top w:w="100" w:type="dxa"/>
              <w:left w:w="100" w:type="dxa"/>
              <w:bottom w:w="100" w:type="dxa"/>
              <w:right w:w="100" w:type="dxa"/>
            </w:tcMar>
          </w:tcPr>
          <w:p w14:paraId="7FB880A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Postgraduate Diploma</w:t>
            </w:r>
          </w:p>
        </w:tc>
        <w:tc>
          <w:tcPr>
            <w:tcW w:w="3120" w:type="dxa"/>
            <w:tcBorders>
              <w:top w:val="nil"/>
              <w:right w:val="nil"/>
            </w:tcBorders>
            <w:tcMar>
              <w:top w:w="100" w:type="dxa"/>
              <w:left w:w="100" w:type="dxa"/>
              <w:bottom w:w="100" w:type="dxa"/>
              <w:right w:w="100" w:type="dxa"/>
            </w:tcMar>
          </w:tcPr>
          <w:p w14:paraId="642DB71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54A084F9" w14:textId="77777777">
        <w:tc>
          <w:tcPr>
            <w:tcW w:w="2610" w:type="dxa"/>
            <w:tcBorders>
              <w:top w:val="nil"/>
              <w:left w:val="nil"/>
              <w:bottom w:val="single" w:sz="24" w:space="0" w:color="000000"/>
              <w:right w:val="nil"/>
            </w:tcBorders>
            <w:tcMar>
              <w:top w:w="100" w:type="dxa"/>
              <w:left w:w="100" w:type="dxa"/>
              <w:bottom w:w="100" w:type="dxa"/>
              <w:right w:w="100" w:type="dxa"/>
            </w:tcMar>
          </w:tcPr>
          <w:p w14:paraId="3C7850ED"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3615" w:type="dxa"/>
            <w:tcBorders>
              <w:top w:val="nil"/>
              <w:left w:val="nil"/>
              <w:bottom w:val="single" w:sz="24" w:space="0" w:color="000000"/>
            </w:tcBorders>
            <w:tcMar>
              <w:top w:w="100" w:type="dxa"/>
              <w:left w:w="100" w:type="dxa"/>
              <w:bottom w:w="100" w:type="dxa"/>
              <w:right w:w="100" w:type="dxa"/>
            </w:tcMar>
          </w:tcPr>
          <w:p w14:paraId="6EC5771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Other (NCE)</w:t>
            </w:r>
          </w:p>
        </w:tc>
        <w:tc>
          <w:tcPr>
            <w:tcW w:w="3120" w:type="dxa"/>
            <w:tcBorders>
              <w:top w:val="nil"/>
              <w:bottom w:val="single" w:sz="24" w:space="0" w:color="000000"/>
              <w:right w:val="nil"/>
            </w:tcBorders>
            <w:tcMar>
              <w:top w:w="100" w:type="dxa"/>
              <w:left w:w="100" w:type="dxa"/>
              <w:bottom w:w="100" w:type="dxa"/>
              <w:right w:w="100" w:type="dxa"/>
            </w:tcMar>
          </w:tcPr>
          <w:p w14:paraId="2876121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 (9.4%)</w:t>
            </w:r>
          </w:p>
        </w:tc>
      </w:tr>
    </w:tbl>
    <w:p w14:paraId="2D1A1A0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eastAsia="en-US"/>
        </w:rPr>
        <w:drawing>
          <wp:inline distT="114300" distB="114300" distL="114300" distR="114300" wp14:anchorId="7224456C" wp14:editId="748826A9">
            <wp:extent cx="5943600" cy="2959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2959100"/>
                    </a:xfrm>
                    <a:prstGeom prst="rect">
                      <a:avLst/>
                    </a:prstGeom>
                    <a:ln/>
                  </pic:spPr>
                </pic:pic>
              </a:graphicData>
            </a:graphic>
          </wp:inline>
        </w:drawing>
      </w:r>
    </w:p>
    <w:p w14:paraId="5D6542A7"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Figure 1: Age Distribution of Participants</w:t>
      </w:r>
    </w:p>
    <w:p w14:paraId="10BADEC8" w14:textId="77777777" w:rsidR="00086A58" w:rsidRDefault="00086A58">
      <w:pPr>
        <w:spacing w:before="240" w:after="240"/>
        <w:jc w:val="both"/>
        <w:rPr>
          <w:rFonts w:ascii="Times New Roman" w:eastAsia="Times New Roman" w:hAnsi="Times New Roman" w:cs="Times New Roman"/>
          <w:sz w:val="24"/>
          <w:szCs w:val="24"/>
          <w:highlight w:val="white"/>
        </w:rPr>
      </w:pPr>
    </w:p>
    <w:p w14:paraId="6C015786"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noProof/>
          <w:sz w:val="24"/>
          <w:szCs w:val="24"/>
          <w:highlight w:val="white"/>
          <w:lang w:val="en-US" w:eastAsia="en-US"/>
        </w:rPr>
        <w:lastRenderedPageBreak/>
        <w:drawing>
          <wp:inline distT="114300" distB="114300" distL="114300" distR="114300" wp14:anchorId="264006ED" wp14:editId="01566A5F">
            <wp:extent cx="5943600" cy="3441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441700"/>
                    </a:xfrm>
                    <a:prstGeom prst="rect">
                      <a:avLst/>
                    </a:prstGeom>
                    <a:ln/>
                  </pic:spPr>
                </pic:pic>
              </a:graphicData>
            </a:graphic>
          </wp:inline>
        </w:drawing>
      </w:r>
      <w:r>
        <w:rPr>
          <w:rFonts w:ascii="Times New Roman" w:eastAsia="Times New Roman" w:hAnsi="Times New Roman" w:cs="Times New Roman"/>
          <w:b/>
          <w:bCs/>
          <w:i/>
          <w:iCs/>
          <w:sz w:val="24"/>
          <w:szCs w:val="24"/>
          <w:highlight w:val="white"/>
        </w:rPr>
        <w:t>Figure 2: Gender Distribution of Participants</w:t>
      </w:r>
    </w:p>
    <w:p w14:paraId="0A87AAB7" w14:textId="77777777" w:rsidR="00086A58" w:rsidRDefault="00086A58">
      <w:pPr>
        <w:spacing w:before="240" w:after="240"/>
        <w:jc w:val="both"/>
        <w:rPr>
          <w:rFonts w:ascii="Times New Roman" w:eastAsia="Times New Roman" w:hAnsi="Times New Roman" w:cs="Times New Roman"/>
          <w:sz w:val="24"/>
          <w:szCs w:val="24"/>
          <w:highlight w:val="white"/>
        </w:rPr>
      </w:pPr>
    </w:p>
    <w:p w14:paraId="11ACEBDA"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Knowledge of Inclusive Education</w:t>
      </w:r>
    </w:p>
    <w:p w14:paraId="31E0B49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The responses to the questions on the participants’ knowledge of inclusive education reveal a strong understanding of key concepts. A majority of respondents (46.9%) strongly agreed that inclusive education refers to the integration of students with special needs into mainstream schools, with 40.6% agreeing. Similarly, half of the participants (50%) strongly agreed that the primary goal of inclusive education is to ensure access to the general curriculum for students with special needs. However, while many teachers (43.8%) agreed that teachers are responsible for modifying the curriculum to meet the needs of special needs students, a smaller portion (31.3%) strongly agreed with this statement. Notably, most participants (53.1%) strongly agreed that inclusive education involves not just physical integration, but also social and academic participation for children with special needs, emphasizing a broader understanding of the concept (see Table 2).</w:t>
      </w:r>
    </w:p>
    <w:p w14:paraId="147D70CF"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2: Teachers’ responses on core concepts and principles of inclusive education</w:t>
      </w:r>
    </w:p>
    <w:tbl>
      <w:tblPr>
        <w:tblStyle w:val="a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04"/>
        <w:gridCol w:w="1483"/>
        <w:gridCol w:w="1268"/>
        <w:gridCol w:w="1325"/>
        <w:gridCol w:w="1426"/>
        <w:gridCol w:w="1354"/>
      </w:tblGrid>
      <w:tr w:rsidR="00086A58" w14:paraId="4E999078" w14:textId="77777777">
        <w:trPr>
          <w:trHeight w:val="1310"/>
        </w:trPr>
        <w:tc>
          <w:tcPr>
            <w:tcW w:w="2502"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14:paraId="2B5D6827"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Questions</w:t>
            </w:r>
          </w:p>
        </w:tc>
        <w:tc>
          <w:tcPr>
            <w:tcW w:w="6856" w:type="dxa"/>
            <w:gridSpan w:val="5"/>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14:paraId="3971676D"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r>
      <w:tr w:rsidR="00086A58" w14:paraId="5C0D91D2" w14:textId="77777777">
        <w:trPr>
          <w:trHeight w:val="1310"/>
        </w:trPr>
        <w:tc>
          <w:tcPr>
            <w:tcW w:w="2502" w:type="dxa"/>
            <w:tcBorders>
              <w:top w:val="single" w:sz="24" w:space="0" w:color="000000"/>
              <w:left w:val="nil"/>
              <w:bottom w:val="nil"/>
              <w:right w:val="single" w:sz="4" w:space="0" w:color="000000"/>
            </w:tcBorders>
            <w:tcMar>
              <w:top w:w="100" w:type="dxa"/>
              <w:left w:w="100" w:type="dxa"/>
              <w:bottom w:w="100" w:type="dxa"/>
              <w:right w:w="100" w:type="dxa"/>
            </w:tcMar>
          </w:tcPr>
          <w:p w14:paraId="74483D8F"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1483" w:type="dxa"/>
            <w:tcBorders>
              <w:top w:val="single" w:sz="24" w:space="0" w:color="000000"/>
              <w:left w:val="single" w:sz="4" w:space="0" w:color="000000"/>
              <w:bottom w:val="nil"/>
              <w:right w:val="nil"/>
            </w:tcBorders>
            <w:tcMar>
              <w:top w:w="100" w:type="dxa"/>
              <w:left w:w="100" w:type="dxa"/>
              <w:bottom w:w="100" w:type="dxa"/>
              <w:right w:w="100" w:type="dxa"/>
            </w:tcMar>
          </w:tcPr>
          <w:p w14:paraId="126E7B5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Strongly Agree (Number, %)</w:t>
            </w:r>
          </w:p>
        </w:tc>
        <w:tc>
          <w:tcPr>
            <w:tcW w:w="1268" w:type="dxa"/>
            <w:tcBorders>
              <w:top w:val="single" w:sz="24" w:space="0" w:color="000000"/>
              <w:left w:val="nil"/>
              <w:bottom w:val="nil"/>
              <w:right w:val="nil"/>
            </w:tcBorders>
            <w:tcMar>
              <w:top w:w="100" w:type="dxa"/>
              <w:left w:w="100" w:type="dxa"/>
              <w:bottom w:w="100" w:type="dxa"/>
              <w:right w:w="100" w:type="dxa"/>
            </w:tcMar>
          </w:tcPr>
          <w:p w14:paraId="337F14D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Agree (Number, %)</w:t>
            </w:r>
          </w:p>
        </w:tc>
        <w:tc>
          <w:tcPr>
            <w:tcW w:w="1325" w:type="dxa"/>
            <w:tcBorders>
              <w:top w:val="single" w:sz="24" w:space="0" w:color="000000"/>
              <w:left w:val="nil"/>
              <w:bottom w:val="nil"/>
              <w:right w:val="nil"/>
            </w:tcBorders>
            <w:tcMar>
              <w:top w:w="100" w:type="dxa"/>
              <w:left w:w="100" w:type="dxa"/>
              <w:bottom w:w="100" w:type="dxa"/>
              <w:right w:w="100" w:type="dxa"/>
            </w:tcMar>
          </w:tcPr>
          <w:p w14:paraId="2D4E900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Neutral (Number, %)</w:t>
            </w:r>
          </w:p>
        </w:tc>
        <w:tc>
          <w:tcPr>
            <w:tcW w:w="1426" w:type="dxa"/>
            <w:tcBorders>
              <w:top w:val="single" w:sz="24" w:space="0" w:color="000000"/>
              <w:left w:val="nil"/>
              <w:bottom w:val="nil"/>
              <w:right w:val="nil"/>
            </w:tcBorders>
            <w:tcMar>
              <w:top w:w="100" w:type="dxa"/>
              <w:left w:w="100" w:type="dxa"/>
              <w:bottom w:w="100" w:type="dxa"/>
              <w:right w:w="100" w:type="dxa"/>
            </w:tcMar>
          </w:tcPr>
          <w:p w14:paraId="39F96C2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Disagree (Number, %)</w:t>
            </w:r>
          </w:p>
        </w:tc>
        <w:tc>
          <w:tcPr>
            <w:tcW w:w="1354" w:type="dxa"/>
            <w:tcBorders>
              <w:top w:val="single" w:sz="24" w:space="0" w:color="000000"/>
              <w:left w:val="nil"/>
              <w:bottom w:val="nil"/>
              <w:right w:val="nil"/>
            </w:tcBorders>
            <w:tcMar>
              <w:top w:w="100" w:type="dxa"/>
              <w:left w:w="100" w:type="dxa"/>
              <w:bottom w:w="100" w:type="dxa"/>
              <w:right w:w="100" w:type="dxa"/>
            </w:tcMar>
          </w:tcPr>
          <w:p w14:paraId="30B648A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Strongly Disagree (Number, %)</w:t>
            </w:r>
          </w:p>
        </w:tc>
      </w:tr>
      <w:tr w:rsidR="00086A58" w14:paraId="5DBEC79D" w14:textId="77777777">
        <w:trPr>
          <w:trHeight w:val="1580"/>
        </w:trPr>
        <w:tc>
          <w:tcPr>
            <w:tcW w:w="2502" w:type="dxa"/>
            <w:tcBorders>
              <w:top w:val="nil"/>
              <w:left w:val="nil"/>
              <w:bottom w:val="nil"/>
              <w:right w:val="single" w:sz="4" w:space="0" w:color="000000"/>
            </w:tcBorders>
            <w:tcMar>
              <w:top w:w="100" w:type="dxa"/>
              <w:left w:w="100" w:type="dxa"/>
              <w:bottom w:w="100" w:type="dxa"/>
              <w:right w:w="100" w:type="dxa"/>
            </w:tcMar>
          </w:tcPr>
          <w:p w14:paraId="0FA001C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Inclusive education refers to the practice of integrating students with special needs into mainstream schools.</w:t>
            </w:r>
          </w:p>
        </w:tc>
        <w:tc>
          <w:tcPr>
            <w:tcW w:w="1483" w:type="dxa"/>
            <w:tcBorders>
              <w:top w:val="nil"/>
              <w:left w:val="single" w:sz="4" w:space="0" w:color="000000"/>
              <w:bottom w:val="nil"/>
              <w:right w:val="nil"/>
            </w:tcBorders>
            <w:tcMar>
              <w:top w:w="100" w:type="dxa"/>
              <w:left w:w="100" w:type="dxa"/>
              <w:bottom w:w="100" w:type="dxa"/>
              <w:right w:w="100" w:type="dxa"/>
            </w:tcMar>
          </w:tcPr>
          <w:p w14:paraId="0870022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c>
          <w:tcPr>
            <w:tcW w:w="1268" w:type="dxa"/>
            <w:tcBorders>
              <w:top w:val="nil"/>
              <w:left w:val="nil"/>
              <w:bottom w:val="nil"/>
              <w:right w:val="nil"/>
            </w:tcBorders>
            <w:tcMar>
              <w:top w:w="100" w:type="dxa"/>
              <w:left w:w="100" w:type="dxa"/>
              <w:bottom w:w="100" w:type="dxa"/>
              <w:right w:w="100" w:type="dxa"/>
            </w:tcMar>
          </w:tcPr>
          <w:p w14:paraId="4C0EB4F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c>
          <w:tcPr>
            <w:tcW w:w="1325" w:type="dxa"/>
            <w:tcBorders>
              <w:top w:val="nil"/>
              <w:left w:val="nil"/>
              <w:bottom w:val="nil"/>
              <w:right w:val="nil"/>
            </w:tcBorders>
            <w:tcMar>
              <w:top w:w="100" w:type="dxa"/>
              <w:left w:w="100" w:type="dxa"/>
              <w:bottom w:w="100" w:type="dxa"/>
              <w:right w:w="100" w:type="dxa"/>
            </w:tcMar>
          </w:tcPr>
          <w:p w14:paraId="6B40F65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c>
          <w:tcPr>
            <w:tcW w:w="1426" w:type="dxa"/>
            <w:tcBorders>
              <w:top w:val="nil"/>
              <w:left w:val="nil"/>
              <w:bottom w:val="nil"/>
              <w:right w:val="nil"/>
            </w:tcBorders>
            <w:tcMar>
              <w:top w:w="100" w:type="dxa"/>
              <w:left w:w="100" w:type="dxa"/>
              <w:bottom w:w="100" w:type="dxa"/>
              <w:right w:w="100" w:type="dxa"/>
            </w:tcMar>
          </w:tcPr>
          <w:p w14:paraId="3637518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c>
          <w:tcPr>
            <w:tcW w:w="1354" w:type="dxa"/>
            <w:tcBorders>
              <w:top w:val="nil"/>
              <w:left w:val="nil"/>
              <w:bottom w:val="nil"/>
              <w:right w:val="nil"/>
            </w:tcBorders>
            <w:tcMar>
              <w:top w:w="100" w:type="dxa"/>
              <w:left w:w="100" w:type="dxa"/>
              <w:bottom w:w="100" w:type="dxa"/>
              <w:right w:w="100" w:type="dxa"/>
            </w:tcMar>
          </w:tcPr>
          <w:p w14:paraId="0340886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417D6694" w14:textId="77777777">
        <w:trPr>
          <w:trHeight w:val="1850"/>
        </w:trPr>
        <w:tc>
          <w:tcPr>
            <w:tcW w:w="2502" w:type="dxa"/>
            <w:tcBorders>
              <w:top w:val="nil"/>
              <w:left w:val="nil"/>
              <w:bottom w:val="nil"/>
              <w:right w:val="single" w:sz="4" w:space="0" w:color="000000"/>
            </w:tcBorders>
            <w:tcMar>
              <w:top w:w="100" w:type="dxa"/>
              <w:left w:w="100" w:type="dxa"/>
              <w:bottom w:w="100" w:type="dxa"/>
              <w:right w:w="100" w:type="dxa"/>
            </w:tcMar>
          </w:tcPr>
          <w:p w14:paraId="7AFCC23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goal of inclusive education is to ensure that students with special needs can access the general curriculum alongside their peers.</w:t>
            </w:r>
          </w:p>
        </w:tc>
        <w:tc>
          <w:tcPr>
            <w:tcW w:w="1483" w:type="dxa"/>
            <w:tcBorders>
              <w:top w:val="nil"/>
              <w:left w:val="single" w:sz="4" w:space="0" w:color="000000"/>
              <w:bottom w:val="nil"/>
              <w:right w:val="nil"/>
            </w:tcBorders>
            <w:tcMar>
              <w:top w:w="100" w:type="dxa"/>
              <w:left w:w="100" w:type="dxa"/>
              <w:bottom w:w="100" w:type="dxa"/>
              <w:right w:w="100" w:type="dxa"/>
            </w:tcMar>
          </w:tcPr>
          <w:p w14:paraId="4DB3328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(50%)</w:t>
            </w:r>
          </w:p>
        </w:tc>
        <w:tc>
          <w:tcPr>
            <w:tcW w:w="1268" w:type="dxa"/>
            <w:tcBorders>
              <w:top w:val="nil"/>
              <w:left w:val="nil"/>
              <w:bottom w:val="nil"/>
              <w:right w:val="nil"/>
            </w:tcBorders>
            <w:tcMar>
              <w:top w:w="100" w:type="dxa"/>
              <w:left w:w="100" w:type="dxa"/>
              <w:bottom w:w="100" w:type="dxa"/>
              <w:right w:w="100" w:type="dxa"/>
            </w:tcMar>
          </w:tcPr>
          <w:p w14:paraId="6EA59B8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25" w:type="dxa"/>
            <w:tcBorders>
              <w:top w:val="nil"/>
              <w:left w:val="nil"/>
              <w:bottom w:val="nil"/>
              <w:right w:val="nil"/>
            </w:tcBorders>
            <w:tcMar>
              <w:top w:w="100" w:type="dxa"/>
              <w:left w:w="100" w:type="dxa"/>
              <w:bottom w:w="100" w:type="dxa"/>
              <w:right w:w="100" w:type="dxa"/>
            </w:tcMar>
          </w:tcPr>
          <w:p w14:paraId="624CCFB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c>
          <w:tcPr>
            <w:tcW w:w="1426" w:type="dxa"/>
            <w:tcBorders>
              <w:top w:val="nil"/>
              <w:left w:val="nil"/>
              <w:bottom w:val="nil"/>
              <w:right w:val="nil"/>
            </w:tcBorders>
            <w:tcMar>
              <w:top w:w="100" w:type="dxa"/>
              <w:left w:w="100" w:type="dxa"/>
              <w:bottom w:w="100" w:type="dxa"/>
              <w:right w:w="100" w:type="dxa"/>
            </w:tcMar>
          </w:tcPr>
          <w:p w14:paraId="37C90CD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c>
          <w:tcPr>
            <w:tcW w:w="1354" w:type="dxa"/>
            <w:tcBorders>
              <w:top w:val="nil"/>
              <w:left w:val="nil"/>
              <w:bottom w:val="nil"/>
              <w:right w:val="nil"/>
            </w:tcBorders>
            <w:tcMar>
              <w:top w:w="100" w:type="dxa"/>
              <w:left w:w="100" w:type="dxa"/>
              <w:bottom w:w="100" w:type="dxa"/>
              <w:right w:w="100" w:type="dxa"/>
            </w:tcMar>
          </w:tcPr>
          <w:p w14:paraId="36FDCBB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22D4F693" w14:textId="77777777">
        <w:trPr>
          <w:trHeight w:val="1580"/>
        </w:trPr>
        <w:tc>
          <w:tcPr>
            <w:tcW w:w="2502" w:type="dxa"/>
            <w:tcBorders>
              <w:top w:val="nil"/>
              <w:left w:val="nil"/>
              <w:bottom w:val="nil"/>
              <w:right w:val="single" w:sz="4" w:space="0" w:color="000000"/>
            </w:tcBorders>
            <w:tcMar>
              <w:top w:w="100" w:type="dxa"/>
              <w:left w:w="100" w:type="dxa"/>
              <w:bottom w:w="100" w:type="dxa"/>
              <w:right w:w="100" w:type="dxa"/>
            </w:tcMar>
          </w:tcPr>
          <w:p w14:paraId="02D5049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Teachers are responsible for modifying the curriculum to meet the needs of students with special needs.</w:t>
            </w:r>
          </w:p>
        </w:tc>
        <w:tc>
          <w:tcPr>
            <w:tcW w:w="1483" w:type="dxa"/>
            <w:tcBorders>
              <w:top w:val="nil"/>
              <w:left w:val="single" w:sz="4" w:space="0" w:color="000000"/>
              <w:bottom w:val="nil"/>
              <w:right w:val="nil"/>
            </w:tcBorders>
            <w:tcMar>
              <w:top w:w="100" w:type="dxa"/>
              <w:left w:w="100" w:type="dxa"/>
              <w:bottom w:w="100" w:type="dxa"/>
              <w:right w:w="100" w:type="dxa"/>
            </w:tcMar>
          </w:tcPr>
          <w:p w14:paraId="411E2A5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(31.3%)</w:t>
            </w:r>
          </w:p>
        </w:tc>
        <w:tc>
          <w:tcPr>
            <w:tcW w:w="1268" w:type="dxa"/>
            <w:tcBorders>
              <w:top w:val="nil"/>
              <w:left w:val="nil"/>
              <w:bottom w:val="nil"/>
              <w:right w:val="nil"/>
            </w:tcBorders>
            <w:tcMar>
              <w:top w:w="100" w:type="dxa"/>
              <w:left w:w="100" w:type="dxa"/>
              <w:bottom w:w="100" w:type="dxa"/>
              <w:right w:w="100" w:type="dxa"/>
            </w:tcMar>
          </w:tcPr>
          <w:p w14:paraId="3D4B0D6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25" w:type="dxa"/>
            <w:tcBorders>
              <w:top w:val="nil"/>
              <w:left w:val="nil"/>
              <w:bottom w:val="nil"/>
              <w:right w:val="nil"/>
            </w:tcBorders>
            <w:tcMar>
              <w:top w:w="100" w:type="dxa"/>
              <w:left w:w="100" w:type="dxa"/>
              <w:bottom w:w="100" w:type="dxa"/>
              <w:right w:w="100" w:type="dxa"/>
            </w:tcMar>
          </w:tcPr>
          <w:p w14:paraId="034DB89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(18.8%)</w:t>
            </w:r>
          </w:p>
        </w:tc>
        <w:tc>
          <w:tcPr>
            <w:tcW w:w="1426" w:type="dxa"/>
            <w:tcBorders>
              <w:top w:val="nil"/>
              <w:left w:val="nil"/>
              <w:bottom w:val="nil"/>
              <w:right w:val="nil"/>
            </w:tcBorders>
            <w:tcMar>
              <w:top w:w="100" w:type="dxa"/>
              <w:left w:w="100" w:type="dxa"/>
              <w:bottom w:w="100" w:type="dxa"/>
              <w:right w:w="100" w:type="dxa"/>
            </w:tcMar>
          </w:tcPr>
          <w:p w14:paraId="57AFCEC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c>
          <w:tcPr>
            <w:tcW w:w="1354" w:type="dxa"/>
            <w:tcBorders>
              <w:top w:val="nil"/>
              <w:left w:val="nil"/>
              <w:bottom w:val="nil"/>
              <w:right w:val="nil"/>
            </w:tcBorders>
            <w:tcMar>
              <w:top w:w="100" w:type="dxa"/>
              <w:left w:w="100" w:type="dxa"/>
              <w:bottom w:w="100" w:type="dxa"/>
              <w:right w:w="100" w:type="dxa"/>
            </w:tcMar>
          </w:tcPr>
          <w:p w14:paraId="0E9C722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46987843" w14:textId="77777777">
        <w:trPr>
          <w:trHeight w:val="2120"/>
        </w:trPr>
        <w:tc>
          <w:tcPr>
            <w:tcW w:w="2502" w:type="dxa"/>
            <w:tcBorders>
              <w:top w:val="nil"/>
              <w:left w:val="nil"/>
              <w:bottom w:val="nil"/>
              <w:right w:val="single" w:sz="4" w:space="0" w:color="000000"/>
            </w:tcBorders>
            <w:tcMar>
              <w:top w:w="100" w:type="dxa"/>
              <w:left w:w="100" w:type="dxa"/>
              <w:bottom w:w="100" w:type="dxa"/>
              <w:right w:w="100" w:type="dxa"/>
            </w:tcMar>
          </w:tcPr>
          <w:p w14:paraId="5F04312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Inclusive education involves not only physical integration but also social and academic participation for children with special needs.</w:t>
            </w:r>
          </w:p>
        </w:tc>
        <w:tc>
          <w:tcPr>
            <w:tcW w:w="1483" w:type="dxa"/>
            <w:tcBorders>
              <w:top w:val="nil"/>
              <w:left w:val="single" w:sz="4" w:space="0" w:color="000000"/>
              <w:bottom w:val="nil"/>
              <w:right w:val="nil"/>
            </w:tcBorders>
            <w:tcMar>
              <w:top w:w="100" w:type="dxa"/>
              <w:left w:w="100" w:type="dxa"/>
              <w:bottom w:w="100" w:type="dxa"/>
              <w:right w:w="100" w:type="dxa"/>
            </w:tcMar>
          </w:tcPr>
          <w:p w14:paraId="3EDE978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(53.1%)</w:t>
            </w:r>
          </w:p>
        </w:tc>
        <w:tc>
          <w:tcPr>
            <w:tcW w:w="1268" w:type="dxa"/>
            <w:tcBorders>
              <w:top w:val="nil"/>
              <w:left w:val="nil"/>
              <w:bottom w:val="nil"/>
              <w:right w:val="nil"/>
            </w:tcBorders>
            <w:tcMar>
              <w:top w:w="100" w:type="dxa"/>
              <w:left w:w="100" w:type="dxa"/>
              <w:bottom w:w="100" w:type="dxa"/>
              <w:right w:w="100" w:type="dxa"/>
            </w:tcMar>
          </w:tcPr>
          <w:p w14:paraId="7C67371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25" w:type="dxa"/>
            <w:tcBorders>
              <w:top w:val="nil"/>
              <w:left w:val="nil"/>
              <w:bottom w:val="nil"/>
              <w:right w:val="nil"/>
            </w:tcBorders>
            <w:tcMar>
              <w:top w:w="100" w:type="dxa"/>
              <w:left w:w="100" w:type="dxa"/>
              <w:bottom w:w="100" w:type="dxa"/>
              <w:right w:w="100" w:type="dxa"/>
            </w:tcMar>
          </w:tcPr>
          <w:p w14:paraId="1EBA01B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1426" w:type="dxa"/>
            <w:tcBorders>
              <w:top w:val="nil"/>
              <w:left w:val="nil"/>
              <w:bottom w:val="nil"/>
              <w:right w:val="nil"/>
            </w:tcBorders>
            <w:tcMar>
              <w:top w:w="100" w:type="dxa"/>
              <w:left w:w="100" w:type="dxa"/>
              <w:bottom w:w="100" w:type="dxa"/>
              <w:right w:w="100" w:type="dxa"/>
            </w:tcMar>
          </w:tcPr>
          <w:p w14:paraId="60DFB8F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c>
          <w:tcPr>
            <w:tcW w:w="1354" w:type="dxa"/>
            <w:tcBorders>
              <w:top w:val="nil"/>
              <w:left w:val="nil"/>
              <w:bottom w:val="nil"/>
              <w:right w:val="nil"/>
            </w:tcBorders>
            <w:tcMar>
              <w:top w:w="100" w:type="dxa"/>
              <w:left w:w="100" w:type="dxa"/>
              <w:bottom w:w="100" w:type="dxa"/>
              <w:right w:w="100" w:type="dxa"/>
            </w:tcMar>
          </w:tcPr>
          <w:p w14:paraId="01C6E6F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4DC490E8" w14:textId="77777777">
        <w:trPr>
          <w:trHeight w:val="1580"/>
        </w:trPr>
        <w:tc>
          <w:tcPr>
            <w:tcW w:w="2502" w:type="dxa"/>
            <w:tcBorders>
              <w:top w:val="nil"/>
              <w:left w:val="nil"/>
              <w:bottom w:val="single" w:sz="24" w:space="0" w:color="000000"/>
              <w:right w:val="single" w:sz="4" w:space="0" w:color="000000"/>
            </w:tcBorders>
            <w:tcMar>
              <w:top w:w="100" w:type="dxa"/>
              <w:left w:w="100" w:type="dxa"/>
              <w:bottom w:w="100" w:type="dxa"/>
              <w:right w:w="100" w:type="dxa"/>
            </w:tcMar>
          </w:tcPr>
          <w:p w14:paraId="624A81F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Children with special needs can learn successfully in a general classroom with the proper support.</w:t>
            </w:r>
          </w:p>
        </w:tc>
        <w:tc>
          <w:tcPr>
            <w:tcW w:w="1483" w:type="dxa"/>
            <w:tcBorders>
              <w:top w:val="nil"/>
              <w:left w:val="single" w:sz="4" w:space="0" w:color="000000"/>
              <w:bottom w:val="single" w:sz="24" w:space="0" w:color="000000"/>
              <w:right w:val="nil"/>
            </w:tcBorders>
            <w:tcMar>
              <w:top w:w="100" w:type="dxa"/>
              <w:left w:w="100" w:type="dxa"/>
              <w:bottom w:w="100" w:type="dxa"/>
              <w:right w:w="100" w:type="dxa"/>
            </w:tcMar>
          </w:tcPr>
          <w:p w14:paraId="5F682F6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268" w:type="dxa"/>
            <w:tcBorders>
              <w:top w:val="nil"/>
              <w:left w:val="nil"/>
              <w:bottom w:val="single" w:sz="24" w:space="0" w:color="000000"/>
              <w:right w:val="nil"/>
            </w:tcBorders>
            <w:tcMar>
              <w:top w:w="100" w:type="dxa"/>
              <w:left w:w="100" w:type="dxa"/>
              <w:bottom w:w="100" w:type="dxa"/>
              <w:right w:w="100" w:type="dxa"/>
            </w:tcMar>
          </w:tcPr>
          <w:p w14:paraId="3AF054D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25" w:type="dxa"/>
            <w:tcBorders>
              <w:top w:val="nil"/>
              <w:left w:val="nil"/>
              <w:bottom w:val="single" w:sz="24" w:space="0" w:color="000000"/>
              <w:right w:val="nil"/>
            </w:tcBorders>
            <w:tcMar>
              <w:top w:w="100" w:type="dxa"/>
              <w:left w:w="100" w:type="dxa"/>
              <w:bottom w:w="100" w:type="dxa"/>
              <w:right w:w="100" w:type="dxa"/>
            </w:tcMar>
          </w:tcPr>
          <w:p w14:paraId="30F4B48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c>
          <w:tcPr>
            <w:tcW w:w="1426" w:type="dxa"/>
            <w:tcBorders>
              <w:top w:val="nil"/>
              <w:left w:val="nil"/>
              <w:bottom w:val="single" w:sz="24" w:space="0" w:color="000000"/>
              <w:right w:val="nil"/>
            </w:tcBorders>
            <w:tcMar>
              <w:top w:w="100" w:type="dxa"/>
              <w:left w:w="100" w:type="dxa"/>
              <w:bottom w:w="100" w:type="dxa"/>
              <w:right w:w="100" w:type="dxa"/>
            </w:tcMar>
          </w:tcPr>
          <w:p w14:paraId="36BF27E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 (9.4%)</w:t>
            </w:r>
          </w:p>
        </w:tc>
        <w:tc>
          <w:tcPr>
            <w:tcW w:w="1354" w:type="dxa"/>
            <w:tcBorders>
              <w:top w:val="nil"/>
              <w:left w:val="nil"/>
              <w:bottom w:val="single" w:sz="24" w:space="0" w:color="000000"/>
              <w:right w:val="nil"/>
            </w:tcBorders>
            <w:tcMar>
              <w:top w:w="100" w:type="dxa"/>
              <w:left w:w="100" w:type="dxa"/>
              <w:bottom w:w="100" w:type="dxa"/>
              <w:right w:w="100" w:type="dxa"/>
            </w:tcMar>
          </w:tcPr>
          <w:p w14:paraId="5E6B19A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bl>
    <w:p w14:paraId="08F801AE" w14:textId="77777777" w:rsidR="00086A58" w:rsidRDefault="00086A58">
      <w:pPr>
        <w:spacing w:before="240" w:after="240"/>
        <w:jc w:val="both"/>
        <w:rPr>
          <w:rFonts w:ascii="Times New Roman" w:eastAsia="Times New Roman" w:hAnsi="Times New Roman" w:cs="Times New Roman"/>
          <w:sz w:val="24"/>
          <w:szCs w:val="24"/>
          <w:highlight w:val="white"/>
        </w:rPr>
      </w:pPr>
    </w:p>
    <w:p w14:paraId="2D652B2E" w14:textId="77777777" w:rsidR="00086A58" w:rsidRDefault="00086A58">
      <w:pPr>
        <w:spacing w:before="240" w:after="240"/>
        <w:jc w:val="both"/>
        <w:rPr>
          <w:rFonts w:ascii="Times New Roman" w:eastAsia="Times New Roman" w:hAnsi="Times New Roman" w:cs="Times New Roman"/>
          <w:sz w:val="24"/>
          <w:szCs w:val="24"/>
          <w:highlight w:val="white"/>
        </w:rPr>
      </w:pPr>
    </w:p>
    <w:p w14:paraId="1D365BAE"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Knowledge of Special Education Needs and Disabilities</w:t>
      </w:r>
    </w:p>
    <w:p w14:paraId="4967DF21" w14:textId="77777777" w:rsidR="00086A58" w:rsidRDefault="009B1C7A">
      <w:pPr>
        <w:spacing w:before="240" w:after="24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sz w:val="24"/>
          <w:szCs w:val="24"/>
          <w:highlight w:val="white"/>
        </w:rPr>
        <w:t>The participants displayed a varied level of knowledge regarding special education needs and disabilities. A majority of respondents (53%) agreed that they are familiar with different types of disabilities that require special educational needs, with 28.1% strongly agreeing. Similarly, 53% agreed that they are aware of the legal rights of children with special needs under Nigerian educational policies, although only 18.8% strongly agreed. Notably, a significant number of respondents (37.5%) strongly agreed that they can identify the signs of different special needs in students, and 56.3% strongly agreed on the importance of early identification and intervention for children with special needs (see Table 3).</w:t>
      </w:r>
    </w:p>
    <w:p w14:paraId="30E7C251"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3: Teachers’ awareness of special educational needs, disabilities, and related rights</w:t>
      </w:r>
    </w:p>
    <w:tbl>
      <w:tblPr>
        <w:tblStyle w:val="a7"/>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61"/>
        <w:gridCol w:w="1484"/>
        <w:gridCol w:w="1268"/>
        <w:gridCol w:w="1339"/>
        <w:gridCol w:w="1440"/>
        <w:gridCol w:w="1368"/>
      </w:tblGrid>
      <w:tr w:rsidR="00086A58" w14:paraId="4C8DC2A3" w14:textId="77777777">
        <w:trPr>
          <w:trHeight w:val="1310"/>
        </w:trPr>
        <w:tc>
          <w:tcPr>
            <w:tcW w:w="2459"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14:paraId="46166249"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Questions</w:t>
            </w:r>
          </w:p>
        </w:tc>
        <w:tc>
          <w:tcPr>
            <w:tcW w:w="1483"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14:paraId="63C56196"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1268" w:type="dxa"/>
            <w:tcBorders>
              <w:top w:val="single" w:sz="24" w:space="0" w:color="000000"/>
              <w:left w:val="nil"/>
              <w:bottom w:val="single" w:sz="24" w:space="0" w:color="000000"/>
              <w:right w:val="nil"/>
            </w:tcBorders>
            <w:tcMar>
              <w:top w:w="100" w:type="dxa"/>
              <w:left w:w="100" w:type="dxa"/>
              <w:bottom w:w="100" w:type="dxa"/>
              <w:right w:w="100" w:type="dxa"/>
            </w:tcMar>
          </w:tcPr>
          <w:p w14:paraId="263D93E1"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1339" w:type="dxa"/>
            <w:tcBorders>
              <w:top w:val="single" w:sz="24" w:space="0" w:color="000000"/>
              <w:left w:val="nil"/>
              <w:bottom w:val="single" w:sz="24" w:space="0" w:color="000000"/>
              <w:right w:val="nil"/>
            </w:tcBorders>
            <w:tcMar>
              <w:top w:w="100" w:type="dxa"/>
              <w:left w:w="100" w:type="dxa"/>
              <w:bottom w:w="100" w:type="dxa"/>
              <w:right w:w="100" w:type="dxa"/>
            </w:tcMar>
          </w:tcPr>
          <w:p w14:paraId="235EF728"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c>
          <w:tcPr>
            <w:tcW w:w="1440" w:type="dxa"/>
            <w:tcBorders>
              <w:top w:val="single" w:sz="24" w:space="0" w:color="000000"/>
              <w:left w:val="nil"/>
              <w:bottom w:val="single" w:sz="24" w:space="0" w:color="000000"/>
              <w:right w:val="nil"/>
            </w:tcBorders>
            <w:tcMar>
              <w:top w:w="100" w:type="dxa"/>
              <w:left w:w="100" w:type="dxa"/>
              <w:bottom w:w="100" w:type="dxa"/>
              <w:right w:w="100" w:type="dxa"/>
            </w:tcMar>
          </w:tcPr>
          <w:p w14:paraId="0D3C79E6"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1368" w:type="dxa"/>
            <w:tcBorders>
              <w:top w:val="single" w:sz="24" w:space="0" w:color="000000"/>
              <w:left w:val="nil"/>
              <w:bottom w:val="single" w:sz="24" w:space="0" w:color="000000"/>
              <w:right w:val="nil"/>
            </w:tcBorders>
            <w:tcMar>
              <w:top w:w="100" w:type="dxa"/>
              <w:left w:w="100" w:type="dxa"/>
              <w:bottom w:w="100" w:type="dxa"/>
              <w:right w:w="100" w:type="dxa"/>
            </w:tcMar>
          </w:tcPr>
          <w:p w14:paraId="641D2127" w14:textId="77777777" w:rsidR="00086A58" w:rsidRDefault="00086A58">
            <w:pPr>
              <w:spacing w:before="240" w:after="240"/>
              <w:jc w:val="both"/>
              <w:rPr>
                <w:rFonts w:ascii="Times New Roman" w:eastAsia="Times New Roman" w:hAnsi="Times New Roman" w:cs="Times New Roman"/>
                <w:b/>
                <w:bCs/>
                <w:sz w:val="24"/>
                <w:szCs w:val="24"/>
                <w:highlight w:val="white"/>
              </w:rPr>
            </w:pPr>
          </w:p>
        </w:tc>
      </w:tr>
      <w:tr w:rsidR="00086A58" w14:paraId="063FD7AB" w14:textId="77777777">
        <w:trPr>
          <w:trHeight w:val="1310"/>
        </w:trPr>
        <w:tc>
          <w:tcPr>
            <w:tcW w:w="2459" w:type="dxa"/>
            <w:tcBorders>
              <w:top w:val="single" w:sz="24" w:space="0" w:color="000000"/>
              <w:left w:val="nil"/>
              <w:bottom w:val="nil"/>
              <w:right w:val="single" w:sz="4" w:space="0" w:color="000000"/>
            </w:tcBorders>
            <w:tcMar>
              <w:top w:w="100" w:type="dxa"/>
              <w:left w:w="100" w:type="dxa"/>
              <w:bottom w:w="100" w:type="dxa"/>
              <w:right w:w="100" w:type="dxa"/>
            </w:tcMar>
          </w:tcPr>
          <w:p w14:paraId="7570CF83"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1483" w:type="dxa"/>
            <w:tcBorders>
              <w:top w:val="single" w:sz="24" w:space="0" w:color="000000"/>
              <w:left w:val="single" w:sz="4" w:space="0" w:color="000000"/>
              <w:bottom w:val="nil"/>
              <w:right w:val="nil"/>
            </w:tcBorders>
            <w:tcMar>
              <w:top w:w="100" w:type="dxa"/>
              <w:left w:w="100" w:type="dxa"/>
              <w:bottom w:w="100" w:type="dxa"/>
              <w:right w:w="100" w:type="dxa"/>
            </w:tcMar>
          </w:tcPr>
          <w:p w14:paraId="03D5CEC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Strongly Agree (Number, %)</w:t>
            </w:r>
          </w:p>
        </w:tc>
        <w:tc>
          <w:tcPr>
            <w:tcW w:w="1268" w:type="dxa"/>
            <w:tcBorders>
              <w:top w:val="single" w:sz="24" w:space="0" w:color="000000"/>
              <w:left w:val="nil"/>
              <w:bottom w:val="nil"/>
              <w:right w:val="nil"/>
            </w:tcBorders>
            <w:tcMar>
              <w:top w:w="100" w:type="dxa"/>
              <w:left w:w="100" w:type="dxa"/>
              <w:bottom w:w="100" w:type="dxa"/>
              <w:right w:w="100" w:type="dxa"/>
            </w:tcMar>
          </w:tcPr>
          <w:p w14:paraId="3C6B4BD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Agree (Number, %)</w:t>
            </w:r>
          </w:p>
        </w:tc>
        <w:tc>
          <w:tcPr>
            <w:tcW w:w="1339" w:type="dxa"/>
            <w:tcBorders>
              <w:top w:val="single" w:sz="24" w:space="0" w:color="000000"/>
              <w:left w:val="nil"/>
              <w:bottom w:val="nil"/>
              <w:right w:val="nil"/>
            </w:tcBorders>
            <w:tcMar>
              <w:top w:w="100" w:type="dxa"/>
              <w:left w:w="100" w:type="dxa"/>
              <w:bottom w:w="100" w:type="dxa"/>
              <w:right w:w="100" w:type="dxa"/>
            </w:tcMar>
          </w:tcPr>
          <w:p w14:paraId="7B4947E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Neutral (Number, %)</w:t>
            </w:r>
          </w:p>
        </w:tc>
        <w:tc>
          <w:tcPr>
            <w:tcW w:w="1440" w:type="dxa"/>
            <w:tcBorders>
              <w:top w:val="single" w:sz="24" w:space="0" w:color="000000"/>
              <w:left w:val="nil"/>
              <w:bottom w:val="nil"/>
              <w:right w:val="nil"/>
            </w:tcBorders>
            <w:tcMar>
              <w:top w:w="100" w:type="dxa"/>
              <w:left w:w="100" w:type="dxa"/>
              <w:bottom w:w="100" w:type="dxa"/>
              <w:right w:w="100" w:type="dxa"/>
            </w:tcMar>
          </w:tcPr>
          <w:p w14:paraId="4557553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Disagree (Number, %)</w:t>
            </w:r>
          </w:p>
        </w:tc>
        <w:tc>
          <w:tcPr>
            <w:tcW w:w="1368" w:type="dxa"/>
            <w:tcBorders>
              <w:top w:val="single" w:sz="24" w:space="0" w:color="000000"/>
              <w:left w:val="nil"/>
              <w:bottom w:val="nil"/>
              <w:right w:val="nil"/>
            </w:tcBorders>
            <w:tcMar>
              <w:top w:w="100" w:type="dxa"/>
              <w:left w:w="100" w:type="dxa"/>
              <w:bottom w:w="100" w:type="dxa"/>
              <w:right w:w="100" w:type="dxa"/>
            </w:tcMar>
          </w:tcPr>
          <w:p w14:paraId="426DB83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Strongly Disagree (Number, %)</w:t>
            </w:r>
          </w:p>
        </w:tc>
      </w:tr>
      <w:tr w:rsidR="00086A58" w14:paraId="24530827" w14:textId="77777777">
        <w:trPr>
          <w:trHeight w:val="1580"/>
        </w:trPr>
        <w:tc>
          <w:tcPr>
            <w:tcW w:w="2459" w:type="dxa"/>
            <w:tcBorders>
              <w:top w:val="nil"/>
              <w:left w:val="nil"/>
              <w:bottom w:val="nil"/>
              <w:right w:val="single" w:sz="4" w:space="0" w:color="000000"/>
            </w:tcBorders>
            <w:tcMar>
              <w:top w:w="100" w:type="dxa"/>
              <w:left w:w="100" w:type="dxa"/>
              <w:bottom w:w="100" w:type="dxa"/>
              <w:right w:w="100" w:type="dxa"/>
            </w:tcMar>
          </w:tcPr>
          <w:p w14:paraId="5A41608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am familiar with the different types of disabilities that may require special educational needs.</w:t>
            </w:r>
          </w:p>
        </w:tc>
        <w:tc>
          <w:tcPr>
            <w:tcW w:w="1483" w:type="dxa"/>
            <w:tcBorders>
              <w:top w:val="nil"/>
              <w:left w:val="single" w:sz="4" w:space="0" w:color="000000"/>
              <w:bottom w:val="nil"/>
              <w:right w:val="nil"/>
            </w:tcBorders>
            <w:tcMar>
              <w:top w:w="100" w:type="dxa"/>
              <w:left w:w="100" w:type="dxa"/>
              <w:bottom w:w="100" w:type="dxa"/>
              <w:right w:w="100" w:type="dxa"/>
            </w:tcMar>
          </w:tcPr>
          <w:p w14:paraId="19204D9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(28.1%)</w:t>
            </w:r>
          </w:p>
        </w:tc>
        <w:tc>
          <w:tcPr>
            <w:tcW w:w="1268" w:type="dxa"/>
            <w:tcBorders>
              <w:top w:val="nil"/>
              <w:left w:val="nil"/>
              <w:bottom w:val="nil"/>
              <w:right w:val="nil"/>
            </w:tcBorders>
            <w:tcMar>
              <w:top w:w="100" w:type="dxa"/>
              <w:left w:w="100" w:type="dxa"/>
              <w:bottom w:w="100" w:type="dxa"/>
              <w:right w:w="100" w:type="dxa"/>
            </w:tcMar>
          </w:tcPr>
          <w:p w14:paraId="074C949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w:t>
            </w:r>
          </w:p>
        </w:tc>
        <w:tc>
          <w:tcPr>
            <w:tcW w:w="1339" w:type="dxa"/>
            <w:tcBorders>
              <w:top w:val="nil"/>
              <w:left w:val="nil"/>
              <w:bottom w:val="nil"/>
              <w:right w:val="nil"/>
            </w:tcBorders>
            <w:tcMar>
              <w:top w:w="100" w:type="dxa"/>
              <w:left w:w="100" w:type="dxa"/>
              <w:bottom w:w="100" w:type="dxa"/>
              <w:right w:w="100" w:type="dxa"/>
            </w:tcMar>
          </w:tcPr>
          <w:p w14:paraId="1FEC067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 (15.6%)</w:t>
            </w:r>
          </w:p>
        </w:tc>
        <w:tc>
          <w:tcPr>
            <w:tcW w:w="1440" w:type="dxa"/>
            <w:tcBorders>
              <w:top w:val="nil"/>
              <w:left w:val="nil"/>
              <w:bottom w:val="nil"/>
              <w:right w:val="nil"/>
            </w:tcBorders>
            <w:tcMar>
              <w:top w:w="100" w:type="dxa"/>
              <w:left w:w="100" w:type="dxa"/>
              <w:bottom w:w="100" w:type="dxa"/>
              <w:right w:w="100" w:type="dxa"/>
            </w:tcMar>
          </w:tcPr>
          <w:p w14:paraId="3CC0FF3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1368" w:type="dxa"/>
            <w:tcBorders>
              <w:top w:val="nil"/>
              <w:left w:val="nil"/>
              <w:bottom w:val="nil"/>
              <w:right w:val="nil"/>
            </w:tcBorders>
            <w:tcMar>
              <w:top w:w="100" w:type="dxa"/>
              <w:left w:w="100" w:type="dxa"/>
              <w:bottom w:w="100" w:type="dxa"/>
              <w:right w:w="100" w:type="dxa"/>
            </w:tcMar>
          </w:tcPr>
          <w:p w14:paraId="530C923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10EFCFBC" w14:textId="77777777">
        <w:trPr>
          <w:trHeight w:val="1580"/>
        </w:trPr>
        <w:tc>
          <w:tcPr>
            <w:tcW w:w="2459" w:type="dxa"/>
            <w:tcBorders>
              <w:top w:val="nil"/>
              <w:left w:val="nil"/>
              <w:bottom w:val="nil"/>
              <w:right w:val="single" w:sz="4" w:space="0" w:color="000000"/>
            </w:tcBorders>
            <w:tcMar>
              <w:top w:w="100" w:type="dxa"/>
              <w:left w:w="100" w:type="dxa"/>
              <w:bottom w:w="100" w:type="dxa"/>
              <w:right w:w="100" w:type="dxa"/>
            </w:tcMar>
          </w:tcPr>
          <w:p w14:paraId="206C796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am aware of the legal rights of children with special needs under the Nigerian educational policies.</w:t>
            </w:r>
          </w:p>
        </w:tc>
        <w:tc>
          <w:tcPr>
            <w:tcW w:w="1483" w:type="dxa"/>
            <w:tcBorders>
              <w:top w:val="nil"/>
              <w:left w:val="single" w:sz="4" w:space="0" w:color="000000"/>
              <w:bottom w:val="nil"/>
              <w:right w:val="nil"/>
            </w:tcBorders>
            <w:tcMar>
              <w:top w:w="100" w:type="dxa"/>
              <w:left w:w="100" w:type="dxa"/>
              <w:bottom w:w="100" w:type="dxa"/>
              <w:right w:w="100" w:type="dxa"/>
            </w:tcMar>
          </w:tcPr>
          <w:p w14:paraId="7C7AA8A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(18.8%)</w:t>
            </w:r>
          </w:p>
        </w:tc>
        <w:tc>
          <w:tcPr>
            <w:tcW w:w="1268" w:type="dxa"/>
            <w:tcBorders>
              <w:top w:val="nil"/>
              <w:left w:val="nil"/>
              <w:bottom w:val="nil"/>
              <w:right w:val="nil"/>
            </w:tcBorders>
            <w:tcMar>
              <w:top w:w="100" w:type="dxa"/>
              <w:left w:w="100" w:type="dxa"/>
              <w:bottom w:w="100" w:type="dxa"/>
              <w:right w:w="100" w:type="dxa"/>
            </w:tcMar>
          </w:tcPr>
          <w:p w14:paraId="08A5040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w:t>
            </w:r>
          </w:p>
        </w:tc>
        <w:tc>
          <w:tcPr>
            <w:tcW w:w="1339" w:type="dxa"/>
            <w:tcBorders>
              <w:top w:val="nil"/>
              <w:left w:val="nil"/>
              <w:bottom w:val="nil"/>
              <w:right w:val="nil"/>
            </w:tcBorders>
            <w:tcMar>
              <w:top w:w="100" w:type="dxa"/>
              <w:left w:w="100" w:type="dxa"/>
              <w:bottom w:w="100" w:type="dxa"/>
              <w:right w:w="100" w:type="dxa"/>
            </w:tcMar>
          </w:tcPr>
          <w:p w14:paraId="3D97859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(25%)</w:t>
            </w:r>
          </w:p>
        </w:tc>
        <w:tc>
          <w:tcPr>
            <w:tcW w:w="1440" w:type="dxa"/>
            <w:tcBorders>
              <w:top w:val="nil"/>
              <w:left w:val="nil"/>
              <w:bottom w:val="nil"/>
              <w:right w:val="nil"/>
            </w:tcBorders>
            <w:tcMar>
              <w:top w:w="100" w:type="dxa"/>
              <w:left w:w="100" w:type="dxa"/>
              <w:bottom w:w="100" w:type="dxa"/>
              <w:right w:w="100" w:type="dxa"/>
            </w:tcMar>
          </w:tcPr>
          <w:p w14:paraId="78ECA28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1368" w:type="dxa"/>
            <w:tcBorders>
              <w:top w:val="nil"/>
              <w:left w:val="nil"/>
              <w:bottom w:val="nil"/>
              <w:right w:val="nil"/>
            </w:tcBorders>
            <w:tcMar>
              <w:top w:w="100" w:type="dxa"/>
              <w:left w:w="100" w:type="dxa"/>
              <w:bottom w:w="100" w:type="dxa"/>
              <w:right w:w="100" w:type="dxa"/>
            </w:tcMar>
          </w:tcPr>
          <w:p w14:paraId="2925245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(3.1%)</w:t>
            </w:r>
          </w:p>
        </w:tc>
      </w:tr>
      <w:tr w:rsidR="00086A58" w14:paraId="5F87A683" w14:textId="77777777">
        <w:trPr>
          <w:trHeight w:val="1850"/>
        </w:trPr>
        <w:tc>
          <w:tcPr>
            <w:tcW w:w="2459" w:type="dxa"/>
            <w:tcBorders>
              <w:top w:val="nil"/>
              <w:left w:val="nil"/>
              <w:bottom w:val="nil"/>
              <w:right w:val="single" w:sz="4" w:space="0" w:color="000000"/>
            </w:tcBorders>
            <w:tcMar>
              <w:top w:w="100" w:type="dxa"/>
              <w:left w:w="100" w:type="dxa"/>
              <w:bottom w:w="100" w:type="dxa"/>
              <w:right w:w="100" w:type="dxa"/>
            </w:tcMar>
          </w:tcPr>
          <w:p w14:paraId="5B0126A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can identify the signs of different special needs in students, such as learning disabilities or emotional behavioral disorders.</w:t>
            </w:r>
          </w:p>
        </w:tc>
        <w:tc>
          <w:tcPr>
            <w:tcW w:w="1483" w:type="dxa"/>
            <w:tcBorders>
              <w:top w:val="nil"/>
              <w:left w:val="single" w:sz="4" w:space="0" w:color="000000"/>
              <w:bottom w:val="nil"/>
              <w:right w:val="nil"/>
            </w:tcBorders>
            <w:tcMar>
              <w:top w:w="100" w:type="dxa"/>
              <w:left w:w="100" w:type="dxa"/>
              <w:bottom w:w="100" w:type="dxa"/>
              <w:right w:w="100" w:type="dxa"/>
            </w:tcMar>
          </w:tcPr>
          <w:p w14:paraId="5633C55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(37.5%)</w:t>
            </w:r>
          </w:p>
        </w:tc>
        <w:tc>
          <w:tcPr>
            <w:tcW w:w="1268" w:type="dxa"/>
            <w:tcBorders>
              <w:top w:val="nil"/>
              <w:left w:val="nil"/>
              <w:bottom w:val="nil"/>
              <w:right w:val="nil"/>
            </w:tcBorders>
            <w:tcMar>
              <w:top w:w="100" w:type="dxa"/>
              <w:left w:w="100" w:type="dxa"/>
              <w:bottom w:w="100" w:type="dxa"/>
              <w:right w:w="100" w:type="dxa"/>
            </w:tcMar>
          </w:tcPr>
          <w:p w14:paraId="1B26155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39" w:type="dxa"/>
            <w:tcBorders>
              <w:top w:val="nil"/>
              <w:left w:val="nil"/>
              <w:bottom w:val="nil"/>
              <w:right w:val="nil"/>
            </w:tcBorders>
            <w:tcMar>
              <w:top w:w="100" w:type="dxa"/>
              <w:left w:w="100" w:type="dxa"/>
              <w:bottom w:w="100" w:type="dxa"/>
              <w:right w:w="100" w:type="dxa"/>
            </w:tcMar>
          </w:tcPr>
          <w:p w14:paraId="1F0E4F3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(12.5%)</w:t>
            </w:r>
          </w:p>
        </w:tc>
        <w:tc>
          <w:tcPr>
            <w:tcW w:w="1440" w:type="dxa"/>
            <w:tcBorders>
              <w:top w:val="nil"/>
              <w:left w:val="nil"/>
              <w:bottom w:val="nil"/>
              <w:right w:val="nil"/>
            </w:tcBorders>
            <w:tcMar>
              <w:top w:w="100" w:type="dxa"/>
              <w:left w:w="100" w:type="dxa"/>
              <w:bottom w:w="100" w:type="dxa"/>
              <w:right w:w="100" w:type="dxa"/>
            </w:tcMar>
          </w:tcPr>
          <w:p w14:paraId="03013D2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c>
          <w:tcPr>
            <w:tcW w:w="1368" w:type="dxa"/>
            <w:tcBorders>
              <w:top w:val="nil"/>
              <w:left w:val="nil"/>
              <w:bottom w:val="nil"/>
              <w:right w:val="nil"/>
            </w:tcBorders>
            <w:tcMar>
              <w:top w:w="100" w:type="dxa"/>
              <w:left w:w="100" w:type="dxa"/>
              <w:bottom w:w="100" w:type="dxa"/>
              <w:right w:w="100" w:type="dxa"/>
            </w:tcMar>
          </w:tcPr>
          <w:p w14:paraId="6193008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086A58" w14:paraId="0CDFCCE0" w14:textId="77777777">
        <w:trPr>
          <w:trHeight w:val="1850"/>
        </w:trPr>
        <w:tc>
          <w:tcPr>
            <w:tcW w:w="2459" w:type="dxa"/>
            <w:tcBorders>
              <w:top w:val="nil"/>
              <w:left w:val="nil"/>
              <w:bottom w:val="single" w:sz="24" w:space="0" w:color="000000"/>
              <w:right w:val="single" w:sz="4" w:space="0" w:color="000000"/>
            </w:tcBorders>
            <w:tcMar>
              <w:top w:w="100" w:type="dxa"/>
              <w:left w:w="100" w:type="dxa"/>
              <w:bottom w:w="100" w:type="dxa"/>
              <w:right w:w="100" w:type="dxa"/>
            </w:tcMar>
          </w:tcPr>
          <w:p w14:paraId="720BE94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understand the importance of early identification and intervention for children with special needs.</w:t>
            </w:r>
          </w:p>
        </w:tc>
        <w:tc>
          <w:tcPr>
            <w:tcW w:w="1483" w:type="dxa"/>
            <w:tcBorders>
              <w:top w:val="nil"/>
              <w:left w:val="single" w:sz="4" w:space="0" w:color="000000"/>
              <w:bottom w:val="single" w:sz="24" w:space="0" w:color="000000"/>
              <w:right w:val="nil"/>
            </w:tcBorders>
            <w:tcMar>
              <w:top w:w="100" w:type="dxa"/>
              <w:left w:w="100" w:type="dxa"/>
              <w:bottom w:w="100" w:type="dxa"/>
              <w:right w:w="100" w:type="dxa"/>
            </w:tcMar>
          </w:tcPr>
          <w:p w14:paraId="4E00FBA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(56.3%)</w:t>
            </w:r>
          </w:p>
        </w:tc>
        <w:tc>
          <w:tcPr>
            <w:tcW w:w="1268" w:type="dxa"/>
            <w:tcBorders>
              <w:top w:val="nil"/>
              <w:left w:val="nil"/>
              <w:bottom w:val="single" w:sz="24" w:space="0" w:color="000000"/>
              <w:right w:val="nil"/>
            </w:tcBorders>
            <w:tcMar>
              <w:top w:w="100" w:type="dxa"/>
              <w:left w:w="100" w:type="dxa"/>
              <w:bottom w:w="100" w:type="dxa"/>
              <w:right w:w="100" w:type="dxa"/>
            </w:tcMar>
          </w:tcPr>
          <w:p w14:paraId="16C3B5D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c>
          <w:tcPr>
            <w:tcW w:w="1339" w:type="dxa"/>
            <w:tcBorders>
              <w:top w:val="nil"/>
              <w:left w:val="nil"/>
              <w:bottom w:val="single" w:sz="24" w:space="0" w:color="000000"/>
              <w:right w:val="nil"/>
            </w:tcBorders>
            <w:tcMar>
              <w:top w:w="100" w:type="dxa"/>
              <w:left w:w="100" w:type="dxa"/>
              <w:bottom w:w="100" w:type="dxa"/>
              <w:right w:w="100" w:type="dxa"/>
            </w:tcMar>
          </w:tcPr>
          <w:p w14:paraId="6D2420C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1440" w:type="dxa"/>
            <w:tcBorders>
              <w:top w:val="nil"/>
              <w:left w:val="nil"/>
              <w:bottom w:val="single" w:sz="24" w:space="0" w:color="000000"/>
              <w:right w:val="nil"/>
            </w:tcBorders>
            <w:tcMar>
              <w:top w:w="100" w:type="dxa"/>
              <w:left w:w="100" w:type="dxa"/>
              <w:bottom w:w="100" w:type="dxa"/>
              <w:right w:w="100" w:type="dxa"/>
            </w:tcMar>
          </w:tcPr>
          <w:p w14:paraId="1E0AF93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1368" w:type="dxa"/>
            <w:tcBorders>
              <w:top w:val="nil"/>
              <w:left w:val="nil"/>
              <w:bottom w:val="single" w:sz="24" w:space="0" w:color="000000"/>
              <w:right w:val="nil"/>
            </w:tcBorders>
            <w:tcMar>
              <w:top w:w="100" w:type="dxa"/>
              <w:left w:w="100" w:type="dxa"/>
              <w:bottom w:w="100" w:type="dxa"/>
              <w:right w:w="100" w:type="dxa"/>
            </w:tcMar>
          </w:tcPr>
          <w:p w14:paraId="26079B5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bl>
    <w:p w14:paraId="00C3668D" w14:textId="77777777" w:rsidR="00086A58" w:rsidRDefault="00086A58">
      <w:pPr>
        <w:spacing w:before="240" w:after="240"/>
        <w:jc w:val="both"/>
        <w:rPr>
          <w:rFonts w:ascii="Times New Roman" w:eastAsia="Times New Roman" w:hAnsi="Times New Roman" w:cs="Times New Roman"/>
          <w:b/>
          <w:bCs/>
          <w:sz w:val="24"/>
          <w:szCs w:val="24"/>
          <w:highlight w:val="white"/>
        </w:rPr>
      </w:pPr>
    </w:p>
    <w:p w14:paraId="6341D309"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Strategies for Supporting Children with Special Needs</w:t>
      </w:r>
    </w:p>
    <w:p w14:paraId="6F49F9B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participants demonstrated a solid knowledge of various strategies for supporting children with special needs in the classroom. A majority of respondents (75%) were familiar with one-on-one tutoring or support, and a significant proportion (68.8%) were knowledgeable about visual aids and graphic organizers. Other commonly known strategies included collaborative learning with peers (65.6%) and adapting lesson content for different learning levels (65.6%). Providing flexible assessment options was the most recognized strategy, with 78.1% of teachers indicating familiarity. However, a few strategies, such as speech recognition software (56.3%) and screen readers and text-to-speech software (59.4%), had a lower rate of familiarity. These findings highlight the importance of further professional development in certain areas to enhance teachers' ability to support children with special needs effectively (see Table 4).</w:t>
      </w:r>
    </w:p>
    <w:p w14:paraId="03FE4ABC"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4: Teachers’ familiarity with instructional and support strategies for learners with special needs</w:t>
      </w:r>
    </w:p>
    <w:tbl>
      <w:tblPr>
        <w:tblStyle w:val="a8"/>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45"/>
        <w:gridCol w:w="2520"/>
        <w:gridCol w:w="1995"/>
      </w:tblGrid>
      <w:tr w:rsidR="00086A58" w14:paraId="4DEEC31A" w14:textId="77777777">
        <w:trPr>
          <w:trHeight w:val="770"/>
        </w:trPr>
        <w:tc>
          <w:tcPr>
            <w:tcW w:w="4845"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14:paraId="4D85D30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Questions</w:t>
            </w:r>
          </w:p>
        </w:tc>
        <w:tc>
          <w:tcPr>
            <w:tcW w:w="2520"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14:paraId="21FCBCDC"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c>
          <w:tcPr>
            <w:tcW w:w="1995" w:type="dxa"/>
            <w:tcBorders>
              <w:top w:val="single" w:sz="24" w:space="0" w:color="000000"/>
              <w:left w:val="nil"/>
              <w:bottom w:val="single" w:sz="24" w:space="0" w:color="000000"/>
              <w:right w:val="nil"/>
            </w:tcBorders>
            <w:tcMar>
              <w:top w:w="100" w:type="dxa"/>
              <w:left w:w="100" w:type="dxa"/>
              <w:bottom w:w="100" w:type="dxa"/>
              <w:right w:w="100" w:type="dxa"/>
            </w:tcMar>
          </w:tcPr>
          <w:p w14:paraId="77E6022F" w14:textId="77777777" w:rsidR="00086A58" w:rsidRDefault="00086A58">
            <w:pPr>
              <w:spacing w:before="240" w:after="240"/>
              <w:jc w:val="both"/>
              <w:rPr>
                <w:rFonts w:ascii="Times New Roman" w:eastAsia="Times New Roman" w:hAnsi="Times New Roman" w:cs="Times New Roman"/>
                <w:b/>
                <w:bCs/>
                <w:sz w:val="24"/>
                <w:szCs w:val="24"/>
                <w:highlight w:val="white"/>
              </w:rPr>
            </w:pPr>
          </w:p>
        </w:tc>
      </w:tr>
      <w:tr w:rsidR="00086A58" w14:paraId="0C63295F" w14:textId="77777777">
        <w:trPr>
          <w:trHeight w:val="770"/>
        </w:trPr>
        <w:tc>
          <w:tcPr>
            <w:tcW w:w="4845" w:type="dxa"/>
            <w:tcBorders>
              <w:top w:val="single" w:sz="24" w:space="0" w:color="000000"/>
              <w:left w:val="nil"/>
              <w:bottom w:val="nil"/>
              <w:right w:val="single" w:sz="4" w:space="0" w:color="000000"/>
            </w:tcBorders>
            <w:tcMar>
              <w:top w:w="100" w:type="dxa"/>
              <w:left w:w="100" w:type="dxa"/>
              <w:bottom w:w="100" w:type="dxa"/>
              <w:right w:w="100" w:type="dxa"/>
            </w:tcMar>
          </w:tcPr>
          <w:p w14:paraId="5BBFAA5D"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2520" w:type="dxa"/>
            <w:tcBorders>
              <w:top w:val="single" w:sz="24" w:space="0" w:color="000000"/>
              <w:left w:val="single" w:sz="4" w:space="0" w:color="000000"/>
              <w:bottom w:val="nil"/>
              <w:right w:val="nil"/>
            </w:tcBorders>
            <w:tcMar>
              <w:top w:w="100" w:type="dxa"/>
              <w:left w:w="100" w:type="dxa"/>
              <w:bottom w:w="100" w:type="dxa"/>
              <w:right w:w="100" w:type="dxa"/>
            </w:tcMar>
          </w:tcPr>
          <w:p w14:paraId="62F79D88"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Yes (Number, %)</w:t>
            </w:r>
          </w:p>
        </w:tc>
        <w:tc>
          <w:tcPr>
            <w:tcW w:w="1995" w:type="dxa"/>
            <w:tcBorders>
              <w:top w:val="single" w:sz="24" w:space="0" w:color="000000"/>
              <w:left w:val="nil"/>
              <w:bottom w:val="nil"/>
              <w:right w:val="nil"/>
            </w:tcBorders>
            <w:tcMar>
              <w:top w:w="100" w:type="dxa"/>
              <w:left w:w="100" w:type="dxa"/>
              <w:bottom w:w="100" w:type="dxa"/>
              <w:right w:w="100" w:type="dxa"/>
            </w:tcMar>
          </w:tcPr>
          <w:p w14:paraId="50634BE3"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No (Number, %)</w:t>
            </w:r>
          </w:p>
        </w:tc>
      </w:tr>
      <w:tr w:rsidR="00086A58" w14:paraId="69F10FDC"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5336D62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Visual aids and graphic organizers</w:t>
            </w:r>
          </w:p>
        </w:tc>
        <w:tc>
          <w:tcPr>
            <w:tcW w:w="2520" w:type="dxa"/>
            <w:tcBorders>
              <w:top w:val="nil"/>
              <w:left w:val="single" w:sz="4" w:space="0" w:color="000000"/>
              <w:bottom w:val="nil"/>
              <w:right w:val="nil"/>
            </w:tcBorders>
            <w:tcMar>
              <w:top w:w="100" w:type="dxa"/>
              <w:left w:w="100" w:type="dxa"/>
              <w:bottom w:w="100" w:type="dxa"/>
              <w:right w:w="100" w:type="dxa"/>
            </w:tcMar>
          </w:tcPr>
          <w:p w14:paraId="79C3BD8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(68.8%)</w:t>
            </w:r>
          </w:p>
        </w:tc>
        <w:tc>
          <w:tcPr>
            <w:tcW w:w="1995" w:type="dxa"/>
            <w:tcBorders>
              <w:top w:val="nil"/>
              <w:left w:val="nil"/>
              <w:bottom w:val="nil"/>
              <w:right w:val="nil"/>
            </w:tcBorders>
            <w:tcMar>
              <w:top w:w="100" w:type="dxa"/>
              <w:left w:w="100" w:type="dxa"/>
              <w:bottom w:w="100" w:type="dxa"/>
              <w:right w:w="100" w:type="dxa"/>
            </w:tcMar>
          </w:tcPr>
          <w:p w14:paraId="654A2EC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(31.2%)</w:t>
            </w:r>
          </w:p>
        </w:tc>
      </w:tr>
      <w:tr w:rsidR="00086A58" w14:paraId="54455F4C"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5FFA520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Small group instruction</w:t>
            </w:r>
          </w:p>
        </w:tc>
        <w:tc>
          <w:tcPr>
            <w:tcW w:w="2520" w:type="dxa"/>
            <w:tcBorders>
              <w:top w:val="nil"/>
              <w:left w:val="single" w:sz="4" w:space="0" w:color="000000"/>
              <w:bottom w:val="nil"/>
              <w:right w:val="nil"/>
            </w:tcBorders>
            <w:tcMar>
              <w:top w:w="100" w:type="dxa"/>
              <w:left w:w="100" w:type="dxa"/>
              <w:bottom w:w="100" w:type="dxa"/>
              <w:right w:w="100" w:type="dxa"/>
            </w:tcMar>
          </w:tcPr>
          <w:p w14:paraId="212987A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(56.3%)</w:t>
            </w:r>
          </w:p>
        </w:tc>
        <w:tc>
          <w:tcPr>
            <w:tcW w:w="1995" w:type="dxa"/>
            <w:tcBorders>
              <w:top w:val="nil"/>
              <w:left w:val="nil"/>
              <w:bottom w:val="nil"/>
              <w:right w:val="nil"/>
            </w:tcBorders>
            <w:tcMar>
              <w:top w:w="100" w:type="dxa"/>
              <w:left w:w="100" w:type="dxa"/>
              <w:bottom w:w="100" w:type="dxa"/>
              <w:right w:w="100" w:type="dxa"/>
            </w:tcMar>
          </w:tcPr>
          <w:p w14:paraId="5144B7A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r>
      <w:tr w:rsidR="00086A58" w14:paraId="77068DCA"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0465CF3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One-on-one tutoring or support</w:t>
            </w:r>
          </w:p>
        </w:tc>
        <w:tc>
          <w:tcPr>
            <w:tcW w:w="2520" w:type="dxa"/>
            <w:tcBorders>
              <w:top w:val="nil"/>
              <w:left w:val="single" w:sz="4" w:space="0" w:color="000000"/>
              <w:bottom w:val="nil"/>
              <w:right w:val="nil"/>
            </w:tcBorders>
            <w:tcMar>
              <w:top w:w="100" w:type="dxa"/>
              <w:left w:w="100" w:type="dxa"/>
              <w:bottom w:w="100" w:type="dxa"/>
              <w:right w:w="100" w:type="dxa"/>
            </w:tcMar>
          </w:tcPr>
          <w:p w14:paraId="50CB13F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(75%)</w:t>
            </w:r>
          </w:p>
        </w:tc>
        <w:tc>
          <w:tcPr>
            <w:tcW w:w="1995" w:type="dxa"/>
            <w:tcBorders>
              <w:top w:val="nil"/>
              <w:left w:val="nil"/>
              <w:bottom w:val="nil"/>
              <w:right w:val="nil"/>
            </w:tcBorders>
            <w:tcMar>
              <w:top w:w="100" w:type="dxa"/>
              <w:left w:w="100" w:type="dxa"/>
              <w:bottom w:w="100" w:type="dxa"/>
              <w:right w:w="100" w:type="dxa"/>
            </w:tcMar>
          </w:tcPr>
          <w:p w14:paraId="19CA0AA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(25.0%)</w:t>
            </w:r>
          </w:p>
        </w:tc>
      </w:tr>
      <w:tr w:rsidR="00086A58" w14:paraId="043C85B2"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517A6D4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Collaborative learning with peers</w:t>
            </w:r>
          </w:p>
        </w:tc>
        <w:tc>
          <w:tcPr>
            <w:tcW w:w="2520" w:type="dxa"/>
            <w:tcBorders>
              <w:top w:val="nil"/>
              <w:left w:val="single" w:sz="4" w:space="0" w:color="000000"/>
              <w:bottom w:val="nil"/>
              <w:right w:val="nil"/>
            </w:tcBorders>
            <w:tcMar>
              <w:top w:w="100" w:type="dxa"/>
              <w:left w:w="100" w:type="dxa"/>
              <w:bottom w:w="100" w:type="dxa"/>
              <w:right w:w="100" w:type="dxa"/>
            </w:tcMar>
          </w:tcPr>
          <w:p w14:paraId="60BF100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 (65.6%)</w:t>
            </w:r>
          </w:p>
        </w:tc>
        <w:tc>
          <w:tcPr>
            <w:tcW w:w="1995" w:type="dxa"/>
            <w:tcBorders>
              <w:top w:val="nil"/>
              <w:left w:val="nil"/>
              <w:bottom w:val="nil"/>
              <w:right w:val="nil"/>
            </w:tcBorders>
            <w:tcMar>
              <w:top w:w="100" w:type="dxa"/>
              <w:left w:w="100" w:type="dxa"/>
              <w:bottom w:w="100" w:type="dxa"/>
              <w:right w:w="100" w:type="dxa"/>
            </w:tcMar>
          </w:tcPr>
          <w:p w14:paraId="1CD721E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(34.4%)</w:t>
            </w:r>
          </w:p>
        </w:tc>
      </w:tr>
      <w:tr w:rsidR="00086A58" w14:paraId="6BE7D079"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20E1AAE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Positive behavior reinforcement strategies</w:t>
            </w:r>
          </w:p>
        </w:tc>
        <w:tc>
          <w:tcPr>
            <w:tcW w:w="2520" w:type="dxa"/>
            <w:tcBorders>
              <w:top w:val="nil"/>
              <w:left w:val="single" w:sz="4" w:space="0" w:color="000000"/>
              <w:bottom w:val="nil"/>
              <w:right w:val="nil"/>
            </w:tcBorders>
            <w:tcMar>
              <w:top w:w="100" w:type="dxa"/>
              <w:left w:w="100" w:type="dxa"/>
              <w:bottom w:w="100" w:type="dxa"/>
              <w:right w:w="100" w:type="dxa"/>
            </w:tcMar>
          </w:tcPr>
          <w:p w14:paraId="0C66EE7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(62.5%)</w:t>
            </w:r>
          </w:p>
        </w:tc>
        <w:tc>
          <w:tcPr>
            <w:tcW w:w="1995" w:type="dxa"/>
            <w:tcBorders>
              <w:top w:val="nil"/>
              <w:left w:val="nil"/>
              <w:bottom w:val="nil"/>
              <w:right w:val="nil"/>
            </w:tcBorders>
            <w:tcMar>
              <w:top w:w="100" w:type="dxa"/>
              <w:left w:w="100" w:type="dxa"/>
              <w:bottom w:w="100" w:type="dxa"/>
              <w:right w:w="100" w:type="dxa"/>
            </w:tcMar>
          </w:tcPr>
          <w:p w14:paraId="63D7E13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(37.5%)</w:t>
            </w:r>
          </w:p>
        </w:tc>
      </w:tr>
      <w:tr w:rsidR="00086A58" w14:paraId="3208C0BE"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3735957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Adapting lesson content for different learning levels</w:t>
            </w:r>
          </w:p>
        </w:tc>
        <w:tc>
          <w:tcPr>
            <w:tcW w:w="2520" w:type="dxa"/>
            <w:tcBorders>
              <w:top w:val="nil"/>
              <w:left w:val="single" w:sz="4" w:space="0" w:color="000000"/>
              <w:bottom w:val="nil"/>
              <w:right w:val="nil"/>
            </w:tcBorders>
            <w:tcMar>
              <w:top w:w="100" w:type="dxa"/>
              <w:left w:w="100" w:type="dxa"/>
              <w:bottom w:w="100" w:type="dxa"/>
              <w:right w:w="100" w:type="dxa"/>
            </w:tcMar>
          </w:tcPr>
          <w:p w14:paraId="1DB3B21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 (65.6%)</w:t>
            </w:r>
          </w:p>
        </w:tc>
        <w:tc>
          <w:tcPr>
            <w:tcW w:w="1995" w:type="dxa"/>
            <w:tcBorders>
              <w:top w:val="nil"/>
              <w:left w:val="nil"/>
              <w:bottom w:val="nil"/>
              <w:right w:val="nil"/>
            </w:tcBorders>
            <w:tcMar>
              <w:top w:w="100" w:type="dxa"/>
              <w:left w:w="100" w:type="dxa"/>
              <w:bottom w:w="100" w:type="dxa"/>
              <w:right w:w="100" w:type="dxa"/>
            </w:tcMar>
          </w:tcPr>
          <w:p w14:paraId="11C447F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(34.4%)</w:t>
            </w:r>
          </w:p>
        </w:tc>
      </w:tr>
      <w:tr w:rsidR="00086A58" w14:paraId="4C5EBC38"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14D70AD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Providing flexible assessment options</w:t>
            </w:r>
          </w:p>
        </w:tc>
        <w:tc>
          <w:tcPr>
            <w:tcW w:w="2520" w:type="dxa"/>
            <w:tcBorders>
              <w:top w:val="nil"/>
              <w:left w:val="single" w:sz="4" w:space="0" w:color="000000"/>
              <w:bottom w:val="nil"/>
              <w:right w:val="nil"/>
            </w:tcBorders>
            <w:tcMar>
              <w:top w:w="100" w:type="dxa"/>
              <w:left w:w="100" w:type="dxa"/>
              <w:bottom w:w="100" w:type="dxa"/>
              <w:right w:w="100" w:type="dxa"/>
            </w:tcMar>
          </w:tcPr>
          <w:p w14:paraId="18C7E7C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 (78.1%)</w:t>
            </w:r>
          </w:p>
        </w:tc>
        <w:tc>
          <w:tcPr>
            <w:tcW w:w="1995" w:type="dxa"/>
            <w:tcBorders>
              <w:top w:val="nil"/>
              <w:left w:val="nil"/>
              <w:bottom w:val="nil"/>
              <w:right w:val="nil"/>
            </w:tcBorders>
            <w:tcMar>
              <w:top w:w="100" w:type="dxa"/>
              <w:left w:w="100" w:type="dxa"/>
              <w:bottom w:w="100" w:type="dxa"/>
              <w:right w:w="100" w:type="dxa"/>
            </w:tcMar>
          </w:tcPr>
          <w:p w14:paraId="4814431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 (21.9%)</w:t>
            </w:r>
          </w:p>
        </w:tc>
      </w:tr>
      <w:tr w:rsidR="00086A58" w14:paraId="6259A5C3"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69679BA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Offering extra time for assignments and tests</w:t>
            </w:r>
          </w:p>
        </w:tc>
        <w:tc>
          <w:tcPr>
            <w:tcW w:w="2520" w:type="dxa"/>
            <w:tcBorders>
              <w:top w:val="nil"/>
              <w:left w:val="single" w:sz="4" w:space="0" w:color="000000"/>
              <w:bottom w:val="nil"/>
              <w:right w:val="nil"/>
            </w:tcBorders>
            <w:tcMar>
              <w:top w:w="100" w:type="dxa"/>
              <w:left w:w="100" w:type="dxa"/>
              <w:bottom w:w="100" w:type="dxa"/>
              <w:right w:w="100" w:type="dxa"/>
            </w:tcMar>
          </w:tcPr>
          <w:p w14:paraId="46CAC09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 (59.4%)</w:t>
            </w:r>
          </w:p>
        </w:tc>
        <w:tc>
          <w:tcPr>
            <w:tcW w:w="1995" w:type="dxa"/>
            <w:tcBorders>
              <w:top w:val="nil"/>
              <w:left w:val="nil"/>
              <w:bottom w:val="nil"/>
              <w:right w:val="nil"/>
            </w:tcBorders>
            <w:tcMar>
              <w:top w:w="100" w:type="dxa"/>
              <w:left w:w="100" w:type="dxa"/>
              <w:bottom w:w="100" w:type="dxa"/>
              <w:right w:w="100" w:type="dxa"/>
            </w:tcMar>
          </w:tcPr>
          <w:p w14:paraId="6B4C1F4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r w:rsidR="00086A58" w14:paraId="6623B78C" w14:textId="77777777">
        <w:trPr>
          <w:trHeight w:val="770"/>
        </w:trPr>
        <w:tc>
          <w:tcPr>
            <w:tcW w:w="4845" w:type="dxa"/>
            <w:tcBorders>
              <w:top w:val="nil"/>
              <w:left w:val="nil"/>
              <w:bottom w:val="nil"/>
              <w:right w:val="single" w:sz="4" w:space="0" w:color="000000"/>
            </w:tcBorders>
            <w:tcMar>
              <w:top w:w="100" w:type="dxa"/>
              <w:left w:w="100" w:type="dxa"/>
              <w:bottom w:w="100" w:type="dxa"/>
              <w:right w:w="100" w:type="dxa"/>
            </w:tcMar>
          </w:tcPr>
          <w:p w14:paraId="24390D1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Adjusting classroom activities to cater to diverse learning needs</w:t>
            </w:r>
          </w:p>
        </w:tc>
        <w:tc>
          <w:tcPr>
            <w:tcW w:w="2520" w:type="dxa"/>
            <w:tcBorders>
              <w:top w:val="nil"/>
              <w:left w:val="single" w:sz="4" w:space="0" w:color="000000"/>
              <w:bottom w:val="nil"/>
              <w:right w:val="nil"/>
            </w:tcBorders>
            <w:tcMar>
              <w:top w:w="100" w:type="dxa"/>
              <w:left w:w="100" w:type="dxa"/>
              <w:bottom w:w="100" w:type="dxa"/>
              <w:right w:w="100" w:type="dxa"/>
            </w:tcMar>
          </w:tcPr>
          <w:p w14:paraId="3BB92B9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 (65.6%)</w:t>
            </w:r>
          </w:p>
        </w:tc>
        <w:tc>
          <w:tcPr>
            <w:tcW w:w="1995" w:type="dxa"/>
            <w:tcBorders>
              <w:top w:val="nil"/>
              <w:left w:val="nil"/>
              <w:bottom w:val="nil"/>
              <w:right w:val="nil"/>
            </w:tcBorders>
            <w:tcMar>
              <w:top w:w="100" w:type="dxa"/>
              <w:left w:w="100" w:type="dxa"/>
              <w:bottom w:w="100" w:type="dxa"/>
              <w:right w:w="100" w:type="dxa"/>
            </w:tcMar>
          </w:tcPr>
          <w:p w14:paraId="49CA04B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(34.4%)</w:t>
            </w:r>
          </w:p>
        </w:tc>
      </w:tr>
      <w:tr w:rsidR="00086A58" w14:paraId="11775FFF"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0345524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Screen readers and text-to-speech software</w:t>
            </w:r>
          </w:p>
        </w:tc>
        <w:tc>
          <w:tcPr>
            <w:tcW w:w="2520" w:type="dxa"/>
            <w:tcBorders>
              <w:top w:val="nil"/>
              <w:left w:val="single" w:sz="4" w:space="0" w:color="000000"/>
              <w:bottom w:val="nil"/>
              <w:right w:val="nil"/>
            </w:tcBorders>
            <w:tcMar>
              <w:top w:w="100" w:type="dxa"/>
              <w:left w:w="100" w:type="dxa"/>
              <w:bottom w:w="100" w:type="dxa"/>
              <w:right w:w="100" w:type="dxa"/>
            </w:tcMar>
          </w:tcPr>
          <w:p w14:paraId="1571134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 (59.4%)</w:t>
            </w:r>
          </w:p>
        </w:tc>
        <w:tc>
          <w:tcPr>
            <w:tcW w:w="1995" w:type="dxa"/>
            <w:tcBorders>
              <w:top w:val="nil"/>
              <w:left w:val="nil"/>
              <w:bottom w:val="nil"/>
              <w:right w:val="nil"/>
            </w:tcBorders>
            <w:tcMar>
              <w:top w:w="100" w:type="dxa"/>
              <w:left w:w="100" w:type="dxa"/>
              <w:bottom w:w="100" w:type="dxa"/>
              <w:right w:w="100" w:type="dxa"/>
            </w:tcMar>
          </w:tcPr>
          <w:p w14:paraId="2DFE57B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r w:rsidR="00086A58" w14:paraId="71AF31C1"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2BAA77A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Speech recognition software</w:t>
            </w:r>
          </w:p>
        </w:tc>
        <w:tc>
          <w:tcPr>
            <w:tcW w:w="2520" w:type="dxa"/>
            <w:tcBorders>
              <w:top w:val="nil"/>
              <w:left w:val="single" w:sz="4" w:space="0" w:color="000000"/>
              <w:bottom w:val="nil"/>
              <w:right w:val="nil"/>
            </w:tcBorders>
            <w:tcMar>
              <w:top w:w="100" w:type="dxa"/>
              <w:left w:w="100" w:type="dxa"/>
              <w:bottom w:w="100" w:type="dxa"/>
              <w:right w:w="100" w:type="dxa"/>
            </w:tcMar>
          </w:tcPr>
          <w:p w14:paraId="45BE10F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(56.3%)</w:t>
            </w:r>
          </w:p>
        </w:tc>
        <w:tc>
          <w:tcPr>
            <w:tcW w:w="1995" w:type="dxa"/>
            <w:tcBorders>
              <w:top w:val="nil"/>
              <w:left w:val="nil"/>
              <w:bottom w:val="nil"/>
              <w:right w:val="nil"/>
            </w:tcBorders>
            <w:tcMar>
              <w:top w:w="100" w:type="dxa"/>
              <w:left w:w="100" w:type="dxa"/>
              <w:bottom w:w="100" w:type="dxa"/>
              <w:right w:w="100" w:type="dxa"/>
            </w:tcMar>
          </w:tcPr>
          <w:p w14:paraId="279DF43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r>
      <w:tr w:rsidR="00086A58" w14:paraId="11B951F2" w14:textId="77777777">
        <w:trPr>
          <w:trHeight w:val="500"/>
        </w:trPr>
        <w:tc>
          <w:tcPr>
            <w:tcW w:w="4845" w:type="dxa"/>
            <w:tcBorders>
              <w:top w:val="nil"/>
              <w:left w:val="nil"/>
              <w:bottom w:val="nil"/>
              <w:right w:val="single" w:sz="4" w:space="0" w:color="000000"/>
            </w:tcBorders>
            <w:tcMar>
              <w:top w:w="100" w:type="dxa"/>
              <w:left w:w="100" w:type="dxa"/>
              <w:bottom w:w="100" w:type="dxa"/>
              <w:right w:w="100" w:type="dxa"/>
            </w:tcMar>
          </w:tcPr>
          <w:p w14:paraId="6914AD6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Audio books or book readers</w:t>
            </w:r>
          </w:p>
        </w:tc>
        <w:tc>
          <w:tcPr>
            <w:tcW w:w="2520" w:type="dxa"/>
            <w:tcBorders>
              <w:top w:val="nil"/>
              <w:left w:val="single" w:sz="4" w:space="0" w:color="000000"/>
              <w:bottom w:val="nil"/>
              <w:right w:val="nil"/>
            </w:tcBorders>
            <w:tcMar>
              <w:top w:w="100" w:type="dxa"/>
              <w:left w:w="100" w:type="dxa"/>
              <w:bottom w:w="100" w:type="dxa"/>
              <w:right w:w="100" w:type="dxa"/>
            </w:tcMar>
          </w:tcPr>
          <w:p w14:paraId="594D1EA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 (71.9%)</w:t>
            </w:r>
          </w:p>
        </w:tc>
        <w:tc>
          <w:tcPr>
            <w:tcW w:w="1995" w:type="dxa"/>
            <w:tcBorders>
              <w:top w:val="nil"/>
              <w:left w:val="nil"/>
              <w:bottom w:val="nil"/>
              <w:right w:val="nil"/>
            </w:tcBorders>
            <w:tcMar>
              <w:top w:w="100" w:type="dxa"/>
              <w:left w:w="100" w:type="dxa"/>
              <w:bottom w:w="100" w:type="dxa"/>
              <w:right w:w="100" w:type="dxa"/>
            </w:tcMar>
          </w:tcPr>
          <w:p w14:paraId="7E9E15D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(28.1%)</w:t>
            </w:r>
          </w:p>
        </w:tc>
      </w:tr>
      <w:tr w:rsidR="00086A58" w14:paraId="63E3498E" w14:textId="77777777">
        <w:trPr>
          <w:trHeight w:val="500"/>
        </w:trPr>
        <w:tc>
          <w:tcPr>
            <w:tcW w:w="4845" w:type="dxa"/>
            <w:tcBorders>
              <w:top w:val="nil"/>
              <w:left w:val="nil"/>
              <w:bottom w:val="single" w:sz="24" w:space="0" w:color="000000"/>
              <w:right w:val="single" w:sz="4" w:space="0" w:color="000000"/>
            </w:tcBorders>
            <w:tcMar>
              <w:top w:w="100" w:type="dxa"/>
              <w:left w:w="100" w:type="dxa"/>
              <w:bottom w:w="100" w:type="dxa"/>
              <w:right w:w="100" w:type="dxa"/>
            </w:tcMar>
          </w:tcPr>
          <w:p w14:paraId="0D896D3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Electronic math worksheets and visual math aids</w:t>
            </w:r>
          </w:p>
        </w:tc>
        <w:tc>
          <w:tcPr>
            <w:tcW w:w="2520" w:type="dxa"/>
            <w:tcBorders>
              <w:top w:val="nil"/>
              <w:left w:val="single" w:sz="4" w:space="0" w:color="000000"/>
              <w:bottom w:val="single" w:sz="24" w:space="0" w:color="000000"/>
              <w:right w:val="nil"/>
            </w:tcBorders>
            <w:tcMar>
              <w:top w:w="100" w:type="dxa"/>
              <w:left w:w="100" w:type="dxa"/>
              <w:bottom w:w="100" w:type="dxa"/>
              <w:right w:w="100" w:type="dxa"/>
            </w:tcMar>
          </w:tcPr>
          <w:p w14:paraId="6C3052B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 (59.4%)</w:t>
            </w:r>
          </w:p>
        </w:tc>
        <w:tc>
          <w:tcPr>
            <w:tcW w:w="1995" w:type="dxa"/>
            <w:tcBorders>
              <w:top w:val="nil"/>
              <w:left w:val="nil"/>
              <w:bottom w:val="single" w:sz="24" w:space="0" w:color="000000"/>
              <w:right w:val="nil"/>
            </w:tcBorders>
            <w:tcMar>
              <w:top w:w="100" w:type="dxa"/>
              <w:left w:w="100" w:type="dxa"/>
              <w:bottom w:w="100" w:type="dxa"/>
              <w:right w:w="100" w:type="dxa"/>
            </w:tcMar>
          </w:tcPr>
          <w:p w14:paraId="14E3027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bl>
    <w:p w14:paraId="2189A5C1" w14:textId="77777777" w:rsidR="00086A58" w:rsidRDefault="00086A58">
      <w:pPr>
        <w:spacing w:before="240" w:after="240"/>
        <w:jc w:val="both"/>
        <w:rPr>
          <w:rFonts w:ascii="Times New Roman" w:eastAsia="Times New Roman" w:hAnsi="Times New Roman" w:cs="Times New Roman"/>
          <w:sz w:val="24"/>
          <w:szCs w:val="24"/>
          <w:highlight w:val="white"/>
        </w:rPr>
      </w:pPr>
    </w:p>
    <w:p w14:paraId="38A8966F"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Training and Professional Development</w:t>
      </w:r>
    </w:p>
    <w:p w14:paraId="369FF87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reveal that a little over half of the participants (54.8%) have received formal training in inclusive education or special education, while 45.2% have not. This indicates that there is a significant proportion of teachers who may require further training to enhance their knowledge in inclusive education. Regarding the adequacy of their current knowledge, nearly half (46.9%) of the teachers felt confident in their ability to teach children with special needs, whereas the majority (53.1%) believed their knowledge was not sufficient. Notably, a substantial majority (93.2%) expressed a willingness to participate in additional training to improve their skills and knowledge in inclusive education, indicating a strong desire for professional development (see Table 5).</w:t>
      </w:r>
    </w:p>
    <w:p w14:paraId="320AD1E8"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5: Teachers’ training exposure, self-rated preparedness, and willingness for further development</w:t>
      </w:r>
    </w:p>
    <w:tbl>
      <w:tblPr>
        <w:tblStyle w:val="a9"/>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80"/>
        <w:gridCol w:w="1700"/>
        <w:gridCol w:w="1565"/>
      </w:tblGrid>
      <w:tr w:rsidR="00086A58" w14:paraId="1C89630B" w14:textId="77777777">
        <w:trPr>
          <w:trHeight w:val="933"/>
        </w:trPr>
        <w:tc>
          <w:tcPr>
            <w:tcW w:w="6080" w:type="dxa"/>
            <w:tcBorders>
              <w:top w:val="single" w:sz="24" w:space="0" w:color="000000"/>
              <w:left w:val="nil"/>
              <w:bottom w:val="single" w:sz="24" w:space="0" w:color="000000"/>
              <w:right w:val="nil"/>
            </w:tcBorders>
            <w:tcMar>
              <w:top w:w="100" w:type="dxa"/>
              <w:left w:w="100" w:type="dxa"/>
              <w:bottom w:w="100" w:type="dxa"/>
              <w:right w:w="100" w:type="dxa"/>
            </w:tcMar>
          </w:tcPr>
          <w:p w14:paraId="6423765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Questions</w:t>
            </w:r>
          </w:p>
        </w:tc>
        <w:tc>
          <w:tcPr>
            <w:tcW w:w="1700"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14:paraId="3F80B9C2"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c>
          <w:tcPr>
            <w:tcW w:w="1565" w:type="dxa"/>
            <w:tcBorders>
              <w:top w:val="single" w:sz="24" w:space="0" w:color="000000"/>
              <w:left w:val="nil"/>
              <w:bottom w:val="single" w:sz="24" w:space="0" w:color="000000"/>
              <w:right w:val="nil"/>
            </w:tcBorders>
            <w:tcMar>
              <w:top w:w="100" w:type="dxa"/>
              <w:left w:w="100" w:type="dxa"/>
              <w:bottom w:w="100" w:type="dxa"/>
              <w:right w:w="100" w:type="dxa"/>
            </w:tcMar>
          </w:tcPr>
          <w:p w14:paraId="48631780" w14:textId="77777777" w:rsidR="00086A58" w:rsidRDefault="00086A58">
            <w:pPr>
              <w:spacing w:before="240" w:after="240"/>
              <w:jc w:val="both"/>
              <w:rPr>
                <w:rFonts w:ascii="Times New Roman" w:eastAsia="Times New Roman" w:hAnsi="Times New Roman" w:cs="Times New Roman"/>
                <w:b/>
                <w:bCs/>
                <w:sz w:val="24"/>
                <w:szCs w:val="24"/>
                <w:highlight w:val="white"/>
              </w:rPr>
            </w:pPr>
          </w:p>
        </w:tc>
      </w:tr>
      <w:tr w:rsidR="00086A58" w14:paraId="57530C40" w14:textId="77777777">
        <w:trPr>
          <w:trHeight w:val="933"/>
        </w:trPr>
        <w:tc>
          <w:tcPr>
            <w:tcW w:w="6080" w:type="dxa"/>
            <w:tcBorders>
              <w:top w:val="single" w:sz="24" w:space="0" w:color="000000"/>
              <w:left w:val="nil"/>
              <w:bottom w:val="nil"/>
              <w:right w:val="nil"/>
            </w:tcBorders>
            <w:tcMar>
              <w:top w:w="100" w:type="dxa"/>
              <w:left w:w="100" w:type="dxa"/>
              <w:bottom w:w="100" w:type="dxa"/>
              <w:right w:w="100" w:type="dxa"/>
            </w:tcMar>
          </w:tcPr>
          <w:p w14:paraId="5DA952CB"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1700" w:type="dxa"/>
            <w:tcBorders>
              <w:top w:val="single" w:sz="24" w:space="0" w:color="000000"/>
              <w:left w:val="single" w:sz="4" w:space="0" w:color="000000"/>
              <w:bottom w:val="nil"/>
              <w:right w:val="nil"/>
            </w:tcBorders>
            <w:tcMar>
              <w:top w:w="100" w:type="dxa"/>
              <w:left w:w="100" w:type="dxa"/>
              <w:bottom w:w="100" w:type="dxa"/>
              <w:right w:w="100" w:type="dxa"/>
            </w:tcMar>
          </w:tcPr>
          <w:p w14:paraId="43DA1F9F"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Yes (Number, %)</w:t>
            </w:r>
          </w:p>
        </w:tc>
        <w:tc>
          <w:tcPr>
            <w:tcW w:w="1565" w:type="dxa"/>
            <w:tcBorders>
              <w:top w:val="single" w:sz="24" w:space="0" w:color="000000"/>
              <w:left w:val="nil"/>
              <w:bottom w:val="nil"/>
              <w:right w:val="nil"/>
            </w:tcBorders>
            <w:tcMar>
              <w:top w:w="100" w:type="dxa"/>
              <w:left w:w="100" w:type="dxa"/>
              <w:bottom w:w="100" w:type="dxa"/>
              <w:right w:w="100" w:type="dxa"/>
            </w:tcMar>
          </w:tcPr>
          <w:p w14:paraId="21FBE37E"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No (Number, %)</w:t>
            </w:r>
          </w:p>
        </w:tc>
      </w:tr>
      <w:tr w:rsidR="00086A58" w14:paraId="7D0F0EF2" w14:textId="77777777">
        <w:trPr>
          <w:trHeight w:val="785"/>
        </w:trPr>
        <w:tc>
          <w:tcPr>
            <w:tcW w:w="6080" w:type="dxa"/>
            <w:tcBorders>
              <w:top w:val="nil"/>
              <w:left w:val="nil"/>
              <w:bottom w:val="nil"/>
              <w:right w:val="single" w:sz="4" w:space="0" w:color="000000"/>
            </w:tcBorders>
            <w:tcMar>
              <w:top w:w="100" w:type="dxa"/>
              <w:left w:w="100" w:type="dxa"/>
              <w:bottom w:w="100" w:type="dxa"/>
              <w:right w:w="100" w:type="dxa"/>
            </w:tcMar>
          </w:tcPr>
          <w:p w14:paraId="2809C4E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Have you received formal training in inclusive education or special education?</w:t>
            </w:r>
          </w:p>
        </w:tc>
        <w:tc>
          <w:tcPr>
            <w:tcW w:w="1700" w:type="dxa"/>
            <w:tcBorders>
              <w:top w:val="nil"/>
              <w:left w:val="single" w:sz="4" w:space="0" w:color="000000"/>
              <w:bottom w:val="nil"/>
              <w:right w:val="nil"/>
            </w:tcBorders>
            <w:tcMar>
              <w:top w:w="100" w:type="dxa"/>
              <w:left w:w="100" w:type="dxa"/>
              <w:bottom w:w="100" w:type="dxa"/>
              <w:right w:w="100" w:type="dxa"/>
            </w:tcMar>
          </w:tcPr>
          <w:p w14:paraId="19D46B2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(54.8%)</w:t>
            </w:r>
          </w:p>
        </w:tc>
        <w:tc>
          <w:tcPr>
            <w:tcW w:w="1565" w:type="dxa"/>
            <w:tcBorders>
              <w:top w:val="nil"/>
              <w:left w:val="nil"/>
              <w:bottom w:val="nil"/>
              <w:right w:val="nil"/>
            </w:tcBorders>
            <w:tcMar>
              <w:top w:w="100" w:type="dxa"/>
              <w:left w:w="100" w:type="dxa"/>
              <w:bottom w:w="100" w:type="dxa"/>
              <w:right w:w="100" w:type="dxa"/>
            </w:tcMar>
          </w:tcPr>
          <w:p w14:paraId="051E78D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(45.2%)</w:t>
            </w:r>
          </w:p>
        </w:tc>
      </w:tr>
      <w:tr w:rsidR="00086A58" w14:paraId="4A684C75" w14:textId="77777777">
        <w:trPr>
          <w:trHeight w:val="785"/>
        </w:trPr>
        <w:tc>
          <w:tcPr>
            <w:tcW w:w="6080" w:type="dxa"/>
            <w:tcBorders>
              <w:top w:val="nil"/>
              <w:left w:val="nil"/>
              <w:bottom w:val="nil"/>
              <w:right w:val="single" w:sz="4" w:space="0" w:color="000000"/>
            </w:tcBorders>
            <w:tcMar>
              <w:top w:w="100" w:type="dxa"/>
              <w:left w:w="100" w:type="dxa"/>
              <w:bottom w:w="100" w:type="dxa"/>
              <w:right w:w="100" w:type="dxa"/>
            </w:tcMar>
          </w:tcPr>
          <w:p w14:paraId="45BD4C4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Is your current level of knowledge about inclusive education adequate for teaching children with special needs?</w:t>
            </w:r>
          </w:p>
        </w:tc>
        <w:tc>
          <w:tcPr>
            <w:tcW w:w="1700" w:type="dxa"/>
            <w:tcBorders>
              <w:top w:val="nil"/>
              <w:left w:val="single" w:sz="4" w:space="0" w:color="000000"/>
              <w:bottom w:val="nil"/>
              <w:right w:val="nil"/>
            </w:tcBorders>
            <w:tcMar>
              <w:top w:w="100" w:type="dxa"/>
              <w:left w:w="100" w:type="dxa"/>
              <w:bottom w:w="100" w:type="dxa"/>
              <w:right w:w="100" w:type="dxa"/>
            </w:tcMar>
          </w:tcPr>
          <w:p w14:paraId="0A233AA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c>
          <w:tcPr>
            <w:tcW w:w="1565" w:type="dxa"/>
            <w:tcBorders>
              <w:top w:val="nil"/>
              <w:left w:val="nil"/>
              <w:bottom w:val="nil"/>
              <w:right w:val="nil"/>
            </w:tcBorders>
            <w:tcMar>
              <w:top w:w="100" w:type="dxa"/>
              <w:left w:w="100" w:type="dxa"/>
              <w:bottom w:w="100" w:type="dxa"/>
              <w:right w:w="100" w:type="dxa"/>
            </w:tcMar>
          </w:tcPr>
          <w:p w14:paraId="048DAE6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(53.1%)</w:t>
            </w:r>
          </w:p>
        </w:tc>
      </w:tr>
      <w:tr w:rsidR="00086A58" w14:paraId="161D5D68" w14:textId="77777777">
        <w:trPr>
          <w:trHeight w:val="785"/>
        </w:trPr>
        <w:tc>
          <w:tcPr>
            <w:tcW w:w="6080" w:type="dxa"/>
            <w:tcBorders>
              <w:top w:val="nil"/>
              <w:left w:val="nil"/>
              <w:bottom w:val="single" w:sz="24" w:space="0" w:color="000000"/>
              <w:right w:val="single" w:sz="4" w:space="0" w:color="000000"/>
            </w:tcBorders>
            <w:tcMar>
              <w:top w:w="100" w:type="dxa"/>
              <w:left w:w="100" w:type="dxa"/>
              <w:bottom w:w="100" w:type="dxa"/>
              <w:right w:w="100" w:type="dxa"/>
            </w:tcMar>
          </w:tcPr>
          <w:p w14:paraId="1E49F05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Are you willing to participate in additional training to improve your knowledge and skills in inclusive education?</w:t>
            </w:r>
          </w:p>
        </w:tc>
        <w:tc>
          <w:tcPr>
            <w:tcW w:w="1700" w:type="dxa"/>
            <w:tcBorders>
              <w:top w:val="nil"/>
              <w:left w:val="single" w:sz="4" w:space="0" w:color="000000"/>
              <w:bottom w:val="single" w:sz="24" w:space="0" w:color="000000"/>
              <w:right w:val="nil"/>
            </w:tcBorders>
            <w:tcMar>
              <w:top w:w="100" w:type="dxa"/>
              <w:left w:w="100" w:type="dxa"/>
              <w:bottom w:w="100" w:type="dxa"/>
              <w:right w:w="100" w:type="dxa"/>
            </w:tcMar>
          </w:tcPr>
          <w:p w14:paraId="1595BFD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(93.2%)</w:t>
            </w:r>
          </w:p>
        </w:tc>
        <w:tc>
          <w:tcPr>
            <w:tcW w:w="1565" w:type="dxa"/>
            <w:tcBorders>
              <w:top w:val="nil"/>
              <w:left w:val="nil"/>
              <w:bottom w:val="single" w:sz="24" w:space="0" w:color="000000"/>
              <w:right w:val="nil"/>
            </w:tcBorders>
            <w:tcMar>
              <w:top w:w="100" w:type="dxa"/>
              <w:left w:w="100" w:type="dxa"/>
              <w:bottom w:w="100" w:type="dxa"/>
              <w:right w:w="100" w:type="dxa"/>
            </w:tcMar>
          </w:tcPr>
          <w:p w14:paraId="2CECDE6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(6.3%)</w:t>
            </w:r>
          </w:p>
        </w:tc>
      </w:tr>
    </w:tbl>
    <w:p w14:paraId="7F950A89" w14:textId="77777777" w:rsidR="00086A58" w:rsidRDefault="00086A58">
      <w:pPr>
        <w:spacing w:before="240" w:after="240"/>
        <w:jc w:val="both"/>
        <w:rPr>
          <w:rFonts w:ascii="Times New Roman" w:eastAsia="Times New Roman" w:hAnsi="Times New Roman" w:cs="Times New Roman"/>
          <w:sz w:val="24"/>
          <w:szCs w:val="24"/>
          <w:highlight w:val="white"/>
        </w:rPr>
      </w:pPr>
    </w:p>
    <w:p w14:paraId="13C22CF9" w14:textId="77777777" w:rsidR="00086A58" w:rsidRDefault="00086A58">
      <w:pPr>
        <w:spacing w:before="240" w:after="240"/>
        <w:jc w:val="both"/>
        <w:rPr>
          <w:rFonts w:ascii="Times New Roman" w:eastAsia="Times New Roman" w:hAnsi="Times New Roman" w:cs="Times New Roman"/>
          <w:sz w:val="24"/>
          <w:szCs w:val="24"/>
          <w:highlight w:val="white"/>
        </w:rPr>
      </w:pPr>
    </w:p>
    <w:p w14:paraId="1B440209" w14:textId="77777777" w:rsidR="00086A58" w:rsidRDefault="00086A58">
      <w:pPr>
        <w:spacing w:before="240" w:after="240"/>
        <w:jc w:val="both"/>
        <w:rPr>
          <w:rFonts w:ascii="Times New Roman" w:eastAsia="Times New Roman" w:hAnsi="Times New Roman" w:cs="Times New Roman"/>
          <w:sz w:val="24"/>
          <w:szCs w:val="24"/>
          <w:highlight w:val="white"/>
        </w:rPr>
      </w:pPr>
    </w:p>
    <w:p w14:paraId="1B0EC1E1" w14:textId="77777777" w:rsidR="00086A58" w:rsidRDefault="009B1C7A">
      <w:pPr>
        <w:numPr>
          <w:ilvl w:val="0"/>
          <w:numId w:val="4"/>
        </w:num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Benefits and Challenges</w:t>
      </w:r>
    </w:p>
    <w:p w14:paraId="2030877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participants overwhelmingly recognized the benefits of inclusive education, with the majority (84.4%) agreeing that it leads to increased social inclusion for children with special needs. Furthermore, 75% of respondents noted that inclusive education promotes greater diversity in learning environments, and 59.4% observed improved academic performance for all students. While benefits were widely acknowledged, participants also identified several challenges in implementing inclusive education. The most significant challenge reported was insufficient resources (90.6%), followed by lack of training (62.5%) and large class sizes (56.3%). Other challenges included limited support from colleagues and lack of administrative support, indicating areas where improvements are needed to enhance the implementation of inclusive education (see Table 6).</w:t>
      </w:r>
    </w:p>
    <w:p w14:paraId="00C9B8F3" w14:textId="77777777" w:rsidR="00086A58" w:rsidRDefault="009B1C7A">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6: Perceived benefits of inclusive education and barriers to its implementation</w:t>
      </w:r>
    </w:p>
    <w:tbl>
      <w:tblPr>
        <w:tblStyle w:val="a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4320"/>
        <w:gridCol w:w="1665"/>
        <w:gridCol w:w="1545"/>
      </w:tblGrid>
      <w:tr w:rsidR="00086A58" w14:paraId="7115CD6A" w14:textId="77777777">
        <w:trPr>
          <w:trHeight w:val="933"/>
        </w:trPr>
        <w:tc>
          <w:tcPr>
            <w:tcW w:w="1830" w:type="dxa"/>
            <w:tcBorders>
              <w:top w:val="single" w:sz="24" w:space="0" w:color="000000"/>
              <w:left w:val="nil"/>
              <w:bottom w:val="single" w:sz="24" w:space="0" w:color="000000"/>
              <w:right w:val="nil"/>
            </w:tcBorders>
            <w:tcMar>
              <w:top w:w="100" w:type="dxa"/>
              <w:left w:w="100" w:type="dxa"/>
              <w:bottom w:w="100" w:type="dxa"/>
              <w:right w:w="100" w:type="dxa"/>
            </w:tcMar>
          </w:tcPr>
          <w:p w14:paraId="55C8F826"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Questions</w:t>
            </w:r>
          </w:p>
        </w:tc>
        <w:tc>
          <w:tcPr>
            <w:tcW w:w="4320" w:type="dxa"/>
            <w:tcBorders>
              <w:top w:val="single" w:sz="24" w:space="0" w:color="000000"/>
              <w:left w:val="nil"/>
              <w:bottom w:val="single" w:sz="24" w:space="0" w:color="000000"/>
              <w:right w:val="nil"/>
            </w:tcBorders>
            <w:tcMar>
              <w:top w:w="100" w:type="dxa"/>
              <w:left w:w="100" w:type="dxa"/>
              <w:bottom w:w="100" w:type="dxa"/>
              <w:right w:w="100" w:type="dxa"/>
            </w:tcMar>
          </w:tcPr>
          <w:p w14:paraId="19E4BAA7"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 items</w:t>
            </w:r>
          </w:p>
        </w:tc>
        <w:tc>
          <w:tcPr>
            <w:tcW w:w="1665"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14:paraId="76D9465F"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c>
          <w:tcPr>
            <w:tcW w:w="1545" w:type="dxa"/>
            <w:tcBorders>
              <w:top w:val="single" w:sz="24" w:space="0" w:color="000000"/>
              <w:left w:val="nil"/>
              <w:bottom w:val="single" w:sz="24" w:space="0" w:color="000000"/>
              <w:right w:val="nil"/>
            </w:tcBorders>
            <w:tcMar>
              <w:top w:w="100" w:type="dxa"/>
              <w:left w:w="100" w:type="dxa"/>
              <w:bottom w:w="100" w:type="dxa"/>
              <w:right w:w="100" w:type="dxa"/>
            </w:tcMar>
          </w:tcPr>
          <w:p w14:paraId="086DA313" w14:textId="77777777" w:rsidR="00086A58" w:rsidRDefault="00086A58">
            <w:pPr>
              <w:spacing w:before="240" w:after="240"/>
              <w:jc w:val="both"/>
              <w:rPr>
                <w:rFonts w:ascii="Times New Roman" w:eastAsia="Times New Roman" w:hAnsi="Times New Roman" w:cs="Times New Roman"/>
                <w:b/>
                <w:bCs/>
                <w:sz w:val="24"/>
                <w:szCs w:val="24"/>
                <w:highlight w:val="white"/>
              </w:rPr>
            </w:pPr>
          </w:p>
        </w:tc>
      </w:tr>
      <w:tr w:rsidR="00086A58" w14:paraId="4AB88129" w14:textId="77777777">
        <w:trPr>
          <w:trHeight w:val="933"/>
        </w:trPr>
        <w:tc>
          <w:tcPr>
            <w:tcW w:w="1830" w:type="dxa"/>
            <w:tcBorders>
              <w:top w:val="single" w:sz="24" w:space="0" w:color="000000"/>
              <w:left w:val="nil"/>
              <w:bottom w:val="nil"/>
              <w:right w:val="nil"/>
            </w:tcBorders>
            <w:tcMar>
              <w:top w:w="100" w:type="dxa"/>
              <w:left w:w="100" w:type="dxa"/>
              <w:bottom w:w="100" w:type="dxa"/>
              <w:right w:w="100" w:type="dxa"/>
            </w:tcMar>
          </w:tcPr>
          <w:p w14:paraId="6C766094"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single" w:sz="24" w:space="0" w:color="000000"/>
              <w:left w:val="nil"/>
              <w:bottom w:val="nil"/>
              <w:right w:val="nil"/>
            </w:tcBorders>
            <w:tcMar>
              <w:top w:w="100" w:type="dxa"/>
              <w:left w:w="100" w:type="dxa"/>
              <w:bottom w:w="100" w:type="dxa"/>
              <w:right w:w="100" w:type="dxa"/>
            </w:tcMar>
          </w:tcPr>
          <w:p w14:paraId="1463FE63"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1665" w:type="dxa"/>
            <w:tcBorders>
              <w:top w:val="single" w:sz="24" w:space="0" w:color="000000"/>
              <w:left w:val="single" w:sz="4" w:space="0" w:color="000000"/>
              <w:bottom w:val="nil"/>
              <w:right w:val="nil"/>
            </w:tcBorders>
            <w:tcMar>
              <w:top w:w="100" w:type="dxa"/>
              <w:left w:w="100" w:type="dxa"/>
              <w:bottom w:w="100" w:type="dxa"/>
              <w:right w:w="100" w:type="dxa"/>
            </w:tcMar>
          </w:tcPr>
          <w:p w14:paraId="5B22CFBD"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Yes (Number, %)</w:t>
            </w:r>
          </w:p>
        </w:tc>
        <w:tc>
          <w:tcPr>
            <w:tcW w:w="1545" w:type="dxa"/>
            <w:tcBorders>
              <w:top w:val="single" w:sz="24" w:space="0" w:color="000000"/>
              <w:left w:val="nil"/>
              <w:bottom w:val="nil"/>
              <w:right w:val="nil"/>
            </w:tcBorders>
            <w:tcMar>
              <w:top w:w="100" w:type="dxa"/>
              <w:left w:w="100" w:type="dxa"/>
              <w:bottom w:w="100" w:type="dxa"/>
              <w:right w:w="100" w:type="dxa"/>
            </w:tcMar>
          </w:tcPr>
          <w:p w14:paraId="61887334"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No (Number, %)</w:t>
            </w:r>
          </w:p>
        </w:tc>
      </w:tr>
      <w:tr w:rsidR="00086A58" w14:paraId="0F8DC45F" w14:textId="77777777">
        <w:trPr>
          <w:trHeight w:val="785"/>
        </w:trPr>
        <w:tc>
          <w:tcPr>
            <w:tcW w:w="1830" w:type="dxa"/>
            <w:tcBorders>
              <w:top w:val="nil"/>
              <w:left w:val="nil"/>
              <w:bottom w:val="nil"/>
              <w:right w:val="nil"/>
            </w:tcBorders>
            <w:tcMar>
              <w:top w:w="100" w:type="dxa"/>
              <w:left w:w="100" w:type="dxa"/>
              <w:bottom w:w="100" w:type="dxa"/>
              <w:right w:w="100" w:type="dxa"/>
            </w:tcMar>
          </w:tcPr>
          <w:p w14:paraId="233FD19F" w14:textId="77777777" w:rsidR="00086A58" w:rsidRDefault="009B1C7A">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Benefits</w:t>
            </w:r>
          </w:p>
        </w:tc>
        <w:tc>
          <w:tcPr>
            <w:tcW w:w="4320" w:type="dxa"/>
            <w:tcBorders>
              <w:top w:val="nil"/>
              <w:left w:val="nil"/>
              <w:bottom w:val="nil"/>
              <w:right w:val="single" w:sz="4" w:space="0" w:color="000000"/>
            </w:tcBorders>
            <w:tcMar>
              <w:top w:w="100" w:type="dxa"/>
              <w:left w:w="100" w:type="dxa"/>
              <w:bottom w:w="100" w:type="dxa"/>
              <w:right w:w="100" w:type="dxa"/>
            </w:tcMar>
          </w:tcPr>
          <w:p w14:paraId="62597E6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Increased social inclusion for children with special needs</w:t>
            </w:r>
          </w:p>
        </w:tc>
        <w:tc>
          <w:tcPr>
            <w:tcW w:w="1665" w:type="dxa"/>
            <w:tcBorders>
              <w:top w:val="nil"/>
              <w:left w:val="single" w:sz="4" w:space="0" w:color="000000"/>
              <w:bottom w:val="nil"/>
              <w:right w:val="nil"/>
            </w:tcBorders>
            <w:tcMar>
              <w:top w:w="100" w:type="dxa"/>
              <w:left w:w="100" w:type="dxa"/>
              <w:bottom w:w="100" w:type="dxa"/>
              <w:right w:w="100" w:type="dxa"/>
            </w:tcMar>
          </w:tcPr>
          <w:p w14:paraId="1E54083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54 (84.4%)</w:t>
            </w:r>
          </w:p>
        </w:tc>
        <w:tc>
          <w:tcPr>
            <w:tcW w:w="1545" w:type="dxa"/>
            <w:tcBorders>
              <w:top w:val="nil"/>
              <w:left w:val="nil"/>
              <w:bottom w:val="nil"/>
              <w:right w:val="nil"/>
            </w:tcBorders>
            <w:tcMar>
              <w:top w:w="100" w:type="dxa"/>
              <w:left w:w="100" w:type="dxa"/>
              <w:bottom w:w="100" w:type="dxa"/>
              <w:right w:w="100" w:type="dxa"/>
            </w:tcMar>
          </w:tcPr>
          <w:p w14:paraId="18CD1AE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 (15.6%)</w:t>
            </w:r>
          </w:p>
        </w:tc>
      </w:tr>
      <w:tr w:rsidR="00086A58" w14:paraId="7FEF6B4A" w14:textId="77777777">
        <w:trPr>
          <w:trHeight w:val="785"/>
        </w:trPr>
        <w:tc>
          <w:tcPr>
            <w:tcW w:w="1830" w:type="dxa"/>
            <w:tcBorders>
              <w:top w:val="nil"/>
              <w:left w:val="nil"/>
              <w:bottom w:val="nil"/>
              <w:right w:val="nil"/>
            </w:tcBorders>
            <w:tcMar>
              <w:top w:w="100" w:type="dxa"/>
              <w:left w:w="100" w:type="dxa"/>
              <w:bottom w:w="100" w:type="dxa"/>
              <w:right w:w="100" w:type="dxa"/>
            </w:tcMar>
          </w:tcPr>
          <w:p w14:paraId="4CB329AE"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1052E8C2"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Improved academic performance for all students</w:t>
            </w:r>
          </w:p>
        </w:tc>
        <w:tc>
          <w:tcPr>
            <w:tcW w:w="1665" w:type="dxa"/>
            <w:tcBorders>
              <w:top w:val="nil"/>
              <w:left w:val="single" w:sz="4" w:space="0" w:color="000000"/>
              <w:bottom w:val="nil"/>
              <w:right w:val="nil"/>
            </w:tcBorders>
            <w:tcMar>
              <w:top w:w="100" w:type="dxa"/>
              <w:left w:w="100" w:type="dxa"/>
              <w:bottom w:w="100" w:type="dxa"/>
              <w:right w:w="100" w:type="dxa"/>
            </w:tcMar>
          </w:tcPr>
          <w:p w14:paraId="57B8073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 (59.4%)</w:t>
            </w:r>
          </w:p>
        </w:tc>
        <w:tc>
          <w:tcPr>
            <w:tcW w:w="1545" w:type="dxa"/>
            <w:tcBorders>
              <w:top w:val="nil"/>
              <w:left w:val="nil"/>
              <w:bottom w:val="nil"/>
              <w:right w:val="nil"/>
            </w:tcBorders>
            <w:tcMar>
              <w:top w:w="100" w:type="dxa"/>
              <w:left w:w="100" w:type="dxa"/>
              <w:bottom w:w="100" w:type="dxa"/>
              <w:right w:w="100" w:type="dxa"/>
            </w:tcMar>
          </w:tcPr>
          <w:p w14:paraId="49F966F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r>
      <w:tr w:rsidR="00086A58" w14:paraId="096D73C0" w14:textId="77777777">
        <w:trPr>
          <w:trHeight w:val="785"/>
        </w:trPr>
        <w:tc>
          <w:tcPr>
            <w:tcW w:w="1830" w:type="dxa"/>
            <w:tcBorders>
              <w:top w:val="nil"/>
              <w:left w:val="nil"/>
              <w:bottom w:val="nil"/>
              <w:right w:val="nil"/>
            </w:tcBorders>
            <w:tcMar>
              <w:top w:w="100" w:type="dxa"/>
              <w:left w:w="100" w:type="dxa"/>
              <w:bottom w:w="100" w:type="dxa"/>
              <w:right w:w="100" w:type="dxa"/>
            </w:tcMar>
          </w:tcPr>
          <w:p w14:paraId="1EF3EF1F"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0F2927D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Greater diversity in learning environments</w:t>
            </w:r>
          </w:p>
        </w:tc>
        <w:tc>
          <w:tcPr>
            <w:tcW w:w="1665" w:type="dxa"/>
            <w:tcBorders>
              <w:top w:val="nil"/>
              <w:left w:val="single" w:sz="4" w:space="0" w:color="000000"/>
              <w:bottom w:val="nil"/>
              <w:right w:val="nil"/>
            </w:tcBorders>
            <w:tcMar>
              <w:top w:w="100" w:type="dxa"/>
              <w:left w:w="100" w:type="dxa"/>
              <w:bottom w:w="100" w:type="dxa"/>
              <w:right w:w="100" w:type="dxa"/>
            </w:tcMar>
          </w:tcPr>
          <w:p w14:paraId="38EA4A0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(75%)</w:t>
            </w:r>
          </w:p>
        </w:tc>
        <w:tc>
          <w:tcPr>
            <w:tcW w:w="1545" w:type="dxa"/>
            <w:tcBorders>
              <w:top w:val="nil"/>
              <w:left w:val="nil"/>
              <w:bottom w:val="nil"/>
              <w:right w:val="nil"/>
            </w:tcBorders>
            <w:tcMar>
              <w:top w:w="100" w:type="dxa"/>
              <w:left w:w="100" w:type="dxa"/>
              <w:bottom w:w="100" w:type="dxa"/>
              <w:right w:w="100" w:type="dxa"/>
            </w:tcMar>
          </w:tcPr>
          <w:p w14:paraId="0F27EAF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(25.0%)</w:t>
            </w:r>
          </w:p>
        </w:tc>
      </w:tr>
      <w:tr w:rsidR="00086A58" w14:paraId="58AD10CD" w14:textId="77777777">
        <w:trPr>
          <w:trHeight w:val="785"/>
        </w:trPr>
        <w:tc>
          <w:tcPr>
            <w:tcW w:w="1830" w:type="dxa"/>
            <w:tcBorders>
              <w:top w:val="nil"/>
              <w:left w:val="nil"/>
              <w:bottom w:val="single" w:sz="4" w:space="0" w:color="000000"/>
              <w:right w:val="nil"/>
            </w:tcBorders>
            <w:tcMar>
              <w:top w:w="100" w:type="dxa"/>
              <w:left w:w="100" w:type="dxa"/>
              <w:bottom w:w="100" w:type="dxa"/>
              <w:right w:w="100" w:type="dxa"/>
            </w:tcMar>
          </w:tcPr>
          <w:p w14:paraId="46FE4FD0" w14:textId="77777777" w:rsidR="00086A58" w:rsidRDefault="00086A58">
            <w:pPr>
              <w:spacing w:before="240" w:after="240"/>
              <w:jc w:val="both"/>
              <w:rPr>
                <w:rFonts w:ascii="Times New Roman" w:eastAsia="Times New Roman" w:hAnsi="Times New Roman" w:cs="Times New Roman"/>
                <w:sz w:val="24"/>
                <w:szCs w:val="24"/>
                <w:highlight w:val="white"/>
              </w:rPr>
            </w:pPr>
          </w:p>
        </w:tc>
        <w:tc>
          <w:tcPr>
            <w:tcW w:w="4320" w:type="dxa"/>
            <w:tcBorders>
              <w:top w:val="nil"/>
              <w:left w:val="nil"/>
              <w:bottom w:val="single" w:sz="4" w:space="0" w:color="000000"/>
              <w:right w:val="single" w:sz="4" w:space="0" w:color="000000"/>
            </w:tcBorders>
            <w:tcMar>
              <w:top w:w="100" w:type="dxa"/>
              <w:left w:w="100" w:type="dxa"/>
              <w:bottom w:w="100" w:type="dxa"/>
              <w:right w:w="100" w:type="dxa"/>
            </w:tcMar>
          </w:tcPr>
          <w:p w14:paraId="2548A7D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Enhanced teacher professional development</w:t>
            </w:r>
          </w:p>
        </w:tc>
        <w:tc>
          <w:tcPr>
            <w:tcW w:w="1665" w:type="dxa"/>
            <w:tcBorders>
              <w:top w:val="nil"/>
              <w:left w:val="single" w:sz="4" w:space="0" w:color="000000"/>
              <w:bottom w:val="single" w:sz="4" w:space="0" w:color="000000"/>
              <w:right w:val="nil"/>
            </w:tcBorders>
            <w:tcMar>
              <w:top w:w="100" w:type="dxa"/>
              <w:left w:w="100" w:type="dxa"/>
              <w:bottom w:w="100" w:type="dxa"/>
              <w:right w:w="100" w:type="dxa"/>
            </w:tcMar>
          </w:tcPr>
          <w:p w14:paraId="6F5BD5A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(53.1%)</w:t>
            </w:r>
          </w:p>
        </w:tc>
        <w:tc>
          <w:tcPr>
            <w:tcW w:w="1545" w:type="dxa"/>
            <w:tcBorders>
              <w:top w:val="nil"/>
              <w:left w:val="nil"/>
              <w:bottom w:val="single" w:sz="4" w:space="0" w:color="000000"/>
              <w:right w:val="nil"/>
            </w:tcBorders>
            <w:tcMar>
              <w:top w:w="100" w:type="dxa"/>
              <w:left w:w="100" w:type="dxa"/>
              <w:bottom w:w="100" w:type="dxa"/>
              <w:right w:w="100" w:type="dxa"/>
            </w:tcMar>
          </w:tcPr>
          <w:p w14:paraId="3120F6E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r>
      <w:tr w:rsidR="00086A58" w14:paraId="4C6CBC2E" w14:textId="77777777">
        <w:trPr>
          <w:trHeight w:val="830"/>
        </w:trPr>
        <w:tc>
          <w:tcPr>
            <w:tcW w:w="1830" w:type="dxa"/>
            <w:tcBorders>
              <w:top w:val="single" w:sz="4" w:space="0" w:color="000000"/>
              <w:left w:val="nil"/>
              <w:bottom w:val="nil"/>
              <w:right w:val="nil"/>
            </w:tcBorders>
            <w:tcMar>
              <w:top w:w="100" w:type="dxa"/>
              <w:left w:w="100" w:type="dxa"/>
              <w:bottom w:w="100" w:type="dxa"/>
              <w:right w:w="100" w:type="dxa"/>
            </w:tcMar>
          </w:tcPr>
          <w:p w14:paraId="026A5F3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Challenges</w:t>
            </w:r>
          </w:p>
        </w:tc>
        <w:tc>
          <w:tcPr>
            <w:tcW w:w="4320" w:type="dxa"/>
            <w:tcBorders>
              <w:top w:val="single" w:sz="4" w:space="0" w:color="000000"/>
              <w:left w:val="nil"/>
              <w:bottom w:val="nil"/>
              <w:right w:val="single" w:sz="4" w:space="0" w:color="000000"/>
            </w:tcBorders>
            <w:tcMar>
              <w:top w:w="100" w:type="dxa"/>
              <w:left w:w="100" w:type="dxa"/>
              <w:bottom w:w="100" w:type="dxa"/>
              <w:right w:w="100" w:type="dxa"/>
            </w:tcMar>
          </w:tcPr>
          <w:p w14:paraId="45D48E0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Lack of training</w:t>
            </w:r>
          </w:p>
        </w:tc>
        <w:tc>
          <w:tcPr>
            <w:tcW w:w="1665" w:type="dxa"/>
            <w:tcBorders>
              <w:top w:val="single" w:sz="4" w:space="0" w:color="000000"/>
              <w:left w:val="single" w:sz="4" w:space="0" w:color="000000"/>
              <w:bottom w:val="nil"/>
              <w:right w:val="nil"/>
            </w:tcBorders>
            <w:tcMar>
              <w:top w:w="100" w:type="dxa"/>
              <w:left w:w="100" w:type="dxa"/>
              <w:bottom w:w="100" w:type="dxa"/>
              <w:right w:w="100" w:type="dxa"/>
            </w:tcMar>
          </w:tcPr>
          <w:p w14:paraId="0659D82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(62.5%)</w:t>
            </w:r>
          </w:p>
        </w:tc>
        <w:tc>
          <w:tcPr>
            <w:tcW w:w="1545" w:type="dxa"/>
            <w:tcBorders>
              <w:top w:val="single" w:sz="4" w:space="0" w:color="000000"/>
              <w:left w:val="nil"/>
              <w:bottom w:val="nil"/>
              <w:right w:val="nil"/>
            </w:tcBorders>
            <w:tcMar>
              <w:top w:w="100" w:type="dxa"/>
              <w:left w:w="100" w:type="dxa"/>
              <w:bottom w:w="100" w:type="dxa"/>
              <w:right w:w="100" w:type="dxa"/>
            </w:tcMar>
          </w:tcPr>
          <w:p w14:paraId="3FC6E5D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(37.5%)</w:t>
            </w:r>
          </w:p>
        </w:tc>
      </w:tr>
      <w:tr w:rsidR="00086A58" w14:paraId="2B00FDF7" w14:textId="77777777">
        <w:trPr>
          <w:trHeight w:val="785"/>
        </w:trPr>
        <w:tc>
          <w:tcPr>
            <w:tcW w:w="1830" w:type="dxa"/>
            <w:tcBorders>
              <w:top w:val="nil"/>
              <w:left w:val="nil"/>
              <w:bottom w:val="nil"/>
              <w:right w:val="nil"/>
            </w:tcBorders>
            <w:tcMar>
              <w:top w:w="100" w:type="dxa"/>
              <w:left w:w="100" w:type="dxa"/>
              <w:bottom w:w="100" w:type="dxa"/>
              <w:right w:w="100" w:type="dxa"/>
            </w:tcMar>
          </w:tcPr>
          <w:p w14:paraId="027BFE57"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69D909F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Insufficient resources</w:t>
            </w:r>
          </w:p>
        </w:tc>
        <w:tc>
          <w:tcPr>
            <w:tcW w:w="1665" w:type="dxa"/>
            <w:tcBorders>
              <w:top w:val="nil"/>
              <w:left w:val="single" w:sz="4" w:space="0" w:color="000000"/>
              <w:bottom w:val="nil"/>
              <w:right w:val="nil"/>
            </w:tcBorders>
            <w:tcMar>
              <w:top w:w="100" w:type="dxa"/>
              <w:left w:w="100" w:type="dxa"/>
              <w:bottom w:w="100" w:type="dxa"/>
              <w:right w:w="100" w:type="dxa"/>
            </w:tcMar>
          </w:tcPr>
          <w:p w14:paraId="4660826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58 (90.6%)</w:t>
            </w:r>
          </w:p>
        </w:tc>
        <w:tc>
          <w:tcPr>
            <w:tcW w:w="1545" w:type="dxa"/>
            <w:tcBorders>
              <w:top w:val="nil"/>
              <w:left w:val="nil"/>
              <w:bottom w:val="nil"/>
              <w:right w:val="nil"/>
            </w:tcBorders>
            <w:tcMar>
              <w:top w:w="100" w:type="dxa"/>
              <w:left w:w="100" w:type="dxa"/>
              <w:bottom w:w="100" w:type="dxa"/>
              <w:right w:w="100" w:type="dxa"/>
            </w:tcMar>
          </w:tcPr>
          <w:p w14:paraId="7F779E4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 (9.4%)</w:t>
            </w:r>
          </w:p>
        </w:tc>
      </w:tr>
      <w:tr w:rsidR="00086A58" w14:paraId="195248D2" w14:textId="77777777">
        <w:trPr>
          <w:trHeight w:val="785"/>
        </w:trPr>
        <w:tc>
          <w:tcPr>
            <w:tcW w:w="1830" w:type="dxa"/>
            <w:tcBorders>
              <w:top w:val="nil"/>
              <w:left w:val="nil"/>
              <w:bottom w:val="nil"/>
              <w:right w:val="nil"/>
            </w:tcBorders>
            <w:tcMar>
              <w:top w:w="100" w:type="dxa"/>
              <w:left w:w="100" w:type="dxa"/>
              <w:bottom w:w="100" w:type="dxa"/>
              <w:right w:w="100" w:type="dxa"/>
            </w:tcMar>
          </w:tcPr>
          <w:p w14:paraId="601BA84C"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201454F6"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Large class sizes</w:t>
            </w:r>
          </w:p>
        </w:tc>
        <w:tc>
          <w:tcPr>
            <w:tcW w:w="1665" w:type="dxa"/>
            <w:tcBorders>
              <w:top w:val="nil"/>
              <w:left w:val="single" w:sz="4" w:space="0" w:color="000000"/>
              <w:bottom w:val="nil"/>
              <w:right w:val="nil"/>
            </w:tcBorders>
            <w:tcMar>
              <w:top w:w="100" w:type="dxa"/>
              <w:left w:w="100" w:type="dxa"/>
              <w:bottom w:w="100" w:type="dxa"/>
              <w:right w:w="100" w:type="dxa"/>
            </w:tcMar>
          </w:tcPr>
          <w:p w14:paraId="470C23A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(56.3%)</w:t>
            </w:r>
          </w:p>
        </w:tc>
        <w:tc>
          <w:tcPr>
            <w:tcW w:w="1545" w:type="dxa"/>
            <w:tcBorders>
              <w:top w:val="nil"/>
              <w:left w:val="nil"/>
              <w:bottom w:val="nil"/>
              <w:right w:val="nil"/>
            </w:tcBorders>
            <w:tcMar>
              <w:top w:w="100" w:type="dxa"/>
              <w:left w:w="100" w:type="dxa"/>
              <w:bottom w:w="100" w:type="dxa"/>
              <w:right w:w="100" w:type="dxa"/>
            </w:tcMar>
          </w:tcPr>
          <w:p w14:paraId="37C19A8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(43.8%)</w:t>
            </w:r>
          </w:p>
        </w:tc>
      </w:tr>
      <w:tr w:rsidR="00086A58" w14:paraId="7A7C49E5" w14:textId="77777777">
        <w:trPr>
          <w:trHeight w:val="785"/>
        </w:trPr>
        <w:tc>
          <w:tcPr>
            <w:tcW w:w="1830" w:type="dxa"/>
            <w:tcBorders>
              <w:top w:val="nil"/>
              <w:left w:val="nil"/>
              <w:bottom w:val="nil"/>
              <w:right w:val="nil"/>
            </w:tcBorders>
            <w:tcMar>
              <w:top w:w="100" w:type="dxa"/>
              <w:left w:w="100" w:type="dxa"/>
              <w:bottom w:w="100" w:type="dxa"/>
              <w:right w:w="100" w:type="dxa"/>
            </w:tcMar>
          </w:tcPr>
          <w:p w14:paraId="04C06BF8"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64FACE1A"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Limited support from colleagues</w:t>
            </w:r>
          </w:p>
        </w:tc>
        <w:tc>
          <w:tcPr>
            <w:tcW w:w="1665" w:type="dxa"/>
            <w:tcBorders>
              <w:top w:val="nil"/>
              <w:left w:val="single" w:sz="4" w:space="0" w:color="000000"/>
              <w:bottom w:val="nil"/>
              <w:right w:val="nil"/>
            </w:tcBorders>
            <w:tcMar>
              <w:top w:w="100" w:type="dxa"/>
              <w:left w:w="100" w:type="dxa"/>
              <w:bottom w:w="100" w:type="dxa"/>
              <w:right w:w="100" w:type="dxa"/>
            </w:tcMar>
          </w:tcPr>
          <w:p w14:paraId="04C1A074"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(46.9%)</w:t>
            </w:r>
          </w:p>
        </w:tc>
        <w:tc>
          <w:tcPr>
            <w:tcW w:w="1545" w:type="dxa"/>
            <w:tcBorders>
              <w:top w:val="nil"/>
              <w:left w:val="nil"/>
              <w:bottom w:val="nil"/>
              <w:right w:val="nil"/>
            </w:tcBorders>
            <w:tcMar>
              <w:top w:w="100" w:type="dxa"/>
              <w:left w:w="100" w:type="dxa"/>
              <w:bottom w:w="100" w:type="dxa"/>
              <w:right w:w="100" w:type="dxa"/>
            </w:tcMar>
          </w:tcPr>
          <w:p w14:paraId="13352FED"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 (53.1%)</w:t>
            </w:r>
          </w:p>
        </w:tc>
      </w:tr>
      <w:tr w:rsidR="00086A58" w14:paraId="03CEE925" w14:textId="77777777">
        <w:trPr>
          <w:trHeight w:val="785"/>
        </w:trPr>
        <w:tc>
          <w:tcPr>
            <w:tcW w:w="1830" w:type="dxa"/>
            <w:tcBorders>
              <w:top w:val="nil"/>
              <w:left w:val="nil"/>
              <w:bottom w:val="nil"/>
              <w:right w:val="nil"/>
            </w:tcBorders>
            <w:tcMar>
              <w:top w:w="100" w:type="dxa"/>
              <w:left w:w="100" w:type="dxa"/>
              <w:bottom w:w="100" w:type="dxa"/>
              <w:right w:w="100" w:type="dxa"/>
            </w:tcMar>
          </w:tcPr>
          <w:p w14:paraId="0D2BDC3E"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nil"/>
              <w:left w:val="nil"/>
              <w:bottom w:val="nil"/>
              <w:right w:val="single" w:sz="4" w:space="0" w:color="000000"/>
            </w:tcBorders>
            <w:tcMar>
              <w:top w:w="100" w:type="dxa"/>
              <w:left w:w="100" w:type="dxa"/>
              <w:bottom w:w="100" w:type="dxa"/>
              <w:right w:w="100" w:type="dxa"/>
            </w:tcMar>
          </w:tcPr>
          <w:p w14:paraId="66ACE85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Lack of administrative support</w:t>
            </w:r>
          </w:p>
        </w:tc>
        <w:tc>
          <w:tcPr>
            <w:tcW w:w="1665" w:type="dxa"/>
            <w:tcBorders>
              <w:top w:val="nil"/>
              <w:left w:val="single" w:sz="4" w:space="0" w:color="000000"/>
              <w:bottom w:val="nil"/>
              <w:right w:val="nil"/>
            </w:tcBorders>
            <w:tcMar>
              <w:top w:w="100" w:type="dxa"/>
              <w:left w:w="100" w:type="dxa"/>
              <w:bottom w:w="100" w:type="dxa"/>
              <w:right w:w="100" w:type="dxa"/>
            </w:tcMar>
          </w:tcPr>
          <w:p w14:paraId="125A968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(40.6%)</w:t>
            </w:r>
          </w:p>
        </w:tc>
        <w:tc>
          <w:tcPr>
            <w:tcW w:w="1545" w:type="dxa"/>
            <w:tcBorders>
              <w:top w:val="nil"/>
              <w:left w:val="nil"/>
              <w:bottom w:val="nil"/>
              <w:right w:val="nil"/>
            </w:tcBorders>
            <w:tcMar>
              <w:top w:w="100" w:type="dxa"/>
              <w:left w:w="100" w:type="dxa"/>
              <w:bottom w:w="100" w:type="dxa"/>
              <w:right w:w="100" w:type="dxa"/>
            </w:tcMar>
          </w:tcPr>
          <w:p w14:paraId="384D2D4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 (59.4%)</w:t>
            </w:r>
          </w:p>
        </w:tc>
      </w:tr>
      <w:tr w:rsidR="00086A58" w14:paraId="283E2EE0" w14:textId="77777777">
        <w:trPr>
          <w:trHeight w:val="785"/>
        </w:trPr>
        <w:tc>
          <w:tcPr>
            <w:tcW w:w="1830" w:type="dxa"/>
            <w:tcBorders>
              <w:top w:val="nil"/>
              <w:left w:val="nil"/>
              <w:bottom w:val="single" w:sz="24" w:space="0" w:color="000000"/>
              <w:right w:val="nil"/>
            </w:tcBorders>
            <w:tcMar>
              <w:top w:w="100" w:type="dxa"/>
              <w:left w:w="100" w:type="dxa"/>
              <w:bottom w:w="100" w:type="dxa"/>
              <w:right w:w="100" w:type="dxa"/>
            </w:tcMar>
          </w:tcPr>
          <w:p w14:paraId="33D2D695" w14:textId="77777777" w:rsidR="00086A58" w:rsidRDefault="00086A58">
            <w:pPr>
              <w:spacing w:before="240" w:after="240"/>
              <w:jc w:val="both"/>
              <w:rPr>
                <w:rFonts w:ascii="Times New Roman" w:eastAsia="Times New Roman" w:hAnsi="Times New Roman" w:cs="Times New Roman"/>
                <w:b/>
                <w:bCs/>
                <w:sz w:val="24"/>
                <w:szCs w:val="24"/>
                <w:highlight w:val="white"/>
              </w:rPr>
            </w:pPr>
          </w:p>
        </w:tc>
        <w:tc>
          <w:tcPr>
            <w:tcW w:w="4320" w:type="dxa"/>
            <w:tcBorders>
              <w:top w:val="nil"/>
              <w:left w:val="nil"/>
              <w:bottom w:val="single" w:sz="24" w:space="0" w:color="000000"/>
              <w:right w:val="single" w:sz="4" w:space="0" w:color="000000"/>
            </w:tcBorders>
            <w:tcMar>
              <w:top w:w="100" w:type="dxa"/>
              <w:left w:w="100" w:type="dxa"/>
              <w:bottom w:w="100" w:type="dxa"/>
              <w:right w:w="100" w:type="dxa"/>
            </w:tcMar>
          </w:tcPr>
          <w:p w14:paraId="3A7ED71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Students' behavior</w:t>
            </w:r>
          </w:p>
        </w:tc>
        <w:tc>
          <w:tcPr>
            <w:tcW w:w="1665" w:type="dxa"/>
            <w:tcBorders>
              <w:top w:val="nil"/>
              <w:left w:val="single" w:sz="4" w:space="0" w:color="000000"/>
              <w:bottom w:val="single" w:sz="24" w:space="0" w:color="000000"/>
              <w:right w:val="nil"/>
            </w:tcBorders>
            <w:tcMar>
              <w:top w:w="100" w:type="dxa"/>
              <w:left w:w="100" w:type="dxa"/>
              <w:bottom w:w="100" w:type="dxa"/>
              <w:right w:w="100" w:type="dxa"/>
            </w:tcMar>
          </w:tcPr>
          <w:p w14:paraId="2F0D5ED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 (65.6%)</w:t>
            </w:r>
          </w:p>
        </w:tc>
        <w:tc>
          <w:tcPr>
            <w:tcW w:w="1545" w:type="dxa"/>
            <w:tcBorders>
              <w:top w:val="nil"/>
              <w:left w:val="nil"/>
              <w:bottom w:val="single" w:sz="24" w:space="0" w:color="000000"/>
              <w:right w:val="nil"/>
            </w:tcBorders>
            <w:tcMar>
              <w:top w:w="100" w:type="dxa"/>
              <w:left w:w="100" w:type="dxa"/>
              <w:bottom w:w="100" w:type="dxa"/>
              <w:right w:w="100" w:type="dxa"/>
            </w:tcMar>
          </w:tcPr>
          <w:p w14:paraId="2EFC831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(34.4%)</w:t>
            </w:r>
          </w:p>
        </w:tc>
      </w:tr>
    </w:tbl>
    <w:p w14:paraId="74990437" w14:textId="77777777" w:rsidR="00086A58" w:rsidRDefault="00086A58">
      <w:pPr>
        <w:spacing w:before="240" w:after="240"/>
        <w:jc w:val="both"/>
        <w:rPr>
          <w:rFonts w:ascii="Times New Roman" w:eastAsia="Times New Roman" w:hAnsi="Times New Roman" w:cs="Times New Roman"/>
          <w:sz w:val="24"/>
          <w:szCs w:val="24"/>
          <w:highlight w:val="white"/>
        </w:rPr>
      </w:pPr>
    </w:p>
    <w:p w14:paraId="2D439EB4" w14:textId="77777777" w:rsidR="00086A58" w:rsidRDefault="00086A58">
      <w:pPr>
        <w:spacing w:before="240" w:after="240"/>
        <w:jc w:val="both"/>
        <w:rPr>
          <w:rFonts w:ascii="Times New Roman" w:eastAsia="Times New Roman" w:hAnsi="Times New Roman" w:cs="Times New Roman"/>
          <w:sz w:val="16"/>
          <w:szCs w:val="16"/>
          <w:highlight w:val="white"/>
        </w:rPr>
      </w:pPr>
    </w:p>
    <w:p w14:paraId="162C2873" w14:textId="77777777" w:rsidR="00086A58" w:rsidRDefault="009B1C7A">
      <w:pPr>
        <w:pStyle w:val="Heading3"/>
        <w:keepNext w:val="0"/>
        <w:keepLines w:val="0"/>
        <w:spacing w:before="280"/>
        <w:rPr>
          <w:rFonts w:ascii="Times New Roman" w:eastAsia="Times New Roman" w:hAnsi="Times New Roman" w:cs="Times New Roman"/>
          <w:b/>
          <w:bCs/>
          <w:color w:val="000000"/>
          <w:sz w:val="32"/>
          <w:szCs w:val="32"/>
          <w:highlight w:val="white"/>
        </w:rPr>
      </w:pPr>
      <w:bookmarkStart w:id="11" w:name="_heading=h.vc45ozu1muef" w:colFirst="0" w:colLast="0"/>
      <w:bookmarkEnd w:id="11"/>
      <w:r>
        <w:rPr>
          <w:rFonts w:ascii="Times New Roman" w:eastAsia="Times New Roman" w:hAnsi="Times New Roman" w:cs="Times New Roman"/>
          <w:b/>
          <w:bCs/>
          <w:color w:val="000000"/>
          <w:sz w:val="32"/>
          <w:szCs w:val="32"/>
          <w:highlight w:val="white"/>
        </w:rPr>
        <w:t>Discussion</w:t>
      </w:r>
    </w:p>
    <w:p w14:paraId="37187B13"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12" w:name="_heading=h.1xlxnry2i8k" w:colFirst="0" w:colLast="0"/>
      <w:bookmarkEnd w:id="12"/>
      <w:r>
        <w:rPr>
          <w:rFonts w:ascii="Times New Roman" w:eastAsia="Times New Roman" w:hAnsi="Times New Roman" w:cs="Times New Roman"/>
          <w:b/>
          <w:bCs/>
          <w:color w:val="000000"/>
          <w:sz w:val="28"/>
          <w:szCs w:val="28"/>
          <w:highlight w:val="white"/>
        </w:rPr>
        <w:t>Main Findings</w:t>
      </w:r>
    </w:p>
    <w:p w14:paraId="413663B1"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from this study reveal several important insights into the knowledge of teachers regarding inclusive education for children with special needs. A key finding was that teachers displayed a solid understanding of the core concepts of inclusive education. Many teachers strongly agreed that inclusive education involves integrating students with special needs into mainstream classrooms, with 46.9% of teachers strongly agreeing with this concept. Similarly, a majority recognized the importance of providing equitable access to the general curriculum for students with special needs. However, while teachers acknowledged their role in modifying the curriculum to meet the needs of these students, a slightly smaller proportion felt fully prepared for this responsibility.</w:t>
      </w:r>
    </w:p>
    <w:p w14:paraId="5E9B4455"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strategies for supporting children with special needs, the results highlighted a strong awareness of various teaching methods. Notably, 75% of teachers were familiar with one-on-one tutoring or support, and 68.8% recognized the importance of visual aids and graphic organizers. However, there was less familiarity with assistive technologies such as speech recognition software (56.3%) and screen readers (59.4%), indicating a potential gap in knowledge that may hinder the full implementation of inclusive education practices.</w:t>
      </w:r>
    </w:p>
    <w:p w14:paraId="05995237"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also pointed to significant gaps in professional training, with 45.2% of teachers reporting they had not received formal training in inclusive education. Despite this, a substantial majority (93.2%) expressed willingness to engage in additional professional development. This reflects an eagerness to enhance their capacity to implement inclusive education practices, underscoring the critical role that ongoing professional development can play in improving the quality of education for children with special needs.</w:t>
      </w:r>
    </w:p>
    <w:p w14:paraId="65F3B995"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13" w:name="_heading=h.d935y66lmx84" w:colFirst="0" w:colLast="0"/>
      <w:bookmarkEnd w:id="13"/>
      <w:r>
        <w:rPr>
          <w:rFonts w:ascii="Times New Roman" w:eastAsia="Times New Roman" w:hAnsi="Times New Roman" w:cs="Times New Roman"/>
          <w:b/>
          <w:bCs/>
          <w:color w:val="000000"/>
          <w:sz w:val="28"/>
          <w:szCs w:val="28"/>
          <w:highlight w:val="white"/>
        </w:rPr>
        <w:t>Comparison with Existing Literature</w:t>
      </w:r>
    </w:p>
    <w:p w14:paraId="52236C68"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findings of this study align with existing research, which underscores the pivotal role that teachers' knowledge and attitudes play in the successful implementation of inclusive education (Cate et al., 2018; Belay, 2025). Teachers' positive attitudes toward inclusive education are strongly correlated with their willingness to adopt inclusive practices (Diseth, 2025). This study </w:t>
      </w:r>
      <w:r>
        <w:rPr>
          <w:rFonts w:ascii="Times New Roman" w:eastAsia="Times New Roman" w:hAnsi="Times New Roman" w:cs="Times New Roman"/>
          <w:sz w:val="24"/>
          <w:szCs w:val="24"/>
          <w:highlight w:val="white"/>
        </w:rPr>
        <w:lastRenderedPageBreak/>
        <w:t>similarly found that teachers with a solid understanding of inclusive education were more likely to believe in its benefits and were better equipped to modify their teaching practices to accommodate students with special needs.</w:t>
      </w:r>
    </w:p>
    <w:p w14:paraId="3402C57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One notable comparison is the study by Arnaiz-Sánchez et al. (2023), which identified insufficient resources and lack of teacher training as significant barriers to implementing inclusive education. This finding resonates with the results of this study, where the majority of participants cited insufficient resources as a key challenge. Despite this, teachers in both this study and Arnaiz-Sánchez et al. (2023) work expressed a high level of openness to additional training. Similarly, research by Alhassan et al. (2025) found that despite the awareness of inclusive education’s benefits, teachers often struggled with inadequate support systems, which aligns with the challenges reported by the teachers in this study.</w:t>
      </w:r>
    </w:p>
    <w:p w14:paraId="695E77D0"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gap between teachers' knowledge and their preparedness to implement inclusive education is also well-documented in other studies. A study by </w:t>
      </w:r>
      <w:proofErr w:type="spellStart"/>
      <w:r>
        <w:rPr>
          <w:rFonts w:ascii="Times New Roman" w:eastAsia="Times New Roman" w:hAnsi="Times New Roman" w:cs="Times New Roman"/>
          <w:sz w:val="24"/>
          <w:szCs w:val="24"/>
          <w:highlight w:val="white"/>
        </w:rPr>
        <w:t>Afriani</w:t>
      </w:r>
      <w:proofErr w:type="spellEnd"/>
      <w:r>
        <w:rPr>
          <w:rFonts w:ascii="Times New Roman" w:eastAsia="Times New Roman" w:hAnsi="Times New Roman" w:cs="Times New Roman"/>
          <w:sz w:val="24"/>
          <w:szCs w:val="24"/>
          <w:highlight w:val="white"/>
        </w:rPr>
        <w:t xml:space="preserve"> (2025) highlights that although teachers in inclusive settings often express positive attitudes toward inclusion, they frequently feel unprepared and lack the necessary skills to meet the needs of students with disabilities. The results of this study support this observation, with many teachers acknowledging the importance of modifying the curriculum but expressing doubts about their preparedness. This suggests that while there is an understanding of inclusive education, the lack of adequate training, resources, and institutional support creates barriers to effectively putting these principles into practice.</w:t>
      </w:r>
    </w:p>
    <w:p w14:paraId="682763F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the findings on assistive technologies align with those of Murillo-Jiménez et al. (2025), who identified the lack of knowledge and familiarity with such tools as a significant hindrance in the implementation of inclusive education. Despite the growing availability of technologies like screen readers, speech recognition software, and electronic math aids, teachers in this study showed lower levels of familiarity with these technologies. This indicates a pressing need for professional development programs that specifically address the use of assistive technologies in the classroom.</w:t>
      </w:r>
    </w:p>
    <w:p w14:paraId="4A33E3A9"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study’s finding that a majority of teachers (90.6%) faced challenges related to insufficient resources further highlights a critical issue identified by Angwaomaodoko (2023) in Nigerian schools. The lack of infrastructure and teaching aids, particularly in private schools, continues to pose significant obstacles to the successful integration of children with special needs. These findings underscore the importance of addressing systemic issues such as resource allocation and administrative support to enable the successful implementation of inclusive education.</w:t>
      </w:r>
    </w:p>
    <w:p w14:paraId="43B1A2CF"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Interestingly, while this study revealed a solid understanding of inclusive education concepts and a high willingness to undergo further training, the lack of formal training in special education (45.2%) reflects a gap in teacher preparation programs, as noted in the study by Angwaomaodoko (2023). Their research indicated that teachers' preparedness is often </w:t>
      </w:r>
      <w:r>
        <w:rPr>
          <w:rFonts w:ascii="Times New Roman" w:eastAsia="Times New Roman" w:hAnsi="Times New Roman" w:cs="Times New Roman"/>
          <w:sz w:val="24"/>
          <w:szCs w:val="24"/>
          <w:highlight w:val="white"/>
        </w:rPr>
        <w:lastRenderedPageBreak/>
        <w:t>undermined by the lack of targeted training in inclusive practices, a challenge also highlighted in this study.</w:t>
      </w:r>
    </w:p>
    <w:p w14:paraId="10BFC5E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regarding the benefits of inclusive education echo the broader literature that emphasizes the positive impact of inclusive education on both students with special needs and their peers. The integration of students with special needs into mainstream classrooms promotes social inclusion, enhances self-esteem, and improves academic outcomes for all students (Wang et al., 2023). This study found similar benefits, with most respondents recognizing increased social inclusion (84.4%) and greater diversity in learning environments (75%) as key advantages.</w:t>
      </w:r>
    </w:p>
    <w:p w14:paraId="2818F010" w14:textId="77777777" w:rsidR="00086A58" w:rsidRDefault="009B1C7A">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14" w:name="_heading=h.mc7ing75hfpe" w:colFirst="0" w:colLast="0"/>
      <w:bookmarkEnd w:id="14"/>
      <w:r>
        <w:rPr>
          <w:rFonts w:ascii="Times New Roman" w:eastAsia="Times New Roman" w:hAnsi="Times New Roman" w:cs="Times New Roman"/>
          <w:b/>
          <w:bCs/>
          <w:color w:val="000000"/>
          <w:sz w:val="28"/>
          <w:szCs w:val="28"/>
          <w:highlight w:val="white"/>
        </w:rPr>
        <w:t>Relevance of the Study Findings and Implementation for Interventional Purposes</w:t>
      </w:r>
    </w:p>
    <w:p w14:paraId="5FBE5CEB"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are highly relevant to the ongoing discourse on the need for improved teacher preparation and support for inclusive education in Nigerian schools. Given that a significant proportion of teachers reported insufficient training, a key intervention would be the implementation of robust, targeted professional development programs that focus on inclusive teaching strategies, special needs identification, and the effective use of assistive technologies. The high willingness to participate in further training (93.2%) indicates that teachers are open to learning and enhancing their skills, which could be harnessed to design more effective and accessible training programs.</w:t>
      </w:r>
    </w:p>
    <w:p w14:paraId="24FF8BAC"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the findings highlight the need for policy interventions that prioritize resource allocation for inclusive education in schools. The overwhelming challenge of insufficient resources (90.6%) suggests that addressing this issue is critical to improving the effectiveness of inclusive education. Policymakers and school administrators must work to provide the necessary infrastructure, teaching materials, and technologies to support teachers in meeting the needs of students with special needs.</w:t>
      </w:r>
    </w:p>
    <w:p w14:paraId="7A9E1953"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the study emphasizes the importance of fostering a culture of collaboration among teachers, special education staff, and administrative bodies. The reported challenges related to limited support from colleagues (46.9%) and lack of administrative support (40.6%) underscore the need for a more integrated approach to inclusive education, where all stakeholders work together to create an inclusive and supportive learning environment.</w:t>
      </w:r>
    </w:p>
    <w:p w14:paraId="48E18B0A" w14:textId="77777777" w:rsidR="00086A58" w:rsidRDefault="00086A58">
      <w:pPr>
        <w:spacing w:before="240" w:after="240"/>
        <w:jc w:val="both"/>
        <w:rPr>
          <w:rFonts w:ascii="Times New Roman" w:eastAsia="Times New Roman" w:hAnsi="Times New Roman" w:cs="Times New Roman"/>
          <w:sz w:val="16"/>
          <w:szCs w:val="16"/>
          <w:highlight w:val="white"/>
        </w:rPr>
      </w:pPr>
      <w:bookmarkStart w:id="15" w:name="_heading=h.m443i2qgp6zr" w:colFirst="0" w:colLast="0"/>
      <w:bookmarkEnd w:id="15"/>
    </w:p>
    <w:p w14:paraId="0F9FDC73" w14:textId="77777777" w:rsidR="00086A58" w:rsidRDefault="009B1C7A">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14:paraId="02D8D03E" w14:textId="77777777" w:rsidR="00086A58" w:rsidRDefault="009B1C7A">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teachers generally understand the core concepts of inclusive education and its benefits, significant gaps remain in their preparedness and training. Despite a strong willingness for further professional development, many teachers report insufficient training and resources, which </w:t>
      </w:r>
      <w:r>
        <w:rPr>
          <w:rFonts w:ascii="Times New Roman" w:eastAsia="Times New Roman" w:hAnsi="Times New Roman" w:cs="Times New Roman"/>
          <w:sz w:val="24"/>
          <w:szCs w:val="24"/>
          <w:highlight w:val="white"/>
        </w:rPr>
        <w:lastRenderedPageBreak/>
        <w:t>hinder their ability to effectively implement inclusive practices. The study calls for targeted professional development programs, enhanced resource allocation, and stronger collaboration among educators and administrators to support inclusive education. Policy changes are needed to address the systemic challenges, particularly the lack of infrastructure and teaching aids. Future research should explore the direct impact of teachers’ knowledge on student outcomes, further deepening the understanding of the complexities surrounding inclusive education and offering valuable insights for future educational reforms.</w:t>
      </w:r>
    </w:p>
    <w:p w14:paraId="17A19ED7" w14:textId="77777777" w:rsidR="00731E2C" w:rsidRDefault="00731E2C" w:rsidP="00731E2C">
      <w:pPr>
        <w:pStyle w:val="Heading4"/>
        <w:keepNext w:val="0"/>
        <w:keepLines w:val="0"/>
        <w:spacing w:before="240" w:after="40"/>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Limitations</w:t>
      </w:r>
    </w:p>
    <w:p w14:paraId="2E576F8E"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research was conducted in only three (3) private schools in Anambra State, which may limit the generalizability of the findings to other schools in different regions of Nigeria or to public schools. Additionally, the study relied on self-reported data, which may be subject to social desirability bias, where participants may have provided responses they felt were more acceptable or expected. The lack of longitudinal data also limits the ability to assess changes over time in teachers’ knowledge and practices.</w:t>
      </w:r>
    </w:p>
    <w:p w14:paraId="6B5F5F11"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while the study provides valuable insights into teachers' perceptions and knowledge, it does not directly assess the impact of these perceptions on student outcomes. Future research could explore the relationship between teachers’ knowledge and their effectiveness in implementing inclusive education strategies, as well as the direct impact on students with special needs.</w:t>
      </w:r>
    </w:p>
    <w:p w14:paraId="44CF1021" w14:textId="77777777" w:rsidR="00731E2C" w:rsidRDefault="00731E2C" w:rsidP="00731E2C">
      <w:pPr>
        <w:pStyle w:val="Heading3"/>
        <w:keepNext w:val="0"/>
        <w:keepLines w:val="0"/>
        <w:spacing w:before="280"/>
        <w:rPr>
          <w:rFonts w:ascii="Times New Roman" w:eastAsia="Times New Roman" w:hAnsi="Times New Roman" w:cs="Times New Roman"/>
          <w:b/>
          <w:bCs/>
          <w:color w:val="000000"/>
          <w:highlight w:val="white"/>
        </w:rPr>
      </w:pPr>
      <w:bookmarkStart w:id="16" w:name="_heading=h.owtdjfyg7ga4" w:colFirst="0" w:colLast="0"/>
      <w:bookmarkStart w:id="17" w:name="_heading=h.t8ahpix9ic9l" w:colFirst="0" w:colLast="0"/>
      <w:bookmarkEnd w:id="16"/>
      <w:bookmarkEnd w:id="17"/>
      <w:r>
        <w:rPr>
          <w:rFonts w:ascii="Times New Roman" w:eastAsia="Times New Roman" w:hAnsi="Times New Roman" w:cs="Times New Roman"/>
          <w:b/>
          <w:bCs/>
          <w:color w:val="000000"/>
          <w:highlight w:val="white"/>
        </w:rPr>
        <w:t>Recommendations</w:t>
      </w:r>
    </w:p>
    <w:p w14:paraId="56AA8CB1"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Based on the findings of this study, several recommendations can be made to improve the implementation of inclusive education in Nigerian schools. First, there is a critical need for targeted professional development programs for teachers. Given that many teachers have not received formal training in inclusive education, it is essential that training sessions are organized to equip teachers with the knowledge and skills to effectively integrate students with special needs. These training programs should include practical strategies, use of assistive technologies, and classroom management techniques.</w:t>
      </w:r>
    </w:p>
    <w:p w14:paraId="67E43FCF"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Second, it is important for schools and policymakers to address the issue of insufficient resources. This study highlighted the lack of teaching materials and assistive technologies as significant barriers to effective inclusive education. Schools should be provided with the necessary tools, including specialized learning materials, technologies, and physical infrastructure, to better support students with special needs.</w:t>
      </w:r>
    </w:p>
    <w:p w14:paraId="3A70DC6A"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fostering a culture of collaboration among teachers, special education staff, and school administrators is essential. Teachers need more support from their colleagues and </w:t>
      </w:r>
      <w:r>
        <w:rPr>
          <w:rFonts w:ascii="Times New Roman" w:eastAsia="Times New Roman" w:hAnsi="Times New Roman" w:cs="Times New Roman"/>
          <w:sz w:val="24"/>
          <w:szCs w:val="24"/>
          <w:highlight w:val="white"/>
        </w:rPr>
        <w:lastRenderedPageBreak/>
        <w:t>administrators to effectively implement inclusive practices. Collaboration can enhance the sharing of resources and ideas, creating a more inclusive and supportive learning environment.</w:t>
      </w:r>
    </w:p>
    <w:p w14:paraId="16C49DC9" w14:textId="77777777" w:rsidR="00731E2C" w:rsidRDefault="00731E2C" w:rsidP="00731E2C">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Lastly, ongoing research into the effectiveness of inclusive education practices is recommended. Future studies should explore the direct impact of teachers’ knowledge and strategies on student outcomes, providing further insight into areas for improvement.</w:t>
      </w:r>
    </w:p>
    <w:p w14:paraId="52B9914C" w14:textId="77777777" w:rsidR="00086A58" w:rsidRDefault="00086A58">
      <w:pPr>
        <w:spacing w:before="240" w:after="240"/>
        <w:jc w:val="both"/>
        <w:rPr>
          <w:rFonts w:ascii="Times New Roman" w:eastAsia="Times New Roman" w:hAnsi="Times New Roman" w:cs="Times New Roman"/>
          <w:sz w:val="24"/>
          <w:szCs w:val="24"/>
          <w:highlight w:val="white"/>
        </w:rPr>
      </w:pPr>
    </w:p>
    <w:p w14:paraId="3407E1FC" w14:textId="77777777" w:rsidR="00086A58" w:rsidRDefault="009B1C7A">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Competing Interests:</w:t>
      </w:r>
      <w:r>
        <w:rPr>
          <w:rFonts w:ascii="Times New Roman" w:eastAsia="Times New Roman" w:hAnsi="Times New Roman" w:cs="Times New Roman"/>
          <w:sz w:val="20"/>
          <w:szCs w:val="20"/>
        </w:rPr>
        <w:t xml:space="preserve"> All the authors declare that they have no conflict of interest.</w:t>
      </w:r>
    </w:p>
    <w:p w14:paraId="2D755511" w14:textId="77777777" w:rsidR="00086A58" w:rsidRDefault="009B1C7A">
      <w:pPr>
        <w:shd w:val="clear" w:color="auto" w:fill="FCFCFC"/>
        <w:spacing w:after="100" w:line="360" w:lineRule="auto"/>
        <w:jc w:val="both"/>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 xml:space="preserve">Consent for publication: </w:t>
      </w:r>
      <w:r>
        <w:rPr>
          <w:rFonts w:ascii="Times New Roman" w:eastAsia="Times New Roman" w:hAnsi="Times New Roman" w:cs="Times New Roman"/>
          <w:sz w:val="20"/>
          <w:szCs w:val="20"/>
          <w:highlight w:val="white"/>
        </w:rPr>
        <w:t>Respondents gave consent for their responses to be utilized provided anonymity was maintained.</w:t>
      </w:r>
    </w:p>
    <w:p w14:paraId="21841924" w14:textId="77777777" w:rsidR="00086A58" w:rsidRDefault="009B1C7A">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 xml:space="preserve">Ethical Considerations: </w:t>
      </w:r>
      <w:r>
        <w:rPr>
          <w:rFonts w:ascii="Times New Roman" w:eastAsia="Times New Roman" w:hAnsi="Times New Roman" w:cs="Times New Roman"/>
          <w:sz w:val="20"/>
          <w:szCs w:val="20"/>
          <w:highlight w:val="white"/>
        </w:rPr>
        <w:t xml:space="preserve">This study adhered to ethical guidelines for research involving human participants. Prior to data collection, informed consent was obtained from all participants, ensuring that they were fully aware of the purpose of the study, the voluntary nature of their participation, and the confidentiality of their responses. Teachers were informed that they could withdraw from the study at any time without any negative consequences. The study also ensured that the data collected were used solely for research purposes and that the anonymity of the respondents was maintained throughout the study. Approval for the study was obtained from the </w:t>
      </w:r>
      <w:proofErr w:type="gramStart"/>
      <w:r>
        <w:rPr>
          <w:rFonts w:ascii="Times New Roman" w:eastAsia="Times New Roman" w:hAnsi="Times New Roman" w:cs="Times New Roman"/>
          <w:sz w:val="20"/>
          <w:szCs w:val="20"/>
          <w:highlight w:val="white"/>
        </w:rPr>
        <w:t>institutional  authority</w:t>
      </w:r>
      <w:proofErr w:type="gramEnd"/>
      <w:r>
        <w:rPr>
          <w:rFonts w:ascii="Times New Roman" w:eastAsia="Times New Roman" w:hAnsi="Times New Roman" w:cs="Times New Roman"/>
          <w:sz w:val="20"/>
          <w:szCs w:val="20"/>
          <w:highlight w:val="white"/>
        </w:rPr>
        <w:t xml:space="preserve"> in the respective schools.</w:t>
      </w:r>
    </w:p>
    <w:p w14:paraId="63C53365" w14:textId="77777777" w:rsidR="00086A58" w:rsidRDefault="00086A58">
      <w:pPr>
        <w:spacing w:before="240" w:after="240"/>
        <w:jc w:val="both"/>
        <w:rPr>
          <w:rFonts w:ascii="Times New Roman" w:eastAsia="Times New Roman" w:hAnsi="Times New Roman" w:cs="Times New Roman"/>
          <w:sz w:val="24"/>
          <w:szCs w:val="24"/>
          <w:highlight w:val="white"/>
        </w:rPr>
      </w:pPr>
    </w:p>
    <w:p w14:paraId="1F51A82C" w14:textId="77777777" w:rsidR="00086A58" w:rsidRDefault="00086A58">
      <w:pPr>
        <w:spacing w:before="240" w:after="240"/>
        <w:jc w:val="both"/>
        <w:rPr>
          <w:rFonts w:ascii="Times New Roman" w:eastAsia="Times New Roman" w:hAnsi="Times New Roman" w:cs="Times New Roman"/>
          <w:sz w:val="24"/>
          <w:szCs w:val="24"/>
          <w:highlight w:val="white"/>
        </w:rPr>
      </w:pPr>
    </w:p>
    <w:p w14:paraId="1AAD6AD7" w14:textId="77777777" w:rsidR="00086A58" w:rsidRDefault="009B1C7A">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References </w:t>
      </w:r>
    </w:p>
    <w:p w14:paraId="09E87F31" w14:textId="77777777" w:rsidR="00086A58" w:rsidRDefault="00086A58">
      <w:pPr>
        <w:rPr>
          <w:rFonts w:ascii="Times New Roman" w:eastAsia="Times New Roman" w:hAnsi="Times New Roman" w:cs="Times New Roman"/>
          <w:b/>
          <w:bCs/>
          <w:sz w:val="32"/>
          <w:szCs w:val="32"/>
        </w:rPr>
      </w:pPr>
    </w:p>
    <w:p w14:paraId="37644069"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Abeykoon, H. (2024). Challenges Faced By Educators In Supporting Children With Special Educational Needs And Disabilities In England. International Journal of Education and Research, 12(12), 63-84. </w:t>
      </w:r>
      <w:hyperlink r:id="rId11">
        <w:r w:rsidR="00086A58">
          <w:rPr>
            <w:rFonts w:ascii="Times New Roman" w:eastAsia="Times New Roman" w:hAnsi="Times New Roman" w:cs="Times New Roman"/>
            <w:sz w:val="24"/>
            <w:szCs w:val="24"/>
            <w:highlight w:val="white"/>
            <w:u w:val="single"/>
          </w:rPr>
          <w:t>https://ijern.com/journal/2024/December-2024/06.pdf</w:t>
        </w:r>
      </w:hyperlink>
    </w:p>
    <w:p w14:paraId="1C07CC2C"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Adesokan</w:t>
      </w:r>
      <w:proofErr w:type="spellEnd"/>
      <w:r>
        <w:rPr>
          <w:rFonts w:ascii="Times New Roman" w:eastAsia="Times New Roman" w:hAnsi="Times New Roman" w:cs="Times New Roman"/>
          <w:sz w:val="24"/>
          <w:szCs w:val="24"/>
          <w:highlight w:val="white"/>
        </w:rPr>
        <w:t xml:space="preserve">, A., &amp; </w:t>
      </w:r>
      <w:proofErr w:type="spellStart"/>
      <w:r>
        <w:rPr>
          <w:rFonts w:ascii="Times New Roman" w:eastAsia="Times New Roman" w:hAnsi="Times New Roman" w:cs="Times New Roman"/>
          <w:sz w:val="24"/>
          <w:szCs w:val="24"/>
          <w:highlight w:val="white"/>
        </w:rPr>
        <w:t>Bojuwoye</w:t>
      </w:r>
      <w:proofErr w:type="spellEnd"/>
      <w:r>
        <w:rPr>
          <w:rFonts w:ascii="Times New Roman" w:eastAsia="Times New Roman" w:hAnsi="Times New Roman" w:cs="Times New Roman"/>
          <w:sz w:val="24"/>
          <w:szCs w:val="24"/>
          <w:highlight w:val="white"/>
        </w:rPr>
        <w:t xml:space="preserve">, O. (2023). Teachers’ perceived barriers to inclusive education. ASEAN Journal of Community and Special Needs Education, 2(2), 91-96. </w:t>
      </w:r>
      <w:hyperlink r:id="rId12">
        <w:r w:rsidR="00086A58">
          <w:rPr>
            <w:rFonts w:ascii="Times New Roman" w:eastAsia="Times New Roman" w:hAnsi="Times New Roman" w:cs="Times New Roman"/>
            <w:sz w:val="24"/>
            <w:szCs w:val="24"/>
            <w:highlight w:val="white"/>
            <w:u w:val="single"/>
          </w:rPr>
          <w:t>https://www.ejournal.bumipublikasinusantara.id/index.php/ajcsne/article/view/335</w:t>
        </w:r>
      </w:hyperlink>
    </w:p>
    <w:p w14:paraId="72306728" w14:textId="77777777" w:rsidR="00086A58" w:rsidRDefault="00086A58">
      <w:pPr>
        <w:ind w:left="720"/>
        <w:jc w:val="both"/>
        <w:rPr>
          <w:rFonts w:ascii="Times New Roman" w:eastAsia="Times New Roman" w:hAnsi="Times New Roman" w:cs="Times New Roman"/>
          <w:sz w:val="24"/>
          <w:szCs w:val="24"/>
          <w:highlight w:val="white"/>
        </w:rPr>
      </w:pPr>
    </w:p>
    <w:p w14:paraId="45F26C0E"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Adigun, O. T. (2021). Inclusive education among pre-service teachers from Nigeria and South Africa: A comparative cross-sectional study. Cogent Education, 8(1). </w:t>
      </w:r>
      <w:hyperlink r:id="rId13">
        <w:r w:rsidR="00086A58">
          <w:rPr>
            <w:rFonts w:ascii="Times New Roman" w:eastAsia="Times New Roman" w:hAnsi="Times New Roman" w:cs="Times New Roman"/>
            <w:sz w:val="24"/>
            <w:szCs w:val="24"/>
            <w:highlight w:val="white"/>
            <w:u w:val="single"/>
          </w:rPr>
          <w:t>https://doi.org/10.1080/2331186X.2021.1930491</w:t>
        </w:r>
      </w:hyperlink>
    </w:p>
    <w:p w14:paraId="00283F1D" w14:textId="77777777" w:rsidR="00086A58" w:rsidRDefault="00086A58">
      <w:pPr>
        <w:ind w:left="720"/>
        <w:jc w:val="both"/>
        <w:rPr>
          <w:rFonts w:ascii="Times New Roman" w:eastAsia="Times New Roman" w:hAnsi="Times New Roman" w:cs="Times New Roman"/>
          <w:sz w:val="24"/>
          <w:szCs w:val="24"/>
          <w:highlight w:val="white"/>
        </w:rPr>
      </w:pPr>
    </w:p>
    <w:p w14:paraId="2309EFD6"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Afriani</w:t>
      </w:r>
      <w:proofErr w:type="spellEnd"/>
      <w:r>
        <w:rPr>
          <w:rFonts w:ascii="Times New Roman" w:eastAsia="Times New Roman" w:hAnsi="Times New Roman" w:cs="Times New Roman"/>
          <w:sz w:val="24"/>
          <w:szCs w:val="24"/>
          <w:highlight w:val="white"/>
        </w:rPr>
        <w:t xml:space="preserve">, G. (2025). The Role of Teachers in Implementing Inclusive Education for Children with Special Needs in General School </w:t>
      </w:r>
      <w:proofErr w:type="gramStart"/>
      <w:r>
        <w:rPr>
          <w:rFonts w:ascii="Times New Roman" w:eastAsia="Times New Roman" w:hAnsi="Times New Roman" w:cs="Times New Roman"/>
          <w:sz w:val="24"/>
          <w:szCs w:val="24"/>
          <w:highlight w:val="white"/>
        </w:rPr>
        <w:t>Environments .</w:t>
      </w:r>
      <w:proofErr w:type="gramEnd"/>
      <w:r>
        <w:rPr>
          <w:rFonts w:ascii="Times New Roman" w:eastAsia="Times New Roman" w:hAnsi="Times New Roman" w:cs="Times New Roman"/>
          <w:sz w:val="24"/>
          <w:szCs w:val="24"/>
          <w:highlight w:val="white"/>
        </w:rPr>
        <w:t xml:space="preserve"> Global Education Journal, 3(2), 575–583. </w:t>
      </w:r>
      <w:hyperlink r:id="rId14">
        <w:r w:rsidR="00086A58">
          <w:rPr>
            <w:rFonts w:ascii="Times New Roman" w:eastAsia="Times New Roman" w:hAnsi="Times New Roman" w:cs="Times New Roman"/>
            <w:sz w:val="24"/>
            <w:szCs w:val="24"/>
            <w:highlight w:val="white"/>
            <w:u w:val="single"/>
          </w:rPr>
          <w:t>https://doi.org/10.59525/gej.v3i2.751</w:t>
        </w:r>
      </w:hyperlink>
    </w:p>
    <w:p w14:paraId="4F42B657" w14:textId="77777777" w:rsidR="00086A58" w:rsidRDefault="00086A58">
      <w:pPr>
        <w:ind w:left="720"/>
        <w:jc w:val="both"/>
        <w:rPr>
          <w:rFonts w:ascii="Times New Roman" w:eastAsia="Times New Roman" w:hAnsi="Times New Roman" w:cs="Times New Roman"/>
          <w:sz w:val="24"/>
          <w:szCs w:val="24"/>
          <w:highlight w:val="white"/>
        </w:rPr>
      </w:pPr>
    </w:p>
    <w:p w14:paraId="4D5A086A"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Ainscow, M. (2020). Promoting inclusion and equity in education: lessons from international experiences. Nordic Journal of Studies in Educational Policy, 6(1), 7–16. </w:t>
      </w:r>
      <w:hyperlink r:id="rId15">
        <w:r w:rsidR="00086A58">
          <w:rPr>
            <w:rFonts w:ascii="Times New Roman" w:eastAsia="Times New Roman" w:hAnsi="Times New Roman" w:cs="Times New Roman"/>
            <w:sz w:val="24"/>
            <w:szCs w:val="24"/>
            <w:highlight w:val="white"/>
            <w:u w:val="single"/>
          </w:rPr>
          <w:t>https://doi.org/10.1080/20020317.2020.1729587</w:t>
        </w:r>
      </w:hyperlink>
    </w:p>
    <w:p w14:paraId="12019810" w14:textId="77777777" w:rsidR="00086A58" w:rsidRDefault="00086A58">
      <w:pPr>
        <w:ind w:left="720"/>
        <w:jc w:val="both"/>
        <w:rPr>
          <w:rFonts w:ascii="Times New Roman" w:eastAsia="Times New Roman" w:hAnsi="Times New Roman" w:cs="Times New Roman"/>
          <w:sz w:val="24"/>
          <w:szCs w:val="24"/>
          <w:highlight w:val="white"/>
        </w:rPr>
      </w:pPr>
    </w:p>
    <w:p w14:paraId="62335136"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Alhassan, A. M., Solheim, K., </w:t>
      </w:r>
      <w:proofErr w:type="spellStart"/>
      <w:r>
        <w:rPr>
          <w:rFonts w:ascii="Times New Roman" w:eastAsia="Times New Roman" w:hAnsi="Times New Roman" w:cs="Times New Roman"/>
          <w:sz w:val="24"/>
          <w:szCs w:val="24"/>
          <w:highlight w:val="white"/>
        </w:rPr>
        <w:t>Mellemsether</w:t>
      </w:r>
      <w:proofErr w:type="spellEnd"/>
      <w:r>
        <w:rPr>
          <w:rFonts w:ascii="Times New Roman" w:eastAsia="Times New Roman" w:hAnsi="Times New Roman" w:cs="Times New Roman"/>
          <w:sz w:val="24"/>
          <w:szCs w:val="24"/>
          <w:highlight w:val="white"/>
        </w:rPr>
        <w:t xml:space="preserve">, B., &amp; Hall Christensen, M. (2025). Teachers’ perspectives on supporting special needs in inclusive high schools. Educational Research, 67(4), 407–424. </w:t>
      </w:r>
      <w:hyperlink r:id="rId16">
        <w:r w:rsidR="00086A58">
          <w:rPr>
            <w:rFonts w:ascii="Times New Roman" w:eastAsia="Times New Roman" w:hAnsi="Times New Roman" w:cs="Times New Roman"/>
            <w:sz w:val="24"/>
            <w:szCs w:val="24"/>
            <w:highlight w:val="white"/>
            <w:u w:val="single"/>
          </w:rPr>
          <w:t>https://doi.org/10.1080/00131881.2025.2557641</w:t>
        </w:r>
      </w:hyperlink>
    </w:p>
    <w:p w14:paraId="65BF75AF" w14:textId="77777777" w:rsidR="00086A58" w:rsidRDefault="00086A58">
      <w:pPr>
        <w:ind w:left="720"/>
        <w:jc w:val="both"/>
        <w:rPr>
          <w:rFonts w:ascii="Times New Roman" w:eastAsia="Times New Roman" w:hAnsi="Times New Roman" w:cs="Times New Roman"/>
          <w:sz w:val="24"/>
          <w:szCs w:val="24"/>
          <w:highlight w:val="white"/>
        </w:rPr>
      </w:pPr>
    </w:p>
    <w:p w14:paraId="7D129815"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Alkahtani</w:t>
      </w:r>
      <w:proofErr w:type="spellEnd"/>
      <w:r>
        <w:rPr>
          <w:rFonts w:ascii="Times New Roman" w:eastAsia="Times New Roman" w:hAnsi="Times New Roman" w:cs="Times New Roman"/>
          <w:sz w:val="24"/>
          <w:szCs w:val="24"/>
          <w:highlight w:val="white"/>
        </w:rPr>
        <w:t xml:space="preserve"> K. D. F. (2022). Teachers' Knowledge and Attitudes toward Sustainable Inclusive Education for Students with Emotional and Behavioral Disorders. Children (Basel, Switzerland), 9(12), 1940. </w:t>
      </w:r>
      <w:hyperlink r:id="rId17">
        <w:r w:rsidR="00086A58">
          <w:rPr>
            <w:rFonts w:ascii="Times New Roman" w:eastAsia="Times New Roman" w:hAnsi="Times New Roman" w:cs="Times New Roman"/>
            <w:sz w:val="24"/>
            <w:szCs w:val="24"/>
            <w:highlight w:val="white"/>
            <w:u w:val="single"/>
          </w:rPr>
          <w:t>https://doi.org/10.3390/children9121940</w:t>
        </w:r>
      </w:hyperlink>
    </w:p>
    <w:p w14:paraId="4D6151D8" w14:textId="77777777" w:rsidR="00086A58" w:rsidRDefault="00086A58">
      <w:pPr>
        <w:ind w:left="720"/>
        <w:jc w:val="both"/>
        <w:rPr>
          <w:rFonts w:ascii="Times New Roman" w:eastAsia="Times New Roman" w:hAnsi="Times New Roman" w:cs="Times New Roman"/>
          <w:sz w:val="24"/>
          <w:szCs w:val="24"/>
          <w:highlight w:val="white"/>
        </w:rPr>
      </w:pPr>
    </w:p>
    <w:p w14:paraId="298D9AD2"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Alumona</w:t>
      </w:r>
      <w:proofErr w:type="spellEnd"/>
      <w:r>
        <w:rPr>
          <w:rFonts w:ascii="Times New Roman" w:eastAsia="Times New Roman" w:hAnsi="Times New Roman" w:cs="Times New Roman"/>
          <w:sz w:val="24"/>
          <w:szCs w:val="24"/>
          <w:highlight w:val="white"/>
        </w:rPr>
        <w:t>, N. I., &amp; Odoh, C. E. (2025). Assessing the Implementation of Inclusive Education Policies for Children with Disabilities in Nigerian Public Primary Schools: Challenges, Opportunities, and Strategies for Improvement. UNIZIK Journal of Educational Research and Policy Studies, 20(1). https://www.unijerps.org/index.php/unijerps/article/view/1030</w:t>
      </w:r>
    </w:p>
    <w:p w14:paraId="38792B7A" w14:textId="77777777" w:rsidR="00086A58" w:rsidRDefault="00086A58">
      <w:pPr>
        <w:ind w:left="720"/>
        <w:jc w:val="both"/>
        <w:rPr>
          <w:rFonts w:ascii="Times New Roman" w:eastAsia="Times New Roman" w:hAnsi="Times New Roman" w:cs="Times New Roman"/>
          <w:sz w:val="24"/>
          <w:szCs w:val="24"/>
          <w:highlight w:val="white"/>
        </w:rPr>
      </w:pPr>
    </w:p>
    <w:p w14:paraId="1B85C236"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Angwaomaodoko, E. A. (2023). The challenges and opportunities of inclusive education in Nigeria. </w:t>
      </w:r>
      <w:proofErr w:type="spellStart"/>
      <w:r>
        <w:rPr>
          <w:rFonts w:ascii="Times New Roman" w:eastAsia="Times New Roman" w:hAnsi="Times New Roman" w:cs="Times New Roman"/>
          <w:sz w:val="24"/>
          <w:szCs w:val="24"/>
          <w:highlight w:val="white"/>
        </w:rPr>
        <w:t>Traektoriâ</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Nauki</w:t>
      </w:r>
      <w:proofErr w:type="spellEnd"/>
      <w:r>
        <w:rPr>
          <w:rFonts w:ascii="Times New Roman" w:eastAsia="Times New Roman" w:hAnsi="Times New Roman" w:cs="Times New Roman"/>
          <w:sz w:val="24"/>
          <w:szCs w:val="24"/>
          <w:highlight w:val="white"/>
        </w:rPr>
        <w:t xml:space="preserve">, 9(7), 1001-1009. </w:t>
      </w:r>
      <w:hyperlink r:id="rId18">
        <w:r w:rsidR="00086A58">
          <w:rPr>
            <w:rFonts w:ascii="Times New Roman" w:eastAsia="Times New Roman" w:hAnsi="Times New Roman" w:cs="Times New Roman"/>
            <w:sz w:val="24"/>
            <w:szCs w:val="24"/>
            <w:highlight w:val="white"/>
            <w:u w:val="single"/>
          </w:rPr>
          <w:t>https://doi.org/10.22178/pos.94-1</w:t>
        </w:r>
      </w:hyperlink>
    </w:p>
    <w:p w14:paraId="757851C1" w14:textId="77777777" w:rsidR="00086A58" w:rsidRDefault="00086A58">
      <w:pPr>
        <w:ind w:left="720"/>
        <w:jc w:val="both"/>
        <w:rPr>
          <w:rFonts w:ascii="Times New Roman" w:eastAsia="Times New Roman" w:hAnsi="Times New Roman" w:cs="Times New Roman"/>
          <w:sz w:val="24"/>
          <w:szCs w:val="24"/>
          <w:highlight w:val="white"/>
        </w:rPr>
      </w:pPr>
    </w:p>
    <w:p w14:paraId="23E54589"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Arnaiz-Sánchez, P., De Haro-Rodríguez, R., Caballero, C. M., &amp; </w:t>
      </w:r>
      <w:proofErr w:type="spellStart"/>
      <w:r>
        <w:rPr>
          <w:rFonts w:ascii="Times New Roman" w:eastAsia="Times New Roman" w:hAnsi="Times New Roman" w:cs="Times New Roman"/>
          <w:sz w:val="24"/>
          <w:szCs w:val="24"/>
          <w:highlight w:val="white"/>
        </w:rPr>
        <w:t>Martínez-Abellán</w:t>
      </w:r>
      <w:proofErr w:type="spellEnd"/>
      <w:r>
        <w:rPr>
          <w:rFonts w:ascii="Times New Roman" w:eastAsia="Times New Roman" w:hAnsi="Times New Roman" w:cs="Times New Roman"/>
          <w:sz w:val="24"/>
          <w:szCs w:val="24"/>
          <w:highlight w:val="white"/>
        </w:rPr>
        <w:t xml:space="preserve">, R. (2023). Barriers to Educational Inclusion in Initial Teacher Training. Societies, 13(2), 31. </w:t>
      </w:r>
      <w:hyperlink r:id="rId19">
        <w:r w:rsidR="00086A58">
          <w:rPr>
            <w:rFonts w:ascii="Times New Roman" w:eastAsia="Times New Roman" w:hAnsi="Times New Roman" w:cs="Times New Roman"/>
            <w:sz w:val="24"/>
            <w:szCs w:val="24"/>
            <w:highlight w:val="white"/>
            <w:u w:val="single"/>
          </w:rPr>
          <w:t>https://doi.org/10.3390/soc13020031</w:t>
        </w:r>
      </w:hyperlink>
    </w:p>
    <w:p w14:paraId="2DA96C51" w14:textId="77777777" w:rsidR="00086A58" w:rsidRDefault="00086A58">
      <w:pPr>
        <w:ind w:left="720"/>
        <w:jc w:val="both"/>
        <w:rPr>
          <w:rFonts w:ascii="Times New Roman" w:eastAsia="Times New Roman" w:hAnsi="Times New Roman" w:cs="Times New Roman"/>
          <w:sz w:val="24"/>
          <w:szCs w:val="24"/>
          <w:highlight w:val="white"/>
        </w:rPr>
      </w:pPr>
    </w:p>
    <w:p w14:paraId="57AD2735"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Belay, H. D. (2025). Teacher related factors affecting the implementation of inclusive education; </w:t>
      </w:r>
      <w:proofErr w:type="spellStart"/>
      <w:r>
        <w:rPr>
          <w:rFonts w:ascii="Times New Roman" w:eastAsia="Times New Roman" w:hAnsi="Times New Roman" w:cs="Times New Roman"/>
          <w:sz w:val="24"/>
          <w:szCs w:val="24"/>
          <w:highlight w:val="white"/>
        </w:rPr>
        <w:t>Yekegat</w:t>
      </w:r>
      <w:proofErr w:type="spellEnd"/>
      <w:r>
        <w:rPr>
          <w:rFonts w:ascii="Times New Roman" w:eastAsia="Times New Roman" w:hAnsi="Times New Roman" w:cs="Times New Roman"/>
          <w:sz w:val="24"/>
          <w:szCs w:val="24"/>
          <w:highlight w:val="white"/>
        </w:rPr>
        <w:t xml:space="preserve"> Primary School, </w:t>
      </w:r>
      <w:proofErr w:type="spellStart"/>
      <w:r>
        <w:rPr>
          <w:rFonts w:ascii="Times New Roman" w:eastAsia="Times New Roman" w:hAnsi="Times New Roman" w:cs="Times New Roman"/>
          <w:sz w:val="24"/>
          <w:szCs w:val="24"/>
          <w:highlight w:val="white"/>
        </w:rPr>
        <w:t>Debre</w:t>
      </w:r>
      <w:proofErr w:type="spellEnd"/>
      <w:r>
        <w:rPr>
          <w:rFonts w:ascii="Times New Roman" w:eastAsia="Times New Roman" w:hAnsi="Times New Roman" w:cs="Times New Roman"/>
          <w:sz w:val="24"/>
          <w:szCs w:val="24"/>
          <w:highlight w:val="white"/>
        </w:rPr>
        <w:t xml:space="preserve"> Elias, Ethiopia. Advances, 6(3) </w:t>
      </w:r>
      <w:hyperlink r:id="rId20">
        <w:r w:rsidR="00086A58">
          <w:rPr>
            <w:rFonts w:ascii="Times New Roman" w:eastAsia="Times New Roman" w:hAnsi="Times New Roman" w:cs="Times New Roman"/>
            <w:sz w:val="24"/>
            <w:szCs w:val="24"/>
            <w:highlight w:val="white"/>
            <w:u w:val="single"/>
          </w:rPr>
          <w:t>https://doi.org/10.11648/j.advances.20250603.11</w:t>
        </w:r>
      </w:hyperlink>
    </w:p>
    <w:p w14:paraId="28C5F68B"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Bessarab</w:t>
      </w:r>
      <w:proofErr w:type="spellEnd"/>
      <w:r>
        <w:rPr>
          <w:rFonts w:ascii="Times New Roman" w:eastAsia="Times New Roman" w:hAnsi="Times New Roman" w:cs="Times New Roman"/>
          <w:sz w:val="24"/>
          <w:szCs w:val="24"/>
          <w:highlight w:val="white"/>
        </w:rPr>
        <w:t xml:space="preserve">, A., Antonenko, I., </w:t>
      </w:r>
      <w:proofErr w:type="spellStart"/>
      <w:r>
        <w:rPr>
          <w:rFonts w:ascii="Times New Roman" w:eastAsia="Times New Roman" w:hAnsi="Times New Roman" w:cs="Times New Roman"/>
          <w:sz w:val="24"/>
          <w:szCs w:val="24"/>
          <w:highlight w:val="white"/>
        </w:rPr>
        <w:t>Turubarova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Smoliak</w:t>
      </w:r>
      <w:proofErr w:type="spellEnd"/>
      <w:r>
        <w:rPr>
          <w:rFonts w:ascii="Times New Roman" w:eastAsia="Times New Roman" w:hAnsi="Times New Roman" w:cs="Times New Roman"/>
          <w:sz w:val="24"/>
          <w:szCs w:val="24"/>
          <w:highlight w:val="white"/>
        </w:rPr>
        <w:t xml:space="preserve">, V., &amp; </w:t>
      </w:r>
      <w:proofErr w:type="spellStart"/>
      <w:r>
        <w:rPr>
          <w:rFonts w:ascii="Times New Roman" w:eastAsia="Times New Roman" w:hAnsi="Times New Roman" w:cs="Times New Roman"/>
          <w:sz w:val="24"/>
          <w:szCs w:val="24"/>
          <w:highlight w:val="white"/>
        </w:rPr>
        <w:t>Morenko</w:t>
      </w:r>
      <w:proofErr w:type="spellEnd"/>
      <w:r>
        <w:rPr>
          <w:rFonts w:ascii="Times New Roman" w:eastAsia="Times New Roman" w:hAnsi="Times New Roman" w:cs="Times New Roman"/>
          <w:sz w:val="24"/>
          <w:szCs w:val="24"/>
          <w:highlight w:val="white"/>
        </w:rPr>
        <w:t>, O. (2023). Inclusive education</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strategies and methods of implementation in the context of modern pedagogy. </w:t>
      </w:r>
      <w:proofErr w:type="spellStart"/>
      <w:r>
        <w:rPr>
          <w:rFonts w:ascii="Times New Roman" w:eastAsia="Times New Roman" w:hAnsi="Times New Roman" w:cs="Times New Roman"/>
          <w:sz w:val="24"/>
          <w:szCs w:val="24"/>
          <w:highlight w:val="white"/>
        </w:rPr>
        <w:t>Cadernos</w:t>
      </w:r>
      <w:proofErr w:type="spellEnd"/>
      <w:r>
        <w:rPr>
          <w:rFonts w:ascii="Times New Roman" w:eastAsia="Times New Roman" w:hAnsi="Times New Roman" w:cs="Times New Roman"/>
          <w:sz w:val="24"/>
          <w:szCs w:val="24"/>
          <w:highlight w:val="white"/>
        </w:rPr>
        <w:t xml:space="preserve"> de </w:t>
      </w:r>
      <w:proofErr w:type="spellStart"/>
      <w:r>
        <w:rPr>
          <w:rFonts w:ascii="Times New Roman" w:eastAsia="Times New Roman" w:hAnsi="Times New Roman" w:cs="Times New Roman"/>
          <w:sz w:val="24"/>
          <w:szCs w:val="24"/>
          <w:highlight w:val="white"/>
        </w:rPr>
        <w:t>Educação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Tecnologia</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Sociedade</w:t>
      </w:r>
      <w:proofErr w:type="spellEnd"/>
      <w:r>
        <w:rPr>
          <w:rFonts w:ascii="Times New Roman" w:eastAsia="Times New Roman" w:hAnsi="Times New Roman" w:cs="Times New Roman"/>
          <w:sz w:val="24"/>
          <w:szCs w:val="24"/>
          <w:highlight w:val="white"/>
        </w:rPr>
        <w:t xml:space="preserve">, 16(se2), 165-177. </w:t>
      </w:r>
      <w:hyperlink r:id="rId21">
        <w:r w:rsidR="00086A58">
          <w:rPr>
            <w:rFonts w:ascii="Times New Roman" w:eastAsia="Times New Roman" w:hAnsi="Times New Roman" w:cs="Times New Roman"/>
            <w:sz w:val="24"/>
            <w:szCs w:val="24"/>
            <w:highlight w:val="white"/>
            <w:u w:val="single"/>
          </w:rPr>
          <w:t>https://doi.org/10.14571/brajets.v16.nse2.165-177</w:t>
        </w:r>
      </w:hyperlink>
    </w:p>
    <w:p w14:paraId="4D90079D" w14:textId="77777777" w:rsidR="00086A58" w:rsidRDefault="00086A58">
      <w:pPr>
        <w:ind w:left="720"/>
        <w:jc w:val="both"/>
        <w:rPr>
          <w:rFonts w:ascii="Times New Roman" w:eastAsia="Times New Roman" w:hAnsi="Times New Roman" w:cs="Times New Roman"/>
          <w:sz w:val="24"/>
          <w:szCs w:val="24"/>
          <w:highlight w:val="white"/>
        </w:rPr>
      </w:pPr>
    </w:p>
    <w:p w14:paraId="2980F910"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Cate, P. T., Ineke, M., Markova, M., Krischler, M., &amp; Krolak-Schwerdt, S. (2018). Promoting Inclusive Education: The Role of Teachers' Competence and Attitudes. Insights into Learning Disabilities, 15(1), 49-63. </w:t>
      </w:r>
      <w:hyperlink r:id="rId22">
        <w:r w:rsidR="00086A58">
          <w:rPr>
            <w:rFonts w:ascii="Times New Roman" w:eastAsia="Times New Roman" w:hAnsi="Times New Roman" w:cs="Times New Roman"/>
            <w:sz w:val="24"/>
            <w:szCs w:val="24"/>
            <w:highlight w:val="white"/>
            <w:u w:val="single"/>
          </w:rPr>
          <w:t>https://files.eric.ed.gov/fulltext/EJ1182863.pdf</w:t>
        </w:r>
      </w:hyperlink>
    </w:p>
    <w:p w14:paraId="53DFAB49" w14:textId="77777777" w:rsidR="00086A58" w:rsidRDefault="00086A58">
      <w:pPr>
        <w:ind w:left="720"/>
        <w:jc w:val="both"/>
        <w:rPr>
          <w:rFonts w:ascii="Times New Roman" w:eastAsia="Times New Roman" w:hAnsi="Times New Roman" w:cs="Times New Roman"/>
          <w:sz w:val="24"/>
          <w:szCs w:val="24"/>
          <w:highlight w:val="white"/>
        </w:rPr>
      </w:pPr>
    </w:p>
    <w:p w14:paraId="46BAEC81"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Charitaki</w:t>
      </w:r>
      <w:proofErr w:type="spellEnd"/>
      <w:r>
        <w:rPr>
          <w:rFonts w:ascii="Times New Roman" w:eastAsia="Times New Roman" w:hAnsi="Times New Roman" w:cs="Times New Roman"/>
          <w:sz w:val="24"/>
          <w:szCs w:val="24"/>
          <w:highlight w:val="white"/>
        </w:rPr>
        <w:t xml:space="preserve">, G., Kourti, I., Gregory, J. L., Ozturk, M., Ismail, Z., </w:t>
      </w:r>
      <w:proofErr w:type="spellStart"/>
      <w:r>
        <w:rPr>
          <w:rFonts w:ascii="Times New Roman" w:eastAsia="Times New Roman" w:hAnsi="Times New Roman" w:cs="Times New Roman"/>
          <w:sz w:val="24"/>
          <w:szCs w:val="24"/>
          <w:highlight w:val="white"/>
        </w:rPr>
        <w:t>Alevriadou</w:t>
      </w:r>
      <w:proofErr w:type="spellEnd"/>
      <w:r>
        <w:rPr>
          <w:rFonts w:ascii="Times New Roman" w:eastAsia="Times New Roman" w:hAnsi="Times New Roman" w:cs="Times New Roman"/>
          <w:sz w:val="24"/>
          <w:szCs w:val="24"/>
          <w:highlight w:val="white"/>
        </w:rPr>
        <w:t xml:space="preserve">, A., Soulis, S. G., </w:t>
      </w:r>
      <w:proofErr w:type="spellStart"/>
      <w:r>
        <w:rPr>
          <w:rFonts w:ascii="Times New Roman" w:eastAsia="Times New Roman" w:hAnsi="Times New Roman" w:cs="Times New Roman"/>
          <w:sz w:val="24"/>
          <w:szCs w:val="24"/>
          <w:highlight w:val="white"/>
        </w:rPr>
        <w:t>Sakici</w:t>
      </w:r>
      <w:proofErr w:type="spellEnd"/>
      <w:r>
        <w:rPr>
          <w:rFonts w:ascii="Times New Roman" w:eastAsia="Times New Roman" w:hAnsi="Times New Roman" w:cs="Times New Roman"/>
          <w:sz w:val="24"/>
          <w:szCs w:val="24"/>
          <w:highlight w:val="white"/>
        </w:rPr>
        <w:t xml:space="preserve">, Ş., &amp; Demirel, C. (2022). Teachers' Attitudes </w:t>
      </w:r>
      <w:proofErr w:type="gramStart"/>
      <w:r>
        <w:rPr>
          <w:rFonts w:ascii="Times New Roman" w:eastAsia="Times New Roman" w:hAnsi="Times New Roman" w:cs="Times New Roman"/>
          <w:sz w:val="24"/>
          <w:szCs w:val="24"/>
          <w:highlight w:val="white"/>
        </w:rPr>
        <w:t>Towards</w:t>
      </w:r>
      <w:proofErr w:type="gramEnd"/>
      <w:r>
        <w:rPr>
          <w:rFonts w:ascii="Times New Roman" w:eastAsia="Times New Roman" w:hAnsi="Times New Roman" w:cs="Times New Roman"/>
          <w:sz w:val="24"/>
          <w:szCs w:val="24"/>
          <w:highlight w:val="white"/>
        </w:rPr>
        <w:t xml:space="preserve"> Inclusive Education: a Cross-National Exploration. Trends in psychology, 1–28. Advance online publication. https://doi.org/10.1007/s43076-022-00240-0</w:t>
      </w:r>
    </w:p>
    <w:p w14:paraId="0C0FFAAA" w14:textId="77777777" w:rsidR="00086A58" w:rsidRDefault="00086A58">
      <w:pPr>
        <w:ind w:left="720"/>
        <w:jc w:val="both"/>
        <w:rPr>
          <w:rFonts w:ascii="Times New Roman" w:eastAsia="Times New Roman" w:hAnsi="Times New Roman" w:cs="Times New Roman"/>
          <w:sz w:val="24"/>
          <w:szCs w:val="24"/>
          <w:highlight w:val="white"/>
        </w:rPr>
      </w:pPr>
    </w:p>
    <w:p w14:paraId="5C101184"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Chow, W. S. E., de Bruin, K., &amp; Sharma, U. (2024). A scoping review of perceived support needs of teachers for implementing inclusive education. International Journal of Inclusive Education, 28(13), 3321–3340. </w:t>
      </w:r>
      <w:hyperlink r:id="rId23">
        <w:r w:rsidR="00086A58">
          <w:rPr>
            <w:rFonts w:ascii="Times New Roman" w:eastAsia="Times New Roman" w:hAnsi="Times New Roman" w:cs="Times New Roman"/>
            <w:sz w:val="24"/>
            <w:szCs w:val="24"/>
            <w:highlight w:val="white"/>
            <w:u w:val="single"/>
          </w:rPr>
          <w:t>https://doi.org/10.1080/13603116.2023.2244956</w:t>
        </w:r>
      </w:hyperlink>
    </w:p>
    <w:p w14:paraId="6F7CD2E9" w14:textId="77777777" w:rsidR="00086A58" w:rsidRDefault="00086A58">
      <w:pPr>
        <w:ind w:left="720"/>
        <w:jc w:val="both"/>
        <w:rPr>
          <w:rFonts w:ascii="Times New Roman" w:eastAsia="Times New Roman" w:hAnsi="Times New Roman" w:cs="Times New Roman"/>
          <w:sz w:val="24"/>
          <w:szCs w:val="24"/>
          <w:highlight w:val="white"/>
        </w:rPr>
      </w:pPr>
    </w:p>
    <w:p w14:paraId="22B42C4F"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Diseth, Å. (2025). Teachers’ attitudes toward inclusion, levels of self-efficacy and beliefs about a strength-based approach to education. International Journal of Inclusive Education, 1–19. </w:t>
      </w:r>
      <w:hyperlink r:id="rId24">
        <w:r w:rsidR="00086A58">
          <w:rPr>
            <w:rFonts w:ascii="Times New Roman" w:eastAsia="Times New Roman" w:hAnsi="Times New Roman" w:cs="Times New Roman"/>
            <w:sz w:val="24"/>
            <w:szCs w:val="24"/>
            <w:highlight w:val="white"/>
            <w:u w:val="single"/>
          </w:rPr>
          <w:t>https://doi.org/10.1080/13603116.2025.2593561</w:t>
        </w:r>
      </w:hyperlink>
    </w:p>
    <w:p w14:paraId="75148952" w14:textId="77777777" w:rsidR="00086A58" w:rsidRDefault="00086A58">
      <w:pPr>
        <w:ind w:left="720"/>
        <w:jc w:val="both"/>
        <w:rPr>
          <w:rFonts w:ascii="Times New Roman" w:eastAsia="Times New Roman" w:hAnsi="Times New Roman" w:cs="Times New Roman"/>
          <w:sz w:val="24"/>
          <w:szCs w:val="24"/>
          <w:highlight w:val="white"/>
        </w:rPr>
      </w:pPr>
    </w:p>
    <w:p w14:paraId="2FE4F897"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Doyle, A. J., O'Toole, M., Cassidy, D., &amp; Condron, C. M. (2025). Universal Design for Learning (UDL) in simulation-based health professions education. Advances in simulation (London, England), 10(1), 33. </w:t>
      </w:r>
      <w:hyperlink r:id="rId25">
        <w:r w:rsidR="00086A58">
          <w:rPr>
            <w:rFonts w:ascii="Times New Roman" w:eastAsia="Times New Roman" w:hAnsi="Times New Roman" w:cs="Times New Roman"/>
            <w:sz w:val="24"/>
            <w:szCs w:val="24"/>
            <w:highlight w:val="white"/>
            <w:u w:val="single"/>
          </w:rPr>
          <w:t>https://doi.org/10.1186/s41077-025-00361-3</w:t>
        </w:r>
      </w:hyperlink>
    </w:p>
    <w:p w14:paraId="7E217E9C" w14:textId="77777777" w:rsidR="00086A58" w:rsidRDefault="00086A58">
      <w:pPr>
        <w:ind w:left="720"/>
        <w:jc w:val="both"/>
        <w:rPr>
          <w:rFonts w:ascii="Times New Roman" w:eastAsia="Times New Roman" w:hAnsi="Times New Roman" w:cs="Times New Roman"/>
          <w:sz w:val="24"/>
          <w:szCs w:val="24"/>
          <w:highlight w:val="white"/>
        </w:rPr>
      </w:pPr>
    </w:p>
    <w:p w14:paraId="66032AFE"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European Agency for Special Needs and Inclusive Education. (2025). Teacher professional learning in Finland and Ireland: Findings report. </w:t>
      </w:r>
      <w:hyperlink r:id="rId26">
        <w:r w:rsidR="00086A58">
          <w:rPr>
            <w:rFonts w:ascii="Times New Roman" w:eastAsia="Times New Roman" w:hAnsi="Times New Roman" w:cs="Times New Roman"/>
            <w:sz w:val="24"/>
            <w:szCs w:val="24"/>
            <w:highlight w:val="white"/>
            <w:u w:val="single"/>
          </w:rPr>
          <w:t>https://www.european-agency.org/sites/default/files/Findings_Report_on_Teacher_Professional_Learning.pdf</w:t>
        </w:r>
      </w:hyperlink>
    </w:p>
    <w:p w14:paraId="22954A16" w14:textId="77777777" w:rsidR="00086A58" w:rsidRDefault="00086A58">
      <w:pPr>
        <w:ind w:left="720"/>
        <w:jc w:val="both"/>
        <w:rPr>
          <w:rFonts w:ascii="Times New Roman" w:eastAsia="Times New Roman" w:hAnsi="Times New Roman" w:cs="Times New Roman"/>
          <w:sz w:val="24"/>
          <w:szCs w:val="24"/>
          <w:highlight w:val="white"/>
        </w:rPr>
      </w:pPr>
    </w:p>
    <w:p w14:paraId="5447F27A"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European Association of Service Providers for Persons with Disabilities. (2023). Transition from special education to inclusive education systems. </w:t>
      </w:r>
      <w:hyperlink r:id="rId27">
        <w:r w:rsidR="00086A58">
          <w:rPr>
            <w:rFonts w:ascii="Times New Roman" w:eastAsia="Times New Roman" w:hAnsi="Times New Roman" w:cs="Times New Roman"/>
            <w:sz w:val="24"/>
            <w:szCs w:val="24"/>
            <w:highlight w:val="white"/>
            <w:u w:val="single"/>
          </w:rPr>
          <w:t>https://easpd.eu/fileadmin/user_upload/Publications/EASPD-Transfer_of_Knowlege_23_pr.pdf</w:t>
        </w:r>
      </w:hyperlink>
    </w:p>
    <w:p w14:paraId="672E0CE8" w14:textId="77777777" w:rsidR="00086A58" w:rsidRDefault="00086A58">
      <w:pPr>
        <w:ind w:left="720"/>
        <w:jc w:val="both"/>
        <w:rPr>
          <w:rFonts w:ascii="Times New Roman" w:eastAsia="Times New Roman" w:hAnsi="Times New Roman" w:cs="Times New Roman"/>
          <w:sz w:val="24"/>
          <w:szCs w:val="24"/>
          <w:highlight w:val="white"/>
        </w:rPr>
      </w:pPr>
    </w:p>
    <w:p w14:paraId="6CB21145"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Goyibova, N., </w:t>
      </w:r>
      <w:proofErr w:type="spellStart"/>
      <w:r>
        <w:rPr>
          <w:rFonts w:ascii="Times New Roman" w:eastAsia="Times New Roman" w:hAnsi="Times New Roman" w:cs="Times New Roman"/>
          <w:sz w:val="24"/>
          <w:szCs w:val="24"/>
          <w:highlight w:val="white"/>
        </w:rPr>
        <w:t>Muslimov</w:t>
      </w:r>
      <w:proofErr w:type="spellEnd"/>
      <w:r>
        <w:rPr>
          <w:rFonts w:ascii="Times New Roman" w:eastAsia="Times New Roman" w:hAnsi="Times New Roman" w:cs="Times New Roman"/>
          <w:sz w:val="24"/>
          <w:szCs w:val="24"/>
          <w:highlight w:val="white"/>
        </w:rPr>
        <w:t xml:space="preserve">, N., Sabirova, G., Kadirova, N., &amp; </w:t>
      </w:r>
      <w:proofErr w:type="spellStart"/>
      <w:r>
        <w:rPr>
          <w:rFonts w:ascii="Times New Roman" w:eastAsia="Times New Roman" w:hAnsi="Times New Roman" w:cs="Times New Roman"/>
          <w:sz w:val="24"/>
          <w:szCs w:val="24"/>
          <w:highlight w:val="white"/>
        </w:rPr>
        <w:t>Samatova</w:t>
      </w:r>
      <w:proofErr w:type="spellEnd"/>
      <w:r>
        <w:rPr>
          <w:rFonts w:ascii="Times New Roman" w:eastAsia="Times New Roman" w:hAnsi="Times New Roman" w:cs="Times New Roman"/>
          <w:sz w:val="24"/>
          <w:szCs w:val="24"/>
          <w:highlight w:val="white"/>
        </w:rPr>
        <w:t xml:space="preserve">, B. (2025). Differentiation approach in education: Tailoring instruction for diverse learner needs. </w:t>
      </w:r>
      <w:proofErr w:type="spellStart"/>
      <w:r>
        <w:rPr>
          <w:rFonts w:ascii="Times New Roman" w:eastAsia="Times New Roman" w:hAnsi="Times New Roman" w:cs="Times New Roman"/>
          <w:sz w:val="24"/>
          <w:szCs w:val="24"/>
          <w:highlight w:val="white"/>
        </w:rPr>
        <w:t>MethodsX</w:t>
      </w:r>
      <w:proofErr w:type="spellEnd"/>
      <w:r>
        <w:rPr>
          <w:rFonts w:ascii="Times New Roman" w:eastAsia="Times New Roman" w:hAnsi="Times New Roman" w:cs="Times New Roman"/>
          <w:sz w:val="24"/>
          <w:szCs w:val="24"/>
          <w:highlight w:val="white"/>
        </w:rPr>
        <w:t xml:space="preserve">, 14, 103163. </w:t>
      </w:r>
      <w:hyperlink r:id="rId28">
        <w:r w:rsidR="00086A58">
          <w:rPr>
            <w:rFonts w:ascii="Times New Roman" w:eastAsia="Times New Roman" w:hAnsi="Times New Roman" w:cs="Times New Roman"/>
            <w:sz w:val="24"/>
            <w:szCs w:val="24"/>
            <w:highlight w:val="white"/>
            <w:u w:val="single"/>
          </w:rPr>
          <w:t>https://doi.org/10.1016/j.mex.2025.103163</w:t>
        </w:r>
      </w:hyperlink>
    </w:p>
    <w:p w14:paraId="064D80FA" w14:textId="77777777" w:rsidR="00086A58" w:rsidRDefault="00086A58">
      <w:pPr>
        <w:ind w:left="720"/>
        <w:jc w:val="both"/>
        <w:rPr>
          <w:rFonts w:ascii="Times New Roman" w:eastAsia="Times New Roman" w:hAnsi="Times New Roman" w:cs="Times New Roman"/>
          <w:sz w:val="24"/>
          <w:szCs w:val="24"/>
          <w:highlight w:val="white"/>
        </w:rPr>
      </w:pPr>
    </w:p>
    <w:p w14:paraId="6659A280"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Isaac, S. J., Ajiboye, S. O., &amp; Kusika, M. E. (2025). Inclusive Education for Students with Special Need in Nigeria: Rhetoric or Reality</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International Journal of Sub-Saharan African Research, 3(4), 181-192. </w:t>
      </w:r>
      <w:hyperlink r:id="rId29">
        <w:r w:rsidR="00086A58">
          <w:rPr>
            <w:rFonts w:ascii="Times New Roman" w:eastAsia="Times New Roman" w:hAnsi="Times New Roman" w:cs="Times New Roman"/>
            <w:sz w:val="24"/>
            <w:szCs w:val="24"/>
            <w:highlight w:val="white"/>
            <w:u w:val="single"/>
          </w:rPr>
          <w:t>https://www.ijssar.com/uploads/711065_1767191301.pdf</w:t>
        </w:r>
      </w:hyperlink>
    </w:p>
    <w:p w14:paraId="17BC04BC" w14:textId="77777777" w:rsidR="00086A58" w:rsidRDefault="00086A58">
      <w:pPr>
        <w:ind w:left="720"/>
        <w:jc w:val="both"/>
        <w:rPr>
          <w:rFonts w:ascii="Times New Roman" w:eastAsia="Times New Roman" w:hAnsi="Times New Roman" w:cs="Times New Roman"/>
          <w:sz w:val="24"/>
          <w:szCs w:val="24"/>
          <w:highlight w:val="white"/>
        </w:rPr>
      </w:pPr>
    </w:p>
    <w:p w14:paraId="230E59EB"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Jabri, A., </w:t>
      </w:r>
      <w:proofErr w:type="spellStart"/>
      <w:r>
        <w:rPr>
          <w:rFonts w:ascii="Times New Roman" w:eastAsia="Times New Roman" w:hAnsi="Times New Roman" w:cs="Times New Roman"/>
          <w:sz w:val="24"/>
          <w:szCs w:val="24"/>
          <w:highlight w:val="white"/>
        </w:rPr>
        <w:t>Alodat</w:t>
      </w:r>
      <w:proofErr w:type="spellEnd"/>
      <w:r>
        <w:rPr>
          <w:rFonts w:ascii="Times New Roman" w:eastAsia="Times New Roman" w:hAnsi="Times New Roman" w:cs="Times New Roman"/>
          <w:sz w:val="24"/>
          <w:szCs w:val="24"/>
          <w:highlight w:val="white"/>
        </w:rPr>
        <w:t xml:space="preserve">, A. M., Al-Hendawi, M., &amp; Ianniello, A. (2025, August). Challenges facing general education teachers in inclusive classrooms in Qatar. In Frontiers in Education (Vol. 10, p. 1623453). Frontiers Media SA. </w:t>
      </w:r>
      <w:hyperlink r:id="rId30">
        <w:r w:rsidR="00086A58">
          <w:rPr>
            <w:rFonts w:ascii="Times New Roman" w:eastAsia="Times New Roman" w:hAnsi="Times New Roman" w:cs="Times New Roman"/>
            <w:sz w:val="24"/>
            <w:szCs w:val="24"/>
            <w:highlight w:val="white"/>
            <w:u w:val="single"/>
          </w:rPr>
          <w:t>https://doi.org/10.3389/feduc.2025.1623453</w:t>
        </w:r>
      </w:hyperlink>
    </w:p>
    <w:p w14:paraId="789C59FE" w14:textId="77777777" w:rsidR="00086A58" w:rsidRDefault="00086A58">
      <w:pPr>
        <w:ind w:left="720"/>
        <w:jc w:val="both"/>
        <w:rPr>
          <w:rFonts w:ascii="Times New Roman" w:eastAsia="Times New Roman" w:hAnsi="Times New Roman" w:cs="Times New Roman"/>
          <w:sz w:val="24"/>
          <w:szCs w:val="24"/>
          <w:highlight w:val="white"/>
        </w:rPr>
      </w:pPr>
    </w:p>
    <w:p w14:paraId="21356C5F"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Jardinez, M. J., &amp; Natividad, L. R. (2024). The Advantages and Challenges of Inclusive Education: Striving for Equity in the Classroom. </w:t>
      </w:r>
      <w:proofErr w:type="spellStart"/>
      <w:r>
        <w:rPr>
          <w:rFonts w:ascii="Times New Roman" w:eastAsia="Times New Roman" w:hAnsi="Times New Roman" w:cs="Times New Roman"/>
          <w:sz w:val="24"/>
          <w:szCs w:val="24"/>
          <w:highlight w:val="white"/>
        </w:rPr>
        <w:t>Shanlax</w:t>
      </w:r>
      <w:proofErr w:type="spellEnd"/>
      <w:r>
        <w:rPr>
          <w:rFonts w:ascii="Times New Roman" w:eastAsia="Times New Roman" w:hAnsi="Times New Roman" w:cs="Times New Roman"/>
          <w:sz w:val="24"/>
          <w:szCs w:val="24"/>
          <w:highlight w:val="white"/>
        </w:rPr>
        <w:t xml:space="preserve"> International Journal of Education, 12(2), 57-65. </w:t>
      </w:r>
      <w:hyperlink r:id="rId31">
        <w:r w:rsidR="00086A58">
          <w:rPr>
            <w:rFonts w:ascii="Times New Roman" w:eastAsia="Times New Roman" w:hAnsi="Times New Roman" w:cs="Times New Roman"/>
            <w:sz w:val="24"/>
            <w:szCs w:val="24"/>
            <w:highlight w:val="white"/>
            <w:u w:val="single"/>
          </w:rPr>
          <w:t>https://doi.org/10.34293/education.v12i2.7182</w:t>
        </w:r>
      </w:hyperlink>
    </w:p>
    <w:p w14:paraId="198B3F2C" w14:textId="77777777" w:rsidR="00086A58" w:rsidRDefault="00086A58">
      <w:pPr>
        <w:ind w:left="720"/>
        <w:jc w:val="both"/>
        <w:rPr>
          <w:rFonts w:ascii="Times New Roman" w:eastAsia="Times New Roman" w:hAnsi="Times New Roman" w:cs="Times New Roman"/>
          <w:sz w:val="24"/>
          <w:szCs w:val="24"/>
          <w:highlight w:val="white"/>
        </w:rPr>
      </w:pPr>
    </w:p>
    <w:p w14:paraId="0E03397A"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Julien, G. (2025). The Importance of Inclusive Education and Correlation with Self-Concept among Students: A Conceptual Literature Review. Journal of Educational Research and Practice, 3(2), 182-203. </w:t>
      </w:r>
      <w:hyperlink r:id="rId32">
        <w:r w:rsidR="00086A58">
          <w:rPr>
            <w:rFonts w:ascii="Times New Roman" w:eastAsia="Times New Roman" w:hAnsi="Times New Roman" w:cs="Times New Roman"/>
            <w:sz w:val="24"/>
            <w:szCs w:val="24"/>
            <w:highlight w:val="white"/>
            <w:u w:val="single"/>
          </w:rPr>
          <w:t>https://doi.org/10.70376/jerp.v3i2.367</w:t>
        </w:r>
      </w:hyperlink>
    </w:p>
    <w:p w14:paraId="2CC0C388" w14:textId="77777777" w:rsidR="00086A58" w:rsidRDefault="00086A58">
      <w:pPr>
        <w:ind w:left="720"/>
        <w:jc w:val="both"/>
        <w:rPr>
          <w:rFonts w:ascii="Times New Roman" w:eastAsia="Times New Roman" w:hAnsi="Times New Roman" w:cs="Times New Roman"/>
          <w:sz w:val="24"/>
          <w:szCs w:val="24"/>
          <w:highlight w:val="white"/>
        </w:rPr>
      </w:pPr>
    </w:p>
    <w:p w14:paraId="7A19F372"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Kazmi, A. B., Kamran, M., &amp; Siddiqui, S. (2023). The effect of teacher’s attitudes in supporting inclusive education by catering to diverse learners. In Frontiers in Education (Vol. 8, p. 1083963). Frontiers Media SA. </w:t>
      </w:r>
      <w:hyperlink r:id="rId33">
        <w:r w:rsidR="00086A58">
          <w:rPr>
            <w:rFonts w:ascii="Times New Roman" w:eastAsia="Times New Roman" w:hAnsi="Times New Roman" w:cs="Times New Roman"/>
            <w:sz w:val="24"/>
            <w:szCs w:val="24"/>
            <w:highlight w:val="white"/>
            <w:u w:val="single"/>
          </w:rPr>
          <w:t>https://doi.org/10.3389/feduc.2023.1083963</w:t>
        </w:r>
      </w:hyperlink>
    </w:p>
    <w:p w14:paraId="509D61B6" w14:textId="77777777" w:rsidR="00086A58" w:rsidRDefault="00086A58">
      <w:pPr>
        <w:ind w:left="720"/>
        <w:jc w:val="both"/>
        <w:rPr>
          <w:rFonts w:ascii="Times New Roman" w:eastAsia="Times New Roman" w:hAnsi="Times New Roman" w:cs="Times New Roman"/>
          <w:sz w:val="24"/>
          <w:szCs w:val="24"/>
          <w:highlight w:val="white"/>
        </w:rPr>
      </w:pPr>
    </w:p>
    <w:p w14:paraId="40BA625A"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Murillo-Jiménez, H., Centeno-Alarcón, M., Buele, J., &amp; </w:t>
      </w:r>
      <w:proofErr w:type="spellStart"/>
      <w:r>
        <w:rPr>
          <w:rFonts w:ascii="Times New Roman" w:eastAsia="Times New Roman" w:hAnsi="Times New Roman" w:cs="Times New Roman"/>
          <w:sz w:val="24"/>
          <w:szCs w:val="24"/>
          <w:highlight w:val="white"/>
        </w:rPr>
        <w:t>Yumbla</w:t>
      </w:r>
      <w:proofErr w:type="spellEnd"/>
      <w:r>
        <w:rPr>
          <w:rFonts w:ascii="Times New Roman" w:eastAsia="Times New Roman" w:hAnsi="Times New Roman" w:cs="Times New Roman"/>
          <w:sz w:val="24"/>
          <w:szCs w:val="24"/>
          <w:highlight w:val="white"/>
        </w:rPr>
        <w:t xml:space="preserve">, F. (2025, November). Analyzing barriers to the effective implementation of technological tools in inclusive education: a scoping review. In Frontiers in Education (Vol. 10, p. 1687664). Frontiers Media SA. </w:t>
      </w:r>
      <w:hyperlink r:id="rId34">
        <w:r w:rsidR="00086A58">
          <w:rPr>
            <w:rFonts w:ascii="Times New Roman" w:eastAsia="Times New Roman" w:hAnsi="Times New Roman" w:cs="Times New Roman"/>
            <w:sz w:val="24"/>
            <w:szCs w:val="24"/>
            <w:highlight w:val="white"/>
            <w:u w:val="single"/>
          </w:rPr>
          <w:t>https://doi.org/10.3389/feduc.2025.1687664</w:t>
        </w:r>
      </w:hyperlink>
    </w:p>
    <w:p w14:paraId="495BEB5D" w14:textId="77777777" w:rsidR="00086A58" w:rsidRDefault="00086A58">
      <w:pPr>
        <w:ind w:left="720"/>
        <w:jc w:val="both"/>
        <w:rPr>
          <w:rFonts w:ascii="Times New Roman" w:eastAsia="Times New Roman" w:hAnsi="Times New Roman" w:cs="Times New Roman"/>
          <w:sz w:val="24"/>
          <w:szCs w:val="24"/>
          <w:highlight w:val="white"/>
        </w:rPr>
      </w:pPr>
    </w:p>
    <w:p w14:paraId="6661325D"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Orlunga</w:t>
      </w:r>
      <w:proofErr w:type="spellEnd"/>
      <w:r>
        <w:rPr>
          <w:rFonts w:ascii="Times New Roman" w:eastAsia="Times New Roman" w:hAnsi="Times New Roman" w:cs="Times New Roman"/>
          <w:sz w:val="24"/>
          <w:szCs w:val="24"/>
          <w:highlight w:val="white"/>
        </w:rPr>
        <w:t xml:space="preserve">, B. G., &amp; </w:t>
      </w:r>
      <w:proofErr w:type="spellStart"/>
      <w:r>
        <w:rPr>
          <w:rFonts w:ascii="Times New Roman" w:eastAsia="Times New Roman" w:hAnsi="Times New Roman" w:cs="Times New Roman"/>
          <w:sz w:val="24"/>
          <w:szCs w:val="24"/>
          <w:highlight w:val="white"/>
        </w:rPr>
        <w:t>Alikor</w:t>
      </w:r>
      <w:proofErr w:type="spellEnd"/>
      <w:r>
        <w:rPr>
          <w:rFonts w:ascii="Times New Roman" w:eastAsia="Times New Roman" w:hAnsi="Times New Roman" w:cs="Times New Roman"/>
          <w:sz w:val="24"/>
          <w:szCs w:val="24"/>
          <w:highlight w:val="white"/>
        </w:rPr>
        <w:t xml:space="preserve">, O. (2023). Inclusive education and policy implementation in Nigeria: An implication for educational development in the 21st century. European Journal of Education Studies, 10(11). </w:t>
      </w:r>
      <w:hyperlink r:id="rId35">
        <w:r w:rsidR="00086A58">
          <w:rPr>
            <w:rFonts w:ascii="Times New Roman" w:eastAsia="Times New Roman" w:hAnsi="Times New Roman" w:cs="Times New Roman"/>
            <w:sz w:val="24"/>
            <w:szCs w:val="24"/>
            <w:highlight w:val="white"/>
            <w:u w:val="single"/>
          </w:rPr>
          <w:t>https://doi.org/10.46827/ejes.v10i11.5076</w:t>
        </w:r>
      </w:hyperlink>
    </w:p>
    <w:p w14:paraId="39D602FC" w14:textId="77777777" w:rsidR="00086A58" w:rsidRDefault="00086A58">
      <w:pPr>
        <w:ind w:left="720"/>
        <w:jc w:val="both"/>
        <w:rPr>
          <w:rFonts w:ascii="Times New Roman" w:eastAsia="Times New Roman" w:hAnsi="Times New Roman" w:cs="Times New Roman"/>
          <w:sz w:val="24"/>
          <w:szCs w:val="24"/>
          <w:highlight w:val="white"/>
        </w:rPr>
      </w:pPr>
    </w:p>
    <w:p w14:paraId="623D5849"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UNICEF. (n.d.). Inclusive education. Retrieved from: </w:t>
      </w:r>
      <w:hyperlink r:id="rId36">
        <w:r w:rsidR="00086A58">
          <w:rPr>
            <w:rFonts w:ascii="Times New Roman" w:eastAsia="Times New Roman" w:hAnsi="Times New Roman" w:cs="Times New Roman"/>
            <w:sz w:val="24"/>
            <w:szCs w:val="24"/>
            <w:highlight w:val="white"/>
            <w:u w:val="single"/>
          </w:rPr>
          <w:t>https://www.unicef.org/education/inclusive-education</w:t>
        </w:r>
      </w:hyperlink>
    </w:p>
    <w:p w14:paraId="6670C115" w14:textId="77777777" w:rsidR="00086A58" w:rsidRDefault="00086A58">
      <w:pPr>
        <w:ind w:left="720"/>
        <w:jc w:val="both"/>
        <w:rPr>
          <w:rFonts w:ascii="Times New Roman" w:eastAsia="Times New Roman" w:hAnsi="Times New Roman" w:cs="Times New Roman"/>
          <w:sz w:val="24"/>
          <w:szCs w:val="24"/>
          <w:highlight w:val="white"/>
        </w:rPr>
      </w:pPr>
    </w:p>
    <w:p w14:paraId="0EAC374C"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United Nations Educational, Scientific and Cultural Organization (UNESCO). (1994). The Salamanca statement and framework for action on special needs education. </w:t>
      </w:r>
      <w:hyperlink r:id="rId37">
        <w:r w:rsidR="00086A58">
          <w:rPr>
            <w:rFonts w:ascii="Times New Roman" w:eastAsia="Times New Roman" w:hAnsi="Times New Roman" w:cs="Times New Roman"/>
            <w:sz w:val="24"/>
            <w:szCs w:val="24"/>
            <w:highlight w:val="white"/>
            <w:u w:val="single"/>
          </w:rPr>
          <w:t>https://unesdoc.unesco.org/ark:/48223/pf0000098427</w:t>
        </w:r>
      </w:hyperlink>
    </w:p>
    <w:p w14:paraId="7FD20AF7" w14:textId="77777777" w:rsidR="00086A58" w:rsidRDefault="00086A58">
      <w:pPr>
        <w:ind w:left="720"/>
        <w:jc w:val="both"/>
        <w:rPr>
          <w:rFonts w:ascii="Times New Roman" w:eastAsia="Times New Roman" w:hAnsi="Times New Roman" w:cs="Times New Roman"/>
          <w:sz w:val="24"/>
          <w:szCs w:val="24"/>
          <w:highlight w:val="white"/>
        </w:rPr>
      </w:pPr>
    </w:p>
    <w:p w14:paraId="37FB93F3"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Valle-Flórez, R. E., de Caso Fuertes, A. M., Baelo, R., &amp; Marcos-Santiago, R. (2022). Inclusive Culture in Compulsory Education Centers: Values, Participation and Teachers' Perceptions. Children (Basel, Switzerland), 9(6), 813. </w:t>
      </w:r>
      <w:hyperlink r:id="rId38">
        <w:r w:rsidR="00086A58">
          <w:rPr>
            <w:rFonts w:ascii="Times New Roman" w:eastAsia="Times New Roman" w:hAnsi="Times New Roman" w:cs="Times New Roman"/>
            <w:sz w:val="24"/>
            <w:szCs w:val="24"/>
            <w:highlight w:val="white"/>
            <w:u w:val="single"/>
          </w:rPr>
          <w:t>https://doi.org/10.3390/children9060813</w:t>
        </w:r>
      </w:hyperlink>
    </w:p>
    <w:p w14:paraId="4967B29C" w14:textId="77777777" w:rsidR="00086A58" w:rsidRDefault="00086A58">
      <w:pPr>
        <w:ind w:left="720"/>
        <w:jc w:val="both"/>
        <w:rPr>
          <w:rFonts w:ascii="Times New Roman" w:eastAsia="Times New Roman" w:hAnsi="Times New Roman" w:cs="Times New Roman"/>
          <w:sz w:val="24"/>
          <w:szCs w:val="24"/>
          <w:highlight w:val="white"/>
        </w:rPr>
      </w:pPr>
    </w:p>
    <w:p w14:paraId="2A3BE2A4"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Van Steen, T., &amp; Wilson, C. (2020). Individual and cultural factors in teachers’ attitudes towards inclusion: A meta-analysis. Teaching and Teacher Education, 95, 103127. </w:t>
      </w:r>
      <w:hyperlink r:id="rId39">
        <w:r w:rsidR="00086A58">
          <w:rPr>
            <w:rFonts w:ascii="Times New Roman" w:eastAsia="Times New Roman" w:hAnsi="Times New Roman" w:cs="Times New Roman"/>
            <w:sz w:val="24"/>
            <w:szCs w:val="24"/>
            <w:highlight w:val="white"/>
            <w:u w:val="single"/>
          </w:rPr>
          <w:t>https://doi.org/10.1016/j.tate.2020.103127</w:t>
        </w:r>
      </w:hyperlink>
    </w:p>
    <w:p w14:paraId="56726A7E" w14:textId="77777777" w:rsidR="00086A58" w:rsidRDefault="00086A58">
      <w:pPr>
        <w:ind w:left="720"/>
        <w:jc w:val="both"/>
        <w:rPr>
          <w:rFonts w:ascii="Times New Roman" w:eastAsia="Times New Roman" w:hAnsi="Times New Roman" w:cs="Times New Roman"/>
          <w:sz w:val="24"/>
          <w:szCs w:val="24"/>
          <w:highlight w:val="white"/>
        </w:rPr>
      </w:pPr>
    </w:p>
    <w:p w14:paraId="7E6C5776" w14:textId="77777777" w:rsidR="00086A58" w:rsidRDefault="009B1C7A">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Walelgn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Asres</w:t>
      </w:r>
      <w:proofErr w:type="spellEnd"/>
      <w:r>
        <w:rPr>
          <w:rFonts w:ascii="Times New Roman" w:eastAsia="Times New Roman" w:hAnsi="Times New Roman" w:cs="Times New Roman"/>
          <w:sz w:val="24"/>
          <w:szCs w:val="24"/>
          <w:highlight w:val="white"/>
        </w:rPr>
        <w:t xml:space="preserve">, G. (2025). Inclusive education practices and their legal frameworks for special needs students in Ethiopia. International Journal of Inclusive Education, 1–24. </w:t>
      </w:r>
      <w:hyperlink r:id="rId40">
        <w:r w:rsidR="00086A58">
          <w:rPr>
            <w:rFonts w:ascii="Times New Roman" w:eastAsia="Times New Roman" w:hAnsi="Times New Roman" w:cs="Times New Roman"/>
            <w:sz w:val="24"/>
            <w:szCs w:val="24"/>
            <w:highlight w:val="white"/>
            <w:u w:val="single"/>
          </w:rPr>
          <w:t>https://doi.org/10.1080/13603116.2025.2552932</w:t>
        </w:r>
      </w:hyperlink>
    </w:p>
    <w:p w14:paraId="1D643518" w14:textId="77777777" w:rsidR="00086A58" w:rsidRDefault="00086A58">
      <w:pPr>
        <w:ind w:left="720"/>
        <w:jc w:val="both"/>
        <w:rPr>
          <w:rFonts w:ascii="Times New Roman" w:eastAsia="Times New Roman" w:hAnsi="Times New Roman" w:cs="Times New Roman"/>
          <w:sz w:val="24"/>
          <w:szCs w:val="24"/>
          <w:highlight w:val="white"/>
        </w:rPr>
      </w:pPr>
    </w:p>
    <w:p w14:paraId="28558A80"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Wang, Z., Huang, J., Wang, L., &amp; Liu, C. (2023). Social participation for students with special needs in inclusive schools: a scoping review. International journal of developmental disabilities, 71(5), 643–662. https://doi.org/10.1080/20473869.2023.2277602</w:t>
      </w:r>
    </w:p>
    <w:p w14:paraId="74AF0D7D" w14:textId="77777777" w:rsidR="00086A58" w:rsidRDefault="00086A58">
      <w:pPr>
        <w:ind w:left="720"/>
        <w:jc w:val="both"/>
        <w:rPr>
          <w:rFonts w:ascii="Times New Roman" w:eastAsia="Times New Roman" w:hAnsi="Times New Roman" w:cs="Times New Roman"/>
          <w:sz w:val="24"/>
          <w:szCs w:val="24"/>
          <w:highlight w:val="white"/>
        </w:rPr>
      </w:pPr>
    </w:p>
    <w:p w14:paraId="7AA56F11" w14:textId="77777777" w:rsidR="00086A58" w:rsidRDefault="009B1C7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Woodcock, S., Sharma, U., Subban, P., &amp; Hitches, E. (2022). Teacher self-efficacy and inclusive education practices: Rethinking teachers’ engagement with inclusive practices. Teaching and teacher education, 117, 103802. </w:t>
      </w:r>
      <w:hyperlink r:id="rId41">
        <w:r w:rsidR="00086A58">
          <w:rPr>
            <w:rFonts w:ascii="Times New Roman" w:eastAsia="Times New Roman" w:hAnsi="Times New Roman" w:cs="Times New Roman"/>
            <w:sz w:val="24"/>
            <w:szCs w:val="24"/>
            <w:highlight w:val="white"/>
            <w:u w:val="single"/>
          </w:rPr>
          <w:t>https://doi.org/10.1016/j.tate.2022.103802</w:t>
        </w:r>
      </w:hyperlink>
    </w:p>
    <w:p w14:paraId="37A2C65A" w14:textId="77777777" w:rsidR="00086A58" w:rsidRDefault="00086A58">
      <w:pPr>
        <w:ind w:left="720"/>
        <w:jc w:val="both"/>
        <w:rPr>
          <w:rFonts w:ascii="Times New Roman" w:eastAsia="Times New Roman" w:hAnsi="Times New Roman" w:cs="Times New Roman"/>
          <w:sz w:val="24"/>
          <w:szCs w:val="24"/>
          <w:highlight w:val="white"/>
        </w:rPr>
      </w:pPr>
    </w:p>
    <w:p w14:paraId="7AA0492D" w14:textId="77777777" w:rsidR="00086A58" w:rsidRDefault="009B1C7A">
      <w:pPr>
        <w:jc w:val="both"/>
      </w:pPr>
      <w:r>
        <w:rPr>
          <w:rFonts w:ascii="Times New Roman" w:eastAsia="Times New Roman" w:hAnsi="Times New Roman" w:cs="Times New Roman"/>
          <w:sz w:val="24"/>
          <w:szCs w:val="24"/>
          <w:highlight w:val="white"/>
        </w:rPr>
        <w:t xml:space="preserve">World Bank. (2025). Inclusive education. </w:t>
      </w:r>
      <w:hyperlink r:id="rId42">
        <w:r w:rsidR="00086A58">
          <w:rPr>
            <w:rFonts w:ascii="Times New Roman" w:eastAsia="Times New Roman" w:hAnsi="Times New Roman" w:cs="Times New Roman"/>
            <w:sz w:val="24"/>
            <w:szCs w:val="24"/>
            <w:highlight w:val="white"/>
            <w:u w:val="single"/>
          </w:rPr>
          <w:t>https://www.worldbank.org/en/topic/education/brief/inclusive-education</w:t>
        </w:r>
      </w:hyperlink>
    </w:p>
    <w:sectPr w:rsidR="00086A58">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EED81" w14:textId="77777777" w:rsidR="004A5686" w:rsidRDefault="004A5686" w:rsidP="00137E57">
      <w:pPr>
        <w:spacing w:line="240" w:lineRule="auto"/>
      </w:pPr>
      <w:r>
        <w:separator/>
      </w:r>
    </w:p>
  </w:endnote>
  <w:endnote w:type="continuationSeparator" w:id="0">
    <w:p w14:paraId="714FFFB4" w14:textId="77777777" w:rsidR="004A5686" w:rsidRDefault="004A5686" w:rsidP="00137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embedRegular r:id="rId1" w:fontKey="{E16D7A69-6232-4E4A-A704-EE31BC2DA464}"/>
  </w:font>
  <w:font w:name="Calibri">
    <w:panose1 w:val="020F0502020204030204"/>
    <w:charset w:val="00"/>
    <w:family w:val="swiss"/>
    <w:pitch w:val="variable"/>
    <w:sig w:usb0="E4002EFF" w:usb1="C200247B" w:usb2="00000009" w:usb3="00000000" w:csb0="000001FF" w:csb1="00000000"/>
    <w:embedRegular r:id="rId2" w:fontKey="{2DD22830-1F68-4333-B42B-3C15F263CDB9}"/>
  </w:font>
  <w:font w:name="Cambria">
    <w:panose1 w:val="02040503050406030204"/>
    <w:charset w:val="00"/>
    <w:family w:val="roman"/>
    <w:pitch w:val="variable"/>
    <w:sig w:usb0="E00006FF" w:usb1="420024FF" w:usb2="02000000" w:usb3="00000000" w:csb0="0000019F" w:csb1="00000000"/>
    <w:embedRegular r:id="rId3" w:fontKey="{81493424-30F9-4A3F-89E0-270DA298C7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6226B" w14:textId="77777777" w:rsidR="00137E57" w:rsidRDefault="00137E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F6CA5" w14:textId="77777777" w:rsidR="00137E57" w:rsidRDefault="00137E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1E9F4" w14:textId="77777777" w:rsidR="00137E57" w:rsidRDefault="00137E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51548" w14:textId="77777777" w:rsidR="004A5686" w:rsidRDefault="004A5686" w:rsidP="00137E57">
      <w:pPr>
        <w:spacing w:line="240" w:lineRule="auto"/>
      </w:pPr>
      <w:r>
        <w:separator/>
      </w:r>
    </w:p>
  </w:footnote>
  <w:footnote w:type="continuationSeparator" w:id="0">
    <w:p w14:paraId="14A4CFF8" w14:textId="77777777" w:rsidR="004A5686" w:rsidRDefault="004A5686" w:rsidP="00137E5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8F90E" w14:textId="0B4F3CF8" w:rsidR="00137E57" w:rsidRDefault="004A5686">
    <w:pPr>
      <w:pStyle w:val="Header"/>
    </w:pPr>
    <w:r>
      <w:rPr>
        <w:noProof/>
      </w:rPr>
      <w:pict w14:anchorId="7D539A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8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27206" w14:textId="069DA328" w:rsidR="00137E57" w:rsidRDefault="004A5686">
    <w:pPr>
      <w:pStyle w:val="Header"/>
    </w:pPr>
    <w:r>
      <w:rPr>
        <w:noProof/>
      </w:rPr>
      <w:pict w14:anchorId="5F34C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8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C8F53" w14:textId="79BDAF80" w:rsidR="00137E57" w:rsidRDefault="004A5686">
    <w:pPr>
      <w:pStyle w:val="Header"/>
    </w:pPr>
    <w:r>
      <w:rPr>
        <w:noProof/>
      </w:rPr>
      <w:pict w14:anchorId="645A5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8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341F3"/>
    <w:multiLevelType w:val="multilevel"/>
    <w:tmpl w:val="880825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1003FC6"/>
    <w:multiLevelType w:val="multilevel"/>
    <w:tmpl w:val="93A246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2B3C4EA4"/>
    <w:multiLevelType w:val="multilevel"/>
    <w:tmpl w:val="7326F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B8D5F5B"/>
    <w:multiLevelType w:val="multilevel"/>
    <w:tmpl w:val="E4B0CF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A58"/>
    <w:rsid w:val="00086A58"/>
    <w:rsid w:val="00137E57"/>
    <w:rsid w:val="003D1AA2"/>
    <w:rsid w:val="004A5686"/>
    <w:rsid w:val="00731E2C"/>
    <w:rsid w:val="009B1C7A"/>
    <w:rsid w:val="00A31B3E"/>
    <w:rsid w:val="00F34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8EC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31E2C"/>
    <w:rPr>
      <w:color w:val="0000FF" w:themeColor="hyperlink"/>
      <w:u w:val="single"/>
    </w:rPr>
  </w:style>
  <w:style w:type="character" w:customStyle="1" w:styleId="UnresolvedMention">
    <w:name w:val="Unresolved Mention"/>
    <w:basedOn w:val="DefaultParagraphFont"/>
    <w:uiPriority w:val="99"/>
    <w:semiHidden/>
    <w:unhideWhenUsed/>
    <w:rsid w:val="00731E2C"/>
    <w:rPr>
      <w:color w:val="605E5C"/>
      <w:shd w:val="clear" w:color="auto" w:fill="E1DFDD"/>
    </w:rPr>
  </w:style>
  <w:style w:type="paragraph" w:styleId="Header">
    <w:name w:val="header"/>
    <w:basedOn w:val="Normal"/>
    <w:link w:val="HeaderChar"/>
    <w:uiPriority w:val="99"/>
    <w:unhideWhenUsed/>
    <w:rsid w:val="00137E57"/>
    <w:pPr>
      <w:tabs>
        <w:tab w:val="center" w:pos="4680"/>
        <w:tab w:val="right" w:pos="9360"/>
      </w:tabs>
      <w:spacing w:line="240" w:lineRule="auto"/>
    </w:pPr>
  </w:style>
  <w:style w:type="character" w:customStyle="1" w:styleId="HeaderChar">
    <w:name w:val="Header Char"/>
    <w:basedOn w:val="DefaultParagraphFont"/>
    <w:link w:val="Header"/>
    <w:uiPriority w:val="99"/>
    <w:rsid w:val="00137E57"/>
  </w:style>
  <w:style w:type="paragraph" w:styleId="Footer">
    <w:name w:val="footer"/>
    <w:basedOn w:val="Normal"/>
    <w:link w:val="FooterChar"/>
    <w:uiPriority w:val="99"/>
    <w:unhideWhenUsed/>
    <w:rsid w:val="00137E57"/>
    <w:pPr>
      <w:tabs>
        <w:tab w:val="center" w:pos="4680"/>
        <w:tab w:val="right" w:pos="9360"/>
      </w:tabs>
      <w:spacing w:line="240" w:lineRule="auto"/>
    </w:pPr>
  </w:style>
  <w:style w:type="character" w:customStyle="1" w:styleId="FooterChar">
    <w:name w:val="Footer Char"/>
    <w:basedOn w:val="DefaultParagraphFont"/>
    <w:link w:val="Footer"/>
    <w:uiPriority w:val="99"/>
    <w:rsid w:val="00137E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31E2C"/>
    <w:rPr>
      <w:color w:val="0000FF" w:themeColor="hyperlink"/>
      <w:u w:val="single"/>
    </w:rPr>
  </w:style>
  <w:style w:type="character" w:customStyle="1" w:styleId="UnresolvedMention">
    <w:name w:val="Unresolved Mention"/>
    <w:basedOn w:val="DefaultParagraphFont"/>
    <w:uiPriority w:val="99"/>
    <w:semiHidden/>
    <w:unhideWhenUsed/>
    <w:rsid w:val="00731E2C"/>
    <w:rPr>
      <w:color w:val="605E5C"/>
      <w:shd w:val="clear" w:color="auto" w:fill="E1DFDD"/>
    </w:rPr>
  </w:style>
  <w:style w:type="paragraph" w:styleId="Header">
    <w:name w:val="header"/>
    <w:basedOn w:val="Normal"/>
    <w:link w:val="HeaderChar"/>
    <w:uiPriority w:val="99"/>
    <w:unhideWhenUsed/>
    <w:rsid w:val="00137E57"/>
    <w:pPr>
      <w:tabs>
        <w:tab w:val="center" w:pos="4680"/>
        <w:tab w:val="right" w:pos="9360"/>
      </w:tabs>
      <w:spacing w:line="240" w:lineRule="auto"/>
    </w:pPr>
  </w:style>
  <w:style w:type="character" w:customStyle="1" w:styleId="HeaderChar">
    <w:name w:val="Header Char"/>
    <w:basedOn w:val="DefaultParagraphFont"/>
    <w:link w:val="Header"/>
    <w:uiPriority w:val="99"/>
    <w:rsid w:val="00137E57"/>
  </w:style>
  <w:style w:type="paragraph" w:styleId="Footer">
    <w:name w:val="footer"/>
    <w:basedOn w:val="Normal"/>
    <w:link w:val="FooterChar"/>
    <w:uiPriority w:val="99"/>
    <w:unhideWhenUsed/>
    <w:rsid w:val="00137E57"/>
    <w:pPr>
      <w:tabs>
        <w:tab w:val="center" w:pos="4680"/>
        <w:tab w:val="right" w:pos="9360"/>
      </w:tabs>
      <w:spacing w:line="240" w:lineRule="auto"/>
    </w:pPr>
  </w:style>
  <w:style w:type="character" w:customStyle="1" w:styleId="FooterChar">
    <w:name w:val="Footer Char"/>
    <w:basedOn w:val="DefaultParagraphFont"/>
    <w:link w:val="Footer"/>
    <w:uiPriority w:val="99"/>
    <w:rsid w:val="00137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1080/2331186X.2021.1930491" TargetMode="External"/><Relationship Id="rId18" Type="http://schemas.openxmlformats.org/officeDocument/2006/relationships/hyperlink" Target="https://doi.org/10.22178/pos.94-1" TargetMode="External"/><Relationship Id="rId26" Type="http://schemas.openxmlformats.org/officeDocument/2006/relationships/hyperlink" Target="https://www.european-agency.org/sites/default/files/Findings_Report_on_Teacher_Professional_Learning.pdf" TargetMode="External"/><Relationship Id="rId39" Type="http://schemas.openxmlformats.org/officeDocument/2006/relationships/hyperlink" Target="https://doi.org/10.1016/j.tate.2020.103127" TargetMode="External"/><Relationship Id="rId3" Type="http://schemas.openxmlformats.org/officeDocument/2006/relationships/styles" Target="styles.xml"/><Relationship Id="rId21" Type="http://schemas.openxmlformats.org/officeDocument/2006/relationships/hyperlink" Target="https://doi.org/10.14571/brajets.v16.nse2.165-177" TargetMode="External"/><Relationship Id="rId34" Type="http://schemas.openxmlformats.org/officeDocument/2006/relationships/hyperlink" Target="https://doi.org/10.3389/feduc.2025.1687664" TargetMode="External"/><Relationship Id="rId42" Type="http://schemas.openxmlformats.org/officeDocument/2006/relationships/hyperlink" Target="https://www.worldbank.org/en/topic/education/brief/inclusive-education"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ejournal.bumipublikasinusantara.id/index.php/ajcsne/article/view/335" TargetMode="External"/><Relationship Id="rId17" Type="http://schemas.openxmlformats.org/officeDocument/2006/relationships/hyperlink" Target="https://doi.org/10.3390/children9121940" TargetMode="External"/><Relationship Id="rId25" Type="http://schemas.openxmlformats.org/officeDocument/2006/relationships/hyperlink" Target="https://doi.org/10.1186/s41077-025-00361-3" TargetMode="External"/><Relationship Id="rId33" Type="http://schemas.openxmlformats.org/officeDocument/2006/relationships/hyperlink" Target="https://doi.org/10.3389/feduc.2023.1083963" TargetMode="External"/><Relationship Id="rId38" Type="http://schemas.openxmlformats.org/officeDocument/2006/relationships/hyperlink" Target="https://doi.org/10.3390/children9060813"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80/00131881.2025.2557641" TargetMode="External"/><Relationship Id="rId20" Type="http://schemas.openxmlformats.org/officeDocument/2006/relationships/hyperlink" Target="https://doi.org/10.11648/j.advances.20250603.11" TargetMode="External"/><Relationship Id="rId29" Type="http://schemas.openxmlformats.org/officeDocument/2006/relationships/hyperlink" Target="https://www.ijssar.com/uploads/711065_1767191301.pdf" TargetMode="External"/><Relationship Id="rId41" Type="http://schemas.openxmlformats.org/officeDocument/2006/relationships/hyperlink" Target="https://doi.org/10.1016/j.tate.2022.1038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jern.com/journal/2024/December-2024/06.pdf" TargetMode="External"/><Relationship Id="rId24" Type="http://schemas.openxmlformats.org/officeDocument/2006/relationships/hyperlink" Target="https://doi.org/10.1080/13603116.2025.2593561" TargetMode="External"/><Relationship Id="rId32" Type="http://schemas.openxmlformats.org/officeDocument/2006/relationships/hyperlink" Target="https://doi.org/10.70376/jerp.v3i2.367" TargetMode="External"/><Relationship Id="rId37" Type="http://schemas.openxmlformats.org/officeDocument/2006/relationships/hyperlink" Target="https://unesdoc.unesco.org/ark:/48223/pf0000098427" TargetMode="External"/><Relationship Id="rId40" Type="http://schemas.openxmlformats.org/officeDocument/2006/relationships/hyperlink" Target="https://doi.org/10.1080/13603116.2025.2552932"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080/20020317.2020.1729587" TargetMode="External"/><Relationship Id="rId23" Type="http://schemas.openxmlformats.org/officeDocument/2006/relationships/hyperlink" Target="https://doi.org/10.1080/13603116.2023.2244956" TargetMode="External"/><Relationship Id="rId28" Type="http://schemas.openxmlformats.org/officeDocument/2006/relationships/hyperlink" Target="https://doi.org/10.1016/j.mex.2025.103163" TargetMode="External"/><Relationship Id="rId36" Type="http://schemas.openxmlformats.org/officeDocument/2006/relationships/hyperlink" Target="https://www.unicef.org/education/inclusive-education"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3390/soc13020031" TargetMode="External"/><Relationship Id="rId31" Type="http://schemas.openxmlformats.org/officeDocument/2006/relationships/hyperlink" Target="https://doi.org/10.34293/education.v12i2.7182"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59525/gej.v3i2.751" TargetMode="External"/><Relationship Id="rId22" Type="http://schemas.openxmlformats.org/officeDocument/2006/relationships/hyperlink" Target="https://files.eric.ed.gov/fulltext/EJ1182863.pdf" TargetMode="External"/><Relationship Id="rId27" Type="http://schemas.openxmlformats.org/officeDocument/2006/relationships/hyperlink" Target="https://easpd.eu/fileadmin/user_upload/Publications/EASPD-Transfer_of_Knowlege_23_pr.pdf" TargetMode="External"/><Relationship Id="rId30" Type="http://schemas.openxmlformats.org/officeDocument/2006/relationships/hyperlink" Target="https://doi.org/10.3389/feduc.2025.1623453" TargetMode="External"/><Relationship Id="rId35" Type="http://schemas.openxmlformats.org/officeDocument/2006/relationships/hyperlink" Target="https://doi.org/10.46827/ejes.v10i11.5076"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LjtUGSakJU8Yn8P2DLqY1Ey/rg==">CgMxLjAyDmguZ3MyZjQ0dnRpZnIxMg5oLjdzNTlsbG4zdnZ2MzIOaC44dWRnZnpzdDB0YXUyDmguc2J3YnJ3cWtrdDVrMg5oLnA5NHVoY2F1MzAwNzIOaC43OTJnZ25rZmV2azAyDmgubW1ocGFpbGp3ZDhkMg5oLjQ5OWIybnJiYmp1MDIOaC5hOXZtOWpiZmhncmMyDmguczgwdDZseTR2eGVrMg5oLnVjdHZjeGhsM21mdTIOaC52YzQ1b3p1MW11ZWYyDWguMXhseG5yeTJpOGsyDmguZDkzNXk2NmxteDg0Mg5oLm1jN2luZzc1aGZwZTIOaC5tNDQzaTJxZ3A2enIyDmgub3d0ZGpmeWc3Z2E0Mg5oLjhucnVkNG1icnhxdDIOaC50OGFocGl4OWljOWwyDmgudDhhaHBpeDlpYzlsOAByITFLN3FpVmxWMlJqck5sNWUwZFZ0SmtfYlRKRFE5ejJX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7683</Words>
  <Characters>43798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Samuel</dc:creator>
  <cp:lastModifiedBy>Samuel</cp:lastModifiedBy>
  <cp:revision>2</cp:revision>
  <dcterms:created xsi:type="dcterms:W3CDTF">2026-04-12T01:18:00Z</dcterms:created>
  <dcterms:modified xsi:type="dcterms:W3CDTF">2026-04-12T01:18:00Z</dcterms:modified>
</cp:coreProperties>
</file>