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300" w:rsidRDefault="00922300" w:rsidP="00D768F6">
      <w:pPr>
        <w:spacing w:line="240" w:lineRule="auto"/>
        <w:jc w:val="center"/>
        <w:rPr>
          <w:rFonts w:ascii="Times New Roman" w:hAnsi="Times New Roman" w:cs="Times New Roman"/>
          <w:b/>
          <w:sz w:val="24"/>
          <w:szCs w:val="24"/>
        </w:rPr>
      </w:pPr>
      <w:r>
        <w:rPr>
          <w:rFonts w:ascii="Times New Roman" w:eastAsia="Times New Roman" w:hAnsi="Times New Roman" w:cs="Times New Roman"/>
          <w:b/>
          <w:sz w:val="24"/>
          <w:szCs w:val="24"/>
        </w:rPr>
        <w:t>Phytochemical and Antifungal Susceptibility testing of Medicinal plants on</w:t>
      </w:r>
      <w:r w:rsidRPr="00922300">
        <w:rPr>
          <w:rFonts w:ascii="Times New Roman" w:hAnsi="Times New Roman" w:cs="Times New Roman"/>
          <w:b/>
          <w:bCs/>
          <w:i/>
          <w:sz w:val="24"/>
          <w:szCs w:val="24"/>
        </w:rPr>
        <w:t>T</w:t>
      </w:r>
      <w:r w:rsidR="000B776B">
        <w:rPr>
          <w:rFonts w:ascii="Times New Roman" w:hAnsi="Times New Roman" w:cs="Times New Roman"/>
          <w:b/>
          <w:bCs/>
          <w:i/>
          <w:sz w:val="24"/>
          <w:szCs w:val="24"/>
        </w:rPr>
        <w:t>richophyton</w:t>
      </w:r>
      <w:r w:rsidRPr="00922300">
        <w:rPr>
          <w:rFonts w:ascii="Times New Roman" w:hAnsi="Times New Roman" w:cs="Times New Roman"/>
          <w:b/>
          <w:bCs/>
          <w:i/>
          <w:sz w:val="24"/>
          <w:szCs w:val="24"/>
        </w:rPr>
        <w:t xml:space="preserve"> rubrum</w:t>
      </w:r>
      <w:r w:rsidRPr="00922300">
        <w:rPr>
          <w:rFonts w:ascii="Times New Roman" w:hAnsi="Times New Roman" w:cs="Times New Roman"/>
          <w:b/>
          <w:bCs/>
          <w:sz w:val="24"/>
          <w:szCs w:val="24"/>
        </w:rPr>
        <w:t xml:space="preserve"> isolated from two (2) </w:t>
      </w:r>
      <w:r w:rsidRPr="00922300">
        <w:rPr>
          <w:rFonts w:ascii="Times New Roman" w:hAnsi="Times New Roman" w:cs="Times New Roman"/>
          <w:b/>
          <w:sz w:val="24"/>
          <w:szCs w:val="24"/>
        </w:rPr>
        <w:t>Tertiary Hospitals in Benue State</w:t>
      </w:r>
    </w:p>
    <w:p w:rsidR="000C0575" w:rsidRDefault="000C0575" w:rsidP="00466898">
      <w:pPr>
        <w:spacing w:before="100" w:beforeAutospacing="1" w:after="100" w:afterAutospacing="1" w:line="240" w:lineRule="auto"/>
        <w:outlineLvl w:val="1"/>
        <w:rPr>
          <w:rFonts w:ascii="Times New Roman" w:eastAsia="Times New Roman" w:hAnsi="Times New Roman" w:cs="Times New Roman"/>
          <w:b/>
          <w:bCs/>
          <w:sz w:val="24"/>
          <w:szCs w:val="24"/>
        </w:rPr>
      </w:pPr>
    </w:p>
    <w:p w:rsidR="00466898" w:rsidRPr="007C1CBF" w:rsidRDefault="00466898" w:rsidP="00466898">
      <w:pPr>
        <w:spacing w:before="100" w:beforeAutospacing="1" w:after="100" w:afterAutospacing="1" w:line="240" w:lineRule="auto"/>
        <w:outlineLvl w:val="1"/>
        <w:rPr>
          <w:rFonts w:ascii="Times New Roman" w:eastAsia="Times New Roman" w:hAnsi="Times New Roman" w:cs="Times New Roman"/>
          <w:b/>
          <w:bCs/>
          <w:sz w:val="24"/>
          <w:szCs w:val="24"/>
        </w:rPr>
      </w:pPr>
      <w:bookmarkStart w:id="0" w:name="_GoBack"/>
      <w:bookmarkEnd w:id="0"/>
      <w:r w:rsidRPr="007C1CBF">
        <w:rPr>
          <w:rFonts w:ascii="Times New Roman" w:eastAsia="Times New Roman" w:hAnsi="Times New Roman" w:cs="Times New Roman"/>
          <w:b/>
          <w:bCs/>
          <w:sz w:val="24"/>
          <w:szCs w:val="24"/>
        </w:rPr>
        <w:t>ABSTRACT</w:t>
      </w:r>
    </w:p>
    <w:p w:rsidR="00466898" w:rsidRDefault="00466898" w:rsidP="00466898">
      <w:pPr>
        <w:spacing w:line="240" w:lineRule="auto"/>
        <w:jc w:val="both"/>
        <w:rPr>
          <w:rFonts w:ascii="Times New Roman" w:eastAsia="Times New Roman" w:hAnsi="Times New Roman" w:cs="Times New Roman"/>
          <w:sz w:val="24"/>
          <w:szCs w:val="24"/>
        </w:rPr>
      </w:pPr>
      <w:r w:rsidRPr="007C1CBF">
        <w:rPr>
          <w:rFonts w:ascii="Times New Roman" w:eastAsia="Times New Roman" w:hAnsi="Times New Roman" w:cs="Times New Roman"/>
          <w:b/>
          <w:bCs/>
          <w:sz w:val="24"/>
          <w:szCs w:val="24"/>
        </w:rPr>
        <w:t>Background:</w:t>
      </w:r>
      <w:r w:rsidRPr="007C1CBF">
        <w:rPr>
          <w:rFonts w:ascii="Times New Roman" w:eastAsia="Times New Roman" w:hAnsi="Times New Roman" w:cs="Times New Roman"/>
          <w:i/>
          <w:iCs/>
          <w:sz w:val="24"/>
          <w:szCs w:val="24"/>
        </w:rPr>
        <w:t>Trichophyton rubrum</w:t>
      </w:r>
      <w:r w:rsidRPr="007C1CBF">
        <w:rPr>
          <w:rFonts w:ascii="Times New Roman" w:eastAsia="Times New Roman" w:hAnsi="Times New Roman" w:cs="Times New Roman"/>
          <w:sz w:val="24"/>
          <w:szCs w:val="24"/>
        </w:rPr>
        <w:t xml:space="preserve"> is a major causative agent of dermatophytosis, particularly in tropical regions such as Nigeria. The increasing incidence of antifungal resistance and limitations of conventional therapies have prompted the search for alternative treatments, including medicinal plant extracts.</w:t>
      </w:r>
      <w:r w:rsidRPr="007C1CBF">
        <w:rPr>
          <w:rFonts w:ascii="Times New Roman" w:eastAsia="Times New Roman" w:hAnsi="Times New Roman" w:cs="Times New Roman"/>
          <w:b/>
          <w:bCs/>
          <w:sz w:val="24"/>
          <w:szCs w:val="24"/>
        </w:rPr>
        <w:t>Aim:</w:t>
      </w:r>
      <w:r w:rsidRPr="007C1CBF">
        <w:rPr>
          <w:rFonts w:ascii="Times New Roman" w:eastAsia="Times New Roman" w:hAnsi="Times New Roman" w:cs="Times New Roman"/>
          <w:sz w:val="24"/>
          <w:szCs w:val="24"/>
        </w:rPr>
        <w:t xml:space="preserve"> This study aimed to evaluate the phytochemical composition and antifungal susceptibility of selected medicinal plant extracts against </w:t>
      </w:r>
      <w:r w:rsidRPr="007C1CBF">
        <w:rPr>
          <w:rFonts w:ascii="Times New Roman" w:eastAsia="Times New Roman" w:hAnsi="Times New Roman" w:cs="Times New Roman"/>
          <w:i/>
          <w:iCs/>
          <w:sz w:val="24"/>
          <w:szCs w:val="24"/>
        </w:rPr>
        <w:t>Trichophyton rubrum</w:t>
      </w:r>
      <w:r w:rsidRPr="007C1CBF">
        <w:rPr>
          <w:rFonts w:ascii="Times New Roman" w:eastAsia="Times New Roman" w:hAnsi="Times New Roman" w:cs="Times New Roman"/>
          <w:sz w:val="24"/>
          <w:szCs w:val="24"/>
        </w:rPr>
        <w:t xml:space="preserve"> isolates obtained from tertiary health institutions in Benue State.</w:t>
      </w:r>
      <w:r w:rsidRPr="007C1CBF">
        <w:rPr>
          <w:rFonts w:ascii="Times New Roman" w:eastAsia="Times New Roman" w:hAnsi="Times New Roman" w:cs="Times New Roman"/>
          <w:b/>
          <w:bCs/>
          <w:sz w:val="24"/>
          <w:szCs w:val="24"/>
        </w:rPr>
        <w:t>Methods:</w:t>
      </w:r>
      <w:r w:rsidRPr="007C1CBF">
        <w:rPr>
          <w:rFonts w:ascii="Times New Roman" w:eastAsia="Times New Roman" w:hAnsi="Times New Roman" w:cs="Times New Roman"/>
          <w:sz w:val="24"/>
          <w:szCs w:val="24"/>
        </w:rPr>
        <w:t xml:space="preserve"> Medicinal plants including </w:t>
      </w:r>
      <w:r w:rsidRPr="007C1CBF">
        <w:rPr>
          <w:rFonts w:ascii="Times New Roman" w:eastAsia="Times New Roman" w:hAnsi="Times New Roman" w:cs="Times New Roman"/>
          <w:i/>
          <w:iCs/>
          <w:sz w:val="24"/>
          <w:szCs w:val="24"/>
        </w:rPr>
        <w:t>Thevetianeriifolia</w:t>
      </w:r>
      <w:r w:rsidRPr="007C1CBF">
        <w:rPr>
          <w:rFonts w:ascii="Times New Roman" w:eastAsia="Times New Roman" w:hAnsi="Times New Roman" w:cs="Times New Roman"/>
          <w:sz w:val="24"/>
          <w:szCs w:val="24"/>
        </w:rPr>
        <w:t xml:space="preserve">, </w:t>
      </w:r>
      <w:r w:rsidRPr="007C1CBF">
        <w:rPr>
          <w:rFonts w:ascii="Times New Roman" w:eastAsia="Times New Roman" w:hAnsi="Times New Roman" w:cs="Times New Roman"/>
          <w:i/>
          <w:iCs/>
          <w:sz w:val="24"/>
          <w:szCs w:val="24"/>
        </w:rPr>
        <w:t>Vitellaria paradoxa</w:t>
      </w:r>
      <w:r w:rsidRPr="007C1CBF">
        <w:rPr>
          <w:rFonts w:ascii="Times New Roman" w:eastAsia="Times New Roman" w:hAnsi="Times New Roman" w:cs="Times New Roman"/>
          <w:sz w:val="24"/>
          <w:szCs w:val="24"/>
        </w:rPr>
        <w:t xml:space="preserve">, </w:t>
      </w:r>
      <w:r w:rsidRPr="007C1CBF">
        <w:rPr>
          <w:rFonts w:ascii="Times New Roman" w:eastAsia="Times New Roman" w:hAnsi="Times New Roman" w:cs="Times New Roman"/>
          <w:i/>
          <w:iCs/>
          <w:sz w:val="24"/>
          <w:szCs w:val="24"/>
        </w:rPr>
        <w:t>Parkiabiglobosa</w:t>
      </w:r>
      <w:r w:rsidRPr="007C1CBF">
        <w:rPr>
          <w:rFonts w:ascii="Times New Roman" w:eastAsia="Times New Roman" w:hAnsi="Times New Roman" w:cs="Times New Roman"/>
          <w:sz w:val="24"/>
          <w:szCs w:val="24"/>
        </w:rPr>
        <w:t xml:space="preserve">, </w:t>
      </w:r>
      <w:r w:rsidRPr="007C1CBF">
        <w:rPr>
          <w:rFonts w:ascii="Times New Roman" w:eastAsia="Times New Roman" w:hAnsi="Times New Roman" w:cs="Times New Roman"/>
          <w:i/>
          <w:iCs/>
          <w:sz w:val="24"/>
          <w:szCs w:val="24"/>
        </w:rPr>
        <w:t>Stereospermumkunthianum</w:t>
      </w:r>
      <w:r w:rsidRPr="007C1CBF">
        <w:rPr>
          <w:rFonts w:ascii="Times New Roman" w:eastAsia="Times New Roman" w:hAnsi="Times New Roman" w:cs="Times New Roman"/>
          <w:sz w:val="24"/>
          <w:szCs w:val="24"/>
        </w:rPr>
        <w:t xml:space="preserve">, and </w:t>
      </w:r>
      <w:r w:rsidRPr="007C1CBF">
        <w:rPr>
          <w:rFonts w:ascii="Times New Roman" w:eastAsia="Times New Roman" w:hAnsi="Times New Roman" w:cs="Times New Roman"/>
          <w:i/>
          <w:iCs/>
          <w:sz w:val="24"/>
          <w:szCs w:val="24"/>
        </w:rPr>
        <w:t>Mitracarpusvillosus</w:t>
      </w:r>
      <w:r w:rsidRPr="007C1CBF">
        <w:rPr>
          <w:rFonts w:ascii="Times New Roman" w:eastAsia="Times New Roman" w:hAnsi="Times New Roman" w:cs="Times New Roman"/>
          <w:sz w:val="24"/>
          <w:szCs w:val="24"/>
        </w:rPr>
        <w:t xml:space="preserve"> were collected, identified, and extracted using ethanol. Phytochemical screening was conducted to detect bioactive compounds. Antifungal activity was assessed using the agar well diffusion method at varying concentrations (200, 100, 50, and 25 mg/ml). Standard antifungal drugs (fluconazole, ketoconazole, and griseofulvin) were used as controls. Minimum Inhibitory Concentration (MIC) and Minimum Fungicidal Concentration (MFC) were determined using broth dilution methods.</w:t>
      </w:r>
      <w:r w:rsidRPr="007C1CBF">
        <w:rPr>
          <w:rFonts w:ascii="Times New Roman" w:eastAsia="Times New Roman" w:hAnsi="Times New Roman" w:cs="Times New Roman"/>
          <w:b/>
          <w:bCs/>
          <w:sz w:val="24"/>
          <w:szCs w:val="24"/>
        </w:rPr>
        <w:t>Results:</w:t>
      </w:r>
      <w:r w:rsidRPr="007C1CBF">
        <w:rPr>
          <w:rFonts w:ascii="Times New Roman" w:eastAsia="Times New Roman" w:hAnsi="Times New Roman" w:cs="Times New Roman"/>
          <w:sz w:val="24"/>
          <w:szCs w:val="24"/>
        </w:rPr>
        <w:t xml:space="preserve"> Phytochemical analysis revealed the presence of bioactive compounds such as alkaloids, saponins, tannins, flavonoids, phenols, and terpenoids in varying proportions across the plant extracts. All plant extracts exhibited antifungal activity against </w:t>
      </w:r>
      <w:r w:rsidRPr="007C1CBF">
        <w:rPr>
          <w:rFonts w:ascii="Times New Roman" w:eastAsia="Times New Roman" w:hAnsi="Times New Roman" w:cs="Times New Roman"/>
          <w:i/>
          <w:iCs/>
          <w:sz w:val="24"/>
          <w:szCs w:val="24"/>
        </w:rPr>
        <w:t>T. rubrum</w:t>
      </w:r>
      <w:r w:rsidRPr="007C1CBF">
        <w:rPr>
          <w:rFonts w:ascii="Times New Roman" w:eastAsia="Times New Roman" w:hAnsi="Times New Roman" w:cs="Times New Roman"/>
          <w:sz w:val="24"/>
          <w:szCs w:val="24"/>
        </w:rPr>
        <w:t xml:space="preserve">, with higher efficacy observed at increased concentrations. </w:t>
      </w:r>
      <w:r w:rsidRPr="007C1CBF">
        <w:rPr>
          <w:rFonts w:ascii="Times New Roman" w:eastAsia="Times New Roman" w:hAnsi="Times New Roman" w:cs="Times New Roman"/>
          <w:i/>
          <w:iCs/>
          <w:sz w:val="24"/>
          <w:szCs w:val="24"/>
        </w:rPr>
        <w:t>Mitracarpusvillosus</w:t>
      </w:r>
      <w:r w:rsidRPr="007C1CBF">
        <w:rPr>
          <w:rFonts w:ascii="Times New Roman" w:eastAsia="Times New Roman" w:hAnsi="Times New Roman" w:cs="Times New Roman"/>
          <w:sz w:val="24"/>
          <w:szCs w:val="24"/>
        </w:rPr>
        <w:t xml:space="preserve"> and </w:t>
      </w:r>
      <w:r w:rsidRPr="007C1CBF">
        <w:rPr>
          <w:rFonts w:ascii="Times New Roman" w:eastAsia="Times New Roman" w:hAnsi="Times New Roman" w:cs="Times New Roman"/>
          <w:i/>
          <w:iCs/>
          <w:sz w:val="24"/>
          <w:szCs w:val="24"/>
        </w:rPr>
        <w:t>Thevetianeriifolia</w:t>
      </w:r>
      <w:r w:rsidRPr="007C1CBF">
        <w:rPr>
          <w:rFonts w:ascii="Times New Roman" w:eastAsia="Times New Roman" w:hAnsi="Times New Roman" w:cs="Times New Roman"/>
          <w:sz w:val="24"/>
          <w:szCs w:val="24"/>
        </w:rPr>
        <w:t xml:space="preserve"> demonstrated the highest zones of inhibition (25.3 mm and 24.7 mm, respectively, at 200 mg/ml). Among the antifungal drugs, fluconazole showed the highest activity (up to 46 mm). MIC values ranged from 25 mg/ml (fluconazole) to 100 mg/ml for some plant extracts, indicating moderate to strong antifungal potential.</w:t>
      </w:r>
      <w:r w:rsidRPr="007C1CBF">
        <w:rPr>
          <w:rFonts w:ascii="Times New Roman" w:eastAsia="Times New Roman" w:hAnsi="Times New Roman" w:cs="Times New Roman"/>
          <w:b/>
          <w:bCs/>
          <w:sz w:val="24"/>
          <w:szCs w:val="24"/>
        </w:rPr>
        <w:t>Conclusion:</w:t>
      </w:r>
      <w:r w:rsidRPr="007C1CBF">
        <w:rPr>
          <w:rFonts w:ascii="Times New Roman" w:eastAsia="Times New Roman" w:hAnsi="Times New Roman" w:cs="Times New Roman"/>
          <w:sz w:val="24"/>
          <w:szCs w:val="24"/>
        </w:rPr>
        <w:t xml:space="preserve"> The findings demonstrate that selected medicinal plants possess significant antifungal activity against </w:t>
      </w:r>
      <w:r w:rsidRPr="007C1CBF">
        <w:rPr>
          <w:rFonts w:ascii="Times New Roman" w:eastAsia="Times New Roman" w:hAnsi="Times New Roman" w:cs="Times New Roman"/>
          <w:i/>
          <w:iCs/>
          <w:sz w:val="24"/>
          <w:szCs w:val="24"/>
        </w:rPr>
        <w:t>T. rubrum</w:t>
      </w:r>
      <w:r w:rsidRPr="007C1CBF">
        <w:rPr>
          <w:rFonts w:ascii="Times New Roman" w:eastAsia="Times New Roman" w:hAnsi="Times New Roman" w:cs="Times New Roman"/>
          <w:sz w:val="24"/>
          <w:szCs w:val="24"/>
        </w:rPr>
        <w:t>, supporting their potential as alternative or complementary therapeutic agents. Further studies are recommended to isolate active compounds and validate their clinical applicability</w:t>
      </w:r>
    </w:p>
    <w:p w:rsidR="00922300" w:rsidRPr="00466898" w:rsidRDefault="00466898" w:rsidP="00D768F6">
      <w:pPr>
        <w:spacing w:before="100" w:beforeAutospacing="1" w:after="100" w:afterAutospacing="1" w:line="240" w:lineRule="auto"/>
        <w:rPr>
          <w:rFonts w:ascii="Times New Roman" w:eastAsia="Times New Roman" w:hAnsi="Times New Roman" w:cs="Times New Roman"/>
          <w:sz w:val="24"/>
          <w:szCs w:val="24"/>
        </w:rPr>
      </w:pPr>
      <w:r w:rsidRPr="007C1CBF">
        <w:rPr>
          <w:rFonts w:ascii="Times New Roman" w:eastAsia="Times New Roman" w:hAnsi="Times New Roman" w:cs="Times New Roman"/>
          <w:b/>
          <w:bCs/>
          <w:sz w:val="24"/>
          <w:szCs w:val="24"/>
        </w:rPr>
        <w:t>Keywords:</w:t>
      </w:r>
      <w:r w:rsidRPr="007C1CBF">
        <w:rPr>
          <w:rFonts w:ascii="Times New Roman" w:eastAsia="Times New Roman" w:hAnsi="Times New Roman" w:cs="Times New Roman"/>
          <w:i/>
          <w:iCs/>
          <w:sz w:val="24"/>
          <w:szCs w:val="24"/>
        </w:rPr>
        <w:t>Trichophyton rubrum</w:t>
      </w:r>
      <w:r w:rsidRPr="007C1CBF">
        <w:rPr>
          <w:rFonts w:ascii="Times New Roman" w:eastAsia="Times New Roman" w:hAnsi="Times New Roman" w:cs="Times New Roman"/>
          <w:sz w:val="24"/>
          <w:szCs w:val="24"/>
        </w:rPr>
        <w:t xml:space="preserve">, medicinal plants, antifungal activity, phytochemicals, MIC, MFC, </w:t>
      </w:r>
      <w:commentRangeStart w:id="1"/>
      <w:r w:rsidRPr="007C1CBF">
        <w:rPr>
          <w:rFonts w:ascii="Times New Roman" w:eastAsia="Times New Roman" w:hAnsi="Times New Roman" w:cs="Times New Roman"/>
          <w:sz w:val="24"/>
          <w:szCs w:val="24"/>
        </w:rPr>
        <w:t>Nigeria</w:t>
      </w:r>
      <w:commentRangeEnd w:id="1"/>
      <w:r w:rsidR="00802A2E">
        <w:rPr>
          <w:rStyle w:val="CommentReference"/>
        </w:rPr>
        <w:commentReference w:id="1"/>
      </w:r>
    </w:p>
    <w:p w:rsidR="00922300" w:rsidRDefault="00922300" w:rsidP="00D768F6">
      <w:pPr>
        <w:spacing w:before="100" w:beforeAutospacing="1" w:after="100" w:afterAutospacing="1" w:line="240" w:lineRule="auto"/>
        <w:rPr>
          <w:rFonts w:ascii="Times New Roman" w:eastAsia="Times New Roman" w:hAnsi="Times New Roman" w:cs="Times New Roman"/>
          <w:b/>
          <w:sz w:val="24"/>
          <w:szCs w:val="24"/>
        </w:rPr>
      </w:pPr>
      <w:r w:rsidRPr="00922300">
        <w:rPr>
          <w:rFonts w:ascii="Times New Roman" w:eastAsia="Times New Roman" w:hAnsi="Times New Roman" w:cs="Times New Roman"/>
          <w:b/>
          <w:sz w:val="24"/>
          <w:szCs w:val="24"/>
        </w:rPr>
        <w:t>Introduction</w:t>
      </w:r>
    </w:p>
    <w:p w:rsidR="00AC564F" w:rsidRDefault="00AC564F" w:rsidP="00D768F6">
      <w:pPr>
        <w:spacing w:before="100" w:beforeAutospacing="1" w:after="100" w:afterAutospacing="1" w:line="240" w:lineRule="auto"/>
        <w:rPr>
          <w:rFonts w:ascii="Times New Roman" w:eastAsia="Times New Roman" w:hAnsi="Times New Roman" w:cs="Times New Roman"/>
          <w:sz w:val="24"/>
          <w:szCs w:val="24"/>
        </w:rPr>
      </w:pPr>
      <w:r w:rsidRPr="00C54759">
        <w:rPr>
          <w:rFonts w:ascii="Times New Roman" w:eastAsia="Times New Roman" w:hAnsi="Times New Roman" w:cs="Times New Roman"/>
          <w:i/>
          <w:sz w:val="24"/>
          <w:szCs w:val="24"/>
        </w:rPr>
        <w:t>Trichophyton rubrum</w:t>
      </w:r>
      <w:r w:rsidRPr="00070189">
        <w:rPr>
          <w:rFonts w:ascii="Times New Roman" w:eastAsia="Times New Roman" w:hAnsi="Times New Roman" w:cs="Times New Roman"/>
          <w:sz w:val="24"/>
          <w:szCs w:val="24"/>
        </w:rPr>
        <w:t xml:space="preserve"> is a major etiologic agent of superficial fungal infections like athlete's foot and ringworm, which are very common in tropical regions like Nigeria due to factors like high humidity and lack of proper personal hygiene (Ameen </w:t>
      </w:r>
      <w:r w:rsidRPr="00C54759">
        <w:rPr>
          <w:rFonts w:ascii="Times New Roman" w:eastAsia="Times New Roman" w:hAnsi="Times New Roman" w:cs="Times New Roman"/>
          <w:i/>
          <w:sz w:val="24"/>
          <w:szCs w:val="24"/>
        </w:rPr>
        <w:t>et al.,</w:t>
      </w:r>
      <w:r w:rsidRPr="00070189">
        <w:rPr>
          <w:rFonts w:ascii="Times New Roman" w:eastAsia="Times New Roman" w:hAnsi="Times New Roman" w:cs="Times New Roman"/>
          <w:sz w:val="24"/>
          <w:szCs w:val="24"/>
        </w:rPr>
        <w:t xml:space="preserve"> 2020). Onychomycosis, a fungal infection of the nails, is a major global public health issue. It is caused by infection with a number of dermatophytes, the primary causative agents (de Berker </w:t>
      </w:r>
      <w:r w:rsidRPr="00C54759">
        <w:rPr>
          <w:rFonts w:ascii="Times New Roman" w:eastAsia="Times New Roman" w:hAnsi="Times New Roman" w:cs="Times New Roman"/>
          <w:i/>
          <w:sz w:val="24"/>
          <w:szCs w:val="24"/>
        </w:rPr>
        <w:t>et al</w:t>
      </w:r>
      <w:r w:rsidRPr="00070189">
        <w:rPr>
          <w:rFonts w:ascii="Times New Roman" w:eastAsia="Times New Roman" w:hAnsi="Times New Roman" w:cs="Times New Roman"/>
          <w:sz w:val="24"/>
          <w:szCs w:val="24"/>
        </w:rPr>
        <w:t xml:space="preserve">., 2007). This infection can markedly affect patients' occupational, social, and emotional status, predisposing to embarrassment in working and social settings due to the reluctance to display affected hands or feet. There are several risk factors that contribute to Onychomycosis development, including diabetes mellitus, advanced age, nail trauma, poor circulation, weakened immune systems, tight </w:t>
      </w:r>
      <w:r w:rsidRPr="00070189">
        <w:rPr>
          <w:rFonts w:ascii="Times New Roman" w:eastAsia="Times New Roman" w:hAnsi="Times New Roman" w:cs="Times New Roman"/>
          <w:sz w:val="24"/>
          <w:szCs w:val="24"/>
        </w:rPr>
        <w:lastRenderedPageBreak/>
        <w:t xml:space="preserve">shoes, long fingernails, artificial nails, walking barefoot in public, sharing shoes, and exposure of the hands or feet to moisture for prolonged durations (Westerberg and Voyack, 2013). The increasing prevalence of Onychomycosis was an eye-opener regarding awareness of its etiologic agents and associated risk factors (Baki </w:t>
      </w:r>
      <w:r w:rsidRPr="00C54759">
        <w:rPr>
          <w:rFonts w:ascii="Times New Roman" w:eastAsia="Times New Roman" w:hAnsi="Times New Roman" w:cs="Times New Roman"/>
          <w:i/>
          <w:sz w:val="24"/>
          <w:szCs w:val="24"/>
        </w:rPr>
        <w:t>et al.,</w:t>
      </w:r>
      <w:r w:rsidRPr="00070189">
        <w:rPr>
          <w:rFonts w:ascii="Times New Roman" w:eastAsia="Times New Roman" w:hAnsi="Times New Roman" w:cs="Times New Roman"/>
          <w:sz w:val="24"/>
          <w:szCs w:val="24"/>
        </w:rPr>
        <w:t xml:space="preserve"> 2018). </w:t>
      </w:r>
      <w:r w:rsidRPr="00C54759">
        <w:rPr>
          <w:rFonts w:ascii="Times New Roman" w:eastAsia="Times New Roman" w:hAnsi="Times New Roman" w:cs="Times New Roman"/>
          <w:i/>
          <w:sz w:val="24"/>
          <w:szCs w:val="24"/>
        </w:rPr>
        <w:t>Trichophyton rubrum</w:t>
      </w:r>
      <w:r w:rsidRPr="00070189">
        <w:rPr>
          <w:rFonts w:ascii="Times New Roman" w:eastAsia="Times New Roman" w:hAnsi="Times New Roman" w:cs="Times New Roman"/>
          <w:sz w:val="24"/>
          <w:szCs w:val="24"/>
        </w:rPr>
        <w:t>, a dermatophyte with a keratinophilic affinity that has a virulent tendency towards keratinized tissue, is a major contributor to Onychomycosis's global burden (Jazdareh</w:t>
      </w:r>
      <w:commentRangeStart w:id="2"/>
      <w:r w:rsidRPr="00070189">
        <w:rPr>
          <w:rFonts w:ascii="Times New Roman" w:eastAsia="Times New Roman" w:hAnsi="Times New Roman" w:cs="Times New Roman"/>
          <w:sz w:val="24"/>
          <w:szCs w:val="24"/>
        </w:rPr>
        <w:t>ee</w:t>
      </w:r>
      <w:r w:rsidRPr="00C54759">
        <w:rPr>
          <w:rFonts w:ascii="Times New Roman" w:eastAsia="Times New Roman" w:hAnsi="Times New Roman" w:cs="Times New Roman"/>
          <w:i/>
          <w:sz w:val="24"/>
          <w:szCs w:val="24"/>
        </w:rPr>
        <w:t>e</w:t>
      </w:r>
      <w:commentRangeEnd w:id="2"/>
      <w:r w:rsidR="0034343A">
        <w:rPr>
          <w:rStyle w:val="CommentReference"/>
        </w:rPr>
        <w:commentReference w:id="2"/>
      </w:r>
      <w:r w:rsidRPr="00C54759">
        <w:rPr>
          <w:rFonts w:ascii="Times New Roman" w:eastAsia="Times New Roman" w:hAnsi="Times New Roman" w:cs="Times New Roman"/>
          <w:i/>
          <w:sz w:val="24"/>
          <w:szCs w:val="24"/>
        </w:rPr>
        <w:t>t al</w:t>
      </w:r>
      <w:r w:rsidRPr="00070189">
        <w:rPr>
          <w:rFonts w:ascii="Times New Roman" w:eastAsia="Times New Roman" w:hAnsi="Times New Roman" w:cs="Times New Roman"/>
          <w:sz w:val="24"/>
          <w:szCs w:val="24"/>
        </w:rPr>
        <w:t>., 2022). As in the rest of the tropical areas, Nigeria's high-temperature and humid climate is favorable for dermatophytes to develop and multiply (Yenişehirli</w:t>
      </w:r>
      <w:commentRangeStart w:id="3"/>
      <w:r w:rsidRPr="00070189">
        <w:rPr>
          <w:rFonts w:ascii="Times New Roman" w:eastAsia="Times New Roman" w:hAnsi="Times New Roman" w:cs="Times New Roman"/>
          <w:sz w:val="24"/>
          <w:szCs w:val="24"/>
        </w:rPr>
        <w:t>et</w:t>
      </w:r>
      <w:r w:rsidRPr="00C54759">
        <w:rPr>
          <w:rFonts w:ascii="Times New Roman" w:eastAsia="Times New Roman" w:hAnsi="Times New Roman" w:cs="Times New Roman"/>
          <w:i/>
          <w:sz w:val="24"/>
          <w:szCs w:val="24"/>
        </w:rPr>
        <w:t>et</w:t>
      </w:r>
      <w:commentRangeEnd w:id="3"/>
      <w:r w:rsidR="0034343A">
        <w:rPr>
          <w:rStyle w:val="CommentReference"/>
        </w:rPr>
        <w:commentReference w:id="3"/>
      </w:r>
      <w:r w:rsidRPr="00C54759">
        <w:rPr>
          <w:rFonts w:ascii="Times New Roman" w:eastAsia="Times New Roman" w:hAnsi="Times New Roman" w:cs="Times New Roman"/>
          <w:i/>
          <w:sz w:val="24"/>
          <w:szCs w:val="24"/>
        </w:rPr>
        <w:t xml:space="preserve"> al</w:t>
      </w:r>
      <w:r w:rsidRPr="00070189">
        <w:rPr>
          <w:rFonts w:ascii="Times New Roman" w:eastAsia="Times New Roman" w:hAnsi="Times New Roman" w:cs="Times New Roman"/>
          <w:sz w:val="24"/>
          <w:szCs w:val="24"/>
        </w:rPr>
        <w:t>., 2012).</w:t>
      </w:r>
      <w:r w:rsidRPr="00070189">
        <w:rPr>
          <w:rFonts w:ascii="Times New Roman" w:eastAsia="Times New Roman" w:hAnsi="Times New Roman" w:cs="Times New Roman"/>
          <w:sz w:val="24"/>
          <w:szCs w:val="24"/>
        </w:rPr>
        <w:br/>
        <w:t>Understanding the epidemiology of onychomycosis and its etiologic agents in the Benue state is important for the planning of targeted prevention and treatment interventions that are specific to the local population. In Benue State, the infections are most prevalent, with the</w:t>
      </w:r>
      <w:r>
        <w:rPr>
          <w:rFonts w:ascii="Times New Roman" w:eastAsia="Times New Roman" w:hAnsi="Times New Roman" w:cs="Times New Roman"/>
          <w:sz w:val="24"/>
          <w:szCs w:val="24"/>
        </w:rPr>
        <w:t xml:space="preserve"> majority of patients</w:t>
      </w:r>
      <w:r w:rsidRPr="00070189">
        <w:rPr>
          <w:rFonts w:ascii="Times New Roman" w:eastAsia="Times New Roman" w:hAnsi="Times New Roman" w:cs="Times New Roman"/>
          <w:sz w:val="24"/>
          <w:szCs w:val="24"/>
        </w:rPr>
        <w:t xml:space="preserve"> at tertiary health centers. Despite the existence of conventional antifungal treatment, it is under growing scrutiny of drug resistance and toxicity, which requires novel therapies (Gupta </w:t>
      </w:r>
      <w:r w:rsidRPr="00C54759">
        <w:rPr>
          <w:rFonts w:ascii="Times New Roman" w:eastAsia="Times New Roman" w:hAnsi="Times New Roman" w:cs="Times New Roman"/>
          <w:i/>
          <w:sz w:val="24"/>
          <w:szCs w:val="24"/>
        </w:rPr>
        <w:t>et al</w:t>
      </w:r>
      <w:r w:rsidRPr="00070189">
        <w:rPr>
          <w:rFonts w:ascii="Times New Roman" w:eastAsia="Times New Roman" w:hAnsi="Times New Roman" w:cs="Times New Roman"/>
          <w:sz w:val="24"/>
          <w:szCs w:val="24"/>
        </w:rPr>
        <w:t xml:space="preserve">., 2021). Medicinal plants, which have been used conventionally in antifungal activity because of their extensive background in medicine, offer a possible avenue toward novel therapies (Okeke </w:t>
      </w:r>
      <w:r w:rsidRPr="00C54759">
        <w:rPr>
          <w:rFonts w:ascii="Times New Roman" w:eastAsia="Times New Roman" w:hAnsi="Times New Roman" w:cs="Times New Roman"/>
          <w:i/>
          <w:sz w:val="24"/>
          <w:szCs w:val="24"/>
        </w:rPr>
        <w:t>et al.,</w:t>
      </w:r>
      <w:r w:rsidRPr="00070189">
        <w:rPr>
          <w:rFonts w:ascii="Times New Roman" w:eastAsia="Times New Roman" w:hAnsi="Times New Roman" w:cs="Times New Roman"/>
          <w:sz w:val="24"/>
          <w:szCs w:val="24"/>
        </w:rPr>
        <w:t xml:space="preserve"> 2023). </w:t>
      </w:r>
    </w:p>
    <w:p w:rsidR="00922300" w:rsidRPr="0014133E" w:rsidRDefault="00922300" w:rsidP="00D768F6">
      <w:pPr>
        <w:spacing w:line="240" w:lineRule="auto"/>
        <w:jc w:val="both"/>
        <w:rPr>
          <w:rFonts w:ascii="Times New Roman" w:hAnsi="Times New Roman" w:cs="Times New Roman"/>
          <w:bCs/>
          <w:sz w:val="24"/>
          <w:szCs w:val="24"/>
        </w:rPr>
      </w:pPr>
      <w:r w:rsidRPr="00537858">
        <w:rPr>
          <w:rFonts w:ascii="Times New Roman" w:hAnsi="Times New Roman" w:cs="Times New Roman"/>
          <w:bCs/>
          <w:sz w:val="24"/>
          <w:szCs w:val="24"/>
        </w:rPr>
        <w:t xml:space="preserve">The </w:t>
      </w:r>
      <w:r>
        <w:rPr>
          <w:rFonts w:ascii="Times New Roman" w:hAnsi="Times New Roman" w:cs="Times New Roman"/>
          <w:bCs/>
          <w:sz w:val="24"/>
          <w:szCs w:val="24"/>
        </w:rPr>
        <w:t xml:space="preserve">aim of this study is to investigate the Antimycotic Effects of selected Medicinal Plants on </w:t>
      </w:r>
      <w:r w:rsidRPr="00922300">
        <w:rPr>
          <w:rFonts w:ascii="Times New Roman" w:hAnsi="Times New Roman" w:cs="Times New Roman"/>
          <w:bCs/>
          <w:i/>
          <w:sz w:val="24"/>
          <w:szCs w:val="24"/>
        </w:rPr>
        <w:t>T. rubrum</w:t>
      </w:r>
      <w:r>
        <w:rPr>
          <w:rFonts w:ascii="Times New Roman" w:hAnsi="Times New Roman" w:cs="Times New Roman"/>
          <w:bCs/>
          <w:sz w:val="24"/>
          <w:szCs w:val="24"/>
        </w:rPr>
        <w:t xml:space="preserve"> isolated from two (2) </w:t>
      </w:r>
      <w:r>
        <w:rPr>
          <w:rFonts w:ascii="Times New Roman" w:hAnsi="Times New Roman" w:cs="Times New Roman"/>
          <w:sz w:val="24"/>
          <w:szCs w:val="24"/>
        </w:rPr>
        <w:t>Tertiary Hospitals i</w:t>
      </w:r>
      <w:r w:rsidRPr="00731BE3">
        <w:rPr>
          <w:rFonts w:ascii="Times New Roman" w:hAnsi="Times New Roman" w:cs="Times New Roman"/>
          <w:sz w:val="24"/>
          <w:szCs w:val="24"/>
        </w:rPr>
        <w:t>n Benue State</w:t>
      </w:r>
    </w:p>
    <w:p w:rsidR="00922300" w:rsidRDefault="00F655CC" w:rsidP="00D768F6">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Materials and Methods</w:t>
      </w:r>
    </w:p>
    <w:p w:rsidR="00F655CC" w:rsidRPr="0010186F" w:rsidRDefault="00F655CC" w:rsidP="00D768F6">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Pr="0010186F">
        <w:rPr>
          <w:rFonts w:ascii="Times New Roman" w:eastAsia="Times New Roman" w:hAnsi="Times New Roman" w:cs="Times New Roman"/>
          <w:b/>
          <w:sz w:val="24"/>
          <w:szCs w:val="24"/>
        </w:rPr>
        <w:t>ollection of Plants Materials</w:t>
      </w:r>
    </w:p>
    <w:p w:rsidR="00F655CC" w:rsidRPr="0010186F" w:rsidRDefault="00F655CC" w:rsidP="00D768F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plant materials were collected from Apebo, MbangbaghShivende in Buruku L.G.A of Benue State. The selected plants of </w:t>
      </w:r>
      <w:r w:rsidRPr="006739AE">
        <w:rPr>
          <w:rFonts w:ascii="Times New Roman" w:eastAsia="Times New Roman" w:hAnsi="Times New Roman" w:cs="Times New Roman"/>
          <w:i/>
          <w:sz w:val="24"/>
          <w:szCs w:val="24"/>
        </w:rPr>
        <w:t>Thevianeforiia</w:t>
      </w:r>
      <w:r w:rsidRPr="0010186F">
        <w:rPr>
          <w:rFonts w:ascii="Times New Roman" w:eastAsia="Times New Roman" w:hAnsi="Times New Roman" w:cs="Times New Roman"/>
          <w:i/>
          <w:sz w:val="24"/>
          <w:szCs w:val="24"/>
        </w:rPr>
        <w:t>Viteralliaparadoxa, Jatropha curcas, Parkiabiglobosa, Stereospernumkunthianum</w:t>
      </w:r>
      <w:r>
        <w:rPr>
          <w:rFonts w:ascii="Times New Roman" w:eastAsia="Times New Roman" w:hAnsi="Times New Roman" w:cs="Times New Roman"/>
          <w:sz w:val="24"/>
          <w:szCs w:val="24"/>
        </w:rPr>
        <w:t xml:space="preserve"> and </w:t>
      </w:r>
      <w:r w:rsidRPr="0010186F">
        <w:rPr>
          <w:rFonts w:ascii="Times New Roman" w:eastAsia="Times New Roman" w:hAnsi="Times New Roman" w:cs="Times New Roman"/>
          <w:i/>
          <w:sz w:val="24"/>
          <w:szCs w:val="24"/>
        </w:rPr>
        <w:t>Mitracarpusvillosus</w:t>
      </w:r>
      <w:r>
        <w:rPr>
          <w:rFonts w:ascii="Times New Roman" w:eastAsia="Times New Roman" w:hAnsi="Times New Roman" w:cs="Times New Roman"/>
          <w:sz w:val="24"/>
          <w:szCs w:val="24"/>
        </w:rPr>
        <w:t xml:space="preserve">were collected and transported to the department of plant science and biotechnology JOSTUM for </w:t>
      </w:r>
      <w:commentRangeStart w:id="4"/>
      <w:r>
        <w:rPr>
          <w:rFonts w:ascii="Times New Roman" w:eastAsia="Times New Roman" w:hAnsi="Times New Roman" w:cs="Times New Roman"/>
          <w:sz w:val="24"/>
          <w:szCs w:val="24"/>
        </w:rPr>
        <w:t>identification by a Taxonomist</w:t>
      </w:r>
      <w:commentRangeEnd w:id="4"/>
      <w:r w:rsidR="0034343A">
        <w:rPr>
          <w:rStyle w:val="CommentReference"/>
        </w:rPr>
        <w:commentReference w:id="4"/>
      </w:r>
    </w:p>
    <w:p w:rsidR="00F655CC" w:rsidRPr="00425A95" w:rsidRDefault="00F655CC" w:rsidP="00D768F6">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Preparation and </w:t>
      </w:r>
      <w:r w:rsidRPr="00425A95">
        <w:rPr>
          <w:rFonts w:ascii="Times New Roman" w:hAnsi="Times New Roman" w:cs="Times New Roman"/>
          <w:b/>
          <w:bCs/>
          <w:sz w:val="24"/>
          <w:szCs w:val="24"/>
        </w:rPr>
        <w:t>Extraction of Medicinal Plant</w:t>
      </w:r>
      <w:r>
        <w:rPr>
          <w:rFonts w:ascii="Times New Roman" w:hAnsi="Times New Roman" w:cs="Times New Roman"/>
          <w:b/>
          <w:bCs/>
          <w:sz w:val="24"/>
          <w:szCs w:val="24"/>
        </w:rPr>
        <w:t xml:space="preserve"> Materials</w:t>
      </w:r>
    </w:p>
    <w:p w:rsidR="00F655CC" w:rsidRDefault="00F655CC" w:rsidP="00D768F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Pr="00425A95">
        <w:rPr>
          <w:rFonts w:ascii="Times New Roman" w:eastAsia="Times New Roman" w:hAnsi="Times New Roman" w:cs="Times New Roman"/>
          <w:sz w:val="24"/>
          <w:szCs w:val="24"/>
        </w:rPr>
        <w:t xml:space="preserve">Bark </w:t>
      </w:r>
      <w:r>
        <w:rPr>
          <w:rFonts w:ascii="Times New Roman" w:eastAsia="Times New Roman" w:hAnsi="Times New Roman" w:cs="Times New Roman"/>
          <w:sz w:val="24"/>
          <w:szCs w:val="24"/>
        </w:rPr>
        <w:t xml:space="preserve">and Leaves of all the selected plants were removed and washed with clean water and dried under shield for three weeks. The dried plant bark and leaves were ponded using pestle and mortar and sieved using a mesh with fine pore size to obtain a fine powder. Absolute ethanol was used in the extraction of the plant materials </w:t>
      </w:r>
      <w:commentRangeStart w:id="5"/>
      <w:r>
        <w:rPr>
          <w:rFonts w:ascii="Times New Roman" w:eastAsia="Times New Roman" w:hAnsi="Times New Roman" w:cs="Times New Roman"/>
          <w:sz w:val="24"/>
          <w:szCs w:val="24"/>
        </w:rPr>
        <w:t xml:space="preserve">in two methods </w:t>
      </w:r>
      <w:commentRangeEnd w:id="5"/>
      <w:r w:rsidR="0034343A">
        <w:rPr>
          <w:rStyle w:val="CommentReference"/>
        </w:rPr>
        <w:commentReference w:id="5"/>
      </w:r>
      <w:r>
        <w:rPr>
          <w:rFonts w:ascii="Times New Roman" w:eastAsia="Times New Roman" w:hAnsi="Times New Roman" w:cs="Times New Roman"/>
          <w:sz w:val="24"/>
          <w:szCs w:val="24"/>
        </w:rPr>
        <w:t xml:space="preserve">the powder for each plant was weighed and soaked into 500 ml of the solvent in the ratio of 1: 10 and the mixture was allowed to stand for 72 hours with regular shaking. The mixture was then filtered using a cheese cloth with a fine spore size after which the filtrate was evaporated to dryness using a </w:t>
      </w:r>
      <w:commentRangeStart w:id="6"/>
      <w:r>
        <w:rPr>
          <w:rFonts w:ascii="Times New Roman" w:eastAsia="Times New Roman" w:hAnsi="Times New Roman" w:cs="Times New Roman"/>
          <w:sz w:val="24"/>
          <w:szCs w:val="24"/>
        </w:rPr>
        <w:t>water</w:t>
      </w:r>
      <w:commentRangeEnd w:id="6"/>
      <w:r w:rsidR="0034343A">
        <w:rPr>
          <w:rStyle w:val="CommentReference"/>
        </w:rPr>
        <w:commentReference w:id="6"/>
      </w:r>
      <w:r>
        <w:rPr>
          <w:rFonts w:ascii="Times New Roman" w:eastAsia="Times New Roman" w:hAnsi="Times New Roman" w:cs="Times New Roman"/>
          <w:sz w:val="24"/>
          <w:szCs w:val="24"/>
        </w:rPr>
        <w:t xml:space="preserve"> at the temperature of 45 </w:t>
      </w:r>
      <w:r w:rsidRPr="006F2CEE">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rPr>
        <w:t>C. The extracts were store in a cool dry place for the analysis.</w:t>
      </w:r>
    </w:p>
    <w:p w:rsidR="00F655CC" w:rsidRPr="007A0C11" w:rsidRDefault="00F655CC" w:rsidP="00D768F6">
      <w:pPr>
        <w:spacing w:line="240" w:lineRule="auto"/>
        <w:jc w:val="both"/>
        <w:rPr>
          <w:rFonts w:ascii="Times New Roman" w:eastAsia="Times New Roman" w:hAnsi="Times New Roman" w:cs="Times New Roman"/>
          <w:b/>
          <w:sz w:val="24"/>
          <w:szCs w:val="24"/>
        </w:rPr>
      </w:pPr>
      <w:commentRangeStart w:id="7"/>
      <w:r w:rsidRPr="007A0C11">
        <w:rPr>
          <w:rFonts w:ascii="Times New Roman" w:eastAsia="Times New Roman" w:hAnsi="Times New Roman" w:cs="Times New Roman"/>
          <w:b/>
          <w:sz w:val="24"/>
          <w:szCs w:val="24"/>
        </w:rPr>
        <w:t xml:space="preserve"> Phytochemical Analysis of the plant Extracts</w:t>
      </w:r>
      <w:commentRangeEnd w:id="7"/>
      <w:r w:rsidR="0034343A">
        <w:rPr>
          <w:rStyle w:val="CommentReference"/>
        </w:rPr>
        <w:commentReference w:id="7"/>
      </w:r>
    </w:p>
    <w:p w:rsidR="00F655CC" w:rsidRDefault="00F655CC" w:rsidP="00D768F6">
      <w:pPr>
        <w:spacing w:line="240" w:lineRule="auto"/>
        <w:jc w:val="both"/>
        <w:rPr>
          <w:rFonts w:ascii="Times New Roman" w:eastAsia="Times New Roman" w:hAnsi="Times New Roman" w:cs="Times New Roman"/>
          <w:sz w:val="24"/>
          <w:szCs w:val="24"/>
        </w:rPr>
      </w:pPr>
      <w:r w:rsidRPr="007A0C11">
        <w:rPr>
          <w:rFonts w:ascii="Times New Roman" w:eastAsia="Times New Roman" w:hAnsi="Times New Roman" w:cs="Times New Roman"/>
          <w:b/>
          <w:sz w:val="24"/>
          <w:szCs w:val="24"/>
        </w:rPr>
        <w:t>Test for Alkaloids</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Mayer’s test: Few drops of Mayer’s reagents were added to 2 ml of the extract along the side of the test tube. Appearance of a creamy precipitate indicates the presence of alkaloids. </w:t>
      </w:r>
      <w:r w:rsidRPr="00C365A7">
        <w:rPr>
          <w:rFonts w:ascii="Times New Roman" w:eastAsia="Times New Roman" w:hAnsi="Times New Roman" w:cs="Times New Roman"/>
          <w:b/>
          <w:sz w:val="24"/>
          <w:szCs w:val="24"/>
        </w:rPr>
        <w:t>Test for Glycosides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Few drops of hydrochloric acid was added to 2 ml of the extract and heated for 5 minutes then allowed to cool and 2 ml of chloroform was added to the hydro lysate and shaken. A chloroform layer was spared and 10% ammonia solution was added </w:t>
      </w:r>
      <w:r>
        <w:rPr>
          <w:rFonts w:ascii="Times New Roman" w:eastAsia="Times New Roman" w:hAnsi="Times New Roman" w:cs="Times New Roman"/>
          <w:sz w:val="24"/>
          <w:szCs w:val="24"/>
        </w:rPr>
        <w:lastRenderedPageBreak/>
        <w:t xml:space="preserve">and a pink color indicates the presence of glycosides </w:t>
      </w:r>
      <w:r w:rsidRPr="00C365A7">
        <w:rPr>
          <w:rFonts w:ascii="Times New Roman" w:eastAsia="Times New Roman" w:hAnsi="Times New Roman" w:cs="Times New Roman"/>
          <w:b/>
          <w:sz w:val="24"/>
          <w:szCs w:val="24"/>
        </w:rPr>
        <w:t>Test for Phenol</w:t>
      </w:r>
      <w:r>
        <w:rPr>
          <w:rFonts w:ascii="Times New Roman" w:eastAsia="Times New Roman" w:hAnsi="Times New Roman" w:cs="Times New Roman"/>
          <w:sz w:val="24"/>
          <w:szCs w:val="24"/>
        </w:rPr>
        <w:t xml:space="preserve">: Few drops of 5% ferric chloride solution was added to 2 ml of the extracts. A dark green color indicates the presence of phenolic compound. </w:t>
      </w:r>
      <w:r w:rsidRPr="00C365A7">
        <w:rPr>
          <w:rFonts w:ascii="Times New Roman" w:eastAsia="Times New Roman" w:hAnsi="Times New Roman" w:cs="Times New Roman"/>
          <w:b/>
          <w:sz w:val="24"/>
          <w:szCs w:val="24"/>
        </w:rPr>
        <w:t>Test for Tannins</w:t>
      </w:r>
      <w:r>
        <w:rPr>
          <w:rFonts w:ascii="Times New Roman" w:eastAsia="Times New Roman" w:hAnsi="Times New Roman" w:cs="Times New Roman"/>
          <w:sz w:val="24"/>
          <w:szCs w:val="24"/>
        </w:rPr>
        <w:t xml:space="preserve">: Few drops of ferric chloride (5%) was added to 2 ml of the extracts. A deep blue color indicates the presence of Tannins compounds. </w:t>
      </w:r>
      <w:r w:rsidRPr="00C44BC9">
        <w:rPr>
          <w:rFonts w:ascii="Times New Roman" w:eastAsia="Times New Roman" w:hAnsi="Times New Roman" w:cs="Times New Roman"/>
          <w:b/>
          <w:sz w:val="24"/>
          <w:szCs w:val="24"/>
        </w:rPr>
        <w:t>Test for Saponins</w:t>
      </w:r>
      <w:r>
        <w:rPr>
          <w:rFonts w:ascii="Times New Roman" w:eastAsia="Times New Roman" w:hAnsi="Times New Roman" w:cs="Times New Roman"/>
          <w:sz w:val="24"/>
          <w:szCs w:val="24"/>
        </w:rPr>
        <w:t xml:space="preserve">: Five milliliters of distilled water was added to 5 ml of extract in a test tube and shaken for 5 minutes. Development of foam suggested the presence of saponins. </w:t>
      </w:r>
      <w:r w:rsidRPr="00C44BC9">
        <w:rPr>
          <w:rFonts w:ascii="Times New Roman" w:eastAsia="Times New Roman" w:hAnsi="Times New Roman" w:cs="Times New Roman"/>
          <w:b/>
          <w:sz w:val="24"/>
          <w:szCs w:val="24"/>
        </w:rPr>
        <w:t>Test for Terpenoids</w:t>
      </w:r>
      <w:r>
        <w:rPr>
          <w:rFonts w:ascii="Times New Roman" w:eastAsia="Times New Roman" w:hAnsi="Times New Roman" w:cs="Times New Roman"/>
          <w:sz w:val="24"/>
          <w:szCs w:val="24"/>
        </w:rPr>
        <w:t xml:space="preserve">: Five milliliters of the extract was treated with 2 ml of 0,1% anhydrous Stannic chloride in pure thiol chloride. A deep purple color that changes to red indicates the presence of terpenoids. </w:t>
      </w:r>
      <w:r w:rsidRPr="0059302C">
        <w:rPr>
          <w:rFonts w:ascii="Times New Roman" w:eastAsia="Times New Roman" w:hAnsi="Times New Roman" w:cs="Times New Roman"/>
          <w:b/>
          <w:sz w:val="24"/>
          <w:szCs w:val="24"/>
        </w:rPr>
        <w:t>Test for Steroids</w:t>
      </w:r>
      <w:r>
        <w:rPr>
          <w:rFonts w:ascii="Times New Roman" w:eastAsia="Times New Roman" w:hAnsi="Times New Roman" w:cs="Times New Roman"/>
          <w:sz w:val="24"/>
          <w:szCs w:val="24"/>
        </w:rPr>
        <w:t xml:space="preserve">: To 5 ml of the extract, 2 ml of chloroform and 2 ml of concentrated </w:t>
      </w:r>
      <w:commentRangeStart w:id="8"/>
      <w:r>
        <w:rPr>
          <w:rFonts w:ascii="Times New Roman" w:eastAsia="Times New Roman" w:hAnsi="Times New Roman" w:cs="Times New Roman"/>
          <w:sz w:val="24"/>
          <w:szCs w:val="24"/>
        </w:rPr>
        <w:t>sulphoric</w:t>
      </w:r>
      <w:commentRangeEnd w:id="8"/>
      <w:r w:rsidR="0034343A">
        <w:rPr>
          <w:rStyle w:val="CommentReference"/>
        </w:rPr>
        <w:commentReference w:id="8"/>
      </w:r>
      <w:r>
        <w:rPr>
          <w:rFonts w:ascii="Times New Roman" w:eastAsia="Times New Roman" w:hAnsi="Times New Roman" w:cs="Times New Roman"/>
          <w:sz w:val="24"/>
          <w:szCs w:val="24"/>
        </w:rPr>
        <w:t xml:space="preserve"> acid was added from the side of the test tube. The test tube was shaken for few minutes. The development of red color in the chloroform layer indicates the presence of steroids. </w:t>
      </w:r>
      <w:r w:rsidRPr="0059302C">
        <w:rPr>
          <w:rFonts w:ascii="Times New Roman" w:eastAsia="Times New Roman" w:hAnsi="Times New Roman" w:cs="Times New Roman"/>
          <w:b/>
          <w:sz w:val="24"/>
          <w:szCs w:val="24"/>
        </w:rPr>
        <w:t>Test for Flavonoids</w:t>
      </w:r>
      <w:r>
        <w:rPr>
          <w:rFonts w:ascii="Times New Roman" w:eastAsia="Times New Roman" w:hAnsi="Times New Roman" w:cs="Times New Roman"/>
          <w:sz w:val="24"/>
          <w:szCs w:val="24"/>
        </w:rPr>
        <w:t>: Few drops of ferric chloride were added to 5 ml of the extract. A deep yellow color indicates the presence of flavonoids.</w:t>
      </w:r>
    </w:p>
    <w:p w:rsidR="00F655CC" w:rsidRDefault="00F655CC" w:rsidP="00D768F6">
      <w:pPr>
        <w:spacing w:line="240" w:lineRule="auto"/>
        <w:jc w:val="both"/>
        <w:rPr>
          <w:rFonts w:ascii="Times New Roman" w:eastAsia="Times New Roman" w:hAnsi="Times New Roman" w:cs="Times New Roman"/>
          <w:b/>
          <w:sz w:val="24"/>
          <w:szCs w:val="24"/>
        </w:rPr>
      </w:pPr>
    </w:p>
    <w:p w:rsidR="00F655CC" w:rsidRPr="00294C9E" w:rsidRDefault="00F655CC" w:rsidP="00D768F6">
      <w:pPr>
        <w:spacing w:line="240" w:lineRule="auto"/>
        <w:jc w:val="both"/>
        <w:rPr>
          <w:rFonts w:ascii="Times New Roman" w:eastAsia="Times New Roman" w:hAnsi="Times New Roman" w:cs="Times New Roman"/>
          <w:b/>
          <w:sz w:val="24"/>
          <w:szCs w:val="24"/>
        </w:rPr>
      </w:pPr>
      <w:r w:rsidRPr="00294C9E">
        <w:rPr>
          <w:rFonts w:ascii="Times New Roman" w:eastAsia="Times New Roman" w:hAnsi="Times New Roman" w:cs="Times New Roman"/>
          <w:b/>
          <w:sz w:val="24"/>
          <w:szCs w:val="24"/>
        </w:rPr>
        <w:t>Preparation of Concentrations of the Extracts</w:t>
      </w:r>
    </w:p>
    <w:p w:rsidR="00F655CC" w:rsidRDefault="00F655CC" w:rsidP="00D768F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gram (1g) of the extract was added to 5 ml of Dimethyl Sulphur Oxide (DMSO) to produce the concentration of 200 mg/ml and other concentrations of 100 mg/ml, 50 mg/ml and 25 mg/ml were prepared by double dilution method.</w:t>
      </w:r>
    </w:p>
    <w:p w:rsidR="00F655CC" w:rsidRDefault="00F655CC" w:rsidP="00D768F6">
      <w:pPr>
        <w:spacing w:line="240" w:lineRule="auto"/>
        <w:jc w:val="both"/>
        <w:rPr>
          <w:rFonts w:ascii="Times New Roman" w:eastAsia="Times New Roman" w:hAnsi="Times New Roman" w:cs="Times New Roman"/>
          <w:b/>
          <w:sz w:val="24"/>
          <w:szCs w:val="24"/>
        </w:rPr>
      </w:pPr>
      <w:r w:rsidRPr="00F12461">
        <w:rPr>
          <w:rFonts w:ascii="Times New Roman" w:eastAsia="Times New Roman" w:hAnsi="Times New Roman" w:cs="Times New Roman"/>
          <w:b/>
          <w:sz w:val="24"/>
          <w:szCs w:val="24"/>
        </w:rPr>
        <w:t>Antifungal Susceptibility Test</w:t>
      </w:r>
    </w:p>
    <w:p w:rsidR="00F655CC" w:rsidRPr="0042306A" w:rsidRDefault="00F655CC" w:rsidP="00D768F6">
      <w:pPr>
        <w:spacing w:line="240" w:lineRule="auto"/>
        <w:jc w:val="both"/>
        <w:rPr>
          <w:rFonts w:ascii="Times New Roman" w:hAnsi="Times New Roman" w:cs="Times New Roman"/>
          <w:sz w:val="24"/>
          <w:szCs w:val="24"/>
        </w:rPr>
      </w:pPr>
      <w:commentRangeStart w:id="9"/>
      <w:r w:rsidRPr="00425A95">
        <w:rPr>
          <w:rFonts w:ascii="Times New Roman" w:hAnsi="Times New Roman" w:cs="Times New Roman"/>
          <w:sz w:val="24"/>
          <w:szCs w:val="24"/>
        </w:rPr>
        <w:t xml:space="preserve">The </w:t>
      </w:r>
      <w:r>
        <w:rPr>
          <w:rFonts w:ascii="Times New Roman" w:hAnsi="Times New Roman" w:cs="Times New Roman"/>
          <w:sz w:val="24"/>
          <w:szCs w:val="24"/>
        </w:rPr>
        <w:t>antifungal agents</w:t>
      </w:r>
      <w:r w:rsidRPr="00425A95">
        <w:rPr>
          <w:rFonts w:ascii="Times New Roman" w:hAnsi="Times New Roman" w:cs="Times New Roman"/>
          <w:sz w:val="24"/>
          <w:szCs w:val="24"/>
        </w:rPr>
        <w:t>, Griseofulvin, Fluconazole, ketoconazole, will be used in their commercial presentation to prepare as a stock solution adjusted to the concentration of 2</w:t>
      </w:r>
      <w:r>
        <w:rPr>
          <w:rFonts w:ascii="Times New Roman" w:hAnsi="Times New Roman" w:cs="Times New Roman"/>
          <w:sz w:val="24"/>
          <w:szCs w:val="24"/>
        </w:rPr>
        <w:t>5 µg per well each agent were</w:t>
      </w:r>
      <w:r w:rsidRPr="00425A95">
        <w:rPr>
          <w:rFonts w:ascii="Times New Roman" w:hAnsi="Times New Roman" w:cs="Times New Roman"/>
          <w:sz w:val="24"/>
          <w:szCs w:val="24"/>
        </w:rPr>
        <w:t xml:space="preserve"> dissolved in its corresponding solvent. A test concentration of the drugs necessary to visualize a </w:t>
      </w:r>
      <w:r>
        <w:rPr>
          <w:rFonts w:ascii="Times New Roman" w:hAnsi="Times New Roman" w:cs="Times New Roman"/>
          <w:sz w:val="24"/>
          <w:szCs w:val="24"/>
        </w:rPr>
        <w:t>clear zone of inhibition were</w:t>
      </w:r>
      <w:r w:rsidRPr="00425A95">
        <w:rPr>
          <w:rFonts w:ascii="Times New Roman" w:hAnsi="Times New Roman" w:cs="Times New Roman"/>
          <w:sz w:val="24"/>
          <w:szCs w:val="24"/>
        </w:rPr>
        <w:t xml:space="preserve"> performed (</w:t>
      </w:r>
      <w:r w:rsidRPr="00425A95">
        <w:rPr>
          <w:rStyle w:val="element-citation"/>
          <w:rFonts w:ascii="Times New Roman" w:hAnsi="Times New Roman" w:cs="Times New Roman"/>
          <w:sz w:val="24"/>
          <w:szCs w:val="24"/>
        </w:rPr>
        <w:t>WHO, 2022</w:t>
      </w:r>
      <w:r w:rsidRPr="00425A95">
        <w:rPr>
          <w:rFonts w:ascii="Times New Roman" w:hAnsi="Times New Roman" w:cs="Times New Roman"/>
          <w:sz w:val="24"/>
          <w:szCs w:val="24"/>
        </w:rPr>
        <w:t>).</w:t>
      </w:r>
      <w:commentRangeEnd w:id="9"/>
      <w:r w:rsidR="0034343A">
        <w:rPr>
          <w:rStyle w:val="CommentReference"/>
        </w:rPr>
        <w:commentReference w:id="9"/>
      </w:r>
    </w:p>
    <w:p w:rsidR="00F655CC" w:rsidRDefault="00F655CC" w:rsidP="00D768F6">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The fungal isolates used in this study were </w:t>
      </w:r>
      <w:r w:rsidRPr="008134C0">
        <w:rPr>
          <w:rFonts w:ascii="Times New Roman" w:eastAsia="Times New Roman" w:hAnsi="Times New Roman" w:cs="Times New Roman"/>
          <w:i/>
          <w:sz w:val="24"/>
          <w:szCs w:val="24"/>
        </w:rPr>
        <w:t>Trychophyton</w:t>
      </w:r>
      <w:r w:rsidRPr="0029716E">
        <w:rPr>
          <w:rFonts w:ascii="Times New Roman" w:eastAsia="Times New Roman" w:hAnsi="Times New Roman" w:cs="Times New Roman"/>
          <w:i/>
          <w:iCs/>
          <w:sz w:val="24"/>
          <w:szCs w:val="24"/>
        </w:rPr>
        <w:t>rubrum</w:t>
      </w:r>
      <w:r>
        <w:rPr>
          <w:rFonts w:ascii="Times New Roman" w:eastAsia="Times New Roman" w:hAnsi="Times New Roman" w:cs="Times New Roman"/>
          <w:sz w:val="24"/>
          <w:szCs w:val="24"/>
        </w:rPr>
        <w:t xml:space="preserve"> isolated from the samples collected from Benue State University Teaching Hospital and Federal Medical Center in Makurdi Benue State. The fungal suspension was prepared by inoculating the test organism into sterile saline and incubated for 24 hours at room temperature. The culture was standardized to 0.5 McFarland turbidity standard after which tween 80 was added. The ability of the extract to inhibit the growth of the fungal isolates was determined using agar well diffusion technique </w:t>
      </w:r>
      <w:r w:rsidRPr="00425A95">
        <w:rPr>
          <w:rFonts w:ascii="Times New Roman" w:hAnsi="Times New Roman" w:cs="Times New Roman"/>
          <w:sz w:val="24"/>
          <w:szCs w:val="24"/>
        </w:rPr>
        <w:t xml:space="preserve">(Ashraf </w:t>
      </w:r>
      <w:r w:rsidRPr="00425A95">
        <w:rPr>
          <w:rFonts w:ascii="Times New Roman" w:hAnsi="Times New Roman" w:cs="Times New Roman"/>
          <w:i/>
          <w:iCs/>
          <w:sz w:val="24"/>
          <w:szCs w:val="24"/>
        </w:rPr>
        <w:t>et al.,</w:t>
      </w:r>
      <w:r w:rsidRPr="00425A95">
        <w:rPr>
          <w:rFonts w:ascii="Times New Roman" w:hAnsi="Times New Roman" w:cs="Times New Roman"/>
          <w:sz w:val="24"/>
          <w:szCs w:val="24"/>
        </w:rPr>
        <w:t xml:space="preserve"> 2018)</w:t>
      </w:r>
      <w:r>
        <w:rPr>
          <w:rFonts w:ascii="Times New Roman" w:eastAsia="Times New Roman" w:hAnsi="Times New Roman" w:cs="Times New Roman"/>
          <w:sz w:val="24"/>
          <w:szCs w:val="24"/>
        </w:rPr>
        <w:t>. In this method, 0.2 ml of the fungal suspension was transferred into sterile petri dishes and autoclaved Sabroud dextrose agar was added and souled to mix, then allowed to solidify after which wells were bored on the surfaces of the agar plates using a 2 mm cork borer. Aliquot of the different concentrations of the extracts were transferred into the wells using a Pasteur pipette. The wells were sufficiently spaced to avoid overlapping. The zone of inhibition was measured as the diameter across using ruler and the experiment was carried out in triplicates.</w:t>
      </w:r>
    </w:p>
    <w:p w:rsidR="00F655CC" w:rsidRPr="00F655CC" w:rsidRDefault="00F655CC" w:rsidP="00D768F6">
      <w:pPr>
        <w:spacing w:line="240" w:lineRule="auto"/>
        <w:jc w:val="both"/>
        <w:rPr>
          <w:rFonts w:ascii="Times New Roman" w:hAnsi="Times New Roman" w:cs="Times New Roman"/>
          <w:sz w:val="24"/>
          <w:szCs w:val="24"/>
        </w:rPr>
      </w:pPr>
      <w:r w:rsidRPr="00F0241E">
        <w:rPr>
          <w:rFonts w:ascii="Times New Roman" w:eastAsia="Times New Roman" w:hAnsi="Times New Roman" w:cs="Times New Roman"/>
          <w:b/>
          <w:sz w:val="24"/>
          <w:szCs w:val="24"/>
        </w:rPr>
        <w:t>Determination of Minimum Inhibitory Concentration (MIC) and Minimum Fungicidal Concentration (MFC).</w:t>
      </w:r>
    </w:p>
    <w:p w:rsidR="00F655CC" w:rsidRDefault="00F655CC" w:rsidP="00D768F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minimum Inhibitory Concentration (MIC) of the ethanolic extract was determined for </w:t>
      </w:r>
      <w:commentRangeStart w:id="10"/>
      <w:r>
        <w:rPr>
          <w:rFonts w:ascii="Times New Roman" w:eastAsia="Times New Roman" w:hAnsi="Times New Roman" w:cs="Times New Roman"/>
          <w:sz w:val="24"/>
          <w:szCs w:val="24"/>
        </w:rPr>
        <w:t>esch</w:t>
      </w:r>
      <w:commentRangeEnd w:id="10"/>
      <w:r w:rsidR="0034343A">
        <w:rPr>
          <w:rStyle w:val="CommentReference"/>
        </w:rPr>
        <w:commentReference w:id="10"/>
      </w:r>
      <w:r>
        <w:rPr>
          <w:rFonts w:ascii="Times New Roman" w:eastAsia="Times New Roman" w:hAnsi="Times New Roman" w:cs="Times New Roman"/>
          <w:sz w:val="24"/>
          <w:szCs w:val="24"/>
        </w:rPr>
        <w:t xml:space="preserve"> of the extracts in triplicate at varying concentration of 200 mg/ml, 100 mg/ml and 25 mg/ml. one milliliter (1ml) of dextrose broth containing the extract was dispensed in test tubes and then a loopful of the fungal isolate diluted to 0.5 McFarlend standard turbidity was inoculated into </w:t>
      </w:r>
      <w:r>
        <w:rPr>
          <w:rFonts w:ascii="Times New Roman" w:eastAsia="Times New Roman" w:hAnsi="Times New Roman" w:cs="Times New Roman"/>
          <w:sz w:val="24"/>
          <w:szCs w:val="24"/>
        </w:rPr>
        <w:lastRenderedPageBreak/>
        <w:t>tubes. The tubes were incubated at room temperature for 24 hours and then examined for growth by observing for turbidity.</w:t>
      </w:r>
    </w:p>
    <w:p w:rsidR="00F655CC" w:rsidRPr="007A0C11" w:rsidRDefault="00F655CC" w:rsidP="00D768F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MFC of the extract was determined by sub-culturing the tubes from MIC that did not show any visible growth and incubated for 24 hours at room temperature. After incubation, the concentration at which there was no single colony of fungi was taken as MFC.</w:t>
      </w:r>
    </w:p>
    <w:p w:rsidR="00F655CC" w:rsidRDefault="0058184B" w:rsidP="00D768F6">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Results and Discussion </w:t>
      </w:r>
    </w:p>
    <w:p w:rsidR="0058184B" w:rsidRDefault="00CC5BCF" w:rsidP="00D768F6">
      <w:pPr>
        <w:spacing w:line="240" w:lineRule="auto"/>
        <w:rPr>
          <w:rFonts w:ascii="Times New Roman" w:hAnsi="Times New Roman" w:cs="Times New Roman"/>
          <w:b/>
          <w:sz w:val="24"/>
          <w:szCs w:val="24"/>
        </w:rPr>
      </w:pPr>
      <w:r>
        <w:rPr>
          <w:rFonts w:ascii="Times New Roman" w:hAnsi="Times New Roman" w:cs="Times New Roman"/>
          <w:b/>
          <w:sz w:val="24"/>
          <w:szCs w:val="24"/>
        </w:rPr>
        <w:t>Table 1</w:t>
      </w:r>
      <w:r w:rsidR="0058184B">
        <w:rPr>
          <w:rFonts w:ascii="Times New Roman" w:hAnsi="Times New Roman" w:cs="Times New Roman"/>
          <w:b/>
          <w:sz w:val="24"/>
          <w:szCs w:val="24"/>
        </w:rPr>
        <w:t>: Phytochemical Screening/Constituents of selected Medicinal plants Studied</w:t>
      </w:r>
    </w:p>
    <w:tbl>
      <w:tblPr>
        <w:tblStyle w:val="TableGrid"/>
        <w:tblW w:w="0" w:type="auto"/>
        <w:tblLook w:val="04A0"/>
      </w:tblPr>
      <w:tblGrid>
        <w:gridCol w:w="1785"/>
        <w:gridCol w:w="1548"/>
        <w:gridCol w:w="1395"/>
        <w:gridCol w:w="1278"/>
        <w:gridCol w:w="1655"/>
        <w:gridCol w:w="1915"/>
      </w:tblGrid>
      <w:tr w:rsidR="0058184B" w:rsidTr="00634081">
        <w:tc>
          <w:tcPr>
            <w:tcW w:w="2158" w:type="dxa"/>
            <w:tcBorders>
              <w:left w:val="nil"/>
              <w:bottom w:val="single" w:sz="4" w:space="0" w:color="auto"/>
              <w:right w:val="nil"/>
            </w:tcBorders>
          </w:tcPr>
          <w:p w:rsidR="0058184B" w:rsidRDefault="0058184B" w:rsidP="00D768F6">
            <w:pPr>
              <w:rPr>
                <w:rFonts w:ascii="Times New Roman" w:hAnsi="Times New Roman" w:cs="Times New Roman"/>
                <w:sz w:val="24"/>
                <w:szCs w:val="24"/>
              </w:rPr>
            </w:pPr>
          </w:p>
        </w:tc>
        <w:tc>
          <w:tcPr>
            <w:tcW w:w="2158" w:type="dxa"/>
            <w:tcBorders>
              <w:left w:val="nil"/>
              <w:right w:val="nil"/>
            </w:tcBorders>
          </w:tcPr>
          <w:p w:rsidR="0058184B" w:rsidRDefault="0058184B" w:rsidP="00D768F6">
            <w:pPr>
              <w:rPr>
                <w:rFonts w:ascii="Times New Roman" w:hAnsi="Times New Roman" w:cs="Times New Roman"/>
                <w:sz w:val="24"/>
                <w:szCs w:val="24"/>
              </w:rPr>
            </w:pPr>
          </w:p>
        </w:tc>
        <w:tc>
          <w:tcPr>
            <w:tcW w:w="2158" w:type="dxa"/>
            <w:tcBorders>
              <w:left w:val="nil"/>
              <w:bottom w:val="single" w:sz="4" w:space="0" w:color="auto"/>
              <w:right w:val="nil"/>
            </w:tcBorders>
          </w:tcPr>
          <w:p w:rsidR="0058184B" w:rsidRDefault="0058184B" w:rsidP="00D768F6">
            <w:pPr>
              <w:rPr>
                <w:rFonts w:ascii="Times New Roman" w:hAnsi="Times New Roman" w:cs="Times New Roman"/>
                <w:sz w:val="24"/>
                <w:szCs w:val="24"/>
              </w:rPr>
            </w:pPr>
          </w:p>
        </w:tc>
        <w:tc>
          <w:tcPr>
            <w:tcW w:w="2158" w:type="dxa"/>
            <w:tcBorders>
              <w:left w:val="nil"/>
              <w:bottom w:val="single" w:sz="4" w:space="0" w:color="auto"/>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Plant Type</w:t>
            </w:r>
          </w:p>
          <w:p w:rsidR="0058184B" w:rsidRDefault="0058184B" w:rsidP="00D768F6">
            <w:pPr>
              <w:rPr>
                <w:rFonts w:ascii="Times New Roman" w:hAnsi="Times New Roman" w:cs="Times New Roman"/>
                <w:sz w:val="24"/>
                <w:szCs w:val="24"/>
              </w:rPr>
            </w:pPr>
          </w:p>
        </w:tc>
        <w:tc>
          <w:tcPr>
            <w:tcW w:w="2159" w:type="dxa"/>
            <w:tcBorders>
              <w:left w:val="nil"/>
              <w:bottom w:val="single" w:sz="4" w:space="0" w:color="auto"/>
              <w:right w:val="nil"/>
            </w:tcBorders>
          </w:tcPr>
          <w:p w:rsidR="0058184B" w:rsidRDefault="0058184B" w:rsidP="00D768F6">
            <w:pPr>
              <w:rPr>
                <w:rFonts w:ascii="Times New Roman" w:hAnsi="Times New Roman" w:cs="Times New Roman"/>
                <w:sz w:val="24"/>
                <w:szCs w:val="24"/>
              </w:rPr>
            </w:pPr>
          </w:p>
        </w:tc>
        <w:tc>
          <w:tcPr>
            <w:tcW w:w="2159" w:type="dxa"/>
            <w:tcBorders>
              <w:left w:val="nil"/>
              <w:bottom w:val="single" w:sz="4" w:space="0" w:color="auto"/>
              <w:right w:val="nil"/>
            </w:tcBorders>
          </w:tcPr>
          <w:p w:rsidR="0058184B" w:rsidRDefault="0058184B" w:rsidP="00D768F6">
            <w:pPr>
              <w:rPr>
                <w:rFonts w:ascii="Times New Roman" w:hAnsi="Times New Roman" w:cs="Times New Roman"/>
                <w:sz w:val="24"/>
                <w:szCs w:val="24"/>
              </w:rPr>
            </w:pPr>
          </w:p>
        </w:tc>
      </w:tr>
      <w:tr w:rsidR="0058184B" w:rsidTr="00634081">
        <w:tc>
          <w:tcPr>
            <w:tcW w:w="2158" w:type="dxa"/>
            <w:tcBorders>
              <w:left w:val="nil"/>
              <w:bottom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Phytochemicals</w:t>
            </w:r>
          </w:p>
        </w:tc>
        <w:tc>
          <w:tcPr>
            <w:tcW w:w="2158" w:type="dxa"/>
            <w:tcBorders>
              <w:left w:val="nil"/>
              <w:bottom w:val="nil"/>
              <w:right w:val="nil"/>
            </w:tcBorders>
          </w:tcPr>
          <w:p w:rsidR="0058184B" w:rsidRPr="006D136F" w:rsidRDefault="0058184B" w:rsidP="00D768F6">
            <w:pPr>
              <w:rPr>
                <w:rFonts w:ascii="Times New Roman" w:hAnsi="Times New Roman" w:cs="Times New Roman"/>
                <w:i/>
                <w:sz w:val="24"/>
                <w:szCs w:val="24"/>
              </w:rPr>
            </w:pPr>
            <w:r w:rsidRPr="006D136F">
              <w:rPr>
                <w:rFonts w:ascii="Times New Roman" w:hAnsi="Times New Roman" w:cs="Times New Roman"/>
                <w:i/>
                <w:sz w:val="24"/>
                <w:szCs w:val="24"/>
              </w:rPr>
              <w:t>Vetiatevesia</w:t>
            </w:r>
          </w:p>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(Mulekyegh)</w:t>
            </w:r>
          </w:p>
        </w:tc>
        <w:tc>
          <w:tcPr>
            <w:tcW w:w="2158" w:type="dxa"/>
            <w:tcBorders>
              <w:left w:val="nil"/>
              <w:bottom w:val="nil"/>
              <w:right w:val="nil"/>
            </w:tcBorders>
          </w:tcPr>
          <w:p w:rsidR="0058184B" w:rsidRPr="006D136F" w:rsidRDefault="0058184B" w:rsidP="00D768F6">
            <w:pPr>
              <w:rPr>
                <w:rFonts w:ascii="Times New Roman" w:hAnsi="Times New Roman" w:cs="Times New Roman"/>
                <w:i/>
                <w:sz w:val="24"/>
                <w:szCs w:val="24"/>
              </w:rPr>
            </w:pPr>
            <w:r w:rsidRPr="006D136F">
              <w:rPr>
                <w:rFonts w:ascii="Times New Roman" w:hAnsi="Times New Roman" w:cs="Times New Roman"/>
                <w:i/>
                <w:sz w:val="24"/>
                <w:szCs w:val="24"/>
              </w:rPr>
              <w:t>V. paradoxa</w:t>
            </w:r>
          </w:p>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(Chamegh)</w:t>
            </w:r>
          </w:p>
        </w:tc>
        <w:tc>
          <w:tcPr>
            <w:tcW w:w="2158" w:type="dxa"/>
            <w:tcBorders>
              <w:left w:val="nil"/>
              <w:bottom w:val="nil"/>
              <w:right w:val="nil"/>
            </w:tcBorders>
          </w:tcPr>
          <w:p w:rsidR="0058184B" w:rsidRPr="006D136F" w:rsidRDefault="0058184B" w:rsidP="00D768F6">
            <w:pPr>
              <w:rPr>
                <w:rFonts w:ascii="Times New Roman" w:hAnsi="Times New Roman" w:cs="Times New Roman"/>
                <w:i/>
                <w:sz w:val="24"/>
                <w:szCs w:val="24"/>
              </w:rPr>
            </w:pPr>
            <w:r w:rsidRPr="006D136F">
              <w:rPr>
                <w:rFonts w:ascii="Times New Roman" w:hAnsi="Times New Roman" w:cs="Times New Roman"/>
                <w:i/>
                <w:sz w:val="24"/>
                <w:szCs w:val="24"/>
              </w:rPr>
              <w:t>P. biglobosa</w:t>
            </w:r>
          </w:p>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(Nune)</w:t>
            </w:r>
          </w:p>
        </w:tc>
        <w:tc>
          <w:tcPr>
            <w:tcW w:w="2159" w:type="dxa"/>
            <w:tcBorders>
              <w:left w:val="nil"/>
              <w:bottom w:val="nil"/>
              <w:right w:val="nil"/>
            </w:tcBorders>
          </w:tcPr>
          <w:p w:rsidR="0058184B" w:rsidRPr="006D136F" w:rsidRDefault="0058184B" w:rsidP="00D768F6">
            <w:pPr>
              <w:rPr>
                <w:rFonts w:ascii="Times New Roman" w:hAnsi="Times New Roman" w:cs="Times New Roman"/>
                <w:i/>
                <w:sz w:val="24"/>
                <w:szCs w:val="24"/>
              </w:rPr>
            </w:pPr>
            <w:r w:rsidRPr="006D136F">
              <w:rPr>
                <w:rFonts w:ascii="Times New Roman" w:hAnsi="Times New Roman" w:cs="Times New Roman"/>
                <w:i/>
                <w:sz w:val="24"/>
                <w:szCs w:val="24"/>
              </w:rPr>
              <w:t>S. kunthianum</w:t>
            </w:r>
          </w:p>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(Unanatemba)</w:t>
            </w:r>
          </w:p>
        </w:tc>
        <w:tc>
          <w:tcPr>
            <w:tcW w:w="2159" w:type="dxa"/>
            <w:tcBorders>
              <w:left w:val="nil"/>
              <w:bottom w:val="nil"/>
              <w:right w:val="nil"/>
            </w:tcBorders>
          </w:tcPr>
          <w:p w:rsidR="0058184B" w:rsidRPr="006D136F" w:rsidRDefault="0058184B" w:rsidP="00D768F6">
            <w:pPr>
              <w:rPr>
                <w:rFonts w:ascii="Times New Roman" w:hAnsi="Times New Roman" w:cs="Times New Roman"/>
                <w:i/>
                <w:sz w:val="24"/>
                <w:szCs w:val="24"/>
              </w:rPr>
            </w:pPr>
            <w:r w:rsidRPr="006D136F">
              <w:rPr>
                <w:rFonts w:ascii="Times New Roman" w:hAnsi="Times New Roman" w:cs="Times New Roman"/>
                <w:i/>
                <w:sz w:val="24"/>
                <w:szCs w:val="24"/>
              </w:rPr>
              <w:t>M. villosus</w:t>
            </w:r>
          </w:p>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(Antyokpolough)</w:t>
            </w:r>
          </w:p>
        </w:tc>
      </w:tr>
      <w:tr w:rsidR="0058184B" w:rsidTr="00634081">
        <w:tc>
          <w:tcPr>
            <w:tcW w:w="2158" w:type="dxa"/>
            <w:tcBorders>
              <w:top w:val="nil"/>
              <w:left w:val="nil"/>
              <w:bottom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Alkaloids</w:t>
            </w:r>
          </w:p>
          <w:p w:rsidR="0058184B" w:rsidRDefault="0058184B" w:rsidP="00D768F6">
            <w:pPr>
              <w:rPr>
                <w:rFonts w:ascii="Times New Roman" w:hAnsi="Times New Roman" w:cs="Times New Roman"/>
                <w:sz w:val="24"/>
                <w:szCs w:val="24"/>
              </w:rPr>
            </w:pPr>
          </w:p>
        </w:tc>
        <w:tc>
          <w:tcPr>
            <w:tcW w:w="2158" w:type="dxa"/>
            <w:tcBorders>
              <w:top w:val="nil"/>
              <w:left w:val="nil"/>
              <w:bottom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8" w:type="dxa"/>
            <w:tcBorders>
              <w:top w:val="nil"/>
              <w:left w:val="nil"/>
              <w:bottom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8" w:type="dxa"/>
            <w:tcBorders>
              <w:top w:val="nil"/>
              <w:left w:val="nil"/>
              <w:bottom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9" w:type="dxa"/>
            <w:tcBorders>
              <w:top w:val="nil"/>
              <w:left w:val="nil"/>
              <w:bottom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9" w:type="dxa"/>
            <w:tcBorders>
              <w:top w:val="nil"/>
              <w:left w:val="nil"/>
              <w:bottom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r>
      <w:tr w:rsidR="0058184B" w:rsidTr="00634081">
        <w:tc>
          <w:tcPr>
            <w:tcW w:w="2158" w:type="dxa"/>
            <w:tcBorders>
              <w:top w:val="nil"/>
              <w:left w:val="nil"/>
              <w:bottom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Glycosides</w:t>
            </w:r>
          </w:p>
        </w:tc>
        <w:tc>
          <w:tcPr>
            <w:tcW w:w="2158" w:type="dxa"/>
            <w:tcBorders>
              <w:top w:val="nil"/>
              <w:left w:val="nil"/>
              <w:bottom w:val="nil"/>
              <w:right w:val="nil"/>
            </w:tcBorders>
          </w:tcPr>
          <w:p w:rsidR="0058184B" w:rsidRDefault="0058184B" w:rsidP="00D768F6">
            <w:pPr>
              <w:rPr>
                <w:rFonts w:ascii="Times New Roman" w:hAnsi="Times New Roman" w:cs="Times New Roman"/>
                <w:sz w:val="24"/>
                <w:szCs w:val="24"/>
              </w:rPr>
            </w:pPr>
          </w:p>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8" w:type="dxa"/>
            <w:tcBorders>
              <w:top w:val="nil"/>
              <w:left w:val="nil"/>
              <w:bottom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8" w:type="dxa"/>
            <w:tcBorders>
              <w:top w:val="nil"/>
              <w:left w:val="nil"/>
              <w:bottom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9" w:type="dxa"/>
            <w:tcBorders>
              <w:top w:val="nil"/>
              <w:left w:val="nil"/>
              <w:bottom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9" w:type="dxa"/>
            <w:tcBorders>
              <w:top w:val="nil"/>
              <w:left w:val="nil"/>
              <w:bottom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r>
      <w:tr w:rsidR="0058184B" w:rsidTr="00634081">
        <w:tc>
          <w:tcPr>
            <w:tcW w:w="2158" w:type="dxa"/>
            <w:tcBorders>
              <w:top w:val="nil"/>
              <w:left w:val="nil"/>
              <w:bottom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Saponins</w:t>
            </w:r>
          </w:p>
          <w:p w:rsidR="0058184B" w:rsidRDefault="0058184B" w:rsidP="00D768F6">
            <w:pPr>
              <w:rPr>
                <w:rFonts w:ascii="Times New Roman" w:hAnsi="Times New Roman" w:cs="Times New Roman"/>
                <w:sz w:val="24"/>
                <w:szCs w:val="24"/>
              </w:rPr>
            </w:pPr>
          </w:p>
        </w:tc>
        <w:tc>
          <w:tcPr>
            <w:tcW w:w="2158" w:type="dxa"/>
            <w:tcBorders>
              <w:top w:val="nil"/>
              <w:left w:val="nil"/>
              <w:bottom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8" w:type="dxa"/>
            <w:tcBorders>
              <w:top w:val="nil"/>
              <w:left w:val="nil"/>
              <w:bottom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8" w:type="dxa"/>
            <w:tcBorders>
              <w:top w:val="nil"/>
              <w:left w:val="nil"/>
              <w:bottom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9" w:type="dxa"/>
            <w:tcBorders>
              <w:top w:val="nil"/>
              <w:left w:val="nil"/>
              <w:bottom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9" w:type="dxa"/>
            <w:tcBorders>
              <w:top w:val="nil"/>
              <w:left w:val="nil"/>
              <w:bottom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r>
      <w:tr w:rsidR="0058184B" w:rsidTr="00634081">
        <w:tc>
          <w:tcPr>
            <w:tcW w:w="2158" w:type="dxa"/>
            <w:tcBorders>
              <w:top w:val="nil"/>
              <w:left w:val="nil"/>
              <w:bottom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Terpenoids</w:t>
            </w:r>
          </w:p>
          <w:p w:rsidR="0058184B" w:rsidRDefault="0058184B" w:rsidP="00D768F6">
            <w:pPr>
              <w:rPr>
                <w:rFonts w:ascii="Times New Roman" w:hAnsi="Times New Roman" w:cs="Times New Roman"/>
                <w:sz w:val="24"/>
                <w:szCs w:val="24"/>
              </w:rPr>
            </w:pPr>
          </w:p>
        </w:tc>
        <w:tc>
          <w:tcPr>
            <w:tcW w:w="2158" w:type="dxa"/>
            <w:tcBorders>
              <w:top w:val="nil"/>
              <w:left w:val="nil"/>
              <w:bottom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8" w:type="dxa"/>
            <w:tcBorders>
              <w:top w:val="nil"/>
              <w:left w:val="nil"/>
              <w:bottom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8" w:type="dxa"/>
            <w:tcBorders>
              <w:top w:val="nil"/>
              <w:left w:val="nil"/>
              <w:bottom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9" w:type="dxa"/>
            <w:tcBorders>
              <w:top w:val="nil"/>
              <w:left w:val="nil"/>
              <w:bottom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9" w:type="dxa"/>
            <w:tcBorders>
              <w:top w:val="nil"/>
              <w:left w:val="nil"/>
              <w:bottom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r>
      <w:tr w:rsidR="0058184B" w:rsidTr="00634081">
        <w:tc>
          <w:tcPr>
            <w:tcW w:w="2158" w:type="dxa"/>
            <w:tcBorders>
              <w:top w:val="nil"/>
              <w:left w:val="nil"/>
              <w:bottom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Tannins</w:t>
            </w:r>
          </w:p>
          <w:p w:rsidR="0058184B" w:rsidRDefault="0058184B" w:rsidP="00D768F6">
            <w:pPr>
              <w:rPr>
                <w:rFonts w:ascii="Times New Roman" w:hAnsi="Times New Roman" w:cs="Times New Roman"/>
                <w:sz w:val="24"/>
                <w:szCs w:val="24"/>
              </w:rPr>
            </w:pPr>
          </w:p>
        </w:tc>
        <w:tc>
          <w:tcPr>
            <w:tcW w:w="2158" w:type="dxa"/>
            <w:tcBorders>
              <w:top w:val="nil"/>
              <w:left w:val="nil"/>
              <w:bottom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8" w:type="dxa"/>
            <w:tcBorders>
              <w:top w:val="nil"/>
              <w:left w:val="nil"/>
              <w:bottom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8" w:type="dxa"/>
            <w:tcBorders>
              <w:top w:val="nil"/>
              <w:left w:val="nil"/>
              <w:bottom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9" w:type="dxa"/>
            <w:tcBorders>
              <w:top w:val="nil"/>
              <w:left w:val="nil"/>
              <w:bottom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9" w:type="dxa"/>
            <w:tcBorders>
              <w:top w:val="nil"/>
              <w:left w:val="nil"/>
              <w:bottom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r>
      <w:tr w:rsidR="0058184B" w:rsidTr="00634081">
        <w:tc>
          <w:tcPr>
            <w:tcW w:w="2158" w:type="dxa"/>
            <w:tcBorders>
              <w:top w:val="nil"/>
              <w:left w:val="nil"/>
              <w:bottom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Phenol</w:t>
            </w:r>
          </w:p>
          <w:p w:rsidR="0058184B" w:rsidRDefault="0058184B" w:rsidP="00D768F6">
            <w:pPr>
              <w:rPr>
                <w:rFonts w:ascii="Times New Roman" w:hAnsi="Times New Roman" w:cs="Times New Roman"/>
                <w:sz w:val="24"/>
                <w:szCs w:val="24"/>
              </w:rPr>
            </w:pPr>
          </w:p>
        </w:tc>
        <w:tc>
          <w:tcPr>
            <w:tcW w:w="2158" w:type="dxa"/>
            <w:tcBorders>
              <w:top w:val="nil"/>
              <w:left w:val="nil"/>
              <w:bottom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8" w:type="dxa"/>
            <w:tcBorders>
              <w:top w:val="nil"/>
              <w:left w:val="nil"/>
              <w:bottom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8" w:type="dxa"/>
            <w:tcBorders>
              <w:top w:val="nil"/>
              <w:left w:val="nil"/>
              <w:bottom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9" w:type="dxa"/>
            <w:tcBorders>
              <w:top w:val="nil"/>
              <w:left w:val="nil"/>
              <w:bottom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9" w:type="dxa"/>
            <w:tcBorders>
              <w:top w:val="nil"/>
              <w:left w:val="nil"/>
              <w:bottom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r>
      <w:tr w:rsidR="0058184B" w:rsidTr="00634081">
        <w:tc>
          <w:tcPr>
            <w:tcW w:w="2158" w:type="dxa"/>
            <w:tcBorders>
              <w:top w:val="nil"/>
              <w:left w:val="nil"/>
              <w:bottom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Flavonoids</w:t>
            </w:r>
          </w:p>
          <w:p w:rsidR="0058184B" w:rsidRDefault="0058184B" w:rsidP="00D768F6">
            <w:pPr>
              <w:rPr>
                <w:rFonts w:ascii="Times New Roman" w:hAnsi="Times New Roman" w:cs="Times New Roman"/>
                <w:sz w:val="24"/>
                <w:szCs w:val="24"/>
              </w:rPr>
            </w:pPr>
          </w:p>
        </w:tc>
        <w:tc>
          <w:tcPr>
            <w:tcW w:w="2158" w:type="dxa"/>
            <w:tcBorders>
              <w:top w:val="nil"/>
              <w:left w:val="nil"/>
              <w:bottom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8" w:type="dxa"/>
            <w:tcBorders>
              <w:top w:val="nil"/>
              <w:left w:val="nil"/>
              <w:bottom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8" w:type="dxa"/>
            <w:tcBorders>
              <w:top w:val="nil"/>
              <w:left w:val="nil"/>
              <w:bottom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9" w:type="dxa"/>
            <w:tcBorders>
              <w:top w:val="nil"/>
              <w:left w:val="nil"/>
              <w:bottom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9" w:type="dxa"/>
            <w:tcBorders>
              <w:top w:val="nil"/>
              <w:left w:val="nil"/>
              <w:bottom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r>
      <w:tr w:rsidR="0058184B" w:rsidTr="00634081">
        <w:tc>
          <w:tcPr>
            <w:tcW w:w="2158" w:type="dxa"/>
            <w:tcBorders>
              <w:top w:val="nil"/>
              <w:left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Steroids</w:t>
            </w:r>
          </w:p>
          <w:p w:rsidR="0058184B" w:rsidRDefault="0058184B" w:rsidP="00D768F6">
            <w:pPr>
              <w:rPr>
                <w:rFonts w:ascii="Times New Roman" w:hAnsi="Times New Roman" w:cs="Times New Roman"/>
                <w:sz w:val="24"/>
                <w:szCs w:val="24"/>
              </w:rPr>
            </w:pPr>
          </w:p>
        </w:tc>
        <w:tc>
          <w:tcPr>
            <w:tcW w:w="2158" w:type="dxa"/>
            <w:tcBorders>
              <w:top w:val="nil"/>
              <w:left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8" w:type="dxa"/>
            <w:tcBorders>
              <w:top w:val="nil"/>
              <w:left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8" w:type="dxa"/>
            <w:tcBorders>
              <w:top w:val="nil"/>
              <w:left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9" w:type="dxa"/>
            <w:tcBorders>
              <w:top w:val="nil"/>
              <w:left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c>
          <w:tcPr>
            <w:tcW w:w="2159" w:type="dxa"/>
            <w:tcBorders>
              <w:top w:val="nil"/>
              <w:left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 xml:space="preserve">            -</w:t>
            </w:r>
          </w:p>
        </w:tc>
      </w:tr>
    </w:tbl>
    <w:p w:rsidR="0058184B" w:rsidRPr="00C90206" w:rsidRDefault="0058184B" w:rsidP="00D768F6">
      <w:pPr>
        <w:spacing w:line="240" w:lineRule="auto"/>
        <w:rPr>
          <w:rFonts w:ascii="Times New Roman" w:hAnsi="Times New Roman" w:cs="Times New Roman"/>
          <w:sz w:val="24"/>
          <w:szCs w:val="24"/>
        </w:rPr>
      </w:pPr>
    </w:p>
    <w:p w:rsidR="0058184B" w:rsidRDefault="0034343A" w:rsidP="00D768F6">
      <w:pPr>
        <w:spacing w:line="240" w:lineRule="auto"/>
        <w:rPr>
          <w:rFonts w:ascii="Times New Roman" w:hAnsi="Times New Roman" w:cs="Times New Roman"/>
          <w:b/>
          <w:sz w:val="24"/>
          <w:szCs w:val="24"/>
        </w:rPr>
      </w:pPr>
      <w:r>
        <w:rPr>
          <w:rStyle w:val="CommentReference"/>
        </w:rPr>
        <w:commentReference w:id="11"/>
      </w:r>
    </w:p>
    <w:p w:rsidR="0058184B" w:rsidRDefault="0058184B" w:rsidP="00D768F6">
      <w:pPr>
        <w:pStyle w:val="NormalWeb"/>
        <w:jc w:val="both"/>
      </w:pPr>
      <w:r>
        <w:t xml:space="preserve">The antifungal potential of medicinal plants in combating </w:t>
      </w:r>
      <w:r>
        <w:rPr>
          <w:rStyle w:val="Emphasis"/>
        </w:rPr>
        <w:t>T. rubrum</w:t>
      </w:r>
      <w:r>
        <w:t xml:space="preserve"> infections has garnered considerable interest, particularly given the rise in antifungal resistance and the side effects associated with synthetic drugs. In this context, the bioactive compounds present in plants such as </w:t>
      </w:r>
      <w:r>
        <w:rPr>
          <w:rStyle w:val="Emphasis"/>
        </w:rPr>
        <w:t>Vetiatevesia</w:t>
      </w:r>
      <w:r>
        <w:t xml:space="preserve">, </w:t>
      </w:r>
      <w:r>
        <w:rPr>
          <w:rStyle w:val="Emphasis"/>
        </w:rPr>
        <w:t>Vitellaria paradoxa</w:t>
      </w:r>
      <w:r>
        <w:t xml:space="preserve">, </w:t>
      </w:r>
      <w:r>
        <w:rPr>
          <w:rStyle w:val="Emphasis"/>
        </w:rPr>
        <w:t>Parkiabiglobosa</w:t>
      </w:r>
      <w:r>
        <w:t xml:space="preserve">, </w:t>
      </w:r>
      <w:r>
        <w:rPr>
          <w:rStyle w:val="Emphasis"/>
        </w:rPr>
        <w:t>Stereospernumkunthianum</w:t>
      </w:r>
      <w:r>
        <w:t xml:space="preserve">, and </w:t>
      </w:r>
      <w:r>
        <w:rPr>
          <w:rStyle w:val="Emphasis"/>
        </w:rPr>
        <w:t>Mitracarpusvillosus</w:t>
      </w:r>
      <w:r>
        <w:t xml:space="preserve"> have shown promising inhibitory effects on the growth of </w:t>
      </w:r>
      <w:r>
        <w:rPr>
          <w:rStyle w:val="Emphasis"/>
        </w:rPr>
        <w:t>T. rubrum</w:t>
      </w:r>
      <w:r>
        <w:t>.</w:t>
      </w:r>
      <w:r w:rsidR="00CF0BA3">
        <w:t xml:space="preserve"> As demonstrated in the table 2</w:t>
      </w:r>
      <w:r>
        <w:t xml:space="preserve">, plant extracts at varying concentrations (200 mg/ml, 100 mg/ml, 50 mg/ml, and 25 mg/ml) exhibited different zones of inhibition against </w:t>
      </w:r>
      <w:r>
        <w:rPr>
          <w:rStyle w:val="Emphasis"/>
        </w:rPr>
        <w:t>T. rubrum</w:t>
      </w:r>
      <w:r>
        <w:t xml:space="preserve">, with </w:t>
      </w:r>
      <w:r>
        <w:rPr>
          <w:rStyle w:val="Emphasis"/>
        </w:rPr>
        <w:t>Vetiatevesia</w:t>
      </w:r>
      <w:r>
        <w:t xml:space="preserve"> showing the largest zones at 200 mg/ml (25 mm) and a reduction in efficacy at lower concentrations. Similarly, </w:t>
      </w:r>
      <w:r>
        <w:rPr>
          <w:rStyle w:val="Emphasis"/>
        </w:rPr>
        <w:t>Vitellaria paradoxa</w:t>
      </w:r>
      <w:r>
        <w:t xml:space="preserve"> also showed moderate activity, particularly at 200 mg/ml, with inhibition zones ranging from 22 mm to 23 mm.</w:t>
      </w:r>
    </w:p>
    <w:p w:rsidR="0058184B" w:rsidRPr="00FF5A48" w:rsidRDefault="0058184B" w:rsidP="00D768F6">
      <w:pPr>
        <w:spacing w:line="240" w:lineRule="auto"/>
        <w:rPr>
          <w:rFonts w:ascii="Times New Roman" w:hAnsi="Times New Roman" w:cs="Times New Roman"/>
          <w:b/>
          <w:sz w:val="24"/>
          <w:szCs w:val="24"/>
        </w:rPr>
      </w:pPr>
      <w:r w:rsidRPr="00FF5A48">
        <w:rPr>
          <w:rFonts w:ascii="Times New Roman" w:hAnsi="Times New Roman" w:cs="Times New Roman"/>
          <w:b/>
          <w:sz w:val="24"/>
          <w:szCs w:val="24"/>
        </w:rPr>
        <w:lastRenderedPageBreak/>
        <w:t>Table</w:t>
      </w:r>
      <w:r w:rsidR="00CC5BCF">
        <w:rPr>
          <w:rFonts w:ascii="Times New Roman" w:hAnsi="Times New Roman" w:cs="Times New Roman"/>
          <w:b/>
          <w:sz w:val="24"/>
          <w:szCs w:val="24"/>
        </w:rPr>
        <w:t xml:space="preserve"> 2</w:t>
      </w:r>
      <w:r w:rsidRPr="00FF5A48">
        <w:rPr>
          <w:rFonts w:ascii="Times New Roman" w:hAnsi="Times New Roman" w:cs="Times New Roman"/>
          <w:b/>
          <w:sz w:val="24"/>
          <w:szCs w:val="24"/>
        </w:rPr>
        <w:t xml:space="preserve">: Activity of Plant Extracts on </w:t>
      </w:r>
      <w:r w:rsidRPr="00FF5A48">
        <w:rPr>
          <w:rFonts w:ascii="Times New Roman" w:eastAsia="Times New Roman" w:hAnsi="Times New Roman" w:cs="Times New Roman"/>
          <w:b/>
          <w:i/>
          <w:iCs/>
          <w:sz w:val="24"/>
          <w:szCs w:val="24"/>
        </w:rPr>
        <w:t xml:space="preserve">Trichophyton rubrum </w:t>
      </w:r>
      <w:r w:rsidRPr="00FF5A48">
        <w:rPr>
          <w:rFonts w:ascii="Times New Roman" w:eastAsia="Times New Roman" w:hAnsi="Times New Roman" w:cs="Times New Roman"/>
          <w:b/>
          <w:iCs/>
          <w:sz w:val="24"/>
          <w:szCs w:val="24"/>
        </w:rPr>
        <w:t>Showing Zone of Inhibition (MM)</w:t>
      </w:r>
    </w:p>
    <w:tbl>
      <w:tblPr>
        <w:tblStyle w:val="TableGrid"/>
        <w:tblW w:w="0" w:type="auto"/>
        <w:tblLook w:val="04A0"/>
      </w:tblPr>
      <w:tblGrid>
        <w:gridCol w:w="2937"/>
        <w:gridCol w:w="1659"/>
        <w:gridCol w:w="1660"/>
        <w:gridCol w:w="1660"/>
        <w:gridCol w:w="1660"/>
      </w:tblGrid>
      <w:tr w:rsidR="00F166AC" w:rsidRPr="00FF5A48" w:rsidTr="00634081">
        <w:tc>
          <w:tcPr>
            <w:tcW w:w="1870" w:type="dxa"/>
            <w:tcBorders>
              <w:left w:val="nil"/>
              <w:bottom w:val="single" w:sz="4" w:space="0" w:color="auto"/>
              <w:right w:val="nil"/>
            </w:tcBorders>
          </w:tcPr>
          <w:p w:rsidR="00F166AC" w:rsidRPr="00FF5A48" w:rsidRDefault="00F166AC" w:rsidP="00F166AC">
            <w:pPr>
              <w:rPr>
                <w:rFonts w:ascii="Times New Roman" w:hAnsi="Times New Roman" w:cs="Times New Roman"/>
                <w:b/>
                <w:sz w:val="24"/>
                <w:szCs w:val="24"/>
              </w:rPr>
            </w:pPr>
            <w:r>
              <w:rPr>
                <w:rFonts w:ascii="Times New Roman" w:hAnsi="Times New Roman" w:cs="Times New Roman"/>
                <w:b/>
                <w:sz w:val="24"/>
                <w:szCs w:val="24"/>
              </w:rPr>
              <w:t>Plant Extracts</w:t>
            </w:r>
          </w:p>
        </w:tc>
        <w:tc>
          <w:tcPr>
            <w:tcW w:w="1870" w:type="dxa"/>
            <w:tcBorders>
              <w:left w:val="nil"/>
              <w:bottom w:val="single" w:sz="4" w:space="0" w:color="auto"/>
              <w:right w:val="nil"/>
            </w:tcBorders>
          </w:tcPr>
          <w:p w:rsidR="00F166AC" w:rsidRPr="00FF5A48" w:rsidRDefault="00F166AC" w:rsidP="00F166AC">
            <w:pPr>
              <w:rPr>
                <w:rFonts w:ascii="Times New Roman" w:hAnsi="Times New Roman" w:cs="Times New Roman"/>
                <w:b/>
                <w:sz w:val="24"/>
                <w:szCs w:val="24"/>
              </w:rPr>
            </w:pPr>
            <w:r w:rsidRPr="00FF5A48">
              <w:rPr>
                <w:rFonts w:ascii="Times New Roman" w:hAnsi="Times New Roman" w:cs="Times New Roman"/>
                <w:b/>
                <w:sz w:val="24"/>
                <w:szCs w:val="24"/>
              </w:rPr>
              <w:t>200 mg/ml</w:t>
            </w:r>
          </w:p>
        </w:tc>
        <w:tc>
          <w:tcPr>
            <w:tcW w:w="1870" w:type="dxa"/>
            <w:tcBorders>
              <w:left w:val="nil"/>
              <w:right w:val="nil"/>
            </w:tcBorders>
          </w:tcPr>
          <w:p w:rsidR="00F166AC" w:rsidRPr="00FF5A48" w:rsidRDefault="00F166AC" w:rsidP="00F166AC">
            <w:pPr>
              <w:rPr>
                <w:rFonts w:ascii="Times New Roman" w:hAnsi="Times New Roman" w:cs="Times New Roman"/>
                <w:b/>
                <w:sz w:val="24"/>
                <w:szCs w:val="24"/>
              </w:rPr>
            </w:pPr>
            <w:r w:rsidRPr="00FF5A48">
              <w:rPr>
                <w:rFonts w:ascii="Times New Roman" w:hAnsi="Times New Roman" w:cs="Times New Roman"/>
                <w:b/>
                <w:sz w:val="24"/>
                <w:szCs w:val="24"/>
              </w:rPr>
              <w:t>100 mg/ml</w:t>
            </w:r>
          </w:p>
        </w:tc>
        <w:tc>
          <w:tcPr>
            <w:tcW w:w="1870" w:type="dxa"/>
            <w:tcBorders>
              <w:left w:val="nil"/>
              <w:bottom w:val="single" w:sz="4" w:space="0" w:color="auto"/>
              <w:right w:val="nil"/>
            </w:tcBorders>
          </w:tcPr>
          <w:p w:rsidR="00F166AC" w:rsidRPr="00FF5A48" w:rsidRDefault="00F166AC" w:rsidP="00F166AC">
            <w:pPr>
              <w:rPr>
                <w:rFonts w:ascii="Times New Roman" w:hAnsi="Times New Roman" w:cs="Times New Roman"/>
                <w:b/>
                <w:sz w:val="24"/>
                <w:szCs w:val="24"/>
              </w:rPr>
            </w:pPr>
            <w:r w:rsidRPr="00FF5A48">
              <w:rPr>
                <w:rFonts w:ascii="Times New Roman" w:hAnsi="Times New Roman" w:cs="Times New Roman"/>
                <w:b/>
                <w:sz w:val="24"/>
                <w:szCs w:val="24"/>
              </w:rPr>
              <w:t>50 mg/ml</w:t>
            </w:r>
          </w:p>
        </w:tc>
        <w:tc>
          <w:tcPr>
            <w:tcW w:w="1870" w:type="dxa"/>
            <w:tcBorders>
              <w:left w:val="nil"/>
              <w:bottom w:val="single" w:sz="4" w:space="0" w:color="auto"/>
              <w:right w:val="nil"/>
            </w:tcBorders>
          </w:tcPr>
          <w:p w:rsidR="00F166AC" w:rsidRPr="00FF5A48" w:rsidRDefault="00F166AC" w:rsidP="00F166AC">
            <w:pPr>
              <w:rPr>
                <w:rFonts w:ascii="Times New Roman" w:hAnsi="Times New Roman" w:cs="Times New Roman"/>
                <w:b/>
                <w:sz w:val="24"/>
                <w:szCs w:val="24"/>
              </w:rPr>
            </w:pPr>
            <w:r w:rsidRPr="00FF5A48">
              <w:rPr>
                <w:rFonts w:ascii="Times New Roman" w:hAnsi="Times New Roman" w:cs="Times New Roman"/>
                <w:b/>
                <w:sz w:val="24"/>
                <w:szCs w:val="24"/>
              </w:rPr>
              <w:t>25 mg/ml</w:t>
            </w:r>
          </w:p>
        </w:tc>
      </w:tr>
      <w:tr w:rsidR="00F166AC" w:rsidTr="00634081">
        <w:tc>
          <w:tcPr>
            <w:tcW w:w="1870" w:type="dxa"/>
            <w:tcBorders>
              <w:left w:val="nil"/>
              <w:bottom w:val="nil"/>
              <w:right w:val="nil"/>
            </w:tcBorders>
          </w:tcPr>
          <w:p w:rsidR="00F166AC" w:rsidRDefault="00F166AC" w:rsidP="00F166AC">
            <w:pPr>
              <w:rPr>
                <w:rFonts w:ascii="Times New Roman" w:hAnsi="Times New Roman" w:cs="Times New Roman"/>
                <w:sz w:val="24"/>
                <w:szCs w:val="24"/>
              </w:rPr>
            </w:pPr>
            <w:r>
              <w:rPr>
                <w:rFonts w:ascii="Times New Roman" w:hAnsi="Times New Roman" w:cs="Times New Roman"/>
                <w:b/>
                <w:i/>
                <w:sz w:val="24"/>
                <w:szCs w:val="24"/>
              </w:rPr>
              <w:t>Thevianerforria</w:t>
            </w:r>
          </w:p>
        </w:tc>
        <w:tc>
          <w:tcPr>
            <w:tcW w:w="1870" w:type="dxa"/>
            <w:tcBorders>
              <w:left w:val="nil"/>
              <w:bottom w:val="nil"/>
              <w:right w:val="nil"/>
            </w:tcBorders>
          </w:tcPr>
          <w:p w:rsidR="00F166AC" w:rsidRDefault="00F166AC" w:rsidP="00F166AC">
            <w:pPr>
              <w:rPr>
                <w:rFonts w:ascii="Times New Roman" w:hAnsi="Times New Roman" w:cs="Times New Roman"/>
                <w:sz w:val="24"/>
                <w:szCs w:val="24"/>
              </w:rPr>
            </w:pPr>
            <w:r>
              <w:rPr>
                <w:rFonts w:ascii="Times New Roman" w:hAnsi="Times New Roman" w:cs="Times New Roman"/>
                <w:sz w:val="24"/>
                <w:szCs w:val="24"/>
              </w:rPr>
              <w:t>24.7</w:t>
            </w:r>
          </w:p>
        </w:tc>
        <w:tc>
          <w:tcPr>
            <w:tcW w:w="1870" w:type="dxa"/>
            <w:tcBorders>
              <w:left w:val="nil"/>
              <w:bottom w:val="nil"/>
              <w:right w:val="nil"/>
            </w:tcBorders>
          </w:tcPr>
          <w:p w:rsidR="00F166AC" w:rsidRDefault="00F166AC" w:rsidP="00F166AC">
            <w:pPr>
              <w:rPr>
                <w:rFonts w:ascii="Times New Roman" w:hAnsi="Times New Roman" w:cs="Times New Roman"/>
                <w:sz w:val="24"/>
                <w:szCs w:val="24"/>
              </w:rPr>
            </w:pPr>
            <w:r>
              <w:rPr>
                <w:rFonts w:ascii="Times New Roman" w:hAnsi="Times New Roman" w:cs="Times New Roman"/>
                <w:sz w:val="24"/>
                <w:szCs w:val="24"/>
              </w:rPr>
              <w:t>18.3</w:t>
            </w:r>
          </w:p>
        </w:tc>
        <w:tc>
          <w:tcPr>
            <w:tcW w:w="1870" w:type="dxa"/>
            <w:tcBorders>
              <w:left w:val="nil"/>
              <w:bottom w:val="nil"/>
              <w:right w:val="nil"/>
            </w:tcBorders>
          </w:tcPr>
          <w:p w:rsidR="00F166AC" w:rsidRDefault="00F166AC" w:rsidP="00F166AC">
            <w:pPr>
              <w:rPr>
                <w:rFonts w:ascii="Times New Roman" w:hAnsi="Times New Roman" w:cs="Times New Roman"/>
                <w:sz w:val="24"/>
                <w:szCs w:val="24"/>
              </w:rPr>
            </w:pPr>
            <w:r>
              <w:rPr>
                <w:rFonts w:ascii="Times New Roman" w:hAnsi="Times New Roman" w:cs="Times New Roman"/>
                <w:sz w:val="24"/>
                <w:szCs w:val="24"/>
              </w:rPr>
              <w:t>11.7</w:t>
            </w:r>
          </w:p>
        </w:tc>
        <w:tc>
          <w:tcPr>
            <w:tcW w:w="1870" w:type="dxa"/>
            <w:tcBorders>
              <w:left w:val="nil"/>
              <w:bottom w:val="nil"/>
              <w:right w:val="nil"/>
            </w:tcBorders>
          </w:tcPr>
          <w:p w:rsidR="00F166AC" w:rsidRDefault="00F166AC" w:rsidP="00F166AC">
            <w:pPr>
              <w:rPr>
                <w:rFonts w:ascii="Times New Roman" w:hAnsi="Times New Roman" w:cs="Times New Roman"/>
                <w:sz w:val="24"/>
                <w:szCs w:val="24"/>
              </w:rPr>
            </w:pPr>
            <w:r>
              <w:rPr>
                <w:rFonts w:ascii="Times New Roman" w:hAnsi="Times New Roman" w:cs="Times New Roman"/>
                <w:sz w:val="24"/>
                <w:szCs w:val="24"/>
              </w:rPr>
              <w:t>0.0</w:t>
            </w:r>
          </w:p>
        </w:tc>
      </w:tr>
      <w:tr w:rsidR="00F166AC" w:rsidTr="00634081">
        <w:tc>
          <w:tcPr>
            <w:tcW w:w="1870" w:type="dxa"/>
            <w:tcBorders>
              <w:top w:val="nil"/>
              <w:left w:val="nil"/>
              <w:bottom w:val="nil"/>
              <w:right w:val="nil"/>
            </w:tcBorders>
          </w:tcPr>
          <w:p w:rsidR="00F166AC" w:rsidRPr="00FF5A48" w:rsidRDefault="00F166AC" w:rsidP="00F166AC">
            <w:pPr>
              <w:rPr>
                <w:rFonts w:ascii="Times New Roman" w:hAnsi="Times New Roman" w:cs="Times New Roman"/>
                <w:b/>
                <w:sz w:val="24"/>
                <w:szCs w:val="24"/>
              </w:rPr>
            </w:pPr>
            <w:r w:rsidRPr="00FF5A48">
              <w:rPr>
                <w:rFonts w:ascii="Times New Roman" w:hAnsi="Times New Roman" w:cs="Times New Roman"/>
                <w:b/>
                <w:i/>
                <w:sz w:val="24"/>
                <w:szCs w:val="24"/>
              </w:rPr>
              <w:t>Vitellaria paradoxa</w:t>
            </w:r>
          </w:p>
        </w:tc>
        <w:tc>
          <w:tcPr>
            <w:tcW w:w="1870" w:type="dxa"/>
            <w:tcBorders>
              <w:top w:val="nil"/>
              <w:left w:val="nil"/>
              <w:bottom w:val="nil"/>
              <w:right w:val="nil"/>
            </w:tcBorders>
          </w:tcPr>
          <w:p w:rsidR="00F166AC" w:rsidRDefault="00F166AC" w:rsidP="00F166AC">
            <w:pPr>
              <w:rPr>
                <w:rFonts w:ascii="Times New Roman" w:hAnsi="Times New Roman" w:cs="Times New Roman"/>
                <w:sz w:val="24"/>
                <w:szCs w:val="24"/>
              </w:rPr>
            </w:pPr>
            <w:r>
              <w:rPr>
                <w:rFonts w:ascii="Times New Roman" w:hAnsi="Times New Roman" w:cs="Times New Roman"/>
                <w:sz w:val="24"/>
                <w:szCs w:val="24"/>
              </w:rPr>
              <w:t>22.7</w:t>
            </w:r>
          </w:p>
        </w:tc>
        <w:tc>
          <w:tcPr>
            <w:tcW w:w="1870" w:type="dxa"/>
            <w:tcBorders>
              <w:top w:val="nil"/>
              <w:left w:val="nil"/>
              <w:bottom w:val="nil"/>
              <w:right w:val="nil"/>
            </w:tcBorders>
          </w:tcPr>
          <w:p w:rsidR="00F166AC" w:rsidRDefault="00F166AC" w:rsidP="00F166AC">
            <w:pPr>
              <w:rPr>
                <w:rFonts w:ascii="Times New Roman" w:hAnsi="Times New Roman" w:cs="Times New Roman"/>
                <w:sz w:val="24"/>
                <w:szCs w:val="24"/>
              </w:rPr>
            </w:pPr>
            <w:r>
              <w:rPr>
                <w:rFonts w:ascii="Times New Roman" w:hAnsi="Times New Roman" w:cs="Times New Roman"/>
                <w:sz w:val="24"/>
                <w:szCs w:val="24"/>
              </w:rPr>
              <w:t>12.7</w:t>
            </w:r>
          </w:p>
        </w:tc>
        <w:tc>
          <w:tcPr>
            <w:tcW w:w="1870" w:type="dxa"/>
            <w:tcBorders>
              <w:top w:val="nil"/>
              <w:left w:val="nil"/>
              <w:bottom w:val="nil"/>
              <w:right w:val="nil"/>
            </w:tcBorders>
          </w:tcPr>
          <w:p w:rsidR="00F166AC" w:rsidRDefault="00F166AC" w:rsidP="00F166AC">
            <w:pPr>
              <w:rPr>
                <w:rFonts w:ascii="Times New Roman" w:hAnsi="Times New Roman" w:cs="Times New Roman"/>
                <w:sz w:val="24"/>
                <w:szCs w:val="24"/>
              </w:rPr>
            </w:pPr>
            <w:r>
              <w:rPr>
                <w:rFonts w:ascii="Times New Roman" w:hAnsi="Times New Roman" w:cs="Times New Roman"/>
                <w:sz w:val="24"/>
                <w:szCs w:val="24"/>
              </w:rPr>
              <w:t>8.3</w:t>
            </w:r>
          </w:p>
        </w:tc>
        <w:tc>
          <w:tcPr>
            <w:tcW w:w="1870" w:type="dxa"/>
            <w:tcBorders>
              <w:top w:val="nil"/>
              <w:left w:val="nil"/>
              <w:bottom w:val="nil"/>
              <w:right w:val="nil"/>
            </w:tcBorders>
          </w:tcPr>
          <w:p w:rsidR="00F166AC" w:rsidRDefault="00F166AC" w:rsidP="00F166AC">
            <w:pPr>
              <w:rPr>
                <w:rFonts w:ascii="Times New Roman" w:hAnsi="Times New Roman" w:cs="Times New Roman"/>
                <w:sz w:val="24"/>
                <w:szCs w:val="24"/>
              </w:rPr>
            </w:pPr>
            <w:r>
              <w:rPr>
                <w:rFonts w:ascii="Times New Roman" w:hAnsi="Times New Roman" w:cs="Times New Roman"/>
                <w:sz w:val="24"/>
                <w:szCs w:val="24"/>
              </w:rPr>
              <w:t>0.0</w:t>
            </w:r>
          </w:p>
        </w:tc>
      </w:tr>
      <w:tr w:rsidR="00F166AC" w:rsidTr="00634081">
        <w:tc>
          <w:tcPr>
            <w:tcW w:w="1870" w:type="dxa"/>
            <w:tcBorders>
              <w:top w:val="nil"/>
              <w:left w:val="nil"/>
              <w:bottom w:val="nil"/>
              <w:right w:val="nil"/>
            </w:tcBorders>
          </w:tcPr>
          <w:p w:rsidR="00F166AC" w:rsidRDefault="00F166AC" w:rsidP="00F166AC">
            <w:pPr>
              <w:rPr>
                <w:rFonts w:ascii="Times New Roman" w:hAnsi="Times New Roman" w:cs="Times New Roman"/>
                <w:sz w:val="24"/>
                <w:szCs w:val="24"/>
              </w:rPr>
            </w:pPr>
            <w:r>
              <w:rPr>
                <w:rFonts w:ascii="Times New Roman" w:hAnsi="Times New Roman" w:cs="Times New Roman"/>
                <w:b/>
                <w:i/>
                <w:sz w:val="24"/>
                <w:szCs w:val="24"/>
              </w:rPr>
              <w:t>Parkiabiglobosa</w:t>
            </w:r>
          </w:p>
        </w:tc>
        <w:tc>
          <w:tcPr>
            <w:tcW w:w="1870" w:type="dxa"/>
            <w:tcBorders>
              <w:top w:val="nil"/>
              <w:left w:val="nil"/>
              <w:bottom w:val="nil"/>
              <w:right w:val="nil"/>
            </w:tcBorders>
          </w:tcPr>
          <w:p w:rsidR="00F166AC" w:rsidRDefault="00F166AC" w:rsidP="00F166AC">
            <w:pPr>
              <w:rPr>
                <w:rFonts w:ascii="Times New Roman" w:hAnsi="Times New Roman" w:cs="Times New Roman"/>
                <w:sz w:val="24"/>
                <w:szCs w:val="24"/>
              </w:rPr>
            </w:pPr>
            <w:r>
              <w:rPr>
                <w:rFonts w:ascii="Times New Roman" w:hAnsi="Times New Roman" w:cs="Times New Roman"/>
                <w:sz w:val="24"/>
                <w:szCs w:val="24"/>
              </w:rPr>
              <w:t>20.7</w:t>
            </w:r>
          </w:p>
        </w:tc>
        <w:tc>
          <w:tcPr>
            <w:tcW w:w="1870" w:type="dxa"/>
            <w:tcBorders>
              <w:top w:val="nil"/>
              <w:left w:val="nil"/>
              <w:bottom w:val="nil"/>
              <w:right w:val="nil"/>
            </w:tcBorders>
          </w:tcPr>
          <w:p w:rsidR="00F166AC" w:rsidRDefault="00F166AC" w:rsidP="00F166AC">
            <w:pPr>
              <w:rPr>
                <w:rFonts w:ascii="Times New Roman" w:hAnsi="Times New Roman" w:cs="Times New Roman"/>
                <w:sz w:val="24"/>
                <w:szCs w:val="24"/>
              </w:rPr>
            </w:pPr>
            <w:r>
              <w:rPr>
                <w:rFonts w:ascii="Times New Roman" w:hAnsi="Times New Roman" w:cs="Times New Roman"/>
                <w:sz w:val="24"/>
                <w:szCs w:val="24"/>
              </w:rPr>
              <w:t>9.3</w:t>
            </w:r>
          </w:p>
        </w:tc>
        <w:tc>
          <w:tcPr>
            <w:tcW w:w="1870" w:type="dxa"/>
            <w:tcBorders>
              <w:top w:val="nil"/>
              <w:left w:val="nil"/>
              <w:bottom w:val="nil"/>
              <w:right w:val="nil"/>
            </w:tcBorders>
          </w:tcPr>
          <w:p w:rsidR="00F166AC" w:rsidRDefault="00F166AC" w:rsidP="00F166AC">
            <w:pPr>
              <w:rPr>
                <w:rFonts w:ascii="Times New Roman" w:hAnsi="Times New Roman" w:cs="Times New Roman"/>
                <w:sz w:val="24"/>
                <w:szCs w:val="24"/>
              </w:rPr>
            </w:pPr>
            <w:r>
              <w:rPr>
                <w:rFonts w:ascii="Times New Roman" w:hAnsi="Times New Roman" w:cs="Times New Roman"/>
                <w:sz w:val="24"/>
                <w:szCs w:val="24"/>
              </w:rPr>
              <w:t>0.0</w:t>
            </w:r>
          </w:p>
        </w:tc>
        <w:tc>
          <w:tcPr>
            <w:tcW w:w="1870" w:type="dxa"/>
            <w:tcBorders>
              <w:top w:val="nil"/>
              <w:left w:val="nil"/>
              <w:bottom w:val="nil"/>
              <w:right w:val="nil"/>
            </w:tcBorders>
          </w:tcPr>
          <w:p w:rsidR="00F166AC" w:rsidRDefault="00F166AC" w:rsidP="00F166AC">
            <w:pPr>
              <w:rPr>
                <w:rFonts w:ascii="Times New Roman" w:hAnsi="Times New Roman" w:cs="Times New Roman"/>
                <w:sz w:val="24"/>
                <w:szCs w:val="24"/>
              </w:rPr>
            </w:pPr>
            <w:r>
              <w:rPr>
                <w:rFonts w:ascii="Times New Roman" w:hAnsi="Times New Roman" w:cs="Times New Roman"/>
                <w:sz w:val="24"/>
                <w:szCs w:val="24"/>
              </w:rPr>
              <w:t>0.0</w:t>
            </w:r>
          </w:p>
        </w:tc>
      </w:tr>
      <w:tr w:rsidR="00F166AC" w:rsidTr="00634081">
        <w:tc>
          <w:tcPr>
            <w:tcW w:w="1870" w:type="dxa"/>
            <w:tcBorders>
              <w:top w:val="nil"/>
              <w:left w:val="nil"/>
              <w:bottom w:val="nil"/>
              <w:right w:val="nil"/>
            </w:tcBorders>
          </w:tcPr>
          <w:p w:rsidR="00F166AC" w:rsidRDefault="00F166AC" w:rsidP="00F166AC">
            <w:pPr>
              <w:rPr>
                <w:rFonts w:ascii="Times New Roman" w:hAnsi="Times New Roman" w:cs="Times New Roman"/>
                <w:sz w:val="24"/>
                <w:szCs w:val="24"/>
              </w:rPr>
            </w:pPr>
            <w:r>
              <w:rPr>
                <w:rFonts w:ascii="Times New Roman" w:hAnsi="Times New Roman" w:cs="Times New Roman"/>
                <w:b/>
                <w:i/>
                <w:sz w:val="24"/>
                <w:szCs w:val="24"/>
              </w:rPr>
              <w:t>Stereospernumkunthianum</w:t>
            </w:r>
          </w:p>
        </w:tc>
        <w:tc>
          <w:tcPr>
            <w:tcW w:w="1870" w:type="dxa"/>
            <w:tcBorders>
              <w:top w:val="nil"/>
              <w:left w:val="nil"/>
              <w:bottom w:val="nil"/>
              <w:right w:val="nil"/>
            </w:tcBorders>
          </w:tcPr>
          <w:p w:rsidR="00F166AC" w:rsidRDefault="00F166AC" w:rsidP="00F166AC">
            <w:pPr>
              <w:rPr>
                <w:rFonts w:ascii="Times New Roman" w:hAnsi="Times New Roman" w:cs="Times New Roman"/>
                <w:sz w:val="24"/>
                <w:szCs w:val="24"/>
              </w:rPr>
            </w:pPr>
            <w:r>
              <w:rPr>
                <w:rFonts w:ascii="Times New Roman" w:hAnsi="Times New Roman" w:cs="Times New Roman"/>
                <w:sz w:val="24"/>
                <w:szCs w:val="24"/>
              </w:rPr>
              <w:t>20.7</w:t>
            </w:r>
          </w:p>
        </w:tc>
        <w:tc>
          <w:tcPr>
            <w:tcW w:w="1870" w:type="dxa"/>
            <w:tcBorders>
              <w:top w:val="nil"/>
              <w:left w:val="nil"/>
              <w:bottom w:val="nil"/>
              <w:right w:val="nil"/>
            </w:tcBorders>
          </w:tcPr>
          <w:p w:rsidR="00F166AC" w:rsidRDefault="00F166AC" w:rsidP="00F166AC">
            <w:pPr>
              <w:rPr>
                <w:rFonts w:ascii="Times New Roman" w:hAnsi="Times New Roman" w:cs="Times New Roman"/>
                <w:sz w:val="24"/>
                <w:szCs w:val="24"/>
              </w:rPr>
            </w:pPr>
            <w:r>
              <w:rPr>
                <w:rFonts w:ascii="Times New Roman" w:hAnsi="Times New Roman" w:cs="Times New Roman"/>
                <w:sz w:val="24"/>
                <w:szCs w:val="24"/>
              </w:rPr>
              <w:t>8.7</w:t>
            </w:r>
          </w:p>
        </w:tc>
        <w:tc>
          <w:tcPr>
            <w:tcW w:w="1870" w:type="dxa"/>
            <w:tcBorders>
              <w:top w:val="nil"/>
              <w:left w:val="nil"/>
              <w:bottom w:val="nil"/>
              <w:right w:val="nil"/>
            </w:tcBorders>
          </w:tcPr>
          <w:p w:rsidR="00F166AC" w:rsidRDefault="00F166AC" w:rsidP="00F166AC">
            <w:pPr>
              <w:rPr>
                <w:rFonts w:ascii="Times New Roman" w:hAnsi="Times New Roman" w:cs="Times New Roman"/>
                <w:sz w:val="24"/>
                <w:szCs w:val="24"/>
              </w:rPr>
            </w:pPr>
            <w:r>
              <w:rPr>
                <w:rFonts w:ascii="Times New Roman" w:hAnsi="Times New Roman" w:cs="Times New Roman"/>
                <w:sz w:val="24"/>
                <w:szCs w:val="24"/>
              </w:rPr>
              <w:t>0.0</w:t>
            </w:r>
          </w:p>
        </w:tc>
        <w:tc>
          <w:tcPr>
            <w:tcW w:w="1870" w:type="dxa"/>
            <w:tcBorders>
              <w:top w:val="nil"/>
              <w:left w:val="nil"/>
              <w:bottom w:val="nil"/>
              <w:right w:val="nil"/>
            </w:tcBorders>
          </w:tcPr>
          <w:p w:rsidR="00F166AC" w:rsidRDefault="00F166AC" w:rsidP="00F166AC">
            <w:pPr>
              <w:rPr>
                <w:rFonts w:ascii="Times New Roman" w:hAnsi="Times New Roman" w:cs="Times New Roman"/>
                <w:sz w:val="24"/>
                <w:szCs w:val="24"/>
              </w:rPr>
            </w:pPr>
            <w:r>
              <w:rPr>
                <w:rFonts w:ascii="Times New Roman" w:hAnsi="Times New Roman" w:cs="Times New Roman"/>
                <w:sz w:val="24"/>
                <w:szCs w:val="24"/>
              </w:rPr>
              <w:t>0.0</w:t>
            </w:r>
          </w:p>
        </w:tc>
      </w:tr>
      <w:tr w:rsidR="00F166AC" w:rsidTr="00634081">
        <w:tc>
          <w:tcPr>
            <w:tcW w:w="1870" w:type="dxa"/>
            <w:tcBorders>
              <w:top w:val="nil"/>
              <w:left w:val="nil"/>
              <w:bottom w:val="single" w:sz="4" w:space="0" w:color="auto"/>
              <w:right w:val="nil"/>
            </w:tcBorders>
          </w:tcPr>
          <w:p w:rsidR="00F166AC" w:rsidRDefault="00F166AC" w:rsidP="00F166AC">
            <w:pPr>
              <w:rPr>
                <w:rFonts w:ascii="Times New Roman" w:hAnsi="Times New Roman" w:cs="Times New Roman"/>
                <w:sz w:val="24"/>
                <w:szCs w:val="24"/>
              </w:rPr>
            </w:pPr>
            <w:r>
              <w:rPr>
                <w:rFonts w:ascii="Times New Roman" w:hAnsi="Times New Roman" w:cs="Times New Roman"/>
                <w:b/>
                <w:i/>
                <w:sz w:val="24"/>
                <w:szCs w:val="24"/>
              </w:rPr>
              <w:t>Mitracarpusvillosus</w:t>
            </w:r>
          </w:p>
        </w:tc>
        <w:tc>
          <w:tcPr>
            <w:tcW w:w="1870" w:type="dxa"/>
            <w:tcBorders>
              <w:top w:val="nil"/>
              <w:left w:val="nil"/>
              <w:bottom w:val="single" w:sz="4" w:space="0" w:color="auto"/>
              <w:right w:val="nil"/>
            </w:tcBorders>
          </w:tcPr>
          <w:p w:rsidR="00F166AC" w:rsidRDefault="00F166AC" w:rsidP="00F166AC">
            <w:pPr>
              <w:rPr>
                <w:rFonts w:ascii="Times New Roman" w:hAnsi="Times New Roman" w:cs="Times New Roman"/>
                <w:sz w:val="24"/>
                <w:szCs w:val="24"/>
              </w:rPr>
            </w:pPr>
            <w:r>
              <w:rPr>
                <w:rFonts w:ascii="Times New Roman" w:hAnsi="Times New Roman" w:cs="Times New Roman"/>
                <w:sz w:val="24"/>
                <w:szCs w:val="24"/>
              </w:rPr>
              <w:t>25.3</w:t>
            </w:r>
          </w:p>
        </w:tc>
        <w:tc>
          <w:tcPr>
            <w:tcW w:w="1870" w:type="dxa"/>
            <w:tcBorders>
              <w:top w:val="nil"/>
              <w:left w:val="nil"/>
              <w:bottom w:val="single" w:sz="4" w:space="0" w:color="auto"/>
              <w:right w:val="nil"/>
            </w:tcBorders>
          </w:tcPr>
          <w:p w:rsidR="00F166AC" w:rsidRDefault="00F166AC" w:rsidP="00F166AC">
            <w:pPr>
              <w:rPr>
                <w:rFonts w:ascii="Times New Roman" w:hAnsi="Times New Roman" w:cs="Times New Roman"/>
                <w:sz w:val="24"/>
                <w:szCs w:val="24"/>
              </w:rPr>
            </w:pPr>
            <w:r>
              <w:rPr>
                <w:rFonts w:ascii="Times New Roman" w:hAnsi="Times New Roman" w:cs="Times New Roman"/>
                <w:sz w:val="24"/>
                <w:szCs w:val="24"/>
              </w:rPr>
              <w:t>14.7</w:t>
            </w:r>
          </w:p>
        </w:tc>
        <w:tc>
          <w:tcPr>
            <w:tcW w:w="1870" w:type="dxa"/>
            <w:tcBorders>
              <w:top w:val="nil"/>
              <w:left w:val="nil"/>
              <w:bottom w:val="single" w:sz="4" w:space="0" w:color="auto"/>
              <w:right w:val="nil"/>
            </w:tcBorders>
          </w:tcPr>
          <w:p w:rsidR="00F166AC" w:rsidRDefault="00F166AC" w:rsidP="00F166AC">
            <w:pPr>
              <w:rPr>
                <w:rFonts w:ascii="Times New Roman" w:hAnsi="Times New Roman" w:cs="Times New Roman"/>
                <w:sz w:val="24"/>
                <w:szCs w:val="24"/>
              </w:rPr>
            </w:pPr>
            <w:r>
              <w:rPr>
                <w:rFonts w:ascii="Times New Roman" w:hAnsi="Times New Roman" w:cs="Times New Roman"/>
                <w:sz w:val="24"/>
                <w:szCs w:val="24"/>
              </w:rPr>
              <w:t>10.7</w:t>
            </w:r>
          </w:p>
        </w:tc>
        <w:tc>
          <w:tcPr>
            <w:tcW w:w="1870" w:type="dxa"/>
            <w:tcBorders>
              <w:top w:val="nil"/>
              <w:left w:val="nil"/>
              <w:bottom w:val="single" w:sz="4" w:space="0" w:color="auto"/>
              <w:right w:val="nil"/>
            </w:tcBorders>
          </w:tcPr>
          <w:p w:rsidR="00F166AC" w:rsidRDefault="00F166AC" w:rsidP="00F166AC">
            <w:pPr>
              <w:rPr>
                <w:rFonts w:ascii="Times New Roman" w:hAnsi="Times New Roman" w:cs="Times New Roman"/>
                <w:sz w:val="24"/>
                <w:szCs w:val="24"/>
              </w:rPr>
            </w:pPr>
            <w:r>
              <w:rPr>
                <w:rFonts w:ascii="Times New Roman" w:hAnsi="Times New Roman" w:cs="Times New Roman"/>
                <w:sz w:val="24"/>
                <w:szCs w:val="24"/>
              </w:rPr>
              <w:t>0.0</w:t>
            </w:r>
          </w:p>
        </w:tc>
      </w:tr>
      <w:tr w:rsidR="00F166AC" w:rsidTr="00634081">
        <w:tc>
          <w:tcPr>
            <w:tcW w:w="1870" w:type="dxa"/>
            <w:tcBorders>
              <w:left w:val="nil"/>
              <w:bottom w:val="nil"/>
              <w:right w:val="nil"/>
            </w:tcBorders>
          </w:tcPr>
          <w:p w:rsidR="00F166AC" w:rsidRDefault="00F166AC" w:rsidP="00F166AC">
            <w:pPr>
              <w:rPr>
                <w:rFonts w:ascii="Times New Roman" w:hAnsi="Times New Roman" w:cs="Times New Roman"/>
                <w:sz w:val="24"/>
                <w:szCs w:val="24"/>
              </w:rPr>
            </w:pPr>
          </w:p>
          <w:p w:rsidR="00F166AC" w:rsidRDefault="00F166AC" w:rsidP="00F166AC">
            <w:pPr>
              <w:rPr>
                <w:rFonts w:ascii="Times New Roman" w:hAnsi="Times New Roman" w:cs="Times New Roman"/>
                <w:sz w:val="24"/>
                <w:szCs w:val="24"/>
              </w:rPr>
            </w:pPr>
          </w:p>
        </w:tc>
        <w:tc>
          <w:tcPr>
            <w:tcW w:w="1870" w:type="dxa"/>
            <w:tcBorders>
              <w:left w:val="nil"/>
              <w:bottom w:val="nil"/>
              <w:right w:val="nil"/>
            </w:tcBorders>
          </w:tcPr>
          <w:p w:rsidR="00F166AC" w:rsidRDefault="00F166AC" w:rsidP="00F166AC">
            <w:pPr>
              <w:rPr>
                <w:rFonts w:ascii="Times New Roman" w:hAnsi="Times New Roman" w:cs="Times New Roman"/>
                <w:sz w:val="24"/>
                <w:szCs w:val="24"/>
              </w:rPr>
            </w:pPr>
          </w:p>
        </w:tc>
        <w:tc>
          <w:tcPr>
            <w:tcW w:w="1870" w:type="dxa"/>
            <w:tcBorders>
              <w:top w:val="single" w:sz="4" w:space="0" w:color="auto"/>
              <w:left w:val="nil"/>
              <w:bottom w:val="nil"/>
              <w:right w:val="nil"/>
            </w:tcBorders>
          </w:tcPr>
          <w:p w:rsidR="00F166AC" w:rsidRDefault="00F166AC" w:rsidP="00F166AC">
            <w:pPr>
              <w:rPr>
                <w:rFonts w:ascii="Times New Roman" w:hAnsi="Times New Roman" w:cs="Times New Roman"/>
                <w:sz w:val="24"/>
                <w:szCs w:val="24"/>
              </w:rPr>
            </w:pPr>
          </w:p>
        </w:tc>
        <w:tc>
          <w:tcPr>
            <w:tcW w:w="1870" w:type="dxa"/>
            <w:tcBorders>
              <w:left w:val="nil"/>
              <w:bottom w:val="nil"/>
              <w:right w:val="nil"/>
            </w:tcBorders>
          </w:tcPr>
          <w:p w:rsidR="00F166AC" w:rsidRDefault="00F166AC" w:rsidP="00F166AC">
            <w:pPr>
              <w:rPr>
                <w:rFonts w:ascii="Times New Roman" w:hAnsi="Times New Roman" w:cs="Times New Roman"/>
                <w:sz w:val="24"/>
                <w:szCs w:val="24"/>
              </w:rPr>
            </w:pPr>
          </w:p>
        </w:tc>
        <w:tc>
          <w:tcPr>
            <w:tcW w:w="1870" w:type="dxa"/>
            <w:tcBorders>
              <w:left w:val="nil"/>
              <w:bottom w:val="nil"/>
              <w:right w:val="nil"/>
            </w:tcBorders>
          </w:tcPr>
          <w:p w:rsidR="00F166AC" w:rsidRDefault="00F166AC" w:rsidP="00F166AC">
            <w:pPr>
              <w:rPr>
                <w:rFonts w:ascii="Times New Roman" w:hAnsi="Times New Roman" w:cs="Times New Roman"/>
                <w:sz w:val="24"/>
                <w:szCs w:val="24"/>
              </w:rPr>
            </w:pPr>
          </w:p>
        </w:tc>
      </w:tr>
    </w:tbl>
    <w:p w:rsidR="0058184B" w:rsidRDefault="0058184B" w:rsidP="00D768F6">
      <w:pPr>
        <w:spacing w:line="240" w:lineRule="auto"/>
        <w:rPr>
          <w:rFonts w:ascii="Times New Roman" w:hAnsi="Times New Roman" w:cs="Times New Roman"/>
          <w:b/>
          <w:sz w:val="24"/>
          <w:szCs w:val="24"/>
        </w:rPr>
      </w:pPr>
    </w:p>
    <w:p w:rsidR="0058184B" w:rsidRDefault="0058184B" w:rsidP="00D768F6">
      <w:pPr>
        <w:spacing w:line="240" w:lineRule="auto"/>
        <w:jc w:val="both"/>
        <w:rPr>
          <w:rFonts w:ascii="Times New Roman" w:hAnsi="Times New Roman" w:cs="Times New Roman"/>
          <w:sz w:val="24"/>
          <w:szCs w:val="24"/>
        </w:rPr>
      </w:pPr>
      <w:r w:rsidRPr="00B3485C">
        <w:rPr>
          <w:rFonts w:ascii="Times New Roman" w:hAnsi="Times New Roman" w:cs="Times New Roman"/>
          <w:sz w:val="24"/>
          <w:szCs w:val="24"/>
        </w:rPr>
        <w:t>The antifungal activity of commonly used drugs, such as fluconazole, ketoconazole, and griseofulvin, has been evaluated in the table</w:t>
      </w:r>
      <w:r w:rsidR="00CF0BA3">
        <w:rPr>
          <w:rFonts w:ascii="Times New Roman" w:hAnsi="Times New Roman" w:cs="Times New Roman"/>
          <w:sz w:val="24"/>
          <w:szCs w:val="24"/>
        </w:rPr>
        <w:t xml:space="preserve"> 3</w:t>
      </w:r>
      <w:r w:rsidRPr="00B3485C">
        <w:rPr>
          <w:rFonts w:ascii="Times New Roman" w:hAnsi="Times New Roman" w:cs="Times New Roman"/>
          <w:sz w:val="24"/>
          <w:szCs w:val="24"/>
        </w:rPr>
        <w:t xml:space="preserve"> provided. At higher concentrations (200 mg/ml), fluconazole demonstrated the most significant inhibitory effects against </w:t>
      </w:r>
      <w:r w:rsidRPr="00B3485C">
        <w:rPr>
          <w:rStyle w:val="Emphasis"/>
          <w:rFonts w:ascii="Times New Roman" w:hAnsi="Times New Roman" w:cs="Times New Roman"/>
          <w:sz w:val="24"/>
          <w:szCs w:val="24"/>
        </w:rPr>
        <w:t>T. rubrum</w:t>
      </w:r>
      <w:r w:rsidRPr="00B3485C">
        <w:rPr>
          <w:rFonts w:ascii="Times New Roman" w:hAnsi="Times New Roman" w:cs="Times New Roman"/>
          <w:sz w:val="24"/>
          <w:szCs w:val="24"/>
        </w:rPr>
        <w:t>, with inhibition zones ranging from 45 mm to 47 mm. The antifungal activity of fluconazole decreased as the concentration was reduced, with zones of inhibition dropping to 10 mm to 11 mm at 25 mg/ml.</w:t>
      </w:r>
    </w:p>
    <w:p w:rsidR="0058184B" w:rsidRDefault="0058184B" w:rsidP="00D768F6">
      <w:pPr>
        <w:spacing w:line="240" w:lineRule="auto"/>
        <w:jc w:val="both"/>
        <w:rPr>
          <w:rFonts w:ascii="Times New Roman" w:hAnsi="Times New Roman" w:cs="Times New Roman"/>
          <w:sz w:val="24"/>
          <w:szCs w:val="24"/>
        </w:rPr>
      </w:pPr>
    </w:p>
    <w:p w:rsidR="00DD4ABA" w:rsidRDefault="00DD4ABA" w:rsidP="00D768F6">
      <w:pPr>
        <w:spacing w:line="240" w:lineRule="auto"/>
        <w:jc w:val="both"/>
        <w:rPr>
          <w:rFonts w:ascii="Times New Roman" w:hAnsi="Times New Roman" w:cs="Times New Roman"/>
          <w:sz w:val="24"/>
          <w:szCs w:val="24"/>
        </w:rPr>
      </w:pPr>
    </w:p>
    <w:p w:rsidR="00DD4ABA" w:rsidRDefault="00DD4ABA" w:rsidP="00D768F6">
      <w:pPr>
        <w:spacing w:line="240" w:lineRule="auto"/>
        <w:jc w:val="both"/>
        <w:rPr>
          <w:rFonts w:ascii="Times New Roman" w:hAnsi="Times New Roman" w:cs="Times New Roman"/>
          <w:sz w:val="24"/>
          <w:szCs w:val="24"/>
        </w:rPr>
      </w:pPr>
    </w:p>
    <w:p w:rsidR="00DD4ABA" w:rsidRDefault="00DD4ABA" w:rsidP="00D768F6">
      <w:pPr>
        <w:spacing w:line="240" w:lineRule="auto"/>
        <w:jc w:val="both"/>
        <w:rPr>
          <w:rFonts w:ascii="Times New Roman" w:hAnsi="Times New Roman" w:cs="Times New Roman"/>
          <w:sz w:val="24"/>
          <w:szCs w:val="24"/>
        </w:rPr>
      </w:pPr>
    </w:p>
    <w:p w:rsidR="00DD4ABA" w:rsidRDefault="00DD4ABA" w:rsidP="00D768F6">
      <w:pPr>
        <w:spacing w:line="240" w:lineRule="auto"/>
        <w:jc w:val="both"/>
        <w:rPr>
          <w:rFonts w:ascii="Times New Roman" w:hAnsi="Times New Roman" w:cs="Times New Roman"/>
          <w:sz w:val="24"/>
          <w:szCs w:val="24"/>
        </w:rPr>
      </w:pPr>
    </w:p>
    <w:p w:rsidR="00DD4ABA" w:rsidRDefault="00DD4ABA" w:rsidP="00D768F6">
      <w:pPr>
        <w:spacing w:line="240" w:lineRule="auto"/>
        <w:jc w:val="both"/>
        <w:rPr>
          <w:rFonts w:ascii="Times New Roman" w:hAnsi="Times New Roman" w:cs="Times New Roman"/>
          <w:sz w:val="24"/>
          <w:szCs w:val="24"/>
        </w:rPr>
      </w:pPr>
    </w:p>
    <w:p w:rsidR="00DD4ABA" w:rsidRDefault="00DD4ABA" w:rsidP="00D768F6">
      <w:pPr>
        <w:spacing w:line="240" w:lineRule="auto"/>
        <w:jc w:val="both"/>
        <w:rPr>
          <w:rFonts w:ascii="Times New Roman" w:hAnsi="Times New Roman" w:cs="Times New Roman"/>
          <w:sz w:val="24"/>
          <w:szCs w:val="24"/>
        </w:rPr>
      </w:pPr>
    </w:p>
    <w:p w:rsidR="00DD4ABA" w:rsidRDefault="00DD4ABA" w:rsidP="00D768F6">
      <w:pPr>
        <w:spacing w:line="240" w:lineRule="auto"/>
        <w:jc w:val="both"/>
        <w:rPr>
          <w:rFonts w:ascii="Times New Roman" w:hAnsi="Times New Roman" w:cs="Times New Roman"/>
          <w:sz w:val="24"/>
          <w:szCs w:val="24"/>
        </w:rPr>
      </w:pPr>
    </w:p>
    <w:p w:rsidR="0058184B" w:rsidRPr="00681725" w:rsidRDefault="0058184B" w:rsidP="00D768F6">
      <w:pPr>
        <w:pStyle w:val="NormalWeb"/>
        <w:jc w:val="both"/>
      </w:pPr>
      <w:r w:rsidRPr="00FF5A48">
        <w:rPr>
          <w:b/>
        </w:rPr>
        <w:t>Table</w:t>
      </w:r>
      <w:r w:rsidR="00CC5BCF">
        <w:rPr>
          <w:b/>
        </w:rPr>
        <w:t xml:space="preserve"> 3</w:t>
      </w:r>
      <w:r w:rsidRPr="00FF5A48">
        <w:rPr>
          <w:b/>
        </w:rPr>
        <w:t>: Ac</w:t>
      </w:r>
      <w:r>
        <w:rPr>
          <w:b/>
        </w:rPr>
        <w:t xml:space="preserve">tivity of Antifungal drugs </w:t>
      </w:r>
      <w:r w:rsidRPr="00FF5A48">
        <w:rPr>
          <w:b/>
        </w:rPr>
        <w:t xml:space="preserve">on </w:t>
      </w:r>
      <w:r w:rsidRPr="00FF5A48">
        <w:rPr>
          <w:b/>
          <w:i/>
          <w:iCs/>
        </w:rPr>
        <w:t xml:space="preserve">Trichophyton rubrum </w:t>
      </w:r>
      <w:r>
        <w:rPr>
          <w:b/>
          <w:iCs/>
        </w:rPr>
        <w:t xml:space="preserve">Showing Zone of Inhibition </w:t>
      </w:r>
    </w:p>
    <w:tbl>
      <w:tblPr>
        <w:tblStyle w:val="TableGrid"/>
        <w:tblW w:w="0" w:type="auto"/>
        <w:tblLook w:val="04A0"/>
      </w:tblPr>
      <w:tblGrid>
        <w:gridCol w:w="1870"/>
        <w:gridCol w:w="1870"/>
        <w:gridCol w:w="1870"/>
        <w:gridCol w:w="1870"/>
        <w:gridCol w:w="1870"/>
      </w:tblGrid>
      <w:tr w:rsidR="0058184B" w:rsidTr="00634081">
        <w:tc>
          <w:tcPr>
            <w:tcW w:w="1870" w:type="dxa"/>
            <w:tcBorders>
              <w:left w:val="nil"/>
              <w:bottom w:val="single" w:sz="4" w:space="0" w:color="auto"/>
              <w:right w:val="nil"/>
            </w:tcBorders>
          </w:tcPr>
          <w:p w:rsidR="0058184B" w:rsidRDefault="0058184B" w:rsidP="00D768F6">
            <w:pPr>
              <w:rPr>
                <w:rFonts w:ascii="Times New Roman" w:hAnsi="Times New Roman" w:cs="Times New Roman"/>
                <w:b/>
                <w:sz w:val="24"/>
                <w:szCs w:val="24"/>
              </w:rPr>
            </w:pPr>
            <w:r>
              <w:rPr>
                <w:rFonts w:ascii="Times New Roman" w:hAnsi="Times New Roman" w:cs="Times New Roman"/>
                <w:b/>
                <w:sz w:val="24"/>
                <w:szCs w:val="24"/>
              </w:rPr>
              <w:t xml:space="preserve">Antifungal drugs </w:t>
            </w:r>
          </w:p>
        </w:tc>
        <w:tc>
          <w:tcPr>
            <w:tcW w:w="1870" w:type="dxa"/>
            <w:tcBorders>
              <w:left w:val="nil"/>
              <w:right w:val="nil"/>
            </w:tcBorders>
          </w:tcPr>
          <w:p w:rsidR="0058184B" w:rsidRDefault="0058184B" w:rsidP="00D768F6">
            <w:pPr>
              <w:rPr>
                <w:rFonts w:ascii="Times New Roman" w:hAnsi="Times New Roman" w:cs="Times New Roman"/>
                <w:b/>
                <w:sz w:val="24"/>
                <w:szCs w:val="24"/>
              </w:rPr>
            </w:pPr>
            <w:r>
              <w:rPr>
                <w:rFonts w:ascii="Times New Roman" w:hAnsi="Times New Roman" w:cs="Times New Roman"/>
                <w:b/>
                <w:sz w:val="24"/>
                <w:szCs w:val="24"/>
              </w:rPr>
              <w:t>200 mg/ml</w:t>
            </w:r>
          </w:p>
        </w:tc>
        <w:tc>
          <w:tcPr>
            <w:tcW w:w="1870" w:type="dxa"/>
            <w:tcBorders>
              <w:left w:val="nil"/>
              <w:bottom w:val="single" w:sz="4" w:space="0" w:color="auto"/>
              <w:right w:val="nil"/>
            </w:tcBorders>
          </w:tcPr>
          <w:p w:rsidR="0058184B" w:rsidRDefault="0058184B" w:rsidP="00D768F6">
            <w:pPr>
              <w:rPr>
                <w:rFonts w:ascii="Times New Roman" w:hAnsi="Times New Roman" w:cs="Times New Roman"/>
                <w:b/>
                <w:sz w:val="24"/>
                <w:szCs w:val="24"/>
              </w:rPr>
            </w:pPr>
            <w:r>
              <w:rPr>
                <w:rFonts w:ascii="Times New Roman" w:hAnsi="Times New Roman" w:cs="Times New Roman"/>
                <w:b/>
                <w:sz w:val="24"/>
                <w:szCs w:val="24"/>
              </w:rPr>
              <w:t>100 mg/ml</w:t>
            </w:r>
          </w:p>
        </w:tc>
        <w:tc>
          <w:tcPr>
            <w:tcW w:w="1870" w:type="dxa"/>
            <w:tcBorders>
              <w:left w:val="nil"/>
              <w:right w:val="nil"/>
            </w:tcBorders>
          </w:tcPr>
          <w:p w:rsidR="0058184B" w:rsidRDefault="0058184B" w:rsidP="00D768F6">
            <w:pPr>
              <w:rPr>
                <w:rFonts w:ascii="Times New Roman" w:hAnsi="Times New Roman" w:cs="Times New Roman"/>
                <w:b/>
                <w:sz w:val="24"/>
                <w:szCs w:val="24"/>
              </w:rPr>
            </w:pPr>
            <w:r>
              <w:rPr>
                <w:rFonts w:ascii="Times New Roman" w:hAnsi="Times New Roman" w:cs="Times New Roman"/>
                <w:b/>
                <w:sz w:val="24"/>
                <w:szCs w:val="24"/>
              </w:rPr>
              <w:t>50 mg/ml</w:t>
            </w:r>
          </w:p>
        </w:tc>
        <w:tc>
          <w:tcPr>
            <w:tcW w:w="1870" w:type="dxa"/>
            <w:tcBorders>
              <w:left w:val="nil"/>
              <w:bottom w:val="single" w:sz="4" w:space="0" w:color="auto"/>
              <w:right w:val="nil"/>
            </w:tcBorders>
          </w:tcPr>
          <w:p w:rsidR="0058184B" w:rsidRDefault="0058184B" w:rsidP="00D768F6">
            <w:pPr>
              <w:rPr>
                <w:rFonts w:ascii="Times New Roman" w:hAnsi="Times New Roman" w:cs="Times New Roman"/>
                <w:b/>
                <w:sz w:val="24"/>
                <w:szCs w:val="24"/>
              </w:rPr>
            </w:pPr>
            <w:r>
              <w:rPr>
                <w:rFonts w:ascii="Times New Roman" w:hAnsi="Times New Roman" w:cs="Times New Roman"/>
                <w:b/>
                <w:sz w:val="24"/>
                <w:szCs w:val="24"/>
              </w:rPr>
              <w:t>25 mg/ml</w:t>
            </w:r>
          </w:p>
        </w:tc>
      </w:tr>
      <w:tr w:rsidR="00DD4ABA" w:rsidTr="00634081">
        <w:tc>
          <w:tcPr>
            <w:tcW w:w="1870" w:type="dxa"/>
            <w:tcBorders>
              <w:left w:val="nil"/>
              <w:bottom w:val="nil"/>
              <w:right w:val="nil"/>
            </w:tcBorders>
          </w:tcPr>
          <w:p w:rsidR="00DD4ABA" w:rsidRPr="00105325" w:rsidRDefault="00DD4ABA" w:rsidP="00DD4ABA">
            <w:pPr>
              <w:rPr>
                <w:rFonts w:ascii="Times New Roman" w:hAnsi="Times New Roman" w:cs="Times New Roman"/>
                <w:sz w:val="24"/>
                <w:szCs w:val="24"/>
              </w:rPr>
            </w:pPr>
            <w:r>
              <w:rPr>
                <w:rFonts w:ascii="Times New Roman" w:hAnsi="Times New Roman" w:cs="Times New Roman"/>
                <w:sz w:val="24"/>
                <w:szCs w:val="24"/>
              </w:rPr>
              <w:t>Fluconazole</w:t>
            </w:r>
          </w:p>
        </w:tc>
        <w:tc>
          <w:tcPr>
            <w:tcW w:w="1870" w:type="dxa"/>
            <w:tcBorders>
              <w:left w:val="nil"/>
              <w:bottom w:val="nil"/>
              <w:right w:val="nil"/>
            </w:tcBorders>
          </w:tcPr>
          <w:p w:rsidR="00DD4ABA" w:rsidRPr="00DD4ABA" w:rsidRDefault="00DD4ABA" w:rsidP="00DD4ABA">
            <w:pPr>
              <w:pStyle w:val="NormalWeb"/>
              <w:spacing w:before="0" w:beforeAutospacing="0" w:after="0" w:afterAutospacing="0" w:line="480" w:lineRule="auto"/>
            </w:pPr>
            <w:r w:rsidRPr="00DD4ABA">
              <w:rPr>
                <w:color w:val="000000" w:themeColor="text1"/>
                <w:kern w:val="24"/>
              </w:rPr>
              <w:t xml:space="preserve">    46.00</w:t>
            </w:r>
          </w:p>
        </w:tc>
        <w:tc>
          <w:tcPr>
            <w:tcW w:w="1870" w:type="dxa"/>
            <w:tcBorders>
              <w:left w:val="nil"/>
              <w:bottom w:val="nil"/>
              <w:right w:val="nil"/>
            </w:tcBorders>
          </w:tcPr>
          <w:p w:rsidR="00DD4ABA" w:rsidRPr="00DD4ABA" w:rsidRDefault="00DD4ABA" w:rsidP="00DD4ABA">
            <w:pPr>
              <w:pStyle w:val="NormalWeb"/>
              <w:spacing w:before="0" w:beforeAutospacing="0" w:after="0" w:afterAutospacing="0" w:line="480" w:lineRule="auto"/>
            </w:pPr>
            <w:r w:rsidRPr="00DD4ABA">
              <w:rPr>
                <w:rFonts w:eastAsiaTheme="minorEastAsia"/>
                <w:color w:val="000000" w:themeColor="text1"/>
                <w:kern w:val="24"/>
              </w:rPr>
              <w:t xml:space="preserve">    34.67</w:t>
            </w:r>
          </w:p>
        </w:tc>
        <w:tc>
          <w:tcPr>
            <w:tcW w:w="1870" w:type="dxa"/>
            <w:tcBorders>
              <w:left w:val="nil"/>
              <w:bottom w:val="nil"/>
              <w:right w:val="nil"/>
            </w:tcBorders>
          </w:tcPr>
          <w:p w:rsidR="00DD4ABA" w:rsidRPr="00DD4ABA" w:rsidRDefault="00DD4ABA" w:rsidP="00DD4ABA">
            <w:pPr>
              <w:pStyle w:val="NormalWeb"/>
              <w:spacing w:before="0" w:beforeAutospacing="0" w:after="0" w:afterAutospacing="0" w:line="480" w:lineRule="auto"/>
            </w:pPr>
            <w:r w:rsidRPr="00DD4ABA">
              <w:rPr>
                <w:rFonts w:eastAsiaTheme="minorEastAsia"/>
                <w:color w:val="000000" w:themeColor="text1"/>
                <w:kern w:val="24"/>
              </w:rPr>
              <w:t xml:space="preserve">    20.67</w:t>
            </w:r>
          </w:p>
        </w:tc>
        <w:tc>
          <w:tcPr>
            <w:tcW w:w="1870" w:type="dxa"/>
            <w:tcBorders>
              <w:left w:val="nil"/>
              <w:bottom w:val="nil"/>
              <w:right w:val="nil"/>
            </w:tcBorders>
          </w:tcPr>
          <w:p w:rsidR="00DD4ABA" w:rsidRPr="00DD4ABA" w:rsidRDefault="00DD4ABA" w:rsidP="00DD4ABA">
            <w:pPr>
              <w:pStyle w:val="NormalWeb"/>
              <w:spacing w:before="0" w:beforeAutospacing="0" w:after="0" w:afterAutospacing="0" w:line="480" w:lineRule="auto"/>
            </w:pPr>
            <w:r w:rsidRPr="00DD4ABA">
              <w:rPr>
                <w:rFonts w:eastAsiaTheme="minorEastAsia"/>
                <w:color w:val="000000" w:themeColor="text1"/>
                <w:kern w:val="24"/>
              </w:rPr>
              <w:t xml:space="preserve">  10.67</w:t>
            </w:r>
          </w:p>
        </w:tc>
      </w:tr>
      <w:tr w:rsidR="00DD4ABA" w:rsidTr="00634081">
        <w:tc>
          <w:tcPr>
            <w:tcW w:w="1870" w:type="dxa"/>
            <w:tcBorders>
              <w:top w:val="nil"/>
              <w:left w:val="nil"/>
              <w:bottom w:val="nil"/>
              <w:right w:val="nil"/>
            </w:tcBorders>
          </w:tcPr>
          <w:p w:rsidR="00DD4ABA" w:rsidRPr="00105325" w:rsidRDefault="00DD4ABA" w:rsidP="00DD4ABA">
            <w:pPr>
              <w:rPr>
                <w:rFonts w:ascii="Times New Roman" w:hAnsi="Times New Roman" w:cs="Times New Roman"/>
                <w:sz w:val="24"/>
                <w:szCs w:val="24"/>
              </w:rPr>
            </w:pPr>
            <w:r w:rsidRPr="00105325">
              <w:rPr>
                <w:rFonts w:ascii="Times New Roman" w:hAnsi="Times New Roman" w:cs="Times New Roman"/>
                <w:sz w:val="24"/>
                <w:szCs w:val="24"/>
              </w:rPr>
              <w:t>Ketoconazole</w:t>
            </w:r>
          </w:p>
        </w:tc>
        <w:tc>
          <w:tcPr>
            <w:tcW w:w="1870" w:type="dxa"/>
            <w:tcBorders>
              <w:top w:val="nil"/>
              <w:left w:val="nil"/>
              <w:bottom w:val="nil"/>
              <w:right w:val="nil"/>
            </w:tcBorders>
          </w:tcPr>
          <w:p w:rsidR="00DD4ABA" w:rsidRPr="00DD4ABA" w:rsidRDefault="00DD4ABA" w:rsidP="00DD4ABA">
            <w:pPr>
              <w:pStyle w:val="NormalWeb"/>
              <w:spacing w:before="0" w:beforeAutospacing="0" w:after="0" w:afterAutospacing="0" w:line="480" w:lineRule="auto"/>
            </w:pPr>
            <w:r w:rsidRPr="00DD4ABA">
              <w:rPr>
                <w:rFonts w:eastAsiaTheme="minorEastAsia"/>
                <w:color w:val="000000" w:themeColor="text1"/>
                <w:kern w:val="24"/>
              </w:rPr>
              <w:t xml:space="preserve">   33.33</w:t>
            </w:r>
          </w:p>
        </w:tc>
        <w:tc>
          <w:tcPr>
            <w:tcW w:w="1870" w:type="dxa"/>
            <w:tcBorders>
              <w:top w:val="nil"/>
              <w:left w:val="nil"/>
              <w:bottom w:val="nil"/>
              <w:right w:val="nil"/>
            </w:tcBorders>
          </w:tcPr>
          <w:p w:rsidR="00DD4ABA" w:rsidRPr="00DD4ABA" w:rsidRDefault="00DD4ABA" w:rsidP="00DD4ABA">
            <w:pPr>
              <w:pStyle w:val="NormalWeb"/>
              <w:spacing w:before="0" w:beforeAutospacing="0" w:after="0" w:afterAutospacing="0" w:line="480" w:lineRule="auto"/>
            </w:pPr>
            <w:r w:rsidRPr="00DD4ABA">
              <w:rPr>
                <w:rFonts w:eastAsia="Calibri"/>
                <w:color w:val="000000" w:themeColor="text1"/>
                <w:kern w:val="24"/>
              </w:rPr>
              <w:t xml:space="preserve">     19.33</w:t>
            </w:r>
          </w:p>
        </w:tc>
        <w:tc>
          <w:tcPr>
            <w:tcW w:w="1870" w:type="dxa"/>
            <w:tcBorders>
              <w:top w:val="nil"/>
              <w:left w:val="nil"/>
              <w:bottom w:val="nil"/>
              <w:right w:val="nil"/>
            </w:tcBorders>
          </w:tcPr>
          <w:p w:rsidR="00DD4ABA" w:rsidRPr="00DD4ABA" w:rsidRDefault="00DD4ABA" w:rsidP="00DD4ABA">
            <w:pPr>
              <w:pStyle w:val="NormalWeb"/>
              <w:spacing w:before="0" w:beforeAutospacing="0" w:after="0" w:afterAutospacing="0" w:line="480" w:lineRule="auto"/>
            </w:pPr>
            <w:r w:rsidRPr="00DD4ABA">
              <w:rPr>
                <w:rFonts w:eastAsiaTheme="minorEastAsia"/>
                <w:color w:val="000000" w:themeColor="text1"/>
                <w:kern w:val="24"/>
              </w:rPr>
              <w:t xml:space="preserve">    11.00</w:t>
            </w:r>
          </w:p>
        </w:tc>
        <w:tc>
          <w:tcPr>
            <w:tcW w:w="1870" w:type="dxa"/>
            <w:tcBorders>
              <w:top w:val="nil"/>
              <w:left w:val="nil"/>
              <w:bottom w:val="nil"/>
              <w:right w:val="nil"/>
            </w:tcBorders>
          </w:tcPr>
          <w:p w:rsidR="00DD4ABA" w:rsidRPr="00DD4ABA" w:rsidRDefault="00DD4ABA" w:rsidP="00DD4ABA">
            <w:pPr>
              <w:pStyle w:val="NormalWeb"/>
              <w:spacing w:before="0" w:beforeAutospacing="0" w:after="0" w:afterAutospacing="0" w:line="480" w:lineRule="auto"/>
            </w:pPr>
            <w:r w:rsidRPr="00DD4ABA">
              <w:rPr>
                <w:rFonts w:eastAsiaTheme="minorEastAsia"/>
                <w:color w:val="000000" w:themeColor="text1"/>
                <w:kern w:val="24"/>
              </w:rPr>
              <w:t xml:space="preserve">   0.00</w:t>
            </w:r>
          </w:p>
        </w:tc>
      </w:tr>
      <w:tr w:rsidR="00DD4ABA" w:rsidTr="00634081">
        <w:tc>
          <w:tcPr>
            <w:tcW w:w="1870" w:type="dxa"/>
            <w:tcBorders>
              <w:top w:val="nil"/>
              <w:left w:val="nil"/>
              <w:right w:val="nil"/>
            </w:tcBorders>
          </w:tcPr>
          <w:p w:rsidR="00DD4ABA" w:rsidRPr="00105325" w:rsidRDefault="00DD4ABA" w:rsidP="00DD4ABA">
            <w:pPr>
              <w:rPr>
                <w:rFonts w:ascii="Times New Roman" w:hAnsi="Times New Roman" w:cs="Times New Roman"/>
                <w:sz w:val="24"/>
                <w:szCs w:val="24"/>
              </w:rPr>
            </w:pPr>
            <w:r w:rsidRPr="00105325">
              <w:rPr>
                <w:rFonts w:ascii="Times New Roman" w:hAnsi="Times New Roman" w:cs="Times New Roman"/>
                <w:sz w:val="24"/>
                <w:szCs w:val="24"/>
              </w:rPr>
              <w:t>Gris</w:t>
            </w:r>
            <w:r>
              <w:rPr>
                <w:rFonts w:ascii="Times New Roman" w:hAnsi="Times New Roman" w:cs="Times New Roman"/>
                <w:sz w:val="24"/>
                <w:szCs w:val="24"/>
              </w:rPr>
              <w:t>e</w:t>
            </w:r>
            <w:r w:rsidRPr="00105325">
              <w:rPr>
                <w:rFonts w:ascii="Times New Roman" w:hAnsi="Times New Roman" w:cs="Times New Roman"/>
                <w:sz w:val="24"/>
                <w:szCs w:val="24"/>
              </w:rPr>
              <w:t>o</w:t>
            </w:r>
            <w:r>
              <w:rPr>
                <w:rFonts w:ascii="Times New Roman" w:hAnsi="Times New Roman" w:cs="Times New Roman"/>
                <w:sz w:val="24"/>
                <w:szCs w:val="24"/>
              </w:rPr>
              <w:t>ful</w:t>
            </w:r>
            <w:r w:rsidRPr="00105325">
              <w:rPr>
                <w:rFonts w:ascii="Times New Roman" w:hAnsi="Times New Roman" w:cs="Times New Roman"/>
                <w:sz w:val="24"/>
                <w:szCs w:val="24"/>
              </w:rPr>
              <w:t>vin</w:t>
            </w:r>
          </w:p>
        </w:tc>
        <w:tc>
          <w:tcPr>
            <w:tcW w:w="1870" w:type="dxa"/>
            <w:tcBorders>
              <w:top w:val="nil"/>
              <w:left w:val="nil"/>
              <w:right w:val="nil"/>
            </w:tcBorders>
          </w:tcPr>
          <w:p w:rsidR="00DD4ABA" w:rsidRPr="00DD4ABA" w:rsidRDefault="00DD4ABA" w:rsidP="00DD4ABA">
            <w:pPr>
              <w:pStyle w:val="NormalWeb"/>
              <w:spacing w:before="0" w:beforeAutospacing="0" w:after="0" w:afterAutospacing="0" w:line="480" w:lineRule="auto"/>
            </w:pPr>
            <w:r w:rsidRPr="00DD4ABA">
              <w:rPr>
                <w:rFonts w:eastAsiaTheme="minorEastAsia"/>
                <w:color w:val="000000" w:themeColor="text1"/>
                <w:kern w:val="24"/>
              </w:rPr>
              <w:t xml:space="preserve">   23.33</w:t>
            </w:r>
          </w:p>
        </w:tc>
        <w:tc>
          <w:tcPr>
            <w:tcW w:w="1870" w:type="dxa"/>
            <w:tcBorders>
              <w:top w:val="nil"/>
              <w:left w:val="nil"/>
              <w:right w:val="nil"/>
            </w:tcBorders>
          </w:tcPr>
          <w:p w:rsidR="00DD4ABA" w:rsidRPr="00DD4ABA" w:rsidRDefault="00DD4ABA" w:rsidP="00DD4ABA">
            <w:pPr>
              <w:pStyle w:val="NormalWeb"/>
              <w:spacing w:before="0" w:beforeAutospacing="0" w:after="0" w:afterAutospacing="0" w:line="480" w:lineRule="auto"/>
            </w:pPr>
            <w:r w:rsidRPr="00DD4ABA">
              <w:rPr>
                <w:rFonts w:eastAsiaTheme="minorEastAsia"/>
                <w:color w:val="000000" w:themeColor="text1"/>
                <w:kern w:val="24"/>
              </w:rPr>
              <w:t xml:space="preserve">     9.33</w:t>
            </w:r>
          </w:p>
        </w:tc>
        <w:tc>
          <w:tcPr>
            <w:tcW w:w="1870" w:type="dxa"/>
            <w:tcBorders>
              <w:top w:val="nil"/>
              <w:left w:val="nil"/>
              <w:right w:val="nil"/>
            </w:tcBorders>
          </w:tcPr>
          <w:p w:rsidR="00DD4ABA" w:rsidRPr="00DD4ABA" w:rsidRDefault="00DD4ABA" w:rsidP="00DD4ABA">
            <w:pPr>
              <w:pStyle w:val="NormalWeb"/>
              <w:spacing w:before="0" w:beforeAutospacing="0" w:after="0" w:afterAutospacing="0" w:line="480" w:lineRule="auto"/>
            </w:pPr>
            <w:r w:rsidRPr="00DD4ABA">
              <w:rPr>
                <w:rFonts w:eastAsiaTheme="minorEastAsia"/>
                <w:color w:val="000000" w:themeColor="text1"/>
                <w:kern w:val="24"/>
              </w:rPr>
              <w:t xml:space="preserve">    0.00</w:t>
            </w:r>
          </w:p>
        </w:tc>
        <w:tc>
          <w:tcPr>
            <w:tcW w:w="1870" w:type="dxa"/>
            <w:tcBorders>
              <w:top w:val="nil"/>
              <w:left w:val="nil"/>
              <w:right w:val="nil"/>
            </w:tcBorders>
          </w:tcPr>
          <w:p w:rsidR="00DD4ABA" w:rsidRPr="00DD4ABA" w:rsidRDefault="00DD4ABA" w:rsidP="00DD4ABA">
            <w:pPr>
              <w:pStyle w:val="NormalWeb"/>
              <w:spacing w:before="0" w:beforeAutospacing="0" w:after="0" w:afterAutospacing="0" w:line="480" w:lineRule="auto"/>
            </w:pPr>
            <w:r w:rsidRPr="00DD4ABA">
              <w:rPr>
                <w:rFonts w:eastAsiaTheme="minorEastAsia"/>
                <w:color w:val="000000" w:themeColor="text1"/>
                <w:kern w:val="24"/>
              </w:rPr>
              <w:t xml:space="preserve">   0.00</w:t>
            </w:r>
          </w:p>
        </w:tc>
      </w:tr>
    </w:tbl>
    <w:p w:rsidR="0058184B" w:rsidRDefault="0058184B" w:rsidP="00D768F6">
      <w:pPr>
        <w:spacing w:line="240" w:lineRule="auto"/>
        <w:rPr>
          <w:rFonts w:ascii="Times New Roman" w:hAnsi="Times New Roman" w:cs="Times New Roman"/>
          <w:b/>
          <w:sz w:val="24"/>
          <w:szCs w:val="24"/>
        </w:rPr>
      </w:pPr>
    </w:p>
    <w:p w:rsidR="00B83281" w:rsidRPr="005F41E3" w:rsidRDefault="00B83281" w:rsidP="00D768F6">
      <w:pPr>
        <w:spacing w:line="240" w:lineRule="auto"/>
        <w:jc w:val="both"/>
        <w:rPr>
          <w:rFonts w:ascii="Times New Roman" w:hAnsi="Times New Roman" w:cs="Times New Roman"/>
          <w:sz w:val="24"/>
          <w:szCs w:val="24"/>
        </w:rPr>
      </w:pPr>
      <w:r w:rsidRPr="005F41E3">
        <w:rPr>
          <w:rFonts w:ascii="Times New Roman" w:hAnsi="Times New Roman" w:cs="Times New Roman"/>
          <w:sz w:val="24"/>
          <w:szCs w:val="24"/>
        </w:rPr>
        <w:t xml:space="preserve">The bioactive potential of antifungal drugs and plant extracts against </w:t>
      </w:r>
      <w:r w:rsidRPr="005F41E3">
        <w:rPr>
          <w:rStyle w:val="Emphasis"/>
          <w:rFonts w:ascii="Times New Roman" w:hAnsi="Times New Roman" w:cs="Times New Roman"/>
          <w:sz w:val="24"/>
          <w:szCs w:val="24"/>
        </w:rPr>
        <w:t>T. rubrum</w:t>
      </w:r>
      <w:r w:rsidRPr="005F41E3">
        <w:rPr>
          <w:rFonts w:ascii="Times New Roman" w:hAnsi="Times New Roman" w:cs="Times New Roman"/>
          <w:sz w:val="24"/>
          <w:szCs w:val="24"/>
        </w:rPr>
        <w:t xml:space="preserve"> is an important aspect of treatment strategies, especially as antifungal resistance continues to rise. The Minimum Inhibitory Concentration (MIC) and Minimum Fungicidal Concentration (MFC) values in the </w:t>
      </w:r>
      <w:r w:rsidRPr="005F41E3">
        <w:rPr>
          <w:rFonts w:ascii="Times New Roman" w:hAnsi="Times New Roman" w:cs="Times New Roman"/>
          <w:sz w:val="24"/>
          <w:szCs w:val="24"/>
        </w:rPr>
        <w:lastRenderedPageBreak/>
        <w:t>table offer valuable insights into the efficacy of these substances. Fluconazole, a commonly used antifungal drug, demonstrated an MIC of 25 mg/ml and an MFC of 100 mg/ml, indicating strong antifungal activity.</w:t>
      </w:r>
    </w:p>
    <w:p w:rsidR="00B83281" w:rsidRPr="005F41E3" w:rsidRDefault="00B83281" w:rsidP="00D768F6">
      <w:pPr>
        <w:spacing w:line="240" w:lineRule="auto"/>
        <w:jc w:val="both"/>
        <w:rPr>
          <w:rFonts w:ascii="Times New Roman" w:hAnsi="Times New Roman" w:cs="Times New Roman"/>
          <w:sz w:val="24"/>
          <w:szCs w:val="24"/>
        </w:rPr>
      </w:pPr>
      <w:r w:rsidRPr="005F41E3">
        <w:rPr>
          <w:rFonts w:ascii="Times New Roman" w:hAnsi="Times New Roman" w:cs="Times New Roman"/>
          <w:sz w:val="24"/>
          <w:szCs w:val="24"/>
        </w:rPr>
        <w:t xml:space="preserve">Ketoconazole, another antifungal agent, displayed an MIC of 50 mg/ml and an MFC of 200 mg/ml, which are higher than those of fluconazole, suggesting that ketoconazole is less potent against </w:t>
      </w:r>
      <w:r w:rsidRPr="005F41E3">
        <w:rPr>
          <w:rStyle w:val="Emphasis"/>
          <w:rFonts w:ascii="Times New Roman" w:hAnsi="Times New Roman" w:cs="Times New Roman"/>
          <w:sz w:val="24"/>
          <w:szCs w:val="24"/>
        </w:rPr>
        <w:t>T. rubrum</w:t>
      </w:r>
      <w:r w:rsidRPr="005F41E3">
        <w:rPr>
          <w:rFonts w:ascii="Times New Roman" w:hAnsi="Times New Roman" w:cs="Times New Roman"/>
          <w:sz w:val="24"/>
          <w:szCs w:val="24"/>
        </w:rPr>
        <w:t xml:space="preserve"> at lower concentrations. Griseofulvin, which has a much higher MIC of 100 mg/ml, shows a less potent effect compared to both fluconazole and ketoconazole. </w:t>
      </w:r>
    </w:p>
    <w:p w:rsidR="00B83281" w:rsidRPr="00730E7C" w:rsidRDefault="00B83281" w:rsidP="00D768F6">
      <w:pPr>
        <w:spacing w:line="240" w:lineRule="auto"/>
        <w:jc w:val="both"/>
        <w:rPr>
          <w:rFonts w:ascii="Times New Roman" w:hAnsi="Times New Roman" w:cs="Times New Roman"/>
          <w:sz w:val="24"/>
          <w:szCs w:val="24"/>
        </w:rPr>
      </w:pPr>
      <w:r w:rsidRPr="005F41E3">
        <w:rPr>
          <w:rFonts w:ascii="Times New Roman" w:hAnsi="Times New Roman" w:cs="Times New Roman"/>
          <w:sz w:val="24"/>
          <w:szCs w:val="24"/>
        </w:rPr>
        <w:t>When considering plant extracts</w:t>
      </w:r>
      <w:r w:rsidR="00CF0BA3">
        <w:rPr>
          <w:rFonts w:ascii="Times New Roman" w:hAnsi="Times New Roman" w:cs="Times New Roman"/>
          <w:sz w:val="24"/>
          <w:szCs w:val="24"/>
        </w:rPr>
        <w:t xml:space="preserve"> in table 4</w:t>
      </w:r>
      <w:r w:rsidRPr="005F41E3">
        <w:rPr>
          <w:rFonts w:ascii="Times New Roman" w:hAnsi="Times New Roman" w:cs="Times New Roman"/>
          <w:sz w:val="24"/>
          <w:szCs w:val="24"/>
        </w:rPr>
        <w:t xml:space="preserve">, </w:t>
      </w:r>
      <w:r w:rsidRPr="005F41E3">
        <w:rPr>
          <w:rStyle w:val="Emphasis"/>
          <w:rFonts w:ascii="Times New Roman" w:hAnsi="Times New Roman" w:cs="Times New Roman"/>
          <w:sz w:val="24"/>
          <w:szCs w:val="24"/>
        </w:rPr>
        <w:t>Vetiatevesia</w:t>
      </w:r>
      <w:r w:rsidRPr="005F41E3">
        <w:rPr>
          <w:rFonts w:ascii="Times New Roman" w:hAnsi="Times New Roman" w:cs="Times New Roman"/>
          <w:sz w:val="24"/>
          <w:szCs w:val="24"/>
        </w:rPr>
        <w:t xml:space="preserve">, </w:t>
      </w:r>
      <w:r w:rsidRPr="005F41E3">
        <w:rPr>
          <w:rStyle w:val="Emphasis"/>
          <w:rFonts w:ascii="Times New Roman" w:hAnsi="Times New Roman" w:cs="Times New Roman"/>
          <w:sz w:val="24"/>
          <w:szCs w:val="24"/>
        </w:rPr>
        <w:t>Vitellaria paradoxa</w:t>
      </w:r>
      <w:r w:rsidRPr="005F41E3">
        <w:rPr>
          <w:rFonts w:ascii="Times New Roman" w:hAnsi="Times New Roman" w:cs="Times New Roman"/>
          <w:sz w:val="24"/>
          <w:szCs w:val="24"/>
        </w:rPr>
        <w:t xml:space="preserve">, </w:t>
      </w:r>
      <w:r w:rsidRPr="005F41E3">
        <w:rPr>
          <w:rStyle w:val="Emphasis"/>
          <w:rFonts w:ascii="Times New Roman" w:hAnsi="Times New Roman" w:cs="Times New Roman"/>
          <w:sz w:val="24"/>
          <w:szCs w:val="24"/>
        </w:rPr>
        <w:t>Mitracarpusvillosus</w:t>
      </w:r>
      <w:r w:rsidRPr="005F41E3">
        <w:rPr>
          <w:rFonts w:ascii="Times New Roman" w:hAnsi="Times New Roman" w:cs="Times New Roman"/>
          <w:sz w:val="24"/>
          <w:szCs w:val="24"/>
        </w:rPr>
        <w:t xml:space="preserve">, </w:t>
      </w:r>
      <w:r w:rsidRPr="005F41E3">
        <w:rPr>
          <w:rStyle w:val="Emphasis"/>
          <w:rFonts w:ascii="Times New Roman" w:hAnsi="Times New Roman" w:cs="Times New Roman"/>
          <w:sz w:val="24"/>
          <w:szCs w:val="24"/>
        </w:rPr>
        <w:t>Parkiabiglobosa</w:t>
      </w:r>
      <w:r w:rsidRPr="005F41E3">
        <w:rPr>
          <w:rFonts w:ascii="Times New Roman" w:hAnsi="Times New Roman" w:cs="Times New Roman"/>
          <w:sz w:val="24"/>
          <w:szCs w:val="24"/>
        </w:rPr>
        <w:t xml:space="preserve">, and </w:t>
      </w:r>
      <w:r w:rsidRPr="005F41E3">
        <w:rPr>
          <w:rStyle w:val="Emphasis"/>
          <w:rFonts w:ascii="Times New Roman" w:hAnsi="Times New Roman" w:cs="Times New Roman"/>
          <w:sz w:val="24"/>
          <w:szCs w:val="24"/>
        </w:rPr>
        <w:t>Stereospernumkunthianum</w:t>
      </w:r>
      <w:r w:rsidRPr="005F41E3">
        <w:rPr>
          <w:rFonts w:ascii="Times New Roman" w:hAnsi="Times New Roman" w:cs="Times New Roman"/>
          <w:sz w:val="24"/>
          <w:szCs w:val="24"/>
        </w:rPr>
        <w:t xml:space="preserve"> all exhibit varying degrees of antifungal activity. For example, the MIC for </w:t>
      </w:r>
      <w:r w:rsidRPr="005F41E3">
        <w:rPr>
          <w:rStyle w:val="Emphasis"/>
          <w:rFonts w:ascii="Times New Roman" w:hAnsi="Times New Roman" w:cs="Times New Roman"/>
          <w:sz w:val="24"/>
          <w:szCs w:val="24"/>
        </w:rPr>
        <w:t>Vetiatevesia</w:t>
      </w:r>
      <w:r w:rsidRPr="005F41E3">
        <w:rPr>
          <w:rFonts w:ascii="Times New Roman" w:hAnsi="Times New Roman" w:cs="Times New Roman"/>
          <w:sz w:val="24"/>
          <w:szCs w:val="24"/>
        </w:rPr>
        <w:t xml:space="preserve">, </w:t>
      </w:r>
      <w:r w:rsidRPr="005F41E3">
        <w:rPr>
          <w:rStyle w:val="Emphasis"/>
          <w:rFonts w:ascii="Times New Roman" w:hAnsi="Times New Roman" w:cs="Times New Roman"/>
          <w:sz w:val="24"/>
          <w:szCs w:val="24"/>
        </w:rPr>
        <w:t>Vitellaria paradoxa</w:t>
      </w:r>
      <w:r w:rsidRPr="005F41E3">
        <w:rPr>
          <w:rFonts w:ascii="Times New Roman" w:hAnsi="Times New Roman" w:cs="Times New Roman"/>
          <w:sz w:val="24"/>
          <w:szCs w:val="24"/>
        </w:rPr>
        <w:t xml:space="preserve">, and </w:t>
      </w:r>
      <w:r w:rsidRPr="005F41E3">
        <w:rPr>
          <w:rStyle w:val="Emphasis"/>
          <w:rFonts w:ascii="Times New Roman" w:hAnsi="Times New Roman" w:cs="Times New Roman"/>
          <w:sz w:val="24"/>
          <w:szCs w:val="24"/>
        </w:rPr>
        <w:t>Mitracarpusvillosus</w:t>
      </w:r>
      <w:r w:rsidRPr="005F41E3">
        <w:rPr>
          <w:rFonts w:ascii="Times New Roman" w:hAnsi="Times New Roman" w:cs="Times New Roman"/>
          <w:sz w:val="24"/>
          <w:szCs w:val="24"/>
        </w:rPr>
        <w:t xml:space="preserve"> is 50 mg/ml, indicating their strong antifungal potential. </w:t>
      </w:r>
      <w:r w:rsidRPr="005F41E3">
        <w:rPr>
          <w:rStyle w:val="Emphasis"/>
          <w:rFonts w:ascii="Times New Roman" w:hAnsi="Times New Roman" w:cs="Times New Roman"/>
          <w:sz w:val="24"/>
          <w:szCs w:val="24"/>
        </w:rPr>
        <w:t>Parkiabiglobosa</w:t>
      </w:r>
      <w:r w:rsidRPr="005F41E3">
        <w:rPr>
          <w:rFonts w:ascii="Times New Roman" w:hAnsi="Times New Roman" w:cs="Times New Roman"/>
          <w:sz w:val="24"/>
          <w:szCs w:val="24"/>
        </w:rPr>
        <w:t xml:space="preserve"> and </w:t>
      </w:r>
      <w:r w:rsidRPr="005F41E3">
        <w:rPr>
          <w:rStyle w:val="Emphasis"/>
          <w:rFonts w:ascii="Times New Roman" w:hAnsi="Times New Roman" w:cs="Times New Roman"/>
          <w:sz w:val="24"/>
          <w:szCs w:val="24"/>
        </w:rPr>
        <w:t>Stereospernumkunthianum</w:t>
      </w:r>
      <w:r w:rsidRPr="005F41E3">
        <w:rPr>
          <w:rFonts w:ascii="Times New Roman" w:hAnsi="Times New Roman" w:cs="Times New Roman"/>
          <w:sz w:val="24"/>
          <w:szCs w:val="24"/>
        </w:rPr>
        <w:t xml:space="preserve"> have an MIC of 100 mg/ml, indicating moderate antifungal activity compared to the other plant extracts and antifungal drugs.</w:t>
      </w:r>
    </w:p>
    <w:p w:rsidR="0058184B" w:rsidRDefault="0058184B" w:rsidP="00D768F6">
      <w:pPr>
        <w:spacing w:line="240" w:lineRule="auto"/>
        <w:rPr>
          <w:rFonts w:ascii="Times New Roman" w:hAnsi="Times New Roman" w:cs="Times New Roman"/>
          <w:b/>
          <w:sz w:val="24"/>
          <w:szCs w:val="24"/>
        </w:rPr>
      </w:pPr>
    </w:p>
    <w:p w:rsidR="0058184B" w:rsidRPr="009E1BDC" w:rsidRDefault="0058184B" w:rsidP="00D768F6">
      <w:pPr>
        <w:spacing w:line="240" w:lineRule="auto"/>
        <w:rPr>
          <w:rFonts w:ascii="Times New Roman" w:hAnsi="Times New Roman" w:cs="Times New Roman"/>
          <w:b/>
          <w:sz w:val="24"/>
          <w:szCs w:val="24"/>
        </w:rPr>
      </w:pPr>
      <w:r w:rsidRPr="009E1BDC">
        <w:rPr>
          <w:rFonts w:ascii="Times New Roman" w:hAnsi="Times New Roman" w:cs="Times New Roman"/>
          <w:b/>
          <w:sz w:val="24"/>
          <w:szCs w:val="24"/>
        </w:rPr>
        <w:t>Table</w:t>
      </w:r>
      <w:r w:rsidR="00CC5BCF">
        <w:rPr>
          <w:rFonts w:ascii="Times New Roman" w:hAnsi="Times New Roman" w:cs="Times New Roman"/>
          <w:b/>
          <w:sz w:val="24"/>
          <w:szCs w:val="24"/>
        </w:rPr>
        <w:t xml:space="preserve"> 4</w:t>
      </w:r>
      <w:r w:rsidRPr="009E1BDC">
        <w:rPr>
          <w:rFonts w:ascii="Times New Roman" w:hAnsi="Times New Roman" w:cs="Times New Roman"/>
          <w:b/>
          <w:sz w:val="24"/>
          <w:szCs w:val="24"/>
        </w:rPr>
        <w:t>: MIC and MFC</w:t>
      </w:r>
      <w:r>
        <w:rPr>
          <w:rFonts w:ascii="Times New Roman" w:hAnsi="Times New Roman" w:cs="Times New Roman"/>
          <w:b/>
          <w:sz w:val="24"/>
          <w:szCs w:val="24"/>
        </w:rPr>
        <w:t xml:space="preserve"> of Antifungal drugs and plant extracts on </w:t>
      </w:r>
      <w:r w:rsidRPr="00B8286F">
        <w:rPr>
          <w:rFonts w:ascii="Times New Roman" w:hAnsi="Times New Roman" w:cs="Times New Roman"/>
          <w:b/>
          <w:i/>
          <w:sz w:val="24"/>
          <w:szCs w:val="24"/>
        </w:rPr>
        <w:t>T. rubrum</w:t>
      </w:r>
      <w:r>
        <w:rPr>
          <w:rFonts w:ascii="Times New Roman" w:hAnsi="Times New Roman" w:cs="Times New Roman"/>
          <w:b/>
          <w:sz w:val="24"/>
          <w:szCs w:val="24"/>
        </w:rPr>
        <w:t xml:space="preserve"> on patients in BSUTH and FMC</w:t>
      </w:r>
    </w:p>
    <w:tbl>
      <w:tblPr>
        <w:tblStyle w:val="TableGrid"/>
        <w:tblW w:w="0" w:type="auto"/>
        <w:tblLook w:val="04A0"/>
      </w:tblPr>
      <w:tblGrid>
        <w:gridCol w:w="3116"/>
        <w:gridCol w:w="3117"/>
        <w:gridCol w:w="3117"/>
      </w:tblGrid>
      <w:tr w:rsidR="0058184B" w:rsidRPr="009E1BDC" w:rsidTr="00634081">
        <w:tc>
          <w:tcPr>
            <w:tcW w:w="3116" w:type="dxa"/>
            <w:tcBorders>
              <w:left w:val="nil"/>
              <w:bottom w:val="single" w:sz="4" w:space="0" w:color="auto"/>
              <w:right w:val="nil"/>
            </w:tcBorders>
          </w:tcPr>
          <w:p w:rsidR="0058184B" w:rsidRPr="009E1BDC" w:rsidRDefault="0058184B" w:rsidP="00D768F6">
            <w:pPr>
              <w:rPr>
                <w:rFonts w:ascii="Times New Roman" w:hAnsi="Times New Roman" w:cs="Times New Roman"/>
                <w:b/>
                <w:sz w:val="24"/>
                <w:szCs w:val="24"/>
              </w:rPr>
            </w:pPr>
            <w:r w:rsidRPr="009E1BDC">
              <w:rPr>
                <w:rFonts w:ascii="Times New Roman" w:hAnsi="Times New Roman" w:cs="Times New Roman"/>
                <w:b/>
                <w:sz w:val="24"/>
                <w:szCs w:val="24"/>
              </w:rPr>
              <w:t>An</w:t>
            </w:r>
            <w:r>
              <w:rPr>
                <w:rFonts w:ascii="Times New Roman" w:hAnsi="Times New Roman" w:cs="Times New Roman"/>
                <w:b/>
                <w:sz w:val="24"/>
                <w:szCs w:val="24"/>
              </w:rPr>
              <w:t>t</w:t>
            </w:r>
            <w:r w:rsidRPr="009E1BDC">
              <w:rPr>
                <w:rFonts w:ascii="Times New Roman" w:hAnsi="Times New Roman" w:cs="Times New Roman"/>
                <w:b/>
                <w:sz w:val="24"/>
                <w:szCs w:val="24"/>
              </w:rPr>
              <w:t>ifungal drugs &amp; plant Extracts</w:t>
            </w:r>
          </w:p>
        </w:tc>
        <w:tc>
          <w:tcPr>
            <w:tcW w:w="3117" w:type="dxa"/>
            <w:tcBorders>
              <w:left w:val="nil"/>
              <w:bottom w:val="single" w:sz="4" w:space="0" w:color="auto"/>
              <w:right w:val="nil"/>
            </w:tcBorders>
          </w:tcPr>
          <w:p w:rsidR="0058184B" w:rsidRPr="009E1BDC" w:rsidRDefault="0058184B" w:rsidP="00D768F6">
            <w:pPr>
              <w:rPr>
                <w:rFonts w:ascii="Times New Roman" w:hAnsi="Times New Roman" w:cs="Times New Roman"/>
                <w:b/>
                <w:sz w:val="24"/>
                <w:szCs w:val="24"/>
              </w:rPr>
            </w:pPr>
            <w:r w:rsidRPr="009E1BDC">
              <w:rPr>
                <w:rFonts w:ascii="Times New Roman" w:hAnsi="Times New Roman" w:cs="Times New Roman"/>
                <w:b/>
                <w:sz w:val="24"/>
                <w:szCs w:val="24"/>
              </w:rPr>
              <w:t>MIC</w:t>
            </w:r>
          </w:p>
        </w:tc>
        <w:tc>
          <w:tcPr>
            <w:tcW w:w="3117" w:type="dxa"/>
            <w:tcBorders>
              <w:left w:val="nil"/>
              <w:bottom w:val="single" w:sz="4" w:space="0" w:color="auto"/>
              <w:right w:val="nil"/>
            </w:tcBorders>
          </w:tcPr>
          <w:p w:rsidR="0058184B" w:rsidRPr="009E1BDC" w:rsidRDefault="0058184B" w:rsidP="00D768F6">
            <w:pPr>
              <w:rPr>
                <w:rFonts w:ascii="Times New Roman" w:hAnsi="Times New Roman" w:cs="Times New Roman"/>
                <w:b/>
                <w:sz w:val="24"/>
                <w:szCs w:val="24"/>
              </w:rPr>
            </w:pPr>
            <w:r w:rsidRPr="009E1BDC">
              <w:rPr>
                <w:rFonts w:ascii="Times New Roman" w:hAnsi="Times New Roman" w:cs="Times New Roman"/>
                <w:b/>
                <w:sz w:val="24"/>
                <w:szCs w:val="24"/>
              </w:rPr>
              <w:t>MFC</w:t>
            </w:r>
          </w:p>
        </w:tc>
      </w:tr>
      <w:tr w:rsidR="0058184B" w:rsidTr="00634081">
        <w:tc>
          <w:tcPr>
            <w:tcW w:w="3116" w:type="dxa"/>
            <w:tcBorders>
              <w:top w:val="single" w:sz="4" w:space="0" w:color="auto"/>
              <w:left w:val="nil"/>
              <w:bottom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Fluconazole</w:t>
            </w:r>
          </w:p>
        </w:tc>
        <w:tc>
          <w:tcPr>
            <w:tcW w:w="3117" w:type="dxa"/>
            <w:tcBorders>
              <w:left w:val="nil"/>
              <w:bottom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25 mg/ml</w:t>
            </w:r>
          </w:p>
        </w:tc>
        <w:tc>
          <w:tcPr>
            <w:tcW w:w="3117" w:type="dxa"/>
            <w:tcBorders>
              <w:left w:val="nil"/>
              <w:bottom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100 mg/ml</w:t>
            </w:r>
          </w:p>
        </w:tc>
      </w:tr>
      <w:tr w:rsidR="0058184B" w:rsidTr="00634081">
        <w:tc>
          <w:tcPr>
            <w:tcW w:w="3116" w:type="dxa"/>
            <w:tcBorders>
              <w:top w:val="nil"/>
              <w:left w:val="nil"/>
              <w:bottom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Ketoconazole</w:t>
            </w:r>
          </w:p>
        </w:tc>
        <w:tc>
          <w:tcPr>
            <w:tcW w:w="3117" w:type="dxa"/>
            <w:tcBorders>
              <w:top w:val="nil"/>
              <w:left w:val="nil"/>
              <w:bottom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50 mg/ml</w:t>
            </w:r>
          </w:p>
        </w:tc>
        <w:tc>
          <w:tcPr>
            <w:tcW w:w="3117" w:type="dxa"/>
            <w:tcBorders>
              <w:top w:val="nil"/>
              <w:left w:val="nil"/>
              <w:bottom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200 mg/ml</w:t>
            </w:r>
          </w:p>
        </w:tc>
      </w:tr>
      <w:tr w:rsidR="0058184B" w:rsidTr="00634081">
        <w:tc>
          <w:tcPr>
            <w:tcW w:w="3116" w:type="dxa"/>
            <w:tcBorders>
              <w:top w:val="nil"/>
              <w:left w:val="nil"/>
              <w:bottom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Griseofulvin</w:t>
            </w:r>
          </w:p>
        </w:tc>
        <w:tc>
          <w:tcPr>
            <w:tcW w:w="3117" w:type="dxa"/>
            <w:tcBorders>
              <w:top w:val="nil"/>
              <w:left w:val="nil"/>
              <w:bottom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100 mg/ml</w:t>
            </w:r>
          </w:p>
        </w:tc>
        <w:tc>
          <w:tcPr>
            <w:tcW w:w="3117" w:type="dxa"/>
            <w:tcBorders>
              <w:top w:val="nil"/>
              <w:left w:val="nil"/>
              <w:bottom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w:t>
            </w:r>
          </w:p>
        </w:tc>
      </w:tr>
      <w:tr w:rsidR="0058184B" w:rsidTr="00634081">
        <w:tc>
          <w:tcPr>
            <w:tcW w:w="3116" w:type="dxa"/>
            <w:tcBorders>
              <w:top w:val="nil"/>
              <w:left w:val="nil"/>
              <w:bottom w:val="nil"/>
              <w:right w:val="nil"/>
            </w:tcBorders>
          </w:tcPr>
          <w:p w:rsidR="0058184B" w:rsidRDefault="0058184B" w:rsidP="00D768F6">
            <w:pPr>
              <w:rPr>
                <w:rFonts w:ascii="Times New Roman" w:hAnsi="Times New Roman" w:cs="Times New Roman"/>
                <w:sz w:val="24"/>
                <w:szCs w:val="24"/>
              </w:rPr>
            </w:pPr>
            <w:r w:rsidRPr="004C5078">
              <w:rPr>
                <w:rFonts w:ascii="Times New Roman" w:hAnsi="Times New Roman" w:cs="Times New Roman"/>
                <w:b/>
                <w:i/>
                <w:sz w:val="24"/>
                <w:szCs w:val="24"/>
              </w:rPr>
              <w:t>Vetiatevesia</w:t>
            </w:r>
          </w:p>
        </w:tc>
        <w:tc>
          <w:tcPr>
            <w:tcW w:w="3117" w:type="dxa"/>
            <w:tcBorders>
              <w:top w:val="nil"/>
              <w:left w:val="nil"/>
              <w:bottom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50 mg/ml</w:t>
            </w:r>
          </w:p>
        </w:tc>
        <w:tc>
          <w:tcPr>
            <w:tcW w:w="3117" w:type="dxa"/>
            <w:tcBorders>
              <w:top w:val="nil"/>
              <w:left w:val="nil"/>
              <w:bottom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w:t>
            </w:r>
          </w:p>
        </w:tc>
      </w:tr>
      <w:tr w:rsidR="0058184B" w:rsidTr="00634081">
        <w:tc>
          <w:tcPr>
            <w:tcW w:w="3116" w:type="dxa"/>
            <w:tcBorders>
              <w:top w:val="nil"/>
              <w:left w:val="nil"/>
              <w:bottom w:val="nil"/>
              <w:right w:val="nil"/>
            </w:tcBorders>
          </w:tcPr>
          <w:p w:rsidR="0058184B" w:rsidRDefault="0058184B" w:rsidP="00D768F6">
            <w:pPr>
              <w:rPr>
                <w:rFonts w:ascii="Times New Roman" w:hAnsi="Times New Roman" w:cs="Times New Roman"/>
                <w:sz w:val="24"/>
                <w:szCs w:val="24"/>
              </w:rPr>
            </w:pPr>
            <w:r w:rsidRPr="00FF5A48">
              <w:rPr>
                <w:rFonts w:ascii="Times New Roman" w:hAnsi="Times New Roman" w:cs="Times New Roman"/>
                <w:b/>
                <w:i/>
                <w:sz w:val="24"/>
                <w:szCs w:val="24"/>
              </w:rPr>
              <w:t>Vitellaria paradoxa</w:t>
            </w:r>
          </w:p>
        </w:tc>
        <w:tc>
          <w:tcPr>
            <w:tcW w:w="3117" w:type="dxa"/>
            <w:tcBorders>
              <w:top w:val="nil"/>
              <w:left w:val="nil"/>
              <w:bottom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50 mg/ml</w:t>
            </w:r>
          </w:p>
        </w:tc>
        <w:tc>
          <w:tcPr>
            <w:tcW w:w="3117" w:type="dxa"/>
            <w:tcBorders>
              <w:top w:val="nil"/>
              <w:left w:val="nil"/>
              <w:bottom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w:t>
            </w:r>
          </w:p>
        </w:tc>
      </w:tr>
      <w:tr w:rsidR="0058184B" w:rsidTr="00634081">
        <w:tc>
          <w:tcPr>
            <w:tcW w:w="3116" w:type="dxa"/>
            <w:tcBorders>
              <w:top w:val="nil"/>
              <w:left w:val="nil"/>
              <w:bottom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b/>
                <w:i/>
                <w:sz w:val="24"/>
                <w:szCs w:val="24"/>
              </w:rPr>
              <w:t>Parkiabiglobosa</w:t>
            </w:r>
          </w:p>
        </w:tc>
        <w:tc>
          <w:tcPr>
            <w:tcW w:w="3117" w:type="dxa"/>
            <w:tcBorders>
              <w:top w:val="nil"/>
              <w:left w:val="nil"/>
              <w:bottom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100 mg/ml</w:t>
            </w:r>
          </w:p>
        </w:tc>
        <w:tc>
          <w:tcPr>
            <w:tcW w:w="3117" w:type="dxa"/>
            <w:tcBorders>
              <w:top w:val="nil"/>
              <w:left w:val="nil"/>
              <w:bottom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w:t>
            </w:r>
          </w:p>
        </w:tc>
      </w:tr>
      <w:tr w:rsidR="0058184B" w:rsidTr="00634081">
        <w:tc>
          <w:tcPr>
            <w:tcW w:w="3116" w:type="dxa"/>
            <w:tcBorders>
              <w:top w:val="nil"/>
              <w:left w:val="nil"/>
              <w:bottom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b/>
                <w:i/>
                <w:sz w:val="24"/>
                <w:szCs w:val="24"/>
              </w:rPr>
              <w:t>Stereospernumkunthianum</w:t>
            </w:r>
          </w:p>
        </w:tc>
        <w:tc>
          <w:tcPr>
            <w:tcW w:w="3117" w:type="dxa"/>
            <w:tcBorders>
              <w:top w:val="nil"/>
              <w:left w:val="nil"/>
              <w:bottom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100 mg/ml</w:t>
            </w:r>
          </w:p>
        </w:tc>
        <w:tc>
          <w:tcPr>
            <w:tcW w:w="3117" w:type="dxa"/>
            <w:tcBorders>
              <w:top w:val="nil"/>
              <w:left w:val="nil"/>
              <w:bottom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w:t>
            </w:r>
          </w:p>
        </w:tc>
      </w:tr>
      <w:tr w:rsidR="0058184B" w:rsidTr="00634081">
        <w:tc>
          <w:tcPr>
            <w:tcW w:w="3116" w:type="dxa"/>
            <w:tcBorders>
              <w:top w:val="nil"/>
              <w:left w:val="nil"/>
              <w:right w:val="nil"/>
            </w:tcBorders>
          </w:tcPr>
          <w:p w:rsidR="0058184B" w:rsidRDefault="0058184B" w:rsidP="00D768F6">
            <w:pPr>
              <w:rPr>
                <w:rFonts w:ascii="Times New Roman" w:hAnsi="Times New Roman" w:cs="Times New Roman"/>
                <w:b/>
                <w:i/>
                <w:sz w:val="24"/>
                <w:szCs w:val="24"/>
              </w:rPr>
            </w:pPr>
            <w:r>
              <w:rPr>
                <w:rFonts w:ascii="Times New Roman" w:hAnsi="Times New Roman" w:cs="Times New Roman"/>
                <w:b/>
                <w:i/>
                <w:sz w:val="24"/>
                <w:szCs w:val="24"/>
              </w:rPr>
              <w:t>Mitracarpusvillosus</w:t>
            </w:r>
          </w:p>
        </w:tc>
        <w:tc>
          <w:tcPr>
            <w:tcW w:w="3117" w:type="dxa"/>
            <w:tcBorders>
              <w:top w:val="nil"/>
              <w:left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50 mg/ml</w:t>
            </w:r>
          </w:p>
        </w:tc>
        <w:tc>
          <w:tcPr>
            <w:tcW w:w="3117" w:type="dxa"/>
            <w:tcBorders>
              <w:top w:val="nil"/>
              <w:left w:val="nil"/>
              <w:right w:val="nil"/>
            </w:tcBorders>
          </w:tcPr>
          <w:p w:rsidR="0058184B" w:rsidRDefault="0058184B" w:rsidP="00D768F6">
            <w:pPr>
              <w:rPr>
                <w:rFonts w:ascii="Times New Roman" w:hAnsi="Times New Roman" w:cs="Times New Roman"/>
                <w:sz w:val="24"/>
                <w:szCs w:val="24"/>
              </w:rPr>
            </w:pPr>
            <w:r>
              <w:rPr>
                <w:rFonts w:ascii="Times New Roman" w:hAnsi="Times New Roman" w:cs="Times New Roman"/>
                <w:sz w:val="24"/>
                <w:szCs w:val="24"/>
              </w:rPr>
              <w:t>-</w:t>
            </w:r>
          </w:p>
        </w:tc>
      </w:tr>
    </w:tbl>
    <w:p w:rsidR="0058184B" w:rsidRDefault="0058184B" w:rsidP="00D768F6">
      <w:pPr>
        <w:spacing w:line="240" w:lineRule="auto"/>
        <w:rPr>
          <w:rFonts w:ascii="Times New Roman" w:hAnsi="Times New Roman" w:cs="Times New Roman"/>
          <w:sz w:val="24"/>
          <w:szCs w:val="24"/>
        </w:rPr>
      </w:pPr>
    </w:p>
    <w:p w:rsidR="0058184B" w:rsidRDefault="007E5DE1" w:rsidP="00D768F6">
      <w:pPr>
        <w:spacing w:line="240" w:lineRule="auto"/>
        <w:rPr>
          <w:rFonts w:ascii="Times New Roman" w:hAnsi="Times New Roman" w:cs="Times New Roman"/>
          <w:b/>
          <w:sz w:val="24"/>
          <w:szCs w:val="24"/>
        </w:rPr>
      </w:pPr>
      <w:r>
        <w:rPr>
          <w:rStyle w:val="CommentReference"/>
        </w:rPr>
        <w:commentReference w:id="12"/>
      </w:r>
    </w:p>
    <w:p w:rsidR="00D768F6" w:rsidRPr="004807F6" w:rsidRDefault="00D768F6" w:rsidP="00D768F6">
      <w:pPr>
        <w:spacing w:before="100" w:beforeAutospacing="1" w:after="100" w:afterAutospacing="1" w:line="240" w:lineRule="auto"/>
        <w:jc w:val="both"/>
        <w:rPr>
          <w:rFonts w:ascii="Times New Roman" w:eastAsia="Times New Roman" w:hAnsi="Times New Roman" w:cs="Times New Roman"/>
          <w:sz w:val="24"/>
          <w:szCs w:val="24"/>
        </w:rPr>
      </w:pPr>
      <w:r w:rsidRPr="004807F6">
        <w:rPr>
          <w:rFonts w:ascii="Times New Roman" w:eastAsia="Times New Roman" w:hAnsi="Times New Roman" w:cs="Times New Roman"/>
          <w:sz w:val="24"/>
          <w:szCs w:val="24"/>
        </w:rPr>
        <w:t>The phytochemical</w:t>
      </w:r>
      <w:r w:rsidR="00CF0BA3">
        <w:rPr>
          <w:rFonts w:ascii="Times New Roman" w:eastAsia="Times New Roman" w:hAnsi="Times New Roman" w:cs="Times New Roman"/>
          <w:sz w:val="24"/>
          <w:szCs w:val="24"/>
        </w:rPr>
        <w:t xml:space="preserve"> in table 1</w:t>
      </w:r>
      <w:r w:rsidRPr="004807F6">
        <w:rPr>
          <w:rFonts w:ascii="Times New Roman" w:eastAsia="Times New Roman" w:hAnsi="Times New Roman" w:cs="Times New Roman"/>
          <w:sz w:val="24"/>
          <w:szCs w:val="24"/>
        </w:rPr>
        <w:t xml:space="preserve"> analysis of </w:t>
      </w:r>
      <w:r w:rsidRPr="004807F6">
        <w:rPr>
          <w:rFonts w:ascii="Times New Roman" w:eastAsia="Times New Roman" w:hAnsi="Times New Roman" w:cs="Times New Roman"/>
          <w:i/>
          <w:iCs/>
          <w:sz w:val="24"/>
          <w:szCs w:val="24"/>
        </w:rPr>
        <w:t>Vetiveriazizanioides</w:t>
      </w:r>
      <w:r w:rsidRPr="004807F6">
        <w:rPr>
          <w:rFonts w:ascii="Times New Roman" w:eastAsia="Times New Roman" w:hAnsi="Times New Roman" w:cs="Times New Roman"/>
          <w:sz w:val="24"/>
          <w:szCs w:val="24"/>
        </w:rPr>
        <w:t xml:space="preserve"> (Mule kyegh) identified several bioactive compounds, such as alkaloids, saponins, tannins, phenols, and flavonoids, which are known for thei</w:t>
      </w:r>
      <w:r>
        <w:rPr>
          <w:rFonts w:ascii="Times New Roman" w:eastAsia="Times New Roman" w:hAnsi="Times New Roman" w:cs="Times New Roman"/>
          <w:sz w:val="24"/>
          <w:szCs w:val="24"/>
        </w:rPr>
        <w:t>r antifungal properties</w:t>
      </w:r>
      <w:r w:rsidRPr="004807F6">
        <w:rPr>
          <w:rFonts w:ascii="Times New Roman" w:eastAsia="Times New Roman" w:hAnsi="Times New Roman" w:cs="Times New Roman"/>
          <w:sz w:val="24"/>
          <w:szCs w:val="24"/>
        </w:rPr>
        <w:t xml:space="preserve">. These results are consistent with earlier research demonstrating the therapeutic potential of medicinal plants containing these phytochemicals (Okeke </w:t>
      </w:r>
      <w:r w:rsidRPr="00407B91">
        <w:rPr>
          <w:rFonts w:ascii="Times New Roman" w:eastAsia="Times New Roman" w:hAnsi="Times New Roman" w:cs="Times New Roman"/>
          <w:i/>
          <w:sz w:val="24"/>
          <w:szCs w:val="24"/>
        </w:rPr>
        <w:t>et al.,</w:t>
      </w:r>
      <w:r w:rsidRPr="004807F6">
        <w:rPr>
          <w:rFonts w:ascii="Times New Roman" w:eastAsia="Times New Roman" w:hAnsi="Times New Roman" w:cs="Times New Roman"/>
          <w:sz w:val="24"/>
          <w:szCs w:val="24"/>
        </w:rPr>
        <w:t xml:space="preserve"> 2023</w:t>
      </w:r>
      <w:r>
        <w:rPr>
          <w:rFonts w:ascii="Times New Roman" w:eastAsia="Times New Roman" w:hAnsi="Times New Roman" w:cs="Times New Roman"/>
          <w:sz w:val="24"/>
          <w:szCs w:val="24"/>
        </w:rPr>
        <w:t xml:space="preserve">). </w:t>
      </w:r>
      <w:r w:rsidRPr="004807F6">
        <w:rPr>
          <w:rFonts w:ascii="Times New Roman" w:eastAsia="Times New Roman" w:hAnsi="Times New Roman" w:cs="Times New Roman"/>
          <w:sz w:val="24"/>
          <w:szCs w:val="24"/>
        </w:rPr>
        <w:t xml:space="preserve">For example, alkaloids have been shown to disrupt fungal cell membranes and inhibit spore formation, making them effective against dermatophytes like </w:t>
      </w:r>
      <w:r w:rsidRPr="004807F6">
        <w:rPr>
          <w:rFonts w:ascii="Times New Roman" w:eastAsia="Times New Roman" w:hAnsi="Times New Roman" w:cs="Times New Roman"/>
          <w:i/>
          <w:iCs/>
          <w:sz w:val="24"/>
          <w:szCs w:val="24"/>
        </w:rPr>
        <w:t>Trichophyton rubrum</w:t>
      </w:r>
      <w:r w:rsidRPr="004807F6">
        <w:rPr>
          <w:rFonts w:ascii="Times New Roman" w:eastAsia="Times New Roman" w:hAnsi="Times New Roman" w:cs="Times New Roman"/>
          <w:sz w:val="24"/>
          <w:szCs w:val="24"/>
        </w:rPr>
        <w:t xml:space="preserve"> (Gupta </w:t>
      </w:r>
      <w:r w:rsidRPr="00407B91">
        <w:rPr>
          <w:rFonts w:ascii="Times New Roman" w:eastAsia="Times New Roman" w:hAnsi="Times New Roman" w:cs="Times New Roman"/>
          <w:i/>
          <w:sz w:val="24"/>
          <w:szCs w:val="24"/>
        </w:rPr>
        <w:t>et al.,</w:t>
      </w:r>
      <w:r w:rsidRPr="004807F6">
        <w:rPr>
          <w:rFonts w:ascii="Times New Roman" w:eastAsia="Times New Roman" w:hAnsi="Times New Roman" w:cs="Times New Roman"/>
          <w:sz w:val="24"/>
          <w:szCs w:val="24"/>
        </w:rPr>
        <w:t xml:space="preserve"> 2021). Saponins, on the other hand, destabilize fungal cell walls, while tannins and phenols interfere with fungal enzymes and protein synthesis (Al-Snafi, 2021). Flavonoids, known for their antioxidant and antifungal properties, further enhance the plant's potential as a natural antifungal agent (Eze </w:t>
      </w:r>
      <w:r w:rsidRPr="00407B91">
        <w:rPr>
          <w:rFonts w:ascii="Times New Roman" w:eastAsia="Times New Roman" w:hAnsi="Times New Roman" w:cs="Times New Roman"/>
          <w:i/>
          <w:sz w:val="24"/>
          <w:szCs w:val="24"/>
        </w:rPr>
        <w:t>et al.,</w:t>
      </w:r>
      <w:r w:rsidRPr="004807F6">
        <w:rPr>
          <w:rFonts w:ascii="Times New Roman" w:eastAsia="Times New Roman" w:hAnsi="Times New Roman" w:cs="Times New Roman"/>
          <w:sz w:val="24"/>
          <w:szCs w:val="24"/>
        </w:rPr>
        <w:t xml:space="preserve"> 2022). However, the absence of glycosides, terpenoids, and steroids suggests that these compounds may not play a significant role in the plant's antifungal activity.The bioactive compounds identified in this plant align with existing evidence supporting the use of phytochemical-rich plants in treating fungal infections (Zhan </w:t>
      </w:r>
      <w:r w:rsidRPr="00407B91">
        <w:rPr>
          <w:rFonts w:ascii="Times New Roman" w:eastAsia="Times New Roman" w:hAnsi="Times New Roman" w:cs="Times New Roman"/>
          <w:i/>
          <w:sz w:val="24"/>
          <w:szCs w:val="24"/>
        </w:rPr>
        <w:t>et al</w:t>
      </w:r>
      <w:r w:rsidRPr="004807F6">
        <w:rPr>
          <w:rFonts w:ascii="Times New Roman" w:eastAsia="Times New Roman" w:hAnsi="Times New Roman" w:cs="Times New Roman"/>
          <w:sz w:val="24"/>
          <w:szCs w:val="24"/>
        </w:rPr>
        <w:t xml:space="preserve">., 2020).The findings of this study have important implications for public health in Benue </w:t>
      </w:r>
      <w:r w:rsidRPr="004807F6">
        <w:rPr>
          <w:rFonts w:ascii="Times New Roman" w:eastAsia="Times New Roman" w:hAnsi="Times New Roman" w:cs="Times New Roman"/>
          <w:sz w:val="24"/>
          <w:szCs w:val="24"/>
        </w:rPr>
        <w:lastRenderedPageBreak/>
        <w:t xml:space="preserve">State. The antifungal properties of </w:t>
      </w:r>
      <w:r w:rsidRPr="004807F6">
        <w:rPr>
          <w:rFonts w:ascii="Times New Roman" w:eastAsia="Times New Roman" w:hAnsi="Times New Roman" w:cs="Times New Roman"/>
          <w:i/>
          <w:iCs/>
          <w:sz w:val="24"/>
          <w:szCs w:val="24"/>
        </w:rPr>
        <w:t>Vetiveriazizanioides</w:t>
      </w:r>
      <w:r w:rsidRPr="004807F6">
        <w:rPr>
          <w:rFonts w:ascii="Times New Roman" w:eastAsia="Times New Roman" w:hAnsi="Times New Roman" w:cs="Times New Roman"/>
          <w:sz w:val="24"/>
          <w:szCs w:val="24"/>
        </w:rPr>
        <w:t xml:space="preserve"> could offer a cost-effective and accessible treatment option for patients with </w:t>
      </w:r>
      <w:r w:rsidRPr="004807F6">
        <w:rPr>
          <w:rFonts w:ascii="Times New Roman" w:eastAsia="Times New Roman" w:hAnsi="Times New Roman" w:cs="Times New Roman"/>
          <w:i/>
          <w:iCs/>
          <w:sz w:val="24"/>
          <w:szCs w:val="24"/>
        </w:rPr>
        <w:t>T. rubrum</w:t>
      </w:r>
      <w:r w:rsidRPr="004807F6">
        <w:rPr>
          <w:rFonts w:ascii="Times New Roman" w:eastAsia="Times New Roman" w:hAnsi="Times New Roman" w:cs="Times New Roman"/>
          <w:sz w:val="24"/>
          <w:szCs w:val="24"/>
        </w:rPr>
        <w:t xml:space="preserve"> infections.</w:t>
      </w:r>
    </w:p>
    <w:p w:rsidR="00D768F6" w:rsidRPr="004807F6" w:rsidRDefault="00D768F6" w:rsidP="00D768F6">
      <w:pPr>
        <w:spacing w:before="100" w:beforeAutospacing="1" w:after="100" w:afterAutospacing="1" w:line="240" w:lineRule="auto"/>
        <w:jc w:val="both"/>
        <w:rPr>
          <w:rFonts w:ascii="Times New Roman" w:eastAsia="Times New Roman" w:hAnsi="Times New Roman" w:cs="Times New Roman"/>
          <w:sz w:val="24"/>
          <w:szCs w:val="24"/>
        </w:rPr>
      </w:pPr>
      <w:r w:rsidRPr="004807F6">
        <w:rPr>
          <w:rFonts w:ascii="Times New Roman" w:eastAsia="Times New Roman" w:hAnsi="Times New Roman" w:cs="Times New Roman"/>
          <w:sz w:val="24"/>
          <w:szCs w:val="24"/>
        </w:rPr>
        <w:t xml:space="preserve">The phytochemical analysis of </w:t>
      </w:r>
      <w:r w:rsidRPr="004807F6">
        <w:rPr>
          <w:rFonts w:ascii="Times New Roman" w:eastAsia="Times New Roman" w:hAnsi="Times New Roman" w:cs="Times New Roman"/>
          <w:i/>
          <w:iCs/>
          <w:sz w:val="24"/>
          <w:szCs w:val="24"/>
        </w:rPr>
        <w:t>Vitellaria paradoxa</w:t>
      </w:r>
      <w:r w:rsidRPr="004807F6">
        <w:rPr>
          <w:rFonts w:ascii="Times New Roman" w:eastAsia="Times New Roman" w:hAnsi="Times New Roman" w:cs="Times New Roman"/>
          <w:sz w:val="24"/>
          <w:szCs w:val="24"/>
        </w:rPr>
        <w:t xml:space="preserve"> (Chamegh) identified several bioactive compounds, including alkaloids, saponins, terpenoids, and steroids, which are known for thei</w:t>
      </w:r>
      <w:r>
        <w:rPr>
          <w:rFonts w:ascii="Times New Roman" w:eastAsia="Times New Roman" w:hAnsi="Times New Roman" w:cs="Times New Roman"/>
          <w:sz w:val="24"/>
          <w:szCs w:val="24"/>
        </w:rPr>
        <w:t>r antifungal properties</w:t>
      </w:r>
      <w:r w:rsidRPr="004807F6">
        <w:rPr>
          <w:rFonts w:ascii="Times New Roman" w:eastAsia="Times New Roman" w:hAnsi="Times New Roman" w:cs="Times New Roman"/>
          <w:sz w:val="24"/>
          <w:szCs w:val="24"/>
        </w:rPr>
        <w:t xml:space="preserve">.terpenoids and steroids interfere with fungal growth and reproduction (Al-Snafi, 2021). However, the absence of glycosides, tannins, phenols, and flavonoids suggests that these compounds may not play a significant role in the plant's antifungal activity.The antifungal potential of </w:t>
      </w:r>
      <w:r w:rsidRPr="004807F6">
        <w:rPr>
          <w:rFonts w:ascii="Times New Roman" w:eastAsia="Times New Roman" w:hAnsi="Times New Roman" w:cs="Times New Roman"/>
          <w:i/>
          <w:iCs/>
          <w:sz w:val="24"/>
          <w:szCs w:val="24"/>
        </w:rPr>
        <w:t>Vitellaria paradoxa</w:t>
      </w:r>
      <w:r w:rsidRPr="004807F6">
        <w:rPr>
          <w:rFonts w:ascii="Times New Roman" w:eastAsia="Times New Roman" w:hAnsi="Times New Roman" w:cs="Times New Roman"/>
          <w:sz w:val="24"/>
          <w:szCs w:val="24"/>
        </w:rPr>
        <w:t xml:space="preserve"> against </w:t>
      </w:r>
      <w:r w:rsidRPr="004807F6">
        <w:rPr>
          <w:rFonts w:ascii="Times New Roman" w:eastAsia="Times New Roman" w:hAnsi="Times New Roman" w:cs="Times New Roman"/>
          <w:i/>
          <w:iCs/>
          <w:sz w:val="24"/>
          <w:szCs w:val="24"/>
        </w:rPr>
        <w:t>T. rubrum</w:t>
      </w:r>
      <w:r w:rsidRPr="004807F6">
        <w:rPr>
          <w:rFonts w:ascii="Times New Roman" w:eastAsia="Times New Roman" w:hAnsi="Times New Roman" w:cs="Times New Roman"/>
          <w:sz w:val="24"/>
          <w:szCs w:val="24"/>
        </w:rPr>
        <w:t xml:space="preserve"> underscores the value of exploring medicinal plants as alternative therapies, particularly in regions like Benue State, where access to conventional antifungal drugs is often limited (Ameen </w:t>
      </w:r>
      <w:r w:rsidRPr="00407B91">
        <w:rPr>
          <w:rFonts w:ascii="Times New Roman" w:eastAsia="Times New Roman" w:hAnsi="Times New Roman" w:cs="Times New Roman"/>
          <w:i/>
          <w:sz w:val="24"/>
          <w:szCs w:val="24"/>
        </w:rPr>
        <w:t>et al</w:t>
      </w:r>
      <w:r w:rsidRPr="004807F6">
        <w:rPr>
          <w:rFonts w:ascii="Times New Roman" w:eastAsia="Times New Roman" w:hAnsi="Times New Roman" w:cs="Times New Roman"/>
          <w:sz w:val="24"/>
          <w:szCs w:val="24"/>
        </w:rPr>
        <w:t xml:space="preserve">., 2020). The bioactive compounds identified in this plant align with existing evidence supporting the use of phytochemical-rich plants in treating fungal infections (Zhan </w:t>
      </w:r>
      <w:r w:rsidRPr="00407B91">
        <w:rPr>
          <w:rFonts w:ascii="Times New Roman" w:eastAsia="Times New Roman" w:hAnsi="Times New Roman" w:cs="Times New Roman"/>
          <w:i/>
          <w:sz w:val="24"/>
          <w:szCs w:val="24"/>
        </w:rPr>
        <w:t>et al</w:t>
      </w:r>
      <w:r w:rsidRPr="004807F6">
        <w:rPr>
          <w:rFonts w:ascii="Times New Roman" w:eastAsia="Times New Roman" w:hAnsi="Times New Roman" w:cs="Times New Roman"/>
          <w:sz w:val="24"/>
          <w:szCs w:val="24"/>
        </w:rPr>
        <w:t xml:space="preserve">., 2020).The findings of this study have important implications for public health in Benue State. The antifungal properties of </w:t>
      </w:r>
      <w:r w:rsidRPr="004807F6">
        <w:rPr>
          <w:rFonts w:ascii="Times New Roman" w:eastAsia="Times New Roman" w:hAnsi="Times New Roman" w:cs="Times New Roman"/>
          <w:i/>
          <w:iCs/>
          <w:sz w:val="24"/>
          <w:szCs w:val="24"/>
        </w:rPr>
        <w:t>Vitellaria paradoxa</w:t>
      </w:r>
      <w:r w:rsidRPr="004807F6">
        <w:rPr>
          <w:rFonts w:ascii="Times New Roman" w:eastAsia="Times New Roman" w:hAnsi="Times New Roman" w:cs="Times New Roman"/>
          <w:sz w:val="24"/>
          <w:szCs w:val="24"/>
        </w:rPr>
        <w:t xml:space="preserve"> could offer a cost-effective and accessible treatment option for patients with </w:t>
      </w:r>
      <w:r w:rsidRPr="004807F6">
        <w:rPr>
          <w:rFonts w:ascii="Times New Roman" w:eastAsia="Times New Roman" w:hAnsi="Times New Roman" w:cs="Times New Roman"/>
          <w:i/>
          <w:iCs/>
          <w:sz w:val="24"/>
          <w:szCs w:val="24"/>
        </w:rPr>
        <w:t>T. rubrum</w:t>
      </w:r>
      <w:r w:rsidRPr="004807F6">
        <w:rPr>
          <w:rFonts w:ascii="Times New Roman" w:eastAsia="Times New Roman" w:hAnsi="Times New Roman" w:cs="Times New Roman"/>
          <w:sz w:val="24"/>
          <w:szCs w:val="24"/>
        </w:rPr>
        <w:t xml:space="preserve"> infections.</w:t>
      </w:r>
    </w:p>
    <w:p w:rsidR="00D768F6" w:rsidRPr="004807F6" w:rsidRDefault="00D768F6" w:rsidP="00D768F6">
      <w:pPr>
        <w:spacing w:before="100" w:beforeAutospacing="1" w:after="100" w:afterAutospacing="1" w:line="240" w:lineRule="auto"/>
        <w:jc w:val="both"/>
        <w:rPr>
          <w:rFonts w:ascii="Times New Roman" w:eastAsia="Times New Roman" w:hAnsi="Times New Roman" w:cs="Times New Roman"/>
          <w:sz w:val="24"/>
          <w:szCs w:val="24"/>
        </w:rPr>
      </w:pPr>
      <w:r w:rsidRPr="004807F6">
        <w:rPr>
          <w:rFonts w:ascii="Times New Roman" w:eastAsia="Times New Roman" w:hAnsi="Times New Roman" w:cs="Times New Roman"/>
          <w:sz w:val="24"/>
          <w:szCs w:val="24"/>
        </w:rPr>
        <w:t xml:space="preserve">The phytochemical analysis of </w:t>
      </w:r>
      <w:r w:rsidRPr="004807F6">
        <w:rPr>
          <w:rFonts w:ascii="Times New Roman" w:eastAsia="Times New Roman" w:hAnsi="Times New Roman" w:cs="Times New Roman"/>
          <w:i/>
          <w:iCs/>
          <w:sz w:val="24"/>
          <w:szCs w:val="24"/>
        </w:rPr>
        <w:t>Parkiabiglobosa</w:t>
      </w:r>
      <w:r w:rsidRPr="004807F6">
        <w:rPr>
          <w:rFonts w:ascii="Times New Roman" w:eastAsia="Times New Roman" w:hAnsi="Times New Roman" w:cs="Times New Roman"/>
          <w:sz w:val="24"/>
          <w:szCs w:val="24"/>
        </w:rPr>
        <w:t xml:space="preserve"> (Nune) identified a wide range of bioactive compounds, including alkaloids, glycosides, saponins, terpenoids, tannins, phenols, f</w:t>
      </w:r>
      <w:r>
        <w:rPr>
          <w:rFonts w:ascii="Times New Roman" w:eastAsia="Times New Roman" w:hAnsi="Times New Roman" w:cs="Times New Roman"/>
          <w:sz w:val="24"/>
          <w:szCs w:val="24"/>
        </w:rPr>
        <w:t>lavonoids, and steroids</w:t>
      </w:r>
      <w:r w:rsidRPr="004807F6">
        <w:rPr>
          <w:rFonts w:ascii="Times New Roman" w:eastAsia="Times New Roman" w:hAnsi="Times New Roman" w:cs="Times New Roman"/>
          <w:sz w:val="24"/>
          <w:szCs w:val="24"/>
        </w:rPr>
        <w:t xml:space="preserve">.The presence of these diverse bioactive compounds in </w:t>
      </w:r>
      <w:r w:rsidRPr="004807F6">
        <w:rPr>
          <w:rFonts w:ascii="Times New Roman" w:eastAsia="Times New Roman" w:hAnsi="Times New Roman" w:cs="Times New Roman"/>
          <w:i/>
          <w:iCs/>
          <w:sz w:val="24"/>
          <w:szCs w:val="24"/>
        </w:rPr>
        <w:t>Parkiabiglobosa</w:t>
      </w:r>
      <w:r w:rsidRPr="004807F6">
        <w:rPr>
          <w:rFonts w:ascii="Times New Roman" w:eastAsia="Times New Roman" w:hAnsi="Times New Roman" w:cs="Times New Roman"/>
          <w:sz w:val="24"/>
          <w:szCs w:val="24"/>
        </w:rPr>
        <w:t xml:space="preserve"> underscores its potential as a potent natural antifungal agent</w:t>
      </w:r>
      <w:r>
        <w:rPr>
          <w:rFonts w:ascii="Times New Roman" w:eastAsia="Times New Roman" w:hAnsi="Times New Roman" w:cs="Times New Roman"/>
          <w:sz w:val="24"/>
          <w:szCs w:val="24"/>
        </w:rPr>
        <w:t xml:space="preserve">. </w:t>
      </w:r>
      <w:r w:rsidRPr="004807F6">
        <w:rPr>
          <w:rFonts w:ascii="Times New Roman" w:eastAsia="Times New Roman" w:hAnsi="Times New Roman" w:cs="Times New Roman"/>
          <w:sz w:val="24"/>
          <w:szCs w:val="24"/>
        </w:rPr>
        <w:t xml:space="preserve">The antifungal potential of </w:t>
      </w:r>
      <w:r w:rsidRPr="004807F6">
        <w:rPr>
          <w:rFonts w:ascii="Times New Roman" w:eastAsia="Times New Roman" w:hAnsi="Times New Roman" w:cs="Times New Roman"/>
          <w:i/>
          <w:iCs/>
          <w:sz w:val="24"/>
          <w:szCs w:val="24"/>
        </w:rPr>
        <w:t>Parkiabiglobosa</w:t>
      </w:r>
      <w:r w:rsidRPr="004807F6">
        <w:rPr>
          <w:rFonts w:ascii="Times New Roman" w:eastAsia="Times New Roman" w:hAnsi="Times New Roman" w:cs="Times New Roman"/>
          <w:sz w:val="24"/>
          <w:szCs w:val="24"/>
        </w:rPr>
        <w:t xml:space="preserve"> against </w:t>
      </w:r>
      <w:r w:rsidRPr="004807F6">
        <w:rPr>
          <w:rFonts w:ascii="Times New Roman" w:eastAsia="Times New Roman" w:hAnsi="Times New Roman" w:cs="Times New Roman"/>
          <w:i/>
          <w:iCs/>
          <w:sz w:val="24"/>
          <w:szCs w:val="24"/>
        </w:rPr>
        <w:t>T. rubrum</w:t>
      </w:r>
      <w:r w:rsidRPr="004807F6">
        <w:rPr>
          <w:rFonts w:ascii="Times New Roman" w:eastAsia="Times New Roman" w:hAnsi="Times New Roman" w:cs="Times New Roman"/>
          <w:sz w:val="24"/>
          <w:szCs w:val="24"/>
        </w:rPr>
        <w:t xml:space="preserve"> underscores the value of exploring medicinal plants as alternative therapies, particularly in regions like Benue State, where access to conventional antifungal drugs is often limited (Ameen </w:t>
      </w:r>
      <w:r w:rsidRPr="00407B91">
        <w:rPr>
          <w:rFonts w:ascii="Times New Roman" w:eastAsia="Times New Roman" w:hAnsi="Times New Roman" w:cs="Times New Roman"/>
          <w:i/>
          <w:sz w:val="24"/>
          <w:szCs w:val="24"/>
        </w:rPr>
        <w:t>et al</w:t>
      </w:r>
      <w:r w:rsidRPr="004807F6">
        <w:rPr>
          <w:rFonts w:ascii="Times New Roman" w:eastAsia="Times New Roman" w:hAnsi="Times New Roman" w:cs="Times New Roman"/>
          <w:sz w:val="24"/>
          <w:szCs w:val="24"/>
        </w:rPr>
        <w:t xml:space="preserve">., 2020). The bioactive compounds identified in this plant align with existing evidence supporting the use of phytochemical-rich plants in treating fungal infections (Zhan </w:t>
      </w:r>
      <w:r w:rsidRPr="00407B91">
        <w:rPr>
          <w:rFonts w:ascii="Times New Roman" w:eastAsia="Times New Roman" w:hAnsi="Times New Roman" w:cs="Times New Roman"/>
          <w:i/>
          <w:sz w:val="24"/>
          <w:szCs w:val="24"/>
        </w:rPr>
        <w:t>et al</w:t>
      </w:r>
      <w:r w:rsidRPr="004807F6">
        <w:rPr>
          <w:rFonts w:ascii="Times New Roman" w:eastAsia="Times New Roman" w:hAnsi="Times New Roman" w:cs="Times New Roman"/>
          <w:sz w:val="24"/>
          <w:szCs w:val="24"/>
        </w:rPr>
        <w:t xml:space="preserve">., 2020).The antifungal properties of </w:t>
      </w:r>
      <w:r w:rsidRPr="004807F6">
        <w:rPr>
          <w:rFonts w:ascii="Times New Roman" w:eastAsia="Times New Roman" w:hAnsi="Times New Roman" w:cs="Times New Roman"/>
          <w:i/>
          <w:iCs/>
          <w:sz w:val="24"/>
          <w:szCs w:val="24"/>
        </w:rPr>
        <w:t>Parkiabiglobosa</w:t>
      </w:r>
      <w:r w:rsidRPr="004807F6">
        <w:rPr>
          <w:rFonts w:ascii="Times New Roman" w:eastAsia="Times New Roman" w:hAnsi="Times New Roman" w:cs="Times New Roman"/>
          <w:sz w:val="24"/>
          <w:szCs w:val="24"/>
        </w:rPr>
        <w:t xml:space="preserve"> could offer a cost-effective and accessible treatment option for patients with </w:t>
      </w:r>
      <w:r w:rsidRPr="004807F6">
        <w:rPr>
          <w:rFonts w:ascii="Times New Roman" w:eastAsia="Times New Roman" w:hAnsi="Times New Roman" w:cs="Times New Roman"/>
          <w:i/>
          <w:iCs/>
          <w:sz w:val="24"/>
          <w:szCs w:val="24"/>
        </w:rPr>
        <w:t>T. rubrum</w:t>
      </w:r>
      <w:r w:rsidRPr="004807F6">
        <w:rPr>
          <w:rFonts w:ascii="Times New Roman" w:eastAsia="Times New Roman" w:hAnsi="Times New Roman" w:cs="Times New Roman"/>
          <w:sz w:val="24"/>
          <w:szCs w:val="24"/>
        </w:rPr>
        <w:t xml:space="preserve"> infections.</w:t>
      </w:r>
    </w:p>
    <w:p w:rsidR="00D768F6" w:rsidRPr="009937BB" w:rsidRDefault="00D768F6" w:rsidP="00D768F6">
      <w:pPr>
        <w:spacing w:before="100" w:beforeAutospacing="1" w:after="100" w:afterAutospacing="1" w:line="240" w:lineRule="auto"/>
        <w:jc w:val="both"/>
        <w:rPr>
          <w:rFonts w:ascii="Times New Roman" w:eastAsia="Times New Roman" w:hAnsi="Times New Roman" w:cs="Times New Roman"/>
          <w:sz w:val="24"/>
          <w:szCs w:val="24"/>
        </w:rPr>
      </w:pPr>
      <w:r w:rsidRPr="009937BB">
        <w:rPr>
          <w:rFonts w:ascii="Times New Roman" w:eastAsia="Times New Roman" w:hAnsi="Times New Roman" w:cs="Times New Roman"/>
          <w:sz w:val="24"/>
          <w:szCs w:val="24"/>
        </w:rPr>
        <w:t xml:space="preserve">The phytochemical analysis of </w:t>
      </w:r>
      <w:r w:rsidRPr="009937BB">
        <w:rPr>
          <w:rFonts w:ascii="Times New Roman" w:eastAsia="Times New Roman" w:hAnsi="Times New Roman" w:cs="Times New Roman"/>
          <w:i/>
          <w:iCs/>
          <w:sz w:val="24"/>
          <w:szCs w:val="24"/>
        </w:rPr>
        <w:t>Stereospermumkunthianum</w:t>
      </w:r>
      <w:r w:rsidRPr="009937BB">
        <w:rPr>
          <w:rFonts w:ascii="Times New Roman" w:eastAsia="Times New Roman" w:hAnsi="Times New Roman" w:cs="Times New Roman"/>
          <w:sz w:val="24"/>
          <w:szCs w:val="24"/>
        </w:rPr>
        <w:t xml:space="preserve"> (Umanatemba) identified several bioactive compounds, including glycosides, saponins, terpenoids, tannins, phenols, and flavonoids, which are known for thei</w:t>
      </w:r>
      <w:r>
        <w:rPr>
          <w:rFonts w:ascii="Times New Roman" w:eastAsia="Times New Roman" w:hAnsi="Times New Roman" w:cs="Times New Roman"/>
          <w:sz w:val="24"/>
          <w:szCs w:val="24"/>
        </w:rPr>
        <w:t>r antifungal properties</w:t>
      </w:r>
      <w:r w:rsidRPr="009937BB">
        <w:rPr>
          <w:rFonts w:ascii="Times New Roman" w:eastAsia="Times New Roman" w:hAnsi="Times New Roman" w:cs="Times New Roman"/>
          <w:sz w:val="24"/>
          <w:szCs w:val="24"/>
        </w:rPr>
        <w:t xml:space="preserve">. These results are consistent with earlier research demonstrating the therapeutic potential of medicinal plants containing these phytochemicals (Okeke </w:t>
      </w:r>
      <w:r w:rsidRPr="00407B91">
        <w:rPr>
          <w:rFonts w:ascii="Times New Roman" w:eastAsia="Times New Roman" w:hAnsi="Times New Roman" w:cs="Times New Roman"/>
          <w:i/>
          <w:sz w:val="24"/>
          <w:szCs w:val="24"/>
        </w:rPr>
        <w:t>et al.,</w:t>
      </w:r>
      <w:r w:rsidRPr="009937BB">
        <w:rPr>
          <w:rFonts w:ascii="Times New Roman" w:eastAsia="Times New Roman" w:hAnsi="Times New Roman" w:cs="Times New Roman"/>
          <w:sz w:val="24"/>
          <w:szCs w:val="24"/>
        </w:rPr>
        <w:t xml:space="preserve"> 2023).However, the absence of alkaloids and steroids suggests that these compounds may not play a significant role in the plant's antifungal activity.The antifungal potential of </w:t>
      </w:r>
      <w:r w:rsidRPr="009937BB">
        <w:rPr>
          <w:rFonts w:ascii="Times New Roman" w:eastAsia="Times New Roman" w:hAnsi="Times New Roman" w:cs="Times New Roman"/>
          <w:i/>
          <w:iCs/>
          <w:sz w:val="24"/>
          <w:szCs w:val="24"/>
        </w:rPr>
        <w:t>Stereospermumkunthianum</w:t>
      </w:r>
      <w:r w:rsidRPr="009937BB">
        <w:rPr>
          <w:rFonts w:ascii="Times New Roman" w:eastAsia="Times New Roman" w:hAnsi="Times New Roman" w:cs="Times New Roman"/>
          <w:sz w:val="24"/>
          <w:szCs w:val="24"/>
        </w:rPr>
        <w:t xml:space="preserve"> against </w:t>
      </w:r>
      <w:r w:rsidRPr="009937BB">
        <w:rPr>
          <w:rFonts w:ascii="Times New Roman" w:eastAsia="Times New Roman" w:hAnsi="Times New Roman" w:cs="Times New Roman"/>
          <w:i/>
          <w:iCs/>
          <w:sz w:val="24"/>
          <w:szCs w:val="24"/>
        </w:rPr>
        <w:t>T. rubrum</w:t>
      </w:r>
      <w:r w:rsidRPr="009937BB">
        <w:rPr>
          <w:rFonts w:ascii="Times New Roman" w:eastAsia="Times New Roman" w:hAnsi="Times New Roman" w:cs="Times New Roman"/>
          <w:sz w:val="24"/>
          <w:szCs w:val="24"/>
        </w:rPr>
        <w:t xml:space="preserve"> underscores the value of exploring medicinal plants as alternative therapies, particularly in regions like Benue State, where access to conventional antifungal drugs is often limited (Ameen </w:t>
      </w:r>
      <w:r w:rsidRPr="00407B91">
        <w:rPr>
          <w:rFonts w:ascii="Times New Roman" w:eastAsia="Times New Roman" w:hAnsi="Times New Roman" w:cs="Times New Roman"/>
          <w:i/>
          <w:sz w:val="24"/>
          <w:szCs w:val="24"/>
        </w:rPr>
        <w:t>et al</w:t>
      </w:r>
      <w:r w:rsidRPr="009937BB">
        <w:rPr>
          <w:rFonts w:ascii="Times New Roman" w:eastAsia="Times New Roman" w:hAnsi="Times New Roman" w:cs="Times New Roman"/>
          <w:sz w:val="24"/>
          <w:szCs w:val="24"/>
        </w:rPr>
        <w:t xml:space="preserve">., 2020). The bioactive compounds identified in this plant align with existing evidence supporting the use of phytochemical-rich plants in treating fungal infections (Zhan </w:t>
      </w:r>
      <w:r w:rsidRPr="00407B91">
        <w:rPr>
          <w:rFonts w:ascii="Times New Roman" w:eastAsia="Times New Roman" w:hAnsi="Times New Roman" w:cs="Times New Roman"/>
          <w:i/>
          <w:sz w:val="24"/>
          <w:szCs w:val="24"/>
        </w:rPr>
        <w:t>et al</w:t>
      </w:r>
      <w:r w:rsidRPr="009937BB">
        <w:rPr>
          <w:rFonts w:ascii="Times New Roman" w:eastAsia="Times New Roman" w:hAnsi="Times New Roman" w:cs="Times New Roman"/>
          <w:sz w:val="24"/>
          <w:szCs w:val="24"/>
        </w:rPr>
        <w:t xml:space="preserve">., 2020).The findings of this study have important implications for public health in Benue State. The antifungal properties of </w:t>
      </w:r>
      <w:r w:rsidRPr="009937BB">
        <w:rPr>
          <w:rFonts w:ascii="Times New Roman" w:eastAsia="Times New Roman" w:hAnsi="Times New Roman" w:cs="Times New Roman"/>
          <w:i/>
          <w:iCs/>
          <w:sz w:val="24"/>
          <w:szCs w:val="24"/>
        </w:rPr>
        <w:t>Stereospermumkunthianum</w:t>
      </w:r>
      <w:r w:rsidRPr="009937BB">
        <w:rPr>
          <w:rFonts w:ascii="Times New Roman" w:eastAsia="Times New Roman" w:hAnsi="Times New Roman" w:cs="Times New Roman"/>
          <w:sz w:val="24"/>
          <w:szCs w:val="24"/>
        </w:rPr>
        <w:t xml:space="preserve"> could offer a cost-effective and accessible treatment option for patients with </w:t>
      </w:r>
      <w:r w:rsidRPr="009937BB">
        <w:rPr>
          <w:rFonts w:ascii="Times New Roman" w:eastAsia="Times New Roman" w:hAnsi="Times New Roman" w:cs="Times New Roman"/>
          <w:i/>
          <w:iCs/>
          <w:sz w:val="24"/>
          <w:szCs w:val="24"/>
        </w:rPr>
        <w:t>T. rubrum</w:t>
      </w:r>
      <w:r w:rsidRPr="009937BB">
        <w:rPr>
          <w:rFonts w:ascii="Times New Roman" w:eastAsia="Times New Roman" w:hAnsi="Times New Roman" w:cs="Times New Roman"/>
          <w:sz w:val="24"/>
          <w:szCs w:val="24"/>
        </w:rPr>
        <w:t xml:space="preserve"> infections.</w:t>
      </w:r>
    </w:p>
    <w:p w:rsidR="00D768F6" w:rsidRPr="005F1C60" w:rsidRDefault="00D768F6" w:rsidP="00D768F6">
      <w:pPr>
        <w:spacing w:before="100" w:beforeAutospacing="1" w:after="100" w:afterAutospacing="1"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xml:space="preserve">The phytochemical analysis of </w:t>
      </w:r>
      <w:r w:rsidRPr="005F1C60">
        <w:rPr>
          <w:rFonts w:ascii="Times New Roman" w:eastAsia="Times New Roman" w:hAnsi="Times New Roman" w:cs="Times New Roman"/>
          <w:i/>
          <w:iCs/>
          <w:sz w:val="24"/>
          <w:szCs w:val="24"/>
        </w:rPr>
        <w:t>Mitracarpusvillosus</w:t>
      </w:r>
      <w:r w:rsidRPr="005F1C60">
        <w:rPr>
          <w:rFonts w:ascii="Times New Roman" w:eastAsia="Times New Roman" w:hAnsi="Times New Roman" w:cs="Times New Roman"/>
          <w:sz w:val="24"/>
          <w:szCs w:val="24"/>
        </w:rPr>
        <w:t xml:space="preserve"> (Antyokpolough) identified several bioactive compounds, including glycosides, saponins, tannins, phenols, and flavonoids, which are known for thei</w:t>
      </w:r>
      <w:r>
        <w:rPr>
          <w:rFonts w:ascii="Times New Roman" w:eastAsia="Times New Roman" w:hAnsi="Times New Roman" w:cs="Times New Roman"/>
          <w:sz w:val="24"/>
          <w:szCs w:val="24"/>
        </w:rPr>
        <w:t>r antifungal properties</w:t>
      </w:r>
      <w:r w:rsidRPr="005F1C60">
        <w:rPr>
          <w:rFonts w:ascii="Times New Roman" w:eastAsia="Times New Roman" w:hAnsi="Times New Roman" w:cs="Times New Roman"/>
          <w:sz w:val="24"/>
          <w:szCs w:val="24"/>
        </w:rPr>
        <w:t xml:space="preserve">. However, the absence of alkaloids, terpenoids, and steroids </w:t>
      </w:r>
      <w:r w:rsidRPr="005F1C60">
        <w:rPr>
          <w:rFonts w:ascii="Times New Roman" w:eastAsia="Times New Roman" w:hAnsi="Times New Roman" w:cs="Times New Roman"/>
          <w:sz w:val="24"/>
          <w:szCs w:val="24"/>
        </w:rPr>
        <w:lastRenderedPageBreak/>
        <w:t xml:space="preserve">suggests that these compounds may not play a significant role in the plant's antifungal activity.The antifungal potential of </w:t>
      </w:r>
      <w:r w:rsidRPr="005F1C60">
        <w:rPr>
          <w:rFonts w:ascii="Times New Roman" w:eastAsia="Times New Roman" w:hAnsi="Times New Roman" w:cs="Times New Roman"/>
          <w:i/>
          <w:iCs/>
          <w:sz w:val="24"/>
          <w:szCs w:val="24"/>
        </w:rPr>
        <w:t>Mitracarpusvillosus</w:t>
      </w:r>
      <w:r w:rsidRPr="005F1C60">
        <w:rPr>
          <w:rFonts w:ascii="Times New Roman" w:eastAsia="Times New Roman" w:hAnsi="Times New Roman" w:cs="Times New Roman"/>
          <w:sz w:val="24"/>
          <w:szCs w:val="24"/>
        </w:rPr>
        <w:t xml:space="preserve"> against </w:t>
      </w:r>
      <w:r w:rsidRPr="005F1C60">
        <w:rPr>
          <w:rFonts w:ascii="Times New Roman" w:eastAsia="Times New Roman" w:hAnsi="Times New Roman" w:cs="Times New Roman"/>
          <w:i/>
          <w:iCs/>
          <w:sz w:val="24"/>
          <w:szCs w:val="24"/>
        </w:rPr>
        <w:t>T. rubrum</w:t>
      </w:r>
      <w:r w:rsidRPr="005F1C60">
        <w:rPr>
          <w:rFonts w:ascii="Times New Roman" w:eastAsia="Times New Roman" w:hAnsi="Times New Roman" w:cs="Times New Roman"/>
          <w:sz w:val="24"/>
          <w:szCs w:val="24"/>
        </w:rPr>
        <w:t xml:space="preserve"> underscores the value of exploring medicinal plants as alternative therapies, particularly in regions like Benue State, where access to conventional antifungal drugs is often limited (Ameen </w:t>
      </w:r>
      <w:r w:rsidRPr="00407B91">
        <w:rPr>
          <w:rFonts w:ascii="Times New Roman" w:eastAsia="Times New Roman" w:hAnsi="Times New Roman" w:cs="Times New Roman"/>
          <w:i/>
          <w:sz w:val="24"/>
          <w:szCs w:val="24"/>
        </w:rPr>
        <w:t>et al</w:t>
      </w:r>
      <w:r w:rsidRPr="005F1C60">
        <w:rPr>
          <w:rFonts w:ascii="Times New Roman" w:eastAsia="Times New Roman" w:hAnsi="Times New Roman" w:cs="Times New Roman"/>
          <w:sz w:val="24"/>
          <w:szCs w:val="24"/>
        </w:rPr>
        <w:t xml:space="preserve">., 2020). The bioactive compounds identified in this plant align with existing evidence supporting the use of phytochemical-rich plants in treating fungal infections (Zhan </w:t>
      </w:r>
      <w:r w:rsidRPr="00407B91">
        <w:rPr>
          <w:rFonts w:ascii="Times New Roman" w:eastAsia="Times New Roman" w:hAnsi="Times New Roman" w:cs="Times New Roman"/>
          <w:i/>
          <w:sz w:val="24"/>
          <w:szCs w:val="24"/>
        </w:rPr>
        <w:t>et al</w:t>
      </w:r>
      <w:r w:rsidRPr="005F1C60">
        <w:rPr>
          <w:rFonts w:ascii="Times New Roman" w:eastAsia="Times New Roman" w:hAnsi="Times New Roman" w:cs="Times New Roman"/>
          <w:sz w:val="24"/>
          <w:szCs w:val="24"/>
        </w:rPr>
        <w:t xml:space="preserve">., 2020).The findings of this study have important implications for public health in Benue State. The antifungal properties of </w:t>
      </w:r>
      <w:r w:rsidRPr="005F1C60">
        <w:rPr>
          <w:rFonts w:ascii="Times New Roman" w:eastAsia="Times New Roman" w:hAnsi="Times New Roman" w:cs="Times New Roman"/>
          <w:i/>
          <w:iCs/>
          <w:sz w:val="24"/>
          <w:szCs w:val="24"/>
        </w:rPr>
        <w:t>Mitracarpusvillosus</w:t>
      </w:r>
      <w:r w:rsidRPr="005F1C60">
        <w:rPr>
          <w:rFonts w:ascii="Times New Roman" w:eastAsia="Times New Roman" w:hAnsi="Times New Roman" w:cs="Times New Roman"/>
          <w:sz w:val="24"/>
          <w:szCs w:val="24"/>
        </w:rPr>
        <w:t xml:space="preserve"> could offer a cost-effective and accessible treatment option for patients with </w:t>
      </w:r>
      <w:r w:rsidRPr="005F1C60">
        <w:rPr>
          <w:rFonts w:ascii="Times New Roman" w:eastAsia="Times New Roman" w:hAnsi="Times New Roman" w:cs="Times New Roman"/>
          <w:i/>
          <w:iCs/>
          <w:sz w:val="24"/>
          <w:szCs w:val="24"/>
        </w:rPr>
        <w:t>T. rubrum</w:t>
      </w:r>
      <w:r w:rsidRPr="005F1C60">
        <w:rPr>
          <w:rFonts w:ascii="Times New Roman" w:eastAsia="Times New Roman" w:hAnsi="Times New Roman" w:cs="Times New Roman"/>
          <w:sz w:val="24"/>
          <w:szCs w:val="24"/>
        </w:rPr>
        <w:t xml:space="preserve"> infections.</w:t>
      </w:r>
    </w:p>
    <w:p w:rsidR="00D768F6" w:rsidRDefault="00D768F6" w:rsidP="00D768F6">
      <w:pPr>
        <w:pStyle w:val="NormalWeb"/>
        <w:jc w:val="both"/>
      </w:pPr>
      <w:r>
        <w:t xml:space="preserve">The </w:t>
      </w:r>
      <w:r w:rsidR="00CF0BA3">
        <w:t>data in table 2</w:t>
      </w:r>
      <w:r>
        <w:t xml:space="preserve"> suggests that higher concentrations of these extracts yielded better antifungal effects, highlighting the dose-dependent nature of their bioactivity. Conversely, extracts from </w:t>
      </w:r>
      <w:r>
        <w:rPr>
          <w:rStyle w:val="Emphasis"/>
        </w:rPr>
        <w:t>Parkiabiglobosa</w:t>
      </w:r>
      <w:r>
        <w:t xml:space="preserve"> and </w:t>
      </w:r>
      <w:r>
        <w:rPr>
          <w:rStyle w:val="Emphasis"/>
        </w:rPr>
        <w:t>Stereospernumkunthianum</w:t>
      </w:r>
      <w:r>
        <w:t xml:space="preserve"> demonstrated less activity, with zones of inhibition recorded as low as 10 mm or none at all at lower concentrations, aligning with findings by Johnson </w:t>
      </w:r>
      <w:r w:rsidRPr="00407B91">
        <w:rPr>
          <w:i/>
        </w:rPr>
        <w:t>et al</w:t>
      </w:r>
      <w:r>
        <w:t xml:space="preserve">. (2022) that suggest some plant extracts have varying degrees of efficacy depending on their phytochemical composition. Interestingly, </w:t>
      </w:r>
      <w:r>
        <w:rPr>
          <w:rStyle w:val="Emphasis"/>
        </w:rPr>
        <w:t>Mitracarpusvillosus</w:t>
      </w:r>
      <w:r>
        <w:t xml:space="preserve"> demonstrated notable antifungal potential at 200 mg/ml, with inhibition zones ranging from 25 mm to 26 mm, indicating a promising candidate for antifungal development. This is consistent with previous studies by Adeyemi </w:t>
      </w:r>
      <w:r w:rsidRPr="00407B91">
        <w:rPr>
          <w:i/>
        </w:rPr>
        <w:t>et al</w:t>
      </w:r>
      <w:r>
        <w:t xml:space="preserve">. (2020), which also highlighted the significant antifungal activity of </w:t>
      </w:r>
      <w:r>
        <w:rPr>
          <w:rStyle w:val="Emphasis"/>
        </w:rPr>
        <w:t>Mitracarpusvillosus</w:t>
      </w:r>
      <w:r>
        <w:t xml:space="preserve"> in treating fungal infections. The results of this study underscore the importance of integrating traditional medicinal plants into therapeutic strategies, especially in regions like Benue State, where fungal infections remain a significant health challenge. The use of these plants as potential sources of new antifungal agents could reduce reliance on synthetic drugs and offer alternative treatment options for patients attending tertiary health facilities. Moreover, the growing concern over antifungal resistance emphasizes the need for ongoing research into the bioactive compounds of these plants to identify effective, safe, and affordable treatments (Adeyemi </w:t>
      </w:r>
      <w:r w:rsidRPr="00407B91">
        <w:rPr>
          <w:i/>
        </w:rPr>
        <w:t>et al</w:t>
      </w:r>
      <w:r>
        <w:t>., 2020).</w:t>
      </w:r>
    </w:p>
    <w:p w:rsidR="00D768F6" w:rsidRDefault="00D768F6" w:rsidP="00D768F6">
      <w:pPr>
        <w:pStyle w:val="NormalWeb"/>
        <w:jc w:val="both"/>
      </w:pPr>
      <w:r>
        <w:t xml:space="preserve">The comparison of antifungal drug efficacy to the plant extracts mentioned in the table 2reveals interesting insights. </w:t>
      </w:r>
      <w:r>
        <w:rPr>
          <w:rStyle w:val="Emphasis"/>
        </w:rPr>
        <w:t>Vetiatevesia</w:t>
      </w:r>
      <w:r>
        <w:t xml:space="preserve"> and </w:t>
      </w:r>
      <w:r>
        <w:rPr>
          <w:rStyle w:val="Emphasis"/>
        </w:rPr>
        <w:t>Vitellaria paradoxa</w:t>
      </w:r>
      <w:r>
        <w:t xml:space="preserve"> exhibited strong antifungal activity, particularly at higher concentrations, with zones of inhibition as large as 25 mm at 200 mg/ml. This suggests that plant-derived bioactive compounds can offer competitive antifungal properties against </w:t>
      </w:r>
      <w:r>
        <w:rPr>
          <w:rStyle w:val="Emphasis"/>
        </w:rPr>
        <w:t>T. rubrum</w:t>
      </w:r>
      <w:r>
        <w:t xml:space="preserve">. Phytochemicals such as flavonoids, alkaloids, and saponins, commonly found in these plants, have been shown to exhibit broad-spectrum antifungal activity (Akintoye </w:t>
      </w:r>
      <w:r w:rsidRPr="00407B91">
        <w:rPr>
          <w:i/>
        </w:rPr>
        <w:t>et al</w:t>
      </w:r>
      <w:r>
        <w:t xml:space="preserve">., 2021). In contrast, </w:t>
      </w:r>
      <w:r>
        <w:rPr>
          <w:rStyle w:val="Emphasis"/>
        </w:rPr>
        <w:t>Mitracarpusvillosus</w:t>
      </w:r>
      <w:r>
        <w:t xml:space="preserve"> demonstrated promising activity, with inhibition zones reaching up to 26 mm, similar to fluconazole's performance at high concentrations. This suggests that </w:t>
      </w:r>
      <w:r>
        <w:rPr>
          <w:rStyle w:val="Emphasis"/>
        </w:rPr>
        <w:t>Mitracarpusvillosus</w:t>
      </w:r>
      <w:r>
        <w:t xml:space="preserve"> could be a potential source of new antifungal agents (Adeyemi </w:t>
      </w:r>
      <w:r w:rsidRPr="00407B91">
        <w:rPr>
          <w:i/>
        </w:rPr>
        <w:t>et al.,</w:t>
      </w:r>
      <w:r>
        <w:t xml:space="preserve"> 2020). While antifungal drugs such as fluconazole and ketoconazole are well-established in the treatment of dermatophyte infections, the search for alternative treatments, especially those derived from medicinal plants, is essential due to the rising concerns about drug resistance and side effects associated with long-term use of synthetic antifungals (Akintoye </w:t>
      </w:r>
      <w:r w:rsidRPr="00407B91">
        <w:rPr>
          <w:i/>
        </w:rPr>
        <w:t>et al</w:t>
      </w:r>
      <w:r>
        <w:t>., 2021). Additionally, the use of medicinal plants in treating fungal infections has the advantage of being potentially more affordable and accessible in rural and underserved areas such as Benue State.</w:t>
      </w:r>
    </w:p>
    <w:p w:rsidR="00D768F6" w:rsidRDefault="00D768F6" w:rsidP="00D768F6">
      <w:pPr>
        <w:pStyle w:val="NormalWeb"/>
        <w:jc w:val="both"/>
      </w:pPr>
      <w:r>
        <w:t xml:space="preserve">The bioactive potential of antifungal drugs and plant extracts against </w:t>
      </w:r>
      <w:r>
        <w:rPr>
          <w:rStyle w:val="Emphasis"/>
        </w:rPr>
        <w:t>T. rubrum</w:t>
      </w:r>
      <w:r>
        <w:t xml:space="preserve"> is an important aspect of treatment strategies, especially as antifungal resistance continues to rise. The Minimum </w:t>
      </w:r>
      <w:r>
        <w:lastRenderedPageBreak/>
        <w:t xml:space="preserve">Inhibitory Concentration (MIC) and Minimum Fungicidal Concentration (MFC) values in the table offer valuable insights into the efficacy of these substances. Fluconazole, a commonly used antifungal drug, demonstrated an MIC of 25 mg/ml and an MFC of 100 mg/ml, indicating strong antifungal activity. The low MIC suggests that fluconazole effectively inhibits the growth of </w:t>
      </w:r>
      <w:r>
        <w:rPr>
          <w:rStyle w:val="Emphasis"/>
        </w:rPr>
        <w:t>T. rubrum</w:t>
      </w:r>
      <w:r>
        <w:t xml:space="preserve">, while the MFC reflects its ability to kill the fungal cells at a higher concentration (Sullivan &amp; Patel, 2020). These findings are consistent with previous studies highlighting fluconazole’s potent action against dermatophytes due to its ability to inhibit ergosterol synthesis, a crucial component of the fungal cell membrane (Alvarado </w:t>
      </w:r>
      <w:r w:rsidRPr="00407B91">
        <w:rPr>
          <w:i/>
        </w:rPr>
        <w:t>et al</w:t>
      </w:r>
      <w:r>
        <w:t xml:space="preserve">., 2022). Ketoconazole, another antifungal agent, displayed an MIC of 50 mg/ml and an MFC of 200 mg/ml, which are higher than those of fluconazole, suggesting that ketoconazole is less potent against </w:t>
      </w:r>
      <w:r>
        <w:rPr>
          <w:rStyle w:val="Emphasis"/>
        </w:rPr>
        <w:t>T. rubrum</w:t>
      </w:r>
      <w:r>
        <w:t xml:space="preserve"> at lower concentrations. Ketoconazole works by inhibiting the synthesis of ergosterol, but its efficacy may vary based on the strain of </w:t>
      </w:r>
      <w:r>
        <w:rPr>
          <w:rStyle w:val="Emphasis"/>
        </w:rPr>
        <w:t>T. rubrum</w:t>
      </w:r>
      <w:r>
        <w:t xml:space="preserve"> and its resistance profile (Bostancı</w:t>
      </w:r>
      <w:r w:rsidRPr="00407B91">
        <w:rPr>
          <w:i/>
        </w:rPr>
        <w:t>et al</w:t>
      </w:r>
      <w:r>
        <w:t>., 2023).</w:t>
      </w:r>
    </w:p>
    <w:p w:rsidR="00D768F6" w:rsidRDefault="00D768F6" w:rsidP="00D768F6">
      <w:pPr>
        <w:pStyle w:val="NormalWeb"/>
        <w:jc w:val="both"/>
      </w:pPr>
      <w:r>
        <w:t xml:space="preserve">Griseofulvin, which has a much higher MIC of 100 mg/ml, shows a less potent effect compared to both fluconazole and ketoconazole. Griseofulvin inhibits fungal mitosis by binding to microtubules, but its lower efficacy at killing </w:t>
      </w:r>
      <w:r>
        <w:rPr>
          <w:rStyle w:val="Emphasis"/>
        </w:rPr>
        <w:t>T. rubrum</w:t>
      </w:r>
      <w:r>
        <w:t xml:space="preserve"> could be attributed to the slow action and its limited spectrum of activity against certain dermatophytes (Alvarado </w:t>
      </w:r>
      <w:r w:rsidRPr="00407B91">
        <w:rPr>
          <w:i/>
        </w:rPr>
        <w:t>et al.,</w:t>
      </w:r>
      <w:r>
        <w:t xml:space="preserve"> 2022).</w:t>
      </w:r>
    </w:p>
    <w:p w:rsidR="00D768F6" w:rsidRDefault="00D768F6" w:rsidP="00D768F6">
      <w:pPr>
        <w:pStyle w:val="NormalWeb"/>
        <w:jc w:val="both"/>
      </w:pPr>
      <w:r>
        <w:t xml:space="preserve">When considering plant extracts, </w:t>
      </w:r>
      <w:r>
        <w:rPr>
          <w:rStyle w:val="Emphasis"/>
        </w:rPr>
        <w:t>Vetiatevesia</w:t>
      </w:r>
      <w:r>
        <w:t xml:space="preserve">, </w:t>
      </w:r>
      <w:r>
        <w:rPr>
          <w:rStyle w:val="Emphasis"/>
        </w:rPr>
        <w:t>Vitellaria paradoxa</w:t>
      </w:r>
      <w:r>
        <w:t xml:space="preserve">, </w:t>
      </w:r>
      <w:r>
        <w:rPr>
          <w:rStyle w:val="Emphasis"/>
        </w:rPr>
        <w:t>Mitracarpusvillosus</w:t>
      </w:r>
      <w:r>
        <w:t xml:space="preserve">, </w:t>
      </w:r>
      <w:r>
        <w:rPr>
          <w:rStyle w:val="Emphasis"/>
        </w:rPr>
        <w:t>Parkiabiglobosa</w:t>
      </w:r>
      <w:r>
        <w:t xml:space="preserve">, and </w:t>
      </w:r>
      <w:r>
        <w:rPr>
          <w:rStyle w:val="Emphasis"/>
        </w:rPr>
        <w:t>Stereospernumkunthianum</w:t>
      </w:r>
      <w:r>
        <w:t xml:space="preserve"> all exhibit varying degrees of antifungal activity. For example, the MIC for </w:t>
      </w:r>
      <w:r>
        <w:rPr>
          <w:rStyle w:val="Emphasis"/>
        </w:rPr>
        <w:t>Vetiatevesia</w:t>
      </w:r>
      <w:r>
        <w:t xml:space="preserve">, </w:t>
      </w:r>
      <w:r>
        <w:rPr>
          <w:rStyle w:val="Emphasis"/>
        </w:rPr>
        <w:t>Vitellaria paradoxa</w:t>
      </w:r>
      <w:r>
        <w:t xml:space="preserve">, and </w:t>
      </w:r>
      <w:r>
        <w:rPr>
          <w:rStyle w:val="Emphasis"/>
        </w:rPr>
        <w:t>Mitracarpusvillosus</w:t>
      </w:r>
      <w:r>
        <w:t xml:space="preserve"> is 50 mg/ml, indicating their strong antifungal potential. These plants contain bioactive compounds such as flavonoids, alkaloids, and terpenoids, which are known to disrupt fungal cell walls and membranes, contributing to their antifungal effects (Akintoye </w:t>
      </w:r>
      <w:r w:rsidRPr="00407B91">
        <w:rPr>
          <w:i/>
        </w:rPr>
        <w:t>et al</w:t>
      </w:r>
      <w:r>
        <w:t>., 2021). The lack of MFC data for these plant extracts suggests that while they inhibit fungal growth, further studies are needed to determine their fungicidal properties.</w:t>
      </w:r>
    </w:p>
    <w:p w:rsidR="00802A2E" w:rsidRDefault="00D768F6" w:rsidP="00D768F6">
      <w:pPr>
        <w:pStyle w:val="NormalWeb"/>
        <w:jc w:val="both"/>
      </w:pPr>
      <w:r>
        <w:rPr>
          <w:rStyle w:val="Emphasis"/>
        </w:rPr>
        <w:t>Parkiabiglobosa</w:t>
      </w:r>
      <w:r>
        <w:t xml:space="preserve"> and </w:t>
      </w:r>
      <w:r>
        <w:rPr>
          <w:rStyle w:val="Emphasis"/>
        </w:rPr>
        <w:t>Stereospernumkunthianum</w:t>
      </w:r>
      <w:r>
        <w:t xml:space="preserve"> have an MIC of 100 mg/ml, indicating moderate antifungal activity compared to the other plant extracts and antifungal drugs. These plants may still hold promise as adjunct therapies or alternative treatments, particularly in resource-limited settings like Benue State, where plant-based remedies are more accessible (Adeyemi </w:t>
      </w:r>
      <w:r w:rsidRPr="00407B91">
        <w:rPr>
          <w:i/>
        </w:rPr>
        <w:t>et al.,</w:t>
      </w:r>
      <w:r>
        <w:t xml:space="preserve"> 2020).</w:t>
      </w:r>
    </w:p>
    <w:p w:rsidR="00802A2E" w:rsidRDefault="00802A2E" w:rsidP="00D768F6">
      <w:pPr>
        <w:pStyle w:val="NormalWeb"/>
        <w:jc w:val="both"/>
      </w:pPr>
      <w:r>
        <w:rPr>
          <w:rStyle w:val="CommentReference"/>
          <w:rFonts w:asciiTheme="minorHAnsi" w:eastAsiaTheme="minorHAnsi" w:hAnsiTheme="minorHAnsi" w:cstheme="minorBidi"/>
        </w:rPr>
        <w:commentReference w:id="13"/>
      </w:r>
    </w:p>
    <w:p w:rsidR="00D768F6" w:rsidRPr="00EE312C" w:rsidRDefault="00D768F6" w:rsidP="00D768F6">
      <w:pPr>
        <w:pStyle w:val="NormalWeb"/>
        <w:jc w:val="both"/>
      </w:pPr>
      <w:r>
        <w:t xml:space="preserve">The results of this study emphasize the importance of both synthetic antifungal agents and plant-derived remedies in the treatment of </w:t>
      </w:r>
      <w:r>
        <w:rPr>
          <w:rStyle w:val="Emphasis"/>
        </w:rPr>
        <w:t>T. rubrum</w:t>
      </w:r>
      <w:r>
        <w:t xml:space="preserve"> infections. While fluconazole remains a potent option, the inclusion of medicinal plants such as </w:t>
      </w:r>
      <w:r>
        <w:rPr>
          <w:rStyle w:val="Emphasis"/>
        </w:rPr>
        <w:t>Vetiatevesia</w:t>
      </w:r>
      <w:r>
        <w:t xml:space="preserve"> and </w:t>
      </w:r>
      <w:r>
        <w:rPr>
          <w:rStyle w:val="Emphasis"/>
        </w:rPr>
        <w:t>Mitracarpus villosus</w:t>
      </w:r>
      <w:r>
        <w:t xml:space="preserve"> offers alternative or complementary therapeutic pathways, particularly in regions where access to pharmaceuticals may be restricted or where there is a growing concern over antifungal resistance.</w:t>
      </w:r>
    </w:p>
    <w:p w:rsidR="0058184B" w:rsidRDefault="0058184B" w:rsidP="00D768F6">
      <w:pPr>
        <w:spacing w:line="240" w:lineRule="auto"/>
        <w:rPr>
          <w:rFonts w:ascii="Times New Roman" w:hAnsi="Times New Roman" w:cs="Times New Roman"/>
          <w:b/>
          <w:sz w:val="24"/>
          <w:szCs w:val="24"/>
        </w:rPr>
      </w:pPr>
    </w:p>
    <w:p w:rsidR="0058184B" w:rsidRDefault="00F06635" w:rsidP="00D768F6">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rsidR="00F06635" w:rsidRDefault="00F06635" w:rsidP="00F06635"/>
    <w:p w:rsidR="00F06635" w:rsidRDefault="00F06635" w:rsidP="00F06635">
      <w:pPr>
        <w:pStyle w:val="NormalWeb"/>
      </w:pPr>
      <w:r>
        <w:t xml:space="preserve">Adeyemi, A. A., Olagunju, A. S., &amp; Ogundipe, O. T. (2020). Antifungal activity of </w:t>
      </w:r>
      <w:r>
        <w:rPr>
          <w:rStyle w:val="Emphasis"/>
        </w:rPr>
        <w:t>Mitracarpus</w:t>
      </w:r>
      <w:r>
        <w:rPr>
          <w:rStyle w:val="Emphasis"/>
        </w:rPr>
        <w:tab/>
        <w:t>villosus</w:t>
      </w:r>
      <w:r>
        <w:t xml:space="preserve"> and its phytochemical composition. </w:t>
      </w:r>
      <w:r>
        <w:rPr>
          <w:rStyle w:val="Emphasis"/>
        </w:rPr>
        <w:t>Journal of Medicinal Plants</w:t>
      </w:r>
      <w:r>
        <w:t xml:space="preserve">, 11(4), 101-109. </w:t>
      </w:r>
      <w:r>
        <w:tab/>
        <w:t>https://doi.org/10.1016/j.jmedplant.2020.04.004</w:t>
      </w:r>
    </w:p>
    <w:p w:rsidR="00F06635" w:rsidRPr="00443222" w:rsidRDefault="00F06635" w:rsidP="00F06635">
      <w:pPr>
        <w:spacing w:before="100" w:beforeAutospacing="1" w:after="100" w:afterAutospacing="1"/>
        <w:rPr>
          <w:rFonts w:ascii="Times New Roman" w:hAnsi="Times New Roman" w:cs="Times New Roman"/>
          <w:sz w:val="24"/>
          <w:szCs w:val="24"/>
        </w:rPr>
      </w:pPr>
      <w:r w:rsidRPr="00443222">
        <w:rPr>
          <w:rFonts w:ascii="Times New Roman" w:hAnsi="Times New Roman" w:cs="Times New Roman"/>
          <w:sz w:val="24"/>
          <w:szCs w:val="24"/>
        </w:rPr>
        <w:t xml:space="preserve">Akhter, M., Ali, M., &amp; Rahman, M. (2020). Antifungal potential of medicinal plants against </w:t>
      </w:r>
      <w:r>
        <w:rPr>
          <w:rFonts w:ascii="Times New Roman" w:hAnsi="Times New Roman" w:cs="Times New Roman"/>
          <w:sz w:val="24"/>
          <w:szCs w:val="24"/>
        </w:rPr>
        <w:tab/>
      </w:r>
      <w:r w:rsidRPr="00443222">
        <w:rPr>
          <w:rFonts w:ascii="Times New Roman" w:hAnsi="Times New Roman" w:cs="Times New Roman"/>
          <w:sz w:val="24"/>
          <w:szCs w:val="24"/>
        </w:rPr>
        <w:t xml:space="preserve">dermatophytes: A review. </w:t>
      </w:r>
      <w:r w:rsidRPr="00443222">
        <w:rPr>
          <w:rStyle w:val="Emphasis"/>
          <w:rFonts w:ascii="Times New Roman" w:hAnsi="Times New Roman" w:cs="Times New Roman"/>
          <w:sz w:val="24"/>
          <w:szCs w:val="24"/>
        </w:rPr>
        <w:t>Journal of Medicinal Plants Research</w:t>
      </w:r>
      <w:r w:rsidRPr="00443222">
        <w:rPr>
          <w:rFonts w:ascii="Times New Roman" w:hAnsi="Times New Roman" w:cs="Times New Roman"/>
          <w:sz w:val="24"/>
          <w:szCs w:val="24"/>
        </w:rPr>
        <w:t xml:space="preserve">, 14(6), 145-153. </w:t>
      </w:r>
      <w:r>
        <w:rPr>
          <w:rFonts w:ascii="Times New Roman" w:hAnsi="Times New Roman" w:cs="Times New Roman"/>
          <w:sz w:val="24"/>
          <w:szCs w:val="24"/>
        </w:rPr>
        <w:tab/>
      </w:r>
      <w:r w:rsidRPr="00443222">
        <w:rPr>
          <w:rFonts w:ascii="Times New Roman" w:hAnsi="Times New Roman" w:cs="Times New Roman"/>
          <w:sz w:val="24"/>
          <w:szCs w:val="24"/>
        </w:rPr>
        <w:t>https://doi.org/10.5897/JMPR2020.7024</w:t>
      </w:r>
    </w:p>
    <w:p w:rsidR="00F06635" w:rsidRDefault="00F06635" w:rsidP="00F06635">
      <w:pPr>
        <w:pStyle w:val="NormalWeb"/>
      </w:pPr>
      <w:r>
        <w:t xml:space="preserve">Akintoye, S. O., Ojo, O. A., &amp; Adeosun, B. A. (2021). Evaluation of antimicrobial potentials of </w:t>
      </w:r>
      <w:r>
        <w:tab/>
      </w:r>
      <w:r>
        <w:rPr>
          <w:rStyle w:val="Emphasis"/>
        </w:rPr>
        <w:t>Vetiatevesia</w:t>
      </w:r>
      <w:r>
        <w:t xml:space="preserve"> and </w:t>
      </w:r>
      <w:r>
        <w:rPr>
          <w:rStyle w:val="Emphasis"/>
        </w:rPr>
        <w:t>Vitellaria paradoxa</w:t>
      </w:r>
      <w:r>
        <w:t xml:space="preserve"> in fungal infections. </w:t>
      </w:r>
      <w:r>
        <w:rPr>
          <w:rStyle w:val="Emphasis"/>
        </w:rPr>
        <w:t xml:space="preserve">Journal of Plant Pathology </w:t>
      </w:r>
      <w:r>
        <w:rPr>
          <w:rStyle w:val="Emphasis"/>
        </w:rPr>
        <w:tab/>
        <w:t>and Microbiology</w:t>
      </w:r>
      <w:r>
        <w:t>, 12(5), 352-358. https://doi.org/10.3892/jppm.2021.103</w:t>
      </w:r>
    </w:p>
    <w:p w:rsidR="00F06635" w:rsidRDefault="00F06635" w:rsidP="00F0663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Al-Snafi, A. E. (2021). Chemical constituents and pharmacological effects of medicinal plants: A </w:t>
      </w:r>
      <w:r>
        <w:rPr>
          <w:rFonts w:ascii="Times New Roman" w:eastAsia="Times New Roman" w:hAnsi="Times New Roman" w:cs="Times New Roman"/>
          <w:sz w:val="24"/>
          <w:szCs w:val="24"/>
        </w:rPr>
        <w:tab/>
        <w:t xml:space="preserve">review. </w:t>
      </w:r>
      <w:r>
        <w:rPr>
          <w:rFonts w:ascii="Times New Roman" w:eastAsia="Times New Roman" w:hAnsi="Times New Roman" w:cs="Times New Roman"/>
          <w:i/>
          <w:iCs/>
          <w:sz w:val="24"/>
          <w:szCs w:val="24"/>
        </w:rPr>
        <w:t>International Journal of Pharmaceutical Sciences and Research, 12</w:t>
      </w:r>
      <w:r>
        <w:rPr>
          <w:rFonts w:ascii="Times New Roman" w:eastAsia="Times New Roman" w:hAnsi="Times New Roman" w:cs="Times New Roman"/>
          <w:sz w:val="24"/>
          <w:szCs w:val="24"/>
        </w:rPr>
        <w:t>(3), 1234-</w:t>
      </w:r>
      <w:r>
        <w:rPr>
          <w:rFonts w:ascii="Times New Roman" w:eastAsia="Times New Roman" w:hAnsi="Times New Roman" w:cs="Times New Roman"/>
          <w:sz w:val="24"/>
          <w:szCs w:val="24"/>
        </w:rPr>
        <w:tab/>
        <w:t xml:space="preserve">1245. </w:t>
      </w:r>
      <w:hyperlink r:id="rId8" w:tgtFrame="_blank" w:history="1">
        <w:r>
          <w:rPr>
            <w:rStyle w:val="Hyperlink"/>
            <w:sz w:val="24"/>
            <w:szCs w:val="24"/>
          </w:rPr>
          <w:t>https://doi.org/10.13040/IJPSR.0975-8232</w:t>
        </w:r>
      </w:hyperlink>
    </w:p>
    <w:p w:rsidR="00F06635" w:rsidRDefault="00F06635" w:rsidP="00F06635">
      <w:pPr>
        <w:pStyle w:val="NormalWeb"/>
      </w:pPr>
      <w:r>
        <w:t xml:space="preserve">Alvarado, D. M., Barbosa, R. M., &amp; Gomez, R. (2022). Comparative analysis of antifungal </w:t>
      </w:r>
      <w:r>
        <w:tab/>
        <w:t xml:space="preserve">efficacy of ketoconazole and fluconazole against dermatophytes. </w:t>
      </w:r>
      <w:r>
        <w:rPr>
          <w:rStyle w:val="Emphasis"/>
        </w:rPr>
        <w:t xml:space="preserve">Journal of Mycology </w:t>
      </w:r>
      <w:r>
        <w:rPr>
          <w:rStyle w:val="Emphasis"/>
        </w:rPr>
        <w:tab/>
        <w:t>and Antifungal Therapy</w:t>
      </w:r>
      <w:r>
        <w:t>, 13(3), 215-222. https://doi.org/10.1016/j.jmat.2022.02.004</w:t>
      </w:r>
    </w:p>
    <w:p w:rsidR="00F06635" w:rsidRDefault="00F06635" w:rsidP="00F0663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Ameen, M., Arenas, R., &amp; Ghannoum, M. (2020). Dermatophyte infections: Epidemiology, </w:t>
      </w:r>
      <w:r>
        <w:rPr>
          <w:rFonts w:ascii="Times New Roman" w:eastAsia="Times New Roman" w:hAnsi="Times New Roman" w:cs="Times New Roman"/>
          <w:sz w:val="24"/>
          <w:szCs w:val="24"/>
        </w:rPr>
        <w:tab/>
        <w:t xml:space="preserve">molecular characterization, and treatment. </w:t>
      </w:r>
      <w:r>
        <w:rPr>
          <w:rFonts w:ascii="Times New Roman" w:eastAsia="Times New Roman" w:hAnsi="Times New Roman" w:cs="Times New Roman"/>
          <w:i/>
          <w:iCs/>
          <w:sz w:val="24"/>
          <w:szCs w:val="24"/>
        </w:rPr>
        <w:t>Journal of Fungi, 6</w:t>
      </w:r>
      <w:r>
        <w:rPr>
          <w:rFonts w:ascii="Times New Roman" w:eastAsia="Times New Roman" w:hAnsi="Times New Roman" w:cs="Times New Roman"/>
          <w:sz w:val="24"/>
          <w:szCs w:val="24"/>
        </w:rPr>
        <w:t xml:space="preserve">(3), 123. </w:t>
      </w:r>
      <w:r>
        <w:rPr>
          <w:rFonts w:ascii="Times New Roman" w:eastAsia="Times New Roman" w:hAnsi="Times New Roman" w:cs="Times New Roman"/>
          <w:sz w:val="24"/>
          <w:szCs w:val="24"/>
        </w:rPr>
        <w:tab/>
      </w:r>
      <w:hyperlink r:id="rId9" w:tgtFrame="_blank" w:history="1">
        <w:r>
          <w:rPr>
            <w:rStyle w:val="Hyperlink"/>
            <w:sz w:val="24"/>
            <w:szCs w:val="24"/>
          </w:rPr>
          <w:t>https://doi.org/10.3390/jof6030123</w:t>
        </w:r>
      </w:hyperlink>
    </w:p>
    <w:p w:rsidR="00F06635" w:rsidRPr="005B24BD" w:rsidRDefault="00F06635" w:rsidP="00F06635">
      <w:pPr>
        <w:spacing w:before="100" w:beforeAutospacing="1" w:after="100" w:afterAutospacing="1" w:line="240" w:lineRule="auto"/>
        <w:rPr>
          <w:rFonts w:ascii="Times New Roman" w:eastAsia="Times New Roman" w:hAnsi="Times New Roman" w:cs="Times New Roman"/>
          <w:sz w:val="24"/>
          <w:szCs w:val="24"/>
        </w:rPr>
      </w:pPr>
      <w:r w:rsidRPr="005B24BD">
        <w:rPr>
          <w:rFonts w:ascii="Times New Roman" w:eastAsia="Times New Roman" w:hAnsi="Times New Roman" w:cs="Times New Roman"/>
          <w:sz w:val="24"/>
          <w:szCs w:val="24"/>
        </w:rPr>
        <w:t xml:space="preserve">Ameen, M., Duggal, S., Khushboo, &amp; Malik, P. (2020). History and evolution of dermatophyte </w:t>
      </w:r>
      <w:r>
        <w:rPr>
          <w:rFonts w:ascii="Times New Roman" w:eastAsia="Times New Roman" w:hAnsi="Times New Roman" w:cs="Times New Roman"/>
          <w:sz w:val="24"/>
          <w:szCs w:val="24"/>
        </w:rPr>
        <w:tab/>
      </w:r>
      <w:r w:rsidRPr="005B24BD">
        <w:rPr>
          <w:rFonts w:ascii="Times New Roman" w:eastAsia="Times New Roman" w:hAnsi="Times New Roman" w:cs="Times New Roman"/>
          <w:sz w:val="24"/>
          <w:szCs w:val="24"/>
        </w:rPr>
        <w:t xml:space="preserve">infections with a focus on </w:t>
      </w:r>
      <w:r w:rsidRPr="00E3654A">
        <w:rPr>
          <w:rFonts w:ascii="Times New Roman" w:eastAsia="Times New Roman" w:hAnsi="Times New Roman" w:cs="Times New Roman"/>
          <w:i/>
          <w:sz w:val="24"/>
          <w:szCs w:val="24"/>
        </w:rPr>
        <w:t>Trichophyton rubrum</w:t>
      </w:r>
      <w:r w:rsidRPr="005B24BD">
        <w:rPr>
          <w:rFonts w:ascii="Times New Roman" w:eastAsia="Times New Roman" w:hAnsi="Times New Roman" w:cs="Times New Roman"/>
          <w:sz w:val="24"/>
          <w:szCs w:val="24"/>
        </w:rPr>
        <w:t xml:space="preserve">. </w:t>
      </w:r>
      <w:r w:rsidRPr="005B24BD">
        <w:rPr>
          <w:rFonts w:ascii="Times New Roman" w:eastAsia="Times New Roman" w:hAnsi="Times New Roman" w:cs="Times New Roman"/>
          <w:i/>
          <w:iCs/>
          <w:sz w:val="24"/>
          <w:szCs w:val="24"/>
        </w:rPr>
        <w:t xml:space="preserve">Journal of Dermatology and Infectious </w:t>
      </w:r>
      <w:r>
        <w:rPr>
          <w:rFonts w:ascii="Times New Roman" w:eastAsia="Times New Roman" w:hAnsi="Times New Roman" w:cs="Times New Roman"/>
          <w:i/>
          <w:iCs/>
          <w:sz w:val="24"/>
          <w:szCs w:val="24"/>
        </w:rPr>
        <w:tab/>
      </w:r>
      <w:r w:rsidRPr="005B24BD">
        <w:rPr>
          <w:rFonts w:ascii="Times New Roman" w:eastAsia="Times New Roman" w:hAnsi="Times New Roman" w:cs="Times New Roman"/>
          <w:i/>
          <w:iCs/>
          <w:sz w:val="24"/>
          <w:szCs w:val="24"/>
        </w:rPr>
        <w:t>Diseases, 17</w:t>
      </w:r>
      <w:r w:rsidRPr="005B24BD">
        <w:rPr>
          <w:rFonts w:ascii="Times New Roman" w:eastAsia="Times New Roman" w:hAnsi="Times New Roman" w:cs="Times New Roman"/>
          <w:sz w:val="24"/>
          <w:szCs w:val="24"/>
        </w:rPr>
        <w:t>(3), 120-135.</w:t>
      </w:r>
    </w:p>
    <w:p w:rsidR="00F06635" w:rsidRPr="005B24BD" w:rsidRDefault="00F06635" w:rsidP="00F06635">
      <w:pPr>
        <w:spacing w:before="100" w:beforeAutospacing="1" w:after="100" w:afterAutospacing="1" w:line="240" w:lineRule="auto"/>
        <w:rPr>
          <w:rFonts w:ascii="Times New Roman" w:eastAsia="Times New Roman" w:hAnsi="Times New Roman" w:cs="Times New Roman"/>
          <w:sz w:val="24"/>
          <w:szCs w:val="24"/>
        </w:rPr>
      </w:pPr>
      <w:r w:rsidRPr="005B24BD">
        <w:rPr>
          <w:rFonts w:ascii="Times New Roman" w:eastAsia="Times New Roman" w:hAnsi="Times New Roman" w:cs="Times New Roman"/>
          <w:sz w:val="24"/>
          <w:szCs w:val="24"/>
        </w:rPr>
        <w:t xml:space="preserve">Ameen, M., Duggal, S., Khushboo, &amp; Malik, P. (2020). History and evolution of dermatophyte </w:t>
      </w:r>
      <w:r>
        <w:rPr>
          <w:rFonts w:ascii="Times New Roman" w:eastAsia="Times New Roman" w:hAnsi="Times New Roman" w:cs="Times New Roman"/>
          <w:sz w:val="24"/>
          <w:szCs w:val="24"/>
        </w:rPr>
        <w:tab/>
      </w:r>
      <w:r w:rsidRPr="005B24BD">
        <w:rPr>
          <w:rFonts w:ascii="Times New Roman" w:eastAsia="Times New Roman" w:hAnsi="Times New Roman" w:cs="Times New Roman"/>
          <w:sz w:val="24"/>
          <w:szCs w:val="24"/>
        </w:rPr>
        <w:t xml:space="preserve">infections with a focus on </w:t>
      </w:r>
      <w:r w:rsidRPr="00E3654A">
        <w:rPr>
          <w:rFonts w:ascii="Times New Roman" w:eastAsia="Times New Roman" w:hAnsi="Times New Roman" w:cs="Times New Roman"/>
          <w:i/>
          <w:sz w:val="24"/>
          <w:szCs w:val="24"/>
        </w:rPr>
        <w:t>Trichophyton rubrum</w:t>
      </w:r>
      <w:r w:rsidRPr="005B24BD">
        <w:rPr>
          <w:rFonts w:ascii="Times New Roman" w:eastAsia="Times New Roman" w:hAnsi="Times New Roman" w:cs="Times New Roman"/>
          <w:sz w:val="24"/>
          <w:szCs w:val="24"/>
        </w:rPr>
        <w:t xml:space="preserve">. </w:t>
      </w:r>
      <w:r w:rsidRPr="005B24BD">
        <w:rPr>
          <w:rFonts w:ascii="Times New Roman" w:eastAsia="Times New Roman" w:hAnsi="Times New Roman" w:cs="Times New Roman"/>
          <w:i/>
          <w:iCs/>
          <w:sz w:val="24"/>
          <w:szCs w:val="24"/>
        </w:rPr>
        <w:t xml:space="preserve">Journal of Dermatology and Infectious </w:t>
      </w:r>
      <w:r>
        <w:rPr>
          <w:rFonts w:ascii="Times New Roman" w:eastAsia="Times New Roman" w:hAnsi="Times New Roman" w:cs="Times New Roman"/>
          <w:i/>
          <w:iCs/>
          <w:sz w:val="24"/>
          <w:szCs w:val="24"/>
        </w:rPr>
        <w:tab/>
      </w:r>
      <w:r w:rsidRPr="005B24BD">
        <w:rPr>
          <w:rFonts w:ascii="Times New Roman" w:eastAsia="Times New Roman" w:hAnsi="Times New Roman" w:cs="Times New Roman"/>
          <w:i/>
          <w:iCs/>
          <w:sz w:val="24"/>
          <w:szCs w:val="24"/>
        </w:rPr>
        <w:t>Diseases, 17</w:t>
      </w:r>
      <w:r w:rsidRPr="005B24BD">
        <w:rPr>
          <w:rFonts w:ascii="Times New Roman" w:eastAsia="Times New Roman" w:hAnsi="Times New Roman" w:cs="Times New Roman"/>
          <w:sz w:val="24"/>
          <w:szCs w:val="24"/>
        </w:rPr>
        <w:t>(3), 120-135.</w:t>
      </w:r>
    </w:p>
    <w:p w:rsidR="00F06635" w:rsidRDefault="00F06635" w:rsidP="00F06635">
      <w:pPr>
        <w:rPr>
          <w:rFonts w:ascii="Times New Roman" w:hAnsi="Times New Roman" w:cs="Times New Roman"/>
          <w:sz w:val="24"/>
          <w:szCs w:val="24"/>
        </w:rPr>
      </w:pPr>
      <w:r>
        <w:rPr>
          <w:rFonts w:ascii="Times New Roman" w:hAnsi="Times New Roman" w:cs="Times New Roman"/>
          <w:sz w:val="24"/>
          <w:szCs w:val="24"/>
        </w:rPr>
        <w:t xml:space="preserve">Baki, A.S., Bello, A., Mohammad, U.K., Farouq, A.A., Usman, A.A.. (2018) A Survey for </w:t>
      </w:r>
      <w:r>
        <w:rPr>
          <w:rFonts w:ascii="Times New Roman" w:hAnsi="Times New Roman" w:cs="Times New Roman"/>
          <w:sz w:val="24"/>
          <w:szCs w:val="24"/>
        </w:rPr>
        <w:tab/>
        <w:t xml:space="preserve">Onychomycosis among Patients Attending General Hospital Ammannawa, Sokoto State </w:t>
      </w:r>
      <w:r>
        <w:rPr>
          <w:rFonts w:ascii="Times New Roman" w:hAnsi="Times New Roman" w:cs="Times New Roman"/>
          <w:sz w:val="24"/>
          <w:szCs w:val="24"/>
        </w:rPr>
        <w:tab/>
        <w:t xml:space="preserve">Nigeria. </w:t>
      </w:r>
      <w:r w:rsidRPr="005B050C">
        <w:rPr>
          <w:rFonts w:ascii="Times New Roman" w:hAnsi="Times New Roman" w:cs="Times New Roman"/>
          <w:i/>
          <w:sz w:val="24"/>
          <w:szCs w:val="24"/>
        </w:rPr>
        <w:t>Journal Microbiology Pathology</w:t>
      </w:r>
      <w:r>
        <w:rPr>
          <w:rFonts w:ascii="Times New Roman" w:hAnsi="Times New Roman" w:cs="Times New Roman"/>
          <w:sz w:val="24"/>
          <w:szCs w:val="24"/>
        </w:rPr>
        <w:t xml:space="preserve"> 2: 108.</w:t>
      </w:r>
    </w:p>
    <w:p w:rsidR="00F06635" w:rsidRPr="00B53336" w:rsidRDefault="00F06635" w:rsidP="00F06635">
      <w:pPr>
        <w:pStyle w:val="NormalWeb"/>
      </w:pPr>
      <w:r>
        <w:t xml:space="preserve">Bostancı, A. T., Koc, M., &amp; Kizil, S. (2023). Antifungal susceptibility testing of </w:t>
      </w:r>
      <w:r>
        <w:rPr>
          <w:rStyle w:val="Emphasis"/>
        </w:rPr>
        <w:t xml:space="preserve">Trichophyton </w:t>
      </w:r>
      <w:r>
        <w:rPr>
          <w:rStyle w:val="Emphasis"/>
        </w:rPr>
        <w:tab/>
        <w:t>rubrum</w:t>
      </w:r>
      <w:r>
        <w:t xml:space="preserve"> strains isolated from clinical samples. </w:t>
      </w:r>
      <w:r>
        <w:rPr>
          <w:rStyle w:val="Emphasis"/>
        </w:rPr>
        <w:t>Fungal Biology Reviews</w:t>
      </w:r>
      <w:r>
        <w:t xml:space="preserve">, 52(1), 70-75. </w:t>
      </w:r>
      <w:r>
        <w:tab/>
        <w:t>https://doi.org/10.1016/j.fbr.2023.02.007</w:t>
      </w:r>
    </w:p>
    <w:p w:rsidR="00F06635" w:rsidRDefault="00F06635" w:rsidP="00F06635">
      <w:pPr>
        <w:rPr>
          <w:rFonts w:ascii="Times New Roman" w:hAnsi="Times New Roman" w:cs="Times New Roman"/>
          <w:sz w:val="24"/>
          <w:szCs w:val="24"/>
        </w:rPr>
      </w:pPr>
      <w:r>
        <w:rPr>
          <w:rFonts w:ascii="Times New Roman" w:hAnsi="Times New Roman" w:cs="Times New Roman"/>
          <w:sz w:val="24"/>
          <w:szCs w:val="24"/>
        </w:rPr>
        <w:t xml:space="preserve">De Berker, D. A. R., André, J. and Baran, R. (2007). Nail biology and nail science. </w:t>
      </w:r>
      <w:r w:rsidRPr="005B050C">
        <w:rPr>
          <w:rFonts w:ascii="Times New Roman" w:hAnsi="Times New Roman" w:cs="Times New Roman"/>
          <w:i/>
          <w:sz w:val="24"/>
          <w:szCs w:val="24"/>
        </w:rPr>
        <w:t xml:space="preserve">International </w:t>
      </w:r>
      <w:r>
        <w:rPr>
          <w:rFonts w:ascii="Times New Roman" w:hAnsi="Times New Roman" w:cs="Times New Roman"/>
          <w:i/>
          <w:sz w:val="24"/>
          <w:szCs w:val="24"/>
        </w:rPr>
        <w:tab/>
      </w:r>
      <w:r w:rsidRPr="005B050C">
        <w:rPr>
          <w:rFonts w:ascii="Times New Roman" w:hAnsi="Times New Roman" w:cs="Times New Roman"/>
          <w:i/>
          <w:sz w:val="24"/>
          <w:szCs w:val="24"/>
        </w:rPr>
        <w:t>Journal of Cosmetic Science,</w:t>
      </w:r>
      <w:r>
        <w:rPr>
          <w:rFonts w:ascii="Times New Roman" w:hAnsi="Times New Roman" w:cs="Times New Roman"/>
          <w:sz w:val="24"/>
          <w:szCs w:val="24"/>
        </w:rPr>
        <w:t xml:space="preserve"> 29(4); 241–275.</w:t>
      </w:r>
    </w:p>
    <w:p w:rsidR="00F06635" w:rsidRPr="0084036E" w:rsidRDefault="00F06635" w:rsidP="00F06635">
      <w:pPr>
        <w:spacing w:before="100" w:beforeAutospacing="1" w:after="100" w:afterAutospacing="1" w:line="240" w:lineRule="auto"/>
        <w:rPr>
          <w:rFonts w:ascii="Times New Roman" w:eastAsia="Times New Roman" w:hAnsi="Times New Roman" w:cs="Times New Roman"/>
          <w:sz w:val="24"/>
          <w:szCs w:val="24"/>
        </w:rPr>
      </w:pPr>
      <w:r w:rsidRPr="0084036E">
        <w:rPr>
          <w:rFonts w:ascii="Times New Roman" w:eastAsia="Times New Roman" w:hAnsi="Times New Roman" w:cs="Times New Roman"/>
          <w:sz w:val="24"/>
          <w:szCs w:val="24"/>
        </w:rPr>
        <w:lastRenderedPageBreak/>
        <w:t xml:space="preserve">Gupta, A., Venkataraman, M., &amp; Renaud, H. (2021). </w:t>
      </w:r>
      <w:r w:rsidRPr="0084036E">
        <w:rPr>
          <w:rFonts w:ascii="Times New Roman" w:eastAsia="Times New Roman" w:hAnsi="Times New Roman" w:cs="Times New Roman"/>
          <w:i/>
          <w:iCs/>
          <w:sz w:val="24"/>
          <w:szCs w:val="24"/>
        </w:rPr>
        <w:t xml:space="preserve">The changing epidemiology of </w:t>
      </w:r>
      <w:r>
        <w:rPr>
          <w:rFonts w:ascii="Times New Roman" w:eastAsia="Times New Roman" w:hAnsi="Times New Roman" w:cs="Times New Roman"/>
          <w:i/>
          <w:iCs/>
          <w:sz w:val="24"/>
          <w:szCs w:val="24"/>
        </w:rPr>
        <w:tab/>
      </w:r>
      <w:r w:rsidRPr="0084036E">
        <w:rPr>
          <w:rFonts w:ascii="Times New Roman" w:eastAsia="Times New Roman" w:hAnsi="Times New Roman" w:cs="Times New Roman"/>
          <w:i/>
          <w:iCs/>
          <w:sz w:val="24"/>
          <w:szCs w:val="24"/>
        </w:rPr>
        <w:t>dermatophytosis: A global perspective</w:t>
      </w:r>
      <w:r w:rsidRPr="0084036E">
        <w:rPr>
          <w:rFonts w:ascii="Times New Roman" w:eastAsia="Times New Roman" w:hAnsi="Times New Roman" w:cs="Times New Roman"/>
          <w:sz w:val="24"/>
          <w:szCs w:val="24"/>
        </w:rPr>
        <w:t xml:space="preserve">. Mycoses, </w:t>
      </w:r>
      <w:r w:rsidRPr="0084036E">
        <w:rPr>
          <w:rFonts w:ascii="Times New Roman" w:eastAsia="Times New Roman" w:hAnsi="Times New Roman" w:cs="Times New Roman"/>
          <w:i/>
          <w:iCs/>
          <w:sz w:val="24"/>
          <w:szCs w:val="24"/>
        </w:rPr>
        <w:t>64</w:t>
      </w:r>
      <w:r w:rsidRPr="0084036E">
        <w:rPr>
          <w:rFonts w:ascii="Times New Roman" w:eastAsia="Times New Roman" w:hAnsi="Times New Roman" w:cs="Times New Roman"/>
          <w:sz w:val="24"/>
          <w:szCs w:val="24"/>
        </w:rPr>
        <w:t xml:space="preserve">(6), 582–589. </w:t>
      </w:r>
      <w:r>
        <w:rPr>
          <w:rFonts w:ascii="Times New Roman" w:eastAsia="Times New Roman" w:hAnsi="Times New Roman" w:cs="Times New Roman"/>
          <w:sz w:val="24"/>
          <w:szCs w:val="24"/>
        </w:rPr>
        <w:tab/>
      </w:r>
      <w:hyperlink r:id="rId10" w:tgtFrame="_blank" w:history="1">
        <w:r w:rsidRPr="0084036E">
          <w:rPr>
            <w:rFonts w:ascii="Times New Roman" w:eastAsia="Times New Roman" w:hAnsi="Times New Roman" w:cs="Times New Roman"/>
            <w:color w:val="0000FF"/>
            <w:sz w:val="24"/>
            <w:szCs w:val="24"/>
            <w:u w:val="single"/>
          </w:rPr>
          <w:t>https://doi.org/10.1111/myc.13247</w:t>
        </w:r>
      </w:hyperlink>
    </w:p>
    <w:p w:rsidR="00F06635" w:rsidRDefault="00F06635" w:rsidP="00F06635">
      <w:pPr>
        <w:rPr>
          <w:rFonts w:ascii="Times New Roman" w:hAnsi="Times New Roman" w:cs="Times New Roman"/>
          <w:sz w:val="24"/>
          <w:szCs w:val="24"/>
        </w:rPr>
      </w:pPr>
      <w:r>
        <w:rPr>
          <w:rFonts w:ascii="Times New Roman" w:hAnsi="Times New Roman" w:cs="Times New Roman"/>
          <w:sz w:val="24"/>
          <w:szCs w:val="24"/>
        </w:rPr>
        <w:t xml:space="preserve">Jazdarehee, A., Malekafzali, L., Lee, J., Lewis, R. and Mukovozov, I. (2022). Transmission of </w:t>
      </w:r>
      <w:r>
        <w:rPr>
          <w:rFonts w:ascii="Times New Roman" w:hAnsi="Times New Roman" w:cs="Times New Roman"/>
          <w:sz w:val="24"/>
          <w:szCs w:val="24"/>
        </w:rPr>
        <w:tab/>
        <w:t xml:space="preserve">Onychomycosis and Dermatophytosis between Household Members: A Scoping Review. </w:t>
      </w:r>
      <w:r>
        <w:rPr>
          <w:rFonts w:ascii="Times New Roman" w:hAnsi="Times New Roman" w:cs="Times New Roman"/>
          <w:sz w:val="24"/>
          <w:szCs w:val="24"/>
        </w:rPr>
        <w:tab/>
      </w:r>
      <w:r w:rsidRPr="005B050C">
        <w:rPr>
          <w:rFonts w:ascii="Times New Roman" w:hAnsi="Times New Roman" w:cs="Times New Roman"/>
          <w:i/>
          <w:sz w:val="24"/>
          <w:szCs w:val="24"/>
        </w:rPr>
        <w:t>Journal of Fungi,</w:t>
      </w:r>
      <w:r>
        <w:rPr>
          <w:rFonts w:ascii="Times New Roman" w:hAnsi="Times New Roman" w:cs="Times New Roman"/>
          <w:sz w:val="24"/>
          <w:szCs w:val="24"/>
        </w:rPr>
        <w:t xml:space="preserve"> 8, 60.</w:t>
      </w:r>
    </w:p>
    <w:p w:rsidR="00F06635" w:rsidRDefault="00F06635" w:rsidP="00F0663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Okeke, M. I., Okoli, A. S., &amp; Eze, P. M. (2023). Antifungal potential of Nigerian medicinal </w:t>
      </w:r>
      <w:r>
        <w:rPr>
          <w:rFonts w:ascii="Times New Roman" w:eastAsia="Times New Roman" w:hAnsi="Times New Roman" w:cs="Times New Roman"/>
          <w:sz w:val="24"/>
          <w:szCs w:val="24"/>
        </w:rPr>
        <w:tab/>
        <w:t xml:space="preserve">plants: A review. </w:t>
      </w:r>
      <w:r>
        <w:rPr>
          <w:rFonts w:ascii="Times New Roman" w:eastAsia="Times New Roman" w:hAnsi="Times New Roman" w:cs="Times New Roman"/>
          <w:i/>
          <w:iCs/>
          <w:sz w:val="24"/>
          <w:szCs w:val="24"/>
        </w:rPr>
        <w:t xml:space="preserve">African Journal of Traditional, Complementary, and Alternative </w:t>
      </w:r>
      <w:r>
        <w:rPr>
          <w:rFonts w:ascii="Times New Roman" w:eastAsia="Times New Roman" w:hAnsi="Times New Roman" w:cs="Times New Roman"/>
          <w:i/>
          <w:iCs/>
          <w:sz w:val="24"/>
          <w:szCs w:val="24"/>
        </w:rPr>
        <w:tab/>
        <w:t>Medicines, 20</w:t>
      </w:r>
      <w:r>
        <w:rPr>
          <w:rFonts w:ascii="Times New Roman" w:eastAsia="Times New Roman" w:hAnsi="Times New Roman" w:cs="Times New Roman"/>
          <w:sz w:val="24"/>
          <w:szCs w:val="24"/>
        </w:rPr>
        <w:t xml:space="preserve">(1), 45-56. </w:t>
      </w:r>
      <w:hyperlink r:id="rId11" w:tgtFrame="_blank" w:history="1">
        <w:r>
          <w:rPr>
            <w:rStyle w:val="Hyperlink"/>
            <w:sz w:val="24"/>
            <w:szCs w:val="24"/>
          </w:rPr>
          <w:t>https://doi.org/10.21010/ajtcam.v20i1.5</w:t>
        </w:r>
      </w:hyperlink>
    </w:p>
    <w:p w:rsidR="00F06635" w:rsidRDefault="00F06635" w:rsidP="00F06635">
      <w:pPr>
        <w:pStyle w:val="NormalWeb"/>
      </w:pPr>
      <w:r>
        <w:t xml:space="preserve">Sullivan, S., &amp; Patel, N. (2020). Fluconazole pharmacodynamics and resistance mechanisms in </w:t>
      </w:r>
      <w:r>
        <w:tab/>
        <w:t xml:space="preserve">dermatophytes. </w:t>
      </w:r>
      <w:r>
        <w:rPr>
          <w:rStyle w:val="Emphasis"/>
        </w:rPr>
        <w:t>Antimicrobial Agents and Chemotherapy</w:t>
      </w:r>
      <w:r>
        <w:t xml:space="preserve">, 64(5), 512-520. </w:t>
      </w:r>
      <w:r>
        <w:tab/>
        <w:t>https://doi.org/10.1128/AAC.02159-19</w:t>
      </w:r>
    </w:p>
    <w:p w:rsidR="00F06635" w:rsidRDefault="00F06635" w:rsidP="00F06635">
      <w:pPr>
        <w:rPr>
          <w:rFonts w:ascii="Times New Roman" w:hAnsi="Times New Roman" w:cs="Times New Roman"/>
          <w:sz w:val="24"/>
          <w:szCs w:val="24"/>
        </w:rPr>
      </w:pPr>
      <w:r>
        <w:rPr>
          <w:rFonts w:ascii="Times New Roman" w:hAnsi="Times New Roman" w:cs="Times New Roman"/>
          <w:sz w:val="24"/>
          <w:szCs w:val="24"/>
        </w:rPr>
        <w:t xml:space="preserve">Westerberg, D. P. and Voyack, M. J. (2013). Onychomycosis: Current trends in diagnosis and </w:t>
      </w:r>
      <w:r>
        <w:rPr>
          <w:rFonts w:ascii="Times New Roman" w:hAnsi="Times New Roman" w:cs="Times New Roman"/>
          <w:sz w:val="24"/>
          <w:szCs w:val="24"/>
        </w:rPr>
        <w:tab/>
        <w:t xml:space="preserve">treatment. </w:t>
      </w:r>
      <w:r w:rsidRPr="005B050C">
        <w:rPr>
          <w:rFonts w:ascii="Times New Roman" w:hAnsi="Times New Roman" w:cs="Times New Roman"/>
          <w:i/>
          <w:sz w:val="24"/>
          <w:szCs w:val="24"/>
        </w:rPr>
        <w:t>American Family Physician</w:t>
      </w:r>
      <w:r>
        <w:rPr>
          <w:rFonts w:ascii="Times New Roman" w:hAnsi="Times New Roman" w:cs="Times New Roman"/>
          <w:sz w:val="24"/>
          <w:szCs w:val="24"/>
        </w:rPr>
        <w:t>, 88(11); 762–770.</w:t>
      </w:r>
    </w:p>
    <w:p w:rsidR="00F06635" w:rsidRPr="0084036E" w:rsidRDefault="00F06635" w:rsidP="00F06635">
      <w:pPr>
        <w:spacing w:before="100" w:beforeAutospacing="1" w:after="100" w:afterAutospacing="1" w:line="240" w:lineRule="auto"/>
        <w:rPr>
          <w:rFonts w:ascii="Times New Roman" w:eastAsia="Times New Roman" w:hAnsi="Times New Roman" w:cs="Times New Roman"/>
          <w:sz w:val="24"/>
          <w:szCs w:val="24"/>
        </w:rPr>
      </w:pPr>
      <w:r w:rsidRPr="0084036E">
        <w:rPr>
          <w:rFonts w:ascii="Times New Roman" w:eastAsia="Times New Roman" w:hAnsi="Times New Roman" w:cs="Times New Roman"/>
          <w:sz w:val="24"/>
          <w:szCs w:val="24"/>
        </w:rPr>
        <w:t xml:space="preserve">Zhan, P., &amp; Liu, W. (2022). </w:t>
      </w:r>
      <w:r w:rsidRPr="00304A9B">
        <w:rPr>
          <w:rFonts w:ascii="Times New Roman" w:eastAsia="Times New Roman" w:hAnsi="Times New Roman" w:cs="Times New Roman"/>
          <w:iCs/>
          <w:sz w:val="24"/>
          <w:szCs w:val="24"/>
        </w:rPr>
        <w:t xml:space="preserve">The changing face of dermatophytosis: Emerging trends and new </w:t>
      </w:r>
      <w:r w:rsidRPr="00304A9B">
        <w:rPr>
          <w:rFonts w:ascii="Times New Roman" w:eastAsia="Times New Roman" w:hAnsi="Times New Roman" w:cs="Times New Roman"/>
          <w:iCs/>
          <w:sz w:val="24"/>
          <w:szCs w:val="24"/>
        </w:rPr>
        <w:tab/>
        <w:t>challenges</w:t>
      </w:r>
      <w:r w:rsidRPr="00304A9B">
        <w:rPr>
          <w:rFonts w:ascii="Times New Roman" w:eastAsia="Times New Roman" w:hAnsi="Times New Roman" w:cs="Times New Roman"/>
          <w:sz w:val="24"/>
          <w:szCs w:val="24"/>
        </w:rPr>
        <w:t>.</w:t>
      </w:r>
      <w:r w:rsidRPr="00304A9B">
        <w:rPr>
          <w:rFonts w:ascii="Times New Roman" w:eastAsia="Times New Roman" w:hAnsi="Times New Roman" w:cs="Times New Roman"/>
          <w:i/>
          <w:sz w:val="24"/>
          <w:szCs w:val="24"/>
        </w:rPr>
        <w:t>Frontiers in Microbiology</w:t>
      </w:r>
      <w:r w:rsidRPr="0084036E">
        <w:rPr>
          <w:rFonts w:ascii="Times New Roman" w:eastAsia="Times New Roman" w:hAnsi="Times New Roman" w:cs="Times New Roman"/>
          <w:sz w:val="24"/>
          <w:szCs w:val="24"/>
        </w:rPr>
        <w:t xml:space="preserve">, </w:t>
      </w:r>
      <w:r w:rsidRPr="0084036E">
        <w:rPr>
          <w:rFonts w:ascii="Times New Roman" w:eastAsia="Times New Roman" w:hAnsi="Times New Roman" w:cs="Times New Roman"/>
          <w:i/>
          <w:iCs/>
          <w:sz w:val="24"/>
          <w:szCs w:val="24"/>
        </w:rPr>
        <w:t>13</w:t>
      </w:r>
      <w:r w:rsidRPr="0084036E">
        <w:rPr>
          <w:rFonts w:ascii="Times New Roman" w:eastAsia="Times New Roman" w:hAnsi="Times New Roman" w:cs="Times New Roman"/>
          <w:sz w:val="24"/>
          <w:szCs w:val="24"/>
        </w:rPr>
        <w:t xml:space="preserve">, 987312. </w:t>
      </w:r>
      <w:r>
        <w:rPr>
          <w:rFonts w:ascii="Times New Roman" w:eastAsia="Times New Roman" w:hAnsi="Times New Roman" w:cs="Times New Roman"/>
          <w:sz w:val="24"/>
          <w:szCs w:val="24"/>
        </w:rPr>
        <w:tab/>
      </w:r>
      <w:hyperlink r:id="rId12" w:tgtFrame="_blank" w:history="1">
        <w:r w:rsidRPr="0084036E">
          <w:rPr>
            <w:rFonts w:ascii="Times New Roman" w:eastAsia="Times New Roman" w:hAnsi="Times New Roman" w:cs="Times New Roman"/>
            <w:color w:val="0000FF"/>
            <w:sz w:val="24"/>
            <w:szCs w:val="24"/>
            <w:u w:val="single"/>
          </w:rPr>
          <w:t>https://doi.org/10.3389/fmicb.2022.987312</w:t>
        </w:r>
      </w:hyperlink>
    </w:p>
    <w:p w:rsidR="00F06635" w:rsidRPr="00922300" w:rsidRDefault="00F06635" w:rsidP="00D768F6">
      <w:pPr>
        <w:spacing w:before="100" w:beforeAutospacing="1" w:after="100" w:afterAutospacing="1" w:line="240" w:lineRule="auto"/>
        <w:rPr>
          <w:rFonts w:ascii="Times New Roman" w:eastAsia="Times New Roman" w:hAnsi="Times New Roman" w:cs="Times New Roman"/>
          <w:b/>
          <w:sz w:val="24"/>
          <w:szCs w:val="24"/>
        </w:rPr>
      </w:pPr>
    </w:p>
    <w:p w:rsidR="00877EF9" w:rsidRDefault="00877EF9" w:rsidP="00D768F6">
      <w:pPr>
        <w:spacing w:line="240" w:lineRule="auto"/>
      </w:pPr>
    </w:p>
    <w:sectPr w:rsidR="00877EF9" w:rsidSect="00640BE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USER" w:date="2026-04-01T20:17:00Z" w:initials="U">
    <w:p w:rsidR="00802A2E" w:rsidRDefault="00802A2E">
      <w:pPr>
        <w:pStyle w:val="CommentText"/>
      </w:pPr>
      <w:r>
        <w:rPr>
          <w:rStyle w:val="CommentReference"/>
        </w:rPr>
        <w:annotationRef/>
      </w:r>
      <w:r w:rsidR="00581100">
        <w:t xml:space="preserve">Not necessary </w:t>
      </w:r>
    </w:p>
  </w:comment>
  <w:comment w:id="2" w:author="USER" w:date="2026-04-01T19:38:00Z" w:initials="U">
    <w:p w:rsidR="0034343A" w:rsidRDefault="0034343A">
      <w:pPr>
        <w:pStyle w:val="CommentText"/>
      </w:pPr>
      <w:r>
        <w:rPr>
          <w:rStyle w:val="CommentReference"/>
        </w:rPr>
        <w:annotationRef/>
      </w:r>
      <w:r>
        <w:t xml:space="preserve">Add Space </w:t>
      </w:r>
    </w:p>
  </w:comment>
  <w:comment w:id="3" w:author="USER" w:date="2026-04-01T19:38:00Z" w:initials="U">
    <w:p w:rsidR="0034343A" w:rsidRDefault="0034343A">
      <w:pPr>
        <w:pStyle w:val="CommentText"/>
      </w:pPr>
      <w:r>
        <w:rPr>
          <w:rStyle w:val="CommentReference"/>
        </w:rPr>
        <w:annotationRef/>
      </w:r>
      <w:r>
        <w:t xml:space="preserve">Add space </w:t>
      </w:r>
    </w:p>
  </w:comment>
  <w:comment w:id="4" w:author="USER" w:date="2026-04-01T19:39:00Z" w:initials="U">
    <w:p w:rsidR="0034343A" w:rsidRDefault="0034343A">
      <w:pPr>
        <w:pStyle w:val="CommentText"/>
      </w:pPr>
      <w:r>
        <w:rPr>
          <w:rStyle w:val="CommentReference"/>
        </w:rPr>
        <w:annotationRef/>
      </w:r>
      <w:r>
        <w:t xml:space="preserve">Give the identification numbers of the plants </w:t>
      </w:r>
    </w:p>
  </w:comment>
  <w:comment w:id="5" w:author="USER" w:date="2026-04-01T19:40:00Z" w:initials="U">
    <w:p w:rsidR="0034343A" w:rsidRDefault="0034343A">
      <w:pPr>
        <w:pStyle w:val="CommentText"/>
      </w:pPr>
      <w:r>
        <w:rPr>
          <w:rStyle w:val="CommentReference"/>
        </w:rPr>
        <w:annotationRef/>
      </w:r>
      <w:r>
        <w:t>What two methods?</w:t>
      </w:r>
    </w:p>
  </w:comment>
  <w:comment w:id="6" w:author="USER" w:date="2026-04-01T19:41:00Z" w:initials="U">
    <w:p w:rsidR="0034343A" w:rsidRDefault="0034343A">
      <w:pPr>
        <w:pStyle w:val="CommentText"/>
      </w:pPr>
      <w:r>
        <w:rPr>
          <w:rStyle w:val="CommentReference"/>
        </w:rPr>
        <w:annotationRef/>
      </w:r>
      <w:r>
        <w:t>Water bath</w:t>
      </w:r>
    </w:p>
  </w:comment>
  <w:comment w:id="7" w:author="USER" w:date="2026-04-01T19:45:00Z" w:initials="U">
    <w:p w:rsidR="0034343A" w:rsidRDefault="0034343A">
      <w:pPr>
        <w:pStyle w:val="CommentText"/>
      </w:pPr>
      <w:r>
        <w:rPr>
          <w:rStyle w:val="CommentReference"/>
        </w:rPr>
        <w:annotationRef/>
      </w:r>
      <w:r>
        <w:t xml:space="preserve">Cite the reference used for Phytochemical screeing </w:t>
      </w:r>
    </w:p>
  </w:comment>
  <w:comment w:id="8" w:author="USER" w:date="2026-04-01T19:50:00Z" w:initials="U">
    <w:p w:rsidR="0034343A" w:rsidRDefault="0034343A">
      <w:pPr>
        <w:pStyle w:val="CommentText"/>
      </w:pPr>
      <w:r>
        <w:rPr>
          <w:rStyle w:val="CommentReference"/>
        </w:rPr>
        <w:annotationRef/>
      </w:r>
      <w:r>
        <w:t>sulphuric</w:t>
      </w:r>
    </w:p>
  </w:comment>
  <w:comment w:id="9" w:author="USER" w:date="2026-04-01T19:47:00Z" w:initials="U">
    <w:p w:rsidR="0034343A" w:rsidRDefault="0034343A">
      <w:pPr>
        <w:pStyle w:val="CommentText"/>
      </w:pPr>
      <w:r>
        <w:rPr>
          <w:rStyle w:val="CommentReference"/>
        </w:rPr>
        <w:annotationRef/>
      </w:r>
      <w:r>
        <w:t xml:space="preserve">Not clearly explained </w:t>
      </w:r>
    </w:p>
  </w:comment>
  <w:comment w:id="10" w:author="USER" w:date="2026-04-01T19:47:00Z" w:initials="U">
    <w:p w:rsidR="0034343A" w:rsidRDefault="0034343A">
      <w:pPr>
        <w:pStyle w:val="CommentText"/>
      </w:pPr>
      <w:r>
        <w:rPr>
          <w:rStyle w:val="CommentReference"/>
        </w:rPr>
        <w:annotationRef/>
      </w:r>
      <w:r>
        <w:t>each</w:t>
      </w:r>
    </w:p>
  </w:comment>
  <w:comment w:id="11" w:author="USER" w:date="2026-04-01T20:07:00Z" w:initials="U">
    <w:p w:rsidR="0034343A" w:rsidRDefault="0034343A">
      <w:pPr>
        <w:pStyle w:val="CommentText"/>
      </w:pPr>
      <w:r>
        <w:rPr>
          <w:rStyle w:val="CommentReference"/>
        </w:rPr>
        <w:annotationRef/>
      </w:r>
      <w:r>
        <w:rPr>
          <w:rFonts w:ascii="Arial-BoldMT" w:hAnsi="Arial-BoldMT" w:cs="Arial-BoldMT"/>
          <w:b/>
          <w:bCs/>
        </w:rPr>
        <w:t xml:space="preserve"> Key: (</w:t>
      </w:r>
      <w:r>
        <w:rPr>
          <w:rFonts w:ascii="ArialMT" w:eastAsia="ArialMT" w:hAnsi="Arial-BoldMT" w:cs="ArialMT"/>
        </w:rPr>
        <w:t>+) = present, (-) = absent</w:t>
      </w:r>
    </w:p>
  </w:comment>
  <w:comment w:id="12" w:author="USER" w:date="2026-04-01T19:57:00Z" w:initials="U">
    <w:p w:rsidR="007E5DE1" w:rsidRDefault="007E5DE1">
      <w:pPr>
        <w:pStyle w:val="CommentText"/>
      </w:pPr>
      <w:r>
        <w:rPr>
          <w:rStyle w:val="CommentReference"/>
        </w:rPr>
        <w:annotationRef/>
      </w:r>
      <w:r>
        <w:t>Discussion</w:t>
      </w:r>
    </w:p>
  </w:comment>
  <w:comment w:id="13" w:author="USER" w:date="2026-04-01T20:05:00Z" w:initials="U">
    <w:p w:rsidR="00802A2E" w:rsidRDefault="00802A2E">
      <w:pPr>
        <w:pStyle w:val="CommentText"/>
      </w:pPr>
      <w:r>
        <w:rPr>
          <w:rStyle w:val="CommentReference"/>
        </w:rPr>
        <w:annotationRef/>
      </w:r>
      <w:r>
        <w:t>Conclusion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6F86" w:rsidRDefault="00966F86" w:rsidP="00CC5BCF">
      <w:pPr>
        <w:spacing w:after="0" w:line="240" w:lineRule="auto"/>
      </w:pPr>
      <w:r>
        <w:separator/>
      </w:r>
    </w:p>
  </w:endnote>
  <w:endnote w:type="continuationSeparator" w:id="1">
    <w:p w:rsidR="00966F86" w:rsidRDefault="00966F86" w:rsidP="00CC5B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auto"/>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575" w:rsidRDefault="000C05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1955654"/>
      <w:docPartObj>
        <w:docPartGallery w:val="Page Numbers (Bottom of Page)"/>
        <w:docPartUnique/>
      </w:docPartObj>
    </w:sdtPr>
    <w:sdtEndPr>
      <w:rPr>
        <w:noProof/>
      </w:rPr>
    </w:sdtEndPr>
    <w:sdtContent>
      <w:p w:rsidR="00CC5BCF" w:rsidRDefault="00640BE9">
        <w:pPr>
          <w:pStyle w:val="Footer"/>
          <w:jc w:val="center"/>
        </w:pPr>
        <w:r>
          <w:fldChar w:fldCharType="begin"/>
        </w:r>
        <w:r w:rsidR="00CC5BCF">
          <w:instrText xml:space="preserve"> PAGE   \* MERGEFORMAT </w:instrText>
        </w:r>
        <w:r>
          <w:fldChar w:fldCharType="separate"/>
        </w:r>
        <w:r w:rsidR="00581100">
          <w:rPr>
            <w:noProof/>
          </w:rPr>
          <w:t>1</w:t>
        </w:r>
        <w:r>
          <w:rPr>
            <w:noProof/>
          </w:rPr>
          <w:fldChar w:fldCharType="end"/>
        </w:r>
      </w:p>
    </w:sdtContent>
  </w:sdt>
  <w:p w:rsidR="00CC5BCF" w:rsidRDefault="00CC5BC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575" w:rsidRDefault="000C05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6F86" w:rsidRDefault="00966F86" w:rsidP="00CC5BCF">
      <w:pPr>
        <w:spacing w:after="0" w:line="240" w:lineRule="auto"/>
      </w:pPr>
      <w:r>
        <w:separator/>
      </w:r>
    </w:p>
  </w:footnote>
  <w:footnote w:type="continuationSeparator" w:id="1">
    <w:p w:rsidR="00966F86" w:rsidRDefault="00966F86" w:rsidP="00CC5B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575" w:rsidRDefault="00640BE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6848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575" w:rsidRDefault="00640BE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6848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575" w:rsidRDefault="00640BE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6848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C564F"/>
    <w:rsid w:val="00090236"/>
    <w:rsid w:val="000B776B"/>
    <w:rsid w:val="000C0575"/>
    <w:rsid w:val="003315D9"/>
    <w:rsid w:val="0034343A"/>
    <w:rsid w:val="00343476"/>
    <w:rsid w:val="003726FF"/>
    <w:rsid w:val="00466898"/>
    <w:rsid w:val="004D418A"/>
    <w:rsid w:val="004D51A5"/>
    <w:rsid w:val="00581100"/>
    <w:rsid w:val="0058184B"/>
    <w:rsid w:val="00597285"/>
    <w:rsid w:val="00640BE9"/>
    <w:rsid w:val="007E5DE1"/>
    <w:rsid w:val="00802A2E"/>
    <w:rsid w:val="00877EF9"/>
    <w:rsid w:val="00922300"/>
    <w:rsid w:val="00966F86"/>
    <w:rsid w:val="00976C71"/>
    <w:rsid w:val="009801D6"/>
    <w:rsid w:val="009D0223"/>
    <w:rsid w:val="00AC564F"/>
    <w:rsid w:val="00B65E89"/>
    <w:rsid w:val="00B83281"/>
    <w:rsid w:val="00C31034"/>
    <w:rsid w:val="00CC5BCF"/>
    <w:rsid w:val="00CF0BA3"/>
    <w:rsid w:val="00D768F6"/>
    <w:rsid w:val="00DB49A4"/>
    <w:rsid w:val="00DD4ABA"/>
    <w:rsid w:val="00E0668F"/>
    <w:rsid w:val="00F06635"/>
    <w:rsid w:val="00F166AC"/>
    <w:rsid w:val="00F655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6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lement-citation">
    <w:name w:val="element-citation"/>
    <w:basedOn w:val="DefaultParagraphFont"/>
    <w:rsid w:val="00F655CC"/>
  </w:style>
  <w:style w:type="table" w:styleId="TableGrid">
    <w:name w:val="Table Grid"/>
    <w:basedOn w:val="TableNormal"/>
    <w:uiPriority w:val="39"/>
    <w:rsid w:val="005818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58184B"/>
    <w:rPr>
      <w:i/>
      <w:iCs/>
    </w:rPr>
  </w:style>
  <w:style w:type="paragraph" w:styleId="NormalWeb">
    <w:name w:val="Normal (Web)"/>
    <w:basedOn w:val="Normal"/>
    <w:uiPriority w:val="99"/>
    <w:unhideWhenUsed/>
    <w:rsid w:val="0058184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C5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BCF"/>
  </w:style>
  <w:style w:type="paragraph" w:styleId="Footer">
    <w:name w:val="footer"/>
    <w:basedOn w:val="Normal"/>
    <w:link w:val="FooterChar"/>
    <w:uiPriority w:val="99"/>
    <w:unhideWhenUsed/>
    <w:rsid w:val="00CC5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BCF"/>
  </w:style>
  <w:style w:type="character" w:styleId="Hyperlink">
    <w:name w:val="Hyperlink"/>
    <w:basedOn w:val="DefaultParagraphFont"/>
    <w:uiPriority w:val="99"/>
    <w:unhideWhenUsed/>
    <w:rsid w:val="00F06635"/>
    <w:rPr>
      <w:color w:val="0000FF"/>
      <w:u w:val="single"/>
    </w:rPr>
  </w:style>
  <w:style w:type="character" w:customStyle="1" w:styleId="UnresolvedMention">
    <w:name w:val="Unresolved Mention"/>
    <w:basedOn w:val="DefaultParagraphFont"/>
    <w:uiPriority w:val="99"/>
    <w:semiHidden/>
    <w:unhideWhenUsed/>
    <w:rsid w:val="003315D9"/>
    <w:rPr>
      <w:color w:val="605E5C"/>
      <w:shd w:val="clear" w:color="auto" w:fill="E1DFDD"/>
    </w:rPr>
  </w:style>
  <w:style w:type="character" w:styleId="CommentReference">
    <w:name w:val="annotation reference"/>
    <w:basedOn w:val="DefaultParagraphFont"/>
    <w:uiPriority w:val="99"/>
    <w:semiHidden/>
    <w:unhideWhenUsed/>
    <w:rsid w:val="0034343A"/>
    <w:rPr>
      <w:sz w:val="16"/>
      <w:szCs w:val="16"/>
    </w:rPr>
  </w:style>
  <w:style w:type="paragraph" w:styleId="CommentText">
    <w:name w:val="annotation text"/>
    <w:basedOn w:val="Normal"/>
    <w:link w:val="CommentTextChar"/>
    <w:uiPriority w:val="99"/>
    <w:semiHidden/>
    <w:unhideWhenUsed/>
    <w:rsid w:val="0034343A"/>
    <w:pPr>
      <w:spacing w:line="240" w:lineRule="auto"/>
    </w:pPr>
    <w:rPr>
      <w:sz w:val="20"/>
      <w:szCs w:val="20"/>
    </w:rPr>
  </w:style>
  <w:style w:type="character" w:customStyle="1" w:styleId="CommentTextChar">
    <w:name w:val="Comment Text Char"/>
    <w:basedOn w:val="DefaultParagraphFont"/>
    <w:link w:val="CommentText"/>
    <w:uiPriority w:val="99"/>
    <w:semiHidden/>
    <w:rsid w:val="0034343A"/>
    <w:rPr>
      <w:sz w:val="20"/>
      <w:szCs w:val="20"/>
    </w:rPr>
  </w:style>
  <w:style w:type="paragraph" w:styleId="CommentSubject">
    <w:name w:val="annotation subject"/>
    <w:basedOn w:val="CommentText"/>
    <w:next w:val="CommentText"/>
    <w:link w:val="CommentSubjectChar"/>
    <w:uiPriority w:val="99"/>
    <w:semiHidden/>
    <w:unhideWhenUsed/>
    <w:rsid w:val="0034343A"/>
    <w:rPr>
      <w:b/>
      <w:bCs/>
    </w:rPr>
  </w:style>
  <w:style w:type="character" w:customStyle="1" w:styleId="CommentSubjectChar">
    <w:name w:val="Comment Subject Char"/>
    <w:basedOn w:val="CommentTextChar"/>
    <w:link w:val="CommentSubject"/>
    <w:uiPriority w:val="99"/>
    <w:semiHidden/>
    <w:rsid w:val="0034343A"/>
    <w:rPr>
      <w:b/>
      <w:bCs/>
    </w:rPr>
  </w:style>
  <w:style w:type="paragraph" w:styleId="BalloonText">
    <w:name w:val="Balloon Text"/>
    <w:basedOn w:val="Normal"/>
    <w:link w:val="BalloonTextChar"/>
    <w:uiPriority w:val="99"/>
    <w:semiHidden/>
    <w:unhideWhenUsed/>
    <w:rsid w:val="003434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4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040/IJPSR.0975-8232"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doi.org/10.3389/fmicb.2022.987312"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21010/ajtcam.v20i1.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111/myc.1324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390/jof6030123"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4FC7E-DA3F-4F1B-B158-71901A5AC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11</Pages>
  <Words>4633</Words>
  <Characters>26414</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21</cp:revision>
  <dcterms:created xsi:type="dcterms:W3CDTF">2026-03-20T09:58:00Z</dcterms:created>
  <dcterms:modified xsi:type="dcterms:W3CDTF">2026-04-01T19:17:00Z</dcterms:modified>
</cp:coreProperties>
</file>