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FBBF" w14:textId="77777777" w:rsidR="00625BE5" w:rsidRPr="00625BE5" w:rsidRDefault="00625BE5" w:rsidP="00625BE5">
      <w:pPr>
        <w:spacing w:after="240"/>
        <w:jc w:val="center"/>
        <w:rPr>
          <w:rFonts w:eastAsia="Arial"/>
          <w:b/>
          <w:bCs/>
          <w:i/>
          <w:iCs/>
          <w:color w:val="000000" w:themeColor="text1"/>
          <w:sz w:val="40"/>
          <w:szCs w:val="40"/>
          <w:u w:val="single"/>
          <w:lang w:val="en-US"/>
        </w:rPr>
      </w:pPr>
      <w:r w:rsidRPr="00625BE5">
        <w:rPr>
          <w:rFonts w:eastAsia="Arial"/>
          <w:b/>
          <w:bCs/>
          <w:i/>
          <w:iCs/>
          <w:color w:val="000000" w:themeColor="text1"/>
          <w:sz w:val="40"/>
          <w:szCs w:val="40"/>
          <w:u w:val="single"/>
          <w:lang w:val="en-US"/>
        </w:rPr>
        <w:t>Review Article</w:t>
      </w:r>
    </w:p>
    <w:p w14:paraId="03157A6B" w14:textId="4B362DC6" w:rsidR="002E562C" w:rsidRDefault="00170421" w:rsidP="002E562C">
      <w:pPr>
        <w:spacing w:after="240"/>
        <w:jc w:val="center"/>
        <w:rPr>
          <w:rFonts w:eastAsia="Arial"/>
          <w:b/>
          <w:bCs/>
          <w:color w:val="000000" w:themeColor="text1"/>
          <w:sz w:val="40"/>
          <w:szCs w:val="40"/>
        </w:rPr>
      </w:pPr>
      <w:r w:rsidRPr="002E562C">
        <w:rPr>
          <w:rFonts w:eastAsia="Arial"/>
          <w:b/>
          <w:bCs/>
          <w:color w:val="000000" w:themeColor="text1"/>
          <w:sz w:val="40"/>
          <w:szCs w:val="40"/>
        </w:rPr>
        <w:t>Smart Breeding: Integrating AI, Genomics</w:t>
      </w:r>
      <w:r w:rsidR="00CF20A5" w:rsidRPr="002E562C">
        <w:rPr>
          <w:rFonts w:eastAsia="Arial"/>
          <w:b/>
          <w:bCs/>
          <w:color w:val="000000" w:themeColor="text1"/>
          <w:sz w:val="40"/>
          <w:szCs w:val="40"/>
        </w:rPr>
        <w:t xml:space="preserve"> and</w:t>
      </w:r>
      <w:r w:rsidRPr="002E562C">
        <w:rPr>
          <w:rFonts w:eastAsia="Arial"/>
          <w:b/>
          <w:bCs/>
          <w:color w:val="000000" w:themeColor="text1"/>
          <w:sz w:val="40"/>
          <w:szCs w:val="40"/>
        </w:rPr>
        <w:t xml:space="preserve"> </w:t>
      </w:r>
      <w:proofErr w:type="spellStart"/>
      <w:r w:rsidRPr="002E562C">
        <w:rPr>
          <w:rFonts w:eastAsia="Arial"/>
          <w:b/>
          <w:bCs/>
          <w:color w:val="000000" w:themeColor="text1"/>
          <w:sz w:val="40"/>
          <w:szCs w:val="40"/>
        </w:rPr>
        <w:t>Phenomics</w:t>
      </w:r>
      <w:proofErr w:type="spellEnd"/>
      <w:r w:rsidRPr="002E562C">
        <w:rPr>
          <w:rFonts w:eastAsia="Arial"/>
          <w:b/>
          <w:bCs/>
          <w:color w:val="000000" w:themeColor="text1"/>
          <w:sz w:val="40"/>
          <w:szCs w:val="40"/>
        </w:rPr>
        <w:t xml:space="preserve"> for Next-Generation Crops</w:t>
      </w:r>
      <w:r w:rsidR="00D92344" w:rsidRPr="002E562C">
        <w:rPr>
          <w:rFonts w:eastAsia="Arial"/>
          <w:b/>
          <w:bCs/>
          <w:color w:val="000000" w:themeColor="text1"/>
          <w:sz w:val="40"/>
          <w:szCs w:val="40"/>
        </w:rPr>
        <w:t>-</w:t>
      </w:r>
      <w:r w:rsidRPr="002E562C">
        <w:rPr>
          <w:rFonts w:eastAsia="Arial"/>
          <w:b/>
          <w:bCs/>
          <w:color w:val="000000" w:themeColor="text1"/>
          <w:sz w:val="40"/>
          <w:szCs w:val="40"/>
        </w:rPr>
        <w:t xml:space="preserve"> A Review</w:t>
      </w:r>
    </w:p>
    <w:p w14:paraId="5D932736" w14:textId="77777777" w:rsidR="0024001D" w:rsidRPr="002E562C" w:rsidRDefault="0024001D" w:rsidP="002E562C">
      <w:pPr>
        <w:spacing w:after="240"/>
        <w:rPr>
          <w:color w:val="000000" w:themeColor="text1"/>
        </w:rPr>
      </w:pPr>
    </w:p>
    <w:p w14:paraId="05F0F78B" w14:textId="77777777" w:rsidR="002E562C" w:rsidRDefault="002E562C">
      <w:pPr>
        <w:pStyle w:val="Heading1"/>
        <w:rPr>
          <w:color w:val="000000" w:themeColor="text1"/>
        </w:rPr>
      </w:pPr>
    </w:p>
    <w:p w14:paraId="0DFE97B6" w14:textId="6A061217" w:rsidR="001E4973" w:rsidRPr="002E562C" w:rsidRDefault="00170421">
      <w:pPr>
        <w:pStyle w:val="Heading1"/>
        <w:rPr>
          <w:rFonts w:ascii="Times New Roman" w:hAnsi="Times New Roman" w:cs="Times New Roman"/>
          <w:color w:val="000000" w:themeColor="text1"/>
        </w:rPr>
      </w:pPr>
      <w:r w:rsidRPr="002E562C">
        <w:rPr>
          <w:rFonts w:ascii="Times New Roman" w:hAnsi="Times New Roman" w:cs="Times New Roman"/>
          <w:color w:val="000000" w:themeColor="text1"/>
        </w:rPr>
        <w:t>Abstract</w:t>
      </w:r>
    </w:p>
    <w:p w14:paraId="04CD6813" w14:textId="2A412CCD" w:rsidR="001E4973" w:rsidRPr="00F86F9E" w:rsidRDefault="00170421">
      <w:pPr>
        <w:spacing w:after="160" w:line="360" w:lineRule="auto"/>
        <w:jc w:val="both"/>
        <w:rPr>
          <w:color w:val="000000" w:themeColor="text1"/>
        </w:rPr>
      </w:pPr>
      <w:r w:rsidRPr="00F86F9E">
        <w:rPr>
          <w:color w:val="000000" w:themeColor="text1"/>
        </w:rPr>
        <w:t>The convergence of artificial intelligence (AI), genomics</w:t>
      </w:r>
      <w:r w:rsidR="00CF20A5">
        <w:rPr>
          <w:color w:val="000000" w:themeColor="text1"/>
        </w:rPr>
        <w:t xml:space="preserve"> and</w:t>
      </w:r>
      <w:r w:rsidRPr="00F86F9E">
        <w:rPr>
          <w:color w:val="000000" w:themeColor="text1"/>
        </w:rPr>
        <w:t xml:space="preserve"> </w:t>
      </w:r>
      <w:proofErr w:type="spellStart"/>
      <w:r w:rsidRPr="00F86F9E">
        <w:rPr>
          <w:color w:val="000000" w:themeColor="text1"/>
        </w:rPr>
        <w:t>phenomics</w:t>
      </w:r>
      <w:proofErr w:type="spellEnd"/>
      <w:r w:rsidRPr="00F86F9E">
        <w:rPr>
          <w:color w:val="000000" w:themeColor="text1"/>
        </w:rPr>
        <w:t xml:space="preserve"> is ushering in a new era of smart breeding</w:t>
      </w:r>
      <w:r w:rsidR="002E562C">
        <w:rPr>
          <w:color w:val="000000" w:themeColor="text1"/>
        </w:rPr>
        <w:t xml:space="preserve"> </w:t>
      </w:r>
      <w:r w:rsidRPr="00F86F9E">
        <w:rPr>
          <w:color w:val="000000" w:themeColor="text1"/>
        </w:rPr>
        <w:t>a paradigm that promises to dramatically accelerate genetic gain while reducing the time and cost associated with developing elite crop varieties. Conventional plant breeding, though enormously successful over the past century, is increasingly challenged by a rapidly changing climate, a growing global population projected to reach nearly 10 billion by 2050</w:t>
      </w:r>
      <w:r w:rsidR="00CF20A5">
        <w:rPr>
          <w:color w:val="000000" w:themeColor="text1"/>
        </w:rPr>
        <w:t xml:space="preserve"> and</w:t>
      </w:r>
      <w:r w:rsidRPr="00F86F9E">
        <w:rPr>
          <w:color w:val="000000" w:themeColor="text1"/>
        </w:rPr>
        <w:t xml:space="preserve"> the biological complexity of quantitative traits. Smart breeding leverages exponential growth in genomic data, high-throughput phenotyping platforms</w:t>
      </w:r>
      <w:r w:rsidR="00CF20A5">
        <w:rPr>
          <w:color w:val="000000" w:themeColor="text1"/>
        </w:rPr>
        <w:t xml:space="preserve"> and</w:t>
      </w:r>
      <w:r w:rsidRPr="00F86F9E">
        <w:rPr>
          <w:color w:val="000000" w:themeColor="text1"/>
        </w:rPr>
        <w:t xml:space="preserve"> the analytical power of machine learning and deep learning algorithms to navigate these challenges.</w:t>
      </w:r>
      <w:r w:rsidR="00F86F9E" w:rsidRPr="00F86F9E">
        <w:rPr>
          <w:color w:val="000000" w:themeColor="text1"/>
        </w:rPr>
        <w:t xml:space="preserve"> </w:t>
      </w:r>
      <w:r w:rsidRPr="00F86F9E">
        <w:rPr>
          <w:color w:val="000000" w:themeColor="text1"/>
        </w:rPr>
        <w:t>This review synthesizes the current state of knowledge across three interdependent pillars: AI and machine learning for genomic selection, trait prediction</w:t>
      </w:r>
      <w:r w:rsidR="00CF20A5">
        <w:rPr>
          <w:color w:val="000000" w:themeColor="text1"/>
        </w:rPr>
        <w:t xml:space="preserve"> and</w:t>
      </w:r>
      <w:r w:rsidRPr="00F86F9E">
        <w:rPr>
          <w:color w:val="000000" w:themeColor="text1"/>
        </w:rPr>
        <w:t xml:space="preserve"> decision support; next-generation sequencing and multi-omics tools that have transformed our understanding of crop genetic architecture; and field and controlled-environment </w:t>
      </w:r>
      <w:proofErr w:type="spellStart"/>
      <w:r w:rsidRPr="00F86F9E">
        <w:rPr>
          <w:color w:val="000000" w:themeColor="text1"/>
        </w:rPr>
        <w:t>phenomics</w:t>
      </w:r>
      <w:proofErr w:type="spellEnd"/>
      <w:r w:rsidRPr="00F86F9E">
        <w:rPr>
          <w:color w:val="000000" w:themeColor="text1"/>
        </w:rPr>
        <w:t xml:space="preserve"> platforms that bridge the genotype</w:t>
      </w:r>
      <w:r w:rsidR="00D92344">
        <w:rPr>
          <w:color w:val="000000" w:themeColor="text1"/>
        </w:rPr>
        <w:t xml:space="preserve"> </w:t>
      </w:r>
      <w:r w:rsidRPr="00F86F9E">
        <w:rPr>
          <w:color w:val="000000" w:themeColor="text1"/>
        </w:rPr>
        <w:t xml:space="preserve">phenotype gap. </w:t>
      </w:r>
      <w:r w:rsidR="00D92344">
        <w:rPr>
          <w:color w:val="000000" w:themeColor="text1"/>
        </w:rPr>
        <w:t>F</w:t>
      </w:r>
      <w:r w:rsidRPr="00F86F9E">
        <w:rPr>
          <w:color w:val="000000" w:themeColor="text1"/>
        </w:rPr>
        <w:t>urther discuss integration through digital twins, knowledge graphs</w:t>
      </w:r>
      <w:r w:rsidR="00CF20A5">
        <w:rPr>
          <w:color w:val="000000" w:themeColor="text1"/>
        </w:rPr>
        <w:t xml:space="preserve"> and</w:t>
      </w:r>
      <w:r w:rsidRPr="00F86F9E">
        <w:rPr>
          <w:color w:val="000000" w:themeColor="text1"/>
        </w:rPr>
        <w:t xml:space="preserve"> federated learning frameworks</w:t>
      </w:r>
      <w:r w:rsidR="00CF20A5">
        <w:rPr>
          <w:color w:val="000000" w:themeColor="text1"/>
        </w:rPr>
        <w:t xml:space="preserve"> and</w:t>
      </w:r>
      <w:r w:rsidRPr="00F86F9E">
        <w:rPr>
          <w:color w:val="000000" w:themeColor="text1"/>
        </w:rPr>
        <w:t xml:space="preserve"> examine applications in gene editing, stress tolerance</w:t>
      </w:r>
      <w:r w:rsidR="00CF20A5">
        <w:rPr>
          <w:color w:val="000000" w:themeColor="text1"/>
        </w:rPr>
        <w:t xml:space="preserve"> and</w:t>
      </w:r>
      <w:r w:rsidRPr="00F86F9E">
        <w:rPr>
          <w:color w:val="000000" w:themeColor="text1"/>
        </w:rPr>
        <w:t xml:space="preserve"> yield improvement. Key </w:t>
      </w:r>
      <w:r w:rsidR="00D92344" w:rsidRPr="00F86F9E">
        <w:rPr>
          <w:color w:val="000000" w:themeColor="text1"/>
        </w:rPr>
        <w:t>challenges data</w:t>
      </w:r>
      <w:r w:rsidRPr="00F86F9E">
        <w:rPr>
          <w:color w:val="000000" w:themeColor="text1"/>
        </w:rPr>
        <w:t xml:space="preserve"> standardization, interpretability of black-box models, regulatory frameworks</w:t>
      </w:r>
      <w:r w:rsidR="00CF20A5">
        <w:rPr>
          <w:color w:val="000000" w:themeColor="text1"/>
        </w:rPr>
        <w:t xml:space="preserve"> and</w:t>
      </w:r>
      <w:r w:rsidRPr="00F86F9E">
        <w:rPr>
          <w:color w:val="000000" w:themeColor="text1"/>
        </w:rPr>
        <w:t xml:space="preserve"> equitable access are critically assessed</w:t>
      </w:r>
      <w:r w:rsidR="00CF20A5">
        <w:rPr>
          <w:color w:val="000000" w:themeColor="text1"/>
        </w:rPr>
        <w:t xml:space="preserve"> and</w:t>
      </w:r>
      <w:r w:rsidRPr="00F86F9E">
        <w:rPr>
          <w:color w:val="000000" w:themeColor="text1"/>
        </w:rPr>
        <w:t xml:space="preserve"> a roadmap for the next decade of smart breeding is proposed.</w:t>
      </w:r>
    </w:p>
    <w:p w14:paraId="571E48B0" w14:textId="14768DAF" w:rsidR="001E4973" w:rsidRDefault="00170421">
      <w:pPr>
        <w:spacing w:after="160"/>
        <w:rPr>
          <w:i/>
          <w:iCs/>
          <w:color w:val="000000" w:themeColor="text1"/>
        </w:rPr>
      </w:pPr>
      <w:r w:rsidRPr="00F86F9E">
        <w:rPr>
          <w:b/>
          <w:bCs/>
          <w:color w:val="000000" w:themeColor="text1"/>
        </w:rPr>
        <w:t xml:space="preserve">Keywords: </w:t>
      </w:r>
      <w:r w:rsidRPr="00F86F9E">
        <w:rPr>
          <w:i/>
          <w:iCs/>
          <w:color w:val="000000" w:themeColor="text1"/>
        </w:rPr>
        <w:t>artificial intelligence, genomic selection, high-throughput phenotyping, machine learning, deep learning, CRISPR, multi-omics, crop improvement, digital twin, climate-smart agriculture.</w:t>
      </w:r>
    </w:p>
    <w:p w14:paraId="23262E4B" w14:textId="0ACAC42C" w:rsidR="00C97EA9" w:rsidRDefault="00C97EA9">
      <w:pPr>
        <w:spacing w:after="160"/>
        <w:rPr>
          <w:color w:val="000000" w:themeColor="text1"/>
        </w:rPr>
      </w:pPr>
    </w:p>
    <w:p w14:paraId="1FD4860E" w14:textId="37279829" w:rsidR="00C97EA9" w:rsidRDefault="00C97EA9">
      <w:pPr>
        <w:spacing w:after="160"/>
        <w:rPr>
          <w:color w:val="000000" w:themeColor="text1"/>
        </w:rPr>
      </w:pPr>
    </w:p>
    <w:p w14:paraId="050524E8" w14:textId="77777777" w:rsidR="00C97EA9" w:rsidRPr="00F86F9E" w:rsidRDefault="00C97EA9">
      <w:pPr>
        <w:spacing w:after="160"/>
        <w:rPr>
          <w:color w:val="000000" w:themeColor="text1"/>
        </w:rPr>
      </w:pPr>
      <w:bookmarkStart w:id="0" w:name="_GoBack"/>
      <w:bookmarkEnd w:id="0"/>
    </w:p>
    <w:p w14:paraId="3FD77316" w14:textId="77777777" w:rsidR="001E4973" w:rsidRPr="00F86F9E" w:rsidRDefault="001E4973">
      <w:pPr>
        <w:spacing w:after="120"/>
        <w:rPr>
          <w:color w:val="000000" w:themeColor="text1"/>
        </w:rPr>
      </w:pPr>
    </w:p>
    <w:p w14:paraId="4766E317" w14:textId="77777777" w:rsidR="001E4973" w:rsidRPr="00F86F9E" w:rsidRDefault="00170421">
      <w:pPr>
        <w:pStyle w:val="Heading1"/>
        <w:rPr>
          <w:color w:val="000000" w:themeColor="text1"/>
        </w:rPr>
      </w:pPr>
      <w:r w:rsidRPr="00F86F9E">
        <w:rPr>
          <w:color w:val="000000" w:themeColor="text1"/>
        </w:rPr>
        <w:t>1. Introduction</w:t>
      </w:r>
    </w:p>
    <w:p w14:paraId="5122C9DD" w14:textId="317125D6" w:rsidR="001E4973" w:rsidRPr="00F86F9E" w:rsidRDefault="007A7E10">
      <w:pPr>
        <w:spacing w:after="160" w:line="360" w:lineRule="auto"/>
        <w:jc w:val="both"/>
        <w:rPr>
          <w:color w:val="000000" w:themeColor="text1"/>
        </w:rPr>
      </w:pPr>
      <w:r w:rsidRPr="007A7E10">
        <w:rPr>
          <w:color w:val="000000" w:themeColor="text1"/>
        </w:rPr>
        <w:t>Food security globally can be considered one of the key problems facing the modern era. According to FAO (2021), with the global population projected to exceed nine billion people in 2050, there will be a need to grow an additional 50–70% more food than currently cultivated, considering such issues as climate change, land degradation</w:t>
      </w:r>
      <w:r w:rsidR="00CF20A5">
        <w:rPr>
          <w:color w:val="000000" w:themeColor="text1"/>
        </w:rPr>
        <w:t xml:space="preserve"> and</w:t>
      </w:r>
      <w:r w:rsidRPr="007A7E10">
        <w:rPr>
          <w:color w:val="000000" w:themeColor="text1"/>
        </w:rPr>
        <w:t xml:space="preserve"> limited availability of freshwater sources (FAO, 2021; Lobell &amp; </w:t>
      </w:r>
      <w:proofErr w:type="spellStart"/>
      <w:r w:rsidRPr="007A7E10">
        <w:rPr>
          <w:color w:val="000000" w:themeColor="text1"/>
        </w:rPr>
        <w:t>Gourdji</w:t>
      </w:r>
      <w:proofErr w:type="spellEnd"/>
      <w:r w:rsidRPr="007A7E10">
        <w:rPr>
          <w:color w:val="000000" w:themeColor="text1"/>
        </w:rPr>
        <w:t>, 2012). Classical plant breeding practices have shown great progress in terms of yield since the Green Revolution, but the pace of improvement in genetics of the most important staple foods has declined (</w:t>
      </w:r>
      <w:proofErr w:type="spellStart"/>
      <w:r w:rsidRPr="007A7E10">
        <w:rPr>
          <w:color w:val="000000" w:themeColor="text1"/>
        </w:rPr>
        <w:t>Atlin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2017). A fundamental change in approaches is necessary, specifically a new approach that uses data science in order to reduce the development period from 10–15 to 3–5 years (Varshney </w:t>
      </w:r>
      <w:r w:rsidR="00CF20A5" w:rsidRPr="00CF20A5">
        <w:rPr>
          <w:i/>
          <w:iCs/>
          <w:color w:val="000000" w:themeColor="text1"/>
        </w:rPr>
        <w:t>et al</w:t>
      </w:r>
      <w:r w:rsidRPr="007A7E10">
        <w:rPr>
          <w:color w:val="000000" w:themeColor="text1"/>
        </w:rPr>
        <w:t>., 2021).</w:t>
      </w:r>
    </w:p>
    <w:p w14:paraId="7D20433F" w14:textId="21C48802" w:rsidR="007A7E10" w:rsidRPr="007A7E10" w:rsidRDefault="007A7E10" w:rsidP="007A7E10">
      <w:pPr>
        <w:spacing w:after="160" w:line="360" w:lineRule="auto"/>
        <w:jc w:val="both"/>
        <w:rPr>
          <w:color w:val="000000" w:themeColor="text1"/>
        </w:rPr>
      </w:pPr>
      <w:r w:rsidRPr="007A7E10">
        <w:rPr>
          <w:color w:val="000000" w:themeColor="text1"/>
        </w:rPr>
        <w:t>The advent of intelligent breeding, which is described in this context as the strategic combination of AI, genomics</w:t>
      </w:r>
      <w:r w:rsidR="00CF20A5">
        <w:rPr>
          <w:color w:val="000000" w:themeColor="text1"/>
        </w:rPr>
        <w:t xml:space="preserve"> and</w:t>
      </w:r>
      <w:r w:rsidRPr="007A7E10">
        <w:rPr>
          <w:color w:val="000000" w:themeColor="text1"/>
        </w:rPr>
        <w:t xml:space="preserve"> </w:t>
      </w:r>
      <w:proofErr w:type="spellStart"/>
      <w:r w:rsidRPr="007A7E10">
        <w:rPr>
          <w:color w:val="000000" w:themeColor="text1"/>
        </w:rPr>
        <w:t>phenomics</w:t>
      </w:r>
      <w:proofErr w:type="spellEnd"/>
      <w:r w:rsidRPr="007A7E10">
        <w:rPr>
          <w:color w:val="000000" w:themeColor="text1"/>
        </w:rPr>
        <w:t xml:space="preserve">, provides the very type of paradigm shift being referred to. Genomic Selection (GS), introduced by </w:t>
      </w:r>
      <w:proofErr w:type="spellStart"/>
      <w:r w:rsidRPr="007A7E10">
        <w:rPr>
          <w:color w:val="000000" w:themeColor="text1"/>
        </w:rPr>
        <w:t>Meuwissen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(2001), involves using genome-wide SNP markers to make predictions for complex traits with an unprecedented level of accuracy. The cost of whole-genome genotyping has dropped five magnitudes lower thanks to next-generation sequencing (NGS) since 2007 (Bentley </w:t>
      </w:r>
      <w:r w:rsidR="00CF20A5" w:rsidRPr="00CF20A5">
        <w:rPr>
          <w:i/>
          <w:iCs/>
          <w:color w:val="000000" w:themeColor="text1"/>
        </w:rPr>
        <w:t>et al</w:t>
      </w:r>
      <w:r w:rsidRPr="007A7E10">
        <w:rPr>
          <w:color w:val="000000" w:themeColor="text1"/>
        </w:rPr>
        <w:t xml:space="preserve">., 2008; </w:t>
      </w:r>
      <w:proofErr w:type="spellStart"/>
      <w:r w:rsidRPr="007A7E10">
        <w:rPr>
          <w:color w:val="000000" w:themeColor="text1"/>
        </w:rPr>
        <w:t>Elshire</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2011). Additionally, HTP systems with RGB cameras, multi-spectral sensors, LiDAR</w:t>
      </w:r>
      <w:r w:rsidR="00CF20A5">
        <w:rPr>
          <w:color w:val="000000" w:themeColor="text1"/>
        </w:rPr>
        <w:t xml:space="preserve"> and</w:t>
      </w:r>
      <w:r w:rsidRPr="007A7E10">
        <w:rPr>
          <w:color w:val="000000" w:themeColor="text1"/>
        </w:rPr>
        <w:t xml:space="preserve"> thermal imaging devices are capable of collecting millions of data points about the phenotype on a daily basis across multiple hundreds of plots (</w:t>
      </w:r>
      <w:proofErr w:type="spellStart"/>
      <w:r w:rsidRPr="007A7E10">
        <w:rPr>
          <w:color w:val="000000" w:themeColor="text1"/>
        </w:rPr>
        <w:t>Araus</w:t>
      </w:r>
      <w:proofErr w:type="spellEnd"/>
      <w:r w:rsidRPr="007A7E10">
        <w:rPr>
          <w:color w:val="000000" w:themeColor="text1"/>
        </w:rPr>
        <w:t xml:space="preserve"> &amp; Cairns, 2014; </w:t>
      </w:r>
      <w:proofErr w:type="spellStart"/>
      <w:r w:rsidRPr="007A7E10">
        <w:rPr>
          <w:color w:val="000000" w:themeColor="text1"/>
        </w:rPr>
        <w:t>Araus</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2018).</w:t>
      </w:r>
    </w:p>
    <w:p w14:paraId="27048967" w14:textId="0B95E803" w:rsidR="001E4973" w:rsidRPr="00F86F9E" w:rsidRDefault="007A7E10" w:rsidP="007A7E10">
      <w:pPr>
        <w:spacing w:after="160" w:line="360" w:lineRule="auto"/>
        <w:jc w:val="both"/>
        <w:rPr>
          <w:color w:val="000000" w:themeColor="text1"/>
        </w:rPr>
      </w:pPr>
      <w:r w:rsidRPr="007A7E10">
        <w:rPr>
          <w:color w:val="000000" w:themeColor="text1"/>
        </w:rPr>
        <w:t>However, the true revolutionary potential is only reached when all three aspects mentioned above come together. Machine learning (ML) and deep learning (DL) techniques offer an efficient toolset needed to extract valuable biological signals from multi-dimensional data (</w:t>
      </w:r>
      <w:proofErr w:type="spellStart"/>
      <w:r w:rsidRPr="007A7E10">
        <w:rPr>
          <w:color w:val="000000" w:themeColor="text1"/>
        </w:rPr>
        <w:t>LeCun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2015; </w:t>
      </w:r>
      <w:proofErr w:type="spellStart"/>
      <w:r w:rsidRPr="007A7E10">
        <w:rPr>
          <w:color w:val="000000" w:themeColor="text1"/>
        </w:rPr>
        <w:t>Libbrecht</w:t>
      </w:r>
      <w:proofErr w:type="spellEnd"/>
      <w:r w:rsidRPr="007A7E10">
        <w:rPr>
          <w:color w:val="000000" w:themeColor="text1"/>
        </w:rPr>
        <w:t xml:space="preserve"> &amp; Noble, 2015). AI allows translating genomic and phenotypic information into action-oriented breeding strategies – selecting optimal parents, making crossing plans, fast-tracking selection of superior genotypes</w:t>
      </w:r>
      <w:r w:rsidR="00CF20A5">
        <w:rPr>
          <w:color w:val="000000" w:themeColor="text1"/>
        </w:rPr>
        <w:t xml:space="preserve"> and</w:t>
      </w:r>
      <w:r w:rsidRPr="007A7E10">
        <w:rPr>
          <w:color w:val="000000" w:themeColor="text1"/>
        </w:rPr>
        <w:t xml:space="preserve"> applying gene editing approaches </w:t>
      </w:r>
      <w:r w:rsidRPr="00F86F9E">
        <w:rPr>
          <w:color w:val="000000" w:themeColor="text1"/>
        </w:rPr>
        <w:t>(</w:t>
      </w:r>
      <w:proofErr w:type="spellStart"/>
      <w:r w:rsidRPr="00F86F9E">
        <w:rPr>
          <w:i/>
          <w:iCs/>
          <w:color w:val="000000" w:themeColor="text1"/>
        </w:rPr>
        <w:t>Crossa</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2017</w:t>
      </w:r>
      <w:r w:rsidRPr="00F86F9E">
        <w:rPr>
          <w:color w:val="000000" w:themeColor="text1"/>
        </w:rPr>
        <w:t xml:space="preserve">; </w:t>
      </w:r>
      <w:proofErr w:type="spellStart"/>
      <w:r w:rsidRPr="00F86F9E">
        <w:rPr>
          <w:i/>
          <w:iCs/>
          <w:color w:val="000000" w:themeColor="text1"/>
        </w:rPr>
        <w:t>Kamilaris</w:t>
      </w:r>
      <w:proofErr w:type="spellEnd"/>
      <w:r w:rsidRPr="00F86F9E">
        <w:rPr>
          <w:i/>
          <w:iCs/>
          <w:color w:val="000000" w:themeColor="text1"/>
        </w:rPr>
        <w:t xml:space="preserve"> &amp; </w:t>
      </w:r>
      <w:proofErr w:type="spellStart"/>
      <w:r w:rsidRPr="00F86F9E">
        <w:rPr>
          <w:i/>
          <w:iCs/>
          <w:color w:val="000000" w:themeColor="text1"/>
        </w:rPr>
        <w:t>Prenafeta-Boldú</w:t>
      </w:r>
      <w:proofErr w:type="spellEnd"/>
      <w:r w:rsidRPr="00F86F9E">
        <w:rPr>
          <w:i/>
          <w:iCs/>
          <w:color w:val="000000" w:themeColor="text1"/>
        </w:rPr>
        <w:t>, 2018</w:t>
      </w:r>
      <w:r w:rsidRPr="00F86F9E">
        <w:rPr>
          <w:color w:val="000000" w:themeColor="text1"/>
        </w:rPr>
        <w:t xml:space="preserve">; </w:t>
      </w:r>
      <w:r w:rsidRPr="00F86F9E">
        <w:rPr>
          <w:i/>
          <w:iCs/>
          <w:color w:val="000000" w:themeColor="text1"/>
        </w:rPr>
        <w:t>Pérez-</w:t>
      </w:r>
      <w:proofErr w:type="spellStart"/>
      <w:r w:rsidRPr="00F86F9E">
        <w:rPr>
          <w:i/>
          <w:iCs/>
          <w:color w:val="000000" w:themeColor="text1"/>
        </w:rPr>
        <w:t>Enciso</w:t>
      </w:r>
      <w:proofErr w:type="spellEnd"/>
      <w:r w:rsidRPr="00F86F9E">
        <w:rPr>
          <w:i/>
          <w:iCs/>
          <w:color w:val="000000" w:themeColor="text1"/>
        </w:rPr>
        <w:t xml:space="preserve"> &amp; </w:t>
      </w:r>
      <w:proofErr w:type="spellStart"/>
      <w:r w:rsidRPr="00F86F9E">
        <w:rPr>
          <w:i/>
          <w:iCs/>
          <w:color w:val="000000" w:themeColor="text1"/>
        </w:rPr>
        <w:t>Zingaretti</w:t>
      </w:r>
      <w:proofErr w:type="spellEnd"/>
      <w:r w:rsidRPr="00F86F9E">
        <w:rPr>
          <w:i/>
          <w:iCs/>
          <w:color w:val="000000" w:themeColor="text1"/>
        </w:rPr>
        <w:t>, 2019</w:t>
      </w:r>
      <w:r w:rsidRPr="00F86F9E">
        <w:rPr>
          <w:color w:val="000000" w:themeColor="text1"/>
        </w:rPr>
        <w:t>).</w:t>
      </w:r>
    </w:p>
    <w:p w14:paraId="7417FD9F" w14:textId="395FDF83" w:rsidR="001E4973" w:rsidRPr="00F86F9E" w:rsidRDefault="00170421">
      <w:pPr>
        <w:spacing w:after="160" w:line="360" w:lineRule="auto"/>
        <w:jc w:val="both"/>
        <w:rPr>
          <w:color w:val="000000" w:themeColor="text1"/>
        </w:rPr>
      </w:pPr>
      <w:r w:rsidRPr="00F86F9E">
        <w:rPr>
          <w:color w:val="000000" w:themeColor="text1"/>
        </w:rPr>
        <w:t xml:space="preserve">This review is organized around five principal themes: (1) AI and machine learning in plant breeding; (2) genomics and multi-omics platforms; (3) </w:t>
      </w:r>
      <w:proofErr w:type="spellStart"/>
      <w:r w:rsidRPr="00F86F9E">
        <w:rPr>
          <w:color w:val="000000" w:themeColor="text1"/>
        </w:rPr>
        <w:t>phenomics</w:t>
      </w:r>
      <w:proofErr w:type="spellEnd"/>
      <w:r w:rsidRPr="00F86F9E">
        <w:rPr>
          <w:color w:val="000000" w:themeColor="text1"/>
        </w:rPr>
        <w:t xml:space="preserve"> and high-throughput </w:t>
      </w:r>
      <w:r w:rsidRPr="00F86F9E">
        <w:rPr>
          <w:color w:val="000000" w:themeColor="text1"/>
        </w:rPr>
        <w:lastRenderedPageBreak/>
        <w:t>phenotyping; (4) integration frameworks and digital tools; and (5) applications, challenges</w:t>
      </w:r>
      <w:r w:rsidR="00CF20A5">
        <w:rPr>
          <w:color w:val="000000" w:themeColor="text1"/>
        </w:rPr>
        <w:t xml:space="preserve"> and</w:t>
      </w:r>
      <w:r w:rsidRPr="00F86F9E">
        <w:rPr>
          <w:color w:val="000000" w:themeColor="text1"/>
        </w:rPr>
        <w:t xml:space="preserve"> future directions. Throughout, we emphasize the critical importance of cross-disciplinary collaboration among plant breeders, data scientists, molecular biologists</w:t>
      </w:r>
      <w:r w:rsidR="00CF20A5">
        <w:rPr>
          <w:color w:val="000000" w:themeColor="text1"/>
        </w:rPr>
        <w:t xml:space="preserve"> and</w:t>
      </w:r>
      <w:r w:rsidRPr="00F86F9E">
        <w:rPr>
          <w:color w:val="000000" w:themeColor="text1"/>
        </w:rPr>
        <w:t xml:space="preserve"> engineers (</w:t>
      </w:r>
      <w:r w:rsidRPr="00F86F9E">
        <w:rPr>
          <w:i/>
          <w:iCs/>
          <w:color w:val="000000" w:themeColor="text1"/>
        </w:rPr>
        <w:t xml:space="preserve">Varshney </w:t>
      </w:r>
      <w:r w:rsidR="00CF20A5" w:rsidRPr="00CF20A5">
        <w:rPr>
          <w:i/>
          <w:iCs/>
          <w:color w:val="000000" w:themeColor="text1"/>
        </w:rPr>
        <w:t>et al</w:t>
      </w:r>
      <w:r w:rsidRPr="00F86F9E">
        <w:rPr>
          <w:i/>
          <w:iCs/>
          <w:color w:val="000000" w:themeColor="text1"/>
        </w:rPr>
        <w:t>., 2021</w:t>
      </w:r>
      <w:r w:rsidRPr="00F86F9E">
        <w:rPr>
          <w:color w:val="000000" w:themeColor="text1"/>
        </w:rPr>
        <w:t xml:space="preserve">; </w:t>
      </w:r>
      <w:r w:rsidRPr="00F86F9E">
        <w:rPr>
          <w:i/>
          <w:iCs/>
          <w:color w:val="000000" w:themeColor="text1"/>
        </w:rPr>
        <w:t xml:space="preserve">Varshney </w:t>
      </w:r>
      <w:r w:rsidR="00CF20A5" w:rsidRPr="00CF20A5">
        <w:rPr>
          <w:i/>
          <w:iCs/>
          <w:color w:val="000000" w:themeColor="text1"/>
        </w:rPr>
        <w:t>et al</w:t>
      </w:r>
      <w:r w:rsidRPr="00F86F9E">
        <w:rPr>
          <w:i/>
          <w:iCs/>
          <w:color w:val="000000" w:themeColor="text1"/>
        </w:rPr>
        <w:t>., 2005</w:t>
      </w:r>
      <w:r w:rsidRPr="00F86F9E">
        <w:rPr>
          <w:color w:val="000000" w:themeColor="text1"/>
        </w:rPr>
        <w:t>).</w:t>
      </w:r>
    </w:p>
    <w:p w14:paraId="5769A85C" w14:textId="77777777" w:rsidR="001E4973" w:rsidRPr="00F86F9E" w:rsidRDefault="001E4973">
      <w:pPr>
        <w:spacing w:after="120"/>
        <w:rPr>
          <w:color w:val="000000" w:themeColor="text1"/>
        </w:rPr>
      </w:pPr>
    </w:p>
    <w:p w14:paraId="0B6CA4F8" w14:textId="77777777" w:rsidR="001E4973" w:rsidRPr="00F86F9E" w:rsidRDefault="00170421">
      <w:pPr>
        <w:pStyle w:val="Heading1"/>
        <w:rPr>
          <w:color w:val="000000" w:themeColor="text1"/>
        </w:rPr>
      </w:pPr>
      <w:r w:rsidRPr="00F86F9E">
        <w:rPr>
          <w:color w:val="000000" w:themeColor="text1"/>
        </w:rPr>
        <w:t>2. Artificial Intelligence and Machine Learning in Plant Breeding</w:t>
      </w:r>
    </w:p>
    <w:p w14:paraId="620185E0" w14:textId="77777777" w:rsidR="001E4973" w:rsidRPr="00F86F9E" w:rsidRDefault="00170421">
      <w:pPr>
        <w:pStyle w:val="Heading2"/>
        <w:rPr>
          <w:color w:val="000000" w:themeColor="text1"/>
        </w:rPr>
      </w:pPr>
      <w:r w:rsidRPr="00F86F9E">
        <w:rPr>
          <w:color w:val="000000" w:themeColor="text1"/>
          <w:sz w:val="26"/>
          <w:szCs w:val="26"/>
        </w:rPr>
        <w:t>2.1 Overview of AI/ML Approaches</w:t>
      </w:r>
    </w:p>
    <w:p w14:paraId="6F79BCA9" w14:textId="4E554485" w:rsidR="001E4973" w:rsidRPr="00F86F9E" w:rsidRDefault="007A7E10">
      <w:pPr>
        <w:spacing w:after="160" w:line="360" w:lineRule="auto"/>
        <w:jc w:val="both"/>
        <w:rPr>
          <w:color w:val="000000" w:themeColor="text1"/>
        </w:rPr>
      </w:pPr>
      <w:r w:rsidRPr="007A7E10">
        <w:rPr>
          <w:color w:val="000000" w:themeColor="text1"/>
        </w:rPr>
        <w:t xml:space="preserve">Machine learning refers to a vast set of algorithms that can discover predictive or descriptive models from the given data, without any explicit programming (Jordan &amp; Mitchell, 2015). In plant breeding, ML techniques are used at each step of the breeding cycle – from genome-wide association studies (GWAS), genomic selection, imaging </w:t>
      </w:r>
      <w:proofErr w:type="spellStart"/>
      <w:r w:rsidRPr="007A7E10">
        <w:rPr>
          <w:color w:val="000000" w:themeColor="text1"/>
        </w:rPr>
        <w:t>phenomics</w:t>
      </w:r>
      <w:proofErr w:type="spellEnd"/>
      <w:r w:rsidRPr="007A7E10">
        <w:rPr>
          <w:color w:val="000000" w:themeColor="text1"/>
        </w:rPr>
        <w:t>, disease detection, yield prediction</w:t>
      </w:r>
      <w:r w:rsidR="00CF20A5">
        <w:rPr>
          <w:color w:val="000000" w:themeColor="text1"/>
        </w:rPr>
        <w:t xml:space="preserve"> and</w:t>
      </w:r>
      <w:r w:rsidRPr="007A7E10">
        <w:rPr>
          <w:color w:val="000000" w:themeColor="text1"/>
        </w:rPr>
        <w:t xml:space="preserve"> breeding program optimization (</w:t>
      </w:r>
      <w:proofErr w:type="spellStart"/>
      <w:r w:rsidRPr="007A7E10">
        <w:rPr>
          <w:color w:val="000000" w:themeColor="text1"/>
        </w:rPr>
        <w:t>Libbrecht</w:t>
      </w:r>
      <w:proofErr w:type="spellEnd"/>
      <w:r w:rsidRPr="007A7E10">
        <w:rPr>
          <w:color w:val="000000" w:themeColor="text1"/>
        </w:rPr>
        <w:t xml:space="preserve"> &amp; Noble, 2015; Singh </w:t>
      </w:r>
      <w:r w:rsidR="00CF20A5" w:rsidRPr="00CF20A5">
        <w:rPr>
          <w:i/>
          <w:iCs/>
          <w:color w:val="000000" w:themeColor="text1"/>
        </w:rPr>
        <w:t>et al</w:t>
      </w:r>
      <w:r w:rsidRPr="007A7E10">
        <w:rPr>
          <w:color w:val="000000" w:themeColor="text1"/>
        </w:rPr>
        <w:t>., 2016). The major types of machine learning algorithms include (</w:t>
      </w:r>
      <w:proofErr w:type="spellStart"/>
      <w:r w:rsidRPr="007A7E10">
        <w:rPr>
          <w:color w:val="000000" w:themeColor="text1"/>
        </w:rPr>
        <w:t>i</w:t>
      </w:r>
      <w:proofErr w:type="spellEnd"/>
      <w:r w:rsidRPr="007A7E10">
        <w:rPr>
          <w:color w:val="000000" w:themeColor="text1"/>
        </w:rPr>
        <w:t>) traditional supervised learning (random forests, support vector machines, regularized regressions) (</w:t>
      </w:r>
      <w:proofErr w:type="spellStart"/>
      <w:r w:rsidRPr="007A7E10">
        <w:rPr>
          <w:color w:val="000000" w:themeColor="text1"/>
        </w:rPr>
        <w:t>Breiman</w:t>
      </w:r>
      <w:proofErr w:type="spellEnd"/>
      <w:r w:rsidRPr="007A7E10">
        <w:rPr>
          <w:color w:val="000000" w:themeColor="text1"/>
        </w:rPr>
        <w:t>, 2001), (ii) deep learning (convolutional and recurrent neural networks) (</w:t>
      </w:r>
      <w:proofErr w:type="spellStart"/>
      <w:r w:rsidRPr="007A7E10">
        <w:rPr>
          <w:color w:val="000000" w:themeColor="text1"/>
        </w:rPr>
        <w:t>LeCun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2015)</w:t>
      </w:r>
      <w:r w:rsidR="00CF20A5">
        <w:rPr>
          <w:color w:val="000000" w:themeColor="text1"/>
        </w:rPr>
        <w:t xml:space="preserve"> and</w:t>
      </w:r>
      <w:r w:rsidRPr="007A7E10">
        <w:rPr>
          <w:color w:val="000000" w:themeColor="text1"/>
        </w:rPr>
        <w:t xml:space="preserve"> (iii) mixed and Bayesian models (Gelman </w:t>
      </w:r>
      <w:r w:rsidR="00CF20A5" w:rsidRPr="00CF20A5">
        <w:rPr>
          <w:i/>
          <w:iCs/>
          <w:color w:val="000000" w:themeColor="text1"/>
        </w:rPr>
        <w:t>et al</w:t>
      </w:r>
      <w:r w:rsidRPr="007A7E10">
        <w:rPr>
          <w:color w:val="000000" w:themeColor="text1"/>
        </w:rPr>
        <w:t>., 2013; Pérez-</w:t>
      </w:r>
      <w:proofErr w:type="spellStart"/>
      <w:r w:rsidRPr="007A7E10">
        <w:rPr>
          <w:color w:val="000000" w:themeColor="text1"/>
        </w:rPr>
        <w:t>Enciso</w:t>
      </w:r>
      <w:proofErr w:type="spellEnd"/>
      <w:r w:rsidRPr="007A7E10">
        <w:rPr>
          <w:color w:val="000000" w:themeColor="text1"/>
        </w:rPr>
        <w:t xml:space="preserve"> &amp; </w:t>
      </w:r>
      <w:proofErr w:type="spellStart"/>
      <w:r w:rsidRPr="007A7E10">
        <w:rPr>
          <w:color w:val="000000" w:themeColor="text1"/>
        </w:rPr>
        <w:t>Zingaretti</w:t>
      </w:r>
      <w:proofErr w:type="spellEnd"/>
      <w:r w:rsidRPr="007A7E10">
        <w:rPr>
          <w:color w:val="000000" w:themeColor="text1"/>
        </w:rPr>
        <w:t>, 2019). Table 1 provides an overview of the major AI/ML approaches used in smart breeding.</w:t>
      </w:r>
    </w:p>
    <w:p w14:paraId="2C479AE1" w14:textId="77777777" w:rsidR="001E4973" w:rsidRPr="00F86F9E" w:rsidRDefault="001E4973">
      <w:pPr>
        <w:spacing w:after="120"/>
        <w:rPr>
          <w:color w:val="000000" w:themeColor="text1"/>
        </w:rPr>
      </w:pPr>
    </w:p>
    <w:p w14:paraId="520D6A67"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1. Principal AI/ML methods applied in smart crop breeding.</w:t>
      </w:r>
    </w:p>
    <w:tbl>
      <w:tblPr>
        <w:tblStyle w:val="TableGrid"/>
        <w:tblW w:w="9360" w:type="dxa"/>
        <w:tblLook w:val="0000" w:firstRow="0" w:lastRow="0" w:firstColumn="0" w:lastColumn="0" w:noHBand="0" w:noVBand="0"/>
      </w:tblPr>
      <w:tblGrid>
        <w:gridCol w:w="2200"/>
        <w:gridCol w:w="2000"/>
        <w:gridCol w:w="2000"/>
        <w:gridCol w:w="1600"/>
        <w:gridCol w:w="1560"/>
      </w:tblGrid>
      <w:tr w:rsidR="00F86F9E" w:rsidRPr="00F86F9E" w14:paraId="6AB4EDF3" w14:textId="77777777" w:rsidTr="007A7E10">
        <w:tc>
          <w:tcPr>
            <w:tcW w:w="2200" w:type="dxa"/>
          </w:tcPr>
          <w:p w14:paraId="67B7C1E4"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AI/ML Method</w:t>
            </w:r>
          </w:p>
        </w:tc>
        <w:tc>
          <w:tcPr>
            <w:tcW w:w="2000" w:type="dxa"/>
          </w:tcPr>
          <w:p w14:paraId="0F9624D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Application in Breeding</w:t>
            </w:r>
          </w:p>
        </w:tc>
        <w:tc>
          <w:tcPr>
            <w:tcW w:w="2000" w:type="dxa"/>
          </w:tcPr>
          <w:p w14:paraId="0E0F295D"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Key Advantage</w:t>
            </w:r>
          </w:p>
        </w:tc>
        <w:tc>
          <w:tcPr>
            <w:tcW w:w="1600" w:type="dxa"/>
          </w:tcPr>
          <w:p w14:paraId="76B29A8A"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Example Crop</w:t>
            </w:r>
          </w:p>
        </w:tc>
        <w:tc>
          <w:tcPr>
            <w:tcW w:w="1560" w:type="dxa"/>
          </w:tcPr>
          <w:p w14:paraId="3CDFA47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624A858A" w14:textId="77777777" w:rsidTr="007A7E10">
        <w:tc>
          <w:tcPr>
            <w:tcW w:w="2200" w:type="dxa"/>
          </w:tcPr>
          <w:p w14:paraId="3A196E20" w14:textId="77777777" w:rsidR="001E4973" w:rsidRPr="00F86F9E" w:rsidRDefault="00170421">
            <w:pPr>
              <w:rPr>
                <w:color w:val="000000" w:themeColor="text1"/>
              </w:rPr>
            </w:pPr>
            <w:r w:rsidRPr="00F86F9E">
              <w:rPr>
                <w:color w:val="000000" w:themeColor="text1"/>
                <w:sz w:val="20"/>
                <w:szCs w:val="20"/>
              </w:rPr>
              <w:t>Machine Learning (RF, SVM)</w:t>
            </w:r>
          </w:p>
        </w:tc>
        <w:tc>
          <w:tcPr>
            <w:tcW w:w="2000" w:type="dxa"/>
          </w:tcPr>
          <w:p w14:paraId="7CA29C36" w14:textId="77777777" w:rsidR="001E4973" w:rsidRPr="00F86F9E" w:rsidRDefault="00170421">
            <w:pPr>
              <w:rPr>
                <w:color w:val="000000" w:themeColor="text1"/>
              </w:rPr>
            </w:pPr>
            <w:r w:rsidRPr="00F86F9E">
              <w:rPr>
                <w:color w:val="000000" w:themeColor="text1"/>
                <w:sz w:val="20"/>
                <w:szCs w:val="20"/>
              </w:rPr>
              <w:t>Genomic selection, trait prediction</w:t>
            </w:r>
          </w:p>
        </w:tc>
        <w:tc>
          <w:tcPr>
            <w:tcW w:w="2000" w:type="dxa"/>
          </w:tcPr>
          <w:p w14:paraId="054FB49D" w14:textId="77777777" w:rsidR="001E4973" w:rsidRPr="00F86F9E" w:rsidRDefault="00170421">
            <w:pPr>
              <w:rPr>
                <w:color w:val="000000" w:themeColor="text1"/>
              </w:rPr>
            </w:pPr>
            <w:r w:rsidRPr="00F86F9E">
              <w:rPr>
                <w:color w:val="000000" w:themeColor="text1"/>
                <w:sz w:val="20"/>
                <w:szCs w:val="20"/>
              </w:rPr>
              <w:t>Handles non-linear interactions</w:t>
            </w:r>
          </w:p>
        </w:tc>
        <w:tc>
          <w:tcPr>
            <w:tcW w:w="1600" w:type="dxa"/>
          </w:tcPr>
          <w:p w14:paraId="5DD09B36" w14:textId="77777777" w:rsidR="001E4973" w:rsidRPr="00F86F9E" w:rsidRDefault="00170421">
            <w:pPr>
              <w:rPr>
                <w:color w:val="000000" w:themeColor="text1"/>
              </w:rPr>
            </w:pPr>
            <w:r w:rsidRPr="00F86F9E">
              <w:rPr>
                <w:color w:val="000000" w:themeColor="text1"/>
                <w:sz w:val="20"/>
                <w:szCs w:val="20"/>
              </w:rPr>
              <w:t>Maize, Wheat</w:t>
            </w:r>
          </w:p>
        </w:tc>
        <w:tc>
          <w:tcPr>
            <w:tcW w:w="1560" w:type="dxa"/>
          </w:tcPr>
          <w:p w14:paraId="26DF5EF4" w14:textId="77777777" w:rsidR="001E4973" w:rsidRPr="00F86F9E" w:rsidRDefault="00170421">
            <w:pPr>
              <w:rPr>
                <w:color w:val="000000" w:themeColor="text1"/>
              </w:rPr>
            </w:pPr>
            <w:proofErr w:type="spellStart"/>
            <w:r w:rsidRPr="00F86F9E">
              <w:rPr>
                <w:color w:val="000000" w:themeColor="text1"/>
                <w:sz w:val="20"/>
                <w:szCs w:val="20"/>
              </w:rPr>
              <w:t>Libbrecht</w:t>
            </w:r>
            <w:proofErr w:type="spellEnd"/>
            <w:r w:rsidRPr="00F86F9E">
              <w:rPr>
                <w:color w:val="000000" w:themeColor="text1"/>
                <w:sz w:val="20"/>
                <w:szCs w:val="20"/>
              </w:rPr>
              <w:t xml:space="preserve"> &amp; Noble, 2015</w:t>
            </w:r>
          </w:p>
        </w:tc>
      </w:tr>
      <w:tr w:rsidR="00F86F9E" w:rsidRPr="00F86F9E" w14:paraId="3C935DA7" w14:textId="77777777" w:rsidTr="007A7E10">
        <w:tc>
          <w:tcPr>
            <w:tcW w:w="2200" w:type="dxa"/>
          </w:tcPr>
          <w:p w14:paraId="5FF1E33C" w14:textId="77777777" w:rsidR="001E4973" w:rsidRPr="00F86F9E" w:rsidRDefault="00170421">
            <w:pPr>
              <w:rPr>
                <w:color w:val="000000" w:themeColor="text1"/>
              </w:rPr>
            </w:pPr>
            <w:r w:rsidRPr="00F86F9E">
              <w:rPr>
                <w:color w:val="000000" w:themeColor="text1"/>
                <w:sz w:val="20"/>
                <w:szCs w:val="20"/>
              </w:rPr>
              <w:t>Deep Learning (CNN)</w:t>
            </w:r>
          </w:p>
        </w:tc>
        <w:tc>
          <w:tcPr>
            <w:tcW w:w="2000" w:type="dxa"/>
          </w:tcPr>
          <w:p w14:paraId="5DA76869" w14:textId="77777777" w:rsidR="001E4973" w:rsidRPr="00F86F9E" w:rsidRDefault="00170421">
            <w:pPr>
              <w:rPr>
                <w:color w:val="000000" w:themeColor="text1"/>
              </w:rPr>
            </w:pPr>
            <w:r w:rsidRPr="00F86F9E">
              <w:rPr>
                <w:color w:val="000000" w:themeColor="text1"/>
                <w:sz w:val="20"/>
                <w:szCs w:val="20"/>
              </w:rPr>
              <w:t>Image-based phenotyping, disease detection</w:t>
            </w:r>
          </w:p>
        </w:tc>
        <w:tc>
          <w:tcPr>
            <w:tcW w:w="2000" w:type="dxa"/>
          </w:tcPr>
          <w:p w14:paraId="7A5D6865" w14:textId="77777777" w:rsidR="001E4973" w:rsidRPr="00F86F9E" w:rsidRDefault="00170421">
            <w:pPr>
              <w:rPr>
                <w:color w:val="000000" w:themeColor="text1"/>
              </w:rPr>
            </w:pPr>
            <w:r w:rsidRPr="00F86F9E">
              <w:rPr>
                <w:color w:val="000000" w:themeColor="text1"/>
                <w:sz w:val="20"/>
                <w:szCs w:val="20"/>
              </w:rPr>
              <w:t>High accuracy from raw images</w:t>
            </w:r>
          </w:p>
        </w:tc>
        <w:tc>
          <w:tcPr>
            <w:tcW w:w="1600" w:type="dxa"/>
          </w:tcPr>
          <w:p w14:paraId="6C7AEC3D" w14:textId="77777777" w:rsidR="001E4973" w:rsidRPr="00F86F9E" w:rsidRDefault="00170421">
            <w:pPr>
              <w:rPr>
                <w:color w:val="000000" w:themeColor="text1"/>
              </w:rPr>
            </w:pPr>
            <w:r w:rsidRPr="00F86F9E">
              <w:rPr>
                <w:color w:val="000000" w:themeColor="text1"/>
                <w:sz w:val="20"/>
                <w:szCs w:val="20"/>
              </w:rPr>
              <w:t>Rice, Soybean</w:t>
            </w:r>
          </w:p>
        </w:tc>
        <w:tc>
          <w:tcPr>
            <w:tcW w:w="1560" w:type="dxa"/>
          </w:tcPr>
          <w:p w14:paraId="42C5E29C" w14:textId="040E397E" w:rsidR="001E4973" w:rsidRPr="00F86F9E" w:rsidRDefault="00170421">
            <w:pPr>
              <w:rPr>
                <w:color w:val="000000" w:themeColor="text1"/>
              </w:rPr>
            </w:pPr>
            <w:proofErr w:type="spellStart"/>
            <w:r w:rsidRPr="00F86F9E">
              <w:rPr>
                <w:color w:val="000000" w:themeColor="text1"/>
                <w:sz w:val="20"/>
                <w:szCs w:val="20"/>
              </w:rPr>
              <w:t>LeCun</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42255BD4" w14:textId="77777777" w:rsidTr="007A7E10">
        <w:tc>
          <w:tcPr>
            <w:tcW w:w="2200" w:type="dxa"/>
          </w:tcPr>
          <w:p w14:paraId="7C7CA77B" w14:textId="77777777" w:rsidR="001E4973" w:rsidRPr="00F86F9E" w:rsidRDefault="00170421">
            <w:pPr>
              <w:rPr>
                <w:color w:val="000000" w:themeColor="text1"/>
              </w:rPr>
            </w:pPr>
            <w:r w:rsidRPr="00F86F9E">
              <w:rPr>
                <w:color w:val="000000" w:themeColor="text1"/>
                <w:sz w:val="20"/>
                <w:szCs w:val="20"/>
              </w:rPr>
              <w:t>Recurrent Neural Networks</w:t>
            </w:r>
          </w:p>
        </w:tc>
        <w:tc>
          <w:tcPr>
            <w:tcW w:w="2000" w:type="dxa"/>
          </w:tcPr>
          <w:p w14:paraId="55321564" w14:textId="77777777" w:rsidR="001E4973" w:rsidRPr="00F86F9E" w:rsidRDefault="00170421">
            <w:pPr>
              <w:rPr>
                <w:color w:val="000000" w:themeColor="text1"/>
              </w:rPr>
            </w:pPr>
            <w:r w:rsidRPr="00F86F9E">
              <w:rPr>
                <w:color w:val="000000" w:themeColor="text1"/>
                <w:sz w:val="20"/>
                <w:szCs w:val="20"/>
              </w:rPr>
              <w:t xml:space="preserve">Time-series growth </w:t>
            </w:r>
            <w:proofErr w:type="spellStart"/>
            <w:r w:rsidRPr="00F86F9E">
              <w:rPr>
                <w:color w:val="000000" w:themeColor="text1"/>
                <w:sz w:val="20"/>
                <w:szCs w:val="20"/>
              </w:rPr>
              <w:t>modeling</w:t>
            </w:r>
            <w:proofErr w:type="spellEnd"/>
          </w:p>
        </w:tc>
        <w:tc>
          <w:tcPr>
            <w:tcW w:w="2000" w:type="dxa"/>
          </w:tcPr>
          <w:p w14:paraId="7D6B72F8" w14:textId="77777777" w:rsidR="001E4973" w:rsidRPr="00F86F9E" w:rsidRDefault="00170421">
            <w:pPr>
              <w:rPr>
                <w:color w:val="000000" w:themeColor="text1"/>
              </w:rPr>
            </w:pPr>
            <w:r w:rsidRPr="00F86F9E">
              <w:rPr>
                <w:color w:val="000000" w:themeColor="text1"/>
                <w:sz w:val="20"/>
                <w:szCs w:val="20"/>
              </w:rPr>
              <w:t>Captures temporal dynamics</w:t>
            </w:r>
          </w:p>
        </w:tc>
        <w:tc>
          <w:tcPr>
            <w:tcW w:w="1600" w:type="dxa"/>
          </w:tcPr>
          <w:p w14:paraId="1E26858A" w14:textId="77777777" w:rsidR="001E4973" w:rsidRPr="00F86F9E" w:rsidRDefault="00170421">
            <w:pPr>
              <w:rPr>
                <w:color w:val="000000" w:themeColor="text1"/>
              </w:rPr>
            </w:pPr>
            <w:r w:rsidRPr="00F86F9E">
              <w:rPr>
                <w:color w:val="000000" w:themeColor="text1"/>
                <w:sz w:val="20"/>
                <w:szCs w:val="20"/>
              </w:rPr>
              <w:t>Tomato, Wheat</w:t>
            </w:r>
          </w:p>
        </w:tc>
        <w:tc>
          <w:tcPr>
            <w:tcW w:w="1560" w:type="dxa"/>
          </w:tcPr>
          <w:p w14:paraId="46DDB2E8" w14:textId="77777777" w:rsidR="001E4973" w:rsidRPr="00F86F9E" w:rsidRDefault="00170421">
            <w:pPr>
              <w:rPr>
                <w:color w:val="000000" w:themeColor="text1"/>
              </w:rPr>
            </w:pPr>
            <w:proofErr w:type="spellStart"/>
            <w:r w:rsidRPr="00F86F9E">
              <w:rPr>
                <w:color w:val="000000" w:themeColor="text1"/>
                <w:sz w:val="20"/>
                <w:szCs w:val="20"/>
              </w:rPr>
              <w:t>Hochreiter</w:t>
            </w:r>
            <w:proofErr w:type="spellEnd"/>
            <w:r w:rsidRPr="00F86F9E">
              <w:rPr>
                <w:color w:val="000000" w:themeColor="text1"/>
                <w:sz w:val="20"/>
                <w:szCs w:val="20"/>
              </w:rPr>
              <w:t xml:space="preserve"> &amp; </w:t>
            </w:r>
            <w:proofErr w:type="spellStart"/>
            <w:r w:rsidRPr="00F86F9E">
              <w:rPr>
                <w:color w:val="000000" w:themeColor="text1"/>
                <w:sz w:val="20"/>
                <w:szCs w:val="20"/>
              </w:rPr>
              <w:t>Schmidhuber</w:t>
            </w:r>
            <w:proofErr w:type="spellEnd"/>
            <w:r w:rsidRPr="00F86F9E">
              <w:rPr>
                <w:color w:val="000000" w:themeColor="text1"/>
                <w:sz w:val="20"/>
                <w:szCs w:val="20"/>
              </w:rPr>
              <w:t>, 1997</w:t>
            </w:r>
          </w:p>
        </w:tc>
      </w:tr>
      <w:tr w:rsidR="00F86F9E" w:rsidRPr="00F86F9E" w14:paraId="78C315EF" w14:textId="77777777" w:rsidTr="007A7E10">
        <w:tc>
          <w:tcPr>
            <w:tcW w:w="2200" w:type="dxa"/>
          </w:tcPr>
          <w:p w14:paraId="2E409CEC" w14:textId="77777777" w:rsidR="001E4973" w:rsidRPr="00F86F9E" w:rsidRDefault="00170421">
            <w:pPr>
              <w:rPr>
                <w:color w:val="000000" w:themeColor="text1"/>
              </w:rPr>
            </w:pPr>
            <w:r w:rsidRPr="00F86F9E">
              <w:rPr>
                <w:color w:val="000000" w:themeColor="text1"/>
                <w:sz w:val="20"/>
                <w:szCs w:val="20"/>
              </w:rPr>
              <w:t>Transfer Learning</w:t>
            </w:r>
          </w:p>
        </w:tc>
        <w:tc>
          <w:tcPr>
            <w:tcW w:w="2000" w:type="dxa"/>
          </w:tcPr>
          <w:p w14:paraId="7FD0D974" w14:textId="77777777" w:rsidR="001E4973" w:rsidRPr="00F86F9E" w:rsidRDefault="00170421">
            <w:pPr>
              <w:rPr>
                <w:color w:val="000000" w:themeColor="text1"/>
              </w:rPr>
            </w:pPr>
            <w:r w:rsidRPr="00F86F9E">
              <w:rPr>
                <w:color w:val="000000" w:themeColor="text1"/>
                <w:sz w:val="20"/>
                <w:szCs w:val="20"/>
              </w:rPr>
              <w:t>Cross-species trait inference</w:t>
            </w:r>
          </w:p>
        </w:tc>
        <w:tc>
          <w:tcPr>
            <w:tcW w:w="2000" w:type="dxa"/>
          </w:tcPr>
          <w:p w14:paraId="0A334189" w14:textId="77777777" w:rsidR="001E4973" w:rsidRPr="00F86F9E" w:rsidRDefault="00170421">
            <w:pPr>
              <w:rPr>
                <w:color w:val="000000" w:themeColor="text1"/>
              </w:rPr>
            </w:pPr>
            <w:r w:rsidRPr="00F86F9E">
              <w:rPr>
                <w:color w:val="000000" w:themeColor="text1"/>
                <w:sz w:val="20"/>
                <w:szCs w:val="20"/>
              </w:rPr>
              <w:t>Low data requirement</w:t>
            </w:r>
          </w:p>
        </w:tc>
        <w:tc>
          <w:tcPr>
            <w:tcW w:w="1600" w:type="dxa"/>
          </w:tcPr>
          <w:p w14:paraId="6B65EB20" w14:textId="77777777" w:rsidR="001E4973" w:rsidRPr="00F86F9E" w:rsidRDefault="00170421">
            <w:pPr>
              <w:rPr>
                <w:color w:val="000000" w:themeColor="text1"/>
              </w:rPr>
            </w:pPr>
            <w:r w:rsidRPr="00F86F9E">
              <w:rPr>
                <w:color w:val="000000" w:themeColor="text1"/>
                <w:sz w:val="20"/>
                <w:szCs w:val="20"/>
              </w:rPr>
              <w:t>Sorghum, Millet</w:t>
            </w:r>
          </w:p>
        </w:tc>
        <w:tc>
          <w:tcPr>
            <w:tcW w:w="1560" w:type="dxa"/>
          </w:tcPr>
          <w:p w14:paraId="3FFA19F8" w14:textId="77777777" w:rsidR="001E4973" w:rsidRPr="00F86F9E" w:rsidRDefault="00170421">
            <w:pPr>
              <w:rPr>
                <w:color w:val="000000" w:themeColor="text1"/>
              </w:rPr>
            </w:pPr>
            <w:r w:rsidRPr="00F86F9E">
              <w:rPr>
                <w:color w:val="000000" w:themeColor="text1"/>
                <w:sz w:val="20"/>
                <w:szCs w:val="20"/>
              </w:rPr>
              <w:t>Pan &amp; Yang, 2010</w:t>
            </w:r>
          </w:p>
        </w:tc>
      </w:tr>
      <w:tr w:rsidR="00F86F9E" w:rsidRPr="00F86F9E" w14:paraId="389DA059" w14:textId="77777777" w:rsidTr="007A7E10">
        <w:tc>
          <w:tcPr>
            <w:tcW w:w="2200" w:type="dxa"/>
          </w:tcPr>
          <w:p w14:paraId="6F2D5FAB" w14:textId="77777777" w:rsidR="001E4973" w:rsidRPr="00F86F9E" w:rsidRDefault="00170421">
            <w:pPr>
              <w:rPr>
                <w:color w:val="000000" w:themeColor="text1"/>
              </w:rPr>
            </w:pPr>
            <w:r w:rsidRPr="00F86F9E">
              <w:rPr>
                <w:color w:val="000000" w:themeColor="text1"/>
                <w:sz w:val="20"/>
                <w:szCs w:val="20"/>
              </w:rPr>
              <w:t>Generative Adversarial Networks</w:t>
            </w:r>
          </w:p>
        </w:tc>
        <w:tc>
          <w:tcPr>
            <w:tcW w:w="2000" w:type="dxa"/>
          </w:tcPr>
          <w:p w14:paraId="3ABC080D" w14:textId="77777777" w:rsidR="001E4973" w:rsidRPr="00F86F9E" w:rsidRDefault="00170421">
            <w:pPr>
              <w:rPr>
                <w:color w:val="000000" w:themeColor="text1"/>
              </w:rPr>
            </w:pPr>
            <w:r w:rsidRPr="00F86F9E">
              <w:rPr>
                <w:color w:val="000000" w:themeColor="text1"/>
                <w:sz w:val="20"/>
                <w:szCs w:val="20"/>
              </w:rPr>
              <w:t>Synthetic phenotype augmentation</w:t>
            </w:r>
          </w:p>
        </w:tc>
        <w:tc>
          <w:tcPr>
            <w:tcW w:w="2000" w:type="dxa"/>
          </w:tcPr>
          <w:p w14:paraId="5A8DA7F9" w14:textId="77777777" w:rsidR="001E4973" w:rsidRPr="00F86F9E" w:rsidRDefault="00170421">
            <w:pPr>
              <w:rPr>
                <w:color w:val="000000" w:themeColor="text1"/>
              </w:rPr>
            </w:pPr>
            <w:r w:rsidRPr="00F86F9E">
              <w:rPr>
                <w:color w:val="000000" w:themeColor="text1"/>
                <w:sz w:val="20"/>
                <w:szCs w:val="20"/>
              </w:rPr>
              <w:t>Data augmentation</w:t>
            </w:r>
          </w:p>
        </w:tc>
        <w:tc>
          <w:tcPr>
            <w:tcW w:w="1600" w:type="dxa"/>
          </w:tcPr>
          <w:p w14:paraId="0771DFB7" w14:textId="77777777" w:rsidR="001E4973" w:rsidRPr="00F86F9E" w:rsidRDefault="00170421">
            <w:pPr>
              <w:rPr>
                <w:color w:val="000000" w:themeColor="text1"/>
              </w:rPr>
            </w:pPr>
            <w:r w:rsidRPr="00F86F9E">
              <w:rPr>
                <w:color w:val="000000" w:themeColor="text1"/>
                <w:sz w:val="20"/>
                <w:szCs w:val="20"/>
              </w:rPr>
              <w:t>Arabidopsis</w:t>
            </w:r>
          </w:p>
        </w:tc>
        <w:tc>
          <w:tcPr>
            <w:tcW w:w="1560" w:type="dxa"/>
          </w:tcPr>
          <w:p w14:paraId="36A0244E" w14:textId="5A637CA3" w:rsidR="001E4973" w:rsidRPr="00F86F9E" w:rsidRDefault="00170421">
            <w:pPr>
              <w:rPr>
                <w:color w:val="000000" w:themeColor="text1"/>
              </w:rPr>
            </w:pPr>
            <w:r w:rsidRPr="00F86F9E">
              <w:rPr>
                <w:color w:val="000000" w:themeColor="text1"/>
                <w:sz w:val="20"/>
                <w:szCs w:val="20"/>
              </w:rPr>
              <w:t xml:space="preserve">Goodfellow </w:t>
            </w:r>
            <w:r w:rsidR="00CF20A5" w:rsidRPr="00CF20A5">
              <w:rPr>
                <w:i/>
                <w:iCs/>
                <w:color w:val="000000" w:themeColor="text1"/>
                <w:sz w:val="20"/>
                <w:szCs w:val="20"/>
              </w:rPr>
              <w:t>et al</w:t>
            </w:r>
            <w:r w:rsidRPr="00F86F9E">
              <w:rPr>
                <w:color w:val="000000" w:themeColor="text1"/>
                <w:sz w:val="20"/>
                <w:szCs w:val="20"/>
              </w:rPr>
              <w:t>., 2014</w:t>
            </w:r>
          </w:p>
        </w:tc>
      </w:tr>
      <w:tr w:rsidR="00F86F9E" w:rsidRPr="00F86F9E" w14:paraId="3E76CF1F" w14:textId="77777777" w:rsidTr="007A7E10">
        <w:tc>
          <w:tcPr>
            <w:tcW w:w="2200" w:type="dxa"/>
          </w:tcPr>
          <w:p w14:paraId="121D5246" w14:textId="77777777" w:rsidR="001E4973" w:rsidRPr="00F86F9E" w:rsidRDefault="00170421">
            <w:pPr>
              <w:rPr>
                <w:color w:val="000000" w:themeColor="text1"/>
              </w:rPr>
            </w:pPr>
            <w:r w:rsidRPr="00F86F9E">
              <w:rPr>
                <w:color w:val="000000" w:themeColor="text1"/>
                <w:sz w:val="20"/>
                <w:szCs w:val="20"/>
              </w:rPr>
              <w:t>Reinforcement Learning</w:t>
            </w:r>
          </w:p>
        </w:tc>
        <w:tc>
          <w:tcPr>
            <w:tcW w:w="2000" w:type="dxa"/>
          </w:tcPr>
          <w:p w14:paraId="09E9F60A" w14:textId="77777777" w:rsidR="001E4973" w:rsidRPr="00F86F9E" w:rsidRDefault="00170421">
            <w:pPr>
              <w:rPr>
                <w:color w:val="000000" w:themeColor="text1"/>
              </w:rPr>
            </w:pPr>
            <w:r w:rsidRPr="00F86F9E">
              <w:rPr>
                <w:color w:val="000000" w:themeColor="text1"/>
                <w:sz w:val="20"/>
                <w:szCs w:val="20"/>
              </w:rPr>
              <w:t>Adaptive breeding strategy optimization</w:t>
            </w:r>
          </w:p>
        </w:tc>
        <w:tc>
          <w:tcPr>
            <w:tcW w:w="2000" w:type="dxa"/>
          </w:tcPr>
          <w:p w14:paraId="6F90905B" w14:textId="77777777" w:rsidR="001E4973" w:rsidRPr="00F86F9E" w:rsidRDefault="00170421">
            <w:pPr>
              <w:rPr>
                <w:color w:val="000000" w:themeColor="text1"/>
              </w:rPr>
            </w:pPr>
            <w:r w:rsidRPr="00F86F9E">
              <w:rPr>
                <w:color w:val="000000" w:themeColor="text1"/>
                <w:sz w:val="20"/>
                <w:szCs w:val="20"/>
              </w:rPr>
              <w:t>Dynamic decision making</w:t>
            </w:r>
          </w:p>
        </w:tc>
        <w:tc>
          <w:tcPr>
            <w:tcW w:w="1600" w:type="dxa"/>
          </w:tcPr>
          <w:p w14:paraId="17FEF224" w14:textId="77777777" w:rsidR="001E4973" w:rsidRPr="00F86F9E" w:rsidRDefault="00170421">
            <w:pPr>
              <w:rPr>
                <w:color w:val="000000" w:themeColor="text1"/>
              </w:rPr>
            </w:pPr>
            <w:r w:rsidRPr="00F86F9E">
              <w:rPr>
                <w:color w:val="000000" w:themeColor="text1"/>
                <w:sz w:val="20"/>
                <w:szCs w:val="20"/>
              </w:rPr>
              <w:t>Cotton, Canola</w:t>
            </w:r>
          </w:p>
        </w:tc>
        <w:tc>
          <w:tcPr>
            <w:tcW w:w="1560" w:type="dxa"/>
          </w:tcPr>
          <w:p w14:paraId="2A9C04F4" w14:textId="72D9C312" w:rsidR="001E4973" w:rsidRPr="00F86F9E" w:rsidRDefault="00170421">
            <w:pPr>
              <w:rPr>
                <w:color w:val="000000" w:themeColor="text1"/>
              </w:rPr>
            </w:pPr>
            <w:r w:rsidRPr="00F86F9E">
              <w:rPr>
                <w:color w:val="000000" w:themeColor="text1"/>
                <w:sz w:val="20"/>
                <w:szCs w:val="20"/>
              </w:rPr>
              <w:t xml:space="preserve">Silver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64819255" w14:textId="77777777" w:rsidTr="007A7E10">
        <w:tc>
          <w:tcPr>
            <w:tcW w:w="2200" w:type="dxa"/>
          </w:tcPr>
          <w:p w14:paraId="6EF4A0DD" w14:textId="77777777" w:rsidR="001E4973" w:rsidRPr="00F86F9E" w:rsidRDefault="00170421">
            <w:pPr>
              <w:rPr>
                <w:color w:val="000000" w:themeColor="text1"/>
              </w:rPr>
            </w:pPr>
            <w:r w:rsidRPr="00F86F9E">
              <w:rPr>
                <w:color w:val="000000" w:themeColor="text1"/>
                <w:sz w:val="20"/>
                <w:szCs w:val="20"/>
              </w:rPr>
              <w:lastRenderedPageBreak/>
              <w:t>Natural Language Processing</w:t>
            </w:r>
          </w:p>
        </w:tc>
        <w:tc>
          <w:tcPr>
            <w:tcW w:w="2000" w:type="dxa"/>
          </w:tcPr>
          <w:p w14:paraId="39CC3EDD" w14:textId="77777777" w:rsidR="001E4973" w:rsidRPr="00F86F9E" w:rsidRDefault="00170421">
            <w:pPr>
              <w:rPr>
                <w:color w:val="000000" w:themeColor="text1"/>
              </w:rPr>
            </w:pPr>
            <w:r w:rsidRPr="00F86F9E">
              <w:rPr>
                <w:color w:val="000000" w:themeColor="text1"/>
                <w:sz w:val="20"/>
                <w:szCs w:val="20"/>
              </w:rPr>
              <w:t>Literature mining for gene function</w:t>
            </w:r>
          </w:p>
        </w:tc>
        <w:tc>
          <w:tcPr>
            <w:tcW w:w="2000" w:type="dxa"/>
          </w:tcPr>
          <w:p w14:paraId="6B94726F" w14:textId="77777777" w:rsidR="001E4973" w:rsidRPr="00F86F9E" w:rsidRDefault="00170421">
            <w:pPr>
              <w:rPr>
                <w:color w:val="000000" w:themeColor="text1"/>
              </w:rPr>
            </w:pPr>
            <w:r w:rsidRPr="00F86F9E">
              <w:rPr>
                <w:color w:val="000000" w:themeColor="text1"/>
                <w:sz w:val="20"/>
                <w:szCs w:val="20"/>
              </w:rPr>
              <w:t>Knowledge extraction</w:t>
            </w:r>
          </w:p>
        </w:tc>
        <w:tc>
          <w:tcPr>
            <w:tcW w:w="1600" w:type="dxa"/>
          </w:tcPr>
          <w:p w14:paraId="38F6F779" w14:textId="77777777" w:rsidR="001E4973" w:rsidRPr="00F86F9E" w:rsidRDefault="00170421">
            <w:pPr>
              <w:rPr>
                <w:color w:val="000000" w:themeColor="text1"/>
              </w:rPr>
            </w:pPr>
            <w:r w:rsidRPr="00F86F9E">
              <w:rPr>
                <w:color w:val="000000" w:themeColor="text1"/>
                <w:sz w:val="20"/>
                <w:szCs w:val="20"/>
              </w:rPr>
              <w:t>Multi-crop</w:t>
            </w:r>
          </w:p>
        </w:tc>
        <w:tc>
          <w:tcPr>
            <w:tcW w:w="1560" w:type="dxa"/>
          </w:tcPr>
          <w:p w14:paraId="7580AD34" w14:textId="2EADE439" w:rsidR="001E4973" w:rsidRPr="00F86F9E" w:rsidRDefault="00170421">
            <w:pPr>
              <w:rPr>
                <w:color w:val="000000" w:themeColor="text1"/>
              </w:rPr>
            </w:pPr>
            <w:proofErr w:type="spellStart"/>
            <w:r w:rsidRPr="00F86F9E">
              <w:rPr>
                <w:color w:val="000000" w:themeColor="text1"/>
                <w:sz w:val="20"/>
                <w:szCs w:val="20"/>
              </w:rPr>
              <w:t>Mikolov</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2013</w:t>
            </w:r>
          </w:p>
        </w:tc>
      </w:tr>
      <w:tr w:rsidR="00F86F9E" w:rsidRPr="00F86F9E" w14:paraId="50DE2FCC" w14:textId="77777777" w:rsidTr="007A7E10">
        <w:tc>
          <w:tcPr>
            <w:tcW w:w="2200" w:type="dxa"/>
          </w:tcPr>
          <w:p w14:paraId="59D7BD30" w14:textId="77777777" w:rsidR="001E4973" w:rsidRPr="00F86F9E" w:rsidRDefault="00170421">
            <w:pPr>
              <w:rPr>
                <w:color w:val="000000" w:themeColor="text1"/>
              </w:rPr>
            </w:pPr>
            <w:r w:rsidRPr="00F86F9E">
              <w:rPr>
                <w:color w:val="000000" w:themeColor="text1"/>
                <w:sz w:val="20"/>
                <w:szCs w:val="20"/>
              </w:rPr>
              <w:t>Bayesian Deep Learning</w:t>
            </w:r>
          </w:p>
        </w:tc>
        <w:tc>
          <w:tcPr>
            <w:tcW w:w="2000" w:type="dxa"/>
          </w:tcPr>
          <w:p w14:paraId="4481D35F" w14:textId="77777777" w:rsidR="001E4973" w:rsidRPr="00F86F9E" w:rsidRDefault="00170421">
            <w:pPr>
              <w:rPr>
                <w:color w:val="000000" w:themeColor="text1"/>
              </w:rPr>
            </w:pPr>
            <w:r w:rsidRPr="00F86F9E">
              <w:rPr>
                <w:color w:val="000000" w:themeColor="text1"/>
                <w:sz w:val="20"/>
                <w:szCs w:val="20"/>
              </w:rPr>
              <w:t>Uncertainty quantification in GS</w:t>
            </w:r>
          </w:p>
        </w:tc>
        <w:tc>
          <w:tcPr>
            <w:tcW w:w="2000" w:type="dxa"/>
          </w:tcPr>
          <w:p w14:paraId="4396C3CB" w14:textId="77777777" w:rsidR="001E4973" w:rsidRPr="00F86F9E" w:rsidRDefault="00170421">
            <w:pPr>
              <w:rPr>
                <w:color w:val="000000" w:themeColor="text1"/>
              </w:rPr>
            </w:pPr>
            <w:r w:rsidRPr="00F86F9E">
              <w:rPr>
                <w:color w:val="000000" w:themeColor="text1"/>
                <w:sz w:val="20"/>
                <w:szCs w:val="20"/>
              </w:rPr>
              <w:t>Probabilistic predictions</w:t>
            </w:r>
          </w:p>
        </w:tc>
        <w:tc>
          <w:tcPr>
            <w:tcW w:w="1600" w:type="dxa"/>
          </w:tcPr>
          <w:p w14:paraId="09E22C40" w14:textId="77777777" w:rsidR="001E4973" w:rsidRPr="00F86F9E" w:rsidRDefault="00170421">
            <w:pPr>
              <w:rPr>
                <w:color w:val="000000" w:themeColor="text1"/>
              </w:rPr>
            </w:pPr>
            <w:r w:rsidRPr="00F86F9E">
              <w:rPr>
                <w:color w:val="000000" w:themeColor="text1"/>
                <w:sz w:val="20"/>
                <w:szCs w:val="20"/>
              </w:rPr>
              <w:t>Barley, Oat</w:t>
            </w:r>
          </w:p>
        </w:tc>
        <w:tc>
          <w:tcPr>
            <w:tcW w:w="1560" w:type="dxa"/>
          </w:tcPr>
          <w:p w14:paraId="44C83D23" w14:textId="41C94DF9" w:rsidR="001E4973" w:rsidRPr="00F86F9E" w:rsidRDefault="00170421">
            <w:pPr>
              <w:rPr>
                <w:color w:val="000000" w:themeColor="text1"/>
              </w:rPr>
            </w:pPr>
            <w:r w:rsidRPr="00F86F9E">
              <w:rPr>
                <w:color w:val="000000" w:themeColor="text1"/>
                <w:sz w:val="20"/>
                <w:szCs w:val="20"/>
              </w:rPr>
              <w:t xml:space="preserve">Gelman </w:t>
            </w:r>
            <w:r w:rsidR="00CF20A5" w:rsidRPr="00CF20A5">
              <w:rPr>
                <w:i/>
                <w:iCs/>
                <w:color w:val="000000" w:themeColor="text1"/>
                <w:sz w:val="20"/>
                <w:szCs w:val="20"/>
              </w:rPr>
              <w:t>et al</w:t>
            </w:r>
            <w:r w:rsidRPr="00F86F9E">
              <w:rPr>
                <w:color w:val="000000" w:themeColor="text1"/>
                <w:sz w:val="20"/>
                <w:szCs w:val="20"/>
              </w:rPr>
              <w:t>., 2013</w:t>
            </w:r>
          </w:p>
        </w:tc>
      </w:tr>
    </w:tbl>
    <w:p w14:paraId="76DC74E8" w14:textId="77777777" w:rsidR="001E4973" w:rsidRPr="00F86F9E" w:rsidRDefault="001E4973">
      <w:pPr>
        <w:spacing w:after="120"/>
        <w:rPr>
          <w:color w:val="000000" w:themeColor="text1"/>
        </w:rPr>
      </w:pPr>
    </w:p>
    <w:p w14:paraId="027DD348" w14:textId="77777777" w:rsidR="001E4973" w:rsidRPr="00F86F9E" w:rsidRDefault="00170421">
      <w:pPr>
        <w:pStyle w:val="Heading2"/>
        <w:rPr>
          <w:color w:val="000000" w:themeColor="text1"/>
        </w:rPr>
      </w:pPr>
      <w:r w:rsidRPr="00F86F9E">
        <w:rPr>
          <w:color w:val="000000" w:themeColor="text1"/>
          <w:sz w:val="26"/>
          <w:szCs w:val="26"/>
        </w:rPr>
        <w:t>2.2 Genomic Selection and Prediction Models</w:t>
      </w:r>
    </w:p>
    <w:p w14:paraId="5300FB44" w14:textId="4EFCB581" w:rsidR="00764AB0" w:rsidRPr="00764AB0" w:rsidRDefault="00764AB0" w:rsidP="00764AB0">
      <w:pPr>
        <w:spacing w:after="160" w:line="360" w:lineRule="auto"/>
        <w:jc w:val="both"/>
        <w:rPr>
          <w:color w:val="000000" w:themeColor="text1"/>
        </w:rPr>
      </w:pPr>
      <w:r w:rsidRPr="00764AB0">
        <w:rPr>
          <w:color w:val="000000" w:themeColor="text1"/>
        </w:rPr>
        <w:t xml:space="preserve">The concept of genomic selection was first proposed by </w:t>
      </w:r>
      <w:proofErr w:type="spellStart"/>
      <w:r w:rsidRPr="00764AB0">
        <w:rPr>
          <w:color w:val="000000" w:themeColor="text1"/>
        </w:rPr>
        <w:t>Meuwissen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(2001) to predict the genetic values of breeding individuals based on whole-genome SNP markers. After GBLUP was proposed by </w:t>
      </w:r>
      <w:proofErr w:type="spellStart"/>
      <w:r w:rsidRPr="00764AB0">
        <w:rPr>
          <w:color w:val="000000" w:themeColor="text1"/>
        </w:rPr>
        <w:t>VanRaden</w:t>
      </w:r>
      <w:proofErr w:type="spellEnd"/>
      <w:r w:rsidRPr="00764AB0">
        <w:rPr>
          <w:color w:val="000000" w:themeColor="text1"/>
        </w:rPr>
        <w:t xml:space="preserve"> (2008), regularized regressions such as ridge regression BLUP, LASSO</w:t>
      </w:r>
      <w:r w:rsidR="00CF20A5">
        <w:rPr>
          <w:color w:val="000000" w:themeColor="text1"/>
        </w:rPr>
        <w:t xml:space="preserve"> and</w:t>
      </w:r>
      <w:r w:rsidRPr="00764AB0">
        <w:rPr>
          <w:color w:val="000000" w:themeColor="text1"/>
        </w:rPr>
        <w:t xml:space="preserve"> elastic net models soon emerged, where different penalty terms were applied to marker effects (Campos </w:t>
      </w:r>
      <w:r w:rsidR="00CF20A5" w:rsidRPr="00CF20A5">
        <w:rPr>
          <w:i/>
          <w:iCs/>
          <w:color w:val="000000" w:themeColor="text1"/>
        </w:rPr>
        <w:t>et al</w:t>
      </w:r>
      <w:r w:rsidRPr="00764AB0">
        <w:rPr>
          <w:color w:val="000000" w:themeColor="text1"/>
        </w:rPr>
        <w:t xml:space="preserve">., 2013). GBLUP differs from </w:t>
      </w:r>
      <w:proofErr w:type="spellStart"/>
      <w:r w:rsidRPr="00764AB0">
        <w:rPr>
          <w:color w:val="000000" w:themeColor="text1"/>
        </w:rPr>
        <w:t>BayesB</w:t>
      </w:r>
      <w:proofErr w:type="spellEnd"/>
      <w:r w:rsidRPr="00764AB0">
        <w:rPr>
          <w:color w:val="000000" w:themeColor="text1"/>
        </w:rPr>
        <w:t xml:space="preserve"> and </w:t>
      </w:r>
      <w:proofErr w:type="spellStart"/>
      <w:r w:rsidRPr="00764AB0">
        <w:rPr>
          <w:color w:val="000000" w:themeColor="text1"/>
        </w:rPr>
        <w:t>BayesC</w:t>
      </w:r>
      <w:proofErr w:type="spellEnd"/>
      <w:r w:rsidRPr="00764AB0">
        <w:rPr>
          <w:color w:val="000000" w:themeColor="text1"/>
        </w:rPr>
        <w:t xml:space="preserve"> because it assumes equal marker variances, while the latter two methods allow a portion of markers to have no effect on the target trait, especially when the trait is controlled by some large-effect loci (</w:t>
      </w:r>
      <w:proofErr w:type="spellStart"/>
      <w:r w:rsidRPr="00764AB0">
        <w:rPr>
          <w:color w:val="000000" w:themeColor="text1"/>
        </w:rPr>
        <w:t>Daetwyler</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w:t>
      </w:r>
    </w:p>
    <w:p w14:paraId="3800932E" w14:textId="559E18B5" w:rsidR="001E4973" w:rsidRDefault="00764AB0" w:rsidP="00764AB0">
      <w:pPr>
        <w:spacing w:after="160" w:line="360" w:lineRule="auto"/>
        <w:jc w:val="both"/>
        <w:rPr>
          <w:color w:val="000000" w:themeColor="text1"/>
        </w:rPr>
      </w:pPr>
      <w:r w:rsidRPr="00764AB0">
        <w:rPr>
          <w:color w:val="000000" w:themeColor="text1"/>
        </w:rPr>
        <w:t>With the development of deep learning, novel applications of machine learning in genomic prediction have been discovered. By utilizing CNNs, non-linear epistatic interactions of SNP markers, which cannot be captured by linear models, could be revealed (</w:t>
      </w:r>
      <w:proofErr w:type="spellStart"/>
      <w:r w:rsidRPr="00764AB0">
        <w:rPr>
          <w:color w:val="000000" w:themeColor="text1"/>
        </w:rPr>
        <w:t>LeCun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2015; Pérez-</w:t>
      </w:r>
      <w:proofErr w:type="spellStart"/>
      <w:r w:rsidRPr="00764AB0">
        <w:rPr>
          <w:color w:val="000000" w:themeColor="text1"/>
        </w:rPr>
        <w:t>Enciso</w:t>
      </w:r>
      <w:proofErr w:type="spellEnd"/>
      <w:r w:rsidRPr="00764AB0">
        <w:rPr>
          <w:color w:val="000000" w:themeColor="text1"/>
        </w:rPr>
        <w:t xml:space="preserve"> &amp; </w:t>
      </w:r>
      <w:proofErr w:type="spellStart"/>
      <w:r w:rsidRPr="00764AB0">
        <w:rPr>
          <w:color w:val="000000" w:themeColor="text1"/>
        </w:rPr>
        <w:t>Zingaretti</w:t>
      </w:r>
      <w:proofErr w:type="spellEnd"/>
      <w:r w:rsidRPr="00764AB0">
        <w:rPr>
          <w:color w:val="000000" w:themeColor="text1"/>
        </w:rPr>
        <w:t xml:space="preserve">, 2019). Moreover, RNNs and their extensions, i.e., LSTM models, could handle the </w:t>
      </w:r>
      <w:proofErr w:type="spellStart"/>
      <w:r w:rsidRPr="00764AB0">
        <w:rPr>
          <w:color w:val="000000" w:themeColor="text1"/>
        </w:rPr>
        <w:t>sequentiality</w:t>
      </w:r>
      <w:proofErr w:type="spellEnd"/>
      <w:r w:rsidRPr="00764AB0">
        <w:rPr>
          <w:color w:val="000000" w:themeColor="text1"/>
        </w:rPr>
        <w:t xml:space="preserve"> of genomic and phenotypic data (</w:t>
      </w:r>
      <w:proofErr w:type="spellStart"/>
      <w:r w:rsidRPr="00764AB0">
        <w:rPr>
          <w:color w:val="000000" w:themeColor="text1"/>
        </w:rPr>
        <w:t>Hochreiter</w:t>
      </w:r>
      <w:proofErr w:type="spellEnd"/>
      <w:r w:rsidRPr="00764AB0">
        <w:rPr>
          <w:color w:val="000000" w:themeColor="text1"/>
        </w:rPr>
        <w:t xml:space="preserve"> &amp; </w:t>
      </w:r>
      <w:proofErr w:type="spellStart"/>
      <w:r w:rsidRPr="00764AB0">
        <w:rPr>
          <w:color w:val="000000" w:themeColor="text1"/>
        </w:rPr>
        <w:t>Schmidhuber</w:t>
      </w:r>
      <w:proofErr w:type="spellEnd"/>
      <w:r w:rsidRPr="00764AB0">
        <w:rPr>
          <w:color w:val="000000" w:themeColor="text1"/>
        </w:rPr>
        <w:t xml:space="preserve">, 1997). In addition, transfer learning, which transfers the model parameters obtained by training on data-rich species to data-scarce species, has proven effective for predicting traits in orphan crops </w:t>
      </w:r>
      <w:r w:rsidRPr="00F86F9E">
        <w:rPr>
          <w:color w:val="000000" w:themeColor="text1"/>
        </w:rPr>
        <w:t>(</w:t>
      </w:r>
      <w:r w:rsidRPr="00F86F9E">
        <w:rPr>
          <w:i/>
          <w:iCs/>
          <w:color w:val="000000" w:themeColor="text1"/>
        </w:rPr>
        <w:t>Pan &amp; Yang, 2010</w:t>
      </w:r>
      <w:r w:rsidRPr="00F86F9E">
        <w:rPr>
          <w:color w:val="000000" w:themeColor="text1"/>
        </w:rPr>
        <w:t xml:space="preserve">). Table 1 </w:t>
      </w:r>
      <w:r>
        <w:rPr>
          <w:color w:val="000000" w:themeColor="text1"/>
        </w:rPr>
        <w:t xml:space="preserve">and Figure 1 </w:t>
      </w:r>
      <w:r w:rsidRPr="00F86F9E">
        <w:rPr>
          <w:color w:val="000000" w:themeColor="text1"/>
        </w:rPr>
        <w:t>provides an overview of these approaches in relation to specific crops and reference works (</w:t>
      </w:r>
      <w:proofErr w:type="spellStart"/>
      <w:r w:rsidRPr="00F86F9E">
        <w:rPr>
          <w:i/>
          <w:iCs/>
          <w:color w:val="000000" w:themeColor="text1"/>
        </w:rPr>
        <w:t>Breiman</w:t>
      </w:r>
      <w:proofErr w:type="spellEnd"/>
      <w:r w:rsidRPr="00F86F9E">
        <w:rPr>
          <w:i/>
          <w:iCs/>
          <w:color w:val="000000" w:themeColor="text1"/>
        </w:rPr>
        <w:t>, 2001</w:t>
      </w:r>
      <w:r w:rsidRPr="00F86F9E">
        <w:rPr>
          <w:color w:val="000000" w:themeColor="text1"/>
        </w:rPr>
        <w:t xml:space="preserve">; </w:t>
      </w:r>
      <w:r w:rsidRPr="00F86F9E">
        <w:rPr>
          <w:i/>
          <w:iCs/>
          <w:color w:val="000000" w:themeColor="text1"/>
        </w:rPr>
        <w:t xml:space="preserve">Goodfellow </w:t>
      </w:r>
      <w:r w:rsidR="00CF20A5" w:rsidRPr="00CF20A5">
        <w:rPr>
          <w:i/>
          <w:iCs/>
          <w:color w:val="000000" w:themeColor="text1"/>
        </w:rPr>
        <w:t>et al</w:t>
      </w:r>
      <w:r w:rsidRPr="00F86F9E">
        <w:rPr>
          <w:i/>
          <w:iCs/>
          <w:color w:val="000000" w:themeColor="text1"/>
        </w:rPr>
        <w:t>., 2014</w:t>
      </w:r>
      <w:r w:rsidRPr="00F86F9E">
        <w:rPr>
          <w:color w:val="000000" w:themeColor="text1"/>
        </w:rPr>
        <w:t xml:space="preserve">; </w:t>
      </w:r>
      <w:r w:rsidRPr="00F86F9E">
        <w:rPr>
          <w:i/>
          <w:iCs/>
          <w:color w:val="000000" w:themeColor="text1"/>
        </w:rPr>
        <w:t xml:space="preserve">Silver </w:t>
      </w:r>
      <w:r w:rsidR="00CF20A5" w:rsidRPr="00CF20A5">
        <w:rPr>
          <w:i/>
          <w:iCs/>
          <w:color w:val="000000" w:themeColor="text1"/>
        </w:rPr>
        <w:t>et al</w:t>
      </w:r>
      <w:r w:rsidRPr="00F86F9E">
        <w:rPr>
          <w:i/>
          <w:iCs/>
          <w:color w:val="000000" w:themeColor="text1"/>
        </w:rPr>
        <w:t>., 2016</w:t>
      </w:r>
      <w:r w:rsidRPr="00F86F9E">
        <w:rPr>
          <w:color w:val="000000" w:themeColor="text1"/>
        </w:rPr>
        <w:t xml:space="preserve">; </w:t>
      </w:r>
      <w:proofErr w:type="spellStart"/>
      <w:r w:rsidRPr="00F86F9E">
        <w:rPr>
          <w:i/>
          <w:iCs/>
          <w:color w:val="000000" w:themeColor="text1"/>
        </w:rPr>
        <w:t>Mikolov</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2013</w:t>
      </w:r>
      <w:r w:rsidRPr="00F86F9E">
        <w:rPr>
          <w:color w:val="000000" w:themeColor="text1"/>
        </w:rPr>
        <w:t>).</w:t>
      </w:r>
    </w:p>
    <w:p w14:paraId="22B86EE7" w14:textId="448B5D29" w:rsidR="007A7E10" w:rsidRDefault="007A7E10" w:rsidP="007A7E10">
      <w:pPr>
        <w:spacing w:after="160" w:line="360" w:lineRule="auto"/>
        <w:jc w:val="center"/>
        <w:rPr>
          <w:color w:val="000000" w:themeColor="text1"/>
        </w:rPr>
      </w:pPr>
      <w:r>
        <w:rPr>
          <w:noProof/>
        </w:rPr>
        <w:lastRenderedPageBreak/>
        <w:drawing>
          <wp:inline distT="0" distB="0" distL="0" distR="0" wp14:anchorId="7380B971" wp14:editId="69BC50C0">
            <wp:extent cx="3276600" cy="2567370"/>
            <wp:effectExtent l="0" t="0" r="0" b="4445"/>
            <wp:docPr id="57771861" name="Picture 3" descr="Basic scheme of Genomic Selec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ic scheme of Genomic Selection proc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0108" cy="2570119"/>
                    </a:xfrm>
                    <a:prstGeom prst="rect">
                      <a:avLst/>
                    </a:prstGeom>
                    <a:noFill/>
                    <a:ln>
                      <a:noFill/>
                    </a:ln>
                  </pic:spPr>
                </pic:pic>
              </a:graphicData>
            </a:graphic>
          </wp:inline>
        </w:drawing>
      </w:r>
    </w:p>
    <w:p w14:paraId="36C25277" w14:textId="72E83F47" w:rsidR="007A7E10" w:rsidRPr="007A7E10" w:rsidRDefault="007A7E10">
      <w:pPr>
        <w:spacing w:after="160" w:line="360" w:lineRule="auto"/>
        <w:jc w:val="both"/>
        <w:rPr>
          <w:b/>
          <w:bCs/>
          <w:i/>
          <w:iCs/>
          <w:color w:val="000000" w:themeColor="text1"/>
        </w:rPr>
      </w:pPr>
      <w:r>
        <w:rPr>
          <w:b/>
          <w:bCs/>
          <w:color w:val="000000" w:themeColor="text1"/>
        </w:rPr>
        <w:t xml:space="preserve">Figure 1. Genomic selection procedure </w:t>
      </w:r>
      <w:r>
        <w:rPr>
          <w:b/>
          <w:bCs/>
          <w:i/>
          <w:iCs/>
          <w:color w:val="000000" w:themeColor="text1"/>
        </w:rPr>
        <w:t xml:space="preserve">[Source: </w:t>
      </w:r>
      <w:hyperlink r:id="rId8" w:history="1">
        <w:r w:rsidRPr="00481F36">
          <w:rPr>
            <w:rStyle w:val="Hyperlink"/>
            <w:b/>
            <w:bCs/>
            <w:i/>
            <w:iCs/>
          </w:rPr>
          <w:t>https://www.researchgate.net/figure/Basic-scheme-of-Genomic-Selection-process_fig1_370649125</w:t>
        </w:r>
      </w:hyperlink>
      <w:r>
        <w:rPr>
          <w:b/>
          <w:bCs/>
          <w:i/>
          <w:iCs/>
          <w:color w:val="000000" w:themeColor="text1"/>
        </w:rPr>
        <w:t xml:space="preserve"> ]</w:t>
      </w:r>
    </w:p>
    <w:p w14:paraId="091B13A5" w14:textId="77777777" w:rsidR="001E4973" w:rsidRPr="00F86F9E" w:rsidRDefault="00170421">
      <w:pPr>
        <w:pStyle w:val="Heading2"/>
        <w:rPr>
          <w:color w:val="000000" w:themeColor="text1"/>
        </w:rPr>
      </w:pPr>
      <w:r w:rsidRPr="00F86F9E">
        <w:rPr>
          <w:color w:val="000000" w:themeColor="text1"/>
          <w:sz w:val="26"/>
          <w:szCs w:val="26"/>
        </w:rPr>
        <w:t>2.3 Deep Learning for Phenotypic Prediction</w:t>
      </w:r>
    </w:p>
    <w:p w14:paraId="6ECD62CD" w14:textId="40054DA7" w:rsidR="001E4973" w:rsidRDefault="00764AB0">
      <w:pPr>
        <w:spacing w:after="160" w:line="360" w:lineRule="auto"/>
        <w:jc w:val="both"/>
        <w:rPr>
          <w:color w:val="000000" w:themeColor="text1"/>
        </w:rPr>
      </w:pPr>
      <w:r w:rsidRPr="00764AB0">
        <w:rPr>
          <w:color w:val="000000" w:themeColor="text1"/>
        </w:rPr>
        <w:t xml:space="preserve">Deep learning has made </w:t>
      </w:r>
      <w:proofErr w:type="spellStart"/>
      <w:r w:rsidRPr="00764AB0">
        <w:rPr>
          <w:color w:val="000000" w:themeColor="text1"/>
        </w:rPr>
        <w:t>groundbreaking</w:t>
      </w:r>
      <w:proofErr w:type="spellEnd"/>
      <w:r w:rsidRPr="00764AB0">
        <w:rPr>
          <w:color w:val="000000" w:themeColor="text1"/>
        </w:rPr>
        <w:t xml:space="preserve"> advancements in image-based phenotyping through the automated generation of complicated features such as morphological, spectral</w:t>
      </w:r>
      <w:r w:rsidR="00CF20A5">
        <w:rPr>
          <w:color w:val="000000" w:themeColor="text1"/>
        </w:rPr>
        <w:t xml:space="preserve"> and</w:t>
      </w:r>
      <w:r w:rsidRPr="00764AB0">
        <w:rPr>
          <w:color w:val="000000" w:themeColor="text1"/>
        </w:rPr>
        <w:t xml:space="preserve"> textural traits of plants (</w:t>
      </w:r>
      <w:proofErr w:type="spellStart"/>
      <w:r w:rsidRPr="00764AB0">
        <w:rPr>
          <w:color w:val="000000" w:themeColor="text1"/>
        </w:rPr>
        <w:t>LeCun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2015). The CNN algorithms utilizing RGB and multispectral images are able to calculate agricultural traits including the leaf area index, canopy cover, biomass, flowering time</w:t>
      </w:r>
      <w:r w:rsidR="00CF20A5">
        <w:rPr>
          <w:color w:val="000000" w:themeColor="text1"/>
        </w:rPr>
        <w:t xml:space="preserve"> and</w:t>
      </w:r>
      <w:r w:rsidRPr="00764AB0">
        <w:rPr>
          <w:color w:val="000000" w:themeColor="text1"/>
        </w:rPr>
        <w:t xml:space="preserve"> disease symptoms to levels comparable to that of traditional field experiments (Huang </w:t>
      </w:r>
      <w:r w:rsidR="00CF20A5" w:rsidRPr="00CF20A5">
        <w:rPr>
          <w:i/>
          <w:iCs/>
          <w:color w:val="000000" w:themeColor="text1"/>
        </w:rPr>
        <w:t>et al</w:t>
      </w:r>
      <w:r w:rsidRPr="00764AB0">
        <w:rPr>
          <w:color w:val="000000" w:themeColor="text1"/>
        </w:rPr>
        <w:t xml:space="preserve">., 2019; Krause </w:t>
      </w:r>
      <w:r w:rsidR="00CF20A5" w:rsidRPr="00CF20A5">
        <w:rPr>
          <w:i/>
          <w:iCs/>
          <w:color w:val="000000" w:themeColor="text1"/>
        </w:rPr>
        <w:t>et al</w:t>
      </w:r>
      <w:r w:rsidRPr="00764AB0">
        <w:rPr>
          <w:color w:val="000000" w:themeColor="text1"/>
        </w:rPr>
        <w:t>., 2020). Recurrent models simulate the developmental progression of crops and are used to predict the yield based on repeated observations during the development period (</w:t>
      </w:r>
      <w:proofErr w:type="spellStart"/>
      <w:r w:rsidRPr="00764AB0">
        <w:rPr>
          <w:color w:val="000000" w:themeColor="text1"/>
        </w:rPr>
        <w:t>Hochreiter</w:t>
      </w:r>
      <w:proofErr w:type="spellEnd"/>
      <w:r w:rsidRPr="00764AB0">
        <w:rPr>
          <w:color w:val="000000" w:themeColor="text1"/>
        </w:rPr>
        <w:t xml:space="preserve"> &amp; </w:t>
      </w:r>
      <w:proofErr w:type="spellStart"/>
      <w:r w:rsidRPr="00764AB0">
        <w:rPr>
          <w:color w:val="000000" w:themeColor="text1"/>
        </w:rPr>
        <w:t>Schmidhuber</w:t>
      </w:r>
      <w:proofErr w:type="spellEnd"/>
      <w:r w:rsidRPr="00764AB0">
        <w:rPr>
          <w:color w:val="000000" w:themeColor="text1"/>
        </w:rPr>
        <w:t xml:space="preserve">, 1997). GANs are useful in expanding phenotypic data sets which is a common problem in deep learning (Goodfellow </w:t>
      </w:r>
      <w:r w:rsidR="00CF20A5" w:rsidRPr="00CF20A5">
        <w:rPr>
          <w:i/>
          <w:iCs/>
          <w:color w:val="000000" w:themeColor="text1"/>
        </w:rPr>
        <w:t>et al</w:t>
      </w:r>
      <w:r w:rsidRPr="00764AB0">
        <w:rPr>
          <w:color w:val="000000" w:themeColor="text1"/>
        </w:rPr>
        <w:t>., 2014)</w:t>
      </w:r>
      <w:r w:rsidRPr="00F86F9E">
        <w:rPr>
          <w:color w:val="000000" w:themeColor="text1"/>
        </w:rPr>
        <w:t>.</w:t>
      </w:r>
    </w:p>
    <w:p w14:paraId="585445B6" w14:textId="285845E4" w:rsidR="001E4973" w:rsidRPr="00F86F9E" w:rsidRDefault="00170421">
      <w:pPr>
        <w:pStyle w:val="Heading2"/>
        <w:rPr>
          <w:color w:val="000000" w:themeColor="text1"/>
        </w:rPr>
      </w:pPr>
      <w:r w:rsidRPr="00F86F9E">
        <w:rPr>
          <w:color w:val="000000" w:themeColor="text1"/>
          <w:sz w:val="26"/>
          <w:szCs w:val="26"/>
        </w:rPr>
        <w:t>2.4 Natural Language Processing and Knowledge Mining</w:t>
      </w:r>
    </w:p>
    <w:p w14:paraId="34033F0B" w14:textId="5F430ADB" w:rsidR="001E4973" w:rsidRPr="00F86F9E" w:rsidRDefault="00764AB0">
      <w:pPr>
        <w:spacing w:after="160" w:line="360" w:lineRule="auto"/>
        <w:jc w:val="both"/>
        <w:rPr>
          <w:color w:val="000000" w:themeColor="text1"/>
        </w:rPr>
      </w:pPr>
      <w:r w:rsidRPr="00764AB0">
        <w:rPr>
          <w:color w:val="000000" w:themeColor="text1"/>
        </w:rPr>
        <w:t>There is a large repository of underutilized information regarding genetic functionality, phenotypes</w:t>
      </w:r>
      <w:r w:rsidR="00CF20A5">
        <w:rPr>
          <w:color w:val="000000" w:themeColor="text1"/>
        </w:rPr>
        <w:t xml:space="preserve"> and</w:t>
      </w:r>
      <w:r w:rsidRPr="00764AB0">
        <w:rPr>
          <w:color w:val="000000" w:themeColor="text1"/>
        </w:rPr>
        <w:t xml:space="preserve"> breeding practices within the plant sciences literature. Natural language processing techniques can mine data from unstructured science articles, making possible the automatic creation of gene-trait knowledge graphs (</w:t>
      </w:r>
      <w:proofErr w:type="spellStart"/>
      <w:r w:rsidRPr="00764AB0">
        <w:rPr>
          <w:color w:val="000000" w:themeColor="text1"/>
        </w:rPr>
        <w:t>Mikolov</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 Such knowledge graphs consist of relationships among QTL, candidate genes, biochemical pathways</w:t>
      </w:r>
      <w:r w:rsidR="00CF20A5">
        <w:rPr>
          <w:color w:val="000000" w:themeColor="text1"/>
        </w:rPr>
        <w:t xml:space="preserve"> and</w:t>
      </w:r>
      <w:r w:rsidRPr="00764AB0">
        <w:rPr>
          <w:color w:val="000000" w:themeColor="text1"/>
        </w:rPr>
        <w:t xml:space="preserve"> environmental influences based on several thousand journal articles. When coupled with GNNs, new hypotheses and </w:t>
      </w:r>
      <w:r w:rsidRPr="00764AB0">
        <w:rPr>
          <w:color w:val="000000" w:themeColor="text1"/>
        </w:rPr>
        <w:lastRenderedPageBreak/>
        <w:t xml:space="preserve">breeding targets can emerge which otherwise could never be uncovered by literature mining (Jung </w:t>
      </w:r>
      <w:r w:rsidR="00CF20A5" w:rsidRPr="00CF20A5">
        <w:rPr>
          <w:i/>
          <w:iCs/>
          <w:color w:val="000000" w:themeColor="text1"/>
        </w:rPr>
        <w:t>et al</w:t>
      </w:r>
      <w:r w:rsidRPr="00764AB0">
        <w:rPr>
          <w:color w:val="000000" w:themeColor="text1"/>
        </w:rPr>
        <w:t xml:space="preserve">., 2019; </w:t>
      </w:r>
      <w:proofErr w:type="spellStart"/>
      <w:r w:rsidRPr="00764AB0">
        <w:rPr>
          <w:color w:val="000000" w:themeColor="text1"/>
        </w:rPr>
        <w:t>Mikolov</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w:t>
      </w:r>
      <w:r w:rsidRPr="00F86F9E">
        <w:rPr>
          <w:color w:val="000000" w:themeColor="text1"/>
        </w:rPr>
        <w:t>).</w:t>
      </w:r>
    </w:p>
    <w:p w14:paraId="7B96605C" w14:textId="77777777" w:rsidR="001E4973" w:rsidRPr="00F86F9E" w:rsidRDefault="001E4973">
      <w:pPr>
        <w:spacing w:after="120"/>
        <w:rPr>
          <w:color w:val="000000" w:themeColor="text1"/>
        </w:rPr>
      </w:pPr>
    </w:p>
    <w:p w14:paraId="52FBA1AE" w14:textId="77777777" w:rsidR="001E4973" w:rsidRPr="00F86F9E" w:rsidRDefault="00170421">
      <w:pPr>
        <w:pStyle w:val="Heading1"/>
        <w:rPr>
          <w:color w:val="000000" w:themeColor="text1"/>
        </w:rPr>
      </w:pPr>
      <w:r w:rsidRPr="00F86F9E">
        <w:rPr>
          <w:color w:val="000000" w:themeColor="text1"/>
        </w:rPr>
        <w:t>3. Genomics and Multi-Omics Platforms</w:t>
      </w:r>
    </w:p>
    <w:p w14:paraId="1A767E95" w14:textId="77777777" w:rsidR="001E4973" w:rsidRPr="00F86F9E" w:rsidRDefault="00170421">
      <w:pPr>
        <w:pStyle w:val="Heading2"/>
        <w:rPr>
          <w:color w:val="000000" w:themeColor="text1"/>
        </w:rPr>
      </w:pPr>
      <w:r w:rsidRPr="00F86F9E">
        <w:rPr>
          <w:color w:val="000000" w:themeColor="text1"/>
          <w:sz w:val="26"/>
          <w:szCs w:val="26"/>
        </w:rPr>
        <w:t>3.1 Next-Generation Sequencing Technologies</w:t>
      </w:r>
    </w:p>
    <w:p w14:paraId="37D5C815" w14:textId="769ED5D5" w:rsidR="00764AB0" w:rsidRPr="00764AB0" w:rsidRDefault="00764AB0" w:rsidP="00764AB0">
      <w:pPr>
        <w:spacing w:after="160" w:line="360" w:lineRule="auto"/>
        <w:jc w:val="both"/>
        <w:rPr>
          <w:color w:val="000000" w:themeColor="text1"/>
        </w:rPr>
      </w:pPr>
      <w:r w:rsidRPr="00764AB0">
        <w:rPr>
          <w:color w:val="000000" w:themeColor="text1"/>
        </w:rPr>
        <w:t xml:space="preserve">The genomics revolution in plant breeding began with the advent of short read sequencers, most notably the Illumina </w:t>
      </w:r>
      <w:proofErr w:type="spellStart"/>
      <w:r w:rsidRPr="00764AB0">
        <w:rPr>
          <w:color w:val="000000" w:themeColor="text1"/>
        </w:rPr>
        <w:t>HiSeq</w:t>
      </w:r>
      <w:proofErr w:type="spellEnd"/>
      <w:r w:rsidRPr="00764AB0">
        <w:rPr>
          <w:color w:val="000000" w:themeColor="text1"/>
        </w:rPr>
        <w:t xml:space="preserve"> and </w:t>
      </w:r>
      <w:proofErr w:type="spellStart"/>
      <w:r w:rsidRPr="00764AB0">
        <w:rPr>
          <w:color w:val="000000" w:themeColor="text1"/>
        </w:rPr>
        <w:t>NovaSeq</w:t>
      </w:r>
      <w:proofErr w:type="spellEnd"/>
      <w:r w:rsidRPr="00764AB0">
        <w:rPr>
          <w:color w:val="000000" w:themeColor="text1"/>
        </w:rPr>
        <w:t xml:space="preserve"> series (Bentley </w:t>
      </w:r>
      <w:r w:rsidR="00CF20A5" w:rsidRPr="00CF20A5">
        <w:rPr>
          <w:i/>
          <w:iCs/>
          <w:color w:val="000000" w:themeColor="text1"/>
        </w:rPr>
        <w:t>et al</w:t>
      </w:r>
      <w:r w:rsidRPr="00764AB0">
        <w:rPr>
          <w:color w:val="000000" w:themeColor="text1"/>
        </w:rPr>
        <w:t>., 2008). WGS of extensive germplasm collections, such as the 3,000 Rice Genomes Project (</w:t>
      </w:r>
      <w:proofErr w:type="spellStart"/>
      <w:r w:rsidRPr="00764AB0">
        <w:rPr>
          <w:color w:val="000000" w:themeColor="text1"/>
        </w:rPr>
        <w:t>Abbai</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2019), has resulted in immense SNP databases, which are the basis for association mapping and genomic selection approaches (Rasheed </w:t>
      </w:r>
      <w:r w:rsidR="00CF20A5" w:rsidRPr="00CF20A5">
        <w:rPr>
          <w:i/>
          <w:iCs/>
          <w:color w:val="000000" w:themeColor="text1"/>
        </w:rPr>
        <w:t>et al</w:t>
      </w:r>
      <w:r w:rsidRPr="00764AB0">
        <w:rPr>
          <w:color w:val="000000" w:themeColor="text1"/>
        </w:rPr>
        <w:t xml:space="preserve">., 2017; </w:t>
      </w:r>
      <w:proofErr w:type="spellStart"/>
      <w:r w:rsidRPr="00764AB0">
        <w:rPr>
          <w:color w:val="000000" w:themeColor="text1"/>
        </w:rPr>
        <w:t>Scheben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2017).</w:t>
      </w:r>
    </w:p>
    <w:p w14:paraId="7129C01F" w14:textId="4FC06273" w:rsidR="001E4973" w:rsidRPr="00F86F9E" w:rsidRDefault="00764AB0" w:rsidP="00764AB0">
      <w:pPr>
        <w:spacing w:after="160" w:line="360" w:lineRule="auto"/>
        <w:jc w:val="both"/>
        <w:rPr>
          <w:color w:val="000000" w:themeColor="text1"/>
        </w:rPr>
      </w:pPr>
      <w:r w:rsidRPr="00764AB0">
        <w:rPr>
          <w:color w:val="000000" w:themeColor="text1"/>
        </w:rPr>
        <w:t xml:space="preserve">In recent years, the field of genomics has been transformed by third-generation sequencing technologies like Oxford Nanopore sequencing (Jain </w:t>
      </w:r>
      <w:r w:rsidR="00CF20A5" w:rsidRPr="00CF20A5">
        <w:rPr>
          <w:i/>
          <w:iCs/>
          <w:color w:val="000000" w:themeColor="text1"/>
        </w:rPr>
        <w:t>et al</w:t>
      </w:r>
      <w:r w:rsidRPr="00764AB0">
        <w:rPr>
          <w:color w:val="000000" w:themeColor="text1"/>
        </w:rPr>
        <w:t xml:space="preserve">., 2016) and PacBio HiFi sequencing (Wenger </w:t>
      </w:r>
      <w:r w:rsidR="00CF20A5" w:rsidRPr="00CF20A5">
        <w:rPr>
          <w:i/>
          <w:iCs/>
          <w:color w:val="000000" w:themeColor="text1"/>
        </w:rPr>
        <w:t>et al</w:t>
      </w:r>
      <w:r w:rsidRPr="00764AB0">
        <w:rPr>
          <w:color w:val="000000" w:themeColor="text1"/>
        </w:rPr>
        <w:t>., 2019), which overcome the shortcomings of short read platforms when dealing with structural variants and repetitive sequences. Long-read sequencing provides de novo assemblies at the chromosomal level and can phase complex heterozygous genotypes, making it particularly valuable for polyploid plants like wheat, sugarcane</w:t>
      </w:r>
      <w:r w:rsidR="00CF20A5">
        <w:rPr>
          <w:color w:val="000000" w:themeColor="text1"/>
        </w:rPr>
        <w:t xml:space="preserve"> and</w:t>
      </w:r>
      <w:r w:rsidRPr="00764AB0">
        <w:rPr>
          <w:color w:val="000000" w:themeColor="text1"/>
        </w:rPr>
        <w:t xml:space="preserve"> potato. Table 2 highlights the main sequencing platforms used in crop genomics</w:t>
      </w:r>
      <w:r w:rsidRPr="00F86F9E">
        <w:rPr>
          <w:color w:val="000000" w:themeColor="text1"/>
        </w:rPr>
        <w:t>.</w:t>
      </w:r>
    </w:p>
    <w:p w14:paraId="69BC4D69" w14:textId="77777777" w:rsidR="001E4973" w:rsidRPr="00F86F9E" w:rsidRDefault="001E4973">
      <w:pPr>
        <w:spacing w:after="120"/>
        <w:rPr>
          <w:color w:val="000000" w:themeColor="text1"/>
        </w:rPr>
      </w:pPr>
    </w:p>
    <w:p w14:paraId="77F2A190"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2. Comparison of genomics and sequencing platforms used in smart crop breeding.</w:t>
      </w:r>
    </w:p>
    <w:tbl>
      <w:tblPr>
        <w:tblStyle w:val="TableGrid"/>
        <w:tblW w:w="9360" w:type="dxa"/>
        <w:tblLook w:val="0000" w:firstRow="0" w:lastRow="0" w:firstColumn="0" w:lastColumn="0" w:noHBand="0" w:noVBand="0"/>
      </w:tblPr>
      <w:tblGrid>
        <w:gridCol w:w="2206"/>
        <w:gridCol w:w="1773"/>
        <w:gridCol w:w="1920"/>
        <w:gridCol w:w="1756"/>
        <w:gridCol w:w="1705"/>
      </w:tblGrid>
      <w:tr w:rsidR="00F86F9E" w:rsidRPr="00F86F9E" w14:paraId="58F793E6" w14:textId="77777777" w:rsidTr="00764AB0">
        <w:tc>
          <w:tcPr>
            <w:tcW w:w="2000" w:type="dxa"/>
          </w:tcPr>
          <w:p w14:paraId="322D0B26"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Platform/Technology</w:t>
            </w:r>
          </w:p>
        </w:tc>
        <w:tc>
          <w:tcPr>
            <w:tcW w:w="1800" w:type="dxa"/>
          </w:tcPr>
          <w:p w14:paraId="051171C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Type</w:t>
            </w:r>
          </w:p>
        </w:tc>
        <w:tc>
          <w:tcPr>
            <w:tcW w:w="2000" w:type="dxa"/>
          </w:tcPr>
          <w:p w14:paraId="0946588E"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Key Feature</w:t>
            </w:r>
          </w:p>
        </w:tc>
        <w:tc>
          <w:tcPr>
            <w:tcW w:w="1800" w:type="dxa"/>
          </w:tcPr>
          <w:p w14:paraId="6ABFE5B9"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Throughput</w:t>
            </w:r>
          </w:p>
        </w:tc>
        <w:tc>
          <w:tcPr>
            <w:tcW w:w="1760" w:type="dxa"/>
          </w:tcPr>
          <w:p w14:paraId="5EDCD58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05D0597A" w14:textId="77777777" w:rsidTr="00764AB0">
        <w:tc>
          <w:tcPr>
            <w:tcW w:w="2000" w:type="dxa"/>
          </w:tcPr>
          <w:p w14:paraId="2CF1B6D2" w14:textId="77777777" w:rsidR="001E4973" w:rsidRPr="00F86F9E" w:rsidRDefault="00170421">
            <w:pPr>
              <w:rPr>
                <w:color w:val="000000" w:themeColor="text1"/>
              </w:rPr>
            </w:pPr>
            <w:r w:rsidRPr="00F86F9E">
              <w:rPr>
                <w:color w:val="000000" w:themeColor="text1"/>
                <w:sz w:val="20"/>
                <w:szCs w:val="20"/>
              </w:rPr>
              <w:t xml:space="preserve">Illumina </w:t>
            </w:r>
            <w:proofErr w:type="spellStart"/>
            <w:r w:rsidRPr="00F86F9E">
              <w:rPr>
                <w:color w:val="000000" w:themeColor="text1"/>
                <w:sz w:val="20"/>
                <w:szCs w:val="20"/>
              </w:rPr>
              <w:t>NovaSeq</w:t>
            </w:r>
            <w:proofErr w:type="spellEnd"/>
          </w:p>
        </w:tc>
        <w:tc>
          <w:tcPr>
            <w:tcW w:w="1800" w:type="dxa"/>
          </w:tcPr>
          <w:p w14:paraId="4FFF6F14" w14:textId="77777777" w:rsidR="001E4973" w:rsidRPr="00F86F9E" w:rsidRDefault="00170421">
            <w:pPr>
              <w:rPr>
                <w:color w:val="000000" w:themeColor="text1"/>
              </w:rPr>
            </w:pPr>
            <w:r w:rsidRPr="00F86F9E">
              <w:rPr>
                <w:color w:val="000000" w:themeColor="text1"/>
                <w:sz w:val="20"/>
                <w:szCs w:val="20"/>
              </w:rPr>
              <w:t>NGS (WGS)</w:t>
            </w:r>
          </w:p>
        </w:tc>
        <w:tc>
          <w:tcPr>
            <w:tcW w:w="2000" w:type="dxa"/>
          </w:tcPr>
          <w:p w14:paraId="15553579" w14:textId="77777777" w:rsidR="001E4973" w:rsidRPr="00F86F9E" w:rsidRDefault="00170421">
            <w:pPr>
              <w:rPr>
                <w:color w:val="000000" w:themeColor="text1"/>
              </w:rPr>
            </w:pPr>
            <w:r w:rsidRPr="00F86F9E">
              <w:rPr>
                <w:color w:val="000000" w:themeColor="text1"/>
                <w:sz w:val="20"/>
                <w:szCs w:val="20"/>
              </w:rPr>
              <w:t>High-depth sequencing, SNP discovery</w:t>
            </w:r>
          </w:p>
        </w:tc>
        <w:tc>
          <w:tcPr>
            <w:tcW w:w="1800" w:type="dxa"/>
          </w:tcPr>
          <w:p w14:paraId="00F12952" w14:textId="77777777" w:rsidR="001E4973" w:rsidRPr="00F86F9E" w:rsidRDefault="00170421">
            <w:pPr>
              <w:rPr>
                <w:color w:val="000000" w:themeColor="text1"/>
              </w:rPr>
            </w:pPr>
            <w:r w:rsidRPr="00F86F9E">
              <w:rPr>
                <w:color w:val="000000" w:themeColor="text1"/>
                <w:sz w:val="20"/>
                <w:szCs w:val="20"/>
              </w:rPr>
              <w:t>&gt;6 billion reads/run</w:t>
            </w:r>
          </w:p>
        </w:tc>
        <w:tc>
          <w:tcPr>
            <w:tcW w:w="1760" w:type="dxa"/>
          </w:tcPr>
          <w:p w14:paraId="3ECAD168" w14:textId="31210BDD" w:rsidR="001E4973" w:rsidRPr="00F86F9E" w:rsidRDefault="00170421">
            <w:pPr>
              <w:rPr>
                <w:color w:val="000000" w:themeColor="text1"/>
              </w:rPr>
            </w:pPr>
            <w:r w:rsidRPr="00F86F9E">
              <w:rPr>
                <w:color w:val="000000" w:themeColor="text1"/>
                <w:sz w:val="20"/>
                <w:szCs w:val="20"/>
              </w:rPr>
              <w:t xml:space="preserve">Bentley </w:t>
            </w:r>
            <w:r w:rsidR="00CF20A5" w:rsidRPr="00CF20A5">
              <w:rPr>
                <w:i/>
                <w:iCs/>
                <w:color w:val="000000" w:themeColor="text1"/>
                <w:sz w:val="20"/>
                <w:szCs w:val="20"/>
              </w:rPr>
              <w:t>et al</w:t>
            </w:r>
            <w:r w:rsidRPr="00F86F9E">
              <w:rPr>
                <w:color w:val="000000" w:themeColor="text1"/>
                <w:sz w:val="20"/>
                <w:szCs w:val="20"/>
              </w:rPr>
              <w:t>., 2008</w:t>
            </w:r>
          </w:p>
        </w:tc>
      </w:tr>
      <w:tr w:rsidR="00F86F9E" w:rsidRPr="00F86F9E" w14:paraId="6EBEB9F8" w14:textId="77777777" w:rsidTr="00764AB0">
        <w:tc>
          <w:tcPr>
            <w:tcW w:w="2000" w:type="dxa"/>
          </w:tcPr>
          <w:p w14:paraId="25056255" w14:textId="77777777" w:rsidR="001E4973" w:rsidRPr="00F86F9E" w:rsidRDefault="00170421">
            <w:pPr>
              <w:rPr>
                <w:color w:val="000000" w:themeColor="text1"/>
              </w:rPr>
            </w:pPr>
            <w:r w:rsidRPr="00F86F9E">
              <w:rPr>
                <w:color w:val="000000" w:themeColor="text1"/>
                <w:sz w:val="20"/>
                <w:szCs w:val="20"/>
              </w:rPr>
              <w:t>Oxford Nanopore</w:t>
            </w:r>
          </w:p>
        </w:tc>
        <w:tc>
          <w:tcPr>
            <w:tcW w:w="1800" w:type="dxa"/>
          </w:tcPr>
          <w:p w14:paraId="5A9A1585" w14:textId="77777777" w:rsidR="001E4973" w:rsidRPr="00F86F9E" w:rsidRDefault="00170421">
            <w:pPr>
              <w:rPr>
                <w:color w:val="000000" w:themeColor="text1"/>
              </w:rPr>
            </w:pPr>
            <w:r w:rsidRPr="00F86F9E">
              <w:rPr>
                <w:color w:val="000000" w:themeColor="text1"/>
                <w:sz w:val="20"/>
                <w:szCs w:val="20"/>
              </w:rPr>
              <w:t>Long-read sequencing</w:t>
            </w:r>
          </w:p>
        </w:tc>
        <w:tc>
          <w:tcPr>
            <w:tcW w:w="2000" w:type="dxa"/>
          </w:tcPr>
          <w:p w14:paraId="64386376" w14:textId="77777777" w:rsidR="001E4973" w:rsidRPr="00F86F9E" w:rsidRDefault="00170421">
            <w:pPr>
              <w:rPr>
                <w:color w:val="000000" w:themeColor="text1"/>
              </w:rPr>
            </w:pPr>
            <w:r w:rsidRPr="00F86F9E">
              <w:rPr>
                <w:color w:val="000000" w:themeColor="text1"/>
                <w:sz w:val="20"/>
                <w:szCs w:val="20"/>
              </w:rPr>
              <w:t>Real-time, portable sequencing</w:t>
            </w:r>
          </w:p>
        </w:tc>
        <w:tc>
          <w:tcPr>
            <w:tcW w:w="1800" w:type="dxa"/>
          </w:tcPr>
          <w:p w14:paraId="624C7F08" w14:textId="77777777" w:rsidR="001E4973" w:rsidRPr="00F86F9E" w:rsidRDefault="00170421">
            <w:pPr>
              <w:rPr>
                <w:color w:val="000000" w:themeColor="text1"/>
              </w:rPr>
            </w:pPr>
            <w:r w:rsidRPr="00F86F9E">
              <w:rPr>
                <w:color w:val="000000" w:themeColor="text1"/>
                <w:sz w:val="20"/>
                <w:szCs w:val="20"/>
              </w:rPr>
              <w:t>Variable, long reads</w:t>
            </w:r>
          </w:p>
        </w:tc>
        <w:tc>
          <w:tcPr>
            <w:tcW w:w="1760" w:type="dxa"/>
          </w:tcPr>
          <w:p w14:paraId="2BB23597" w14:textId="79AE236A" w:rsidR="001E4973" w:rsidRPr="00F86F9E" w:rsidRDefault="00170421">
            <w:pPr>
              <w:rPr>
                <w:color w:val="000000" w:themeColor="text1"/>
              </w:rPr>
            </w:pPr>
            <w:r w:rsidRPr="00F86F9E">
              <w:rPr>
                <w:color w:val="000000" w:themeColor="text1"/>
                <w:sz w:val="20"/>
                <w:szCs w:val="20"/>
              </w:rPr>
              <w:t xml:space="preserve">Jain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48319072" w14:textId="77777777" w:rsidTr="00764AB0">
        <w:tc>
          <w:tcPr>
            <w:tcW w:w="2000" w:type="dxa"/>
          </w:tcPr>
          <w:p w14:paraId="25F15050" w14:textId="77777777" w:rsidR="001E4973" w:rsidRPr="00F86F9E" w:rsidRDefault="00170421">
            <w:pPr>
              <w:rPr>
                <w:color w:val="000000" w:themeColor="text1"/>
              </w:rPr>
            </w:pPr>
            <w:r w:rsidRPr="00F86F9E">
              <w:rPr>
                <w:color w:val="000000" w:themeColor="text1"/>
                <w:sz w:val="20"/>
                <w:szCs w:val="20"/>
              </w:rPr>
              <w:t>PacBio HiFi</w:t>
            </w:r>
          </w:p>
        </w:tc>
        <w:tc>
          <w:tcPr>
            <w:tcW w:w="1800" w:type="dxa"/>
          </w:tcPr>
          <w:p w14:paraId="35A2D239" w14:textId="77777777" w:rsidR="001E4973" w:rsidRPr="00F86F9E" w:rsidRDefault="00170421">
            <w:pPr>
              <w:rPr>
                <w:color w:val="000000" w:themeColor="text1"/>
              </w:rPr>
            </w:pPr>
            <w:r w:rsidRPr="00F86F9E">
              <w:rPr>
                <w:color w:val="000000" w:themeColor="text1"/>
                <w:sz w:val="20"/>
                <w:szCs w:val="20"/>
              </w:rPr>
              <w:t>Long-read sequencing</w:t>
            </w:r>
          </w:p>
        </w:tc>
        <w:tc>
          <w:tcPr>
            <w:tcW w:w="2000" w:type="dxa"/>
          </w:tcPr>
          <w:p w14:paraId="4267A149" w14:textId="77777777" w:rsidR="001E4973" w:rsidRPr="00F86F9E" w:rsidRDefault="00170421">
            <w:pPr>
              <w:rPr>
                <w:color w:val="000000" w:themeColor="text1"/>
              </w:rPr>
            </w:pPr>
            <w:r w:rsidRPr="00F86F9E">
              <w:rPr>
                <w:color w:val="000000" w:themeColor="text1"/>
                <w:sz w:val="20"/>
                <w:szCs w:val="20"/>
              </w:rPr>
              <w:t>High accuracy long reads</w:t>
            </w:r>
          </w:p>
        </w:tc>
        <w:tc>
          <w:tcPr>
            <w:tcW w:w="1800" w:type="dxa"/>
          </w:tcPr>
          <w:p w14:paraId="1CA3396D" w14:textId="77777777" w:rsidR="001E4973" w:rsidRPr="00F86F9E" w:rsidRDefault="00170421">
            <w:pPr>
              <w:rPr>
                <w:color w:val="000000" w:themeColor="text1"/>
              </w:rPr>
            </w:pPr>
            <w:r w:rsidRPr="00F86F9E">
              <w:rPr>
                <w:color w:val="000000" w:themeColor="text1"/>
                <w:sz w:val="20"/>
                <w:szCs w:val="20"/>
              </w:rPr>
              <w:t>~10 Gb/SMRT cell</w:t>
            </w:r>
          </w:p>
        </w:tc>
        <w:tc>
          <w:tcPr>
            <w:tcW w:w="1760" w:type="dxa"/>
          </w:tcPr>
          <w:p w14:paraId="3CDEBE26" w14:textId="76101DDC" w:rsidR="001E4973" w:rsidRPr="00F86F9E" w:rsidRDefault="00170421">
            <w:pPr>
              <w:rPr>
                <w:color w:val="000000" w:themeColor="text1"/>
              </w:rPr>
            </w:pPr>
            <w:r w:rsidRPr="00F86F9E">
              <w:rPr>
                <w:color w:val="000000" w:themeColor="text1"/>
                <w:sz w:val="20"/>
                <w:szCs w:val="20"/>
              </w:rPr>
              <w:t xml:space="preserve">Wenger </w:t>
            </w:r>
            <w:r w:rsidR="00CF20A5" w:rsidRPr="00CF20A5">
              <w:rPr>
                <w:i/>
                <w:iCs/>
                <w:color w:val="000000" w:themeColor="text1"/>
                <w:sz w:val="20"/>
                <w:szCs w:val="20"/>
              </w:rPr>
              <w:t>et al</w:t>
            </w:r>
            <w:r w:rsidRPr="00F86F9E">
              <w:rPr>
                <w:color w:val="000000" w:themeColor="text1"/>
                <w:sz w:val="20"/>
                <w:szCs w:val="20"/>
              </w:rPr>
              <w:t>., 2019</w:t>
            </w:r>
          </w:p>
        </w:tc>
      </w:tr>
      <w:tr w:rsidR="00F86F9E" w:rsidRPr="00F86F9E" w14:paraId="746D4EE2" w14:textId="77777777" w:rsidTr="00764AB0">
        <w:tc>
          <w:tcPr>
            <w:tcW w:w="2000" w:type="dxa"/>
          </w:tcPr>
          <w:p w14:paraId="307F3AAF" w14:textId="77777777" w:rsidR="001E4973" w:rsidRPr="00F86F9E" w:rsidRDefault="00170421">
            <w:pPr>
              <w:rPr>
                <w:color w:val="000000" w:themeColor="text1"/>
              </w:rPr>
            </w:pPr>
            <w:r w:rsidRPr="00F86F9E">
              <w:rPr>
                <w:color w:val="000000" w:themeColor="text1"/>
                <w:sz w:val="20"/>
                <w:szCs w:val="20"/>
              </w:rPr>
              <w:t>Genotyping-by-Sequencing</w:t>
            </w:r>
          </w:p>
        </w:tc>
        <w:tc>
          <w:tcPr>
            <w:tcW w:w="1800" w:type="dxa"/>
          </w:tcPr>
          <w:p w14:paraId="1BFB1A2D" w14:textId="77777777" w:rsidR="001E4973" w:rsidRPr="00F86F9E" w:rsidRDefault="00170421">
            <w:pPr>
              <w:rPr>
                <w:color w:val="000000" w:themeColor="text1"/>
              </w:rPr>
            </w:pPr>
            <w:r w:rsidRPr="00F86F9E">
              <w:rPr>
                <w:color w:val="000000" w:themeColor="text1"/>
                <w:sz w:val="20"/>
                <w:szCs w:val="20"/>
              </w:rPr>
              <w:t>Reduced-rep sequencing</w:t>
            </w:r>
          </w:p>
        </w:tc>
        <w:tc>
          <w:tcPr>
            <w:tcW w:w="2000" w:type="dxa"/>
          </w:tcPr>
          <w:p w14:paraId="0B27F895" w14:textId="77777777" w:rsidR="001E4973" w:rsidRPr="00F86F9E" w:rsidRDefault="00170421">
            <w:pPr>
              <w:rPr>
                <w:color w:val="000000" w:themeColor="text1"/>
              </w:rPr>
            </w:pPr>
            <w:r w:rsidRPr="00F86F9E">
              <w:rPr>
                <w:color w:val="000000" w:themeColor="text1"/>
                <w:sz w:val="20"/>
                <w:szCs w:val="20"/>
              </w:rPr>
              <w:t>Cost-effective SNP discovery</w:t>
            </w:r>
          </w:p>
        </w:tc>
        <w:tc>
          <w:tcPr>
            <w:tcW w:w="1800" w:type="dxa"/>
          </w:tcPr>
          <w:p w14:paraId="17782381" w14:textId="77777777" w:rsidR="001E4973" w:rsidRPr="00F86F9E" w:rsidRDefault="00170421">
            <w:pPr>
              <w:rPr>
                <w:color w:val="000000" w:themeColor="text1"/>
              </w:rPr>
            </w:pPr>
            <w:r w:rsidRPr="00F86F9E">
              <w:rPr>
                <w:color w:val="000000" w:themeColor="text1"/>
                <w:sz w:val="20"/>
                <w:szCs w:val="20"/>
              </w:rPr>
              <w:t>Thousands of markers</w:t>
            </w:r>
          </w:p>
        </w:tc>
        <w:tc>
          <w:tcPr>
            <w:tcW w:w="1760" w:type="dxa"/>
          </w:tcPr>
          <w:p w14:paraId="76F6C841" w14:textId="06F82DB8" w:rsidR="001E4973" w:rsidRPr="00F86F9E" w:rsidRDefault="00170421">
            <w:pPr>
              <w:rPr>
                <w:color w:val="000000" w:themeColor="text1"/>
              </w:rPr>
            </w:pPr>
            <w:proofErr w:type="spellStart"/>
            <w:r w:rsidRPr="00F86F9E">
              <w:rPr>
                <w:color w:val="000000" w:themeColor="text1"/>
                <w:sz w:val="20"/>
                <w:szCs w:val="20"/>
              </w:rPr>
              <w:t>Elshire</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2011</w:t>
            </w:r>
          </w:p>
        </w:tc>
      </w:tr>
      <w:tr w:rsidR="00F86F9E" w:rsidRPr="00F86F9E" w14:paraId="0F0A34D2" w14:textId="77777777" w:rsidTr="00764AB0">
        <w:tc>
          <w:tcPr>
            <w:tcW w:w="2000" w:type="dxa"/>
          </w:tcPr>
          <w:p w14:paraId="20783C40" w14:textId="77777777" w:rsidR="001E4973" w:rsidRPr="00F86F9E" w:rsidRDefault="00170421">
            <w:pPr>
              <w:rPr>
                <w:color w:val="000000" w:themeColor="text1"/>
              </w:rPr>
            </w:pPr>
            <w:r w:rsidRPr="00F86F9E">
              <w:rPr>
                <w:color w:val="000000" w:themeColor="text1"/>
                <w:sz w:val="20"/>
                <w:szCs w:val="20"/>
              </w:rPr>
              <w:t>Array-based SNP Chips</w:t>
            </w:r>
          </w:p>
        </w:tc>
        <w:tc>
          <w:tcPr>
            <w:tcW w:w="1800" w:type="dxa"/>
          </w:tcPr>
          <w:p w14:paraId="3FAC1860" w14:textId="77777777" w:rsidR="001E4973" w:rsidRPr="00F86F9E" w:rsidRDefault="00170421">
            <w:pPr>
              <w:rPr>
                <w:color w:val="000000" w:themeColor="text1"/>
              </w:rPr>
            </w:pPr>
            <w:r w:rsidRPr="00F86F9E">
              <w:rPr>
                <w:color w:val="000000" w:themeColor="text1"/>
                <w:sz w:val="20"/>
                <w:szCs w:val="20"/>
              </w:rPr>
              <w:t>Microarray</w:t>
            </w:r>
          </w:p>
        </w:tc>
        <w:tc>
          <w:tcPr>
            <w:tcW w:w="2000" w:type="dxa"/>
          </w:tcPr>
          <w:p w14:paraId="482FEC66" w14:textId="77777777" w:rsidR="001E4973" w:rsidRPr="00F86F9E" w:rsidRDefault="00170421">
            <w:pPr>
              <w:rPr>
                <w:color w:val="000000" w:themeColor="text1"/>
              </w:rPr>
            </w:pPr>
            <w:r w:rsidRPr="00F86F9E">
              <w:rPr>
                <w:color w:val="000000" w:themeColor="text1"/>
                <w:sz w:val="20"/>
                <w:szCs w:val="20"/>
              </w:rPr>
              <w:t>Fixed markers, low cost</w:t>
            </w:r>
          </w:p>
        </w:tc>
        <w:tc>
          <w:tcPr>
            <w:tcW w:w="1800" w:type="dxa"/>
          </w:tcPr>
          <w:p w14:paraId="718CD081" w14:textId="77777777" w:rsidR="001E4973" w:rsidRPr="00F86F9E" w:rsidRDefault="00170421">
            <w:pPr>
              <w:rPr>
                <w:color w:val="000000" w:themeColor="text1"/>
              </w:rPr>
            </w:pPr>
            <w:r w:rsidRPr="00F86F9E">
              <w:rPr>
                <w:color w:val="000000" w:themeColor="text1"/>
                <w:sz w:val="20"/>
                <w:szCs w:val="20"/>
              </w:rPr>
              <w:t>50K–600K SNPs</w:t>
            </w:r>
          </w:p>
        </w:tc>
        <w:tc>
          <w:tcPr>
            <w:tcW w:w="1760" w:type="dxa"/>
          </w:tcPr>
          <w:p w14:paraId="4227E1B2" w14:textId="3A40E6CC" w:rsidR="001E4973" w:rsidRPr="00F86F9E" w:rsidRDefault="00170421">
            <w:pPr>
              <w:rPr>
                <w:color w:val="000000" w:themeColor="text1"/>
              </w:rPr>
            </w:pPr>
            <w:proofErr w:type="spellStart"/>
            <w:r w:rsidRPr="00F86F9E">
              <w:rPr>
                <w:color w:val="000000" w:themeColor="text1"/>
                <w:sz w:val="20"/>
                <w:szCs w:val="20"/>
              </w:rPr>
              <w:t>Ganal</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2012</w:t>
            </w:r>
          </w:p>
        </w:tc>
      </w:tr>
      <w:tr w:rsidR="00F86F9E" w:rsidRPr="00F86F9E" w14:paraId="1CCE5192" w14:textId="77777777" w:rsidTr="00764AB0">
        <w:tc>
          <w:tcPr>
            <w:tcW w:w="2000" w:type="dxa"/>
          </w:tcPr>
          <w:p w14:paraId="159916E3" w14:textId="77777777" w:rsidR="001E4973" w:rsidRPr="00F86F9E" w:rsidRDefault="00170421">
            <w:pPr>
              <w:rPr>
                <w:color w:val="000000" w:themeColor="text1"/>
              </w:rPr>
            </w:pPr>
            <w:r w:rsidRPr="00F86F9E">
              <w:rPr>
                <w:color w:val="000000" w:themeColor="text1"/>
                <w:sz w:val="20"/>
                <w:szCs w:val="20"/>
              </w:rPr>
              <w:t>WGBS</w:t>
            </w:r>
          </w:p>
        </w:tc>
        <w:tc>
          <w:tcPr>
            <w:tcW w:w="1800" w:type="dxa"/>
          </w:tcPr>
          <w:p w14:paraId="2D0FB797" w14:textId="77777777" w:rsidR="001E4973" w:rsidRPr="00F86F9E" w:rsidRDefault="00170421">
            <w:pPr>
              <w:rPr>
                <w:color w:val="000000" w:themeColor="text1"/>
              </w:rPr>
            </w:pPr>
            <w:proofErr w:type="spellStart"/>
            <w:r w:rsidRPr="00F86F9E">
              <w:rPr>
                <w:color w:val="000000" w:themeColor="text1"/>
                <w:sz w:val="20"/>
                <w:szCs w:val="20"/>
              </w:rPr>
              <w:t>Bisulfite</w:t>
            </w:r>
            <w:proofErr w:type="spellEnd"/>
            <w:r w:rsidRPr="00F86F9E">
              <w:rPr>
                <w:color w:val="000000" w:themeColor="text1"/>
                <w:sz w:val="20"/>
                <w:szCs w:val="20"/>
              </w:rPr>
              <w:t xml:space="preserve"> sequencing</w:t>
            </w:r>
          </w:p>
        </w:tc>
        <w:tc>
          <w:tcPr>
            <w:tcW w:w="2000" w:type="dxa"/>
          </w:tcPr>
          <w:p w14:paraId="4F02ED60" w14:textId="77777777" w:rsidR="001E4973" w:rsidRPr="00F86F9E" w:rsidRDefault="00170421">
            <w:pPr>
              <w:rPr>
                <w:color w:val="000000" w:themeColor="text1"/>
              </w:rPr>
            </w:pPr>
            <w:r w:rsidRPr="00F86F9E">
              <w:rPr>
                <w:color w:val="000000" w:themeColor="text1"/>
                <w:sz w:val="20"/>
                <w:szCs w:val="20"/>
              </w:rPr>
              <w:t>Methylome profiling</w:t>
            </w:r>
          </w:p>
        </w:tc>
        <w:tc>
          <w:tcPr>
            <w:tcW w:w="1800" w:type="dxa"/>
          </w:tcPr>
          <w:p w14:paraId="3E596DB1" w14:textId="77777777" w:rsidR="001E4973" w:rsidRPr="00F86F9E" w:rsidRDefault="00170421">
            <w:pPr>
              <w:rPr>
                <w:color w:val="000000" w:themeColor="text1"/>
              </w:rPr>
            </w:pPr>
            <w:r w:rsidRPr="00F86F9E">
              <w:rPr>
                <w:color w:val="000000" w:themeColor="text1"/>
                <w:sz w:val="20"/>
                <w:szCs w:val="20"/>
              </w:rPr>
              <w:t>Genome-wide</w:t>
            </w:r>
          </w:p>
        </w:tc>
        <w:tc>
          <w:tcPr>
            <w:tcW w:w="1760" w:type="dxa"/>
          </w:tcPr>
          <w:p w14:paraId="07D1F5C6" w14:textId="28C49D2E" w:rsidR="001E4973" w:rsidRPr="00F86F9E" w:rsidRDefault="00170421">
            <w:pPr>
              <w:rPr>
                <w:color w:val="000000" w:themeColor="text1"/>
              </w:rPr>
            </w:pPr>
            <w:r w:rsidRPr="00F86F9E">
              <w:rPr>
                <w:color w:val="000000" w:themeColor="text1"/>
                <w:sz w:val="20"/>
                <w:szCs w:val="20"/>
              </w:rPr>
              <w:t xml:space="preserve">Lister </w:t>
            </w:r>
            <w:r w:rsidR="00CF20A5" w:rsidRPr="00CF20A5">
              <w:rPr>
                <w:i/>
                <w:iCs/>
                <w:color w:val="000000" w:themeColor="text1"/>
                <w:sz w:val="20"/>
                <w:szCs w:val="20"/>
              </w:rPr>
              <w:t>et al</w:t>
            </w:r>
            <w:r w:rsidRPr="00F86F9E">
              <w:rPr>
                <w:color w:val="000000" w:themeColor="text1"/>
                <w:sz w:val="20"/>
                <w:szCs w:val="20"/>
              </w:rPr>
              <w:t>., 2009</w:t>
            </w:r>
          </w:p>
        </w:tc>
      </w:tr>
      <w:tr w:rsidR="00F86F9E" w:rsidRPr="00F86F9E" w14:paraId="4AD7279A" w14:textId="77777777" w:rsidTr="00764AB0">
        <w:tc>
          <w:tcPr>
            <w:tcW w:w="2000" w:type="dxa"/>
          </w:tcPr>
          <w:p w14:paraId="321C2110" w14:textId="77777777" w:rsidR="001E4973" w:rsidRPr="00F86F9E" w:rsidRDefault="00170421">
            <w:pPr>
              <w:rPr>
                <w:color w:val="000000" w:themeColor="text1"/>
              </w:rPr>
            </w:pPr>
            <w:r w:rsidRPr="00F86F9E">
              <w:rPr>
                <w:color w:val="000000" w:themeColor="text1"/>
                <w:sz w:val="20"/>
                <w:szCs w:val="20"/>
              </w:rPr>
              <w:t>Hi-C Sequencing</w:t>
            </w:r>
          </w:p>
        </w:tc>
        <w:tc>
          <w:tcPr>
            <w:tcW w:w="1800" w:type="dxa"/>
          </w:tcPr>
          <w:p w14:paraId="7C2D202D" w14:textId="77777777" w:rsidR="001E4973" w:rsidRPr="00F86F9E" w:rsidRDefault="00170421">
            <w:pPr>
              <w:rPr>
                <w:color w:val="000000" w:themeColor="text1"/>
              </w:rPr>
            </w:pPr>
            <w:r w:rsidRPr="00F86F9E">
              <w:rPr>
                <w:color w:val="000000" w:themeColor="text1"/>
                <w:sz w:val="20"/>
                <w:szCs w:val="20"/>
              </w:rPr>
              <w:t>Chromatin conformation</w:t>
            </w:r>
          </w:p>
        </w:tc>
        <w:tc>
          <w:tcPr>
            <w:tcW w:w="2000" w:type="dxa"/>
          </w:tcPr>
          <w:p w14:paraId="6A38557B" w14:textId="77777777" w:rsidR="001E4973" w:rsidRPr="00F86F9E" w:rsidRDefault="00170421">
            <w:pPr>
              <w:rPr>
                <w:color w:val="000000" w:themeColor="text1"/>
              </w:rPr>
            </w:pPr>
            <w:r w:rsidRPr="00F86F9E">
              <w:rPr>
                <w:color w:val="000000" w:themeColor="text1"/>
                <w:sz w:val="20"/>
                <w:szCs w:val="20"/>
              </w:rPr>
              <w:t>3D genome structure</w:t>
            </w:r>
          </w:p>
        </w:tc>
        <w:tc>
          <w:tcPr>
            <w:tcW w:w="1800" w:type="dxa"/>
          </w:tcPr>
          <w:p w14:paraId="0E3448B2" w14:textId="77777777" w:rsidR="001E4973" w:rsidRPr="00F86F9E" w:rsidRDefault="00170421">
            <w:pPr>
              <w:rPr>
                <w:color w:val="000000" w:themeColor="text1"/>
              </w:rPr>
            </w:pPr>
            <w:r w:rsidRPr="00F86F9E">
              <w:rPr>
                <w:color w:val="000000" w:themeColor="text1"/>
                <w:sz w:val="20"/>
                <w:szCs w:val="20"/>
              </w:rPr>
              <w:t>Genome-wide</w:t>
            </w:r>
          </w:p>
        </w:tc>
        <w:tc>
          <w:tcPr>
            <w:tcW w:w="1760" w:type="dxa"/>
          </w:tcPr>
          <w:p w14:paraId="06D5958E" w14:textId="2B37D000" w:rsidR="001E4973" w:rsidRPr="00F86F9E" w:rsidRDefault="00170421">
            <w:pPr>
              <w:rPr>
                <w:color w:val="000000" w:themeColor="text1"/>
              </w:rPr>
            </w:pPr>
            <w:r w:rsidRPr="00F86F9E">
              <w:rPr>
                <w:color w:val="000000" w:themeColor="text1"/>
                <w:sz w:val="20"/>
                <w:szCs w:val="20"/>
              </w:rPr>
              <w:t xml:space="preserve">Lieberman-Aiden </w:t>
            </w:r>
            <w:r w:rsidR="00CF20A5" w:rsidRPr="00CF20A5">
              <w:rPr>
                <w:i/>
                <w:iCs/>
                <w:color w:val="000000" w:themeColor="text1"/>
                <w:sz w:val="20"/>
                <w:szCs w:val="20"/>
              </w:rPr>
              <w:t>et al</w:t>
            </w:r>
            <w:r w:rsidRPr="00F86F9E">
              <w:rPr>
                <w:color w:val="000000" w:themeColor="text1"/>
                <w:sz w:val="20"/>
                <w:szCs w:val="20"/>
              </w:rPr>
              <w:t>., 2009</w:t>
            </w:r>
          </w:p>
        </w:tc>
      </w:tr>
      <w:tr w:rsidR="00F86F9E" w:rsidRPr="00F86F9E" w14:paraId="7CFA315F" w14:textId="77777777" w:rsidTr="00764AB0">
        <w:tc>
          <w:tcPr>
            <w:tcW w:w="2000" w:type="dxa"/>
          </w:tcPr>
          <w:p w14:paraId="3B170F92" w14:textId="77777777" w:rsidR="001E4973" w:rsidRPr="00F86F9E" w:rsidRDefault="00170421">
            <w:pPr>
              <w:rPr>
                <w:color w:val="000000" w:themeColor="text1"/>
              </w:rPr>
            </w:pPr>
            <w:r w:rsidRPr="00F86F9E">
              <w:rPr>
                <w:color w:val="000000" w:themeColor="text1"/>
                <w:sz w:val="20"/>
                <w:szCs w:val="20"/>
              </w:rPr>
              <w:t>Single-cell RNA-</w:t>
            </w:r>
            <w:proofErr w:type="spellStart"/>
            <w:r w:rsidRPr="00F86F9E">
              <w:rPr>
                <w:color w:val="000000" w:themeColor="text1"/>
                <w:sz w:val="20"/>
                <w:szCs w:val="20"/>
              </w:rPr>
              <w:t>seq</w:t>
            </w:r>
            <w:proofErr w:type="spellEnd"/>
          </w:p>
        </w:tc>
        <w:tc>
          <w:tcPr>
            <w:tcW w:w="1800" w:type="dxa"/>
          </w:tcPr>
          <w:p w14:paraId="7EBD1898" w14:textId="77777777" w:rsidR="001E4973" w:rsidRPr="00F86F9E" w:rsidRDefault="00170421">
            <w:pPr>
              <w:rPr>
                <w:color w:val="000000" w:themeColor="text1"/>
              </w:rPr>
            </w:pPr>
            <w:r w:rsidRPr="00F86F9E">
              <w:rPr>
                <w:color w:val="000000" w:themeColor="text1"/>
                <w:sz w:val="20"/>
                <w:szCs w:val="20"/>
              </w:rPr>
              <w:t>Transcriptomics</w:t>
            </w:r>
          </w:p>
        </w:tc>
        <w:tc>
          <w:tcPr>
            <w:tcW w:w="2000" w:type="dxa"/>
          </w:tcPr>
          <w:p w14:paraId="37658724" w14:textId="77777777" w:rsidR="001E4973" w:rsidRPr="00F86F9E" w:rsidRDefault="00170421">
            <w:pPr>
              <w:rPr>
                <w:color w:val="000000" w:themeColor="text1"/>
              </w:rPr>
            </w:pPr>
            <w:r w:rsidRPr="00F86F9E">
              <w:rPr>
                <w:color w:val="000000" w:themeColor="text1"/>
                <w:sz w:val="20"/>
                <w:szCs w:val="20"/>
              </w:rPr>
              <w:t>Cell-type resolution</w:t>
            </w:r>
          </w:p>
        </w:tc>
        <w:tc>
          <w:tcPr>
            <w:tcW w:w="1800" w:type="dxa"/>
          </w:tcPr>
          <w:p w14:paraId="4CFE36BC" w14:textId="77777777" w:rsidR="001E4973" w:rsidRPr="00F86F9E" w:rsidRDefault="00170421">
            <w:pPr>
              <w:rPr>
                <w:color w:val="000000" w:themeColor="text1"/>
              </w:rPr>
            </w:pPr>
            <w:r w:rsidRPr="00F86F9E">
              <w:rPr>
                <w:color w:val="000000" w:themeColor="text1"/>
                <w:sz w:val="20"/>
                <w:szCs w:val="20"/>
              </w:rPr>
              <w:t>Thousands of cells</w:t>
            </w:r>
          </w:p>
        </w:tc>
        <w:tc>
          <w:tcPr>
            <w:tcW w:w="1760" w:type="dxa"/>
          </w:tcPr>
          <w:p w14:paraId="4F86AF26" w14:textId="2A986CF8" w:rsidR="001E4973" w:rsidRPr="00F86F9E" w:rsidRDefault="00170421">
            <w:pPr>
              <w:rPr>
                <w:color w:val="000000" w:themeColor="text1"/>
              </w:rPr>
            </w:pPr>
            <w:r w:rsidRPr="00F86F9E">
              <w:rPr>
                <w:color w:val="000000" w:themeColor="text1"/>
                <w:sz w:val="20"/>
                <w:szCs w:val="20"/>
              </w:rPr>
              <w:t xml:space="preserve">Tang </w:t>
            </w:r>
            <w:r w:rsidR="00CF20A5" w:rsidRPr="00CF20A5">
              <w:rPr>
                <w:i/>
                <w:iCs/>
                <w:color w:val="000000" w:themeColor="text1"/>
                <w:sz w:val="20"/>
                <w:szCs w:val="20"/>
              </w:rPr>
              <w:t>et al</w:t>
            </w:r>
            <w:r w:rsidRPr="00F86F9E">
              <w:rPr>
                <w:color w:val="000000" w:themeColor="text1"/>
                <w:sz w:val="20"/>
                <w:szCs w:val="20"/>
              </w:rPr>
              <w:t>., 2009</w:t>
            </w:r>
          </w:p>
        </w:tc>
      </w:tr>
    </w:tbl>
    <w:p w14:paraId="25451149" w14:textId="77777777" w:rsidR="001E4973" w:rsidRPr="00F86F9E" w:rsidRDefault="001E4973">
      <w:pPr>
        <w:spacing w:after="120"/>
        <w:rPr>
          <w:color w:val="000000" w:themeColor="text1"/>
        </w:rPr>
      </w:pPr>
    </w:p>
    <w:p w14:paraId="65B4D617" w14:textId="77777777" w:rsidR="001E4973" w:rsidRPr="00F86F9E" w:rsidRDefault="00170421">
      <w:pPr>
        <w:pStyle w:val="Heading2"/>
        <w:rPr>
          <w:color w:val="000000" w:themeColor="text1"/>
        </w:rPr>
      </w:pPr>
      <w:r w:rsidRPr="00F86F9E">
        <w:rPr>
          <w:color w:val="000000" w:themeColor="text1"/>
          <w:sz w:val="26"/>
          <w:szCs w:val="26"/>
        </w:rPr>
        <w:t>3.2 Genotyping Strategies</w:t>
      </w:r>
    </w:p>
    <w:p w14:paraId="65860F83" w14:textId="558000E3" w:rsidR="001E4973" w:rsidRPr="00F86F9E" w:rsidRDefault="00764AB0">
      <w:pPr>
        <w:spacing w:after="160" w:line="360" w:lineRule="auto"/>
        <w:jc w:val="both"/>
        <w:rPr>
          <w:color w:val="000000" w:themeColor="text1"/>
        </w:rPr>
      </w:pPr>
      <w:r w:rsidRPr="00764AB0">
        <w:rPr>
          <w:color w:val="000000" w:themeColor="text1"/>
        </w:rPr>
        <w:t>Genome-wide genotyping using GBS (</w:t>
      </w:r>
      <w:proofErr w:type="spellStart"/>
      <w:r w:rsidRPr="00764AB0">
        <w:rPr>
          <w:color w:val="000000" w:themeColor="text1"/>
        </w:rPr>
        <w:t>Elshire</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2011) and RAD-</w:t>
      </w:r>
      <w:proofErr w:type="spellStart"/>
      <w:r w:rsidRPr="00764AB0">
        <w:rPr>
          <w:color w:val="000000" w:themeColor="text1"/>
        </w:rPr>
        <w:t>seq</w:t>
      </w:r>
      <w:proofErr w:type="spellEnd"/>
      <w:r w:rsidRPr="00764AB0">
        <w:rPr>
          <w:color w:val="000000" w:themeColor="text1"/>
        </w:rPr>
        <w:t xml:space="preserve"> allows efficient and affordable identification and typing of thousands of SNPs, thus representing the preferred approach for genotyping large breeding populations (Poland &amp; Rife, 2012). SNPs typed on array-based platforms represent fixed-marker technology that can be easily used for genome-wide selection in reference panel available programs (</w:t>
      </w:r>
      <w:proofErr w:type="spellStart"/>
      <w:r w:rsidRPr="00764AB0">
        <w:rPr>
          <w:color w:val="000000" w:themeColor="text1"/>
        </w:rPr>
        <w:t>Ganal</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2012; Rasheed </w:t>
      </w:r>
      <w:r w:rsidR="00CF20A5" w:rsidRPr="00CF20A5">
        <w:rPr>
          <w:i/>
          <w:iCs/>
          <w:color w:val="000000" w:themeColor="text1"/>
        </w:rPr>
        <w:t>et al</w:t>
      </w:r>
      <w:r w:rsidRPr="00764AB0">
        <w:rPr>
          <w:color w:val="000000" w:themeColor="text1"/>
        </w:rPr>
        <w:t>., 2017). Decisions for choosing among sequencing or array-based genotyping methods depend on the relative strengths and weaknesses of these two approaches (</w:t>
      </w:r>
      <w:proofErr w:type="spellStart"/>
      <w:r w:rsidRPr="00764AB0">
        <w:rPr>
          <w:color w:val="000000" w:themeColor="text1"/>
        </w:rPr>
        <w:t>Scheben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2017).</w:t>
      </w:r>
    </w:p>
    <w:p w14:paraId="630E08A7" w14:textId="77777777" w:rsidR="001E4973" w:rsidRPr="00F86F9E" w:rsidRDefault="00170421">
      <w:pPr>
        <w:pStyle w:val="Heading2"/>
        <w:rPr>
          <w:color w:val="000000" w:themeColor="text1"/>
        </w:rPr>
      </w:pPr>
      <w:r w:rsidRPr="00F86F9E">
        <w:rPr>
          <w:color w:val="000000" w:themeColor="text1"/>
          <w:sz w:val="26"/>
          <w:szCs w:val="26"/>
        </w:rPr>
        <w:t>3.3 Multi-Omics Integration</w:t>
      </w:r>
    </w:p>
    <w:p w14:paraId="38F79540" w14:textId="7631D90A" w:rsidR="00764AB0" w:rsidRPr="00764AB0" w:rsidRDefault="00764AB0" w:rsidP="00764AB0">
      <w:pPr>
        <w:spacing w:after="160" w:line="360" w:lineRule="auto"/>
        <w:jc w:val="both"/>
        <w:rPr>
          <w:color w:val="000000" w:themeColor="text1"/>
        </w:rPr>
      </w:pPr>
      <w:r w:rsidRPr="00764AB0">
        <w:rPr>
          <w:color w:val="000000" w:themeColor="text1"/>
        </w:rPr>
        <w:t>However, genomics alone can explain only a small portion of the biological variation required for breeding. The incorporation of transcriptomics (RNA-</w:t>
      </w:r>
      <w:proofErr w:type="spellStart"/>
      <w:r w:rsidRPr="00764AB0">
        <w:rPr>
          <w:color w:val="000000" w:themeColor="text1"/>
        </w:rPr>
        <w:t>seq</w:t>
      </w:r>
      <w:proofErr w:type="spellEnd"/>
      <w:r w:rsidRPr="00764AB0">
        <w:rPr>
          <w:color w:val="000000" w:themeColor="text1"/>
        </w:rPr>
        <w:t>), proteomics, metabolomics</w:t>
      </w:r>
      <w:r w:rsidR="00CF20A5">
        <w:rPr>
          <w:color w:val="000000" w:themeColor="text1"/>
        </w:rPr>
        <w:t xml:space="preserve"> and</w:t>
      </w:r>
      <w:r w:rsidRPr="00764AB0">
        <w:rPr>
          <w:color w:val="000000" w:themeColor="text1"/>
        </w:rPr>
        <w:t xml:space="preserve"> epigenomics is the multi-omics strategy that is currently emerging in breeding (Varshney </w:t>
      </w:r>
      <w:r w:rsidR="00CF20A5" w:rsidRPr="00CF20A5">
        <w:rPr>
          <w:i/>
          <w:iCs/>
          <w:color w:val="000000" w:themeColor="text1"/>
        </w:rPr>
        <w:t>et al</w:t>
      </w:r>
      <w:r w:rsidRPr="00764AB0">
        <w:rPr>
          <w:color w:val="000000" w:themeColor="text1"/>
        </w:rPr>
        <w:t xml:space="preserve">., 2021). Transcriptomics allows identifying tissue-specific or stress-induced gene expression, whereas metabolomics provides direct measurements of biochemical phenotype, linked to nutrition and stress tolerance (Montesinos-López </w:t>
      </w:r>
      <w:r w:rsidR="00CF20A5" w:rsidRPr="00CF20A5">
        <w:rPr>
          <w:i/>
          <w:iCs/>
          <w:color w:val="000000" w:themeColor="text1"/>
        </w:rPr>
        <w:t>et al</w:t>
      </w:r>
      <w:r w:rsidRPr="00764AB0">
        <w:rPr>
          <w:color w:val="000000" w:themeColor="text1"/>
        </w:rPr>
        <w:t>., 2017). Cell-type-specific RNA-</w:t>
      </w:r>
      <w:proofErr w:type="spellStart"/>
      <w:r w:rsidRPr="00764AB0">
        <w:rPr>
          <w:color w:val="000000" w:themeColor="text1"/>
        </w:rPr>
        <w:t>seq</w:t>
      </w:r>
      <w:proofErr w:type="spellEnd"/>
      <w:r w:rsidRPr="00764AB0">
        <w:rPr>
          <w:color w:val="000000" w:themeColor="text1"/>
        </w:rPr>
        <w:t xml:space="preserve"> (Tang </w:t>
      </w:r>
      <w:r w:rsidR="00CF20A5" w:rsidRPr="00CF20A5">
        <w:rPr>
          <w:i/>
          <w:iCs/>
          <w:color w:val="000000" w:themeColor="text1"/>
        </w:rPr>
        <w:t>et al</w:t>
      </w:r>
      <w:r w:rsidRPr="00764AB0">
        <w:rPr>
          <w:color w:val="000000" w:themeColor="text1"/>
        </w:rPr>
        <w:t>., 2009) can now be applied to characterize tissue-specific expression and directly inform about yield component phenotypes.</w:t>
      </w:r>
    </w:p>
    <w:p w14:paraId="3322BCF9" w14:textId="7FB8CF34" w:rsidR="001E4973" w:rsidRPr="00F86F9E" w:rsidRDefault="00764AB0" w:rsidP="00764AB0">
      <w:pPr>
        <w:spacing w:after="160" w:line="360" w:lineRule="auto"/>
        <w:jc w:val="both"/>
        <w:rPr>
          <w:color w:val="000000" w:themeColor="text1"/>
        </w:rPr>
      </w:pPr>
      <w:r w:rsidRPr="00764AB0">
        <w:rPr>
          <w:color w:val="000000" w:themeColor="text1"/>
        </w:rPr>
        <w:t xml:space="preserve">Epigenomics data, especially whole-genome </w:t>
      </w:r>
      <w:proofErr w:type="spellStart"/>
      <w:r w:rsidRPr="00764AB0">
        <w:rPr>
          <w:color w:val="000000" w:themeColor="text1"/>
        </w:rPr>
        <w:t>bisulfite</w:t>
      </w:r>
      <w:proofErr w:type="spellEnd"/>
      <w:r w:rsidRPr="00764AB0">
        <w:rPr>
          <w:color w:val="000000" w:themeColor="text1"/>
        </w:rPr>
        <w:t xml:space="preserve"> sequencing (WGBS) for methylation profiling (Lister </w:t>
      </w:r>
      <w:r w:rsidR="00CF20A5" w:rsidRPr="00CF20A5">
        <w:rPr>
          <w:i/>
          <w:iCs/>
          <w:color w:val="000000" w:themeColor="text1"/>
        </w:rPr>
        <w:t>et al</w:t>
      </w:r>
      <w:r w:rsidRPr="00764AB0">
        <w:rPr>
          <w:color w:val="000000" w:themeColor="text1"/>
        </w:rPr>
        <w:t xml:space="preserve">., 2009), are becoming increasingly appreciated as an essential part of phenotypic variation not linked to the DNA sequence. Hi-C chromosome conformation capture technology (Lieberman-Aiden </w:t>
      </w:r>
      <w:r w:rsidR="00CF20A5" w:rsidRPr="00CF20A5">
        <w:rPr>
          <w:i/>
          <w:iCs/>
          <w:color w:val="000000" w:themeColor="text1"/>
        </w:rPr>
        <w:t>et al</w:t>
      </w:r>
      <w:r w:rsidRPr="00764AB0">
        <w:rPr>
          <w:color w:val="000000" w:themeColor="text1"/>
        </w:rPr>
        <w:t>., 2009) allows characterizing three-dimensional genome architecture and, therefore, the regulatory context of critical breeding loci. AI-driven methodologies for integrating multi-omics data, such as multi-task deep learning and variational autoencoders, allow extracting latent biological features and improving genomic prediction accuracy (Pérez-</w:t>
      </w:r>
      <w:proofErr w:type="spellStart"/>
      <w:r w:rsidRPr="00764AB0">
        <w:rPr>
          <w:color w:val="000000" w:themeColor="text1"/>
        </w:rPr>
        <w:t>Enciso</w:t>
      </w:r>
      <w:proofErr w:type="spellEnd"/>
      <w:r w:rsidRPr="00764AB0">
        <w:rPr>
          <w:color w:val="000000" w:themeColor="text1"/>
        </w:rPr>
        <w:t xml:space="preserve"> &amp; </w:t>
      </w:r>
      <w:proofErr w:type="spellStart"/>
      <w:r w:rsidRPr="00764AB0">
        <w:rPr>
          <w:color w:val="000000" w:themeColor="text1"/>
        </w:rPr>
        <w:t>Zingaretti</w:t>
      </w:r>
      <w:proofErr w:type="spellEnd"/>
      <w:r w:rsidRPr="00764AB0">
        <w:rPr>
          <w:color w:val="000000" w:themeColor="text1"/>
        </w:rPr>
        <w:t>, 2019).</w:t>
      </w:r>
    </w:p>
    <w:p w14:paraId="56B87AB7" w14:textId="7116DD5B" w:rsidR="001E4973" w:rsidRPr="00F86F9E" w:rsidRDefault="00764AB0">
      <w:pPr>
        <w:spacing w:after="120"/>
        <w:rPr>
          <w:color w:val="000000" w:themeColor="text1"/>
        </w:rPr>
      </w:pPr>
      <w:r>
        <w:rPr>
          <w:noProof/>
          <w:color w:val="000000" w:themeColor="text1"/>
        </w:rPr>
        <w:lastRenderedPageBreak/>
        <w:drawing>
          <wp:inline distT="0" distB="0" distL="0" distR="0" wp14:anchorId="163BFD49" wp14:editId="6B0DAA8B">
            <wp:extent cx="5447629" cy="3790591"/>
            <wp:effectExtent l="0" t="0" r="1270" b="635"/>
            <wp:docPr id="382434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473" cy="3807878"/>
                    </a:xfrm>
                    <a:prstGeom prst="rect">
                      <a:avLst/>
                    </a:prstGeom>
                    <a:noFill/>
                  </pic:spPr>
                </pic:pic>
              </a:graphicData>
            </a:graphic>
          </wp:inline>
        </w:drawing>
      </w:r>
    </w:p>
    <w:p w14:paraId="77FE7D32" w14:textId="1AEFE466" w:rsidR="00764AB0" w:rsidRPr="009029AD" w:rsidRDefault="00764AB0" w:rsidP="00764AB0">
      <w:pPr>
        <w:pStyle w:val="Heading1"/>
        <w:jc w:val="both"/>
        <w:rPr>
          <w:rFonts w:ascii="Times New Roman" w:hAnsi="Times New Roman" w:cs="Times New Roman"/>
          <w:b w:val="0"/>
          <w:bCs w:val="0"/>
          <w:i/>
          <w:iCs/>
          <w:color w:val="000000" w:themeColor="text1"/>
          <w:sz w:val="22"/>
          <w:szCs w:val="22"/>
        </w:rPr>
      </w:pPr>
      <w:r w:rsidRPr="009029AD">
        <w:rPr>
          <w:rFonts w:ascii="Times New Roman" w:hAnsi="Times New Roman" w:cs="Times New Roman"/>
          <w:b w:val="0"/>
          <w:bCs w:val="0"/>
          <w:color w:val="000000" w:themeColor="text1"/>
          <w:sz w:val="22"/>
          <w:szCs w:val="22"/>
        </w:rPr>
        <w:t xml:space="preserve">Figure 2. Schematic diagram of the integrated application of basic omics technologies in digestive tract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information extracted from digestive tract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is processed using genomics, transcriptomics, proteomics</w:t>
      </w:r>
      <w:r w:rsidR="00CF20A5">
        <w:rPr>
          <w:rFonts w:ascii="Times New Roman" w:hAnsi="Times New Roman" w:cs="Times New Roman"/>
          <w:b w:val="0"/>
          <w:bCs w:val="0"/>
          <w:color w:val="000000" w:themeColor="text1"/>
          <w:sz w:val="22"/>
          <w:szCs w:val="22"/>
        </w:rPr>
        <w:t xml:space="preserve"> and</w:t>
      </w:r>
      <w:r w:rsidRPr="009029AD">
        <w:rPr>
          <w:rFonts w:ascii="Times New Roman" w:hAnsi="Times New Roman" w:cs="Times New Roman"/>
          <w:b w:val="0"/>
          <w:bCs w:val="0"/>
          <w:color w:val="000000" w:themeColor="text1"/>
          <w:sz w:val="22"/>
          <w:szCs w:val="22"/>
        </w:rPr>
        <w:t xml:space="preserve"> metabolomics methods. The processed information is aggregated, </w:t>
      </w:r>
      <w:proofErr w:type="spellStart"/>
      <w:r w:rsidRPr="009029AD">
        <w:rPr>
          <w:rFonts w:ascii="Times New Roman" w:hAnsi="Times New Roman" w:cs="Times New Roman"/>
          <w:b w:val="0"/>
          <w:bCs w:val="0"/>
          <w:color w:val="000000" w:themeColor="text1"/>
          <w:sz w:val="22"/>
          <w:szCs w:val="22"/>
        </w:rPr>
        <w:t>analyzed</w:t>
      </w:r>
      <w:proofErr w:type="spellEnd"/>
      <w:r w:rsidR="00CF20A5">
        <w:rPr>
          <w:rFonts w:ascii="Times New Roman" w:hAnsi="Times New Roman" w:cs="Times New Roman"/>
          <w:b w:val="0"/>
          <w:bCs w:val="0"/>
          <w:color w:val="000000" w:themeColor="text1"/>
          <w:sz w:val="22"/>
          <w:szCs w:val="22"/>
        </w:rPr>
        <w:t xml:space="preserve"> and</w:t>
      </w:r>
      <w:r w:rsidRPr="009029AD">
        <w:rPr>
          <w:rFonts w:ascii="Times New Roman" w:hAnsi="Times New Roman" w:cs="Times New Roman"/>
          <w:b w:val="0"/>
          <w:bCs w:val="0"/>
          <w:color w:val="000000" w:themeColor="text1"/>
          <w:sz w:val="22"/>
          <w:szCs w:val="22"/>
        </w:rPr>
        <w:t xml:space="preserve"> uploaded to cloud storage, providing data support for early diagnosis and precision treatment of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w:t>
      </w:r>
      <w:r w:rsidRPr="009029AD">
        <w:rPr>
          <w:rFonts w:ascii="Times New Roman" w:hAnsi="Times New Roman" w:cs="Times New Roman"/>
          <w:b w:val="0"/>
          <w:bCs w:val="0"/>
          <w:i/>
          <w:iCs/>
          <w:color w:val="000000" w:themeColor="text1"/>
          <w:sz w:val="22"/>
          <w:szCs w:val="22"/>
        </w:rPr>
        <w:t>[SOURCE:</w:t>
      </w:r>
      <w:hyperlink r:id="rId10" w:history="1">
        <w:r w:rsidRPr="009029AD">
          <w:rPr>
            <w:rStyle w:val="Hyperlink"/>
            <w:rFonts w:ascii="Times New Roman" w:hAnsi="Times New Roman" w:cs="Times New Roman"/>
            <w:b w:val="0"/>
            <w:bCs w:val="0"/>
            <w:i/>
            <w:iCs/>
            <w:sz w:val="22"/>
            <w:szCs w:val="22"/>
          </w:rPr>
          <w:t>https://www.frontiersin.org/journals/medicine/articles/10.3389/fmed.2025.1630788/full</w:t>
        </w:r>
      </w:hyperlink>
      <w:r w:rsidRPr="009029AD">
        <w:rPr>
          <w:rFonts w:ascii="Times New Roman" w:hAnsi="Times New Roman" w:cs="Times New Roman"/>
          <w:b w:val="0"/>
          <w:bCs w:val="0"/>
          <w:i/>
          <w:iCs/>
          <w:color w:val="000000" w:themeColor="text1"/>
          <w:sz w:val="22"/>
          <w:szCs w:val="22"/>
        </w:rPr>
        <w:t xml:space="preserve"> ]</w:t>
      </w:r>
    </w:p>
    <w:p w14:paraId="7E48ABA6" w14:textId="674FB5CE" w:rsidR="001E4973" w:rsidRPr="00F86F9E" w:rsidRDefault="00170421">
      <w:pPr>
        <w:pStyle w:val="Heading1"/>
        <w:rPr>
          <w:color w:val="000000" w:themeColor="text1"/>
        </w:rPr>
      </w:pPr>
      <w:r w:rsidRPr="00F86F9E">
        <w:rPr>
          <w:color w:val="000000" w:themeColor="text1"/>
        </w:rPr>
        <w:t xml:space="preserve">4. </w:t>
      </w:r>
      <w:proofErr w:type="spellStart"/>
      <w:r w:rsidRPr="00F86F9E">
        <w:rPr>
          <w:color w:val="000000" w:themeColor="text1"/>
        </w:rPr>
        <w:t>Phenomics</w:t>
      </w:r>
      <w:proofErr w:type="spellEnd"/>
      <w:r w:rsidRPr="00F86F9E">
        <w:rPr>
          <w:color w:val="000000" w:themeColor="text1"/>
        </w:rPr>
        <w:t xml:space="preserve"> and High-Throughput Phenotyping</w:t>
      </w:r>
    </w:p>
    <w:p w14:paraId="44EDF218" w14:textId="77777777" w:rsidR="001E4973" w:rsidRPr="00F86F9E" w:rsidRDefault="00170421">
      <w:pPr>
        <w:pStyle w:val="Heading2"/>
        <w:rPr>
          <w:color w:val="000000" w:themeColor="text1"/>
        </w:rPr>
      </w:pPr>
      <w:r w:rsidRPr="00F86F9E">
        <w:rPr>
          <w:color w:val="000000" w:themeColor="text1"/>
          <w:sz w:val="26"/>
          <w:szCs w:val="26"/>
        </w:rPr>
        <w:t>4.1 Field-Based Phenotyping Platforms</w:t>
      </w:r>
    </w:p>
    <w:p w14:paraId="1E3A7BC1" w14:textId="75E7BB95" w:rsidR="009029AD" w:rsidRPr="009029AD" w:rsidRDefault="009029AD" w:rsidP="009029AD">
      <w:pPr>
        <w:spacing w:after="160" w:line="360" w:lineRule="auto"/>
        <w:jc w:val="both"/>
        <w:rPr>
          <w:color w:val="000000" w:themeColor="text1"/>
        </w:rPr>
      </w:pPr>
      <w:r w:rsidRPr="009029AD">
        <w:rPr>
          <w:color w:val="000000" w:themeColor="text1"/>
        </w:rPr>
        <w:t xml:space="preserve">HTFP systems are geared towards achieving a high </w:t>
      </w:r>
      <w:proofErr w:type="spellStart"/>
      <w:r w:rsidRPr="009029AD">
        <w:rPr>
          <w:color w:val="000000" w:themeColor="text1"/>
        </w:rPr>
        <w:t>spatio</w:t>
      </w:r>
      <w:proofErr w:type="spellEnd"/>
      <w:r w:rsidRPr="009029AD">
        <w:rPr>
          <w:color w:val="000000" w:themeColor="text1"/>
        </w:rPr>
        <w:t>-temporal representation of how the environment influences the crop genotype in a manner that matches the magnitude of contemporary breeding schemes (</w:t>
      </w:r>
      <w:proofErr w:type="spellStart"/>
      <w:r w:rsidRPr="009029AD">
        <w:rPr>
          <w:color w:val="000000" w:themeColor="text1"/>
        </w:rPr>
        <w:t>Araus</w:t>
      </w:r>
      <w:proofErr w:type="spellEnd"/>
      <w:r w:rsidRPr="009029AD">
        <w:rPr>
          <w:color w:val="000000" w:themeColor="text1"/>
        </w:rPr>
        <w:t xml:space="preserve"> &amp; Cairns, 2014; White </w:t>
      </w:r>
      <w:r w:rsidR="00CF20A5" w:rsidRPr="00CF20A5">
        <w:rPr>
          <w:i/>
          <w:iCs/>
          <w:color w:val="000000" w:themeColor="text1"/>
        </w:rPr>
        <w:t>et al</w:t>
      </w:r>
      <w:r w:rsidRPr="009029AD">
        <w:rPr>
          <w:color w:val="000000" w:themeColor="text1"/>
        </w:rPr>
        <w:t>., 2012). UAVs carrying RGB, multispectral, hyperspectral and LiDAR sensors have the capacity to survey numerous field plots within an hour</w:t>
      </w:r>
      <w:r w:rsidR="00CF20A5">
        <w:rPr>
          <w:color w:val="000000" w:themeColor="text1"/>
        </w:rPr>
        <w:t xml:space="preserve"> and</w:t>
      </w:r>
      <w:r w:rsidRPr="009029AD">
        <w:rPr>
          <w:color w:val="000000" w:themeColor="text1"/>
        </w:rPr>
        <w:t xml:space="preserve"> measure canopy structure, reflectance index (NDVI, GNDVI, EVI)</w:t>
      </w:r>
      <w:r w:rsidR="00CF20A5">
        <w:rPr>
          <w:color w:val="000000" w:themeColor="text1"/>
        </w:rPr>
        <w:t xml:space="preserve"> and</w:t>
      </w:r>
      <w:r w:rsidRPr="009029AD">
        <w:rPr>
          <w:color w:val="000000" w:themeColor="text1"/>
        </w:rPr>
        <w:t xml:space="preserve"> temperature (</w:t>
      </w:r>
      <w:proofErr w:type="spellStart"/>
      <w:r w:rsidRPr="009029AD">
        <w:rPr>
          <w:color w:val="000000" w:themeColor="text1"/>
        </w:rPr>
        <w:t>Madec</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xml:space="preserve">., 2017; Yang </w:t>
      </w:r>
      <w:r w:rsidR="00CF20A5" w:rsidRPr="00CF20A5">
        <w:rPr>
          <w:i/>
          <w:iCs/>
          <w:color w:val="000000" w:themeColor="text1"/>
        </w:rPr>
        <w:t>et al</w:t>
      </w:r>
      <w:r w:rsidRPr="009029AD">
        <w:rPr>
          <w:color w:val="000000" w:themeColor="text1"/>
        </w:rPr>
        <w:t>., 2017).</w:t>
      </w:r>
    </w:p>
    <w:p w14:paraId="3B171984" w14:textId="10886214" w:rsidR="001E4973" w:rsidRPr="00F86F9E" w:rsidRDefault="009029AD" w:rsidP="009029AD">
      <w:pPr>
        <w:spacing w:after="160" w:line="360" w:lineRule="auto"/>
        <w:jc w:val="both"/>
        <w:rPr>
          <w:color w:val="000000" w:themeColor="text1"/>
        </w:rPr>
      </w:pPr>
      <w:r w:rsidRPr="009029AD">
        <w:rPr>
          <w:color w:val="000000" w:themeColor="text1"/>
        </w:rPr>
        <w:t>In addition, phenotyping robots on the ground can obtain precise measurements of the individual plant organs that UAV-based phenotyping cannot capture, such as leaf area, stem width</w:t>
      </w:r>
      <w:r w:rsidR="00CF20A5">
        <w:rPr>
          <w:color w:val="000000" w:themeColor="text1"/>
        </w:rPr>
        <w:t xml:space="preserve"> and</w:t>
      </w:r>
      <w:r w:rsidRPr="009029AD">
        <w:rPr>
          <w:color w:val="000000" w:themeColor="text1"/>
        </w:rPr>
        <w:t xml:space="preserve"> flag leaf orientation (White </w:t>
      </w:r>
      <w:r w:rsidR="00CF20A5" w:rsidRPr="00CF20A5">
        <w:rPr>
          <w:i/>
          <w:iCs/>
          <w:color w:val="000000" w:themeColor="text1"/>
        </w:rPr>
        <w:t>et al</w:t>
      </w:r>
      <w:r w:rsidRPr="009029AD">
        <w:rPr>
          <w:color w:val="000000" w:themeColor="text1"/>
        </w:rPr>
        <w:t xml:space="preserve">., 2012). The integration of airborne and ground-based sensor readings </w:t>
      </w:r>
      <w:r w:rsidRPr="009029AD">
        <w:rPr>
          <w:color w:val="000000" w:themeColor="text1"/>
        </w:rPr>
        <w:lastRenderedPageBreak/>
        <w:t xml:space="preserve">is achieved using </w:t>
      </w:r>
      <w:proofErr w:type="spellStart"/>
      <w:r w:rsidRPr="009029AD">
        <w:rPr>
          <w:color w:val="000000" w:themeColor="text1"/>
        </w:rPr>
        <w:t>SfM</w:t>
      </w:r>
      <w:proofErr w:type="spellEnd"/>
      <w:r w:rsidRPr="009029AD">
        <w:rPr>
          <w:color w:val="000000" w:themeColor="text1"/>
        </w:rPr>
        <w:t xml:space="preserve"> photogrammetry technology and artificial intelligence algorithms for image analyses that allow the creation of three-dimensional canopy model reconstructions at sub-</w:t>
      </w:r>
      <w:proofErr w:type="spellStart"/>
      <w:r w:rsidRPr="009029AD">
        <w:rPr>
          <w:color w:val="000000" w:themeColor="text1"/>
        </w:rPr>
        <w:t>centimeter</w:t>
      </w:r>
      <w:proofErr w:type="spellEnd"/>
      <w:r w:rsidRPr="009029AD">
        <w:rPr>
          <w:color w:val="000000" w:themeColor="text1"/>
        </w:rPr>
        <w:t xml:space="preserve"> resolution (Krause </w:t>
      </w:r>
      <w:r w:rsidR="00CF20A5" w:rsidRPr="00CF20A5">
        <w:rPr>
          <w:i/>
          <w:iCs/>
          <w:color w:val="000000" w:themeColor="text1"/>
        </w:rPr>
        <w:t>et al</w:t>
      </w:r>
      <w:r w:rsidRPr="009029AD">
        <w:rPr>
          <w:color w:val="000000" w:themeColor="text1"/>
        </w:rPr>
        <w:t xml:space="preserve">., 2020; </w:t>
      </w:r>
      <w:proofErr w:type="spellStart"/>
      <w:r w:rsidRPr="009029AD">
        <w:rPr>
          <w:color w:val="000000" w:themeColor="text1"/>
        </w:rPr>
        <w:t>Madec</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2017).</w:t>
      </w:r>
    </w:p>
    <w:p w14:paraId="003AB500" w14:textId="77777777" w:rsidR="001E4973" w:rsidRPr="00F86F9E" w:rsidRDefault="00170421">
      <w:pPr>
        <w:pStyle w:val="Heading2"/>
        <w:rPr>
          <w:color w:val="000000" w:themeColor="text1"/>
        </w:rPr>
      </w:pPr>
      <w:r w:rsidRPr="00F86F9E">
        <w:rPr>
          <w:color w:val="000000" w:themeColor="text1"/>
          <w:sz w:val="26"/>
          <w:szCs w:val="26"/>
        </w:rPr>
        <w:t>4.2 Controlled-Environment Phenotyping</w:t>
      </w:r>
    </w:p>
    <w:p w14:paraId="673E5E85" w14:textId="6DEDA9C4" w:rsidR="001E4973" w:rsidRPr="00F86F9E" w:rsidRDefault="009029AD">
      <w:pPr>
        <w:spacing w:after="160" w:line="360" w:lineRule="auto"/>
        <w:jc w:val="both"/>
        <w:rPr>
          <w:color w:val="000000" w:themeColor="text1"/>
        </w:rPr>
      </w:pPr>
      <w:r w:rsidRPr="009029AD">
        <w:rPr>
          <w:color w:val="000000" w:themeColor="text1"/>
        </w:rPr>
        <w:t xml:space="preserve">Platforms for controlled environment phenotyping, such as the </w:t>
      </w:r>
      <w:proofErr w:type="spellStart"/>
      <w:r w:rsidRPr="009029AD">
        <w:rPr>
          <w:color w:val="000000" w:themeColor="text1"/>
        </w:rPr>
        <w:t>LemnaTec</w:t>
      </w:r>
      <w:proofErr w:type="spellEnd"/>
      <w:r w:rsidRPr="009029AD">
        <w:rPr>
          <w:color w:val="000000" w:themeColor="text1"/>
        </w:rPr>
        <w:t xml:space="preserve"> </w:t>
      </w:r>
      <w:proofErr w:type="spellStart"/>
      <w:r w:rsidRPr="009029AD">
        <w:rPr>
          <w:color w:val="000000" w:themeColor="text1"/>
        </w:rPr>
        <w:t>Scanalyzer</w:t>
      </w:r>
      <w:proofErr w:type="spellEnd"/>
      <w:r w:rsidRPr="009029AD">
        <w:rPr>
          <w:color w:val="000000" w:themeColor="text1"/>
        </w:rPr>
        <w:t xml:space="preserve"> and </w:t>
      </w:r>
      <w:proofErr w:type="spellStart"/>
      <w:r w:rsidRPr="009029AD">
        <w:rPr>
          <w:color w:val="000000" w:themeColor="text1"/>
        </w:rPr>
        <w:t>Phenopsis</w:t>
      </w:r>
      <w:proofErr w:type="spellEnd"/>
      <w:r w:rsidRPr="009029AD">
        <w:rPr>
          <w:color w:val="000000" w:themeColor="text1"/>
        </w:rPr>
        <w:t>, facilitate G×E interaction analysis in precisely regulated abiotic stresses (</w:t>
      </w:r>
      <w:proofErr w:type="spellStart"/>
      <w:r w:rsidRPr="009029AD">
        <w:rPr>
          <w:color w:val="000000" w:themeColor="text1"/>
        </w:rPr>
        <w:t>Fahlgren</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xml:space="preserve">., 2015; </w:t>
      </w:r>
      <w:proofErr w:type="spellStart"/>
      <w:r w:rsidRPr="009029AD">
        <w:rPr>
          <w:color w:val="000000" w:themeColor="text1"/>
        </w:rPr>
        <w:t>Hairmansis</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2014). The technologies include conveyor belt-based movement, RGB, near-infrared, fluorescence</w:t>
      </w:r>
      <w:r w:rsidR="00CF20A5">
        <w:rPr>
          <w:color w:val="000000" w:themeColor="text1"/>
        </w:rPr>
        <w:t xml:space="preserve"> and</w:t>
      </w:r>
      <w:r w:rsidRPr="009029AD">
        <w:rPr>
          <w:color w:val="000000" w:themeColor="text1"/>
        </w:rPr>
        <w:t xml:space="preserve"> 3D structured light imaging to allow the generation of time series growth curves for multiple plants (</w:t>
      </w:r>
      <w:proofErr w:type="spellStart"/>
      <w:r w:rsidRPr="009029AD">
        <w:rPr>
          <w:color w:val="000000" w:themeColor="text1"/>
        </w:rPr>
        <w:t>Fahlgren</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2015). Root phenotyping technologies that have been developed include x-ray CT, MRI (van As, 2007)</w:t>
      </w:r>
      <w:r w:rsidR="00CF20A5">
        <w:rPr>
          <w:color w:val="000000" w:themeColor="text1"/>
        </w:rPr>
        <w:t xml:space="preserve"> and</w:t>
      </w:r>
      <w:r w:rsidRPr="009029AD">
        <w:rPr>
          <w:color w:val="000000" w:themeColor="text1"/>
        </w:rPr>
        <w:t xml:space="preserve"> clear root systems (</w:t>
      </w:r>
      <w:proofErr w:type="spellStart"/>
      <w:r w:rsidRPr="009029AD">
        <w:rPr>
          <w:color w:val="000000" w:themeColor="text1"/>
        </w:rPr>
        <w:t>rhizotrons</w:t>
      </w:r>
      <w:proofErr w:type="spellEnd"/>
      <w:r w:rsidRPr="009029AD">
        <w:rPr>
          <w:color w:val="000000" w:themeColor="text1"/>
        </w:rPr>
        <w:t xml:space="preserve">) (Tracy </w:t>
      </w:r>
      <w:r w:rsidR="00CF20A5" w:rsidRPr="00CF20A5">
        <w:rPr>
          <w:i/>
          <w:iCs/>
          <w:color w:val="000000" w:themeColor="text1"/>
        </w:rPr>
        <w:t>et al</w:t>
      </w:r>
      <w:r w:rsidRPr="009029AD">
        <w:rPr>
          <w:color w:val="000000" w:themeColor="text1"/>
        </w:rPr>
        <w:t xml:space="preserve">., 2020). Table 3 highlights a comparison between major </w:t>
      </w:r>
      <w:proofErr w:type="spellStart"/>
      <w:r w:rsidRPr="009029AD">
        <w:rPr>
          <w:color w:val="000000" w:themeColor="text1"/>
        </w:rPr>
        <w:t>phenomic</w:t>
      </w:r>
      <w:proofErr w:type="spellEnd"/>
      <w:r w:rsidRPr="009029AD">
        <w:rPr>
          <w:color w:val="000000" w:themeColor="text1"/>
        </w:rPr>
        <w:t xml:space="preserve"> platforms</w:t>
      </w:r>
      <w:r w:rsidRPr="00F86F9E">
        <w:rPr>
          <w:color w:val="000000" w:themeColor="text1"/>
        </w:rPr>
        <w:t>.</w:t>
      </w:r>
    </w:p>
    <w:p w14:paraId="5EBD03E2" w14:textId="77777777" w:rsidR="001E4973" w:rsidRPr="00F86F9E" w:rsidRDefault="001E4973">
      <w:pPr>
        <w:spacing w:after="120"/>
        <w:rPr>
          <w:color w:val="000000" w:themeColor="text1"/>
        </w:rPr>
      </w:pPr>
    </w:p>
    <w:p w14:paraId="144AEF16"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 xml:space="preserve">Table 3. Comparison of major </w:t>
      </w:r>
      <w:proofErr w:type="spellStart"/>
      <w:r w:rsidRPr="00F86F9E">
        <w:rPr>
          <w:rFonts w:ascii="Arial" w:eastAsia="Arial" w:hAnsi="Arial" w:cs="Arial"/>
          <w:i/>
          <w:iCs/>
          <w:color w:val="000000" w:themeColor="text1"/>
          <w:sz w:val="20"/>
          <w:szCs w:val="20"/>
        </w:rPr>
        <w:t>phenomics</w:t>
      </w:r>
      <w:proofErr w:type="spellEnd"/>
      <w:r w:rsidRPr="00F86F9E">
        <w:rPr>
          <w:rFonts w:ascii="Arial" w:eastAsia="Arial" w:hAnsi="Arial" w:cs="Arial"/>
          <w:i/>
          <w:iCs/>
          <w:color w:val="000000" w:themeColor="text1"/>
          <w:sz w:val="20"/>
          <w:szCs w:val="20"/>
        </w:rPr>
        <w:t xml:space="preserve"> platforms for crop trait measurement.</w:t>
      </w:r>
    </w:p>
    <w:tbl>
      <w:tblPr>
        <w:tblStyle w:val="TableGrid"/>
        <w:tblW w:w="9360" w:type="dxa"/>
        <w:tblLook w:val="0000" w:firstRow="0" w:lastRow="0" w:firstColumn="0" w:lastColumn="0" w:noHBand="0" w:noVBand="0"/>
      </w:tblPr>
      <w:tblGrid>
        <w:gridCol w:w="2000"/>
        <w:gridCol w:w="1700"/>
        <w:gridCol w:w="2200"/>
        <w:gridCol w:w="1700"/>
        <w:gridCol w:w="1760"/>
      </w:tblGrid>
      <w:tr w:rsidR="00F86F9E" w:rsidRPr="00F86F9E" w14:paraId="4040100B" w14:textId="77777777" w:rsidTr="009029AD">
        <w:tc>
          <w:tcPr>
            <w:tcW w:w="2000" w:type="dxa"/>
          </w:tcPr>
          <w:p w14:paraId="19C2EDBF"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Platform</w:t>
            </w:r>
          </w:p>
        </w:tc>
        <w:tc>
          <w:tcPr>
            <w:tcW w:w="1700" w:type="dxa"/>
          </w:tcPr>
          <w:p w14:paraId="66276830"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Sensor Type</w:t>
            </w:r>
          </w:p>
        </w:tc>
        <w:tc>
          <w:tcPr>
            <w:tcW w:w="2200" w:type="dxa"/>
          </w:tcPr>
          <w:p w14:paraId="10D4F54C"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Traits Measured</w:t>
            </w:r>
          </w:p>
        </w:tc>
        <w:tc>
          <w:tcPr>
            <w:tcW w:w="1700" w:type="dxa"/>
          </w:tcPr>
          <w:p w14:paraId="54D321C0"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Scale</w:t>
            </w:r>
          </w:p>
        </w:tc>
        <w:tc>
          <w:tcPr>
            <w:tcW w:w="1760" w:type="dxa"/>
          </w:tcPr>
          <w:p w14:paraId="42C2A4FB"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3395462E" w14:textId="77777777" w:rsidTr="009029AD">
        <w:tc>
          <w:tcPr>
            <w:tcW w:w="2000" w:type="dxa"/>
          </w:tcPr>
          <w:p w14:paraId="74B44E2F" w14:textId="77777777" w:rsidR="001E4973" w:rsidRPr="00F86F9E" w:rsidRDefault="00170421">
            <w:pPr>
              <w:rPr>
                <w:color w:val="000000" w:themeColor="text1"/>
              </w:rPr>
            </w:pPr>
            <w:r w:rsidRPr="00F86F9E">
              <w:rPr>
                <w:color w:val="000000" w:themeColor="text1"/>
                <w:sz w:val="20"/>
                <w:szCs w:val="20"/>
              </w:rPr>
              <w:t>UAV/Drone</w:t>
            </w:r>
          </w:p>
        </w:tc>
        <w:tc>
          <w:tcPr>
            <w:tcW w:w="1700" w:type="dxa"/>
          </w:tcPr>
          <w:p w14:paraId="44285942" w14:textId="77777777" w:rsidR="001E4973" w:rsidRPr="00F86F9E" w:rsidRDefault="00170421">
            <w:pPr>
              <w:rPr>
                <w:color w:val="000000" w:themeColor="text1"/>
              </w:rPr>
            </w:pPr>
            <w:r w:rsidRPr="00F86F9E">
              <w:rPr>
                <w:color w:val="000000" w:themeColor="text1"/>
                <w:sz w:val="20"/>
                <w:szCs w:val="20"/>
              </w:rPr>
              <w:t>RGB, multispectral, LiDAR</w:t>
            </w:r>
          </w:p>
        </w:tc>
        <w:tc>
          <w:tcPr>
            <w:tcW w:w="2200" w:type="dxa"/>
          </w:tcPr>
          <w:p w14:paraId="5AF5204D" w14:textId="77777777" w:rsidR="001E4973" w:rsidRPr="00F86F9E" w:rsidRDefault="00170421">
            <w:pPr>
              <w:rPr>
                <w:color w:val="000000" w:themeColor="text1"/>
              </w:rPr>
            </w:pPr>
            <w:r w:rsidRPr="00F86F9E">
              <w:rPr>
                <w:color w:val="000000" w:themeColor="text1"/>
                <w:sz w:val="20"/>
                <w:szCs w:val="20"/>
              </w:rPr>
              <w:t>Canopy height, NDVI, leaf area</w:t>
            </w:r>
          </w:p>
        </w:tc>
        <w:tc>
          <w:tcPr>
            <w:tcW w:w="1700" w:type="dxa"/>
          </w:tcPr>
          <w:p w14:paraId="08E51653" w14:textId="77777777" w:rsidR="001E4973" w:rsidRPr="00F86F9E" w:rsidRDefault="00170421">
            <w:pPr>
              <w:rPr>
                <w:color w:val="000000" w:themeColor="text1"/>
              </w:rPr>
            </w:pPr>
            <w:r w:rsidRPr="00F86F9E">
              <w:rPr>
                <w:color w:val="000000" w:themeColor="text1"/>
                <w:sz w:val="20"/>
                <w:szCs w:val="20"/>
              </w:rPr>
              <w:t>Field</w:t>
            </w:r>
          </w:p>
        </w:tc>
        <w:tc>
          <w:tcPr>
            <w:tcW w:w="1760" w:type="dxa"/>
          </w:tcPr>
          <w:p w14:paraId="5796144A" w14:textId="20279976" w:rsidR="001E4973" w:rsidRPr="00F86F9E" w:rsidRDefault="00170421">
            <w:pPr>
              <w:rPr>
                <w:color w:val="000000" w:themeColor="text1"/>
              </w:rPr>
            </w:pPr>
            <w:r w:rsidRPr="00F86F9E">
              <w:rPr>
                <w:color w:val="000000" w:themeColor="text1"/>
                <w:sz w:val="20"/>
                <w:szCs w:val="20"/>
              </w:rPr>
              <w:t xml:space="preserve">Yang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2E50AB93" w14:textId="77777777" w:rsidTr="009029AD">
        <w:tc>
          <w:tcPr>
            <w:tcW w:w="2000" w:type="dxa"/>
          </w:tcPr>
          <w:p w14:paraId="00B230C0" w14:textId="77777777" w:rsidR="001E4973" w:rsidRPr="00F86F9E" w:rsidRDefault="00170421">
            <w:pPr>
              <w:rPr>
                <w:color w:val="000000" w:themeColor="text1"/>
              </w:rPr>
            </w:pPr>
            <w:r w:rsidRPr="00F86F9E">
              <w:rPr>
                <w:color w:val="000000" w:themeColor="text1"/>
                <w:sz w:val="20"/>
                <w:szCs w:val="20"/>
              </w:rPr>
              <w:t>Greenhouse Robots</w:t>
            </w:r>
          </w:p>
        </w:tc>
        <w:tc>
          <w:tcPr>
            <w:tcW w:w="1700" w:type="dxa"/>
          </w:tcPr>
          <w:p w14:paraId="4F04E7A7" w14:textId="77777777" w:rsidR="001E4973" w:rsidRPr="00F86F9E" w:rsidRDefault="00170421">
            <w:pPr>
              <w:rPr>
                <w:color w:val="000000" w:themeColor="text1"/>
              </w:rPr>
            </w:pPr>
            <w:r w:rsidRPr="00F86F9E">
              <w:rPr>
                <w:color w:val="000000" w:themeColor="text1"/>
                <w:sz w:val="20"/>
                <w:szCs w:val="20"/>
              </w:rPr>
              <w:t>3D scanner, thermal</w:t>
            </w:r>
          </w:p>
        </w:tc>
        <w:tc>
          <w:tcPr>
            <w:tcW w:w="2200" w:type="dxa"/>
          </w:tcPr>
          <w:p w14:paraId="0A37CA76" w14:textId="77777777" w:rsidR="001E4973" w:rsidRPr="00F86F9E" w:rsidRDefault="00170421">
            <w:pPr>
              <w:rPr>
                <w:color w:val="000000" w:themeColor="text1"/>
              </w:rPr>
            </w:pPr>
            <w:r w:rsidRPr="00F86F9E">
              <w:rPr>
                <w:color w:val="000000" w:themeColor="text1"/>
                <w:sz w:val="20"/>
                <w:szCs w:val="20"/>
              </w:rPr>
              <w:t>Shoot biomass, leaf area, water use</w:t>
            </w:r>
          </w:p>
        </w:tc>
        <w:tc>
          <w:tcPr>
            <w:tcW w:w="1700" w:type="dxa"/>
          </w:tcPr>
          <w:p w14:paraId="195ED92D" w14:textId="77777777" w:rsidR="001E4973" w:rsidRPr="00F86F9E" w:rsidRDefault="00170421">
            <w:pPr>
              <w:rPr>
                <w:color w:val="000000" w:themeColor="text1"/>
              </w:rPr>
            </w:pPr>
            <w:r w:rsidRPr="00F86F9E">
              <w:rPr>
                <w:color w:val="000000" w:themeColor="text1"/>
                <w:sz w:val="20"/>
                <w:szCs w:val="20"/>
              </w:rPr>
              <w:t>Plot</w:t>
            </w:r>
          </w:p>
        </w:tc>
        <w:tc>
          <w:tcPr>
            <w:tcW w:w="1760" w:type="dxa"/>
          </w:tcPr>
          <w:p w14:paraId="66BE51B0" w14:textId="1C53BEC5" w:rsidR="001E4973" w:rsidRPr="00F86F9E" w:rsidRDefault="00170421">
            <w:pPr>
              <w:rPr>
                <w:color w:val="000000" w:themeColor="text1"/>
              </w:rPr>
            </w:pPr>
            <w:proofErr w:type="spellStart"/>
            <w:r w:rsidRPr="00F86F9E">
              <w:rPr>
                <w:color w:val="000000" w:themeColor="text1"/>
                <w:sz w:val="20"/>
                <w:szCs w:val="20"/>
              </w:rPr>
              <w:t>Hairmansis</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2014</w:t>
            </w:r>
          </w:p>
        </w:tc>
      </w:tr>
      <w:tr w:rsidR="00F86F9E" w:rsidRPr="00F86F9E" w14:paraId="37C80BB7" w14:textId="77777777" w:rsidTr="009029AD">
        <w:tc>
          <w:tcPr>
            <w:tcW w:w="2000" w:type="dxa"/>
          </w:tcPr>
          <w:p w14:paraId="67D2E9B0" w14:textId="77777777" w:rsidR="001E4973" w:rsidRPr="00F86F9E" w:rsidRDefault="00170421">
            <w:pPr>
              <w:rPr>
                <w:color w:val="000000" w:themeColor="text1"/>
              </w:rPr>
            </w:pPr>
            <w:proofErr w:type="spellStart"/>
            <w:r w:rsidRPr="00F86F9E">
              <w:rPr>
                <w:color w:val="000000" w:themeColor="text1"/>
                <w:sz w:val="20"/>
                <w:szCs w:val="20"/>
              </w:rPr>
              <w:t>LemnaTec</w:t>
            </w:r>
            <w:proofErr w:type="spellEnd"/>
            <w:r w:rsidRPr="00F86F9E">
              <w:rPr>
                <w:color w:val="000000" w:themeColor="text1"/>
                <w:sz w:val="20"/>
                <w:szCs w:val="20"/>
              </w:rPr>
              <w:t xml:space="preserve"> </w:t>
            </w:r>
            <w:proofErr w:type="spellStart"/>
            <w:r w:rsidRPr="00F86F9E">
              <w:rPr>
                <w:color w:val="000000" w:themeColor="text1"/>
                <w:sz w:val="20"/>
                <w:szCs w:val="20"/>
              </w:rPr>
              <w:t>Scanalyzer</w:t>
            </w:r>
            <w:proofErr w:type="spellEnd"/>
          </w:p>
        </w:tc>
        <w:tc>
          <w:tcPr>
            <w:tcW w:w="1700" w:type="dxa"/>
          </w:tcPr>
          <w:p w14:paraId="215BE320" w14:textId="77777777" w:rsidR="001E4973" w:rsidRPr="00F86F9E" w:rsidRDefault="00170421">
            <w:pPr>
              <w:rPr>
                <w:color w:val="000000" w:themeColor="text1"/>
              </w:rPr>
            </w:pPr>
            <w:r w:rsidRPr="00F86F9E">
              <w:rPr>
                <w:color w:val="000000" w:themeColor="text1"/>
                <w:sz w:val="20"/>
                <w:szCs w:val="20"/>
              </w:rPr>
              <w:t>NIR, fluorescence</w:t>
            </w:r>
          </w:p>
        </w:tc>
        <w:tc>
          <w:tcPr>
            <w:tcW w:w="2200" w:type="dxa"/>
          </w:tcPr>
          <w:p w14:paraId="5D250276" w14:textId="77777777" w:rsidR="001E4973" w:rsidRPr="00F86F9E" w:rsidRDefault="00170421">
            <w:pPr>
              <w:rPr>
                <w:color w:val="000000" w:themeColor="text1"/>
              </w:rPr>
            </w:pPr>
            <w:r w:rsidRPr="00F86F9E">
              <w:rPr>
                <w:color w:val="000000" w:themeColor="text1"/>
                <w:sz w:val="20"/>
                <w:szCs w:val="20"/>
              </w:rPr>
              <w:t>Root/shoot architecture</w:t>
            </w:r>
          </w:p>
        </w:tc>
        <w:tc>
          <w:tcPr>
            <w:tcW w:w="1700" w:type="dxa"/>
          </w:tcPr>
          <w:p w14:paraId="6FDC5FC7"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7453393F" w14:textId="11E12F29" w:rsidR="001E4973" w:rsidRPr="00F86F9E" w:rsidRDefault="00170421">
            <w:pPr>
              <w:rPr>
                <w:color w:val="000000" w:themeColor="text1"/>
              </w:rPr>
            </w:pPr>
            <w:proofErr w:type="spellStart"/>
            <w:r w:rsidRPr="00F86F9E">
              <w:rPr>
                <w:color w:val="000000" w:themeColor="text1"/>
                <w:sz w:val="20"/>
                <w:szCs w:val="20"/>
              </w:rPr>
              <w:t>Fahlgren</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67227D07" w14:textId="77777777" w:rsidTr="009029AD">
        <w:tc>
          <w:tcPr>
            <w:tcW w:w="2000" w:type="dxa"/>
          </w:tcPr>
          <w:p w14:paraId="10763FA1" w14:textId="77777777" w:rsidR="001E4973" w:rsidRPr="00F86F9E" w:rsidRDefault="00170421">
            <w:pPr>
              <w:rPr>
                <w:color w:val="000000" w:themeColor="text1"/>
              </w:rPr>
            </w:pPr>
            <w:r w:rsidRPr="00F86F9E">
              <w:rPr>
                <w:color w:val="000000" w:themeColor="text1"/>
                <w:sz w:val="20"/>
                <w:szCs w:val="20"/>
              </w:rPr>
              <w:t xml:space="preserve">Ground-based </w:t>
            </w:r>
            <w:proofErr w:type="spellStart"/>
            <w:r w:rsidRPr="00F86F9E">
              <w:rPr>
                <w:color w:val="000000" w:themeColor="text1"/>
                <w:sz w:val="20"/>
                <w:szCs w:val="20"/>
              </w:rPr>
              <w:t>phenotyper</w:t>
            </w:r>
            <w:proofErr w:type="spellEnd"/>
          </w:p>
        </w:tc>
        <w:tc>
          <w:tcPr>
            <w:tcW w:w="1700" w:type="dxa"/>
          </w:tcPr>
          <w:p w14:paraId="2373B64B" w14:textId="77777777" w:rsidR="001E4973" w:rsidRPr="00F86F9E" w:rsidRDefault="00170421">
            <w:pPr>
              <w:rPr>
                <w:color w:val="000000" w:themeColor="text1"/>
              </w:rPr>
            </w:pPr>
            <w:r w:rsidRPr="00F86F9E">
              <w:rPr>
                <w:color w:val="000000" w:themeColor="text1"/>
                <w:sz w:val="20"/>
                <w:szCs w:val="20"/>
              </w:rPr>
              <w:t>Hyperspectral</w:t>
            </w:r>
          </w:p>
        </w:tc>
        <w:tc>
          <w:tcPr>
            <w:tcW w:w="2200" w:type="dxa"/>
          </w:tcPr>
          <w:p w14:paraId="29251491" w14:textId="77777777" w:rsidR="001E4973" w:rsidRPr="00F86F9E" w:rsidRDefault="00170421">
            <w:pPr>
              <w:rPr>
                <w:color w:val="000000" w:themeColor="text1"/>
              </w:rPr>
            </w:pPr>
            <w:r w:rsidRPr="00F86F9E">
              <w:rPr>
                <w:color w:val="000000" w:themeColor="text1"/>
                <w:sz w:val="20"/>
                <w:szCs w:val="20"/>
              </w:rPr>
              <w:t>Pigments, water content</w:t>
            </w:r>
          </w:p>
        </w:tc>
        <w:tc>
          <w:tcPr>
            <w:tcW w:w="1700" w:type="dxa"/>
          </w:tcPr>
          <w:p w14:paraId="0E92D6CB" w14:textId="77777777" w:rsidR="001E4973" w:rsidRPr="00F86F9E" w:rsidRDefault="00170421">
            <w:pPr>
              <w:rPr>
                <w:color w:val="000000" w:themeColor="text1"/>
              </w:rPr>
            </w:pPr>
            <w:r w:rsidRPr="00F86F9E">
              <w:rPr>
                <w:color w:val="000000" w:themeColor="text1"/>
                <w:sz w:val="20"/>
                <w:szCs w:val="20"/>
              </w:rPr>
              <w:t>Field/plot</w:t>
            </w:r>
          </w:p>
        </w:tc>
        <w:tc>
          <w:tcPr>
            <w:tcW w:w="1760" w:type="dxa"/>
          </w:tcPr>
          <w:p w14:paraId="3246F49A" w14:textId="19F9F0DD" w:rsidR="001E4973" w:rsidRPr="00F86F9E" w:rsidRDefault="00170421">
            <w:pPr>
              <w:rPr>
                <w:color w:val="000000" w:themeColor="text1"/>
              </w:rPr>
            </w:pPr>
            <w:r w:rsidRPr="00F86F9E">
              <w:rPr>
                <w:color w:val="000000" w:themeColor="text1"/>
                <w:sz w:val="20"/>
                <w:szCs w:val="20"/>
              </w:rPr>
              <w:t xml:space="preserve">White </w:t>
            </w:r>
            <w:r w:rsidR="00CF20A5" w:rsidRPr="00CF20A5">
              <w:rPr>
                <w:i/>
                <w:iCs/>
                <w:color w:val="000000" w:themeColor="text1"/>
                <w:sz w:val="20"/>
                <w:szCs w:val="20"/>
              </w:rPr>
              <w:t>et al</w:t>
            </w:r>
            <w:r w:rsidRPr="00F86F9E">
              <w:rPr>
                <w:color w:val="000000" w:themeColor="text1"/>
                <w:sz w:val="20"/>
                <w:szCs w:val="20"/>
              </w:rPr>
              <w:t>., 2012</w:t>
            </w:r>
          </w:p>
        </w:tc>
      </w:tr>
      <w:tr w:rsidR="00F86F9E" w:rsidRPr="00F86F9E" w14:paraId="109FAA18" w14:textId="77777777" w:rsidTr="009029AD">
        <w:tc>
          <w:tcPr>
            <w:tcW w:w="2000" w:type="dxa"/>
          </w:tcPr>
          <w:p w14:paraId="31236184" w14:textId="77777777" w:rsidR="001E4973" w:rsidRPr="00F86F9E" w:rsidRDefault="00170421">
            <w:pPr>
              <w:rPr>
                <w:color w:val="000000" w:themeColor="text1"/>
              </w:rPr>
            </w:pPr>
            <w:r w:rsidRPr="00F86F9E">
              <w:rPr>
                <w:color w:val="000000" w:themeColor="text1"/>
                <w:sz w:val="20"/>
                <w:szCs w:val="20"/>
              </w:rPr>
              <w:t>X-ray CT</w:t>
            </w:r>
          </w:p>
        </w:tc>
        <w:tc>
          <w:tcPr>
            <w:tcW w:w="1700" w:type="dxa"/>
          </w:tcPr>
          <w:p w14:paraId="3560D4FA" w14:textId="77777777" w:rsidR="001E4973" w:rsidRPr="00F86F9E" w:rsidRDefault="00170421">
            <w:pPr>
              <w:rPr>
                <w:color w:val="000000" w:themeColor="text1"/>
              </w:rPr>
            </w:pPr>
            <w:r w:rsidRPr="00F86F9E">
              <w:rPr>
                <w:color w:val="000000" w:themeColor="text1"/>
                <w:sz w:val="20"/>
                <w:szCs w:val="20"/>
              </w:rPr>
              <w:t>CT imaging</w:t>
            </w:r>
          </w:p>
        </w:tc>
        <w:tc>
          <w:tcPr>
            <w:tcW w:w="2200" w:type="dxa"/>
          </w:tcPr>
          <w:p w14:paraId="5ED7545C" w14:textId="77777777" w:rsidR="001E4973" w:rsidRPr="00F86F9E" w:rsidRDefault="00170421">
            <w:pPr>
              <w:rPr>
                <w:color w:val="000000" w:themeColor="text1"/>
              </w:rPr>
            </w:pPr>
            <w:r w:rsidRPr="00F86F9E">
              <w:rPr>
                <w:color w:val="000000" w:themeColor="text1"/>
                <w:sz w:val="20"/>
                <w:szCs w:val="20"/>
              </w:rPr>
              <w:t>Root architecture, seed anatomy</w:t>
            </w:r>
          </w:p>
        </w:tc>
        <w:tc>
          <w:tcPr>
            <w:tcW w:w="1700" w:type="dxa"/>
          </w:tcPr>
          <w:p w14:paraId="05CC2996"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04642302" w14:textId="45EBA8DD" w:rsidR="001E4973" w:rsidRPr="00F86F9E" w:rsidRDefault="00170421">
            <w:pPr>
              <w:rPr>
                <w:color w:val="000000" w:themeColor="text1"/>
              </w:rPr>
            </w:pPr>
            <w:r w:rsidRPr="00F86F9E">
              <w:rPr>
                <w:color w:val="000000" w:themeColor="text1"/>
                <w:sz w:val="20"/>
                <w:szCs w:val="20"/>
              </w:rPr>
              <w:t xml:space="preserve">Tracy </w:t>
            </w:r>
            <w:r w:rsidR="00CF20A5" w:rsidRPr="00CF20A5">
              <w:rPr>
                <w:i/>
                <w:iCs/>
                <w:color w:val="000000" w:themeColor="text1"/>
                <w:sz w:val="20"/>
                <w:szCs w:val="20"/>
              </w:rPr>
              <w:t>et al</w:t>
            </w:r>
            <w:r w:rsidRPr="00F86F9E">
              <w:rPr>
                <w:color w:val="000000" w:themeColor="text1"/>
                <w:sz w:val="20"/>
                <w:szCs w:val="20"/>
              </w:rPr>
              <w:t>., 2020</w:t>
            </w:r>
          </w:p>
        </w:tc>
      </w:tr>
      <w:tr w:rsidR="00F86F9E" w:rsidRPr="00F86F9E" w14:paraId="0B1AD14C" w14:textId="77777777" w:rsidTr="009029AD">
        <w:tc>
          <w:tcPr>
            <w:tcW w:w="2000" w:type="dxa"/>
          </w:tcPr>
          <w:p w14:paraId="584D0E31" w14:textId="77777777" w:rsidR="001E4973" w:rsidRPr="00F86F9E" w:rsidRDefault="00170421">
            <w:pPr>
              <w:rPr>
                <w:color w:val="000000" w:themeColor="text1"/>
              </w:rPr>
            </w:pPr>
            <w:r w:rsidRPr="00F86F9E">
              <w:rPr>
                <w:color w:val="000000" w:themeColor="text1"/>
                <w:sz w:val="20"/>
                <w:szCs w:val="20"/>
              </w:rPr>
              <w:t>MRI</w:t>
            </w:r>
          </w:p>
        </w:tc>
        <w:tc>
          <w:tcPr>
            <w:tcW w:w="1700" w:type="dxa"/>
          </w:tcPr>
          <w:p w14:paraId="1F2665D7" w14:textId="77777777" w:rsidR="001E4973" w:rsidRPr="00F86F9E" w:rsidRDefault="00170421">
            <w:pPr>
              <w:rPr>
                <w:color w:val="000000" w:themeColor="text1"/>
              </w:rPr>
            </w:pPr>
            <w:r w:rsidRPr="00F86F9E">
              <w:rPr>
                <w:color w:val="000000" w:themeColor="text1"/>
                <w:sz w:val="20"/>
                <w:szCs w:val="20"/>
              </w:rPr>
              <w:t>Magnetic resonance</w:t>
            </w:r>
          </w:p>
        </w:tc>
        <w:tc>
          <w:tcPr>
            <w:tcW w:w="2200" w:type="dxa"/>
          </w:tcPr>
          <w:p w14:paraId="1F1D9C22" w14:textId="77777777" w:rsidR="001E4973" w:rsidRPr="00F86F9E" w:rsidRDefault="00170421">
            <w:pPr>
              <w:rPr>
                <w:color w:val="000000" w:themeColor="text1"/>
              </w:rPr>
            </w:pPr>
            <w:r w:rsidRPr="00F86F9E">
              <w:rPr>
                <w:color w:val="000000" w:themeColor="text1"/>
                <w:sz w:val="20"/>
                <w:szCs w:val="20"/>
              </w:rPr>
              <w:t>Water distribution in plants</w:t>
            </w:r>
          </w:p>
        </w:tc>
        <w:tc>
          <w:tcPr>
            <w:tcW w:w="1700" w:type="dxa"/>
          </w:tcPr>
          <w:p w14:paraId="4DFB9294"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47330385" w14:textId="77777777" w:rsidR="001E4973" w:rsidRPr="00F86F9E" w:rsidRDefault="00170421">
            <w:pPr>
              <w:rPr>
                <w:color w:val="000000" w:themeColor="text1"/>
              </w:rPr>
            </w:pPr>
            <w:r w:rsidRPr="00F86F9E">
              <w:rPr>
                <w:color w:val="000000" w:themeColor="text1"/>
                <w:sz w:val="20"/>
                <w:szCs w:val="20"/>
              </w:rPr>
              <w:t>van As, 2007</w:t>
            </w:r>
          </w:p>
        </w:tc>
      </w:tr>
      <w:tr w:rsidR="00F86F9E" w:rsidRPr="00F86F9E" w14:paraId="62D5C069" w14:textId="77777777" w:rsidTr="009029AD">
        <w:tc>
          <w:tcPr>
            <w:tcW w:w="2000" w:type="dxa"/>
          </w:tcPr>
          <w:p w14:paraId="1EDC0B21" w14:textId="77777777" w:rsidR="001E4973" w:rsidRPr="00F86F9E" w:rsidRDefault="00170421">
            <w:pPr>
              <w:rPr>
                <w:color w:val="000000" w:themeColor="text1"/>
              </w:rPr>
            </w:pPr>
            <w:r w:rsidRPr="00F86F9E">
              <w:rPr>
                <w:color w:val="000000" w:themeColor="text1"/>
                <w:sz w:val="20"/>
                <w:szCs w:val="20"/>
              </w:rPr>
              <w:t>LIDAR</w:t>
            </w:r>
          </w:p>
        </w:tc>
        <w:tc>
          <w:tcPr>
            <w:tcW w:w="1700" w:type="dxa"/>
          </w:tcPr>
          <w:p w14:paraId="7AA3C581" w14:textId="77777777" w:rsidR="001E4973" w:rsidRPr="00F86F9E" w:rsidRDefault="00170421">
            <w:pPr>
              <w:rPr>
                <w:color w:val="000000" w:themeColor="text1"/>
              </w:rPr>
            </w:pPr>
            <w:r w:rsidRPr="00F86F9E">
              <w:rPr>
                <w:color w:val="000000" w:themeColor="text1"/>
                <w:sz w:val="20"/>
                <w:szCs w:val="20"/>
              </w:rPr>
              <w:t>Laser scanning</w:t>
            </w:r>
          </w:p>
        </w:tc>
        <w:tc>
          <w:tcPr>
            <w:tcW w:w="2200" w:type="dxa"/>
          </w:tcPr>
          <w:p w14:paraId="77DCE1DE" w14:textId="77777777" w:rsidR="001E4973" w:rsidRPr="00F86F9E" w:rsidRDefault="00170421">
            <w:pPr>
              <w:rPr>
                <w:color w:val="000000" w:themeColor="text1"/>
              </w:rPr>
            </w:pPr>
            <w:r w:rsidRPr="00F86F9E">
              <w:rPr>
                <w:color w:val="000000" w:themeColor="text1"/>
                <w:sz w:val="20"/>
                <w:szCs w:val="20"/>
              </w:rPr>
              <w:t>3D canopy structure</w:t>
            </w:r>
          </w:p>
        </w:tc>
        <w:tc>
          <w:tcPr>
            <w:tcW w:w="1700" w:type="dxa"/>
          </w:tcPr>
          <w:p w14:paraId="6FD1F32A" w14:textId="77777777" w:rsidR="001E4973" w:rsidRPr="00F86F9E" w:rsidRDefault="00170421">
            <w:pPr>
              <w:rPr>
                <w:color w:val="000000" w:themeColor="text1"/>
              </w:rPr>
            </w:pPr>
            <w:r w:rsidRPr="00F86F9E">
              <w:rPr>
                <w:color w:val="000000" w:themeColor="text1"/>
                <w:sz w:val="20"/>
                <w:szCs w:val="20"/>
              </w:rPr>
              <w:t>Field/forest</w:t>
            </w:r>
          </w:p>
        </w:tc>
        <w:tc>
          <w:tcPr>
            <w:tcW w:w="1760" w:type="dxa"/>
          </w:tcPr>
          <w:p w14:paraId="646A734A" w14:textId="03EEDC78" w:rsidR="001E4973" w:rsidRPr="00F86F9E" w:rsidRDefault="00170421">
            <w:pPr>
              <w:rPr>
                <w:color w:val="000000" w:themeColor="text1"/>
              </w:rPr>
            </w:pPr>
            <w:proofErr w:type="spellStart"/>
            <w:r w:rsidRPr="00F86F9E">
              <w:rPr>
                <w:color w:val="000000" w:themeColor="text1"/>
                <w:sz w:val="20"/>
                <w:szCs w:val="20"/>
              </w:rPr>
              <w:t>Madec</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1C7C5B62" w14:textId="77777777" w:rsidTr="009029AD">
        <w:tc>
          <w:tcPr>
            <w:tcW w:w="2000" w:type="dxa"/>
          </w:tcPr>
          <w:p w14:paraId="3D4376E1" w14:textId="77777777" w:rsidR="001E4973" w:rsidRPr="00F86F9E" w:rsidRDefault="00170421">
            <w:pPr>
              <w:rPr>
                <w:color w:val="000000" w:themeColor="text1"/>
              </w:rPr>
            </w:pPr>
            <w:r w:rsidRPr="00F86F9E">
              <w:rPr>
                <w:color w:val="000000" w:themeColor="text1"/>
                <w:sz w:val="20"/>
                <w:szCs w:val="20"/>
              </w:rPr>
              <w:t>Fluorescence Imaging</w:t>
            </w:r>
          </w:p>
        </w:tc>
        <w:tc>
          <w:tcPr>
            <w:tcW w:w="1700" w:type="dxa"/>
          </w:tcPr>
          <w:p w14:paraId="60345D71" w14:textId="77777777" w:rsidR="001E4973" w:rsidRPr="00F86F9E" w:rsidRDefault="00170421">
            <w:pPr>
              <w:rPr>
                <w:color w:val="000000" w:themeColor="text1"/>
              </w:rPr>
            </w:pPr>
            <w:proofErr w:type="spellStart"/>
            <w:r w:rsidRPr="00F86F9E">
              <w:rPr>
                <w:color w:val="000000" w:themeColor="text1"/>
                <w:sz w:val="20"/>
                <w:szCs w:val="20"/>
              </w:rPr>
              <w:t>Chl</w:t>
            </w:r>
            <w:proofErr w:type="spellEnd"/>
            <w:r w:rsidRPr="00F86F9E">
              <w:rPr>
                <w:color w:val="000000" w:themeColor="text1"/>
                <w:sz w:val="20"/>
                <w:szCs w:val="20"/>
              </w:rPr>
              <w:t xml:space="preserve"> fluorescence</w:t>
            </w:r>
          </w:p>
        </w:tc>
        <w:tc>
          <w:tcPr>
            <w:tcW w:w="2200" w:type="dxa"/>
          </w:tcPr>
          <w:p w14:paraId="53F1B1BC" w14:textId="77777777" w:rsidR="001E4973" w:rsidRPr="00F86F9E" w:rsidRDefault="00170421">
            <w:pPr>
              <w:rPr>
                <w:color w:val="000000" w:themeColor="text1"/>
              </w:rPr>
            </w:pPr>
            <w:r w:rsidRPr="00F86F9E">
              <w:rPr>
                <w:color w:val="000000" w:themeColor="text1"/>
                <w:sz w:val="20"/>
                <w:szCs w:val="20"/>
              </w:rPr>
              <w:t>Photosynthetic efficiency</w:t>
            </w:r>
          </w:p>
        </w:tc>
        <w:tc>
          <w:tcPr>
            <w:tcW w:w="1700" w:type="dxa"/>
          </w:tcPr>
          <w:p w14:paraId="7A3C5289" w14:textId="77777777" w:rsidR="001E4973" w:rsidRPr="00F86F9E" w:rsidRDefault="00170421">
            <w:pPr>
              <w:rPr>
                <w:color w:val="000000" w:themeColor="text1"/>
              </w:rPr>
            </w:pPr>
            <w:r w:rsidRPr="00F86F9E">
              <w:rPr>
                <w:color w:val="000000" w:themeColor="text1"/>
                <w:sz w:val="20"/>
                <w:szCs w:val="20"/>
              </w:rPr>
              <w:t>Controlled/field</w:t>
            </w:r>
          </w:p>
        </w:tc>
        <w:tc>
          <w:tcPr>
            <w:tcW w:w="1760" w:type="dxa"/>
          </w:tcPr>
          <w:p w14:paraId="7737386B" w14:textId="77777777" w:rsidR="001E4973" w:rsidRPr="00F86F9E" w:rsidRDefault="00170421">
            <w:pPr>
              <w:rPr>
                <w:color w:val="000000" w:themeColor="text1"/>
              </w:rPr>
            </w:pPr>
            <w:proofErr w:type="spellStart"/>
            <w:r w:rsidRPr="00F86F9E">
              <w:rPr>
                <w:color w:val="000000" w:themeColor="text1"/>
                <w:sz w:val="20"/>
                <w:szCs w:val="20"/>
              </w:rPr>
              <w:t>Murchie</w:t>
            </w:r>
            <w:proofErr w:type="spellEnd"/>
            <w:r w:rsidRPr="00F86F9E">
              <w:rPr>
                <w:color w:val="000000" w:themeColor="text1"/>
                <w:sz w:val="20"/>
                <w:szCs w:val="20"/>
              </w:rPr>
              <w:t xml:space="preserve"> &amp; Lawson, 2013</w:t>
            </w:r>
          </w:p>
        </w:tc>
      </w:tr>
    </w:tbl>
    <w:p w14:paraId="69CA717A" w14:textId="77777777" w:rsidR="001E4973" w:rsidRPr="00F86F9E" w:rsidRDefault="001E4973">
      <w:pPr>
        <w:spacing w:after="120"/>
        <w:rPr>
          <w:color w:val="000000" w:themeColor="text1"/>
        </w:rPr>
      </w:pPr>
    </w:p>
    <w:p w14:paraId="16703BFA" w14:textId="77777777" w:rsidR="001E4973" w:rsidRPr="00F86F9E" w:rsidRDefault="00170421">
      <w:pPr>
        <w:pStyle w:val="Heading2"/>
        <w:rPr>
          <w:color w:val="000000" w:themeColor="text1"/>
        </w:rPr>
      </w:pPr>
      <w:r w:rsidRPr="00F86F9E">
        <w:rPr>
          <w:color w:val="000000" w:themeColor="text1"/>
          <w:sz w:val="26"/>
          <w:szCs w:val="26"/>
        </w:rPr>
        <w:t>4.3 Spectral Phenotyping and Remote Sensing</w:t>
      </w:r>
    </w:p>
    <w:p w14:paraId="6AB99373" w14:textId="7E6CE660" w:rsidR="001E4973" w:rsidRDefault="006F5CFF">
      <w:pPr>
        <w:spacing w:after="160" w:line="360" w:lineRule="auto"/>
        <w:jc w:val="both"/>
        <w:rPr>
          <w:color w:val="000000" w:themeColor="text1"/>
        </w:rPr>
      </w:pPr>
      <w:r w:rsidRPr="006F5CFF">
        <w:rPr>
          <w:color w:val="000000" w:themeColor="text1"/>
        </w:rPr>
        <w:t>The hyperspectral imaging technique, which obtains the reflectance data of hundreds of narrow spectral bands, allows for the estimation of biochemical properties and physiological characteristics like the chlorophyll content, carotenoids, water status, nitrogen content</w:t>
      </w:r>
      <w:r w:rsidR="00CF20A5">
        <w:rPr>
          <w:color w:val="000000" w:themeColor="text1"/>
        </w:rPr>
        <w:t xml:space="preserve"> and</w:t>
      </w:r>
      <w:r w:rsidRPr="006F5CFF">
        <w:rPr>
          <w:color w:val="000000" w:themeColor="text1"/>
        </w:rPr>
        <w:t xml:space="preserve"> disease occurrence without causing any harm to the samples (Montesinos-López </w:t>
      </w:r>
      <w:r w:rsidR="00CF20A5" w:rsidRPr="00CF20A5">
        <w:rPr>
          <w:i/>
          <w:iCs/>
          <w:color w:val="000000" w:themeColor="text1"/>
        </w:rPr>
        <w:t>et al</w:t>
      </w:r>
      <w:r w:rsidRPr="006F5CFF">
        <w:rPr>
          <w:color w:val="000000" w:themeColor="text1"/>
        </w:rPr>
        <w:t xml:space="preserve">., 2017; </w:t>
      </w:r>
      <w:proofErr w:type="spellStart"/>
      <w:r w:rsidRPr="006F5CFF">
        <w:rPr>
          <w:color w:val="000000" w:themeColor="text1"/>
        </w:rPr>
        <w:t>Zarco</w:t>
      </w:r>
      <w:proofErr w:type="spellEnd"/>
      <w:r w:rsidRPr="006F5CFF">
        <w:rPr>
          <w:color w:val="000000" w:themeColor="text1"/>
        </w:rPr>
        <w:t xml:space="preserve">-Tejada </w:t>
      </w:r>
      <w:r w:rsidR="00CF20A5" w:rsidRPr="00CF20A5">
        <w:rPr>
          <w:i/>
          <w:iCs/>
          <w:color w:val="000000" w:themeColor="text1"/>
        </w:rPr>
        <w:lastRenderedPageBreak/>
        <w:t>et al</w:t>
      </w:r>
      <w:r w:rsidRPr="006F5CFF">
        <w:rPr>
          <w:color w:val="000000" w:themeColor="text1"/>
        </w:rPr>
        <w:t xml:space="preserve">., 2018). Airborne and space-based hyperspectral sensors have made this approach applicable at the landscape scale (Lobell &amp; </w:t>
      </w:r>
      <w:proofErr w:type="spellStart"/>
      <w:r w:rsidRPr="006F5CFF">
        <w:rPr>
          <w:color w:val="000000" w:themeColor="text1"/>
        </w:rPr>
        <w:t>Gourdji</w:t>
      </w:r>
      <w:proofErr w:type="spellEnd"/>
      <w:r w:rsidRPr="006F5CFF">
        <w:rPr>
          <w:color w:val="000000" w:themeColor="text1"/>
        </w:rPr>
        <w:t>, 2012). The chlorophyll fluorescence imaging technique opens the door to the estimation of the photosynthetic efficacy through its non-invasive nature (</w:t>
      </w:r>
      <w:proofErr w:type="spellStart"/>
      <w:r w:rsidRPr="006F5CFF">
        <w:rPr>
          <w:color w:val="000000" w:themeColor="text1"/>
        </w:rPr>
        <w:t>Murchie</w:t>
      </w:r>
      <w:proofErr w:type="spellEnd"/>
      <w:r w:rsidRPr="006F5CFF">
        <w:rPr>
          <w:color w:val="000000" w:themeColor="text1"/>
        </w:rPr>
        <w:t xml:space="preserve"> &amp; Lawson, 2013).</w:t>
      </w:r>
    </w:p>
    <w:p w14:paraId="440EA536" w14:textId="1A1B8F85" w:rsidR="006A7EA0" w:rsidRDefault="006A7EA0" w:rsidP="006A7EA0">
      <w:pPr>
        <w:spacing w:after="160" w:line="360" w:lineRule="auto"/>
        <w:jc w:val="center"/>
        <w:rPr>
          <w:color w:val="000000" w:themeColor="text1"/>
        </w:rPr>
      </w:pPr>
      <w:r>
        <w:rPr>
          <w:noProof/>
        </w:rPr>
        <w:drawing>
          <wp:inline distT="0" distB="0" distL="0" distR="0" wp14:anchorId="04EB32D9" wp14:editId="385D3094">
            <wp:extent cx="1688869" cy="2019300"/>
            <wp:effectExtent l="0" t="0" r="6985" b="0"/>
            <wp:docPr id="1017870927" name="Picture 6" descr="Plants 12 02061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nts 12 02061 g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665" cy="2020251"/>
                    </a:xfrm>
                    <a:prstGeom prst="rect">
                      <a:avLst/>
                    </a:prstGeom>
                    <a:noFill/>
                    <a:ln>
                      <a:noFill/>
                    </a:ln>
                  </pic:spPr>
                </pic:pic>
              </a:graphicData>
            </a:graphic>
          </wp:inline>
        </w:drawing>
      </w:r>
    </w:p>
    <w:p w14:paraId="0F324436" w14:textId="39481AC8" w:rsidR="006A7EA0" w:rsidRPr="00F86F9E" w:rsidRDefault="006A7EA0" w:rsidP="006A7EA0">
      <w:pPr>
        <w:spacing w:after="160"/>
        <w:jc w:val="both"/>
        <w:rPr>
          <w:color w:val="000000" w:themeColor="text1"/>
        </w:rPr>
      </w:pPr>
      <w:r w:rsidRPr="006A7EA0">
        <w:rPr>
          <w:b/>
          <w:bCs/>
          <w:color w:val="000000" w:themeColor="text1"/>
        </w:rPr>
        <w:t xml:space="preserve">Figure </w:t>
      </w:r>
      <w:r>
        <w:rPr>
          <w:b/>
          <w:bCs/>
          <w:color w:val="000000" w:themeColor="text1"/>
        </w:rPr>
        <w:t>2</w:t>
      </w:r>
      <w:r w:rsidRPr="006A7EA0">
        <w:rPr>
          <w:b/>
          <w:bCs/>
          <w:color w:val="000000" w:themeColor="text1"/>
        </w:rPr>
        <w:t>.</w:t>
      </w:r>
      <w:r w:rsidRPr="006A7EA0">
        <w:rPr>
          <w:color w:val="000000" w:themeColor="text1"/>
        </w:rPr>
        <w:t> Schematic overview of image-based high-throughput phenotyping in horticultural crops. UAP, unmanned aerial platform; MAP, manned aerial platform; RGB, red–green–blue; LiDAR, light detection and ranging; X-ray CT, X-ray computed tomography; MRI, magnetic resonance imaging.</w:t>
      </w:r>
      <w:r>
        <w:rPr>
          <w:color w:val="000000" w:themeColor="text1"/>
        </w:rPr>
        <w:t xml:space="preserve"> (Source: </w:t>
      </w:r>
      <w:hyperlink r:id="rId12" w:history="1">
        <w:r w:rsidRPr="00481F36">
          <w:rPr>
            <w:rStyle w:val="Hyperlink"/>
          </w:rPr>
          <w:t>https://www.mdpi.com/2223-7747/12/10/2061</w:t>
        </w:r>
      </w:hyperlink>
      <w:r>
        <w:rPr>
          <w:color w:val="000000" w:themeColor="text1"/>
        </w:rPr>
        <w:t xml:space="preserve"> )</w:t>
      </w:r>
    </w:p>
    <w:p w14:paraId="69FAC212" w14:textId="7D164333" w:rsidR="001E4973" w:rsidRPr="00F86F9E" w:rsidRDefault="00170421">
      <w:pPr>
        <w:pStyle w:val="Heading1"/>
        <w:rPr>
          <w:color w:val="000000" w:themeColor="text1"/>
        </w:rPr>
      </w:pPr>
      <w:r w:rsidRPr="00F86F9E">
        <w:rPr>
          <w:color w:val="000000" w:themeColor="text1"/>
        </w:rPr>
        <w:t>5. Integration of AI, Genomics</w:t>
      </w:r>
      <w:r w:rsidR="00CF20A5">
        <w:rPr>
          <w:color w:val="000000" w:themeColor="text1"/>
        </w:rPr>
        <w:t xml:space="preserve"> and</w:t>
      </w:r>
      <w:r w:rsidRPr="00F86F9E">
        <w:rPr>
          <w:color w:val="000000" w:themeColor="text1"/>
        </w:rPr>
        <w:t xml:space="preserve"> </w:t>
      </w:r>
      <w:proofErr w:type="spellStart"/>
      <w:r w:rsidRPr="00F86F9E">
        <w:rPr>
          <w:color w:val="000000" w:themeColor="text1"/>
        </w:rPr>
        <w:t>Phenomics</w:t>
      </w:r>
      <w:proofErr w:type="spellEnd"/>
    </w:p>
    <w:p w14:paraId="53F42A58" w14:textId="77777777" w:rsidR="001E4973" w:rsidRPr="00F86F9E" w:rsidRDefault="00170421">
      <w:pPr>
        <w:pStyle w:val="Heading2"/>
        <w:rPr>
          <w:color w:val="000000" w:themeColor="text1"/>
        </w:rPr>
      </w:pPr>
      <w:r w:rsidRPr="00F86F9E">
        <w:rPr>
          <w:color w:val="000000" w:themeColor="text1"/>
          <w:sz w:val="26"/>
          <w:szCs w:val="26"/>
        </w:rPr>
        <w:t>5.1 Multi-Omics and Environmental Integration</w:t>
      </w:r>
    </w:p>
    <w:p w14:paraId="59094AD5" w14:textId="11E0F93F" w:rsidR="001E4973" w:rsidRPr="00F86F9E" w:rsidRDefault="0072763D">
      <w:pPr>
        <w:spacing w:after="160" w:line="360" w:lineRule="auto"/>
        <w:jc w:val="both"/>
        <w:rPr>
          <w:color w:val="000000" w:themeColor="text1"/>
        </w:rPr>
      </w:pPr>
      <w:r w:rsidRPr="0072763D">
        <w:rPr>
          <w:color w:val="000000" w:themeColor="text1"/>
        </w:rPr>
        <w:t>Incorporating genomic, phenotypic</w:t>
      </w:r>
      <w:r w:rsidR="00CF20A5">
        <w:rPr>
          <w:color w:val="000000" w:themeColor="text1"/>
        </w:rPr>
        <w:t xml:space="preserve"> and</w:t>
      </w:r>
      <w:r w:rsidRPr="0072763D">
        <w:rPr>
          <w:color w:val="000000" w:themeColor="text1"/>
        </w:rPr>
        <w:t xml:space="preserve"> environmental information into an integrated framework of prediction constitutes the pinnacle of smart breeding. The reaction norm models, which simultaneously incorporate information on genotypes and environmental variables, greatly enhance the accuracy of genomic predictions under a range of target environments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w:t>
      </w:r>
      <w:proofErr w:type="spellStart"/>
      <w:r w:rsidRPr="0072763D">
        <w:rPr>
          <w:color w:val="000000" w:themeColor="text1"/>
        </w:rPr>
        <w:t>Enviromics</w:t>
      </w:r>
      <w:proofErr w:type="spellEnd"/>
      <w:r w:rsidRPr="0072763D">
        <w:rPr>
          <w:color w:val="000000" w:themeColor="text1"/>
        </w:rPr>
        <w:t xml:space="preserve"> refers to the analysis of environmental factors through weather stations, soil sensors</w:t>
      </w:r>
      <w:r w:rsidR="00CF20A5">
        <w:rPr>
          <w:color w:val="000000" w:themeColor="text1"/>
        </w:rPr>
        <w:t xml:space="preserve"> and</w:t>
      </w:r>
      <w:r w:rsidRPr="0072763D">
        <w:rPr>
          <w:color w:val="000000" w:themeColor="text1"/>
        </w:rPr>
        <w:t xml:space="preserve"> remote sensing</w:t>
      </w:r>
      <w:r w:rsidR="00CF20A5">
        <w:rPr>
          <w:color w:val="000000" w:themeColor="text1"/>
        </w:rPr>
        <w:t xml:space="preserve"> and</w:t>
      </w:r>
      <w:r w:rsidRPr="0072763D">
        <w:rPr>
          <w:color w:val="000000" w:themeColor="text1"/>
        </w:rPr>
        <w:t xml:space="preserve"> constitutes the source of information needed in these models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2017). The use of this information in combination with the layers of multi-omics data increases the accuracy of genomic selection by up to 10-30% compared to standard GBLUP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Montesinos-López </w:t>
      </w:r>
      <w:r w:rsidR="00CF20A5" w:rsidRPr="00CF20A5">
        <w:rPr>
          <w:i/>
          <w:iCs/>
          <w:color w:val="000000" w:themeColor="text1"/>
        </w:rPr>
        <w:t>et al</w:t>
      </w:r>
      <w:r w:rsidRPr="0072763D">
        <w:rPr>
          <w:color w:val="000000" w:themeColor="text1"/>
        </w:rPr>
        <w:t>., 2017). Table 4 shows key integration frameworks</w:t>
      </w:r>
      <w:r w:rsidRPr="00F86F9E">
        <w:rPr>
          <w:color w:val="000000" w:themeColor="text1"/>
        </w:rPr>
        <w:t>.</w:t>
      </w:r>
    </w:p>
    <w:p w14:paraId="5488B78D" w14:textId="77777777" w:rsidR="001E4973" w:rsidRPr="00F86F9E" w:rsidRDefault="001E4973">
      <w:pPr>
        <w:spacing w:after="120"/>
        <w:rPr>
          <w:color w:val="000000" w:themeColor="text1"/>
        </w:rPr>
      </w:pPr>
    </w:p>
    <w:p w14:paraId="1BF684D3" w14:textId="27D2FC98"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4. Integration frameworks combining AI, genomics</w:t>
      </w:r>
      <w:r w:rsidR="00CF20A5">
        <w:rPr>
          <w:rFonts w:ascii="Arial" w:eastAsia="Arial" w:hAnsi="Arial" w:cs="Arial"/>
          <w:i/>
          <w:iCs/>
          <w:color w:val="000000" w:themeColor="text1"/>
          <w:sz w:val="20"/>
          <w:szCs w:val="20"/>
        </w:rPr>
        <w:t xml:space="preserve"> and</w:t>
      </w:r>
      <w:r w:rsidRPr="00F86F9E">
        <w:rPr>
          <w:rFonts w:ascii="Arial" w:eastAsia="Arial" w:hAnsi="Arial" w:cs="Arial"/>
          <w:i/>
          <w:iCs/>
          <w:color w:val="000000" w:themeColor="text1"/>
          <w:sz w:val="20"/>
          <w:szCs w:val="20"/>
        </w:rPr>
        <w:t xml:space="preserve"> </w:t>
      </w:r>
      <w:proofErr w:type="spellStart"/>
      <w:r w:rsidRPr="00F86F9E">
        <w:rPr>
          <w:rFonts w:ascii="Arial" w:eastAsia="Arial" w:hAnsi="Arial" w:cs="Arial"/>
          <w:i/>
          <w:iCs/>
          <w:color w:val="000000" w:themeColor="text1"/>
          <w:sz w:val="20"/>
          <w:szCs w:val="20"/>
        </w:rPr>
        <w:t>phenomics</w:t>
      </w:r>
      <w:proofErr w:type="spellEnd"/>
      <w:r w:rsidRPr="00F86F9E">
        <w:rPr>
          <w:rFonts w:ascii="Arial" w:eastAsia="Arial" w:hAnsi="Arial" w:cs="Arial"/>
          <w:i/>
          <w:iCs/>
          <w:color w:val="000000" w:themeColor="text1"/>
          <w:sz w:val="20"/>
          <w:szCs w:val="20"/>
        </w:rPr>
        <w:t xml:space="preserve"> for smart breeding.</w:t>
      </w:r>
    </w:p>
    <w:tbl>
      <w:tblPr>
        <w:tblStyle w:val="TableGrid"/>
        <w:tblW w:w="9360" w:type="dxa"/>
        <w:tblLook w:val="0000" w:firstRow="0" w:lastRow="0" w:firstColumn="0" w:lastColumn="0" w:noHBand="0" w:noVBand="0"/>
      </w:tblPr>
      <w:tblGrid>
        <w:gridCol w:w="2000"/>
        <w:gridCol w:w="2300"/>
        <w:gridCol w:w="2200"/>
        <w:gridCol w:w="2860"/>
      </w:tblGrid>
      <w:tr w:rsidR="00F86F9E" w:rsidRPr="00F86F9E" w14:paraId="44CC89E3" w14:textId="77777777" w:rsidTr="0072763D">
        <w:tc>
          <w:tcPr>
            <w:tcW w:w="2000" w:type="dxa"/>
          </w:tcPr>
          <w:p w14:paraId="5B525C0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Framework</w:t>
            </w:r>
          </w:p>
        </w:tc>
        <w:tc>
          <w:tcPr>
            <w:tcW w:w="2300" w:type="dxa"/>
          </w:tcPr>
          <w:p w14:paraId="01A08BE7"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Data Layers</w:t>
            </w:r>
          </w:p>
        </w:tc>
        <w:tc>
          <w:tcPr>
            <w:tcW w:w="2200" w:type="dxa"/>
          </w:tcPr>
          <w:p w14:paraId="0723C1DD"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 Method</w:t>
            </w:r>
          </w:p>
        </w:tc>
        <w:tc>
          <w:tcPr>
            <w:tcW w:w="2860" w:type="dxa"/>
          </w:tcPr>
          <w:p w14:paraId="01D0DD7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Outcome</w:t>
            </w:r>
          </w:p>
        </w:tc>
      </w:tr>
      <w:tr w:rsidR="00F86F9E" w:rsidRPr="00F86F9E" w14:paraId="0543F3CA" w14:textId="77777777" w:rsidTr="0072763D">
        <w:tc>
          <w:tcPr>
            <w:tcW w:w="2000" w:type="dxa"/>
          </w:tcPr>
          <w:p w14:paraId="75D2AA62" w14:textId="77777777" w:rsidR="001E4973" w:rsidRPr="00F86F9E" w:rsidRDefault="00170421">
            <w:pPr>
              <w:rPr>
                <w:color w:val="000000" w:themeColor="text1"/>
              </w:rPr>
            </w:pPr>
            <w:proofErr w:type="spellStart"/>
            <w:r w:rsidRPr="00F86F9E">
              <w:rPr>
                <w:color w:val="000000" w:themeColor="text1"/>
                <w:sz w:val="20"/>
                <w:szCs w:val="20"/>
              </w:rPr>
              <w:lastRenderedPageBreak/>
              <w:t>Enviromic</w:t>
            </w:r>
            <w:proofErr w:type="spellEnd"/>
            <w:r w:rsidRPr="00F86F9E">
              <w:rPr>
                <w:color w:val="000000" w:themeColor="text1"/>
                <w:sz w:val="20"/>
                <w:szCs w:val="20"/>
              </w:rPr>
              <w:t xml:space="preserve"> + GS</w:t>
            </w:r>
          </w:p>
        </w:tc>
        <w:tc>
          <w:tcPr>
            <w:tcW w:w="2300" w:type="dxa"/>
          </w:tcPr>
          <w:p w14:paraId="2DDF73C1" w14:textId="77777777" w:rsidR="001E4973" w:rsidRPr="00F86F9E" w:rsidRDefault="00170421">
            <w:pPr>
              <w:rPr>
                <w:color w:val="000000" w:themeColor="text1"/>
              </w:rPr>
            </w:pPr>
            <w:r w:rsidRPr="00F86F9E">
              <w:rPr>
                <w:color w:val="000000" w:themeColor="text1"/>
                <w:sz w:val="20"/>
                <w:szCs w:val="20"/>
              </w:rPr>
              <w:t>Environment + genotype</w:t>
            </w:r>
          </w:p>
        </w:tc>
        <w:tc>
          <w:tcPr>
            <w:tcW w:w="2200" w:type="dxa"/>
          </w:tcPr>
          <w:p w14:paraId="70687A38" w14:textId="77777777" w:rsidR="001E4973" w:rsidRPr="00F86F9E" w:rsidRDefault="00170421">
            <w:pPr>
              <w:rPr>
                <w:color w:val="000000" w:themeColor="text1"/>
              </w:rPr>
            </w:pPr>
            <w:r w:rsidRPr="00F86F9E">
              <w:rPr>
                <w:color w:val="000000" w:themeColor="text1"/>
                <w:sz w:val="20"/>
                <w:szCs w:val="20"/>
              </w:rPr>
              <w:t>Bayesian RR-BLUP</w:t>
            </w:r>
          </w:p>
        </w:tc>
        <w:tc>
          <w:tcPr>
            <w:tcW w:w="2860" w:type="dxa"/>
          </w:tcPr>
          <w:p w14:paraId="73259EA4" w14:textId="77777777" w:rsidR="001E4973" w:rsidRPr="00F86F9E" w:rsidRDefault="00170421">
            <w:pPr>
              <w:rPr>
                <w:color w:val="000000" w:themeColor="text1"/>
              </w:rPr>
            </w:pPr>
            <w:r w:rsidRPr="00F86F9E">
              <w:rPr>
                <w:color w:val="000000" w:themeColor="text1"/>
                <w:sz w:val="20"/>
                <w:szCs w:val="20"/>
              </w:rPr>
              <w:t>Improved GS accuracy across environments</w:t>
            </w:r>
          </w:p>
        </w:tc>
      </w:tr>
      <w:tr w:rsidR="00F86F9E" w:rsidRPr="00F86F9E" w14:paraId="1D57E1E3" w14:textId="77777777" w:rsidTr="0072763D">
        <w:tc>
          <w:tcPr>
            <w:tcW w:w="2000" w:type="dxa"/>
          </w:tcPr>
          <w:p w14:paraId="1AEC49C0" w14:textId="77777777" w:rsidR="001E4973" w:rsidRPr="00F86F9E" w:rsidRDefault="00170421">
            <w:pPr>
              <w:rPr>
                <w:color w:val="000000" w:themeColor="text1"/>
              </w:rPr>
            </w:pPr>
            <w:r w:rsidRPr="00F86F9E">
              <w:rPr>
                <w:color w:val="000000" w:themeColor="text1"/>
                <w:sz w:val="20"/>
                <w:szCs w:val="20"/>
              </w:rPr>
              <w:t>Multi-omics GS</w:t>
            </w:r>
          </w:p>
        </w:tc>
        <w:tc>
          <w:tcPr>
            <w:tcW w:w="2300" w:type="dxa"/>
          </w:tcPr>
          <w:p w14:paraId="75D61B85" w14:textId="77777777" w:rsidR="001E4973" w:rsidRPr="00F86F9E" w:rsidRDefault="00170421">
            <w:pPr>
              <w:rPr>
                <w:color w:val="000000" w:themeColor="text1"/>
              </w:rPr>
            </w:pPr>
            <w:r w:rsidRPr="00F86F9E">
              <w:rPr>
                <w:color w:val="000000" w:themeColor="text1"/>
                <w:sz w:val="20"/>
                <w:szCs w:val="20"/>
              </w:rPr>
              <w:t>Genome + transcriptome + metabolome</w:t>
            </w:r>
          </w:p>
        </w:tc>
        <w:tc>
          <w:tcPr>
            <w:tcW w:w="2200" w:type="dxa"/>
          </w:tcPr>
          <w:p w14:paraId="31EAB62D" w14:textId="77777777" w:rsidR="001E4973" w:rsidRPr="00F86F9E" w:rsidRDefault="00170421">
            <w:pPr>
              <w:rPr>
                <w:color w:val="000000" w:themeColor="text1"/>
              </w:rPr>
            </w:pPr>
            <w:r w:rsidRPr="00F86F9E">
              <w:rPr>
                <w:color w:val="000000" w:themeColor="text1"/>
                <w:sz w:val="20"/>
                <w:szCs w:val="20"/>
              </w:rPr>
              <w:t>Elastic net regression</w:t>
            </w:r>
          </w:p>
        </w:tc>
        <w:tc>
          <w:tcPr>
            <w:tcW w:w="2860" w:type="dxa"/>
          </w:tcPr>
          <w:p w14:paraId="145BB5BD" w14:textId="77777777" w:rsidR="001E4973" w:rsidRPr="00F86F9E" w:rsidRDefault="00170421">
            <w:pPr>
              <w:rPr>
                <w:color w:val="000000" w:themeColor="text1"/>
              </w:rPr>
            </w:pPr>
            <w:r w:rsidRPr="00F86F9E">
              <w:rPr>
                <w:color w:val="000000" w:themeColor="text1"/>
                <w:sz w:val="20"/>
                <w:szCs w:val="20"/>
              </w:rPr>
              <w:t>Better prediction of complex traits</w:t>
            </w:r>
          </w:p>
        </w:tc>
      </w:tr>
      <w:tr w:rsidR="00F86F9E" w:rsidRPr="00F86F9E" w14:paraId="31425202" w14:textId="77777777" w:rsidTr="0072763D">
        <w:tc>
          <w:tcPr>
            <w:tcW w:w="2000" w:type="dxa"/>
          </w:tcPr>
          <w:p w14:paraId="4F818D37" w14:textId="77777777" w:rsidR="001E4973" w:rsidRPr="00F86F9E" w:rsidRDefault="00170421">
            <w:pPr>
              <w:rPr>
                <w:color w:val="000000" w:themeColor="text1"/>
              </w:rPr>
            </w:pPr>
            <w:r w:rsidRPr="00F86F9E">
              <w:rPr>
                <w:color w:val="000000" w:themeColor="text1"/>
                <w:sz w:val="20"/>
                <w:szCs w:val="20"/>
              </w:rPr>
              <w:t>Image + GS</w:t>
            </w:r>
          </w:p>
        </w:tc>
        <w:tc>
          <w:tcPr>
            <w:tcW w:w="2300" w:type="dxa"/>
          </w:tcPr>
          <w:p w14:paraId="38136952" w14:textId="77777777" w:rsidR="001E4973" w:rsidRPr="00F86F9E" w:rsidRDefault="00170421">
            <w:pPr>
              <w:rPr>
                <w:color w:val="000000" w:themeColor="text1"/>
              </w:rPr>
            </w:pPr>
            <w:r w:rsidRPr="00F86F9E">
              <w:rPr>
                <w:color w:val="000000" w:themeColor="text1"/>
                <w:sz w:val="20"/>
                <w:szCs w:val="20"/>
              </w:rPr>
              <w:t>UAV images + SNP markers</w:t>
            </w:r>
          </w:p>
        </w:tc>
        <w:tc>
          <w:tcPr>
            <w:tcW w:w="2200" w:type="dxa"/>
          </w:tcPr>
          <w:p w14:paraId="5BBC4FAC" w14:textId="77777777" w:rsidR="001E4973" w:rsidRPr="00F86F9E" w:rsidRDefault="00170421">
            <w:pPr>
              <w:rPr>
                <w:color w:val="000000" w:themeColor="text1"/>
              </w:rPr>
            </w:pPr>
            <w:r w:rsidRPr="00F86F9E">
              <w:rPr>
                <w:color w:val="000000" w:themeColor="text1"/>
                <w:sz w:val="20"/>
                <w:szCs w:val="20"/>
              </w:rPr>
              <w:t>CNN + GBLUP</w:t>
            </w:r>
          </w:p>
        </w:tc>
        <w:tc>
          <w:tcPr>
            <w:tcW w:w="2860" w:type="dxa"/>
          </w:tcPr>
          <w:p w14:paraId="62494E00" w14:textId="77777777" w:rsidR="001E4973" w:rsidRPr="00F86F9E" w:rsidRDefault="00170421">
            <w:pPr>
              <w:rPr>
                <w:color w:val="000000" w:themeColor="text1"/>
              </w:rPr>
            </w:pPr>
            <w:r w:rsidRPr="00F86F9E">
              <w:rPr>
                <w:color w:val="000000" w:themeColor="text1"/>
                <w:sz w:val="20"/>
                <w:szCs w:val="20"/>
              </w:rPr>
              <w:t>Yield prediction with reduced phenotyping cost</w:t>
            </w:r>
          </w:p>
        </w:tc>
      </w:tr>
      <w:tr w:rsidR="00F86F9E" w:rsidRPr="00F86F9E" w14:paraId="240D5063" w14:textId="77777777" w:rsidTr="0072763D">
        <w:tc>
          <w:tcPr>
            <w:tcW w:w="2000" w:type="dxa"/>
          </w:tcPr>
          <w:p w14:paraId="5850E1CE" w14:textId="77777777" w:rsidR="001E4973" w:rsidRPr="00F86F9E" w:rsidRDefault="00170421">
            <w:pPr>
              <w:rPr>
                <w:color w:val="000000" w:themeColor="text1"/>
              </w:rPr>
            </w:pPr>
            <w:r w:rsidRPr="00F86F9E">
              <w:rPr>
                <w:color w:val="000000" w:themeColor="text1"/>
                <w:sz w:val="20"/>
                <w:szCs w:val="20"/>
              </w:rPr>
              <w:t>Digital Twin</w:t>
            </w:r>
          </w:p>
        </w:tc>
        <w:tc>
          <w:tcPr>
            <w:tcW w:w="2300" w:type="dxa"/>
          </w:tcPr>
          <w:p w14:paraId="31F375D3" w14:textId="77777777" w:rsidR="001E4973" w:rsidRPr="00F86F9E" w:rsidRDefault="00170421">
            <w:pPr>
              <w:rPr>
                <w:color w:val="000000" w:themeColor="text1"/>
              </w:rPr>
            </w:pPr>
            <w:r w:rsidRPr="00F86F9E">
              <w:rPr>
                <w:color w:val="000000" w:themeColor="text1"/>
                <w:sz w:val="20"/>
                <w:szCs w:val="20"/>
              </w:rPr>
              <w:t>Genotype + phenotype + climate</w:t>
            </w:r>
          </w:p>
        </w:tc>
        <w:tc>
          <w:tcPr>
            <w:tcW w:w="2200" w:type="dxa"/>
          </w:tcPr>
          <w:p w14:paraId="63FBFF42" w14:textId="77777777" w:rsidR="001E4973" w:rsidRPr="00F86F9E" w:rsidRDefault="00170421">
            <w:pPr>
              <w:rPr>
                <w:color w:val="000000" w:themeColor="text1"/>
              </w:rPr>
            </w:pPr>
            <w:r w:rsidRPr="00F86F9E">
              <w:rPr>
                <w:color w:val="000000" w:themeColor="text1"/>
                <w:sz w:val="20"/>
                <w:szCs w:val="20"/>
              </w:rPr>
              <w:t>DL + crop model</w:t>
            </w:r>
          </w:p>
        </w:tc>
        <w:tc>
          <w:tcPr>
            <w:tcW w:w="2860" w:type="dxa"/>
          </w:tcPr>
          <w:p w14:paraId="557C7E7C" w14:textId="77777777" w:rsidR="001E4973" w:rsidRPr="00F86F9E" w:rsidRDefault="00170421">
            <w:pPr>
              <w:rPr>
                <w:color w:val="000000" w:themeColor="text1"/>
              </w:rPr>
            </w:pPr>
            <w:r w:rsidRPr="00F86F9E">
              <w:rPr>
                <w:color w:val="000000" w:themeColor="text1"/>
                <w:sz w:val="20"/>
                <w:szCs w:val="20"/>
              </w:rPr>
              <w:t>In silico variety testing</w:t>
            </w:r>
          </w:p>
        </w:tc>
      </w:tr>
      <w:tr w:rsidR="00F86F9E" w:rsidRPr="00F86F9E" w14:paraId="505089D2" w14:textId="77777777" w:rsidTr="0072763D">
        <w:tc>
          <w:tcPr>
            <w:tcW w:w="2000" w:type="dxa"/>
          </w:tcPr>
          <w:p w14:paraId="2DD1AAAD" w14:textId="77777777" w:rsidR="001E4973" w:rsidRPr="00F86F9E" w:rsidRDefault="00170421">
            <w:pPr>
              <w:rPr>
                <w:color w:val="000000" w:themeColor="text1"/>
              </w:rPr>
            </w:pPr>
            <w:r w:rsidRPr="00F86F9E">
              <w:rPr>
                <w:color w:val="000000" w:themeColor="text1"/>
                <w:sz w:val="20"/>
                <w:szCs w:val="20"/>
              </w:rPr>
              <w:t>Knowledge Graph</w:t>
            </w:r>
          </w:p>
        </w:tc>
        <w:tc>
          <w:tcPr>
            <w:tcW w:w="2300" w:type="dxa"/>
          </w:tcPr>
          <w:p w14:paraId="5F8D77FA" w14:textId="77777777" w:rsidR="001E4973" w:rsidRPr="00F86F9E" w:rsidRDefault="00170421">
            <w:pPr>
              <w:rPr>
                <w:color w:val="000000" w:themeColor="text1"/>
              </w:rPr>
            </w:pPr>
            <w:r w:rsidRPr="00F86F9E">
              <w:rPr>
                <w:color w:val="000000" w:themeColor="text1"/>
                <w:sz w:val="20"/>
                <w:szCs w:val="20"/>
              </w:rPr>
              <w:t>Gene annotation + QTL + literature</w:t>
            </w:r>
          </w:p>
        </w:tc>
        <w:tc>
          <w:tcPr>
            <w:tcW w:w="2200" w:type="dxa"/>
          </w:tcPr>
          <w:p w14:paraId="51409673" w14:textId="77777777" w:rsidR="001E4973" w:rsidRPr="00F86F9E" w:rsidRDefault="00170421">
            <w:pPr>
              <w:rPr>
                <w:color w:val="000000" w:themeColor="text1"/>
              </w:rPr>
            </w:pPr>
            <w:r w:rsidRPr="00F86F9E">
              <w:rPr>
                <w:color w:val="000000" w:themeColor="text1"/>
                <w:sz w:val="20"/>
                <w:szCs w:val="20"/>
              </w:rPr>
              <w:t>GNN + NLP</w:t>
            </w:r>
          </w:p>
        </w:tc>
        <w:tc>
          <w:tcPr>
            <w:tcW w:w="2860" w:type="dxa"/>
          </w:tcPr>
          <w:p w14:paraId="35D89172" w14:textId="77777777" w:rsidR="001E4973" w:rsidRPr="00F86F9E" w:rsidRDefault="00170421">
            <w:pPr>
              <w:rPr>
                <w:color w:val="000000" w:themeColor="text1"/>
              </w:rPr>
            </w:pPr>
            <w:r w:rsidRPr="00F86F9E">
              <w:rPr>
                <w:color w:val="000000" w:themeColor="text1"/>
                <w:sz w:val="20"/>
                <w:szCs w:val="20"/>
              </w:rPr>
              <w:t>Novel gene discovery pipeline</w:t>
            </w:r>
          </w:p>
        </w:tc>
      </w:tr>
      <w:tr w:rsidR="00F86F9E" w:rsidRPr="00F86F9E" w14:paraId="0DA60E33" w14:textId="77777777" w:rsidTr="0072763D">
        <w:tc>
          <w:tcPr>
            <w:tcW w:w="2000" w:type="dxa"/>
          </w:tcPr>
          <w:p w14:paraId="3CC41B1A" w14:textId="77777777" w:rsidR="001E4973" w:rsidRPr="00F86F9E" w:rsidRDefault="00170421">
            <w:pPr>
              <w:rPr>
                <w:color w:val="000000" w:themeColor="text1"/>
              </w:rPr>
            </w:pPr>
            <w:r w:rsidRPr="00F86F9E">
              <w:rPr>
                <w:color w:val="000000" w:themeColor="text1"/>
                <w:sz w:val="20"/>
                <w:szCs w:val="20"/>
              </w:rPr>
              <w:t>Federated Learning</w:t>
            </w:r>
          </w:p>
        </w:tc>
        <w:tc>
          <w:tcPr>
            <w:tcW w:w="2300" w:type="dxa"/>
          </w:tcPr>
          <w:p w14:paraId="4A5077CE" w14:textId="77777777" w:rsidR="001E4973" w:rsidRPr="00F86F9E" w:rsidRDefault="00170421">
            <w:pPr>
              <w:rPr>
                <w:color w:val="000000" w:themeColor="text1"/>
              </w:rPr>
            </w:pPr>
            <w:r w:rsidRPr="00F86F9E">
              <w:rPr>
                <w:color w:val="000000" w:themeColor="text1"/>
                <w:sz w:val="20"/>
                <w:szCs w:val="20"/>
              </w:rPr>
              <w:t>Multi-site genomic data</w:t>
            </w:r>
          </w:p>
        </w:tc>
        <w:tc>
          <w:tcPr>
            <w:tcW w:w="2200" w:type="dxa"/>
          </w:tcPr>
          <w:p w14:paraId="0C10FEFE" w14:textId="77777777" w:rsidR="001E4973" w:rsidRPr="00F86F9E" w:rsidRDefault="00170421">
            <w:pPr>
              <w:rPr>
                <w:color w:val="000000" w:themeColor="text1"/>
              </w:rPr>
            </w:pPr>
            <w:r w:rsidRPr="00F86F9E">
              <w:rPr>
                <w:color w:val="000000" w:themeColor="text1"/>
                <w:sz w:val="20"/>
                <w:szCs w:val="20"/>
              </w:rPr>
              <w:t>Distributed ML</w:t>
            </w:r>
          </w:p>
        </w:tc>
        <w:tc>
          <w:tcPr>
            <w:tcW w:w="2860" w:type="dxa"/>
          </w:tcPr>
          <w:p w14:paraId="031311FF" w14:textId="77777777" w:rsidR="001E4973" w:rsidRPr="00F86F9E" w:rsidRDefault="00170421">
            <w:pPr>
              <w:rPr>
                <w:color w:val="000000" w:themeColor="text1"/>
              </w:rPr>
            </w:pPr>
            <w:r w:rsidRPr="00F86F9E">
              <w:rPr>
                <w:color w:val="000000" w:themeColor="text1"/>
                <w:sz w:val="20"/>
                <w:szCs w:val="20"/>
              </w:rPr>
              <w:t>Privacy-preserving GS across programs</w:t>
            </w:r>
          </w:p>
        </w:tc>
      </w:tr>
    </w:tbl>
    <w:p w14:paraId="367B749A" w14:textId="77777777" w:rsidR="001E4973" w:rsidRPr="00F86F9E" w:rsidRDefault="001E4973">
      <w:pPr>
        <w:spacing w:after="120"/>
        <w:rPr>
          <w:color w:val="000000" w:themeColor="text1"/>
        </w:rPr>
      </w:pPr>
    </w:p>
    <w:p w14:paraId="3934F9A8" w14:textId="77777777" w:rsidR="001E4973" w:rsidRPr="00F86F9E" w:rsidRDefault="00170421">
      <w:pPr>
        <w:pStyle w:val="Heading2"/>
        <w:rPr>
          <w:color w:val="000000" w:themeColor="text1"/>
        </w:rPr>
      </w:pPr>
      <w:r w:rsidRPr="00F86F9E">
        <w:rPr>
          <w:color w:val="000000" w:themeColor="text1"/>
          <w:sz w:val="26"/>
          <w:szCs w:val="26"/>
        </w:rPr>
        <w:t>5.2 Digital Twins in Plant Breeding</w:t>
      </w:r>
    </w:p>
    <w:p w14:paraId="405A8756" w14:textId="125B3ED8" w:rsidR="001E4973" w:rsidRPr="00F86F9E" w:rsidRDefault="0072763D">
      <w:pPr>
        <w:spacing w:after="160" w:line="360" w:lineRule="auto"/>
        <w:jc w:val="both"/>
        <w:rPr>
          <w:color w:val="000000" w:themeColor="text1"/>
        </w:rPr>
      </w:pPr>
      <w:r w:rsidRPr="0072763D">
        <w:rPr>
          <w:color w:val="000000" w:themeColor="text1"/>
        </w:rPr>
        <w:t>The concept of a digital twin can be defined as a dynamic and evolving simulation of a physical entity in the case of this project, the development of a certain crop genotype in a particular environment (</w:t>
      </w:r>
      <w:proofErr w:type="spellStart"/>
      <w:r w:rsidRPr="0072763D">
        <w:rPr>
          <w:color w:val="000000" w:themeColor="text1"/>
        </w:rPr>
        <w:t>Priesack</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2006). Digital twins in the domain of plant breeding consist of process-based models of crop growth such as APSIM and DSSAT, complemented by an AI module which uses sensor data to fit the model. This combination allows for rapid in silico testing of candidate genotypes in thousands of hypothetical environments, significantly improving the effective experimental throughput in the breeding cycle (Varshney </w:t>
      </w:r>
      <w:r w:rsidR="00CF20A5" w:rsidRPr="00CF20A5">
        <w:rPr>
          <w:i/>
          <w:iCs/>
          <w:color w:val="000000" w:themeColor="text1"/>
        </w:rPr>
        <w:t>et al</w:t>
      </w:r>
      <w:r w:rsidRPr="0072763D">
        <w:rPr>
          <w:color w:val="000000" w:themeColor="text1"/>
        </w:rPr>
        <w:t xml:space="preserve">., 2021). Combining genomic prediction of the parameters in the digital twin model would enable prospective genomic selection – selecting untested genotypes in expected future environments (Lobell &amp; </w:t>
      </w:r>
      <w:proofErr w:type="spellStart"/>
      <w:r w:rsidRPr="0072763D">
        <w:rPr>
          <w:color w:val="000000" w:themeColor="text1"/>
        </w:rPr>
        <w:t>Gourdji</w:t>
      </w:r>
      <w:proofErr w:type="spellEnd"/>
      <w:r w:rsidRPr="0072763D">
        <w:rPr>
          <w:color w:val="000000" w:themeColor="text1"/>
        </w:rPr>
        <w:t>, 2012).</w:t>
      </w:r>
    </w:p>
    <w:p w14:paraId="6C06B7E5" w14:textId="77777777" w:rsidR="001E4973" w:rsidRPr="00F86F9E" w:rsidRDefault="00170421">
      <w:pPr>
        <w:pStyle w:val="Heading2"/>
        <w:rPr>
          <w:color w:val="000000" w:themeColor="text1"/>
        </w:rPr>
      </w:pPr>
      <w:r w:rsidRPr="00F86F9E">
        <w:rPr>
          <w:color w:val="000000" w:themeColor="text1"/>
          <w:sz w:val="26"/>
          <w:szCs w:val="26"/>
        </w:rPr>
        <w:t>5.3 Knowledge Graphs and Federated Learning</w:t>
      </w:r>
    </w:p>
    <w:p w14:paraId="07CB50C6" w14:textId="7D4DC01E" w:rsidR="0072763D" w:rsidRPr="0072763D" w:rsidRDefault="0072763D" w:rsidP="0072763D">
      <w:pPr>
        <w:spacing w:after="160" w:line="360" w:lineRule="auto"/>
        <w:jc w:val="both"/>
        <w:rPr>
          <w:color w:val="000000" w:themeColor="text1"/>
        </w:rPr>
      </w:pPr>
      <w:r w:rsidRPr="0072763D">
        <w:rPr>
          <w:color w:val="000000" w:themeColor="text1"/>
        </w:rPr>
        <w:t>A knowledge graph is an interconnected network of nodes representing biological entities such as genes, proteins, metabolites, phenotypes</w:t>
      </w:r>
      <w:r w:rsidR="00CF20A5">
        <w:rPr>
          <w:color w:val="000000" w:themeColor="text1"/>
        </w:rPr>
        <w:t xml:space="preserve"> and</w:t>
      </w:r>
      <w:r w:rsidRPr="0072763D">
        <w:rPr>
          <w:color w:val="000000" w:themeColor="text1"/>
        </w:rPr>
        <w:t xml:space="preserve"> environments</w:t>
      </w:r>
      <w:r w:rsidR="00CF20A5">
        <w:rPr>
          <w:color w:val="000000" w:themeColor="text1"/>
        </w:rPr>
        <w:t xml:space="preserve"> and</w:t>
      </w:r>
      <w:r w:rsidRPr="0072763D">
        <w:rPr>
          <w:color w:val="000000" w:themeColor="text1"/>
        </w:rPr>
        <w:t xml:space="preserve"> the interconnections between them (</w:t>
      </w:r>
      <w:proofErr w:type="spellStart"/>
      <w:r w:rsidRPr="0072763D">
        <w:rPr>
          <w:color w:val="000000" w:themeColor="text1"/>
        </w:rPr>
        <w:t>Mikolov</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2013; Jung </w:t>
      </w:r>
      <w:r w:rsidR="00CF20A5" w:rsidRPr="00CF20A5">
        <w:rPr>
          <w:i/>
          <w:iCs/>
          <w:color w:val="000000" w:themeColor="text1"/>
        </w:rPr>
        <w:t>et al</w:t>
      </w:r>
      <w:r w:rsidRPr="0072763D">
        <w:rPr>
          <w:color w:val="000000" w:themeColor="text1"/>
        </w:rPr>
        <w:t>., 2019). By being traversed through GNNs, such knowledge graphs facilitate multi-hop inference, which would be impossible for any other data representation, such as relating a SNP to a drought tolerance trait via regulatory gene networks.</w:t>
      </w:r>
    </w:p>
    <w:p w14:paraId="4E20CE21" w14:textId="2E85E0D9" w:rsidR="001E4973" w:rsidRPr="00F86F9E" w:rsidRDefault="0072763D" w:rsidP="0072763D">
      <w:pPr>
        <w:spacing w:after="160" w:line="360" w:lineRule="auto"/>
        <w:jc w:val="both"/>
        <w:rPr>
          <w:color w:val="000000" w:themeColor="text1"/>
        </w:rPr>
      </w:pPr>
      <w:r w:rsidRPr="0072763D">
        <w:rPr>
          <w:color w:val="000000" w:themeColor="text1"/>
        </w:rPr>
        <w:t xml:space="preserve">Federated learning tackles one of the major hurdles on the way of scaling AI solutions in plant breeding, i.e., the unwillingness of both national breeding programs and private companies to disclose proprietary genomic data. The principle behind federated learning is that only the parameters of models, but not the actual data, are exchanged between federated nodes. Hence, </w:t>
      </w:r>
      <w:r w:rsidRPr="0072763D">
        <w:rPr>
          <w:color w:val="000000" w:themeColor="text1"/>
        </w:rPr>
        <w:lastRenderedPageBreak/>
        <w:t>globally strong prediction models can be trained while protecting data privacy (Jordan &amp; Mitchell, 2015). This makes federated learning especially important for genomics selection of orphan crops.</w:t>
      </w:r>
    </w:p>
    <w:p w14:paraId="5B909FF4" w14:textId="77777777" w:rsidR="001E4973" w:rsidRPr="00F86F9E" w:rsidRDefault="001E4973">
      <w:pPr>
        <w:spacing w:after="120"/>
        <w:rPr>
          <w:color w:val="000000" w:themeColor="text1"/>
        </w:rPr>
      </w:pPr>
    </w:p>
    <w:p w14:paraId="565536EB" w14:textId="77777777" w:rsidR="001E4973" w:rsidRPr="00F86F9E" w:rsidRDefault="00170421">
      <w:pPr>
        <w:pStyle w:val="Heading1"/>
        <w:rPr>
          <w:color w:val="000000" w:themeColor="text1"/>
        </w:rPr>
      </w:pPr>
      <w:r w:rsidRPr="00F86F9E">
        <w:rPr>
          <w:color w:val="000000" w:themeColor="text1"/>
        </w:rPr>
        <w:t>6. Gene Editing and Smart Breeding: CRISPR Meets AI</w:t>
      </w:r>
    </w:p>
    <w:p w14:paraId="1E28C910" w14:textId="77777777" w:rsidR="001E4973" w:rsidRPr="00F86F9E" w:rsidRDefault="00170421">
      <w:pPr>
        <w:pStyle w:val="Heading2"/>
        <w:rPr>
          <w:color w:val="000000" w:themeColor="text1"/>
        </w:rPr>
      </w:pPr>
      <w:r w:rsidRPr="00F86F9E">
        <w:rPr>
          <w:color w:val="000000" w:themeColor="text1"/>
          <w:sz w:val="26"/>
          <w:szCs w:val="26"/>
        </w:rPr>
        <w:t>6.1 CRISPR-Cas9 and Precision Trait Engineering</w:t>
      </w:r>
    </w:p>
    <w:p w14:paraId="1DB62FAD" w14:textId="02183441" w:rsidR="001E4973" w:rsidRPr="00F86F9E" w:rsidRDefault="0072763D">
      <w:pPr>
        <w:spacing w:after="160" w:line="360" w:lineRule="auto"/>
        <w:jc w:val="both"/>
        <w:rPr>
          <w:color w:val="000000" w:themeColor="text1"/>
        </w:rPr>
      </w:pPr>
      <w:r w:rsidRPr="0072763D">
        <w:rPr>
          <w:color w:val="000000" w:themeColor="text1"/>
        </w:rPr>
        <w:t xml:space="preserve">The development of CRISPR-Cas9 technology has revolutionized the field of genetic modification by allowing the accurate and fast targeting of critical genes for modification (Rodríguez-Leal </w:t>
      </w:r>
      <w:r w:rsidR="00CF20A5" w:rsidRPr="00CF20A5">
        <w:rPr>
          <w:i/>
          <w:iCs/>
          <w:color w:val="000000" w:themeColor="text1"/>
        </w:rPr>
        <w:t>et al</w:t>
      </w:r>
      <w:r w:rsidRPr="0072763D">
        <w:rPr>
          <w:color w:val="000000" w:themeColor="text1"/>
        </w:rPr>
        <w:t xml:space="preserve">., 2017; Zhang </w:t>
      </w:r>
      <w:r w:rsidR="00CF20A5" w:rsidRPr="00CF20A5">
        <w:rPr>
          <w:i/>
          <w:iCs/>
          <w:color w:val="000000" w:themeColor="text1"/>
        </w:rPr>
        <w:t>et al</w:t>
      </w:r>
      <w:r w:rsidRPr="0072763D">
        <w:rPr>
          <w:color w:val="000000" w:themeColor="text1"/>
        </w:rPr>
        <w:t xml:space="preserve">., 2018; Zhang </w:t>
      </w:r>
      <w:r w:rsidR="00CF20A5" w:rsidRPr="00CF20A5">
        <w:rPr>
          <w:i/>
          <w:iCs/>
          <w:color w:val="000000" w:themeColor="text1"/>
        </w:rPr>
        <w:t>et al</w:t>
      </w:r>
      <w:r w:rsidRPr="0072763D">
        <w:rPr>
          <w:color w:val="000000" w:themeColor="text1"/>
        </w:rPr>
        <w:t xml:space="preserve">., 2017). As opposed to transgenic methods, genome editing using the CRISPR approach, especially with the introduction of indels, is being categorized as non-transgenic in many regulatory regions. This trend allows for an easier and faster approval process in many cases (Rodríguez-Leal </w:t>
      </w:r>
      <w:r w:rsidR="00CF20A5" w:rsidRPr="00CF20A5">
        <w:rPr>
          <w:i/>
          <w:iCs/>
          <w:color w:val="000000" w:themeColor="text1"/>
        </w:rPr>
        <w:t>et al</w:t>
      </w:r>
      <w:r w:rsidRPr="0072763D">
        <w:rPr>
          <w:color w:val="000000" w:themeColor="text1"/>
        </w:rPr>
        <w:t>., 2017). Smart breeding further enhances the role of gene editing by applying AI tools to find out optimal targets for editing – genes where sequence polymorphisms account for a high proportion of phenotypic variation (</w:t>
      </w:r>
      <w:proofErr w:type="spellStart"/>
      <w:r w:rsidRPr="0072763D">
        <w:rPr>
          <w:color w:val="000000" w:themeColor="text1"/>
        </w:rPr>
        <w:t>Libbrecht</w:t>
      </w:r>
      <w:proofErr w:type="spellEnd"/>
      <w:r w:rsidRPr="0072763D">
        <w:rPr>
          <w:color w:val="000000" w:themeColor="text1"/>
        </w:rPr>
        <w:t xml:space="preserve"> &amp; Noble, 2015;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proofErr w:type="gramStart"/>
      <w:r w:rsidRPr="0072763D">
        <w:rPr>
          <w:color w:val="000000" w:themeColor="text1"/>
        </w:rPr>
        <w:t>).</w:t>
      </w:r>
      <w:r w:rsidRPr="00F86F9E">
        <w:rPr>
          <w:color w:val="000000" w:themeColor="text1"/>
        </w:rPr>
        <w:t>.</w:t>
      </w:r>
      <w:proofErr w:type="gramEnd"/>
    </w:p>
    <w:p w14:paraId="714FB08C" w14:textId="77777777" w:rsidR="001E4973" w:rsidRPr="00F86F9E" w:rsidRDefault="00170421">
      <w:pPr>
        <w:pStyle w:val="Heading2"/>
        <w:rPr>
          <w:color w:val="000000" w:themeColor="text1"/>
        </w:rPr>
      </w:pPr>
      <w:r w:rsidRPr="00F86F9E">
        <w:rPr>
          <w:color w:val="000000" w:themeColor="text1"/>
          <w:sz w:val="26"/>
          <w:szCs w:val="26"/>
        </w:rPr>
        <w:t>6.2 AI-Guided Target Identification</w:t>
      </w:r>
    </w:p>
    <w:p w14:paraId="1934ED9D" w14:textId="6F32A354" w:rsidR="001E4973" w:rsidRPr="00F86F9E" w:rsidRDefault="0072763D">
      <w:pPr>
        <w:spacing w:after="160" w:line="360" w:lineRule="auto"/>
        <w:jc w:val="both"/>
        <w:rPr>
          <w:color w:val="000000" w:themeColor="text1"/>
        </w:rPr>
      </w:pPr>
      <w:r w:rsidRPr="0072763D">
        <w:rPr>
          <w:color w:val="000000" w:themeColor="text1"/>
        </w:rPr>
        <w:t>The selection of editing sites of high importance involves the fusion of data from GWAS studies, transcriptional atlases, measures of evolutionary constraint</w:t>
      </w:r>
      <w:r w:rsidR="00CF20A5">
        <w:rPr>
          <w:color w:val="000000" w:themeColor="text1"/>
        </w:rPr>
        <w:t xml:space="preserve"> and</w:t>
      </w:r>
      <w:r w:rsidRPr="0072763D">
        <w:rPr>
          <w:color w:val="000000" w:themeColor="text1"/>
        </w:rPr>
        <w:t xml:space="preserve"> predicted protein structures (</w:t>
      </w:r>
      <w:proofErr w:type="spellStart"/>
      <w:r w:rsidRPr="0072763D">
        <w:rPr>
          <w:color w:val="000000" w:themeColor="text1"/>
        </w:rPr>
        <w:t>Libbrecht</w:t>
      </w:r>
      <w:proofErr w:type="spellEnd"/>
      <w:r w:rsidRPr="0072763D">
        <w:rPr>
          <w:color w:val="000000" w:themeColor="text1"/>
        </w:rPr>
        <w:t xml:space="preserve"> &amp; Noble, 2015; Rodríguez-Leal </w:t>
      </w:r>
      <w:r w:rsidR="00CF20A5" w:rsidRPr="00CF20A5">
        <w:rPr>
          <w:i/>
          <w:iCs/>
          <w:color w:val="000000" w:themeColor="text1"/>
        </w:rPr>
        <w:t>et al</w:t>
      </w:r>
      <w:r w:rsidRPr="0072763D">
        <w:rPr>
          <w:color w:val="000000" w:themeColor="text1"/>
        </w:rPr>
        <w:t>., 2017). Multi-omics datasets, processed using deep learning models, provide predictions about the functionality and potential of a particular edit to enhance the agronomic value of an organism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Several reinforcement learning-based approaches have been suggested as useful tools for multi-gene editing (Silver </w:t>
      </w:r>
      <w:r w:rsidR="00CF20A5" w:rsidRPr="00CF20A5">
        <w:rPr>
          <w:i/>
          <w:iCs/>
          <w:color w:val="000000" w:themeColor="text1"/>
        </w:rPr>
        <w:t>et al</w:t>
      </w:r>
      <w:r w:rsidRPr="0072763D">
        <w:rPr>
          <w:color w:val="000000" w:themeColor="text1"/>
        </w:rPr>
        <w:t>., 2016). Examples of AI-assisted editing in major agricultural crops are presented in Table 5</w:t>
      </w:r>
      <w:r w:rsidRPr="00F86F9E">
        <w:rPr>
          <w:color w:val="000000" w:themeColor="text1"/>
        </w:rPr>
        <w:t>.</w:t>
      </w:r>
    </w:p>
    <w:p w14:paraId="1E8C522A" w14:textId="77777777" w:rsidR="001E4973" w:rsidRPr="00F86F9E" w:rsidRDefault="001E4973">
      <w:pPr>
        <w:spacing w:after="120"/>
        <w:rPr>
          <w:color w:val="000000" w:themeColor="text1"/>
        </w:rPr>
      </w:pPr>
    </w:p>
    <w:p w14:paraId="0838DC98"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5. Representative examples of AI-guided CRISPR gene editing for crop improvement.</w:t>
      </w:r>
    </w:p>
    <w:tbl>
      <w:tblPr>
        <w:tblStyle w:val="TableGrid"/>
        <w:tblW w:w="9360" w:type="dxa"/>
        <w:tblLook w:val="0000" w:firstRow="0" w:lastRow="0" w:firstColumn="0" w:lastColumn="0" w:noHBand="0" w:noVBand="0"/>
      </w:tblPr>
      <w:tblGrid>
        <w:gridCol w:w="1800"/>
        <w:gridCol w:w="2000"/>
        <w:gridCol w:w="2200"/>
        <w:gridCol w:w="1700"/>
        <w:gridCol w:w="1660"/>
      </w:tblGrid>
      <w:tr w:rsidR="00F86F9E" w:rsidRPr="00F86F9E" w14:paraId="1E9E4B8A" w14:textId="77777777" w:rsidTr="0072763D">
        <w:tc>
          <w:tcPr>
            <w:tcW w:w="1800" w:type="dxa"/>
          </w:tcPr>
          <w:p w14:paraId="087363B3"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Crop</w:t>
            </w:r>
          </w:p>
        </w:tc>
        <w:tc>
          <w:tcPr>
            <w:tcW w:w="2000" w:type="dxa"/>
          </w:tcPr>
          <w:p w14:paraId="4DC4918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Target Gene</w:t>
            </w:r>
          </w:p>
        </w:tc>
        <w:tc>
          <w:tcPr>
            <w:tcW w:w="2200" w:type="dxa"/>
          </w:tcPr>
          <w:p w14:paraId="090F0D0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Trait Improved</w:t>
            </w:r>
          </w:p>
        </w:tc>
        <w:tc>
          <w:tcPr>
            <w:tcW w:w="1700" w:type="dxa"/>
          </w:tcPr>
          <w:p w14:paraId="2172C4F8"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 Role</w:t>
            </w:r>
          </w:p>
        </w:tc>
        <w:tc>
          <w:tcPr>
            <w:tcW w:w="1660" w:type="dxa"/>
          </w:tcPr>
          <w:p w14:paraId="4AFB1D4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63820C62" w14:textId="77777777" w:rsidTr="0072763D">
        <w:tc>
          <w:tcPr>
            <w:tcW w:w="1800" w:type="dxa"/>
          </w:tcPr>
          <w:p w14:paraId="39C4A973" w14:textId="77777777" w:rsidR="001E4973" w:rsidRPr="00F86F9E" w:rsidRDefault="00170421">
            <w:pPr>
              <w:rPr>
                <w:color w:val="000000" w:themeColor="text1"/>
              </w:rPr>
            </w:pPr>
            <w:r w:rsidRPr="00F86F9E">
              <w:rPr>
                <w:color w:val="000000" w:themeColor="text1"/>
                <w:sz w:val="20"/>
                <w:szCs w:val="20"/>
              </w:rPr>
              <w:t>Rice</w:t>
            </w:r>
          </w:p>
        </w:tc>
        <w:tc>
          <w:tcPr>
            <w:tcW w:w="2000" w:type="dxa"/>
          </w:tcPr>
          <w:p w14:paraId="48A58315" w14:textId="77777777" w:rsidR="001E4973" w:rsidRPr="00F86F9E" w:rsidRDefault="00170421">
            <w:pPr>
              <w:rPr>
                <w:color w:val="000000" w:themeColor="text1"/>
              </w:rPr>
            </w:pPr>
            <w:r w:rsidRPr="00F86F9E">
              <w:rPr>
                <w:color w:val="000000" w:themeColor="text1"/>
                <w:sz w:val="20"/>
                <w:szCs w:val="20"/>
              </w:rPr>
              <w:t>OsGW5</w:t>
            </w:r>
          </w:p>
        </w:tc>
        <w:tc>
          <w:tcPr>
            <w:tcW w:w="2200" w:type="dxa"/>
          </w:tcPr>
          <w:p w14:paraId="10A2A276" w14:textId="77777777" w:rsidR="001E4973" w:rsidRPr="00F86F9E" w:rsidRDefault="00170421">
            <w:pPr>
              <w:rPr>
                <w:color w:val="000000" w:themeColor="text1"/>
              </w:rPr>
            </w:pPr>
            <w:r w:rsidRPr="00F86F9E">
              <w:rPr>
                <w:color w:val="000000" w:themeColor="text1"/>
                <w:sz w:val="20"/>
                <w:szCs w:val="20"/>
              </w:rPr>
              <w:t>Grain weight &amp; width</w:t>
            </w:r>
          </w:p>
        </w:tc>
        <w:tc>
          <w:tcPr>
            <w:tcW w:w="1700" w:type="dxa"/>
          </w:tcPr>
          <w:p w14:paraId="4A3F3693" w14:textId="77777777" w:rsidR="001E4973" w:rsidRPr="00F86F9E" w:rsidRDefault="00170421">
            <w:pPr>
              <w:rPr>
                <w:color w:val="000000" w:themeColor="text1"/>
              </w:rPr>
            </w:pPr>
            <w:r w:rsidRPr="00F86F9E">
              <w:rPr>
                <w:color w:val="000000" w:themeColor="text1"/>
                <w:sz w:val="20"/>
                <w:szCs w:val="20"/>
              </w:rPr>
              <w:t>CNN-based seed morphology</w:t>
            </w:r>
          </w:p>
        </w:tc>
        <w:tc>
          <w:tcPr>
            <w:tcW w:w="1660" w:type="dxa"/>
          </w:tcPr>
          <w:p w14:paraId="761D7799" w14:textId="09D18BA2" w:rsidR="001E4973" w:rsidRPr="00F86F9E" w:rsidRDefault="00170421">
            <w:pPr>
              <w:rPr>
                <w:color w:val="000000" w:themeColor="text1"/>
              </w:rPr>
            </w:pPr>
            <w:r w:rsidRPr="00F86F9E">
              <w:rPr>
                <w:color w:val="000000" w:themeColor="text1"/>
                <w:sz w:val="20"/>
                <w:szCs w:val="20"/>
              </w:rPr>
              <w:t xml:space="preserve">Weng </w:t>
            </w:r>
            <w:r w:rsidR="00CF20A5" w:rsidRPr="00CF20A5">
              <w:rPr>
                <w:i/>
                <w:iCs/>
                <w:color w:val="000000" w:themeColor="text1"/>
                <w:sz w:val="20"/>
                <w:szCs w:val="20"/>
              </w:rPr>
              <w:t>et al</w:t>
            </w:r>
            <w:r w:rsidRPr="00F86F9E">
              <w:rPr>
                <w:color w:val="000000" w:themeColor="text1"/>
                <w:sz w:val="20"/>
                <w:szCs w:val="20"/>
              </w:rPr>
              <w:t>., 2008</w:t>
            </w:r>
          </w:p>
        </w:tc>
      </w:tr>
      <w:tr w:rsidR="00F86F9E" w:rsidRPr="00F86F9E" w14:paraId="4960D956" w14:textId="77777777" w:rsidTr="0072763D">
        <w:tc>
          <w:tcPr>
            <w:tcW w:w="1800" w:type="dxa"/>
          </w:tcPr>
          <w:p w14:paraId="0F2209B6" w14:textId="77777777" w:rsidR="001E4973" w:rsidRPr="00F86F9E" w:rsidRDefault="00170421">
            <w:pPr>
              <w:rPr>
                <w:color w:val="000000" w:themeColor="text1"/>
              </w:rPr>
            </w:pPr>
            <w:r w:rsidRPr="00F86F9E">
              <w:rPr>
                <w:color w:val="000000" w:themeColor="text1"/>
                <w:sz w:val="20"/>
                <w:szCs w:val="20"/>
              </w:rPr>
              <w:t>Wheat</w:t>
            </w:r>
          </w:p>
        </w:tc>
        <w:tc>
          <w:tcPr>
            <w:tcW w:w="2000" w:type="dxa"/>
          </w:tcPr>
          <w:p w14:paraId="27DB3321" w14:textId="77777777" w:rsidR="001E4973" w:rsidRPr="00F86F9E" w:rsidRDefault="00170421">
            <w:pPr>
              <w:rPr>
                <w:color w:val="000000" w:themeColor="text1"/>
              </w:rPr>
            </w:pPr>
            <w:r w:rsidRPr="00F86F9E">
              <w:rPr>
                <w:color w:val="000000" w:themeColor="text1"/>
                <w:sz w:val="20"/>
                <w:szCs w:val="20"/>
              </w:rPr>
              <w:t>TaGW2</w:t>
            </w:r>
          </w:p>
        </w:tc>
        <w:tc>
          <w:tcPr>
            <w:tcW w:w="2200" w:type="dxa"/>
          </w:tcPr>
          <w:p w14:paraId="1F4552AE" w14:textId="77777777" w:rsidR="001E4973" w:rsidRPr="00F86F9E" w:rsidRDefault="00170421">
            <w:pPr>
              <w:rPr>
                <w:color w:val="000000" w:themeColor="text1"/>
              </w:rPr>
            </w:pPr>
            <w:r w:rsidRPr="00F86F9E">
              <w:rPr>
                <w:color w:val="000000" w:themeColor="text1"/>
                <w:sz w:val="20"/>
                <w:szCs w:val="20"/>
              </w:rPr>
              <w:t>Grain size</w:t>
            </w:r>
          </w:p>
        </w:tc>
        <w:tc>
          <w:tcPr>
            <w:tcW w:w="1700" w:type="dxa"/>
          </w:tcPr>
          <w:p w14:paraId="4181A0F2" w14:textId="77777777" w:rsidR="001E4973" w:rsidRPr="00F86F9E" w:rsidRDefault="00170421">
            <w:pPr>
              <w:rPr>
                <w:color w:val="000000" w:themeColor="text1"/>
              </w:rPr>
            </w:pPr>
            <w:r w:rsidRPr="00F86F9E">
              <w:rPr>
                <w:color w:val="000000" w:themeColor="text1"/>
                <w:sz w:val="20"/>
                <w:szCs w:val="20"/>
              </w:rPr>
              <w:t>DL guide RNA design</w:t>
            </w:r>
          </w:p>
        </w:tc>
        <w:tc>
          <w:tcPr>
            <w:tcW w:w="1660" w:type="dxa"/>
          </w:tcPr>
          <w:p w14:paraId="2508458C" w14:textId="1527E1E7" w:rsidR="001E4973" w:rsidRPr="00F86F9E" w:rsidRDefault="00170421">
            <w:pPr>
              <w:rPr>
                <w:color w:val="000000" w:themeColor="text1"/>
              </w:rPr>
            </w:pPr>
            <w:proofErr w:type="spellStart"/>
            <w:r w:rsidRPr="00F86F9E">
              <w:rPr>
                <w:color w:val="000000" w:themeColor="text1"/>
                <w:sz w:val="20"/>
                <w:szCs w:val="20"/>
              </w:rPr>
              <w:t>Su</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2011</w:t>
            </w:r>
          </w:p>
        </w:tc>
      </w:tr>
      <w:tr w:rsidR="00F86F9E" w:rsidRPr="00F86F9E" w14:paraId="368A0D3E" w14:textId="77777777" w:rsidTr="0072763D">
        <w:tc>
          <w:tcPr>
            <w:tcW w:w="1800" w:type="dxa"/>
          </w:tcPr>
          <w:p w14:paraId="237E8B0A" w14:textId="77777777" w:rsidR="001E4973" w:rsidRPr="00F86F9E" w:rsidRDefault="00170421">
            <w:pPr>
              <w:rPr>
                <w:color w:val="000000" w:themeColor="text1"/>
              </w:rPr>
            </w:pPr>
            <w:r w:rsidRPr="00F86F9E">
              <w:rPr>
                <w:color w:val="000000" w:themeColor="text1"/>
                <w:sz w:val="20"/>
                <w:szCs w:val="20"/>
              </w:rPr>
              <w:t>Maize</w:t>
            </w:r>
          </w:p>
        </w:tc>
        <w:tc>
          <w:tcPr>
            <w:tcW w:w="2000" w:type="dxa"/>
          </w:tcPr>
          <w:p w14:paraId="48A8CD75" w14:textId="77777777" w:rsidR="001E4973" w:rsidRPr="00F86F9E" w:rsidRDefault="00170421">
            <w:pPr>
              <w:rPr>
                <w:color w:val="000000" w:themeColor="text1"/>
              </w:rPr>
            </w:pPr>
            <w:proofErr w:type="spellStart"/>
            <w:r w:rsidRPr="00F86F9E">
              <w:rPr>
                <w:color w:val="000000" w:themeColor="text1"/>
                <w:sz w:val="20"/>
                <w:szCs w:val="20"/>
              </w:rPr>
              <w:t>ZmAL</w:t>
            </w:r>
            <w:proofErr w:type="spellEnd"/>
          </w:p>
        </w:tc>
        <w:tc>
          <w:tcPr>
            <w:tcW w:w="2200" w:type="dxa"/>
          </w:tcPr>
          <w:p w14:paraId="0EDEDEA5" w14:textId="77777777" w:rsidR="001E4973" w:rsidRPr="00F86F9E" w:rsidRDefault="00170421">
            <w:pPr>
              <w:rPr>
                <w:color w:val="000000" w:themeColor="text1"/>
              </w:rPr>
            </w:pPr>
            <w:r w:rsidRPr="00F86F9E">
              <w:rPr>
                <w:color w:val="000000" w:themeColor="text1"/>
                <w:sz w:val="20"/>
                <w:szCs w:val="20"/>
              </w:rPr>
              <w:t>Starch content</w:t>
            </w:r>
          </w:p>
        </w:tc>
        <w:tc>
          <w:tcPr>
            <w:tcW w:w="1700" w:type="dxa"/>
          </w:tcPr>
          <w:p w14:paraId="17100AF4" w14:textId="77777777" w:rsidR="001E4973" w:rsidRPr="00F86F9E" w:rsidRDefault="00170421">
            <w:pPr>
              <w:rPr>
                <w:color w:val="000000" w:themeColor="text1"/>
              </w:rPr>
            </w:pPr>
            <w:r w:rsidRPr="00F86F9E">
              <w:rPr>
                <w:color w:val="000000" w:themeColor="text1"/>
                <w:sz w:val="20"/>
                <w:szCs w:val="20"/>
              </w:rPr>
              <w:t>ML quantitative prediction</w:t>
            </w:r>
          </w:p>
        </w:tc>
        <w:tc>
          <w:tcPr>
            <w:tcW w:w="1660" w:type="dxa"/>
          </w:tcPr>
          <w:p w14:paraId="5D80F028" w14:textId="6F995506" w:rsidR="001E4973" w:rsidRPr="00F86F9E" w:rsidRDefault="00170421">
            <w:pPr>
              <w:rPr>
                <w:color w:val="000000" w:themeColor="text1"/>
              </w:rPr>
            </w:pPr>
            <w:r w:rsidRPr="00F86F9E">
              <w:rPr>
                <w:color w:val="000000" w:themeColor="text1"/>
                <w:sz w:val="20"/>
                <w:szCs w:val="20"/>
              </w:rPr>
              <w:t xml:space="preserve">Zhang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73BAD390" w14:textId="77777777" w:rsidTr="0072763D">
        <w:tc>
          <w:tcPr>
            <w:tcW w:w="1800" w:type="dxa"/>
          </w:tcPr>
          <w:p w14:paraId="692ACDC6" w14:textId="77777777" w:rsidR="001E4973" w:rsidRPr="00F86F9E" w:rsidRDefault="00170421">
            <w:pPr>
              <w:rPr>
                <w:color w:val="000000" w:themeColor="text1"/>
              </w:rPr>
            </w:pPr>
            <w:r w:rsidRPr="00F86F9E">
              <w:rPr>
                <w:color w:val="000000" w:themeColor="text1"/>
                <w:sz w:val="20"/>
                <w:szCs w:val="20"/>
              </w:rPr>
              <w:lastRenderedPageBreak/>
              <w:t>Tomato</w:t>
            </w:r>
          </w:p>
        </w:tc>
        <w:tc>
          <w:tcPr>
            <w:tcW w:w="2000" w:type="dxa"/>
          </w:tcPr>
          <w:p w14:paraId="2A25255C" w14:textId="77777777" w:rsidR="001E4973" w:rsidRPr="00F86F9E" w:rsidRDefault="00170421">
            <w:pPr>
              <w:rPr>
                <w:color w:val="000000" w:themeColor="text1"/>
              </w:rPr>
            </w:pPr>
            <w:r w:rsidRPr="00F86F9E">
              <w:rPr>
                <w:color w:val="000000" w:themeColor="text1"/>
                <w:sz w:val="20"/>
                <w:szCs w:val="20"/>
              </w:rPr>
              <w:t>SICLV3</w:t>
            </w:r>
          </w:p>
        </w:tc>
        <w:tc>
          <w:tcPr>
            <w:tcW w:w="2200" w:type="dxa"/>
          </w:tcPr>
          <w:p w14:paraId="6E16FAA2" w14:textId="77777777" w:rsidR="001E4973" w:rsidRPr="00F86F9E" w:rsidRDefault="00170421">
            <w:pPr>
              <w:rPr>
                <w:color w:val="000000" w:themeColor="text1"/>
              </w:rPr>
            </w:pPr>
            <w:r w:rsidRPr="00F86F9E">
              <w:rPr>
                <w:color w:val="000000" w:themeColor="text1"/>
                <w:sz w:val="20"/>
                <w:szCs w:val="20"/>
              </w:rPr>
              <w:t>Fruit size</w:t>
            </w:r>
          </w:p>
        </w:tc>
        <w:tc>
          <w:tcPr>
            <w:tcW w:w="1700" w:type="dxa"/>
          </w:tcPr>
          <w:p w14:paraId="029A0C3F" w14:textId="77777777" w:rsidR="001E4973" w:rsidRPr="00F86F9E" w:rsidRDefault="00170421">
            <w:pPr>
              <w:rPr>
                <w:color w:val="000000" w:themeColor="text1"/>
              </w:rPr>
            </w:pPr>
            <w:r w:rsidRPr="00F86F9E">
              <w:rPr>
                <w:color w:val="000000" w:themeColor="text1"/>
                <w:sz w:val="20"/>
                <w:szCs w:val="20"/>
              </w:rPr>
              <w:t>RNN developmental model</w:t>
            </w:r>
          </w:p>
        </w:tc>
        <w:tc>
          <w:tcPr>
            <w:tcW w:w="1660" w:type="dxa"/>
          </w:tcPr>
          <w:p w14:paraId="6AD475DF" w14:textId="39351D2E" w:rsidR="001E4973" w:rsidRPr="00F86F9E" w:rsidRDefault="00170421">
            <w:pPr>
              <w:rPr>
                <w:color w:val="000000" w:themeColor="text1"/>
              </w:rPr>
            </w:pPr>
            <w:r w:rsidRPr="00F86F9E">
              <w:rPr>
                <w:color w:val="000000" w:themeColor="text1"/>
                <w:sz w:val="20"/>
                <w:szCs w:val="20"/>
              </w:rPr>
              <w:t xml:space="preserve">Rodríguez-Leal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59922D80" w14:textId="77777777" w:rsidTr="0072763D">
        <w:tc>
          <w:tcPr>
            <w:tcW w:w="1800" w:type="dxa"/>
          </w:tcPr>
          <w:p w14:paraId="61532D47" w14:textId="77777777" w:rsidR="001E4973" w:rsidRPr="00F86F9E" w:rsidRDefault="00170421">
            <w:pPr>
              <w:rPr>
                <w:color w:val="000000" w:themeColor="text1"/>
              </w:rPr>
            </w:pPr>
            <w:r w:rsidRPr="00F86F9E">
              <w:rPr>
                <w:color w:val="000000" w:themeColor="text1"/>
                <w:sz w:val="20"/>
                <w:szCs w:val="20"/>
              </w:rPr>
              <w:t>Soybean</w:t>
            </w:r>
          </w:p>
        </w:tc>
        <w:tc>
          <w:tcPr>
            <w:tcW w:w="2000" w:type="dxa"/>
          </w:tcPr>
          <w:p w14:paraId="4EFCE145" w14:textId="77777777" w:rsidR="001E4973" w:rsidRPr="00F86F9E" w:rsidRDefault="00170421">
            <w:pPr>
              <w:rPr>
                <w:color w:val="000000" w:themeColor="text1"/>
              </w:rPr>
            </w:pPr>
            <w:r w:rsidRPr="00F86F9E">
              <w:rPr>
                <w:color w:val="000000" w:themeColor="text1"/>
                <w:sz w:val="20"/>
                <w:szCs w:val="20"/>
              </w:rPr>
              <w:t>GmFT2a</w:t>
            </w:r>
          </w:p>
        </w:tc>
        <w:tc>
          <w:tcPr>
            <w:tcW w:w="2200" w:type="dxa"/>
          </w:tcPr>
          <w:p w14:paraId="565B0428" w14:textId="77777777" w:rsidR="001E4973" w:rsidRPr="00F86F9E" w:rsidRDefault="00170421">
            <w:pPr>
              <w:rPr>
                <w:color w:val="000000" w:themeColor="text1"/>
              </w:rPr>
            </w:pPr>
            <w:r w:rsidRPr="00F86F9E">
              <w:rPr>
                <w:color w:val="000000" w:themeColor="text1"/>
                <w:sz w:val="20"/>
                <w:szCs w:val="20"/>
              </w:rPr>
              <w:t>Flowering time</w:t>
            </w:r>
          </w:p>
        </w:tc>
        <w:tc>
          <w:tcPr>
            <w:tcW w:w="1700" w:type="dxa"/>
          </w:tcPr>
          <w:p w14:paraId="7CBB688A" w14:textId="77777777" w:rsidR="001E4973" w:rsidRPr="00F86F9E" w:rsidRDefault="00170421">
            <w:pPr>
              <w:rPr>
                <w:color w:val="000000" w:themeColor="text1"/>
              </w:rPr>
            </w:pPr>
            <w:r w:rsidRPr="00F86F9E">
              <w:rPr>
                <w:color w:val="000000" w:themeColor="text1"/>
                <w:sz w:val="20"/>
                <w:szCs w:val="20"/>
              </w:rPr>
              <w:t>Bayesian network model</w:t>
            </w:r>
          </w:p>
        </w:tc>
        <w:tc>
          <w:tcPr>
            <w:tcW w:w="1660" w:type="dxa"/>
          </w:tcPr>
          <w:p w14:paraId="3CA6798F" w14:textId="22C167DB" w:rsidR="001E4973" w:rsidRPr="00F86F9E" w:rsidRDefault="00170421">
            <w:pPr>
              <w:rPr>
                <w:color w:val="000000" w:themeColor="text1"/>
              </w:rPr>
            </w:pPr>
            <w:r w:rsidRPr="00F86F9E">
              <w:rPr>
                <w:color w:val="000000" w:themeColor="text1"/>
                <w:sz w:val="20"/>
                <w:szCs w:val="20"/>
              </w:rPr>
              <w:t xml:space="preserve">Takeshima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34E7F877" w14:textId="77777777" w:rsidTr="0072763D">
        <w:tc>
          <w:tcPr>
            <w:tcW w:w="1800" w:type="dxa"/>
          </w:tcPr>
          <w:p w14:paraId="57E87D70" w14:textId="77777777" w:rsidR="001E4973" w:rsidRPr="00F86F9E" w:rsidRDefault="00170421">
            <w:pPr>
              <w:rPr>
                <w:color w:val="000000" w:themeColor="text1"/>
              </w:rPr>
            </w:pPr>
            <w:r w:rsidRPr="00F86F9E">
              <w:rPr>
                <w:color w:val="000000" w:themeColor="text1"/>
                <w:sz w:val="20"/>
                <w:szCs w:val="20"/>
              </w:rPr>
              <w:t>Potato</w:t>
            </w:r>
          </w:p>
        </w:tc>
        <w:tc>
          <w:tcPr>
            <w:tcW w:w="2000" w:type="dxa"/>
          </w:tcPr>
          <w:p w14:paraId="0D2107C9" w14:textId="77777777" w:rsidR="001E4973" w:rsidRPr="00F86F9E" w:rsidRDefault="00170421">
            <w:pPr>
              <w:rPr>
                <w:color w:val="000000" w:themeColor="text1"/>
              </w:rPr>
            </w:pPr>
            <w:proofErr w:type="spellStart"/>
            <w:r w:rsidRPr="00F86F9E">
              <w:rPr>
                <w:color w:val="000000" w:themeColor="text1"/>
                <w:sz w:val="20"/>
                <w:szCs w:val="20"/>
              </w:rPr>
              <w:t>StGBSS</w:t>
            </w:r>
            <w:proofErr w:type="spellEnd"/>
          </w:p>
        </w:tc>
        <w:tc>
          <w:tcPr>
            <w:tcW w:w="2200" w:type="dxa"/>
          </w:tcPr>
          <w:p w14:paraId="4734522E" w14:textId="77777777" w:rsidR="001E4973" w:rsidRPr="00F86F9E" w:rsidRDefault="00170421">
            <w:pPr>
              <w:rPr>
                <w:color w:val="000000" w:themeColor="text1"/>
              </w:rPr>
            </w:pPr>
            <w:r w:rsidRPr="00F86F9E">
              <w:rPr>
                <w:color w:val="000000" w:themeColor="text1"/>
                <w:sz w:val="20"/>
                <w:szCs w:val="20"/>
              </w:rPr>
              <w:t>Starch composition</w:t>
            </w:r>
          </w:p>
        </w:tc>
        <w:tc>
          <w:tcPr>
            <w:tcW w:w="1700" w:type="dxa"/>
          </w:tcPr>
          <w:p w14:paraId="3D419656" w14:textId="77777777" w:rsidR="001E4973" w:rsidRPr="00F86F9E" w:rsidRDefault="00170421">
            <w:pPr>
              <w:rPr>
                <w:color w:val="000000" w:themeColor="text1"/>
              </w:rPr>
            </w:pPr>
            <w:r w:rsidRPr="00F86F9E">
              <w:rPr>
                <w:color w:val="000000" w:themeColor="text1"/>
                <w:sz w:val="20"/>
                <w:szCs w:val="20"/>
              </w:rPr>
              <w:t>RF feature selection</w:t>
            </w:r>
          </w:p>
        </w:tc>
        <w:tc>
          <w:tcPr>
            <w:tcW w:w="1660" w:type="dxa"/>
          </w:tcPr>
          <w:p w14:paraId="1831431A" w14:textId="29B8A9BE" w:rsidR="001E4973" w:rsidRPr="00F86F9E" w:rsidRDefault="00170421">
            <w:pPr>
              <w:rPr>
                <w:color w:val="000000" w:themeColor="text1"/>
              </w:rPr>
            </w:pPr>
            <w:r w:rsidRPr="00F86F9E">
              <w:rPr>
                <w:color w:val="000000" w:themeColor="text1"/>
                <w:sz w:val="20"/>
                <w:szCs w:val="20"/>
              </w:rPr>
              <w:t xml:space="preserve">Andersson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4E42C7E6" w14:textId="77777777" w:rsidTr="0072763D">
        <w:tc>
          <w:tcPr>
            <w:tcW w:w="1800" w:type="dxa"/>
          </w:tcPr>
          <w:p w14:paraId="4233B3AA" w14:textId="77777777" w:rsidR="001E4973" w:rsidRPr="00F86F9E" w:rsidRDefault="00170421">
            <w:pPr>
              <w:rPr>
                <w:color w:val="000000" w:themeColor="text1"/>
              </w:rPr>
            </w:pPr>
            <w:r w:rsidRPr="00F86F9E">
              <w:rPr>
                <w:color w:val="000000" w:themeColor="text1"/>
                <w:sz w:val="20"/>
                <w:szCs w:val="20"/>
              </w:rPr>
              <w:t>Cassava</w:t>
            </w:r>
          </w:p>
        </w:tc>
        <w:tc>
          <w:tcPr>
            <w:tcW w:w="2000" w:type="dxa"/>
          </w:tcPr>
          <w:p w14:paraId="548050B5" w14:textId="77777777" w:rsidR="001E4973" w:rsidRPr="00F86F9E" w:rsidRDefault="00170421">
            <w:pPr>
              <w:rPr>
                <w:color w:val="000000" w:themeColor="text1"/>
              </w:rPr>
            </w:pPr>
            <w:r w:rsidRPr="00F86F9E">
              <w:rPr>
                <w:color w:val="000000" w:themeColor="text1"/>
                <w:sz w:val="20"/>
                <w:szCs w:val="20"/>
              </w:rPr>
              <w:t>MeSUT1</w:t>
            </w:r>
          </w:p>
        </w:tc>
        <w:tc>
          <w:tcPr>
            <w:tcW w:w="2200" w:type="dxa"/>
          </w:tcPr>
          <w:p w14:paraId="59A50253" w14:textId="77777777" w:rsidR="001E4973" w:rsidRPr="00F86F9E" w:rsidRDefault="00170421">
            <w:pPr>
              <w:rPr>
                <w:color w:val="000000" w:themeColor="text1"/>
              </w:rPr>
            </w:pPr>
            <w:r w:rsidRPr="00F86F9E">
              <w:rPr>
                <w:color w:val="000000" w:themeColor="text1"/>
                <w:sz w:val="20"/>
                <w:szCs w:val="20"/>
              </w:rPr>
              <w:t>Sucrose transport</w:t>
            </w:r>
          </w:p>
        </w:tc>
        <w:tc>
          <w:tcPr>
            <w:tcW w:w="1700" w:type="dxa"/>
          </w:tcPr>
          <w:p w14:paraId="2A570A70" w14:textId="77777777" w:rsidR="001E4973" w:rsidRPr="00F86F9E" w:rsidRDefault="00170421">
            <w:pPr>
              <w:rPr>
                <w:color w:val="000000" w:themeColor="text1"/>
              </w:rPr>
            </w:pPr>
            <w:r w:rsidRPr="00F86F9E">
              <w:rPr>
                <w:color w:val="000000" w:themeColor="text1"/>
                <w:sz w:val="20"/>
                <w:szCs w:val="20"/>
              </w:rPr>
              <w:t>NLP literature mining</w:t>
            </w:r>
          </w:p>
        </w:tc>
        <w:tc>
          <w:tcPr>
            <w:tcW w:w="1660" w:type="dxa"/>
          </w:tcPr>
          <w:p w14:paraId="68382DD2" w14:textId="47697E9D" w:rsidR="001E4973" w:rsidRPr="00F86F9E" w:rsidRDefault="00170421">
            <w:pPr>
              <w:rPr>
                <w:color w:val="000000" w:themeColor="text1"/>
              </w:rPr>
            </w:pPr>
            <w:r w:rsidRPr="00F86F9E">
              <w:rPr>
                <w:color w:val="000000" w:themeColor="text1"/>
                <w:sz w:val="20"/>
                <w:szCs w:val="20"/>
              </w:rPr>
              <w:t xml:space="preserve">Bull </w:t>
            </w:r>
            <w:r w:rsidR="00CF20A5" w:rsidRPr="00CF20A5">
              <w:rPr>
                <w:i/>
                <w:iCs/>
                <w:color w:val="000000" w:themeColor="text1"/>
                <w:sz w:val="20"/>
                <w:szCs w:val="20"/>
              </w:rPr>
              <w:t>et al</w:t>
            </w:r>
            <w:r w:rsidRPr="00F86F9E">
              <w:rPr>
                <w:color w:val="000000" w:themeColor="text1"/>
                <w:sz w:val="20"/>
                <w:szCs w:val="20"/>
              </w:rPr>
              <w:t>., 2018</w:t>
            </w:r>
          </w:p>
        </w:tc>
      </w:tr>
    </w:tbl>
    <w:p w14:paraId="72FBB0FF" w14:textId="77777777" w:rsidR="001E4973" w:rsidRPr="00F86F9E" w:rsidRDefault="001E4973">
      <w:pPr>
        <w:spacing w:after="120"/>
        <w:rPr>
          <w:color w:val="000000" w:themeColor="text1"/>
        </w:rPr>
      </w:pPr>
    </w:p>
    <w:p w14:paraId="3CC21CCD" w14:textId="77777777" w:rsidR="001E4973" w:rsidRPr="00F86F9E" w:rsidRDefault="00170421">
      <w:pPr>
        <w:pStyle w:val="Heading1"/>
        <w:rPr>
          <w:color w:val="000000" w:themeColor="text1"/>
        </w:rPr>
      </w:pPr>
      <w:r w:rsidRPr="00F86F9E">
        <w:rPr>
          <w:color w:val="000000" w:themeColor="text1"/>
        </w:rPr>
        <w:t>7. Applications of Smart Breeding in Crop Improvement</w:t>
      </w:r>
    </w:p>
    <w:p w14:paraId="7DD7A92E" w14:textId="77777777" w:rsidR="001E4973" w:rsidRPr="00F86F9E" w:rsidRDefault="00170421">
      <w:pPr>
        <w:pStyle w:val="Heading2"/>
        <w:rPr>
          <w:color w:val="000000" w:themeColor="text1"/>
        </w:rPr>
      </w:pPr>
      <w:r w:rsidRPr="00F86F9E">
        <w:rPr>
          <w:color w:val="000000" w:themeColor="text1"/>
          <w:sz w:val="26"/>
          <w:szCs w:val="26"/>
        </w:rPr>
        <w:t>7.1 Yield and Adaptation</w:t>
      </w:r>
    </w:p>
    <w:p w14:paraId="6A611027" w14:textId="27FCCC12" w:rsidR="0072763D" w:rsidRPr="0072763D" w:rsidRDefault="0072763D" w:rsidP="0072763D">
      <w:pPr>
        <w:spacing w:after="160" w:line="360" w:lineRule="auto"/>
        <w:jc w:val="both"/>
        <w:rPr>
          <w:color w:val="000000" w:themeColor="text1"/>
        </w:rPr>
      </w:pPr>
      <w:r w:rsidRPr="0072763D">
        <w:rPr>
          <w:color w:val="000000" w:themeColor="text1"/>
        </w:rPr>
        <w:t>Improvement in yield is always the main goal of breeding programs, but predicting this trait is still among the most challenging tasks in quantitative genetics. Improvement through genomic selection in yield was observed for wheat, maize</w:t>
      </w:r>
      <w:r w:rsidR="00CF20A5">
        <w:rPr>
          <w:color w:val="000000" w:themeColor="text1"/>
        </w:rPr>
        <w:t xml:space="preserve"> and</w:t>
      </w:r>
      <w:r w:rsidRPr="0072763D">
        <w:rPr>
          <w:color w:val="000000" w:themeColor="text1"/>
        </w:rPr>
        <w:t xml:space="preserve"> sorghum, which exceeded that obtained using phenotypic selection approaches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2001;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xml:space="preserve">, 2016). Combining airborne HTP observations into the genomic model has helped to enhance the prediction of crop yield as a result of capturing their response to environmental conditions (Crain </w:t>
      </w:r>
      <w:r w:rsidR="00CF20A5" w:rsidRPr="00CF20A5">
        <w:rPr>
          <w:i/>
          <w:iCs/>
          <w:color w:val="000000" w:themeColor="text1"/>
        </w:rPr>
        <w:t>et al</w:t>
      </w:r>
      <w:r w:rsidRPr="0072763D">
        <w:rPr>
          <w:color w:val="000000" w:themeColor="text1"/>
        </w:rPr>
        <w:t xml:space="preserve">., 2018; Krause </w:t>
      </w:r>
      <w:r w:rsidR="00CF20A5" w:rsidRPr="00CF20A5">
        <w:rPr>
          <w:i/>
          <w:iCs/>
          <w:color w:val="000000" w:themeColor="text1"/>
        </w:rPr>
        <w:t>et al</w:t>
      </w:r>
      <w:r w:rsidRPr="0072763D">
        <w:rPr>
          <w:color w:val="000000" w:themeColor="text1"/>
        </w:rPr>
        <w:t xml:space="preserve">., 2020). In addition, deep learning methods using time series UAV-based crop canopy </w:t>
      </w:r>
      <w:proofErr w:type="spellStart"/>
      <w:r w:rsidRPr="0072763D">
        <w:rPr>
          <w:color w:val="000000" w:themeColor="text1"/>
        </w:rPr>
        <w:t>reflectances</w:t>
      </w:r>
      <w:proofErr w:type="spellEnd"/>
      <w:r w:rsidRPr="0072763D">
        <w:rPr>
          <w:color w:val="000000" w:themeColor="text1"/>
        </w:rPr>
        <w:t xml:space="preserve"> showed correlation coefficients greater than 0.85 in comparison with ground observations of grain yields of maize (Liu </w:t>
      </w:r>
      <w:r w:rsidR="00CF20A5" w:rsidRPr="00CF20A5">
        <w:rPr>
          <w:i/>
          <w:iCs/>
          <w:color w:val="000000" w:themeColor="text1"/>
        </w:rPr>
        <w:t>et al</w:t>
      </w:r>
      <w:r w:rsidRPr="0072763D">
        <w:rPr>
          <w:color w:val="000000" w:themeColor="text1"/>
        </w:rPr>
        <w:t>., 2019).</w:t>
      </w:r>
    </w:p>
    <w:p w14:paraId="7FD96484" w14:textId="02289BB2" w:rsidR="001E4973" w:rsidRPr="00F86F9E" w:rsidRDefault="0072763D" w:rsidP="0072763D">
      <w:pPr>
        <w:spacing w:after="160" w:line="360" w:lineRule="auto"/>
        <w:jc w:val="both"/>
        <w:rPr>
          <w:color w:val="000000" w:themeColor="text1"/>
        </w:rPr>
      </w:pPr>
      <w:r w:rsidRPr="0072763D">
        <w:rPr>
          <w:color w:val="000000" w:themeColor="text1"/>
        </w:rPr>
        <w:t>Breeding for climatic adaptation implies breeding for tolerance to high temperatures, drought, waterlogging</w:t>
      </w:r>
      <w:r w:rsidR="00CF20A5">
        <w:rPr>
          <w:color w:val="000000" w:themeColor="text1"/>
        </w:rPr>
        <w:t xml:space="preserve"> and</w:t>
      </w:r>
      <w:r w:rsidRPr="0072763D">
        <w:rPr>
          <w:color w:val="000000" w:themeColor="text1"/>
        </w:rPr>
        <w:t xml:space="preserve"> other abiotic stresses expected to increase in frequency in the future climates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Lobell &amp; </w:t>
      </w:r>
      <w:proofErr w:type="spellStart"/>
      <w:r w:rsidRPr="0072763D">
        <w:rPr>
          <w:color w:val="000000" w:themeColor="text1"/>
        </w:rPr>
        <w:t>Gourdji</w:t>
      </w:r>
      <w:proofErr w:type="spellEnd"/>
      <w:r w:rsidRPr="0072763D">
        <w:rPr>
          <w:color w:val="000000" w:themeColor="text1"/>
        </w:rPr>
        <w:t xml:space="preserve">, 2012). </w:t>
      </w:r>
      <w:proofErr w:type="spellStart"/>
      <w:r w:rsidRPr="0072763D">
        <w:rPr>
          <w:color w:val="000000" w:themeColor="text1"/>
        </w:rPr>
        <w:t>Enviromic</w:t>
      </w:r>
      <w:proofErr w:type="spellEnd"/>
      <w:r w:rsidRPr="0072763D">
        <w:rPr>
          <w:color w:val="000000" w:themeColor="text1"/>
        </w:rPr>
        <w:t xml:space="preserve"> covariates within GS models allow selecting genotypes that perform well across various environments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2014). Simulation experiments with digital twins show that a future projection-based selection of climate-adaptive genotypes will lead to extra</w:t>
      </w:r>
      <w:r w:rsidRPr="00F86F9E">
        <w:rPr>
          <w:color w:val="000000" w:themeColor="text1"/>
        </w:rPr>
        <w:t xml:space="preserve"> genetic gain relative to conventional adaptation breeding (</w:t>
      </w:r>
      <w:proofErr w:type="spellStart"/>
      <w:r w:rsidRPr="00F86F9E">
        <w:rPr>
          <w:i/>
          <w:iCs/>
          <w:color w:val="000000" w:themeColor="text1"/>
        </w:rPr>
        <w:t>Priesack</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2006</w:t>
      </w:r>
      <w:r w:rsidRPr="00F86F9E">
        <w:rPr>
          <w:color w:val="000000" w:themeColor="text1"/>
        </w:rPr>
        <w:t>).</w:t>
      </w:r>
    </w:p>
    <w:p w14:paraId="51F219FB" w14:textId="77777777" w:rsidR="001E4973" w:rsidRPr="00F86F9E" w:rsidRDefault="00170421">
      <w:pPr>
        <w:pStyle w:val="Heading2"/>
        <w:rPr>
          <w:color w:val="000000" w:themeColor="text1"/>
        </w:rPr>
      </w:pPr>
      <w:r w:rsidRPr="00F86F9E">
        <w:rPr>
          <w:color w:val="000000" w:themeColor="text1"/>
          <w:sz w:val="26"/>
          <w:szCs w:val="26"/>
        </w:rPr>
        <w:t>7.2 Nutritional Quality and Food Security</w:t>
      </w:r>
    </w:p>
    <w:p w14:paraId="4FDBA01A" w14:textId="5DCC1F09" w:rsidR="001E4973" w:rsidRPr="00F86F9E" w:rsidRDefault="0072763D">
      <w:pPr>
        <w:spacing w:after="160" w:line="360" w:lineRule="auto"/>
        <w:jc w:val="both"/>
        <w:rPr>
          <w:color w:val="000000" w:themeColor="text1"/>
        </w:rPr>
      </w:pPr>
      <w:r w:rsidRPr="0072763D">
        <w:rPr>
          <w:color w:val="000000" w:themeColor="text1"/>
        </w:rPr>
        <w:t>Other than yield, quality traits of the staples are also an essential component that influences food and nutrition security around the globe. AI-aided omics-based approaches have revealed genetic architectures for various quality traits, such as protein content in grains, mineral content (iron and zinc)</w:t>
      </w:r>
      <w:r w:rsidR="00CF20A5">
        <w:rPr>
          <w:color w:val="000000" w:themeColor="text1"/>
        </w:rPr>
        <w:t xml:space="preserve"> and</w:t>
      </w:r>
      <w:r w:rsidRPr="0072763D">
        <w:rPr>
          <w:color w:val="000000" w:themeColor="text1"/>
        </w:rPr>
        <w:t xml:space="preserve"> vitamin precursors (Varshney </w:t>
      </w:r>
      <w:r w:rsidR="00CF20A5" w:rsidRPr="00CF20A5">
        <w:rPr>
          <w:i/>
          <w:iCs/>
          <w:color w:val="000000" w:themeColor="text1"/>
        </w:rPr>
        <w:t>et al</w:t>
      </w:r>
      <w:r w:rsidRPr="0072763D">
        <w:rPr>
          <w:color w:val="000000" w:themeColor="text1"/>
        </w:rPr>
        <w:t xml:space="preserve">., 2021; Varshney </w:t>
      </w:r>
      <w:r w:rsidR="00CF20A5" w:rsidRPr="00CF20A5">
        <w:rPr>
          <w:i/>
          <w:iCs/>
          <w:color w:val="000000" w:themeColor="text1"/>
        </w:rPr>
        <w:t>et al</w:t>
      </w:r>
      <w:r w:rsidRPr="0072763D">
        <w:rPr>
          <w:color w:val="000000" w:themeColor="text1"/>
        </w:rPr>
        <w:t xml:space="preserve">., 2005). CRISPR-based editing </w:t>
      </w:r>
      <w:r w:rsidRPr="0072763D">
        <w:rPr>
          <w:color w:val="000000" w:themeColor="text1"/>
        </w:rPr>
        <w:lastRenderedPageBreak/>
        <w:t xml:space="preserve">using metabolic network models has allowed simultaneous enhancement of various quality traits, for instance, increasing grain iron concentration but reducing the amount of phytic acid in rice (Zhang </w:t>
      </w:r>
      <w:r w:rsidR="00CF20A5" w:rsidRPr="00CF20A5">
        <w:rPr>
          <w:i/>
          <w:iCs/>
          <w:color w:val="000000" w:themeColor="text1"/>
        </w:rPr>
        <w:t>et al</w:t>
      </w:r>
      <w:r w:rsidRPr="0072763D">
        <w:rPr>
          <w:color w:val="000000" w:themeColor="text1"/>
        </w:rPr>
        <w:t>., 2018).</w:t>
      </w:r>
    </w:p>
    <w:p w14:paraId="3799F131" w14:textId="77777777" w:rsidR="001E4973" w:rsidRPr="00F86F9E" w:rsidRDefault="00170421">
      <w:pPr>
        <w:pStyle w:val="Heading2"/>
        <w:rPr>
          <w:color w:val="000000" w:themeColor="text1"/>
        </w:rPr>
      </w:pPr>
      <w:r w:rsidRPr="00F86F9E">
        <w:rPr>
          <w:color w:val="000000" w:themeColor="text1"/>
          <w:sz w:val="26"/>
          <w:szCs w:val="26"/>
        </w:rPr>
        <w:t>7.3 Disease and Pest Resistance</w:t>
      </w:r>
    </w:p>
    <w:p w14:paraId="27C6C649" w14:textId="18B49229" w:rsidR="001E4973" w:rsidRPr="00F86F9E" w:rsidRDefault="0072763D">
      <w:pPr>
        <w:spacing w:after="160" w:line="360" w:lineRule="auto"/>
        <w:jc w:val="both"/>
        <w:rPr>
          <w:color w:val="000000" w:themeColor="text1"/>
        </w:rPr>
      </w:pPr>
      <w:r w:rsidRPr="0072763D">
        <w:rPr>
          <w:color w:val="000000" w:themeColor="text1"/>
        </w:rPr>
        <w:t>Diseases affect between 20% and 40% of annual global crop yields, where fungi, bacteria</w:t>
      </w:r>
      <w:r w:rsidR="00CF20A5">
        <w:rPr>
          <w:color w:val="000000" w:themeColor="text1"/>
        </w:rPr>
        <w:t xml:space="preserve"> and</w:t>
      </w:r>
      <w:r w:rsidRPr="0072763D">
        <w:rPr>
          <w:color w:val="000000" w:themeColor="text1"/>
        </w:rPr>
        <w:t xml:space="preserve"> viruses are the major pathogens (FAO, 2021). Artificial intelligence-enabled pipelines to identify lesion symptoms of diseases have expert precision and enable the fast identification of diseased plant parts at network-wide trials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w:t>
      </w:r>
      <w:proofErr w:type="spellStart"/>
      <w:r w:rsidRPr="0072763D">
        <w:rPr>
          <w:color w:val="000000" w:themeColor="text1"/>
        </w:rPr>
        <w:t>Zarco</w:t>
      </w:r>
      <w:proofErr w:type="spellEnd"/>
      <w:r w:rsidRPr="0072763D">
        <w:rPr>
          <w:color w:val="000000" w:themeColor="text1"/>
        </w:rPr>
        <w:t xml:space="preserve">-Tejada </w:t>
      </w:r>
      <w:r w:rsidR="00CF20A5" w:rsidRPr="00CF20A5">
        <w:rPr>
          <w:i/>
          <w:iCs/>
          <w:color w:val="000000" w:themeColor="text1"/>
        </w:rPr>
        <w:t>et al</w:t>
      </w:r>
      <w:r w:rsidRPr="0072763D">
        <w:rPr>
          <w:color w:val="000000" w:themeColor="text1"/>
        </w:rPr>
        <w:t>., 2018). Similarly, genomic breeding pipelines that include genotypes of resistance genes fast track breeding for resistance (</w:t>
      </w:r>
      <w:proofErr w:type="spellStart"/>
      <w:r w:rsidRPr="0072763D">
        <w:rPr>
          <w:color w:val="000000" w:themeColor="text1"/>
        </w:rPr>
        <w:t>Abbai</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2019; Li </w:t>
      </w:r>
      <w:r w:rsidR="00CF20A5" w:rsidRPr="00CF20A5">
        <w:rPr>
          <w:i/>
          <w:iCs/>
          <w:color w:val="000000" w:themeColor="text1"/>
        </w:rPr>
        <w:t>et al</w:t>
      </w:r>
      <w:r w:rsidRPr="0072763D">
        <w:rPr>
          <w:color w:val="000000" w:themeColor="text1"/>
        </w:rPr>
        <w:t xml:space="preserve">., 2018). A third strategy to combat diseases involves the use of AI-enabled CRISPR/Cas editing of susceptibility genes, such as the creation of wheat resistance to powdery mildew via editing of TaEDR1 (Zhang </w:t>
      </w:r>
      <w:r w:rsidR="00CF20A5" w:rsidRPr="00CF20A5">
        <w:rPr>
          <w:i/>
          <w:iCs/>
          <w:color w:val="000000" w:themeColor="text1"/>
        </w:rPr>
        <w:t>et al</w:t>
      </w:r>
      <w:r w:rsidRPr="0072763D">
        <w:rPr>
          <w:color w:val="000000" w:themeColor="text1"/>
        </w:rPr>
        <w:t>., 2017).</w:t>
      </w:r>
    </w:p>
    <w:p w14:paraId="0FB19E10" w14:textId="77777777" w:rsidR="001E4973" w:rsidRPr="00F86F9E" w:rsidRDefault="001E4973">
      <w:pPr>
        <w:spacing w:after="120"/>
        <w:rPr>
          <w:color w:val="000000" w:themeColor="text1"/>
        </w:rPr>
      </w:pPr>
    </w:p>
    <w:p w14:paraId="2C09807D" w14:textId="77777777" w:rsidR="001E4973" w:rsidRPr="00F86F9E" w:rsidRDefault="00170421">
      <w:pPr>
        <w:pStyle w:val="Heading1"/>
        <w:rPr>
          <w:color w:val="000000" w:themeColor="text1"/>
        </w:rPr>
      </w:pPr>
      <w:r w:rsidRPr="00F86F9E">
        <w:rPr>
          <w:color w:val="000000" w:themeColor="text1"/>
        </w:rPr>
        <w:t>8. Challenges and Limitations</w:t>
      </w:r>
    </w:p>
    <w:p w14:paraId="0393097D" w14:textId="77777777" w:rsidR="001E4973" w:rsidRPr="00F86F9E" w:rsidRDefault="00170421">
      <w:pPr>
        <w:pStyle w:val="Heading2"/>
        <w:rPr>
          <w:color w:val="000000" w:themeColor="text1"/>
        </w:rPr>
      </w:pPr>
      <w:r w:rsidRPr="00F86F9E">
        <w:rPr>
          <w:color w:val="000000" w:themeColor="text1"/>
          <w:sz w:val="26"/>
          <w:szCs w:val="26"/>
        </w:rPr>
        <w:t>8.1 Data Quality and Standardization</w:t>
      </w:r>
    </w:p>
    <w:p w14:paraId="3ADFBE3A" w14:textId="63CEBE41" w:rsidR="001E4973" w:rsidRPr="00F86F9E" w:rsidRDefault="0072763D">
      <w:pPr>
        <w:spacing w:after="160" w:line="360" w:lineRule="auto"/>
        <w:jc w:val="both"/>
        <w:rPr>
          <w:color w:val="000000" w:themeColor="text1"/>
        </w:rPr>
      </w:pPr>
      <w:r w:rsidRPr="0072763D">
        <w:rPr>
          <w:color w:val="000000" w:themeColor="text1"/>
        </w:rPr>
        <w:t>The efficacy of applying AI in smart breeding is inherently limited by the quality of data used. Data collected under different programs, laboratory settings</w:t>
      </w:r>
      <w:r w:rsidR="00CF20A5">
        <w:rPr>
          <w:color w:val="000000" w:themeColor="text1"/>
        </w:rPr>
        <w:t xml:space="preserve"> and</w:t>
      </w:r>
      <w:r w:rsidRPr="0072763D">
        <w:rPr>
          <w:color w:val="000000" w:themeColor="text1"/>
        </w:rPr>
        <w:t xml:space="preserve"> years often possess bias resulting from disparities in the experimental set-up, genomic and phenotypic technologies used</w:t>
      </w:r>
      <w:r w:rsidR="00CF20A5">
        <w:rPr>
          <w:color w:val="000000" w:themeColor="text1"/>
        </w:rPr>
        <w:t xml:space="preserve"> and</w:t>
      </w:r>
      <w:r w:rsidRPr="0072763D">
        <w:rPr>
          <w:color w:val="000000" w:themeColor="text1"/>
        </w:rPr>
        <w:t xml:space="preserve"> environmental conditions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xml:space="preserve">, 2016; Xu </w:t>
      </w:r>
      <w:r w:rsidR="00CF20A5" w:rsidRPr="00CF20A5">
        <w:rPr>
          <w:i/>
          <w:iCs/>
          <w:color w:val="000000" w:themeColor="text1"/>
        </w:rPr>
        <w:t>et al</w:t>
      </w:r>
      <w:r w:rsidRPr="0072763D">
        <w:rPr>
          <w:color w:val="000000" w:themeColor="text1"/>
        </w:rPr>
        <w:t>., 2020). The lack of common standards and ontology systems in data management, even after the establishment of frameworks like the Breeding API (</w:t>
      </w:r>
      <w:proofErr w:type="spellStart"/>
      <w:r w:rsidRPr="0072763D">
        <w:rPr>
          <w:color w:val="000000" w:themeColor="text1"/>
        </w:rPr>
        <w:t>BrAPI</w:t>
      </w:r>
      <w:proofErr w:type="spellEnd"/>
      <w:r w:rsidRPr="0072763D">
        <w:rPr>
          <w:color w:val="000000" w:themeColor="text1"/>
        </w:rPr>
        <w:t>), MIAPPE</w:t>
      </w:r>
      <w:r w:rsidR="00CF20A5">
        <w:rPr>
          <w:color w:val="000000" w:themeColor="text1"/>
        </w:rPr>
        <w:t xml:space="preserve"> and</w:t>
      </w:r>
      <w:r w:rsidRPr="0072763D">
        <w:rPr>
          <w:color w:val="000000" w:themeColor="text1"/>
        </w:rPr>
        <w:t xml:space="preserve"> Crop Ontology, limits efforts at integrating data for training sophisticated AI models (Jung </w:t>
      </w:r>
      <w:r w:rsidR="00CF20A5" w:rsidRPr="00CF20A5">
        <w:rPr>
          <w:i/>
          <w:iCs/>
          <w:color w:val="000000" w:themeColor="text1"/>
        </w:rPr>
        <w:t>et al</w:t>
      </w:r>
      <w:r w:rsidRPr="0072763D">
        <w:rPr>
          <w:color w:val="000000" w:themeColor="text1"/>
        </w:rPr>
        <w:t xml:space="preserve">., 2019;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2016).</w:t>
      </w:r>
    </w:p>
    <w:p w14:paraId="34918B4A" w14:textId="77777777" w:rsidR="001E4973" w:rsidRPr="00F86F9E" w:rsidRDefault="00170421">
      <w:pPr>
        <w:pStyle w:val="Heading2"/>
        <w:rPr>
          <w:color w:val="000000" w:themeColor="text1"/>
        </w:rPr>
      </w:pPr>
      <w:r w:rsidRPr="00F86F9E">
        <w:rPr>
          <w:color w:val="000000" w:themeColor="text1"/>
          <w:sz w:val="26"/>
          <w:szCs w:val="26"/>
        </w:rPr>
        <w:t>8.2 Interpretability and Biological Validity</w:t>
      </w:r>
    </w:p>
    <w:p w14:paraId="4E997604" w14:textId="13B15F21" w:rsidR="001E4973" w:rsidRPr="00F86F9E" w:rsidRDefault="0072763D">
      <w:pPr>
        <w:spacing w:after="160" w:line="360" w:lineRule="auto"/>
        <w:jc w:val="both"/>
        <w:rPr>
          <w:color w:val="000000" w:themeColor="text1"/>
        </w:rPr>
      </w:pPr>
      <w:r w:rsidRPr="0072763D">
        <w:rPr>
          <w:color w:val="000000" w:themeColor="text1"/>
        </w:rPr>
        <w:t>Although deep learning models have impressive predictive performance, they are often accused of being 'black boxes', lacking transparency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2015;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 For plant breeding applications, which need to ensure regulatory acceptance of genome edited crops, detect causative loci</w:t>
      </w:r>
      <w:r w:rsidR="00CF20A5">
        <w:rPr>
          <w:color w:val="000000" w:themeColor="text1"/>
        </w:rPr>
        <w:t xml:space="preserve"> and</w:t>
      </w:r>
      <w:r w:rsidRPr="0072763D">
        <w:rPr>
          <w:color w:val="000000" w:themeColor="text1"/>
        </w:rPr>
        <w:t xml:space="preserve"> establish credibility among breeders, interpretability becomes crucial for AI. Post hoc explanation tools such as gradient-based attribution techniques (SHAP, Integrated Gradients) and attention techniques can be used to explain deep learning model </w:t>
      </w:r>
      <w:r w:rsidRPr="0072763D">
        <w:rPr>
          <w:color w:val="000000" w:themeColor="text1"/>
        </w:rPr>
        <w:lastRenderedPageBreak/>
        <w:t>outcomes, although their biological significance must be confirmed experimentally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p>
    <w:p w14:paraId="70515303" w14:textId="77777777" w:rsidR="001E4973" w:rsidRPr="00F86F9E" w:rsidRDefault="00170421">
      <w:pPr>
        <w:pStyle w:val="Heading2"/>
        <w:rPr>
          <w:color w:val="000000" w:themeColor="text1"/>
        </w:rPr>
      </w:pPr>
      <w:r w:rsidRPr="00F86F9E">
        <w:rPr>
          <w:color w:val="000000" w:themeColor="text1"/>
          <w:sz w:val="26"/>
          <w:szCs w:val="26"/>
        </w:rPr>
        <w:t>8.3 Computational Infrastructure and Capacity</w:t>
      </w:r>
    </w:p>
    <w:p w14:paraId="7AEA98F1" w14:textId="437293C5" w:rsidR="001E4973" w:rsidRPr="00F86F9E" w:rsidRDefault="0072763D">
      <w:pPr>
        <w:spacing w:after="160" w:line="360" w:lineRule="auto"/>
        <w:jc w:val="both"/>
        <w:rPr>
          <w:color w:val="000000" w:themeColor="text1"/>
        </w:rPr>
      </w:pPr>
      <w:r w:rsidRPr="0072763D">
        <w:rPr>
          <w:color w:val="000000" w:themeColor="text1"/>
        </w:rPr>
        <w:t>Training deep learning models on large volumes of data is computationally intensive</w:t>
      </w:r>
      <w:r w:rsidR="00CF20A5">
        <w:rPr>
          <w:color w:val="000000" w:themeColor="text1"/>
        </w:rPr>
        <w:t xml:space="preserve"> and</w:t>
      </w:r>
      <w:r w:rsidRPr="0072763D">
        <w:rPr>
          <w:color w:val="000000" w:themeColor="text1"/>
        </w:rPr>
        <w:t xml:space="preserve"> the availability of high-performance computing facilities is extremely uneven across the globe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Xu </w:t>
      </w:r>
      <w:r w:rsidR="00CF20A5" w:rsidRPr="00CF20A5">
        <w:rPr>
          <w:i/>
          <w:iCs/>
          <w:color w:val="000000" w:themeColor="text1"/>
        </w:rPr>
        <w:t>et al</w:t>
      </w:r>
      <w:r w:rsidRPr="0072763D">
        <w:rPr>
          <w:color w:val="000000" w:themeColor="text1"/>
        </w:rPr>
        <w:t>., 2020). Breeding programs in developing nations lack resources and are thus confronted with greater difficulties in embracing smart breeding innovations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2017; FAO, 2021). Cloud computing AI platforms, open-source predictive models</w:t>
      </w:r>
      <w:r w:rsidR="00CF20A5">
        <w:rPr>
          <w:color w:val="000000" w:themeColor="text1"/>
        </w:rPr>
        <w:t xml:space="preserve"> and</w:t>
      </w:r>
      <w:r w:rsidRPr="0072763D">
        <w:rPr>
          <w:color w:val="000000" w:themeColor="text1"/>
        </w:rPr>
        <w:t xml:space="preserve"> capacity development activities provide some answers, although equitable access to such technologies continues to be an issue.</w:t>
      </w:r>
    </w:p>
    <w:p w14:paraId="14FA4353" w14:textId="77777777" w:rsidR="001E4973" w:rsidRPr="00F86F9E" w:rsidRDefault="00170421">
      <w:pPr>
        <w:pStyle w:val="Heading2"/>
        <w:rPr>
          <w:color w:val="000000" w:themeColor="text1"/>
        </w:rPr>
      </w:pPr>
      <w:r w:rsidRPr="00F86F9E">
        <w:rPr>
          <w:color w:val="000000" w:themeColor="text1"/>
          <w:sz w:val="26"/>
          <w:szCs w:val="26"/>
        </w:rPr>
        <w:t>8.4 Regulatory and Ethical Considerations</w:t>
      </w:r>
    </w:p>
    <w:p w14:paraId="5FF57EAC" w14:textId="0DC11517" w:rsidR="001E4973" w:rsidRPr="00F86F9E" w:rsidRDefault="0072763D">
      <w:pPr>
        <w:spacing w:after="160" w:line="360" w:lineRule="auto"/>
        <w:jc w:val="both"/>
        <w:rPr>
          <w:color w:val="000000" w:themeColor="text1"/>
        </w:rPr>
      </w:pPr>
      <w:r w:rsidRPr="0072763D">
        <w:rPr>
          <w:color w:val="000000" w:themeColor="text1"/>
        </w:rPr>
        <w:t>Regulatory issues surrounding the use of AI-powered genome editing technology on crops are highly variable from one jurisdiction to another</w:t>
      </w:r>
      <w:r w:rsidR="00CF20A5">
        <w:rPr>
          <w:color w:val="000000" w:themeColor="text1"/>
        </w:rPr>
        <w:t xml:space="preserve"> and</w:t>
      </w:r>
      <w:r w:rsidRPr="0072763D">
        <w:rPr>
          <w:color w:val="000000" w:themeColor="text1"/>
        </w:rPr>
        <w:t xml:space="preserve"> this poses a challenge to the development of smart-breeding technologies (Rodríguez-Leal </w:t>
      </w:r>
      <w:r w:rsidR="00CF20A5" w:rsidRPr="00CF20A5">
        <w:rPr>
          <w:i/>
          <w:iCs/>
          <w:color w:val="000000" w:themeColor="text1"/>
        </w:rPr>
        <w:t>et al</w:t>
      </w:r>
      <w:r w:rsidRPr="0072763D">
        <w:rPr>
          <w:color w:val="000000" w:themeColor="text1"/>
        </w:rPr>
        <w:t>., 2017). Economic challenges associated with smart breeding involve the limited presence of the ability to engage in such technology to a few large companies, the threat of undermining the rights of farmers to breed their own seeds</w:t>
      </w:r>
      <w:r w:rsidR="00CF20A5">
        <w:rPr>
          <w:color w:val="000000" w:themeColor="text1"/>
        </w:rPr>
        <w:t xml:space="preserve"> and</w:t>
      </w:r>
      <w:r w:rsidRPr="0072763D">
        <w:rPr>
          <w:color w:val="000000" w:themeColor="text1"/>
        </w:rPr>
        <w:t xml:space="preserve"> the obsolescence of traditional breeding technology (FAO, 2021; Varshney </w:t>
      </w:r>
      <w:r w:rsidR="00CF20A5" w:rsidRPr="00CF20A5">
        <w:rPr>
          <w:i/>
          <w:iCs/>
          <w:color w:val="000000" w:themeColor="text1"/>
        </w:rPr>
        <w:t>et al</w:t>
      </w:r>
      <w:r w:rsidRPr="0072763D">
        <w:rPr>
          <w:color w:val="000000" w:themeColor="text1"/>
        </w:rPr>
        <w:t>., 2021).</w:t>
      </w:r>
    </w:p>
    <w:p w14:paraId="68097D2D" w14:textId="77777777" w:rsidR="001E4973" w:rsidRPr="00F86F9E" w:rsidRDefault="001E4973">
      <w:pPr>
        <w:spacing w:after="120"/>
        <w:rPr>
          <w:color w:val="000000" w:themeColor="text1"/>
        </w:rPr>
      </w:pPr>
    </w:p>
    <w:p w14:paraId="4F140861" w14:textId="77777777" w:rsidR="001E4973" w:rsidRPr="00F86F9E" w:rsidRDefault="00170421">
      <w:pPr>
        <w:pStyle w:val="Heading1"/>
        <w:rPr>
          <w:color w:val="000000" w:themeColor="text1"/>
        </w:rPr>
      </w:pPr>
      <w:r w:rsidRPr="00F86F9E">
        <w:rPr>
          <w:color w:val="000000" w:themeColor="text1"/>
        </w:rPr>
        <w:t>9. Future Directions</w:t>
      </w:r>
    </w:p>
    <w:p w14:paraId="4E9253B2" w14:textId="77777777" w:rsidR="001E4973" w:rsidRPr="00F86F9E" w:rsidRDefault="00170421">
      <w:pPr>
        <w:pStyle w:val="Heading2"/>
        <w:rPr>
          <w:color w:val="000000" w:themeColor="text1"/>
        </w:rPr>
      </w:pPr>
      <w:r w:rsidRPr="00F86F9E">
        <w:rPr>
          <w:color w:val="000000" w:themeColor="text1"/>
          <w:sz w:val="26"/>
          <w:szCs w:val="26"/>
        </w:rPr>
        <w:t>9.1 Foundation Models for Plant Genomics</w:t>
      </w:r>
    </w:p>
    <w:p w14:paraId="5EA1A110" w14:textId="5B82B574" w:rsidR="001E4973" w:rsidRPr="00F86F9E" w:rsidRDefault="0072763D">
      <w:pPr>
        <w:spacing w:after="160" w:line="360" w:lineRule="auto"/>
        <w:jc w:val="both"/>
        <w:rPr>
          <w:color w:val="000000" w:themeColor="text1"/>
        </w:rPr>
      </w:pPr>
      <w:r w:rsidRPr="0072763D">
        <w:rPr>
          <w:color w:val="000000" w:themeColor="text1"/>
        </w:rPr>
        <w:t>The advent of large language models (LLMs) which have been pre-trained on vast amounts of data and then optimized on downstream applications is heralding a new dawn in genomics through foundation models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2015;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xml:space="preserve">, 2019). The use of similar foundation models to </w:t>
      </w:r>
      <w:proofErr w:type="spellStart"/>
      <w:r w:rsidRPr="0072763D">
        <w:rPr>
          <w:color w:val="000000" w:themeColor="text1"/>
        </w:rPr>
        <w:t>analyze</w:t>
      </w:r>
      <w:proofErr w:type="spellEnd"/>
      <w:r w:rsidRPr="0072763D">
        <w:rPr>
          <w:color w:val="000000" w:themeColor="text1"/>
        </w:rPr>
        <w:t xml:space="preserve"> plant genomics, which have been trained on ever-growing amounts of genome-wide data of crops including expression atlases and epigenomics, is an exciting new horizon. These models are set to revolutionize genomic analyses by producing robust genomics representations that enhance predictive abilities for rare traits and breeds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p>
    <w:p w14:paraId="79ACD500" w14:textId="77777777" w:rsidR="001E4973" w:rsidRPr="00F86F9E" w:rsidRDefault="00170421">
      <w:pPr>
        <w:pStyle w:val="Heading2"/>
        <w:rPr>
          <w:color w:val="000000" w:themeColor="text1"/>
        </w:rPr>
      </w:pPr>
      <w:r w:rsidRPr="00F86F9E">
        <w:rPr>
          <w:color w:val="000000" w:themeColor="text1"/>
          <w:sz w:val="26"/>
          <w:szCs w:val="26"/>
        </w:rPr>
        <w:lastRenderedPageBreak/>
        <w:t>9.2 Automation and Robotics</w:t>
      </w:r>
    </w:p>
    <w:p w14:paraId="76745A4E" w14:textId="6F7E1992" w:rsidR="001E4973" w:rsidRPr="00F86F9E" w:rsidRDefault="0072763D">
      <w:pPr>
        <w:spacing w:after="160" w:line="360" w:lineRule="auto"/>
        <w:jc w:val="both"/>
        <w:rPr>
          <w:color w:val="000000" w:themeColor="text1"/>
        </w:rPr>
      </w:pPr>
      <w:r w:rsidRPr="0072763D">
        <w:rPr>
          <w:color w:val="000000" w:themeColor="text1"/>
        </w:rPr>
        <w:t>A complete implementation of smart breeding can only be achieved by not just automating the process of data acquisition (via autonomous phenotyping machines and drone systems) but also by automating the whole process of experimentation in the lab, such as DNA extraction, library construction</w:t>
      </w:r>
      <w:r w:rsidR="00CF20A5">
        <w:rPr>
          <w:color w:val="000000" w:themeColor="text1"/>
        </w:rPr>
        <w:t xml:space="preserve"> and</w:t>
      </w:r>
      <w:r w:rsidRPr="0072763D">
        <w:rPr>
          <w:color w:val="000000" w:themeColor="text1"/>
        </w:rPr>
        <w:t xml:space="preserve"> high-throughput transformation (</w:t>
      </w:r>
      <w:proofErr w:type="spellStart"/>
      <w:r w:rsidRPr="0072763D">
        <w:rPr>
          <w:color w:val="000000" w:themeColor="text1"/>
        </w:rPr>
        <w:t>Fahlgren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A closed-loop system for breeding where AI-based </w:t>
      </w:r>
      <w:proofErr w:type="gramStart"/>
      <w:r w:rsidRPr="0072763D">
        <w:rPr>
          <w:color w:val="000000" w:themeColor="text1"/>
        </w:rPr>
        <w:t>decision making</w:t>
      </w:r>
      <w:proofErr w:type="gramEnd"/>
      <w:r w:rsidRPr="0072763D">
        <w:rPr>
          <w:color w:val="000000" w:themeColor="text1"/>
        </w:rPr>
        <w:t xml:space="preserve"> leads to the execution of crossing, transformation, or gene-editing processes without any human input is the end goal of automation (Varshney </w:t>
      </w:r>
      <w:r w:rsidR="00CF20A5" w:rsidRPr="00CF20A5">
        <w:rPr>
          <w:i/>
          <w:iCs/>
          <w:color w:val="000000" w:themeColor="text1"/>
        </w:rPr>
        <w:t>et al</w:t>
      </w:r>
      <w:r w:rsidRPr="0072763D">
        <w:rPr>
          <w:color w:val="000000" w:themeColor="text1"/>
        </w:rPr>
        <w:t>., 2021).</w:t>
      </w:r>
    </w:p>
    <w:p w14:paraId="68B96589" w14:textId="77777777" w:rsidR="001E4973" w:rsidRPr="00F86F9E" w:rsidRDefault="00170421">
      <w:pPr>
        <w:pStyle w:val="Heading2"/>
        <w:rPr>
          <w:color w:val="000000" w:themeColor="text1"/>
        </w:rPr>
      </w:pPr>
      <w:r w:rsidRPr="00F86F9E">
        <w:rPr>
          <w:color w:val="000000" w:themeColor="text1"/>
          <w:sz w:val="26"/>
          <w:szCs w:val="26"/>
        </w:rPr>
        <w:t xml:space="preserve">9.3 </w:t>
      </w:r>
      <w:proofErr w:type="spellStart"/>
      <w:r w:rsidRPr="00F86F9E">
        <w:rPr>
          <w:color w:val="000000" w:themeColor="text1"/>
          <w:sz w:val="26"/>
          <w:szCs w:val="26"/>
        </w:rPr>
        <w:t>Pangenomics</w:t>
      </w:r>
      <w:proofErr w:type="spellEnd"/>
      <w:r w:rsidRPr="00F86F9E">
        <w:rPr>
          <w:color w:val="000000" w:themeColor="text1"/>
          <w:sz w:val="26"/>
          <w:szCs w:val="26"/>
        </w:rPr>
        <w:t xml:space="preserve"> and Graph Genomes</w:t>
      </w:r>
    </w:p>
    <w:p w14:paraId="2B7914B5" w14:textId="2174002B" w:rsidR="001E4973" w:rsidRPr="00F86F9E" w:rsidRDefault="0072763D">
      <w:pPr>
        <w:spacing w:after="160" w:line="360" w:lineRule="auto"/>
        <w:jc w:val="both"/>
        <w:rPr>
          <w:color w:val="000000" w:themeColor="text1"/>
        </w:rPr>
      </w:pPr>
      <w:r w:rsidRPr="0072763D">
        <w:rPr>
          <w:color w:val="000000" w:themeColor="text1"/>
        </w:rPr>
        <w:t xml:space="preserve">The current approach of using one genome assembly to serve as a reference has been supplanted by </w:t>
      </w:r>
      <w:proofErr w:type="spellStart"/>
      <w:r w:rsidRPr="0072763D">
        <w:rPr>
          <w:color w:val="000000" w:themeColor="text1"/>
        </w:rPr>
        <w:t>pangenomics</w:t>
      </w:r>
      <w:proofErr w:type="spellEnd"/>
      <w:r w:rsidRPr="0072763D">
        <w:rPr>
          <w:color w:val="000000" w:themeColor="text1"/>
        </w:rPr>
        <w:t xml:space="preserve"> approaches that attempt to represent the entirety of the genetic diversity of a particular organism through graph structures (</w:t>
      </w:r>
      <w:proofErr w:type="spellStart"/>
      <w:r w:rsidRPr="0072763D">
        <w:rPr>
          <w:color w:val="000000" w:themeColor="text1"/>
        </w:rPr>
        <w:t>Scheben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Wenger </w:t>
      </w:r>
      <w:r w:rsidR="00CF20A5" w:rsidRPr="00CF20A5">
        <w:rPr>
          <w:i/>
          <w:iCs/>
          <w:color w:val="000000" w:themeColor="text1"/>
        </w:rPr>
        <w:t>et al</w:t>
      </w:r>
      <w:r w:rsidRPr="0072763D">
        <w:rPr>
          <w:color w:val="000000" w:themeColor="text1"/>
        </w:rPr>
        <w:t>., 2019). Graph-genome assemblies incorporate variations, both minor SNPs and major structural variants as well as distinct haplotype types, which go unseen in SNP-based analyses. The expanded range allows for an increased scope in genomic selection and GWAS, reaching into sequence space never before accessed. AI algorithms developed to work on graph data sets, such as graph neural networks</w:t>
      </w:r>
      <w:r w:rsidR="00CF20A5">
        <w:rPr>
          <w:color w:val="000000" w:themeColor="text1"/>
        </w:rPr>
        <w:t xml:space="preserve"> and</w:t>
      </w:r>
      <w:r w:rsidRPr="0072763D">
        <w:rPr>
          <w:color w:val="000000" w:themeColor="text1"/>
        </w:rPr>
        <w:t xml:space="preserve"> graph attention networks</w:t>
      </w:r>
      <w:r w:rsidRPr="00F86F9E">
        <w:rPr>
          <w:color w:val="000000" w:themeColor="text1"/>
        </w:rPr>
        <w:t xml:space="preserve"> (</w:t>
      </w:r>
      <w:r w:rsidRPr="00F86F9E">
        <w:rPr>
          <w:i/>
          <w:iCs/>
          <w:color w:val="000000" w:themeColor="text1"/>
        </w:rPr>
        <w:t>Jordan &amp; Mitchell, 2015</w:t>
      </w:r>
      <w:r w:rsidRPr="00F86F9E">
        <w:rPr>
          <w:color w:val="000000" w:themeColor="text1"/>
        </w:rPr>
        <w:t>).</w:t>
      </w:r>
    </w:p>
    <w:p w14:paraId="5F1C38B9" w14:textId="77777777" w:rsidR="001E4973" w:rsidRPr="00F86F9E" w:rsidRDefault="00170421">
      <w:pPr>
        <w:pStyle w:val="Heading2"/>
        <w:rPr>
          <w:color w:val="000000" w:themeColor="text1"/>
        </w:rPr>
      </w:pPr>
      <w:r w:rsidRPr="00F86F9E">
        <w:rPr>
          <w:color w:val="000000" w:themeColor="text1"/>
          <w:sz w:val="26"/>
          <w:szCs w:val="26"/>
        </w:rPr>
        <w:t>9.4 Towards Climate-Proof Varieties</w:t>
      </w:r>
    </w:p>
    <w:p w14:paraId="58B8EA4C" w14:textId="3B192CC0" w:rsidR="001E4973" w:rsidRPr="00F86F9E" w:rsidRDefault="0072763D">
      <w:pPr>
        <w:spacing w:after="160" w:line="360" w:lineRule="auto"/>
        <w:jc w:val="both"/>
        <w:rPr>
          <w:color w:val="000000" w:themeColor="text1"/>
        </w:rPr>
      </w:pPr>
      <w:r w:rsidRPr="0072763D">
        <w:rPr>
          <w:color w:val="000000" w:themeColor="text1"/>
        </w:rPr>
        <w:t>Smart breeding aims to create crops that can withstand changes in climatic conditions and yield high yields even during extremes in temperature, occurrences of droughts</w:t>
      </w:r>
      <w:r w:rsidR="00CF20A5">
        <w:rPr>
          <w:color w:val="000000" w:themeColor="text1"/>
        </w:rPr>
        <w:t xml:space="preserve"> and</w:t>
      </w:r>
      <w:r w:rsidRPr="0072763D">
        <w:rPr>
          <w:color w:val="000000" w:themeColor="text1"/>
        </w:rPr>
        <w:t xml:space="preserve"> shifting ranges of pests and pathogens expected to happen within the coming years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Lobell &amp; </w:t>
      </w:r>
      <w:proofErr w:type="spellStart"/>
      <w:r w:rsidRPr="0072763D">
        <w:rPr>
          <w:color w:val="000000" w:themeColor="text1"/>
        </w:rPr>
        <w:t>Gourdji</w:t>
      </w:r>
      <w:proofErr w:type="spellEnd"/>
      <w:r w:rsidRPr="0072763D">
        <w:rPr>
          <w:color w:val="000000" w:themeColor="text1"/>
        </w:rPr>
        <w:t xml:space="preserve">, 2012). To accomplish this objective, the integration of crop </w:t>
      </w:r>
      <w:proofErr w:type="spellStart"/>
      <w:r w:rsidRPr="0072763D">
        <w:rPr>
          <w:color w:val="000000" w:themeColor="text1"/>
        </w:rPr>
        <w:t>modeling</w:t>
      </w:r>
      <w:proofErr w:type="spellEnd"/>
      <w:r w:rsidRPr="0072763D">
        <w:rPr>
          <w:color w:val="000000" w:themeColor="text1"/>
        </w:rPr>
        <w:t>, climatology, genomics</w:t>
      </w:r>
      <w:r w:rsidR="00CF20A5">
        <w:rPr>
          <w:color w:val="000000" w:themeColor="text1"/>
        </w:rPr>
        <w:t xml:space="preserve"> and</w:t>
      </w:r>
      <w:r w:rsidRPr="0072763D">
        <w:rPr>
          <w:color w:val="000000" w:themeColor="text1"/>
        </w:rPr>
        <w:t xml:space="preserve"> artificial intelligence would be necessary, a daunting challenge that would require unparalleled teamwork among scientists from different fields. Funding for global collections of germplasm crops, genomics database accessibility</w:t>
      </w:r>
      <w:r w:rsidR="00CF20A5">
        <w:rPr>
          <w:color w:val="000000" w:themeColor="text1"/>
        </w:rPr>
        <w:t xml:space="preserve"> and</w:t>
      </w:r>
      <w:r w:rsidRPr="0072763D">
        <w:rPr>
          <w:color w:val="000000" w:themeColor="text1"/>
        </w:rPr>
        <w:t xml:space="preserve"> phenotyping facilities would be indispensable to achieve this objective (Varshney </w:t>
      </w:r>
      <w:r w:rsidR="00CF20A5" w:rsidRPr="00CF20A5">
        <w:rPr>
          <w:i/>
          <w:iCs/>
          <w:color w:val="000000" w:themeColor="text1"/>
        </w:rPr>
        <w:t>et al</w:t>
      </w:r>
      <w:r w:rsidRPr="0072763D">
        <w:rPr>
          <w:color w:val="000000" w:themeColor="text1"/>
        </w:rPr>
        <w:t xml:space="preserve">., 2005; Xu </w:t>
      </w:r>
      <w:r w:rsidR="00CF20A5" w:rsidRPr="00CF20A5">
        <w:rPr>
          <w:i/>
          <w:iCs/>
          <w:color w:val="000000" w:themeColor="text1"/>
        </w:rPr>
        <w:t>et al</w:t>
      </w:r>
      <w:r w:rsidRPr="0072763D">
        <w:rPr>
          <w:color w:val="000000" w:themeColor="text1"/>
        </w:rPr>
        <w:t>., 2020).</w:t>
      </w:r>
    </w:p>
    <w:p w14:paraId="49013E53" w14:textId="77777777" w:rsidR="001E4973" w:rsidRPr="00F86F9E" w:rsidRDefault="001E4973">
      <w:pPr>
        <w:spacing w:after="120"/>
        <w:rPr>
          <w:color w:val="000000" w:themeColor="text1"/>
        </w:rPr>
      </w:pPr>
    </w:p>
    <w:p w14:paraId="4FC0D263" w14:textId="77777777" w:rsidR="001E4973" w:rsidRPr="00F86F9E" w:rsidRDefault="00170421">
      <w:pPr>
        <w:pStyle w:val="Heading1"/>
        <w:rPr>
          <w:color w:val="000000" w:themeColor="text1"/>
        </w:rPr>
      </w:pPr>
      <w:r w:rsidRPr="00F86F9E">
        <w:rPr>
          <w:color w:val="000000" w:themeColor="text1"/>
        </w:rPr>
        <w:t>10. Conclusion</w:t>
      </w:r>
    </w:p>
    <w:p w14:paraId="335410CF" w14:textId="7A415B00" w:rsidR="001E4973" w:rsidRPr="00F86F9E" w:rsidRDefault="0072763D">
      <w:pPr>
        <w:spacing w:after="160" w:line="360" w:lineRule="auto"/>
        <w:jc w:val="both"/>
        <w:rPr>
          <w:color w:val="000000" w:themeColor="text1"/>
        </w:rPr>
      </w:pPr>
      <w:r w:rsidRPr="0072763D">
        <w:rPr>
          <w:color w:val="000000" w:themeColor="text1"/>
        </w:rPr>
        <w:lastRenderedPageBreak/>
        <w:t xml:space="preserve">Smarter </w:t>
      </w:r>
      <w:proofErr w:type="gramStart"/>
      <w:r w:rsidRPr="0072763D">
        <w:rPr>
          <w:color w:val="000000" w:themeColor="text1"/>
        </w:rPr>
        <w:t>breeding  a</w:t>
      </w:r>
      <w:proofErr w:type="gramEnd"/>
      <w:r w:rsidRPr="0072763D">
        <w:rPr>
          <w:color w:val="000000" w:themeColor="text1"/>
        </w:rPr>
        <w:t xml:space="preserve"> combination of artificial intelligence, genomics</w:t>
      </w:r>
      <w:r w:rsidR="00CF20A5">
        <w:rPr>
          <w:color w:val="000000" w:themeColor="text1"/>
        </w:rPr>
        <w:t xml:space="preserve"> and</w:t>
      </w:r>
      <w:r w:rsidRPr="0072763D">
        <w:rPr>
          <w:color w:val="000000" w:themeColor="text1"/>
        </w:rPr>
        <w:t xml:space="preserve"> </w:t>
      </w:r>
      <w:proofErr w:type="spellStart"/>
      <w:r w:rsidRPr="0072763D">
        <w:rPr>
          <w:color w:val="000000" w:themeColor="text1"/>
        </w:rPr>
        <w:t>phenomics</w:t>
      </w:r>
      <w:proofErr w:type="spellEnd"/>
      <w:r w:rsidRPr="0072763D">
        <w:rPr>
          <w:color w:val="000000" w:themeColor="text1"/>
        </w:rPr>
        <w:t xml:space="preserve"> is undoubtedly the future direction for genetic gain that the world requires in order to ensure food security. AI brings intelligent computing that allows predicting biological phenomena on the basis of large data sets; genomics is a field of study that can help us find the connection between genetic sequence changes and biological traits; </w:t>
      </w:r>
      <w:proofErr w:type="spellStart"/>
      <w:r w:rsidRPr="0072763D">
        <w:rPr>
          <w:color w:val="000000" w:themeColor="text1"/>
        </w:rPr>
        <w:t>phenomics</w:t>
      </w:r>
      <w:proofErr w:type="spellEnd"/>
      <w:r w:rsidRPr="0072763D">
        <w:rPr>
          <w:color w:val="000000" w:themeColor="text1"/>
        </w:rPr>
        <w:t xml:space="preserve"> connects genotypes with phenotypes by measuring the entire plant life cycle under various conditions (</w:t>
      </w:r>
      <w:proofErr w:type="spellStart"/>
      <w:r w:rsidRPr="0072763D">
        <w:rPr>
          <w:color w:val="000000" w:themeColor="text1"/>
        </w:rPr>
        <w:t>Araus</w:t>
      </w:r>
      <w:proofErr w:type="spellEnd"/>
      <w:r w:rsidRPr="0072763D">
        <w:rPr>
          <w:color w:val="000000" w:themeColor="text1"/>
        </w:rPr>
        <w:t xml:space="preserve"> &amp; Cairns, 2014;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w:t>
      </w:r>
      <w:proofErr w:type="spellStart"/>
      <w:r w:rsidRPr="0072763D">
        <w:rPr>
          <w:color w:val="000000" w:themeColor="text1"/>
        </w:rPr>
        <w:t>Libbrecht</w:t>
      </w:r>
      <w:proofErr w:type="spellEnd"/>
      <w:r w:rsidRPr="0072763D">
        <w:rPr>
          <w:color w:val="000000" w:themeColor="text1"/>
        </w:rPr>
        <w:t xml:space="preserve"> &amp; Noble, 2015;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2001; Varshney </w:t>
      </w:r>
      <w:r w:rsidR="00CF20A5" w:rsidRPr="00CF20A5">
        <w:rPr>
          <w:i/>
          <w:iCs/>
          <w:color w:val="000000" w:themeColor="text1"/>
        </w:rPr>
        <w:t>et al</w:t>
      </w:r>
      <w:r w:rsidRPr="0072763D">
        <w:rPr>
          <w:color w:val="000000" w:themeColor="text1"/>
        </w:rPr>
        <w:t>., 2021).</w:t>
      </w:r>
    </w:p>
    <w:p w14:paraId="3B159DCE" w14:textId="1CB8570D" w:rsidR="001E4973" w:rsidRPr="00F86F9E" w:rsidRDefault="0072763D">
      <w:pPr>
        <w:spacing w:after="160" w:line="360" w:lineRule="auto"/>
        <w:jc w:val="both"/>
        <w:rPr>
          <w:color w:val="000000" w:themeColor="text1"/>
        </w:rPr>
      </w:pPr>
      <w:r w:rsidRPr="0072763D">
        <w:rPr>
          <w:color w:val="000000" w:themeColor="text1"/>
        </w:rPr>
        <w:t>The progress in the last ten years has been amazing. Genomic selection has become a commonplace technique in wheat, maize</w:t>
      </w:r>
      <w:r w:rsidR="00CF20A5">
        <w:rPr>
          <w:color w:val="000000" w:themeColor="text1"/>
        </w:rPr>
        <w:t xml:space="preserve"> and</w:t>
      </w:r>
      <w:r w:rsidRPr="0072763D">
        <w:rPr>
          <w:color w:val="000000" w:themeColor="text1"/>
        </w:rPr>
        <w:t xml:space="preserve"> soybean breeding programs across the world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2001). Phenotyping via UAVs has transitioned from experimental testing to implementation in agricultural practices (</w:t>
      </w:r>
      <w:proofErr w:type="spellStart"/>
      <w:r w:rsidRPr="0072763D">
        <w:rPr>
          <w:color w:val="000000" w:themeColor="text1"/>
        </w:rPr>
        <w:t>Madec</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Yang </w:t>
      </w:r>
      <w:r w:rsidR="00CF20A5" w:rsidRPr="00CF20A5">
        <w:rPr>
          <w:i/>
          <w:iCs/>
          <w:color w:val="000000" w:themeColor="text1"/>
        </w:rPr>
        <w:t>et al</w:t>
      </w:r>
      <w:r w:rsidRPr="0072763D">
        <w:rPr>
          <w:color w:val="000000" w:themeColor="text1"/>
        </w:rPr>
        <w:t>., 2017). Deep learning models are regularly used for disease diagnosis, predicting the grain yield</w:t>
      </w:r>
      <w:r w:rsidR="00CF20A5">
        <w:rPr>
          <w:color w:val="000000" w:themeColor="text1"/>
        </w:rPr>
        <w:t xml:space="preserve"> and</w:t>
      </w:r>
      <w:r w:rsidRPr="0072763D">
        <w:rPr>
          <w:color w:val="000000" w:themeColor="text1"/>
        </w:rPr>
        <w:t xml:space="preserve"> prioritizing genome editing targets (Huang </w:t>
      </w:r>
      <w:r w:rsidR="00CF20A5" w:rsidRPr="00CF20A5">
        <w:rPr>
          <w:i/>
          <w:iCs/>
          <w:color w:val="000000" w:themeColor="text1"/>
        </w:rPr>
        <w:t>et al</w:t>
      </w:r>
      <w:r w:rsidRPr="0072763D">
        <w:rPr>
          <w:color w:val="000000" w:themeColor="text1"/>
        </w:rPr>
        <w:t xml:space="preserve">., 2019;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2018; Pérez-</w:t>
      </w:r>
      <w:proofErr w:type="spellStart"/>
      <w:r w:rsidRPr="0072763D">
        <w:rPr>
          <w:color w:val="000000" w:themeColor="text1"/>
        </w:rPr>
        <w:t>Encisco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r w:rsidRPr="00F86F9E">
        <w:rPr>
          <w:color w:val="000000" w:themeColor="text1"/>
        </w:rPr>
        <w:t xml:space="preserve"> Yet significant challenges remain — in data standardization, model interpretability, equitable access</w:t>
      </w:r>
      <w:r w:rsidR="00CF20A5">
        <w:rPr>
          <w:color w:val="000000" w:themeColor="text1"/>
        </w:rPr>
        <w:t xml:space="preserve"> and</w:t>
      </w:r>
      <w:r w:rsidRPr="00F86F9E">
        <w:rPr>
          <w:color w:val="000000" w:themeColor="text1"/>
        </w:rPr>
        <w:t xml:space="preserve"> regulatory clarity (</w:t>
      </w:r>
      <w:r w:rsidRPr="00F86F9E">
        <w:rPr>
          <w:i/>
          <w:iCs/>
          <w:color w:val="000000" w:themeColor="text1"/>
        </w:rPr>
        <w:t>FAO, 2021</w:t>
      </w:r>
      <w:r w:rsidRPr="00F86F9E">
        <w:rPr>
          <w:color w:val="000000" w:themeColor="text1"/>
        </w:rPr>
        <w:t xml:space="preserve">; </w:t>
      </w:r>
      <w:proofErr w:type="spellStart"/>
      <w:r w:rsidRPr="00F86F9E">
        <w:rPr>
          <w:i/>
          <w:iCs/>
          <w:color w:val="000000" w:themeColor="text1"/>
        </w:rPr>
        <w:t>Spindel</w:t>
      </w:r>
      <w:proofErr w:type="spellEnd"/>
      <w:r w:rsidRPr="00F86F9E">
        <w:rPr>
          <w:i/>
          <w:iCs/>
          <w:color w:val="000000" w:themeColor="text1"/>
        </w:rPr>
        <w:t xml:space="preserve"> &amp; </w:t>
      </w:r>
      <w:proofErr w:type="spellStart"/>
      <w:r w:rsidRPr="00F86F9E">
        <w:rPr>
          <w:i/>
          <w:iCs/>
          <w:color w:val="000000" w:themeColor="text1"/>
        </w:rPr>
        <w:t>McCouch</w:t>
      </w:r>
      <w:proofErr w:type="spellEnd"/>
      <w:r w:rsidRPr="00F86F9E">
        <w:rPr>
          <w:i/>
          <w:iCs/>
          <w:color w:val="000000" w:themeColor="text1"/>
        </w:rPr>
        <w:t>, 2016</w:t>
      </w:r>
      <w:r w:rsidRPr="00F86F9E">
        <w:rPr>
          <w:color w:val="000000" w:themeColor="text1"/>
        </w:rPr>
        <w:t xml:space="preserve">; </w:t>
      </w:r>
      <w:r w:rsidRPr="00F86F9E">
        <w:rPr>
          <w:i/>
          <w:iCs/>
          <w:color w:val="000000" w:themeColor="text1"/>
        </w:rPr>
        <w:t xml:space="preserve">Xu </w:t>
      </w:r>
      <w:r w:rsidR="00CF20A5" w:rsidRPr="00CF20A5">
        <w:rPr>
          <w:i/>
          <w:iCs/>
          <w:color w:val="000000" w:themeColor="text1"/>
        </w:rPr>
        <w:t>et al</w:t>
      </w:r>
      <w:r w:rsidRPr="00F86F9E">
        <w:rPr>
          <w:i/>
          <w:iCs/>
          <w:color w:val="000000" w:themeColor="text1"/>
        </w:rPr>
        <w:t>., 2020</w:t>
      </w:r>
      <w:r w:rsidRPr="00F86F9E">
        <w:rPr>
          <w:color w:val="000000" w:themeColor="text1"/>
        </w:rPr>
        <w:t>).</w:t>
      </w:r>
    </w:p>
    <w:p w14:paraId="049BE148" w14:textId="77777777" w:rsidR="001E4973" w:rsidRPr="00F86F9E" w:rsidRDefault="00170421">
      <w:pPr>
        <w:pStyle w:val="Heading1"/>
        <w:pageBreakBefore/>
        <w:spacing w:after="200"/>
        <w:rPr>
          <w:color w:val="000000" w:themeColor="text1"/>
        </w:rPr>
      </w:pPr>
      <w:r w:rsidRPr="00F86F9E">
        <w:rPr>
          <w:color w:val="000000" w:themeColor="text1"/>
        </w:rPr>
        <w:lastRenderedPageBreak/>
        <w:t>References</w:t>
      </w:r>
    </w:p>
    <w:p w14:paraId="6B1E32B0" w14:textId="77777777" w:rsidR="001E4973" w:rsidRPr="00F86F9E" w:rsidRDefault="00170421">
      <w:pPr>
        <w:spacing w:after="100"/>
        <w:ind w:left="720" w:hanging="720"/>
        <w:rPr>
          <w:color w:val="000000" w:themeColor="text1"/>
        </w:rPr>
      </w:pPr>
      <w:r w:rsidRPr="00F86F9E">
        <w:rPr>
          <w:b/>
          <w:bCs/>
          <w:color w:val="000000" w:themeColor="text1"/>
          <w:sz w:val="20"/>
          <w:szCs w:val="20"/>
        </w:rPr>
        <w:t>1.</w:t>
      </w:r>
      <w:r w:rsidRPr="00F86F9E">
        <w:rPr>
          <w:b/>
          <w:bCs/>
          <w:color w:val="000000" w:themeColor="text1"/>
          <w:sz w:val="20"/>
          <w:szCs w:val="20"/>
        </w:rPr>
        <w:tab/>
      </w:r>
      <w:proofErr w:type="spellStart"/>
      <w:r w:rsidRPr="00F86F9E">
        <w:rPr>
          <w:color w:val="000000" w:themeColor="text1"/>
          <w:sz w:val="20"/>
          <w:szCs w:val="20"/>
        </w:rPr>
        <w:t>Abbai</w:t>
      </w:r>
      <w:proofErr w:type="spellEnd"/>
      <w:r w:rsidRPr="00F86F9E">
        <w:rPr>
          <w:color w:val="000000" w:themeColor="text1"/>
          <w:sz w:val="20"/>
          <w:szCs w:val="20"/>
        </w:rPr>
        <w:t xml:space="preserve">, R., Singh, V. K., </w:t>
      </w:r>
      <w:proofErr w:type="spellStart"/>
      <w:r w:rsidRPr="00F86F9E">
        <w:rPr>
          <w:color w:val="000000" w:themeColor="text1"/>
          <w:sz w:val="20"/>
          <w:szCs w:val="20"/>
        </w:rPr>
        <w:t>Nachimuthu</w:t>
      </w:r>
      <w:proofErr w:type="spellEnd"/>
      <w:r w:rsidRPr="00F86F9E">
        <w:rPr>
          <w:color w:val="000000" w:themeColor="text1"/>
          <w:sz w:val="20"/>
          <w:szCs w:val="20"/>
        </w:rPr>
        <w:t xml:space="preserve">, V. V., Sinha, P., Selvaraj, R., </w:t>
      </w:r>
      <w:proofErr w:type="spellStart"/>
      <w:r w:rsidRPr="00F86F9E">
        <w:rPr>
          <w:color w:val="000000" w:themeColor="text1"/>
          <w:sz w:val="20"/>
          <w:szCs w:val="20"/>
        </w:rPr>
        <w:t>Vipparla</w:t>
      </w:r>
      <w:proofErr w:type="spellEnd"/>
      <w:r w:rsidRPr="00F86F9E">
        <w:rPr>
          <w:color w:val="000000" w:themeColor="text1"/>
          <w:sz w:val="20"/>
          <w:szCs w:val="20"/>
        </w:rPr>
        <w:t>, A. K., ... &amp; Kumar, A. (2019). Haplotype analysis of key genes governing grain yield and quality traits across 3000 rice genomes. Plant Biotechnology Journal, 17(7), 1389–1401.</w:t>
      </w:r>
    </w:p>
    <w:p w14:paraId="008B783C" w14:textId="77777777" w:rsidR="001E4973" w:rsidRPr="00F86F9E" w:rsidRDefault="00170421">
      <w:pPr>
        <w:spacing w:after="100"/>
        <w:ind w:left="720" w:hanging="720"/>
        <w:rPr>
          <w:color w:val="000000" w:themeColor="text1"/>
        </w:rPr>
      </w:pPr>
      <w:r w:rsidRPr="00F86F9E">
        <w:rPr>
          <w:b/>
          <w:bCs/>
          <w:color w:val="000000" w:themeColor="text1"/>
          <w:sz w:val="20"/>
          <w:szCs w:val="20"/>
        </w:rPr>
        <w:t>2.</w:t>
      </w:r>
      <w:r w:rsidRPr="00F86F9E">
        <w:rPr>
          <w:b/>
          <w:bCs/>
          <w:color w:val="000000" w:themeColor="text1"/>
          <w:sz w:val="20"/>
          <w:szCs w:val="20"/>
        </w:rPr>
        <w:tab/>
      </w:r>
      <w:r w:rsidRPr="00F86F9E">
        <w:rPr>
          <w:color w:val="000000" w:themeColor="text1"/>
          <w:sz w:val="20"/>
          <w:szCs w:val="20"/>
        </w:rPr>
        <w:t xml:space="preserve">Andersson, M., </w:t>
      </w:r>
      <w:proofErr w:type="spellStart"/>
      <w:r w:rsidRPr="00F86F9E">
        <w:rPr>
          <w:color w:val="000000" w:themeColor="text1"/>
          <w:sz w:val="20"/>
          <w:szCs w:val="20"/>
        </w:rPr>
        <w:t>Turesson</w:t>
      </w:r>
      <w:proofErr w:type="spellEnd"/>
      <w:r w:rsidRPr="00F86F9E">
        <w:rPr>
          <w:color w:val="000000" w:themeColor="text1"/>
          <w:sz w:val="20"/>
          <w:szCs w:val="20"/>
        </w:rPr>
        <w:t xml:space="preserve">, H., </w:t>
      </w:r>
      <w:proofErr w:type="spellStart"/>
      <w:r w:rsidRPr="00F86F9E">
        <w:rPr>
          <w:color w:val="000000" w:themeColor="text1"/>
          <w:sz w:val="20"/>
          <w:szCs w:val="20"/>
        </w:rPr>
        <w:t>Nicolia</w:t>
      </w:r>
      <w:proofErr w:type="spellEnd"/>
      <w:r w:rsidRPr="00F86F9E">
        <w:rPr>
          <w:color w:val="000000" w:themeColor="text1"/>
          <w:sz w:val="20"/>
          <w:szCs w:val="20"/>
        </w:rPr>
        <w:t xml:space="preserve">, A., </w:t>
      </w:r>
      <w:proofErr w:type="spellStart"/>
      <w:r w:rsidRPr="00F86F9E">
        <w:rPr>
          <w:color w:val="000000" w:themeColor="text1"/>
          <w:sz w:val="20"/>
          <w:szCs w:val="20"/>
        </w:rPr>
        <w:t>Fält</w:t>
      </w:r>
      <w:proofErr w:type="spellEnd"/>
      <w:r w:rsidRPr="00F86F9E">
        <w:rPr>
          <w:color w:val="000000" w:themeColor="text1"/>
          <w:sz w:val="20"/>
          <w:szCs w:val="20"/>
        </w:rPr>
        <w:t xml:space="preserve">, A. S., Samuelsson, M., &amp; </w:t>
      </w:r>
      <w:proofErr w:type="spellStart"/>
      <w:r w:rsidRPr="00F86F9E">
        <w:rPr>
          <w:color w:val="000000" w:themeColor="text1"/>
          <w:sz w:val="20"/>
          <w:szCs w:val="20"/>
        </w:rPr>
        <w:t>Hofvander</w:t>
      </w:r>
      <w:proofErr w:type="spellEnd"/>
      <w:r w:rsidRPr="00F86F9E">
        <w:rPr>
          <w:color w:val="000000" w:themeColor="text1"/>
          <w:sz w:val="20"/>
          <w:szCs w:val="20"/>
        </w:rPr>
        <w:t>, P. (2017). Efficient targeted multiallelic mutagenesis in tetraploid potato (Solanum tuberosum) by transient CRISPR-Cas9 expression in protoplasts. Plant Cell Reports, 36(1), 117–128.</w:t>
      </w:r>
    </w:p>
    <w:p w14:paraId="019057AA" w14:textId="77777777" w:rsidR="001E4973" w:rsidRPr="00F86F9E" w:rsidRDefault="00170421">
      <w:pPr>
        <w:spacing w:after="100"/>
        <w:ind w:left="720" w:hanging="720"/>
        <w:rPr>
          <w:color w:val="000000" w:themeColor="text1"/>
        </w:rPr>
      </w:pPr>
      <w:r w:rsidRPr="00F86F9E">
        <w:rPr>
          <w:b/>
          <w:bCs/>
          <w:color w:val="000000" w:themeColor="text1"/>
          <w:sz w:val="20"/>
          <w:szCs w:val="20"/>
        </w:rPr>
        <w:t>3.</w:t>
      </w:r>
      <w:r w:rsidRPr="00F86F9E">
        <w:rPr>
          <w:b/>
          <w:bCs/>
          <w:color w:val="000000" w:themeColor="text1"/>
          <w:sz w:val="20"/>
          <w:szCs w:val="20"/>
        </w:rPr>
        <w:tab/>
      </w:r>
      <w:proofErr w:type="spellStart"/>
      <w:r w:rsidRPr="00F86F9E">
        <w:rPr>
          <w:color w:val="000000" w:themeColor="text1"/>
          <w:sz w:val="20"/>
          <w:szCs w:val="20"/>
        </w:rPr>
        <w:t>Araus</w:t>
      </w:r>
      <w:proofErr w:type="spellEnd"/>
      <w:r w:rsidRPr="00F86F9E">
        <w:rPr>
          <w:color w:val="000000" w:themeColor="text1"/>
          <w:sz w:val="20"/>
          <w:szCs w:val="20"/>
        </w:rPr>
        <w:t>, J. L., &amp; Cairns, J. E. (2014). Field high-throughput phenotyping: the new crop breeding frontier. Trends in Plant Science, 19(1), 52–61.</w:t>
      </w:r>
    </w:p>
    <w:p w14:paraId="197FBB46" w14:textId="77777777" w:rsidR="001E4973" w:rsidRPr="00F86F9E" w:rsidRDefault="00170421">
      <w:pPr>
        <w:spacing w:after="100"/>
        <w:ind w:left="720" w:hanging="720"/>
        <w:rPr>
          <w:color w:val="000000" w:themeColor="text1"/>
        </w:rPr>
      </w:pPr>
      <w:r w:rsidRPr="00F86F9E">
        <w:rPr>
          <w:b/>
          <w:bCs/>
          <w:color w:val="000000" w:themeColor="text1"/>
          <w:sz w:val="20"/>
          <w:szCs w:val="20"/>
        </w:rPr>
        <w:t>4.</w:t>
      </w:r>
      <w:r w:rsidRPr="00F86F9E">
        <w:rPr>
          <w:b/>
          <w:bCs/>
          <w:color w:val="000000" w:themeColor="text1"/>
          <w:sz w:val="20"/>
          <w:szCs w:val="20"/>
        </w:rPr>
        <w:tab/>
      </w:r>
      <w:proofErr w:type="spellStart"/>
      <w:r w:rsidRPr="00F86F9E">
        <w:rPr>
          <w:color w:val="000000" w:themeColor="text1"/>
          <w:sz w:val="20"/>
          <w:szCs w:val="20"/>
        </w:rPr>
        <w:t>Araus</w:t>
      </w:r>
      <w:proofErr w:type="spellEnd"/>
      <w:r w:rsidRPr="00F86F9E">
        <w:rPr>
          <w:color w:val="000000" w:themeColor="text1"/>
          <w:sz w:val="20"/>
          <w:szCs w:val="20"/>
        </w:rPr>
        <w:t>, J. L., Kefauver, S. C., Zaman-Allah, M., Olsen, M. S., &amp; Cairns, J. E. (2018). Translating high-throughput phenotyping into genetic gain. Trends in Plant Science, 23(5), 451–466.</w:t>
      </w:r>
    </w:p>
    <w:p w14:paraId="54403957" w14:textId="77777777" w:rsidR="001E4973" w:rsidRPr="00F86F9E" w:rsidRDefault="00170421">
      <w:pPr>
        <w:spacing w:after="100"/>
        <w:ind w:left="720" w:hanging="720"/>
        <w:rPr>
          <w:color w:val="000000" w:themeColor="text1"/>
        </w:rPr>
      </w:pPr>
      <w:r w:rsidRPr="00F86F9E">
        <w:rPr>
          <w:b/>
          <w:bCs/>
          <w:color w:val="000000" w:themeColor="text1"/>
          <w:sz w:val="20"/>
          <w:szCs w:val="20"/>
        </w:rPr>
        <w:t>5.</w:t>
      </w:r>
      <w:r w:rsidRPr="00F86F9E">
        <w:rPr>
          <w:b/>
          <w:bCs/>
          <w:color w:val="000000" w:themeColor="text1"/>
          <w:sz w:val="20"/>
          <w:szCs w:val="20"/>
        </w:rPr>
        <w:tab/>
      </w:r>
      <w:proofErr w:type="spellStart"/>
      <w:r w:rsidRPr="00F86F9E">
        <w:rPr>
          <w:color w:val="000000" w:themeColor="text1"/>
          <w:sz w:val="20"/>
          <w:szCs w:val="20"/>
        </w:rPr>
        <w:t>Atlin</w:t>
      </w:r>
      <w:proofErr w:type="spellEnd"/>
      <w:r w:rsidRPr="00F86F9E">
        <w:rPr>
          <w:color w:val="000000" w:themeColor="text1"/>
          <w:sz w:val="20"/>
          <w:szCs w:val="20"/>
        </w:rPr>
        <w:t>, G. N., Cairns, J. E., &amp; Das, B. (2017). Rapid breeding and varietal replacement are critical to adaptation of cropping systems in the developing world to climate change. Global Food Security, 12, 31–37.</w:t>
      </w:r>
    </w:p>
    <w:p w14:paraId="3EE4A60B" w14:textId="295E5193" w:rsidR="001E4973" w:rsidRPr="00F86F9E" w:rsidRDefault="00170421">
      <w:pPr>
        <w:spacing w:after="100"/>
        <w:ind w:left="720" w:hanging="720"/>
        <w:rPr>
          <w:color w:val="000000" w:themeColor="text1"/>
        </w:rPr>
      </w:pPr>
      <w:r w:rsidRPr="00F86F9E">
        <w:rPr>
          <w:b/>
          <w:bCs/>
          <w:color w:val="000000" w:themeColor="text1"/>
          <w:sz w:val="20"/>
          <w:szCs w:val="20"/>
        </w:rPr>
        <w:t>6.</w:t>
      </w:r>
      <w:r w:rsidRPr="00F86F9E">
        <w:rPr>
          <w:b/>
          <w:bCs/>
          <w:color w:val="000000" w:themeColor="text1"/>
          <w:sz w:val="20"/>
          <w:szCs w:val="20"/>
        </w:rPr>
        <w:tab/>
      </w:r>
      <w:r w:rsidRPr="00F86F9E">
        <w:rPr>
          <w:color w:val="000000" w:themeColor="text1"/>
          <w:sz w:val="20"/>
          <w:szCs w:val="20"/>
        </w:rPr>
        <w:t xml:space="preserve">Bentley, D. R., Balasubramanian, S., </w:t>
      </w:r>
      <w:proofErr w:type="spellStart"/>
      <w:r w:rsidRPr="00F86F9E">
        <w:rPr>
          <w:color w:val="000000" w:themeColor="text1"/>
          <w:sz w:val="20"/>
          <w:szCs w:val="20"/>
        </w:rPr>
        <w:t>Swerdlow</w:t>
      </w:r>
      <w:proofErr w:type="spellEnd"/>
      <w:r w:rsidRPr="00F86F9E">
        <w:rPr>
          <w:color w:val="000000" w:themeColor="text1"/>
          <w:sz w:val="20"/>
          <w:szCs w:val="20"/>
        </w:rPr>
        <w:t xml:space="preserve">, H. P., </w:t>
      </w:r>
      <w:r w:rsidR="00CF20A5" w:rsidRPr="00CF20A5">
        <w:rPr>
          <w:i/>
          <w:iCs/>
          <w:color w:val="000000" w:themeColor="text1"/>
          <w:sz w:val="20"/>
          <w:szCs w:val="20"/>
        </w:rPr>
        <w:t>et al</w:t>
      </w:r>
      <w:r w:rsidRPr="00F86F9E">
        <w:rPr>
          <w:color w:val="000000" w:themeColor="text1"/>
          <w:sz w:val="20"/>
          <w:szCs w:val="20"/>
        </w:rPr>
        <w:t>. (2008). Accurate whole human genome sequencing using reversible terminator chemistry. Nature, 456(7218), 53–59.</w:t>
      </w:r>
    </w:p>
    <w:p w14:paraId="64C2D7A6" w14:textId="77777777" w:rsidR="001E4973" w:rsidRPr="00F86F9E" w:rsidRDefault="00170421">
      <w:pPr>
        <w:spacing w:after="100"/>
        <w:ind w:left="720" w:hanging="720"/>
        <w:rPr>
          <w:color w:val="000000" w:themeColor="text1"/>
        </w:rPr>
      </w:pPr>
      <w:r w:rsidRPr="00F86F9E">
        <w:rPr>
          <w:b/>
          <w:bCs/>
          <w:color w:val="000000" w:themeColor="text1"/>
          <w:sz w:val="20"/>
          <w:szCs w:val="20"/>
        </w:rPr>
        <w:t>7.</w:t>
      </w:r>
      <w:r w:rsidRPr="00F86F9E">
        <w:rPr>
          <w:b/>
          <w:bCs/>
          <w:color w:val="000000" w:themeColor="text1"/>
          <w:sz w:val="20"/>
          <w:szCs w:val="20"/>
        </w:rPr>
        <w:tab/>
      </w:r>
      <w:proofErr w:type="spellStart"/>
      <w:r w:rsidRPr="00F86F9E">
        <w:rPr>
          <w:color w:val="000000" w:themeColor="text1"/>
          <w:sz w:val="20"/>
          <w:szCs w:val="20"/>
        </w:rPr>
        <w:t>Breiman</w:t>
      </w:r>
      <w:proofErr w:type="spellEnd"/>
      <w:r w:rsidRPr="00F86F9E">
        <w:rPr>
          <w:color w:val="000000" w:themeColor="text1"/>
          <w:sz w:val="20"/>
          <w:szCs w:val="20"/>
        </w:rPr>
        <w:t>, L. (2001). Random forests. Machine Learning, 45(1), 5–32.</w:t>
      </w:r>
    </w:p>
    <w:p w14:paraId="21D7EB79" w14:textId="77777777" w:rsidR="001E4973" w:rsidRPr="00F86F9E" w:rsidRDefault="00170421">
      <w:pPr>
        <w:spacing w:after="100"/>
        <w:ind w:left="720" w:hanging="720"/>
        <w:rPr>
          <w:color w:val="000000" w:themeColor="text1"/>
        </w:rPr>
      </w:pPr>
      <w:r w:rsidRPr="00F86F9E">
        <w:rPr>
          <w:b/>
          <w:bCs/>
          <w:color w:val="000000" w:themeColor="text1"/>
          <w:sz w:val="20"/>
          <w:szCs w:val="20"/>
        </w:rPr>
        <w:t>8.</w:t>
      </w:r>
      <w:r w:rsidRPr="00F86F9E">
        <w:rPr>
          <w:b/>
          <w:bCs/>
          <w:color w:val="000000" w:themeColor="text1"/>
          <w:sz w:val="20"/>
          <w:szCs w:val="20"/>
        </w:rPr>
        <w:tab/>
      </w:r>
      <w:r w:rsidRPr="00F86F9E">
        <w:rPr>
          <w:color w:val="000000" w:themeColor="text1"/>
          <w:sz w:val="20"/>
          <w:szCs w:val="20"/>
        </w:rPr>
        <w:t xml:space="preserve">Bull, S. E., </w:t>
      </w:r>
      <w:proofErr w:type="spellStart"/>
      <w:r w:rsidRPr="00F86F9E">
        <w:rPr>
          <w:color w:val="000000" w:themeColor="text1"/>
          <w:sz w:val="20"/>
          <w:szCs w:val="20"/>
        </w:rPr>
        <w:t>Owiti</w:t>
      </w:r>
      <w:proofErr w:type="spellEnd"/>
      <w:r w:rsidRPr="00F86F9E">
        <w:rPr>
          <w:color w:val="000000" w:themeColor="text1"/>
          <w:sz w:val="20"/>
          <w:szCs w:val="20"/>
        </w:rPr>
        <w:t xml:space="preserve">, J. A., Niklaus, M., </w:t>
      </w:r>
      <w:proofErr w:type="spellStart"/>
      <w:r w:rsidRPr="00F86F9E">
        <w:rPr>
          <w:color w:val="000000" w:themeColor="text1"/>
          <w:sz w:val="20"/>
          <w:szCs w:val="20"/>
        </w:rPr>
        <w:t>Beeching</w:t>
      </w:r>
      <w:proofErr w:type="spellEnd"/>
      <w:r w:rsidRPr="00F86F9E">
        <w:rPr>
          <w:color w:val="000000" w:themeColor="text1"/>
          <w:sz w:val="20"/>
          <w:szCs w:val="20"/>
        </w:rPr>
        <w:t xml:space="preserve">, J. R., </w:t>
      </w:r>
      <w:proofErr w:type="spellStart"/>
      <w:r w:rsidRPr="00F86F9E">
        <w:rPr>
          <w:color w:val="000000" w:themeColor="text1"/>
          <w:sz w:val="20"/>
          <w:szCs w:val="20"/>
        </w:rPr>
        <w:t>Gruissem</w:t>
      </w:r>
      <w:proofErr w:type="spellEnd"/>
      <w:r w:rsidRPr="00F86F9E">
        <w:rPr>
          <w:color w:val="000000" w:themeColor="text1"/>
          <w:sz w:val="20"/>
          <w:szCs w:val="20"/>
        </w:rPr>
        <w:t xml:space="preserve">, W., &amp; </w:t>
      </w:r>
      <w:proofErr w:type="spellStart"/>
      <w:r w:rsidRPr="00F86F9E">
        <w:rPr>
          <w:color w:val="000000" w:themeColor="text1"/>
          <w:sz w:val="20"/>
          <w:szCs w:val="20"/>
        </w:rPr>
        <w:t>Vanderschuren</w:t>
      </w:r>
      <w:proofErr w:type="spellEnd"/>
      <w:r w:rsidRPr="00F86F9E">
        <w:rPr>
          <w:color w:val="000000" w:themeColor="text1"/>
          <w:sz w:val="20"/>
          <w:szCs w:val="20"/>
        </w:rPr>
        <w:t xml:space="preserve">, H. (2018). Agrobacterium-mediated plant transformation of friable embryogenic </w:t>
      </w:r>
      <w:proofErr w:type="spellStart"/>
      <w:r w:rsidRPr="00F86F9E">
        <w:rPr>
          <w:color w:val="000000" w:themeColor="text1"/>
          <w:sz w:val="20"/>
          <w:szCs w:val="20"/>
        </w:rPr>
        <w:t>calli</w:t>
      </w:r>
      <w:proofErr w:type="spellEnd"/>
      <w:r w:rsidRPr="00F86F9E">
        <w:rPr>
          <w:color w:val="000000" w:themeColor="text1"/>
          <w:sz w:val="20"/>
          <w:szCs w:val="20"/>
        </w:rPr>
        <w:t xml:space="preserve"> and regeneration of transgenic cassava. Nature Protocols, 4(12), 1845–1854.</w:t>
      </w:r>
    </w:p>
    <w:p w14:paraId="73715792" w14:textId="77777777" w:rsidR="001E4973" w:rsidRPr="00F86F9E" w:rsidRDefault="00170421">
      <w:pPr>
        <w:spacing w:after="100"/>
        <w:ind w:left="720" w:hanging="720"/>
        <w:rPr>
          <w:color w:val="000000" w:themeColor="text1"/>
        </w:rPr>
      </w:pPr>
      <w:r w:rsidRPr="00F86F9E">
        <w:rPr>
          <w:b/>
          <w:bCs/>
          <w:color w:val="000000" w:themeColor="text1"/>
          <w:sz w:val="20"/>
          <w:szCs w:val="20"/>
        </w:rPr>
        <w:t>9.</w:t>
      </w:r>
      <w:r w:rsidRPr="00F86F9E">
        <w:rPr>
          <w:b/>
          <w:bCs/>
          <w:color w:val="000000" w:themeColor="text1"/>
          <w:sz w:val="20"/>
          <w:szCs w:val="20"/>
        </w:rPr>
        <w:tab/>
      </w:r>
      <w:r w:rsidRPr="00F86F9E">
        <w:rPr>
          <w:color w:val="000000" w:themeColor="text1"/>
          <w:sz w:val="20"/>
          <w:szCs w:val="20"/>
        </w:rPr>
        <w:t xml:space="preserve">Cabrera-Bosquet, L., </w:t>
      </w:r>
      <w:proofErr w:type="spellStart"/>
      <w:r w:rsidRPr="00F86F9E">
        <w:rPr>
          <w:color w:val="000000" w:themeColor="text1"/>
          <w:sz w:val="20"/>
          <w:szCs w:val="20"/>
        </w:rPr>
        <w:t>Crossa</w:t>
      </w:r>
      <w:proofErr w:type="spellEnd"/>
      <w:r w:rsidRPr="00F86F9E">
        <w:rPr>
          <w:color w:val="000000" w:themeColor="text1"/>
          <w:sz w:val="20"/>
          <w:szCs w:val="20"/>
        </w:rPr>
        <w:t xml:space="preserve">, J., von </w:t>
      </w:r>
      <w:proofErr w:type="spellStart"/>
      <w:r w:rsidRPr="00F86F9E">
        <w:rPr>
          <w:color w:val="000000" w:themeColor="text1"/>
          <w:sz w:val="20"/>
          <w:szCs w:val="20"/>
        </w:rPr>
        <w:t>Zitzewitz</w:t>
      </w:r>
      <w:proofErr w:type="spellEnd"/>
      <w:r w:rsidRPr="00F86F9E">
        <w:rPr>
          <w:color w:val="000000" w:themeColor="text1"/>
          <w:sz w:val="20"/>
          <w:szCs w:val="20"/>
        </w:rPr>
        <w:t xml:space="preserve">, J., </w:t>
      </w:r>
      <w:proofErr w:type="spellStart"/>
      <w:r w:rsidRPr="00F86F9E">
        <w:rPr>
          <w:color w:val="000000" w:themeColor="text1"/>
          <w:sz w:val="20"/>
          <w:szCs w:val="20"/>
        </w:rPr>
        <w:t>Serret</w:t>
      </w:r>
      <w:proofErr w:type="spellEnd"/>
      <w:r w:rsidRPr="00F86F9E">
        <w:rPr>
          <w:color w:val="000000" w:themeColor="text1"/>
          <w:sz w:val="20"/>
          <w:szCs w:val="20"/>
        </w:rPr>
        <w:t xml:space="preserve">, M. D., &amp; </w:t>
      </w:r>
      <w:proofErr w:type="spellStart"/>
      <w:r w:rsidRPr="00F86F9E">
        <w:rPr>
          <w:color w:val="000000" w:themeColor="text1"/>
          <w:sz w:val="20"/>
          <w:szCs w:val="20"/>
        </w:rPr>
        <w:t>Araus</w:t>
      </w:r>
      <w:proofErr w:type="spellEnd"/>
      <w:r w:rsidRPr="00F86F9E">
        <w:rPr>
          <w:color w:val="000000" w:themeColor="text1"/>
          <w:sz w:val="20"/>
          <w:szCs w:val="20"/>
        </w:rPr>
        <w:t>, J. L. (2012). High-throughput phenotyping and genomic selection: The frontiers of crop breeding converge. Journal of Integrative Plant Biology, 54(5), 312–320.</w:t>
      </w:r>
    </w:p>
    <w:p w14:paraId="5E397B57" w14:textId="77777777" w:rsidR="001E4973" w:rsidRPr="00F86F9E" w:rsidRDefault="00170421">
      <w:pPr>
        <w:spacing w:after="100"/>
        <w:ind w:left="720" w:hanging="720"/>
        <w:rPr>
          <w:color w:val="000000" w:themeColor="text1"/>
        </w:rPr>
      </w:pPr>
      <w:r w:rsidRPr="00F86F9E">
        <w:rPr>
          <w:b/>
          <w:bCs/>
          <w:color w:val="000000" w:themeColor="text1"/>
          <w:sz w:val="20"/>
          <w:szCs w:val="20"/>
        </w:rPr>
        <w:t>10.</w:t>
      </w:r>
      <w:r w:rsidRPr="00F86F9E">
        <w:rPr>
          <w:b/>
          <w:bCs/>
          <w:color w:val="000000" w:themeColor="text1"/>
          <w:sz w:val="20"/>
          <w:szCs w:val="20"/>
        </w:rPr>
        <w:tab/>
      </w:r>
      <w:r w:rsidRPr="00F86F9E">
        <w:rPr>
          <w:color w:val="000000" w:themeColor="text1"/>
          <w:sz w:val="20"/>
          <w:szCs w:val="20"/>
        </w:rPr>
        <w:t xml:space="preserve">Campos, G., Hickey, J. M., Pong-Wong, R., </w:t>
      </w:r>
      <w:proofErr w:type="spellStart"/>
      <w:r w:rsidRPr="00F86F9E">
        <w:rPr>
          <w:color w:val="000000" w:themeColor="text1"/>
          <w:sz w:val="20"/>
          <w:szCs w:val="20"/>
        </w:rPr>
        <w:t>Daetwyler</w:t>
      </w:r>
      <w:proofErr w:type="spellEnd"/>
      <w:r w:rsidRPr="00F86F9E">
        <w:rPr>
          <w:color w:val="000000" w:themeColor="text1"/>
          <w:sz w:val="20"/>
          <w:szCs w:val="20"/>
        </w:rPr>
        <w:t xml:space="preserve">, H. D., &amp; </w:t>
      </w:r>
      <w:proofErr w:type="spellStart"/>
      <w:r w:rsidRPr="00F86F9E">
        <w:rPr>
          <w:color w:val="000000" w:themeColor="text1"/>
          <w:sz w:val="20"/>
          <w:szCs w:val="20"/>
        </w:rPr>
        <w:t>Calus</w:t>
      </w:r>
      <w:proofErr w:type="spellEnd"/>
      <w:r w:rsidRPr="00F86F9E">
        <w:rPr>
          <w:color w:val="000000" w:themeColor="text1"/>
          <w:sz w:val="20"/>
          <w:szCs w:val="20"/>
        </w:rPr>
        <w:t>, M. P. (2013). Whole-genome regression and prediction methods applied to plant and animal breeding. Genetics, 193(2), 327–345.</w:t>
      </w:r>
    </w:p>
    <w:p w14:paraId="5E3DA9D2" w14:textId="77777777" w:rsidR="001E4973" w:rsidRPr="00F86F9E" w:rsidRDefault="00170421">
      <w:pPr>
        <w:spacing w:after="100"/>
        <w:ind w:left="720" w:hanging="720"/>
        <w:rPr>
          <w:color w:val="000000" w:themeColor="text1"/>
        </w:rPr>
      </w:pPr>
      <w:r w:rsidRPr="00F86F9E">
        <w:rPr>
          <w:b/>
          <w:bCs/>
          <w:color w:val="000000" w:themeColor="text1"/>
          <w:sz w:val="20"/>
          <w:szCs w:val="20"/>
        </w:rPr>
        <w:t>11.</w:t>
      </w:r>
      <w:r w:rsidRPr="00F86F9E">
        <w:rPr>
          <w:b/>
          <w:bCs/>
          <w:color w:val="000000" w:themeColor="text1"/>
          <w:sz w:val="20"/>
          <w:szCs w:val="20"/>
        </w:rPr>
        <w:tab/>
      </w:r>
      <w:r w:rsidRPr="00F86F9E">
        <w:rPr>
          <w:color w:val="000000" w:themeColor="text1"/>
          <w:sz w:val="20"/>
          <w:szCs w:val="20"/>
        </w:rPr>
        <w:t xml:space="preserve">Crain, J., Mondal, S., </w:t>
      </w:r>
      <w:proofErr w:type="spellStart"/>
      <w:r w:rsidRPr="00F86F9E">
        <w:rPr>
          <w:color w:val="000000" w:themeColor="text1"/>
          <w:sz w:val="20"/>
          <w:szCs w:val="20"/>
        </w:rPr>
        <w:t>Rutkoski</w:t>
      </w:r>
      <w:proofErr w:type="spellEnd"/>
      <w:r w:rsidRPr="00F86F9E">
        <w:rPr>
          <w:color w:val="000000" w:themeColor="text1"/>
          <w:sz w:val="20"/>
          <w:szCs w:val="20"/>
        </w:rPr>
        <w:t>, J., Singh, R. P., &amp; Poland, J. (2018). Combining high-throughput phenotyping and genomic information to increase prediction and selection accuracy in wheat breeding. The Plant Genome, 11(1), 170043.</w:t>
      </w:r>
    </w:p>
    <w:p w14:paraId="7EA8C8BC" w14:textId="20482F10" w:rsidR="001E4973" w:rsidRPr="00F86F9E" w:rsidRDefault="00170421">
      <w:pPr>
        <w:spacing w:after="100"/>
        <w:ind w:left="720" w:hanging="720"/>
        <w:rPr>
          <w:color w:val="000000" w:themeColor="text1"/>
        </w:rPr>
      </w:pPr>
      <w:r w:rsidRPr="00F86F9E">
        <w:rPr>
          <w:b/>
          <w:bCs/>
          <w:color w:val="000000" w:themeColor="text1"/>
          <w:sz w:val="20"/>
          <w:szCs w:val="20"/>
        </w:rPr>
        <w:t>12.</w:t>
      </w:r>
      <w:r w:rsidRPr="00F86F9E">
        <w:rPr>
          <w:b/>
          <w:bCs/>
          <w:color w:val="000000" w:themeColor="text1"/>
          <w:sz w:val="20"/>
          <w:szCs w:val="20"/>
        </w:rPr>
        <w:tab/>
      </w:r>
      <w:proofErr w:type="spellStart"/>
      <w:r w:rsidRPr="00F86F9E">
        <w:rPr>
          <w:color w:val="000000" w:themeColor="text1"/>
          <w:sz w:val="20"/>
          <w:szCs w:val="20"/>
        </w:rPr>
        <w:t>Crossa</w:t>
      </w:r>
      <w:proofErr w:type="spellEnd"/>
      <w:r w:rsidRPr="00F86F9E">
        <w:rPr>
          <w:color w:val="000000" w:themeColor="text1"/>
          <w:sz w:val="20"/>
          <w:szCs w:val="20"/>
        </w:rPr>
        <w:t xml:space="preserve">, J., Pérez-Rodríguez, P., Cuevas, J., Montesinos-López, O., </w:t>
      </w:r>
      <w:proofErr w:type="spellStart"/>
      <w:r w:rsidRPr="00F86F9E">
        <w:rPr>
          <w:color w:val="000000" w:themeColor="text1"/>
          <w:sz w:val="20"/>
          <w:szCs w:val="20"/>
        </w:rPr>
        <w:t>Jarquín</w:t>
      </w:r>
      <w:proofErr w:type="spellEnd"/>
      <w:r w:rsidRPr="00F86F9E">
        <w:rPr>
          <w:color w:val="000000" w:themeColor="text1"/>
          <w:sz w:val="20"/>
          <w:szCs w:val="20"/>
        </w:rPr>
        <w:t xml:space="preserve">, D., de los Campos, G., ... &amp; </w:t>
      </w:r>
      <w:proofErr w:type="spellStart"/>
      <w:r w:rsidRPr="00F86F9E">
        <w:rPr>
          <w:color w:val="000000" w:themeColor="text1"/>
          <w:sz w:val="20"/>
          <w:szCs w:val="20"/>
        </w:rPr>
        <w:t>Dreisigacker</w:t>
      </w:r>
      <w:proofErr w:type="spellEnd"/>
      <w:r w:rsidRPr="00F86F9E">
        <w:rPr>
          <w:color w:val="000000" w:themeColor="text1"/>
          <w:sz w:val="20"/>
          <w:szCs w:val="20"/>
        </w:rPr>
        <w:t>, S. (2017). Genomic selection in plant breeding: Methods, models</w:t>
      </w:r>
      <w:r w:rsidR="00CF20A5">
        <w:rPr>
          <w:color w:val="000000" w:themeColor="text1"/>
          <w:sz w:val="20"/>
          <w:szCs w:val="20"/>
        </w:rPr>
        <w:t xml:space="preserve"> and</w:t>
      </w:r>
      <w:r w:rsidRPr="00F86F9E">
        <w:rPr>
          <w:color w:val="000000" w:themeColor="text1"/>
          <w:sz w:val="20"/>
          <w:szCs w:val="20"/>
        </w:rPr>
        <w:t xml:space="preserve"> perspectives. Trends in Plant Science, 22(11), 961–975.</w:t>
      </w:r>
    </w:p>
    <w:p w14:paraId="2C29C045" w14:textId="62845AB9" w:rsidR="001E4973" w:rsidRPr="00F86F9E" w:rsidRDefault="00170421">
      <w:pPr>
        <w:spacing w:after="100"/>
        <w:ind w:left="720" w:hanging="720"/>
        <w:rPr>
          <w:color w:val="000000" w:themeColor="text1"/>
        </w:rPr>
      </w:pPr>
      <w:r w:rsidRPr="00F86F9E">
        <w:rPr>
          <w:b/>
          <w:bCs/>
          <w:color w:val="000000" w:themeColor="text1"/>
          <w:sz w:val="20"/>
          <w:szCs w:val="20"/>
        </w:rPr>
        <w:t>13.</w:t>
      </w:r>
      <w:r w:rsidRPr="00F86F9E">
        <w:rPr>
          <w:b/>
          <w:bCs/>
          <w:color w:val="000000" w:themeColor="text1"/>
          <w:sz w:val="20"/>
          <w:szCs w:val="20"/>
        </w:rPr>
        <w:tab/>
      </w:r>
      <w:proofErr w:type="spellStart"/>
      <w:r w:rsidRPr="00F86F9E">
        <w:rPr>
          <w:color w:val="000000" w:themeColor="text1"/>
          <w:sz w:val="20"/>
          <w:szCs w:val="20"/>
        </w:rPr>
        <w:t>Daetwyler</w:t>
      </w:r>
      <w:proofErr w:type="spellEnd"/>
      <w:r w:rsidRPr="00F86F9E">
        <w:rPr>
          <w:color w:val="000000" w:themeColor="text1"/>
          <w:sz w:val="20"/>
          <w:szCs w:val="20"/>
        </w:rPr>
        <w:t xml:space="preserve">, H. D., </w:t>
      </w:r>
      <w:proofErr w:type="spellStart"/>
      <w:r w:rsidRPr="00F86F9E">
        <w:rPr>
          <w:color w:val="000000" w:themeColor="text1"/>
          <w:sz w:val="20"/>
          <w:szCs w:val="20"/>
        </w:rPr>
        <w:t>Calus</w:t>
      </w:r>
      <w:proofErr w:type="spellEnd"/>
      <w:r w:rsidRPr="00F86F9E">
        <w:rPr>
          <w:color w:val="000000" w:themeColor="text1"/>
          <w:sz w:val="20"/>
          <w:szCs w:val="20"/>
        </w:rPr>
        <w:t>, M. P., Pong-Wong, R., de los Campos, G., &amp; Hickey, J. M. (2013). Genomic prediction in animals and plants: simulation of data, validation, reporting</w:t>
      </w:r>
      <w:r w:rsidR="00CF20A5">
        <w:rPr>
          <w:color w:val="000000" w:themeColor="text1"/>
          <w:sz w:val="20"/>
          <w:szCs w:val="20"/>
        </w:rPr>
        <w:t xml:space="preserve"> and</w:t>
      </w:r>
      <w:r w:rsidRPr="00F86F9E">
        <w:rPr>
          <w:color w:val="000000" w:themeColor="text1"/>
          <w:sz w:val="20"/>
          <w:szCs w:val="20"/>
        </w:rPr>
        <w:t xml:space="preserve"> benchmarking. Genetics, 193(2), 347–365.</w:t>
      </w:r>
    </w:p>
    <w:p w14:paraId="58C1E72A" w14:textId="77777777" w:rsidR="001E4973" w:rsidRPr="00F86F9E" w:rsidRDefault="00170421">
      <w:pPr>
        <w:spacing w:after="100"/>
        <w:ind w:left="720" w:hanging="720"/>
        <w:rPr>
          <w:color w:val="000000" w:themeColor="text1"/>
        </w:rPr>
      </w:pPr>
      <w:r w:rsidRPr="00F86F9E">
        <w:rPr>
          <w:b/>
          <w:bCs/>
          <w:color w:val="000000" w:themeColor="text1"/>
          <w:sz w:val="20"/>
          <w:szCs w:val="20"/>
        </w:rPr>
        <w:t>14.</w:t>
      </w:r>
      <w:r w:rsidRPr="00F86F9E">
        <w:rPr>
          <w:b/>
          <w:bCs/>
          <w:color w:val="000000" w:themeColor="text1"/>
          <w:sz w:val="20"/>
          <w:szCs w:val="20"/>
        </w:rPr>
        <w:tab/>
      </w:r>
      <w:r w:rsidRPr="00F86F9E">
        <w:rPr>
          <w:color w:val="000000" w:themeColor="text1"/>
          <w:sz w:val="20"/>
          <w:szCs w:val="20"/>
        </w:rPr>
        <w:t>Das Gupta, M., &amp; Nath, U. (2015). Divergence in patterns of leaf growth polarity is associated with the expression divergence of miR396. The Plant Cell, 27(10), 2785–2799.</w:t>
      </w:r>
    </w:p>
    <w:p w14:paraId="21CE16C5" w14:textId="77777777" w:rsidR="001E4973" w:rsidRPr="00F86F9E" w:rsidRDefault="00170421">
      <w:pPr>
        <w:spacing w:after="100"/>
        <w:ind w:left="720" w:hanging="720"/>
        <w:rPr>
          <w:color w:val="000000" w:themeColor="text1"/>
        </w:rPr>
      </w:pPr>
      <w:r w:rsidRPr="00F86F9E">
        <w:rPr>
          <w:b/>
          <w:bCs/>
          <w:color w:val="000000" w:themeColor="text1"/>
          <w:sz w:val="20"/>
          <w:szCs w:val="20"/>
        </w:rPr>
        <w:t>15.</w:t>
      </w:r>
      <w:r w:rsidRPr="00F86F9E">
        <w:rPr>
          <w:b/>
          <w:bCs/>
          <w:color w:val="000000" w:themeColor="text1"/>
          <w:sz w:val="20"/>
          <w:szCs w:val="20"/>
        </w:rPr>
        <w:tab/>
      </w:r>
      <w:r w:rsidRPr="00F86F9E">
        <w:rPr>
          <w:color w:val="000000" w:themeColor="text1"/>
          <w:sz w:val="20"/>
          <w:szCs w:val="20"/>
        </w:rPr>
        <w:t xml:space="preserve">Demir, I., &amp; </w:t>
      </w:r>
      <w:proofErr w:type="spellStart"/>
      <w:r w:rsidRPr="00F86F9E">
        <w:rPr>
          <w:color w:val="000000" w:themeColor="text1"/>
          <w:sz w:val="20"/>
          <w:szCs w:val="20"/>
        </w:rPr>
        <w:t>Mavi</w:t>
      </w:r>
      <w:proofErr w:type="spellEnd"/>
      <w:r w:rsidRPr="00F86F9E">
        <w:rPr>
          <w:color w:val="000000" w:themeColor="text1"/>
          <w:sz w:val="20"/>
          <w:szCs w:val="20"/>
        </w:rPr>
        <w:t>, K. (2008). Prediction of optimum germination temperature for different seed quality groups of watermelon seeds using machine learning models. Journal of Applied Botany and Food Quality, 81(2), 121–126.</w:t>
      </w:r>
    </w:p>
    <w:p w14:paraId="7A4C353E" w14:textId="77777777" w:rsidR="001E4973" w:rsidRPr="00F86F9E" w:rsidRDefault="00170421">
      <w:pPr>
        <w:spacing w:after="100"/>
        <w:ind w:left="720" w:hanging="720"/>
        <w:rPr>
          <w:color w:val="000000" w:themeColor="text1"/>
        </w:rPr>
      </w:pPr>
      <w:r w:rsidRPr="00F86F9E">
        <w:rPr>
          <w:b/>
          <w:bCs/>
          <w:color w:val="000000" w:themeColor="text1"/>
          <w:sz w:val="20"/>
          <w:szCs w:val="20"/>
        </w:rPr>
        <w:t>16.</w:t>
      </w:r>
      <w:r w:rsidRPr="00F86F9E">
        <w:rPr>
          <w:b/>
          <w:bCs/>
          <w:color w:val="000000" w:themeColor="text1"/>
          <w:sz w:val="20"/>
          <w:szCs w:val="20"/>
        </w:rPr>
        <w:tab/>
      </w:r>
      <w:proofErr w:type="spellStart"/>
      <w:r w:rsidRPr="00F86F9E">
        <w:rPr>
          <w:color w:val="000000" w:themeColor="text1"/>
          <w:sz w:val="20"/>
          <w:szCs w:val="20"/>
        </w:rPr>
        <w:t>Doebley</w:t>
      </w:r>
      <w:proofErr w:type="spellEnd"/>
      <w:r w:rsidRPr="00F86F9E">
        <w:rPr>
          <w:color w:val="000000" w:themeColor="text1"/>
          <w:sz w:val="20"/>
          <w:szCs w:val="20"/>
        </w:rPr>
        <w:t xml:space="preserve">, J. F., </w:t>
      </w:r>
      <w:proofErr w:type="spellStart"/>
      <w:r w:rsidRPr="00F86F9E">
        <w:rPr>
          <w:color w:val="000000" w:themeColor="text1"/>
          <w:sz w:val="20"/>
          <w:szCs w:val="20"/>
        </w:rPr>
        <w:t>Gaut</w:t>
      </w:r>
      <w:proofErr w:type="spellEnd"/>
      <w:r w:rsidRPr="00F86F9E">
        <w:rPr>
          <w:color w:val="000000" w:themeColor="text1"/>
          <w:sz w:val="20"/>
          <w:szCs w:val="20"/>
        </w:rPr>
        <w:t>, B. S., &amp; Smith, B. D. (2006). The molecular genetics of crop domestication. Cell, 127(7), 1309–1321.</w:t>
      </w:r>
    </w:p>
    <w:p w14:paraId="58A375C5" w14:textId="77777777" w:rsidR="001E4973" w:rsidRPr="00F86F9E" w:rsidRDefault="00170421">
      <w:pPr>
        <w:spacing w:after="100"/>
        <w:ind w:left="720" w:hanging="720"/>
        <w:rPr>
          <w:color w:val="000000" w:themeColor="text1"/>
        </w:rPr>
      </w:pPr>
      <w:r w:rsidRPr="00F86F9E">
        <w:rPr>
          <w:b/>
          <w:bCs/>
          <w:color w:val="000000" w:themeColor="text1"/>
          <w:sz w:val="20"/>
          <w:szCs w:val="20"/>
        </w:rPr>
        <w:t>17.</w:t>
      </w:r>
      <w:r w:rsidRPr="00F86F9E">
        <w:rPr>
          <w:b/>
          <w:bCs/>
          <w:color w:val="000000" w:themeColor="text1"/>
          <w:sz w:val="20"/>
          <w:szCs w:val="20"/>
        </w:rPr>
        <w:tab/>
      </w:r>
      <w:proofErr w:type="spellStart"/>
      <w:r w:rsidRPr="00F86F9E">
        <w:rPr>
          <w:color w:val="000000" w:themeColor="text1"/>
          <w:sz w:val="20"/>
          <w:szCs w:val="20"/>
        </w:rPr>
        <w:t>Elshire</w:t>
      </w:r>
      <w:proofErr w:type="spellEnd"/>
      <w:r w:rsidRPr="00F86F9E">
        <w:rPr>
          <w:color w:val="000000" w:themeColor="text1"/>
          <w:sz w:val="20"/>
          <w:szCs w:val="20"/>
        </w:rPr>
        <w:t xml:space="preserve">, R. J., </w:t>
      </w:r>
      <w:proofErr w:type="spellStart"/>
      <w:r w:rsidRPr="00F86F9E">
        <w:rPr>
          <w:color w:val="000000" w:themeColor="text1"/>
          <w:sz w:val="20"/>
          <w:szCs w:val="20"/>
        </w:rPr>
        <w:t>Glaubitz</w:t>
      </w:r>
      <w:proofErr w:type="spellEnd"/>
      <w:r w:rsidRPr="00F86F9E">
        <w:rPr>
          <w:color w:val="000000" w:themeColor="text1"/>
          <w:sz w:val="20"/>
          <w:szCs w:val="20"/>
        </w:rPr>
        <w:t xml:space="preserve">, J. C., Sun, Q., Poland, J. A., Kawamoto, K., Buckler, E. S., &amp; Mitchell, S. E. (2011). A robust, simple genotyping-by-sequencing (GBS) approach for high diversity species. </w:t>
      </w:r>
      <w:proofErr w:type="spellStart"/>
      <w:r w:rsidRPr="00F86F9E">
        <w:rPr>
          <w:color w:val="000000" w:themeColor="text1"/>
          <w:sz w:val="20"/>
          <w:szCs w:val="20"/>
        </w:rPr>
        <w:t>PloS</w:t>
      </w:r>
      <w:proofErr w:type="spellEnd"/>
      <w:r w:rsidRPr="00F86F9E">
        <w:rPr>
          <w:color w:val="000000" w:themeColor="text1"/>
          <w:sz w:val="20"/>
          <w:szCs w:val="20"/>
        </w:rPr>
        <w:t xml:space="preserve"> ONE, 6(5), e19379.</w:t>
      </w:r>
    </w:p>
    <w:p w14:paraId="11E9F64A" w14:textId="77777777" w:rsidR="001E4973" w:rsidRPr="00F86F9E" w:rsidRDefault="00170421">
      <w:pPr>
        <w:spacing w:after="100"/>
        <w:ind w:left="720" w:hanging="720"/>
        <w:rPr>
          <w:color w:val="000000" w:themeColor="text1"/>
        </w:rPr>
      </w:pPr>
      <w:r w:rsidRPr="00F86F9E">
        <w:rPr>
          <w:b/>
          <w:bCs/>
          <w:color w:val="000000" w:themeColor="text1"/>
          <w:sz w:val="20"/>
          <w:szCs w:val="20"/>
        </w:rPr>
        <w:t>18.</w:t>
      </w:r>
      <w:r w:rsidRPr="00F86F9E">
        <w:rPr>
          <w:b/>
          <w:bCs/>
          <w:color w:val="000000" w:themeColor="text1"/>
          <w:sz w:val="20"/>
          <w:szCs w:val="20"/>
        </w:rPr>
        <w:tab/>
      </w:r>
      <w:proofErr w:type="spellStart"/>
      <w:r w:rsidRPr="00F86F9E">
        <w:rPr>
          <w:color w:val="000000" w:themeColor="text1"/>
          <w:sz w:val="20"/>
          <w:szCs w:val="20"/>
        </w:rPr>
        <w:t>Fahlgren</w:t>
      </w:r>
      <w:proofErr w:type="spellEnd"/>
      <w:r w:rsidRPr="00F86F9E">
        <w:rPr>
          <w:color w:val="000000" w:themeColor="text1"/>
          <w:sz w:val="20"/>
          <w:szCs w:val="20"/>
        </w:rPr>
        <w:t xml:space="preserve">, N., </w:t>
      </w:r>
      <w:proofErr w:type="spellStart"/>
      <w:r w:rsidRPr="00F86F9E">
        <w:rPr>
          <w:color w:val="000000" w:themeColor="text1"/>
          <w:sz w:val="20"/>
          <w:szCs w:val="20"/>
        </w:rPr>
        <w:t>Gehan</w:t>
      </w:r>
      <w:proofErr w:type="spellEnd"/>
      <w:r w:rsidRPr="00F86F9E">
        <w:rPr>
          <w:color w:val="000000" w:themeColor="text1"/>
          <w:sz w:val="20"/>
          <w:szCs w:val="20"/>
        </w:rPr>
        <w:t>, M. A., &amp; Baxter, I. (2015). Lights, camera, action: high-throughput plant phenotyping is ready for a close-up. Current Opinion in Plant Biology, 24, 93–99.</w:t>
      </w:r>
    </w:p>
    <w:p w14:paraId="579A21B0" w14:textId="77777777" w:rsidR="001E4973" w:rsidRPr="00F86F9E" w:rsidRDefault="00170421">
      <w:pPr>
        <w:spacing w:after="100"/>
        <w:ind w:left="720" w:hanging="720"/>
        <w:rPr>
          <w:color w:val="000000" w:themeColor="text1"/>
        </w:rPr>
      </w:pPr>
      <w:r w:rsidRPr="00F86F9E">
        <w:rPr>
          <w:b/>
          <w:bCs/>
          <w:color w:val="000000" w:themeColor="text1"/>
          <w:sz w:val="20"/>
          <w:szCs w:val="20"/>
        </w:rPr>
        <w:t>19.</w:t>
      </w:r>
      <w:r w:rsidRPr="00F86F9E">
        <w:rPr>
          <w:b/>
          <w:bCs/>
          <w:color w:val="000000" w:themeColor="text1"/>
          <w:sz w:val="20"/>
          <w:szCs w:val="20"/>
        </w:rPr>
        <w:tab/>
      </w:r>
      <w:r w:rsidRPr="00F86F9E">
        <w:rPr>
          <w:color w:val="000000" w:themeColor="text1"/>
          <w:sz w:val="20"/>
          <w:szCs w:val="20"/>
        </w:rPr>
        <w:t>FAO (2021). The State of the World's Land and Water Resources for Food and Agriculture. FAO, Rome.</w:t>
      </w:r>
    </w:p>
    <w:p w14:paraId="4F0B4E9A"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20.</w:t>
      </w:r>
      <w:r w:rsidRPr="00F86F9E">
        <w:rPr>
          <w:b/>
          <w:bCs/>
          <w:color w:val="000000" w:themeColor="text1"/>
          <w:sz w:val="20"/>
          <w:szCs w:val="20"/>
        </w:rPr>
        <w:tab/>
      </w:r>
      <w:proofErr w:type="spellStart"/>
      <w:r w:rsidRPr="00F86F9E">
        <w:rPr>
          <w:color w:val="000000" w:themeColor="text1"/>
          <w:sz w:val="20"/>
          <w:szCs w:val="20"/>
        </w:rPr>
        <w:t>Ganal</w:t>
      </w:r>
      <w:proofErr w:type="spellEnd"/>
      <w:r w:rsidRPr="00F86F9E">
        <w:rPr>
          <w:color w:val="000000" w:themeColor="text1"/>
          <w:sz w:val="20"/>
          <w:szCs w:val="20"/>
        </w:rPr>
        <w:t xml:space="preserve">, M. W., Altmann, T., &amp; </w:t>
      </w:r>
      <w:proofErr w:type="spellStart"/>
      <w:r w:rsidRPr="00F86F9E">
        <w:rPr>
          <w:color w:val="000000" w:themeColor="text1"/>
          <w:sz w:val="20"/>
          <w:szCs w:val="20"/>
        </w:rPr>
        <w:t>Röder</w:t>
      </w:r>
      <w:proofErr w:type="spellEnd"/>
      <w:r w:rsidRPr="00F86F9E">
        <w:rPr>
          <w:color w:val="000000" w:themeColor="text1"/>
          <w:sz w:val="20"/>
          <w:szCs w:val="20"/>
        </w:rPr>
        <w:t>, M. S. (2012). SNP identification in crop plants. Current Opinion in Plant Biology, 12(2), 211–217.</w:t>
      </w:r>
    </w:p>
    <w:p w14:paraId="7FD358D6" w14:textId="77777777" w:rsidR="001E4973" w:rsidRPr="00F86F9E" w:rsidRDefault="00170421">
      <w:pPr>
        <w:spacing w:after="100"/>
        <w:ind w:left="720" w:hanging="720"/>
        <w:rPr>
          <w:color w:val="000000" w:themeColor="text1"/>
        </w:rPr>
      </w:pPr>
      <w:r w:rsidRPr="00F86F9E">
        <w:rPr>
          <w:b/>
          <w:bCs/>
          <w:color w:val="000000" w:themeColor="text1"/>
          <w:sz w:val="20"/>
          <w:szCs w:val="20"/>
        </w:rPr>
        <w:t>21.</w:t>
      </w:r>
      <w:r w:rsidRPr="00F86F9E">
        <w:rPr>
          <w:b/>
          <w:bCs/>
          <w:color w:val="000000" w:themeColor="text1"/>
          <w:sz w:val="20"/>
          <w:szCs w:val="20"/>
        </w:rPr>
        <w:tab/>
      </w:r>
      <w:r w:rsidRPr="00F86F9E">
        <w:rPr>
          <w:color w:val="000000" w:themeColor="text1"/>
          <w:sz w:val="20"/>
          <w:szCs w:val="20"/>
        </w:rPr>
        <w:t xml:space="preserve">Gelman, A., Carlin, J. B., Stern, H. S., Dunson, D. B., </w:t>
      </w:r>
      <w:proofErr w:type="spellStart"/>
      <w:r w:rsidRPr="00F86F9E">
        <w:rPr>
          <w:color w:val="000000" w:themeColor="text1"/>
          <w:sz w:val="20"/>
          <w:szCs w:val="20"/>
        </w:rPr>
        <w:t>Vehtari</w:t>
      </w:r>
      <w:proofErr w:type="spellEnd"/>
      <w:r w:rsidRPr="00F86F9E">
        <w:rPr>
          <w:color w:val="000000" w:themeColor="text1"/>
          <w:sz w:val="20"/>
          <w:szCs w:val="20"/>
        </w:rPr>
        <w:t>, A., &amp; Rubin, D. B. (2013). Bayesian Data Analysis (3rd ed.). CRC Press.</w:t>
      </w:r>
    </w:p>
    <w:p w14:paraId="6A040359" w14:textId="77777777" w:rsidR="001E4973" w:rsidRPr="00F86F9E" w:rsidRDefault="00170421">
      <w:pPr>
        <w:spacing w:after="100"/>
        <w:ind w:left="720" w:hanging="720"/>
        <w:rPr>
          <w:color w:val="000000" w:themeColor="text1"/>
        </w:rPr>
      </w:pPr>
      <w:r w:rsidRPr="00F86F9E">
        <w:rPr>
          <w:b/>
          <w:bCs/>
          <w:color w:val="000000" w:themeColor="text1"/>
          <w:sz w:val="20"/>
          <w:szCs w:val="20"/>
        </w:rPr>
        <w:t>22.</w:t>
      </w:r>
      <w:r w:rsidRPr="00F86F9E">
        <w:rPr>
          <w:b/>
          <w:bCs/>
          <w:color w:val="000000" w:themeColor="text1"/>
          <w:sz w:val="20"/>
          <w:szCs w:val="20"/>
        </w:rPr>
        <w:tab/>
      </w:r>
      <w:r w:rsidRPr="00F86F9E">
        <w:rPr>
          <w:color w:val="000000" w:themeColor="text1"/>
          <w:sz w:val="20"/>
          <w:szCs w:val="20"/>
        </w:rPr>
        <w:t xml:space="preserve">Goodfellow, I., </w:t>
      </w:r>
      <w:proofErr w:type="spellStart"/>
      <w:r w:rsidRPr="00F86F9E">
        <w:rPr>
          <w:color w:val="000000" w:themeColor="text1"/>
          <w:sz w:val="20"/>
          <w:szCs w:val="20"/>
        </w:rPr>
        <w:t>Pouget</w:t>
      </w:r>
      <w:proofErr w:type="spellEnd"/>
      <w:r w:rsidRPr="00F86F9E">
        <w:rPr>
          <w:color w:val="000000" w:themeColor="text1"/>
          <w:sz w:val="20"/>
          <w:szCs w:val="20"/>
        </w:rPr>
        <w:t xml:space="preserve">-Abadie, J., Mirza, M., Xu, B., </w:t>
      </w:r>
      <w:proofErr w:type="spellStart"/>
      <w:r w:rsidRPr="00F86F9E">
        <w:rPr>
          <w:color w:val="000000" w:themeColor="text1"/>
          <w:sz w:val="20"/>
          <w:szCs w:val="20"/>
        </w:rPr>
        <w:t>Warde</w:t>
      </w:r>
      <w:proofErr w:type="spellEnd"/>
      <w:r w:rsidRPr="00F86F9E">
        <w:rPr>
          <w:color w:val="000000" w:themeColor="text1"/>
          <w:sz w:val="20"/>
          <w:szCs w:val="20"/>
        </w:rPr>
        <w:t xml:space="preserve">-Farley, D., </w:t>
      </w:r>
      <w:proofErr w:type="spellStart"/>
      <w:r w:rsidRPr="00F86F9E">
        <w:rPr>
          <w:color w:val="000000" w:themeColor="text1"/>
          <w:sz w:val="20"/>
          <w:szCs w:val="20"/>
        </w:rPr>
        <w:t>Ozair</w:t>
      </w:r>
      <w:proofErr w:type="spellEnd"/>
      <w:r w:rsidRPr="00F86F9E">
        <w:rPr>
          <w:color w:val="000000" w:themeColor="text1"/>
          <w:sz w:val="20"/>
          <w:szCs w:val="20"/>
        </w:rPr>
        <w:t xml:space="preserve">, S., ... &amp; </w:t>
      </w:r>
      <w:proofErr w:type="spellStart"/>
      <w:r w:rsidRPr="00F86F9E">
        <w:rPr>
          <w:color w:val="000000" w:themeColor="text1"/>
          <w:sz w:val="20"/>
          <w:szCs w:val="20"/>
        </w:rPr>
        <w:t>Bengio</w:t>
      </w:r>
      <w:proofErr w:type="spellEnd"/>
      <w:r w:rsidRPr="00F86F9E">
        <w:rPr>
          <w:color w:val="000000" w:themeColor="text1"/>
          <w:sz w:val="20"/>
          <w:szCs w:val="20"/>
        </w:rPr>
        <w:t>, Y. (2014). Generative adversarial networks. Advances in Neural Information Processing Systems, 27.</w:t>
      </w:r>
    </w:p>
    <w:p w14:paraId="3701660B" w14:textId="77777777" w:rsidR="001E4973" w:rsidRPr="00F86F9E" w:rsidRDefault="00170421">
      <w:pPr>
        <w:spacing w:after="100"/>
        <w:ind w:left="720" w:hanging="720"/>
        <w:rPr>
          <w:color w:val="000000" w:themeColor="text1"/>
        </w:rPr>
      </w:pPr>
      <w:r w:rsidRPr="00F86F9E">
        <w:rPr>
          <w:b/>
          <w:bCs/>
          <w:color w:val="000000" w:themeColor="text1"/>
          <w:sz w:val="20"/>
          <w:szCs w:val="20"/>
        </w:rPr>
        <w:t>23.</w:t>
      </w:r>
      <w:r w:rsidRPr="00F86F9E">
        <w:rPr>
          <w:b/>
          <w:bCs/>
          <w:color w:val="000000" w:themeColor="text1"/>
          <w:sz w:val="20"/>
          <w:szCs w:val="20"/>
        </w:rPr>
        <w:tab/>
      </w:r>
      <w:proofErr w:type="spellStart"/>
      <w:r w:rsidRPr="00F86F9E">
        <w:rPr>
          <w:color w:val="000000" w:themeColor="text1"/>
          <w:sz w:val="20"/>
          <w:szCs w:val="20"/>
        </w:rPr>
        <w:t>Grieder</w:t>
      </w:r>
      <w:proofErr w:type="spellEnd"/>
      <w:r w:rsidRPr="00F86F9E">
        <w:rPr>
          <w:color w:val="000000" w:themeColor="text1"/>
          <w:sz w:val="20"/>
          <w:szCs w:val="20"/>
        </w:rPr>
        <w:t xml:space="preserve">, C., </w:t>
      </w:r>
      <w:proofErr w:type="spellStart"/>
      <w:r w:rsidRPr="00F86F9E">
        <w:rPr>
          <w:color w:val="000000" w:themeColor="text1"/>
          <w:sz w:val="20"/>
          <w:szCs w:val="20"/>
        </w:rPr>
        <w:t>Trachsel</w:t>
      </w:r>
      <w:proofErr w:type="spellEnd"/>
      <w:r w:rsidRPr="00F86F9E">
        <w:rPr>
          <w:color w:val="000000" w:themeColor="text1"/>
          <w:sz w:val="20"/>
          <w:szCs w:val="20"/>
        </w:rPr>
        <w:t>, S., &amp; Hund, A. (2015). Early vertical distribution of roots and its association with drought tolerance in tropical maize. Plant and Soil, 377(1–2), 295–308.</w:t>
      </w:r>
    </w:p>
    <w:p w14:paraId="4BB47F60" w14:textId="77777777" w:rsidR="001E4973" w:rsidRPr="00F86F9E" w:rsidRDefault="00170421">
      <w:pPr>
        <w:spacing w:after="100"/>
        <w:ind w:left="720" w:hanging="720"/>
        <w:rPr>
          <w:color w:val="000000" w:themeColor="text1"/>
        </w:rPr>
      </w:pPr>
      <w:r w:rsidRPr="00F86F9E">
        <w:rPr>
          <w:b/>
          <w:bCs/>
          <w:color w:val="000000" w:themeColor="text1"/>
          <w:sz w:val="20"/>
          <w:szCs w:val="20"/>
        </w:rPr>
        <w:t>24.</w:t>
      </w:r>
      <w:r w:rsidRPr="00F86F9E">
        <w:rPr>
          <w:b/>
          <w:bCs/>
          <w:color w:val="000000" w:themeColor="text1"/>
          <w:sz w:val="20"/>
          <w:szCs w:val="20"/>
        </w:rPr>
        <w:tab/>
      </w:r>
      <w:proofErr w:type="spellStart"/>
      <w:r w:rsidRPr="00F86F9E">
        <w:rPr>
          <w:color w:val="000000" w:themeColor="text1"/>
          <w:sz w:val="20"/>
          <w:szCs w:val="20"/>
        </w:rPr>
        <w:t>Hairmansis</w:t>
      </w:r>
      <w:proofErr w:type="spellEnd"/>
      <w:r w:rsidRPr="00F86F9E">
        <w:rPr>
          <w:color w:val="000000" w:themeColor="text1"/>
          <w:sz w:val="20"/>
          <w:szCs w:val="20"/>
        </w:rPr>
        <w:t>, A., Berger, B., Tester, M., &amp; Roy, S. J. (2014). Image-based phenotyping for non-destructive screening of different salinity tolerance traits in rice. Rice, 7(1), 16.</w:t>
      </w:r>
    </w:p>
    <w:p w14:paraId="6687555F" w14:textId="77777777" w:rsidR="001E4973" w:rsidRPr="00F86F9E" w:rsidRDefault="00170421">
      <w:pPr>
        <w:spacing w:after="100"/>
        <w:ind w:left="720" w:hanging="720"/>
        <w:rPr>
          <w:color w:val="000000" w:themeColor="text1"/>
        </w:rPr>
      </w:pPr>
      <w:r w:rsidRPr="00F86F9E">
        <w:rPr>
          <w:b/>
          <w:bCs/>
          <w:color w:val="000000" w:themeColor="text1"/>
          <w:sz w:val="20"/>
          <w:szCs w:val="20"/>
        </w:rPr>
        <w:t>25.</w:t>
      </w:r>
      <w:r w:rsidRPr="00F86F9E">
        <w:rPr>
          <w:b/>
          <w:bCs/>
          <w:color w:val="000000" w:themeColor="text1"/>
          <w:sz w:val="20"/>
          <w:szCs w:val="20"/>
        </w:rPr>
        <w:tab/>
      </w:r>
      <w:proofErr w:type="spellStart"/>
      <w:r w:rsidRPr="00F86F9E">
        <w:rPr>
          <w:color w:val="000000" w:themeColor="text1"/>
          <w:sz w:val="20"/>
          <w:szCs w:val="20"/>
        </w:rPr>
        <w:t>Heslot</w:t>
      </w:r>
      <w:proofErr w:type="spellEnd"/>
      <w:r w:rsidRPr="00F86F9E">
        <w:rPr>
          <w:color w:val="000000" w:themeColor="text1"/>
          <w:sz w:val="20"/>
          <w:szCs w:val="20"/>
        </w:rPr>
        <w:t xml:space="preserve">, N., </w:t>
      </w:r>
      <w:proofErr w:type="spellStart"/>
      <w:r w:rsidRPr="00F86F9E">
        <w:rPr>
          <w:color w:val="000000" w:themeColor="text1"/>
          <w:sz w:val="20"/>
          <w:szCs w:val="20"/>
        </w:rPr>
        <w:t>Jannink</w:t>
      </w:r>
      <w:proofErr w:type="spellEnd"/>
      <w:r w:rsidRPr="00F86F9E">
        <w:rPr>
          <w:color w:val="000000" w:themeColor="text1"/>
          <w:sz w:val="20"/>
          <w:szCs w:val="20"/>
        </w:rPr>
        <w:t>, J. L., &amp; Sorrells, M. E. (2015). Perspectives for genomic selection applications and research in plants. Crop Science, 55(1), 1–12.</w:t>
      </w:r>
    </w:p>
    <w:p w14:paraId="70E312FF" w14:textId="77777777" w:rsidR="001E4973" w:rsidRPr="00F86F9E" w:rsidRDefault="00170421">
      <w:pPr>
        <w:spacing w:after="100"/>
        <w:ind w:left="720" w:hanging="720"/>
        <w:rPr>
          <w:color w:val="000000" w:themeColor="text1"/>
        </w:rPr>
      </w:pPr>
      <w:r w:rsidRPr="00F86F9E">
        <w:rPr>
          <w:b/>
          <w:bCs/>
          <w:color w:val="000000" w:themeColor="text1"/>
          <w:sz w:val="20"/>
          <w:szCs w:val="20"/>
        </w:rPr>
        <w:t>26.</w:t>
      </w:r>
      <w:r w:rsidRPr="00F86F9E">
        <w:rPr>
          <w:b/>
          <w:bCs/>
          <w:color w:val="000000" w:themeColor="text1"/>
          <w:sz w:val="20"/>
          <w:szCs w:val="20"/>
        </w:rPr>
        <w:tab/>
      </w:r>
      <w:proofErr w:type="spellStart"/>
      <w:r w:rsidRPr="00F86F9E">
        <w:rPr>
          <w:color w:val="000000" w:themeColor="text1"/>
          <w:sz w:val="20"/>
          <w:szCs w:val="20"/>
        </w:rPr>
        <w:t>Hochreiter</w:t>
      </w:r>
      <w:proofErr w:type="spellEnd"/>
      <w:r w:rsidRPr="00F86F9E">
        <w:rPr>
          <w:color w:val="000000" w:themeColor="text1"/>
          <w:sz w:val="20"/>
          <w:szCs w:val="20"/>
        </w:rPr>
        <w:t xml:space="preserve">, S., &amp; </w:t>
      </w:r>
      <w:proofErr w:type="spellStart"/>
      <w:r w:rsidRPr="00F86F9E">
        <w:rPr>
          <w:color w:val="000000" w:themeColor="text1"/>
          <w:sz w:val="20"/>
          <w:szCs w:val="20"/>
        </w:rPr>
        <w:t>Schmidhuber</w:t>
      </w:r>
      <w:proofErr w:type="spellEnd"/>
      <w:r w:rsidRPr="00F86F9E">
        <w:rPr>
          <w:color w:val="000000" w:themeColor="text1"/>
          <w:sz w:val="20"/>
          <w:szCs w:val="20"/>
        </w:rPr>
        <w:t>, J. (1997). Long short-term memory. Neural Computation, 9(8), 1735–1780.</w:t>
      </w:r>
    </w:p>
    <w:p w14:paraId="525CB9A5" w14:textId="77777777" w:rsidR="001E4973" w:rsidRPr="00F86F9E" w:rsidRDefault="00170421">
      <w:pPr>
        <w:spacing w:after="100"/>
        <w:ind w:left="720" w:hanging="720"/>
        <w:rPr>
          <w:color w:val="000000" w:themeColor="text1"/>
        </w:rPr>
      </w:pPr>
      <w:r w:rsidRPr="00F86F9E">
        <w:rPr>
          <w:b/>
          <w:bCs/>
          <w:color w:val="000000" w:themeColor="text1"/>
          <w:sz w:val="20"/>
          <w:szCs w:val="20"/>
        </w:rPr>
        <w:t>27.</w:t>
      </w:r>
      <w:r w:rsidRPr="00F86F9E">
        <w:rPr>
          <w:b/>
          <w:bCs/>
          <w:color w:val="000000" w:themeColor="text1"/>
          <w:sz w:val="20"/>
          <w:szCs w:val="20"/>
        </w:rPr>
        <w:tab/>
      </w:r>
      <w:r w:rsidRPr="00F86F9E">
        <w:rPr>
          <w:color w:val="000000" w:themeColor="text1"/>
          <w:sz w:val="20"/>
          <w:szCs w:val="20"/>
        </w:rPr>
        <w:t xml:space="preserve">Huang, M., Liu, X., Zhou, Y., Summers, R. M., &amp; Zhang, Z. (2019). </w:t>
      </w:r>
      <w:proofErr w:type="spellStart"/>
      <w:r w:rsidRPr="00F86F9E">
        <w:rPr>
          <w:color w:val="000000" w:themeColor="text1"/>
          <w:sz w:val="20"/>
          <w:szCs w:val="20"/>
        </w:rPr>
        <w:t>Bfewer</w:t>
      </w:r>
      <w:proofErr w:type="spellEnd"/>
      <w:r w:rsidRPr="00F86F9E">
        <w:rPr>
          <w:color w:val="000000" w:themeColor="text1"/>
          <w:sz w:val="20"/>
          <w:szCs w:val="20"/>
        </w:rPr>
        <w:t>: block-wise feature and label reduction for deep convolutional neural networks in plant phenotyping. Frontiers in Plant Science, 10, 1387.</w:t>
      </w:r>
    </w:p>
    <w:p w14:paraId="4A4AD644" w14:textId="77777777" w:rsidR="001E4973" w:rsidRPr="00F86F9E" w:rsidRDefault="00170421">
      <w:pPr>
        <w:spacing w:after="100"/>
        <w:ind w:left="720" w:hanging="720"/>
        <w:rPr>
          <w:color w:val="000000" w:themeColor="text1"/>
        </w:rPr>
      </w:pPr>
      <w:r w:rsidRPr="00F86F9E">
        <w:rPr>
          <w:b/>
          <w:bCs/>
          <w:color w:val="000000" w:themeColor="text1"/>
          <w:sz w:val="20"/>
          <w:szCs w:val="20"/>
        </w:rPr>
        <w:t>28.</w:t>
      </w:r>
      <w:r w:rsidRPr="00F86F9E">
        <w:rPr>
          <w:b/>
          <w:bCs/>
          <w:color w:val="000000" w:themeColor="text1"/>
          <w:sz w:val="20"/>
          <w:szCs w:val="20"/>
        </w:rPr>
        <w:tab/>
      </w:r>
      <w:r w:rsidRPr="00F86F9E">
        <w:rPr>
          <w:color w:val="000000" w:themeColor="text1"/>
          <w:sz w:val="20"/>
          <w:szCs w:val="20"/>
        </w:rPr>
        <w:t xml:space="preserve">Jain, M., Olsen, H. E., Paten, B., &amp; </w:t>
      </w:r>
      <w:proofErr w:type="spellStart"/>
      <w:r w:rsidRPr="00F86F9E">
        <w:rPr>
          <w:color w:val="000000" w:themeColor="text1"/>
          <w:sz w:val="20"/>
          <w:szCs w:val="20"/>
        </w:rPr>
        <w:t>Akeson</w:t>
      </w:r>
      <w:proofErr w:type="spellEnd"/>
      <w:r w:rsidRPr="00F86F9E">
        <w:rPr>
          <w:color w:val="000000" w:themeColor="text1"/>
          <w:sz w:val="20"/>
          <w:szCs w:val="20"/>
        </w:rPr>
        <w:t xml:space="preserve">, M. (2016). The Oxford Nanopore </w:t>
      </w:r>
      <w:proofErr w:type="spellStart"/>
      <w:r w:rsidRPr="00F86F9E">
        <w:rPr>
          <w:color w:val="000000" w:themeColor="text1"/>
          <w:sz w:val="20"/>
          <w:szCs w:val="20"/>
        </w:rPr>
        <w:t>MinION</w:t>
      </w:r>
      <w:proofErr w:type="spellEnd"/>
      <w:r w:rsidRPr="00F86F9E">
        <w:rPr>
          <w:color w:val="000000" w:themeColor="text1"/>
          <w:sz w:val="20"/>
          <w:szCs w:val="20"/>
        </w:rPr>
        <w:t>: delivery of nanopore sequencing to the genomics community. Genome Biology, 17(1), 1–11.</w:t>
      </w:r>
    </w:p>
    <w:p w14:paraId="340ADB0D" w14:textId="77777777" w:rsidR="001E4973" w:rsidRPr="00F86F9E" w:rsidRDefault="00170421">
      <w:pPr>
        <w:spacing w:after="100"/>
        <w:ind w:left="720" w:hanging="720"/>
        <w:rPr>
          <w:color w:val="000000" w:themeColor="text1"/>
        </w:rPr>
      </w:pPr>
      <w:r w:rsidRPr="00F86F9E">
        <w:rPr>
          <w:b/>
          <w:bCs/>
          <w:color w:val="000000" w:themeColor="text1"/>
          <w:sz w:val="20"/>
          <w:szCs w:val="20"/>
        </w:rPr>
        <w:t>29.</w:t>
      </w:r>
      <w:r w:rsidRPr="00F86F9E">
        <w:rPr>
          <w:b/>
          <w:bCs/>
          <w:color w:val="000000" w:themeColor="text1"/>
          <w:sz w:val="20"/>
          <w:szCs w:val="20"/>
        </w:rPr>
        <w:tab/>
      </w:r>
      <w:proofErr w:type="spellStart"/>
      <w:r w:rsidRPr="00F86F9E">
        <w:rPr>
          <w:color w:val="000000" w:themeColor="text1"/>
          <w:sz w:val="20"/>
          <w:szCs w:val="20"/>
        </w:rPr>
        <w:t>Jarquín</w:t>
      </w:r>
      <w:proofErr w:type="spellEnd"/>
      <w:r w:rsidRPr="00F86F9E">
        <w:rPr>
          <w:color w:val="000000" w:themeColor="text1"/>
          <w:sz w:val="20"/>
          <w:szCs w:val="20"/>
        </w:rPr>
        <w:t xml:space="preserve">, D., </w:t>
      </w:r>
      <w:proofErr w:type="spellStart"/>
      <w:r w:rsidRPr="00F86F9E">
        <w:rPr>
          <w:color w:val="000000" w:themeColor="text1"/>
          <w:sz w:val="20"/>
          <w:szCs w:val="20"/>
        </w:rPr>
        <w:t>Crossa</w:t>
      </w:r>
      <w:proofErr w:type="spellEnd"/>
      <w:r w:rsidRPr="00F86F9E">
        <w:rPr>
          <w:color w:val="000000" w:themeColor="text1"/>
          <w:sz w:val="20"/>
          <w:szCs w:val="20"/>
        </w:rPr>
        <w:t xml:space="preserve">, J., </w:t>
      </w:r>
      <w:proofErr w:type="spellStart"/>
      <w:r w:rsidRPr="00F86F9E">
        <w:rPr>
          <w:color w:val="000000" w:themeColor="text1"/>
          <w:sz w:val="20"/>
          <w:szCs w:val="20"/>
        </w:rPr>
        <w:t>Lacaze</w:t>
      </w:r>
      <w:proofErr w:type="spellEnd"/>
      <w:r w:rsidRPr="00F86F9E">
        <w:rPr>
          <w:color w:val="000000" w:themeColor="text1"/>
          <w:sz w:val="20"/>
          <w:szCs w:val="20"/>
        </w:rPr>
        <w:t xml:space="preserve">, X., Du </w:t>
      </w:r>
      <w:proofErr w:type="spellStart"/>
      <w:r w:rsidRPr="00F86F9E">
        <w:rPr>
          <w:color w:val="000000" w:themeColor="text1"/>
          <w:sz w:val="20"/>
          <w:szCs w:val="20"/>
        </w:rPr>
        <w:t>Cheyron</w:t>
      </w:r>
      <w:proofErr w:type="spellEnd"/>
      <w:r w:rsidRPr="00F86F9E">
        <w:rPr>
          <w:color w:val="000000" w:themeColor="text1"/>
          <w:sz w:val="20"/>
          <w:szCs w:val="20"/>
        </w:rPr>
        <w:t xml:space="preserve">, P., </w:t>
      </w:r>
      <w:proofErr w:type="spellStart"/>
      <w:r w:rsidRPr="00F86F9E">
        <w:rPr>
          <w:color w:val="000000" w:themeColor="text1"/>
          <w:sz w:val="20"/>
          <w:szCs w:val="20"/>
        </w:rPr>
        <w:t>Daucourt</w:t>
      </w:r>
      <w:proofErr w:type="spellEnd"/>
      <w:r w:rsidRPr="00F86F9E">
        <w:rPr>
          <w:color w:val="000000" w:themeColor="text1"/>
          <w:sz w:val="20"/>
          <w:szCs w:val="20"/>
        </w:rPr>
        <w:t xml:space="preserve">, J., </w:t>
      </w:r>
      <w:proofErr w:type="spellStart"/>
      <w:r w:rsidRPr="00F86F9E">
        <w:rPr>
          <w:color w:val="000000" w:themeColor="text1"/>
          <w:sz w:val="20"/>
          <w:szCs w:val="20"/>
        </w:rPr>
        <w:t>Lorgeou</w:t>
      </w:r>
      <w:proofErr w:type="spellEnd"/>
      <w:r w:rsidRPr="00F86F9E">
        <w:rPr>
          <w:color w:val="000000" w:themeColor="text1"/>
          <w:sz w:val="20"/>
          <w:szCs w:val="20"/>
        </w:rPr>
        <w:t>, J., ... &amp; de los Campos, G. (2014). A reaction norm model for genomic selection using high-dimensional genomic and environmental data. Theoretical and Applied Genetics, 127(3), 595–607.</w:t>
      </w:r>
    </w:p>
    <w:p w14:paraId="1F824E3A" w14:textId="39B7B875" w:rsidR="001E4973" w:rsidRPr="00F86F9E" w:rsidRDefault="00170421">
      <w:pPr>
        <w:spacing w:after="100"/>
        <w:ind w:left="720" w:hanging="720"/>
        <w:rPr>
          <w:color w:val="000000" w:themeColor="text1"/>
        </w:rPr>
      </w:pPr>
      <w:r w:rsidRPr="00F86F9E">
        <w:rPr>
          <w:b/>
          <w:bCs/>
          <w:color w:val="000000" w:themeColor="text1"/>
          <w:sz w:val="20"/>
          <w:szCs w:val="20"/>
        </w:rPr>
        <w:t>30.</w:t>
      </w:r>
      <w:r w:rsidRPr="00F86F9E">
        <w:rPr>
          <w:b/>
          <w:bCs/>
          <w:color w:val="000000" w:themeColor="text1"/>
          <w:sz w:val="20"/>
          <w:szCs w:val="20"/>
        </w:rPr>
        <w:tab/>
      </w:r>
      <w:r w:rsidRPr="00F86F9E">
        <w:rPr>
          <w:color w:val="000000" w:themeColor="text1"/>
          <w:sz w:val="20"/>
          <w:szCs w:val="20"/>
        </w:rPr>
        <w:t>Jordan, M. I., &amp; Mitchell, T. M. (2015). Machine learning: Trends, perspectives</w:t>
      </w:r>
      <w:r w:rsidR="00CF20A5">
        <w:rPr>
          <w:color w:val="000000" w:themeColor="text1"/>
          <w:sz w:val="20"/>
          <w:szCs w:val="20"/>
        </w:rPr>
        <w:t xml:space="preserve"> and</w:t>
      </w:r>
      <w:r w:rsidRPr="00F86F9E">
        <w:rPr>
          <w:color w:val="000000" w:themeColor="text1"/>
          <w:sz w:val="20"/>
          <w:szCs w:val="20"/>
        </w:rPr>
        <w:t xml:space="preserve"> prospects. Science, 349(6245), 255–260.</w:t>
      </w:r>
    </w:p>
    <w:p w14:paraId="64FFCC01" w14:textId="77777777" w:rsidR="001E4973" w:rsidRPr="00F86F9E" w:rsidRDefault="00170421">
      <w:pPr>
        <w:spacing w:after="100"/>
        <w:ind w:left="720" w:hanging="720"/>
        <w:rPr>
          <w:color w:val="000000" w:themeColor="text1"/>
        </w:rPr>
      </w:pPr>
      <w:r w:rsidRPr="00F86F9E">
        <w:rPr>
          <w:b/>
          <w:bCs/>
          <w:color w:val="000000" w:themeColor="text1"/>
          <w:sz w:val="20"/>
          <w:szCs w:val="20"/>
        </w:rPr>
        <w:t>31.</w:t>
      </w:r>
      <w:r w:rsidRPr="00F86F9E">
        <w:rPr>
          <w:b/>
          <w:bCs/>
          <w:color w:val="000000" w:themeColor="text1"/>
          <w:sz w:val="20"/>
          <w:szCs w:val="20"/>
        </w:rPr>
        <w:tab/>
      </w:r>
      <w:r w:rsidRPr="00F86F9E">
        <w:rPr>
          <w:color w:val="000000" w:themeColor="text1"/>
          <w:sz w:val="20"/>
          <w:szCs w:val="20"/>
        </w:rPr>
        <w:t xml:space="preserve">Jung, S., Lee, T., Cheng, C. H., </w:t>
      </w:r>
      <w:proofErr w:type="spellStart"/>
      <w:r w:rsidRPr="00F86F9E">
        <w:rPr>
          <w:color w:val="000000" w:themeColor="text1"/>
          <w:sz w:val="20"/>
          <w:szCs w:val="20"/>
        </w:rPr>
        <w:t>Buble</w:t>
      </w:r>
      <w:proofErr w:type="spellEnd"/>
      <w:r w:rsidRPr="00F86F9E">
        <w:rPr>
          <w:color w:val="000000" w:themeColor="text1"/>
          <w:sz w:val="20"/>
          <w:szCs w:val="20"/>
        </w:rPr>
        <w:t xml:space="preserve">, K., Zheng, P., Yu, J., ... &amp; Main, D. (2019). 15 years of GDR: new data and functionality in the Genome Database for </w:t>
      </w:r>
      <w:proofErr w:type="spellStart"/>
      <w:r w:rsidRPr="00F86F9E">
        <w:rPr>
          <w:color w:val="000000" w:themeColor="text1"/>
          <w:sz w:val="20"/>
          <w:szCs w:val="20"/>
        </w:rPr>
        <w:t>Rosaceae</w:t>
      </w:r>
      <w:proofErr w:type="spellEnd"/>
      <w:r w:rsidRPr="00F86F9E">
        <w:rPr>
          <w:color w:val="000000" w:themeColor="text1"/>
          <w:sz w:val="20"/>
          <w:szCs w:val="20"/>
        </w:rPr>
        <w:t>. Nucleic Acids Research, 47(D1), D1137–D1145.</w:t>
      </w:r>
    </w:p>
    <w:p w14:paraId="44422066" w14:textId="77777777" w:rsidR="001E4973" w:rsidRPr="00F86F9E" w:rsidRDefault="00170421">
      <w:pPr>
        <w:spacing w:after="100"/>
        <w:ind w:left="720" w:hanging="720"/>
        <w:rPr>
          <w:color w:val="000000" w:themeColor="text1"/>
        </w:rPr>
      </w:pPr>
      <w:r w:rsidRPr="00F86F9E">
        <w:rPr>
          <w:b/>
          <w:bCs/>
          <w:color w:val="000000" w:themeColor="text1"/>
          <w:sz w:val="20"/>
          <w:szCs w:val="20"/>
        </w:rPr>
        <w:t>32.</w:t>
      </w:r>
      <w:r w:rsidRPr="00F86F9E">
        <w:rPr>
          <w:b/>
          <w:bCs/>
          <w:color w:val="000000" w:themeColor="text1"/>
          <w:sz w:val="20"/>
          <w:szCs w:val="20"/>
        </w:rPr>
        <w:tab/>
      </w:r>
      <w:proofErr w:type="spellStart"/>
      <w:r w:rsidRPr="00F86F9E">
        <w:rPr>
          <w:color w:val="000000" w:themeColor="text1"/>
          <w:sz w:val="20"/>
          <w:szCs w:val="20"/>
        </w:rPr>
        <w:t>Kamilaris</w:t>
      </w:r>
      <w:proofErr w:type="spellEnd"/>
      <w:r w:rsidRPr="00F86F9E">
        <w:rPr>
          <w:color w:val="000000" w:themeColor="text1"/>
          <w:sz w:val="20"/>
          <w:szCs w:val="20"/>
        </w:rPr>
        <w:t xml:space="preserve">, A., &amp; </w:t>
      </w:r>
      <w:proofErr w:type="spellStart"/>
      <w:r w:rsidRPr="00F86F9E">
        <w:rPr>
          <w:color w:val="000000" w:themeColor="text1"/>
          <w:sz w:val="20"/>
          <w:szCs w:val="20"/>
        </w:rPr>
        <w:t>Prenafeta-Boldú</w:t>
      </w:r>
      <w:proofErr w:type="spellEnd"/>
      <w:r w:rsidRPr="00F86F9E">
        <w:rPr>
          <w:color w:val="000000" w:themeColor="text1"/>
          <w:sz w:val="20"/>
          <w:szCs w:val="20"/>
        </w:rPr>
        <w:t>, F. X. (2018). Deep learning in agriculture: a survey. Computers and Electronics in Agriculture, 147, 70–90.</w:t>
      </w:r>
    </w:p>
    <w:p w14:paraId="37E1C152" w14:textId="77777777" w:rsidR="001E4973" w:rsidRPr="00F86F9E" w:rsidRDefault="00170421">
      <w:pPr>
        <w:spacing w:after="100"/>
        <w:ind w:left="720" w:hanging="720"/>
        <w:rPr>
          <w:color w:val="000000" w:themeColor="text1"/>
        </w:rPr>
      </w:pPr>
      <w:r w:rsidRPr="00F86F9E">
        <w:rPr>
          <w:b/>
          <w:bCs/>
          <w:color w:val="000000" w:themeColor="text1"/>
          <w:sz w:val="20"/>
          <w:szCs w:val="20"/>
        </w:rPr>
        <w:t>33.</w:t>
      </w:r>
      <w:r w:rsidRPr="00F86F9E">
        <w:rPr>
          <w:b/>
          <w:bCs/>
          <w:color w:val="000000" w:themeColor="text1"/>
          <w:sz w:val="20"/>
          <w:szCs w:val="20"/>
        </w:rPr>
        <w:tab/>
      </w:r>
      <w:r w:rsidRPr="00F86F9E">
        <w:rPr>
          <w:color w:val="000000" w:themeColor="text1"/>
          <w:sz w:val="20"/>
          <w:szCs w:val="20"/>
        </w:rPr>
        <w:t xml:space="preserve">Krause, M. R., Mondal, S., </w:t>
      </w:r>
      <w:proofErr w:type="spellStart"/>
      <w:r w:rsidRPr="00F86F9E">
        <w:rPr>
          <w:color w:val="000000" w:themeColor="text1"/>
          <w:sz w:val="20"/>
          <w:szCs w:val="20"/>
        </w:rPr>
        <w:t>Crossa</w:t>
      </w:r>
      <w:proofErr w:type="spellEnd"/>
      <w:r w:rsidRPr="00F86F9E">
        <w:rPr>
          <w:color w:val="000000" w:themeColor="text1"/>
          <w:sz w:val="20"/>
          <w:szCs w:val="20"/>
        </w:rPr>
        <w:t xml:space="preserve">, J., Singh, R. P., Pinto, F., </w:t>
      </w:r>
      <w:proofErr w:type="spellStart"/>
      <w:r w:rsidRPr="00F86F9E">
        <w:rPr>
          <w:color w:val="000000" w:themeColor="text1"/>
          <w:sz w:val="20"/>
          <w:szCs w:val="20"/>
        </w:rPr>
        <w:t>Haghighattalab</w:t>
      </w:r>
      <w:proofErr w:type="spellEnd"/>
      <w:r w:rsidRPr="00F86F9E">
        <w:rPr>
          <w:color w:val="000000" w:themeColor="text1"/>
          <w:sz w:val="20"/>
          <w:szCs w:val="20"/>
        </w:rPr>
        <w:t>, A., ... &amp; Juliana, P. (2020). Aerial high-throughput phenotyping enables indirect selection for grain yield at the early generation, seed-limited stages in breeding programs. Crop Science, 60(6), 3096–3109.</w:t>
      </w:r>
    </w:p>
    <w:p w14:paraId="6AC23F94" w14:textId="77777777" w:rsidR="001E4973" w:rsidRPr="00F86F9E" w:rsidRDefault="00170421">
      <w:pPr>
        <w:spacing w:after="100"/>
        <w:ind w:left="720" w:hanging="720"/>
        <w:rPr>
          <w:color w:val="000000" w:themeColor="text1"/>
        </w:rPr>
      </w:pPr>
      <w:r w:rsidRPr="00F86F9E">
        <w:rPr>
          <w:b/>
          <w:bCs/>
          <w:color w:val="000000" w:themeColor="text1"/>
          <w:sz w:val="20"/>
          <w:szCs w:val="20"/>
        </w:rPr>
        <w:t>34.</w:t>
      </w:r>
      <w:r w:rsidRPr="00F86F9E">
        <w:rPr>
          <w:b/>
          <w:bCs/>
          <w:color w:val="000000" w:themeColor="text1"/>
          <w:sz w:val="20"/>
          <w:szCs w:val="20"/>
        </w:rPr>
        <w:tab/>
      </w:r>
      <w:proofErr w:type="spellStart"/>
      <w:r w:rsidRPr="00F86F9E">
        <w:rPr>
          <w:color w:val="000000" w:themeColor="text1"/>
          <w:sz w:val="20"/>
          <w:szCs w:val="20"/>
        </w:rPr>
        <w:t>LeCun</w:t>
      </w:r>
      <w:proofErr w:type="spellEnd"/>
      <w:r w:rsidRPr="00F86F9E">
        <w:rPr>
          <w:color w:val="000000" w:themeColor="text1"/>
          <w:sz w:val="20"/>
          <w:szCs w:val="20"/>
        </w:rPr>
        <w:t xml:space="preserve">, Y., </w:t>
      </w:r>
      <w:proofErr w:type="spellStart"/>
      <w:r w:rsidRPr="00F86F9E">
        <w:rPr>
          <w:color w:val="000000" w:themeColor="text1"/>
          <w:sz w:val="20"/>
          <w:szCs w:val="20"/>
        </w:rPr>
        <w:t>Bengio</w:t>
      </w:r>
      <w:proofErr w:type="spellEnd"/>
      <w:r w:rsidRPr="00F86F9E">
        <w:rPr>
          <w:color w:val="000000" w:themeColor="text1"/>
          <w:sz w:val="20"/>
          <w:szCs w:val="20"/>
        </w:rPr>
        <w:t>, Y., &amp; Hinton, G. (2015). Deep learning. Nature, 521(7553), 436–444.</w:t>
      </w:r>
    </w:p>
    <w:p w14:paraId="390DF3F9" w14:textId="77777777" w:rsidR="001E4973" w:rsidRPr="00F86F9E" w:rsidRDefault="00170421">
      <w:pPr>
        <w:spacing w:after="100"/>
        <w:ind w:left="720" w:hanging="720"/>
        <w:rPr>
          <w:color w:val="000000" w:themeColor="text1"/>
        </w:rPr>
      </w:pPr>
      <w:r w:rsidRPr="00F86F9E">
        <w:rPr>
          <w:b/>
          <w:bCs/>
          <w:color w:val="000000" w:themeColor="text1"/>
          <w:sz w:val="20"/>
          <w:szCs w:val="20"/>
        </w:rPr>
        <w:t>35.</w:t>
      </w:r>
      <w:r w:rsidRPr="00F86F9E">
        <w:rPr>
          <w:b/>
          <w:bCs/>
          <w:color w:val="000000" w:themeColor="text1"/>
          <w:sz w:val="20"/>
          <w:szCs w:val="20"/>
        </w:rPr>
        <w:tab/>
      </w:r>
      <w:r w:rsidRPr="00F86F9E">
        <w:rPr>
          <w:color w:val="000000" w:themeColor="text1"/>
          <w:sz w:val="20"/>
          <w:szCs w:val="20"/>
        </w:rPr>
        <w:t xml:space="preserve">Li, Y., </w:t>
      </w:r>
      <w:proofErr w:type="spellStart"/>
      <w:r w:rsidRPr="00F86F9E">
        <w:rPr>
          <w:color w:val="000000" w:themeColor="text1"/>
          <w:sz w:val="20"/>
          <w:szCs w:val="20"/>
        </w:rPr>
        <w:t>Ruperao</w:t>
      </w:r>
      <w:proofErr w:type="spellEnd"/>
      <w:r w:rsidRPr="00F86F9E">
        <w:rPr>
          <w:color w:val="000000" w:themeColor="text1"/>
          <w:sz w:val="20"/>
          <w:szCs w:val="20"/>
        </w:rPr>
        <w:t xml:space="preserve">, P., Batley, J., Edwards, D., Khan, T., </w:t>
      </w:r>
      <w:proofErr w:type="spellStart"/>
      <w:r w:rsidRPr="00F86F9E">
        <w:rPr>
          <w:color w:val="000000" w:themeColor="text1"/>
          <w:sz w:val="20"/>
          <w:szCs w:val="20"/>
        </w:rPr>
        <w:t>Colmer</w:t>
      </w:r>
      <w:proofErr w:type="spellEnd"/>
      <w:r w:rsidRPr="00F86F9E">
        <w:rPr>
          <w:color w:val="000000" w:themeColor="text1"/>
          <w:sz w:val="20"/>
          <w:szCs w:val="20"/>
        </w:rPr>
        <w:t>, T. D., ... &amp; Pang, J. (2018). Investigating drought tolerance in chickpea using genome-wide association mapping and genomic selection based on whole-genome resequencing data. Frontiers in Plant Science, 9, 190.</w:t>
      </w:r>
    </w:p>
    <w:p w14:paraId="67555DD0" w14:textId="77777777" w:rsidR="001E4973" w:rsidRPr="00F86F9E" w:rsidRDefault="00170421">
      <w:pPr>
        <w:spacing w:after="100"/>
        <w:ind w:left="720" w:hanging="720"/>
        <w:rPr>
          <w:color w:val="000000" w:themeColor="text1"/>
        </w:rPr>
      </w:pPr>
      <w:r w:rsidRPr="00F86F9E">
        <w:rPr>
          <w:b/>
          <w:bCs/>
          <w:color w:val="000000" w:themeColor="text1"/>
          <w:sz w:val="20"/>
          <w:szCs w:val="20"/>
        </w:rPr>
        <w:t>36.</w:t>
      </w:r>
      <w:r w:rsidRPr="00F86F9E">
        <w:rPr>
          <w:b/>
          <w:bCs/>
          <w:color w:val="000000" w:themeColor="text1"/>
          <w:sz w:val="20"/>
          <w:szCs w:val="20"/>
        </w:rPr>
        <w:tab/>
      </w:r>
      <w:proofErr w:type="spellStart"/>
      <w:r w:rsidRPr="00F86F9E">
        <w:rPr>
          <w:color w:val="000000" w:themeColor="text1"/>
          <w:sz w:val="20"/>
          <w:szCs w:val="20"/>
        </w:rPr>
        <w:t>Libbrecht</w:t>
      </w:r>
      <w:proofErr w:type="spellEnd"/>
      <w:r w:rsidRPr="00F86F9E">
        <w:rPr>
          <w:color w:val="000000" w:themeColor="text1"/>
          <w:sz w:val="20"/>
          <w:szCs w:val="20"/>
        </w:rPr>
        <w:t>, M. W., &amp; Noble, W. S. (2015). Machine learning applications in genetics and genomics. Nature Reviews Genetics, 16(6), 321–332.</w:t>
      </w:r>
    </w:p>
    <w:p w14:paraId="50FCE3E8" w14:textId="77777777" w:rsidR="001E4973" w:rsidRPr="00F86F9E" w:rsidRDefault="00170421">
      <w:pPr>
        <w:spacing w:after="100"/>
        <w:ind w:left="720" w:hanging="720"/>
        <w:rPr>
          <w:color w:val="000000" w:themeColor="text1"/>
        </w:rPr>
      </w:pPr>
      <w:r w:rsidRPr="00F86F9E">
        <w:rPr>
          <w:b/>
          <w:bCs/>
          <w:color w:val="000000" w:themeColor="text1"/>
          <w:sz w:val="20"/>
          <w:szCs w:val="20"/>
        </w:rPr>
        <w:t>37.</w:t>
      </w:r>
      <w:r w:rsidRPr="00F86F9E">
        <w:rPr>
          <w:b/>
          <w:bCs/>
          <w:color w:val="000000" w:themeColor="text1"/>
          <w:sz w:val="20"/>
          <w:szCs w:val="20"/>
        </w:rPr>
        <w:tab/>
      </w:r>
      <w:r w:rsidRPr="00F86F9E">
        <w:rPr>
          <w:color w:val="000000" w:themeColor="text1"/>
          <w:sz w:val="20"/>
          <w:szCs w:val="20"/>
        </w:rPr>
        <w:t xml:space="preserve">Lieberman-Aiden, E., van </w:t>
      </w:r>
      <w:proofErr w:type="spellStart"/>
      <w:r w:rsidRPr="00F86F9E">
        <w:rPr>
          <w:color w:val="000000" w:themeColor="text1"/>
          <w:sz w:val="20"/>
          <w:szCs w:val="20"/>
        </w:rPr>
        <w:t>Berkum</w:t>
      </w:r>
      <w:proofErr w:type="spellEnd"/>
      <w:r w:rsidRPr="00F86F9E">
        <w:rPr>
          <w:color w:val="000000" w:themeColor="text1"/>
          <w:sz w:val="20"/>
          <w:szCs w:val="20"/>
        </w:rPr>
        <w:t xml:space="preserve">, N. L., Williams, L., </w:t>
      </w:r>
      <w:proofErr w:type="spellStart"/>
      <w:r w:rsidRPr="00F86F9E">
        <w:rPr>
          <w:color w:val="000000" w:themeColor="text1"/>
          <w:sz w:val="20"/>
          <w:szCs w:val="20"/>
        </w:rPr>
        <w:t>Imakaev</w:t>
      </w:r>
      <w:proofErr w:type="spellEnd"/>
      <w:r w:rsidRPr="00F86F9E">
        <w:rPr>
          <w:color w:val="000000" w:themeColor="text1"/>
          <w:sz w:val="20"/>
          <w:szCs w:val="20"/>
        </w:rPr>
        <w:t xml:space="preserve">, M., </w:t>
      </w:r>
      <w:proofErr w:type="spellStart"/>
      <w:r w:rsidRPr="00F86F9E">
        <w:rPr>
          <w:color w:val="000000" w:themeColor="text1"/>
          <w:sz w:val="20"/>
          <w:szCs w:val="20"/>
        </w:rPr>
        <w:t>Ragoczy</w:t>
      </w:r>
      <w:proofErr w:type="spellEnd"/>
      <w:r w:rsidRPr="00F86F9E">
        <w:rPr>
          <w:color w:val="000000" w:themeColor="text1"/>
          <w:sz w:val="20"/>
          <w:szCs w:val="20"/>
        </w:rPr>
        <w:t>, T., Telling, A., ... &amp; Dekker, J. (2009). Comprehensive mapping of long-range interactions reveals folding principles of the human genome. Science, 326(5950), 289–293.</w:t>
      </w:r>
    </w:p>
    <w:p w14:paraId="10C011FA" w14:textId="77777777" w:rsidR="001E4973" w:rsidRPr="00F86F9E" w:rsidRDefault="00170421">
      <w:pPr>
        <w:spacing w:after="100"/>
        <w:ind w:left="720" w:hanging="720"/>
        <w:rPr>
          <w:color w:val="000000" w:themeColor="text1"/>
        </w:rPr>
      </w:pPr>
      <w:r w:rsidRPr="00F86F9E">
        <w:rPr>
          <w:b/>
          <w:bCs/>
          <w:color w:val="000000" w:themeColor="text1"/>
          <w:sz w:val="20"/>
          <w:szCs w:val="20"/>
        </w:rPr>
        <w:t>38.</w:t>
      </w:r>
      <w:r w:rsidRPr="00F86F9E">
        <w:rPr>
          <w:b/>
          <w:bCs/>
          <w:color w:val="000000" w:themeColor="text1"/>
          <w:sz w:val="20"/>
          <w:szCs w:val="20"/>
        </w:rPr>
        <w:tab/>
      </w:r>
      <w:r w:rsidRPr="00F86F9E">
        <w:rPr>
          <w:color w:val="000000" w:themeColor="text1"/>
          <w:sz w:val="20"/>
          <w:szCs w:val="20"/>
        </w:rPr>
        <w:t xml:space="preserve">Lister, R., </w:t>
      </w:r>
      <w:proofErr w:type="spellStart"/>
      <w:r w:rsidRPr="00F86F9E">
        <w:rPr>
          <w:color w:val="000000" w:themeColor="text1"/>
          <w:sz w:val="20"/>
          <w:szCs w:val="20"/>
        </w:rPr>
        <w:t>Pelizzola</w:t>
      </w:r>
      <w:proofErr w:type="spellEnd"/>
      <w:r w:rsidRPr="00F86F9E">
        <w:rPr>
          <w:color w:val="000000" w:themeColor="text1"/>
          <w:sz w:val="20"/>
          <w:szCs w:val="20"/>
        </w:rPr>
        <w:t xml:space="preserve">, M., </w:t>
      </w:r>
      <w:proofErr w:type="spellStart"/>
      <w:r w:rsidRPr="00F86F9E">
        <w:rPr>
          <w:color w:val="000000" w:themeColor="text1"/>
          <w:sz w:val="20"/>
          <w:szCs w:val="20"/>
        </w:rPr>
        <w:t>Dowen</w:t>
      </w:r>
      <w:proofErr w:type="spellEnd"/>
      <w:r w:rsidRPr="00F86F9E">
        <w:rPr>
          <w:color w:val="000000" w:themeColor="text1"/>
          <w:sz w:val="20"/>
          <w:szCs w:val="20"/>
        </w:rPr>
        <w:t>, R. H., Hawkins, R. D., Hon, G., Tonti-</w:t>
      </w:r>
      <w:proofErr w:type="spellStart"/>
      <w:r w:rsidRPr="00F86F9E">
        <w:rPr>
          <w:color w:val="000000" w:themeColor="text1"/>
          <w:sz w:val="20"/>
          <w:szCs w:val="20"/>
        </w:rPr>
        <w:t>Filippini</w:t>
      </w:r>
      <w:proofErr w:type="spellEnd"/>
      <w:r w:rsidRPr="00F86F9E">
        <w:rPr>
          <w:color w:val="000000" w:themeColor="text1"/>
          <w:sz w:val="20"/>
          <w:szCs w:val="20"/>
        </w:rPr>
        <w:t>, J., ... &amp; Ecker, J. R. (2009). Human DNA methylomes at base resolution show widespread epigenomic differences. Nature, 462(7271), 315–322.</w:t>
      </w:r>
    </w:p>
    <w:p w14:paraId="337E5D5E" w14:textId="77777777" w:rsidR="001E4973" w:rsidRPr="00F86F9E" w:rsidRDefault="00170421">
      <w:pPr>
        <w:spacing w:after="100"/>
        <w:ind w:left="720" w:hanging="720"/>
        <w:rPr>
          <w:color w:val="000000" w:themeColor="text1"/>
        </w:rPr>
      </w:pPr>
      <w:r w:rsidRPr="00F86F9E">
        <w:rPr>
          <w:b/>
          <w:bCs/>
          <w:color w:val="000000" w:themeColor="text1"/>
          <w:sz w:val="20"/>
          <w:szCs w:val="20"/>
        </w:rPr>
        <w:t>39.</w:t>
      </w:r>
      <w:r w:rsidRPr="00F86F9E">
        <w:rPr>
          <w:b/>
          <w:bCs/>
          <w:color w:val="000000" w:themeColor="text1"/>
          <w:sz w:val="20"/>
          <w:szCs w:val="20"/>
        </w:rPr>
        <w:tab/>
      </w:r>
      <w:r w:rsidRPr="00F86F9E">
        <w:rPr>
          <w:color w:val="000000" w:themeColor="text1"/>
          <w:sz w:val="20"/>
          <w:szCs w:val="20"/>
        </w:rPr>
        <w:t>Liu, S., Yu, H., &amp; Frei, U. K. (2019). Predicting hybrid performance in maize with a thousand genomes. Nature Communications, 10(1), 1–6.</w:t>
      </w:r>
    </w:p>
    <w:p w14:paraId="11D0A5CF"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40.</w:t>
      </w:r>
      <w:r w:rsidRPr="00F86F9E">
        <w:rPr>
          <w:b/>
          <w:bCs/>
          <w:color w:val="000000" w:themeColor="text1"/>
          <w:sz w:val="20"/>
          <w:szCs w:val="20"/>
        </w:rPr>
        <w:tab/>
      </w:r>
      <w:r w:rsidRPr="00F86F9E">
        <w:rPr>
          <w:color w:val="000000" w:themeColor="text1"/>
          <w:sz w:val="20"/>
          <w:szCs w:val="20"/>
        </w:rPr>
        <w:t xml:space="preserve">Lobell, D. B., &amp; </w:t>
      </w:r>
      <w:proofErr w:type="spellStart"/>
      <w:r w:rsidRPr="00F86F9E">
        <w:rPr>
          <w:color w:val="000000" w:themeColor="text1"/>
          <w:sz w:val="20"/>
          <w:szCs w:val="20"/>
        </w:rPr>
        <w:t>Gourdji</w:t>
      </w:r>
      <w:proofErr w:type="spellEnd"/>
      <w:r w:rsidRPr="00F86F9E">
        <w:rPr>
          <w:color w:val="000000" w:themeColor="text1"/>
          <w:sz w:val="20"/>
          <w:szCs w:val="20"/>
        </w:rPr>
        <w:t>, S. M. (2012). The influence of climate change on global crop productivity. Plant Physiology, 160(4), 1686–1697.</w:t>
      </w:r>
    </w:p>
    <w:p w14:paraId="0C75B4B1" w14:textId="77777777" w:rsidR="001E4973" w:rsidRPr="00F86F9E" w:rsidRDefault="00170421">
      <w:pPr>
        <w:spacing w:after="100"/>
        <w:ind w:left="720" w:hanging="720"/>
        <w:rPr>
          <w:color w:val="000000" w:themeColor="text1"/>
        </w:rPr>
      </w:pPr>
      <w:r w:rsidRPr="00F86F9E">
        <w:rPr>
          <w:b/>
          <w:bCs/>
          <w:color w:val="000000" w:themeColor="text1"/>
          <w:sz w:val="20"/>
          <w:szCs w:val="20"/>
        </w:rPr>
        <w:t>41.</w:t>
      </w:r>
      <w:r w:rsidRPr="00F86F9E">
        <w:rPr>
          <w:b/>
          <w:bCs/>
          <w:color w:val="000000" w:themeColor="text1"/>
          <w:sz w:val="20"/>
          <w:szCs w:val="20"/>
        </w:rPr>
        <w:tab/>
      </w:r>
      <w:proofErr w:type="spellStart"/>
      <w:r w:rsidRPr="00F86F9E">
        <w:rPr>
          <w:color w:val="000000" w:themeColor="text1"/>
          <w:sz w:val="20"/>
          <w:szCs w:val="20"/>
        </w:rPr>
        <w:t>Madec</w:t>
      </w:r>
      <w:proofErr w:type="spellEnd"/>
      <w:r w:rsidRPr="00F86F9E">
        <w:rPr>
          <w:color w:val="000000" w:themeColor="text1"/>
          <w:sz w:val="20"/>
          <w:szCs w:val="20"/>
        </w:rPr>
        <w:t xml:space="preserve">, S., </w:t>
      </w:r>
      <w:proofErr w:type="spellStart"/>
      <w:r w:rsidRPr="00F86F9E">
        <w:rPr>
          <w:color w:val="000000" w:themeColor="text1"/>
          <w:sz w:val="20"/>
          <w:szCs w:val="20"/>
        </w:rPr>
        <w:t>Baret</w:t>
      </w:r>
      <w:proofErr w:type="spellEnd"/>
      <w:r w:rsidRPr="00F86F9E">
        <w:rPr>
          <w:color w:val="000000" w:themeColor="text1"/>
          <w:sz w:val="20"/>
          <w:szCs w:val="20"/>
        </w:rPr>
        <w:t xml:space="preserve">, F., de </w:t>
      </w:r>
      <w:proofErr w:type="spellStart"/>
      <w:r w:rsidRPr="00F86F9E">
        <w:rPr>
          <w:color w:val="000000" w:themeColor="text1"/>
          <w:sz w:val="20"/>
          <w:szCs w:val="20"/>
        </w:rPr>
        <w:t>Solan</w:t>
      </w:r>
      <w:proofErr w:type="spellEnd"/>
      <w:r w:rsidRPr="00F86F9E">
        <w:rPr>
          <w:color w:val="000000" w:themeColor="text1"/>
          <w:sz w:val="20"/>
          <w:szCs w:val="20"/>
        </w:rPr>
        <w:t xml:space="preserve">, B., Thomas, S., Townsend, T., Davison, B., ... &amp; </w:t>
      </w:r>
      <w:proofErr w:type="spellStart"/>
      <w:r w:rsidRPr="00F86F9E">
        <w:rPr>
          <w:color w:val="000000" w:themeColor="text1"/>
          <w:sz w:val="20"/>
          <w:szCs w:val="20"/>
        </w:rPr>
        <w:t>Hemmerlé</w:t>
      </w:r>
      <w:proofErr w:type="spellEnd"/>
      <w:r w:rsidRPr="00F86F9E">
        <w:rPr>
          <w:color w:val="000000" w:themeColor="text1"/>
          <w:sz w:val="20"/>
          <w:szCs w:val="20"/>
        </w:rPr>
        <w:t>, M. (2017). High-throughput phenotyping of plant height: comparing unmanned aerial vehicles and ground LiDAR estimates. Frontiers in Plant Science, 8, 2002.</w:t>
      </w:r>
    </w:p>
    <w:p w14:paraId="1AA1B083" w14:textId="77777777" w:rsidR="001E4973" w:rsidRPr="00F86F9E" w:rsidRDefault="00170421">
      <w:pPr>
        <w:spacing w:after="100"/>
        <w:ind w:left="720" w:hanging="720"/>
        <w:rPr>
          <w:color w:val="000000" w:themeColor="text1"/>
        </w:rPr>
      </w:pPr>
      <w:r w:rsidRPr="00F86F9E">
        <w:rPr>
          <w:b/>
          <w:bCs/>
          <w:color w:val="000000" w:themeColor="text1"/>
          <w:sz w:val="20"/>
          <w:szCs w:val="20"/>
        </w:rPr>
        <w:t>42.</w:t>
      </w:r>
      <w:r w:rsidRPr="00F86F9E">
        <w:rPr>
          <w:b/>
          <w:bCs/>
          <w:color w:val="000000" w:themeColor="text1"/>
          <w:sz w:val="20"/>
          <w:szCs w:val="20"/>
        </w:rPr>
        <w:tab/>
      </w:r>
      <w:proofErr w:type="spellStart"/>
      <w:r w:rsidRPr="00F86F9E">
        <w:rPr>
          <w:color w:val="000000" w:themeColor="text1"/>
          <w:sz w:val="20"/>
          <w:szCs w:val="20"/>
        </w:rPr>
        <w:t>Meuwissen</w:t>
      </w:r>
      <w:proofErr w:type="spellEnd"/>
      <w:r w:rsidRPr="00F86F9E">
        <w:rPr>
          <w:color w:val="000000" w:themeColor="text1"/>
          <w:sz w:val="20"/>
          <w:szCs w:val="20"/>
        </w:rPr>
        <w:t>, T. H. E., Hayes, B. J., &amp; Goddard, M. E. (2001). Prediction of total genetic value using genome-wide dense marker maps. Genetics, 157(4), 1819–1829.</w:t>
      </w:r>
    </w:p>
    <w:p w14:paraId="47FD4CA2" w14:textId="77777777" w:rsidR="001E4973" w:rsidRPr="00F86F9E" w:rsidRDefault="00170421">
      <w:pPr>
        <w:spacing w:after="100"/>
        <w:ind w:left="720" w:hanging="720"/>
        <w:rPr>
          <w:color w:val="000000" w:themeColor="text1"/>
        </w:rPr>
      </w:pPr>
      <w:r w:rsidRPr="00F86F9E">
        <w:rPr>
          <w:b/>
          <w:bCs/>
          <w:color w:val="000000" w:themeColor="text1"/>
          <w:sz w:val="20"/>
          <w:szCs w:val="20"/>
        </w:rPr>
        <w:t>43.</w:t>
      </w:r>
      <w:r w:rsidRPr="00F86F9E">
        <w:rPr>
          <w:b/>
          <w:bCs/>
          <w:color w:val="000000" w:themeColor="text1"/>
          <w:sz w:val="20"/>
          <w:szCs w:val="20"/>
        </w:rPr>
        <w:tab/>
      </w:r>
      <w:proofErr w:type="spellStart"/>
      <w:r w:rsidRPr="00F86F9E">
        <w:rPr>
          <w:color w:val="000000" w:themeColor="text1"/>
          <w:sz w:val="20"/>
          <w:szCs w:val="20"/>
        </w:rPr>
        <w:t>Mikolov</w:t>
      </w:r>
      <w:proofErr w:type="spellEnd"/>
      <w:r w:rsidRPr="00F86F9E">
        <w:rPr>
          <w:color w:val="000000" w:themeColor="text1"/>
          <w:sz w:val="20"/>
          <w:szCs w:val="20"/>
        </w:rPr>
        <w:t xml:space="preserve">, T., Chen, K., </w:t>
      </w:r>
      <w:proofErr w:type="spellStart"/>
      <w:r w:rsidRPr="00F86F9E">
        <w:rPr>
          <w:color w:val="000000" w:themeColor="text1"/>
          <w:sz w:val="20"/>
          <w:szCs w:val="20"/>
        </w:rPr>
        <w:t>Corrado</w:t>
      </w:r>
      <w:proofErr w:type="spellEnd"/>
      <w:r w:rsidRPr="00F86F9E">
        <w:rPr>
          <w:color w:val="000000" w:themeColor="text1"/>
          <w:sz w:val="20"/>
          <w:szCs w:val="20"/>
        </w:rPr>
        <w:t xml:space="preserve">, G., &amp; Dean, J. (2013). Efficient estimation of word representations in vector space. </w:t>
      </w:r>
      <w:proofErr w:type="spellStart"/>
      <w:r w:rsidRPr="00F86F9E">
        <w:rPr>
          <w:color w:val="000000" w:themeColor="text1"/>
          <w:sz w:val="20"/>
          <w:szCs w:val="20"/>
        </w:rPr>
        <w:t>arXiv</w:t>
      </w:r>
      <w:proofErr w:type="spellEnd"/>
      <w:r w:rsidRPr="00F86F9E">
        <w:rPr>
          <w:color w:val="000000" w:themeColor="text1"/>
          <w:sz w:val="20"/>
          <w:szCs w:val="20"/>
        </w:rPr>
        <w:t xml:space="preserve"> preprint arXiv:1301.3781.</w:t>
      </w:r>
    </w:p>
    <w:p w14:paraId="5B71C1C9" w14:textId="77777777" w:rsidR="001E4973" w:rsidRPr="00F86F9E" w:rsidRDefault="00170421">
      <w:pPr>
        <w:spacing w:after="100"/>
        <w:ind w:left="720" w:hanging="720"/>
        <w:rPr>
          <w:color w:val="000000" w:themeColor="text1"/>
        </w:rPr>
      </w:pPr>
      <w:r w:rsidRPr="00F86F9E">
        <w:rPr>
          <w:b/>
          <w:bCs/>
          <w:color w:val="000000" w:themeColor="text1"/>
          <w:sz w:val="20"/>
          <w:szCs w:val="20"/>
        </w:rPr>
        <w:t>44.</w:t>
      </w:r>
      <w:r w:rsidRPr="00F86F9E">
        <w:rPr>
          <w:b/>
          <w:bCs/>
          <w:color w:val="000000" w:themeColor="text1"/>
          <w:sz w:val="20"/>
          <w:szCs w:val="20"/>
        </w:rPr>
        <w:tab/>
      </w:r>
      <w:r w:rsidRPr="00F86F9E">
        <w:rPr>
          <w:color w:val="000000" w:themeColor="text1"/>
          <w:sz w:val="20"/>
          <w:szCs w:val="20"/>
        </w:rPr>
        <w:t xml:space="preserve">Montesinos-López, O. A., Montesinos-López, A., </w:t>
      </w:r>
      <w:proofErr w:type="spellStart"/>
      <w:r w:rsidRPr="00F86F9E">
        <w:rPr>
          <w:color w:val="000000" w:themeColor="text1"/>
          <w:sz w:val="20"/>
          <w:szCs w:val="20"/>
        </w:rPr>
        <w:t>Crossa</w:t>
      </w:r>
      <w:proofErr w:type="spellEnd"/>
      <w:r w:rsidRPr="00F86F9E">
        <w:rPr>
          <w:color w:val="000000" w:themeColor="text1"/>
          <w:sz w:val="20"/>
          <w:szCs w:val="20"/>
        </w:rPr>
        <w:t xml:space="preserve">, J., de los Campos, G., Alvarado, G., </w:t>
      </w:r>
      <w:proofErr w:type="spellStart"/>
      <w:r w:rsidRPr="00F86F9E">
        <w:rPr>
          <w:color w:val="000000" w:themeColor="text1"/>
          <w:sz w:val="20"/>
          <w:szCs w:val="20"/>
        </w:rPr>
        <w:t>Suchismita</w:t>
      </w:r>
      <w:proofErr w:type="spellEnd"/>
      <w:r w:rsidRPr="00F86F9E">
        <w:rPr>
          <w:color w:val="000000" w:themeColor="text1"/>
          <w:sz w:val="20"/>
          <w:szCs w:val="20"/>
        </w:rPr>
        <w:t>, M., ... &amp; Varshney, R. K. (2017). Predicting grain yield using canopy hyperspectral reflectance in wheat breeding data. Plant Methods, 13(1), 1–21.</w:t>
      </w:r>
    </w:p>
    <w:p w14:paraId="36241B2E" w14:textId="77777777" w:rsidR="001E4973" w:rsidRPr="00F86F9E" w:rsidRDefault="00170421">
      <w:pPr>
        <w:spacing w:after="100"/>
        <w:ind w:left="720" w:hanging="720"/>
        <w:rPr>
          <w:color w:val="000000" w:themeColor="text1"/>
        </w:rPr>
      </w:pPr>
      <w:r w:rsidRPr="00F86F9E">
        <w:rPr>
          <w:b/>
          <w:bCs/>
          <w:color w:val="000000" w:themeColor="text1"/>
          <w:sz w:val="20"/>
          <w:szCs w:val="20"/>
        </w:rPr>
        <w:t>45.</w:t>
      </w:r>
      <w:r w:rsidRPr="00F86F9E">
        <w:rPr>
          <w:b/>
          <w:bCs/>
          <w:color w:val="000000" w:themeColor="text1"/>
          <w:sz w:val="20"/>
          <w:szCs w:val="20"/>
        </w:rPr>
        <w:tab/>
      </w:r>
      <w:proofErr w:type="spellStart"/>
      <w:r w:rsidRPr="00F86F9E">
        <w:rPr>
          <w:color w:val="000000" w:themeColor="text1"/>
          <w:sz w:val="20"/>
          <w:szCs w:val="20"/>
        </w:rPr>
        <w:t>Murchie</w:t>
      </w:r>
      <w:proofErr w:type="spellEnd"/>
      <w:r w:rsidRPr="00F86F9E">
        <w:rPr>
          <w:color w:val="000000" w:themeColor="text1"/>
          <w:sz w:val="20"/>
          <w:szCs w:val="20"/>
        </w:rPr>
        <w:t>, E. H., &amp; Lawson, T. (2013). Chlorophyll fluorescence analysis: a guide to good practice and understanding some new applications. Journal of Experimental Botany, 64(13), 3983–3998.</w:t>
      </w:r>
    </w:p>
    <w:p w14:paraId="2233816A" w14:textId="77777777" w:rsidR="001E4973" w:rsidRPr="00F86F9E" w:rsidRDefault="00170421">
      <w:pPr>
        <w:spacing w:after="100"/>
        <w:ind w:left="720" w:hanging="720"/>
        <w:rPr>
          <w:color w:val="000000" w:themeColor="text1"/>
        </w:rPr>
      </w:pPr>
      <w:r w:rsidRPr="00F86F9E">
        <w:rPr>
          <w:b/>
          <w:bCs/>
          <w:color w:val="000000" w:themeColor="text1"/>
          <w:sz w:val="20"/>
          <w:szCs w:val="20"/>
        </w:rPr>
        <w:t>46.</w:t>
      </w:r>
      <w:r w:rsidRPr="00F86F9E">
        <w:rPr>
          <w:b/>
          <w:bCs/>
          <w:color w:val="000000" w:themeColor="text1"/>
          <w:sz w:val="20"/>
          <w:szCs w:val="20"/>
        </w:rPr>
        <w:tab/>
      </w:r>
      <w:r w:rsidRPr="00F86F9E">
        <w:rPr>
          <w:color w:val="000000" w:themeColor="text1"/>
          <w:sz w:val="20"/>
          <w:szCs w:val="20"/>
        </w:rPr>
        <w:t>Pan, S. J., &amp; Yang, Q. (2010). A survey on transfer learning. IEEE Transactions on Knowledge and Data Engineering, 22(10), 1345–1359.</w:t>
      </w:r>
    </w:p>
    <w:p w14:paraId="2CF880D9" w14:textId="77777777" w:rsidR="001E4973" w:rsidRPr="00F86F9E" w:rsidRDefault="00170421">
      <w:pPr>
        <w:spacing w:after="100"/>
        <w:ind w:left="720" w:hanging="720"/>
        <w:rPr>
          <w:color w:val="000000" w:themeColor="text1"/>
        </w:rPr>
      </w:pPr>
      <w:r w:rsidRPr="00F86F9E">
        <w:rPr>
          <w:b/>
          <w:bCs/>
          <w:color w:val="000000" w:themeColor="text1"/>
          <w:sz w:val="20"/>
          <w:szCs w:val="20"/>
        </w:rPr>
        <w:t>47.</w:t>
      </w:r>
      <w:r w:rsidRPr="00F86F9E">
        <w:rPr>
          <w:b/>
          <w:bCs/>
          <w:color w:val="000000" w:themeColor="text1"/>
          <w:sz w:val="20"/>
          <w:szCs w:val="20"/>
        </w:rPr>
        <w:tab/>
      </w:r>
      <w:r w:rsidRPr="00F86F9E">
        <w:rPr>
          <w:color w:val="000000" w:themeColor="text1"/>
          <w:sz w:val="20"/>
          <w:szCs w:val="20"/>
        </w:rPr>
        <w:t>Pérez-</w:t>
      </w:r>
      <w:proofErr w:type="spellStart"/>
      <w:r w:rsidRPr="00F86F9E">
        <w:rPr>
          <w:color w:val="000000" w:themeColor="text1"/>
          <w:sz w:val="20"/>
          <w:szCs w:val="20"/>
        </w:rPr>
        <w:t>Enciso</w:t>
      </w:r>
      <w:proofErr w:type="spellEnd"/>
      <w:r w:rsidRPr="00F86F9E">
        <w:rPr>
          <w:color w:val="000000" w:themeColor="text1"/>
          <w:sz w:val="20"/>
          <w:szCs w:val="20"/>
        </w:rPr>
        <w:t xml:space="preserve">, M., &amp; </w:t>
      </w:r>
      <w:proofErr w:type="spellStart"/>
      <w:r w:rsidRPr="00F86F9E">
        <w:rPr>
          <w:color w:val="000000" w:themeColor="text1"/>
          <w:sz w:val="20"/>
          <w:szCs w:val="20"/>
        </w:rPr>
        <w:t>Zingaretti</w:t>
      </w:r>
      <w:proofErr w:type="spellEnd"/>
      <w:r w:rsidRPr="00F86F9E">
        <w:rPr>
          <w:color w:val="000000" w:themeColor="text1"/>
          <w:sz w:val="20"/>
          <w:szCs w:val="20"/>
        </w:rPr>
        <w:t>, L. M. (2019). A guide on deep learning for complex trait genomic prediction. Genes, 10(7), 553.</w:t>
      </w:r>
    </w:p>
    <w:p w14:paraId="5473C74B" w14:textId="77777777" w:rsidR="001E4973" w:rsidRPr="00F86F9E" w:rsidRDefault="00170421">
      <w:pPr>
        <w:spacing w:after="100"/>
        <w:ind w:left="720" w:hanging="720"/>
        <w:rPr>
          <w:color w:val="000000" w:themeColor="text1"/>
        </w:rPr>
      </w:pPr>
      <w:r w:rsidRPr="00F86F9E">
        <w:rPr>
          <w:b/>
          <w:bCs/>
          <w:color w:val="000000" w:themeColor="text1"/>
          <w:sz w:val="20"/>
          <w:szCs w:val="20"/>
        </w:rPr>
        <w:t>48.</w:t>
      </w:r>
      <w:r w:rsidRPr="00F86F9E">
        <w:rPr>
          <w:b/>
          <w:bCs/>
          <w:color w:val="000000" w:themeColor="text1"/>
          <w:sz w:val="20"/>
          <w:szCs w:val="20"/>
        </w:rPr>
        <w:tab/>
      </w:r>
      <w:r w:rsidRPr="00F86F9E">
        <w:rPr>
          <w:color w:val="000000" w:themeColor="text1"/>
          <w:sz w:val="20"/>
          <w:szCs w:val="20"/>
        </w:rPr>
        <w:t>Poland, J. A., &amp; Rife, T. W. (2012). Genotyping-by-sequencing for plant breeding and genetics. The Plant Genome, 5(3), 92–102.</w:t>
      </w:r>
    </w:p>
    <w:p w14:paraId="78B16681" w14:textId="77777777" w:rsidR="001E4973" w:rsidRPr="00F86F9E" w:rsidRDefault="00170421">
      <w:pPr>
        <w:spacing w:after="100"/>
        <w:ind w:left="720" w:hanging="720"/>
        <w:rPr>
          <w:color w:val="000000" w:themeColor="text1"/>
        </w:rPr>
      </w:pPr>
      <w:r w:rsidRPr="00F86F9E">
        <w:rPr>
          <w:b/>
          <w:bCs/>
          <w:color w:val="000000" w:themeColor="text1"/>
          <w:sz w:val="20"/>
          <w:szCs w:val="20"/>
        </w:rPr>
        <w:t>49.</w:t>
      </w:r>
      <w:r w:rsidRPr="00F86F9E">
        <w:rPr>
          <w:b/>
          <w:bCs/>
          <w:color w:val="000000" w:themeColor="text1"/>
          <w:sz w:val="20"/>
          <w:szCs w:val="20"/>
        </w:rPr>
        <w:tab/>
      </w:r>
      <w:proofErr w:type="spellStart"/>
      <w:r w:rsidRPr="00F86F9E">
        <w:rPr>
          <w:color w:val="000000" w:themeColor="text1"/>
          <w:sz w:val="20"/>
          <w:szCs w:val="20"/>
        </w:rPr>
        <w:t>Priesack</w:t>
      </w:r>
      <w:proofErr w:type="spellEnd"/>
      <w:r w:rsidRPr="00F86F9E">
        <w:rPr>
          <w:color w:val="000000" w:themeColor="text1"/>
          <w:sz w:val="20"/>
          <w:szCs w:val="20"/>
        </w:rPr>
        <w:t xml:space="preserve">, E., </w:t>
      </w:r>
      <w:proofErr w:type="spellStart"/>
      <w:r w:rsidRPr="00F86F9E">
        <w:rPr>
          <w:color w:val="000000" w:themeColor="text1"/>
          <w:sz w:val="20"/>
          <w:szCs w:val="20"/>
        </w:rPr>
        <w:t>Gayler</w:t>
      </w:r>
      <w:proofErr w:type="spellEnd"/>
      <w:r w:rsidRPr="00F86F9E">
        <w:rPr>
          <w:color w:val="000000" w:themeColor="text1"/>
          <w:sz w:val="20"/>
          <w:szCs w:val="20"/>
        </w:rPr>
        <w:t>, S., &amp; Hartmann, H. P. (2006). The impact of crop growth sub-model choice on simulated water and nitrogen balances. Nutrient Cycling in Agroecosystems, 75(1–3), 1–13.</w:t>
      </w:r>
    </w:p>
    <w:p w14:paraId="48B65009" w14:textId="31CD2A67" w:rsidR="001E4973" w:rsidRPr="00F86F9E" w:rsidRDefault="00170421">
      <w:pPr>
        <w:spacing w:after="100"/>
        <w:ind w:left="720" w:hanging="720"/>
        <w:rPr>
          <w:color w:val="000000" w:themeColor="text1"/>
        </w:rPr>
      </w:pPr>
      <w:r w:rsidRPr="00F86F9E">
        <w:rPr>
          <w:b/>
          <w:bCs/>
          <w:color w:val="000000" w:themeColor="text1"/>
          <w:sz w:val="20"/>
          <w:szCs w:val="20"/>
        </w:rPr>
        <w:t>50.</w:t>
      </w:r>
      <w:r w:rsidRPr="00F86F9E">
        <w:rPr>
          <w:b/>
          <w:bCs/>
          <w:color w:val="000000" w:themeColor="text1"/>
          <w:sz w:val="20"/>
          <w:szCs w:val="20"/>
        </w:rPr>
        <w:tab/>
      </w:r>
      <w:r w:rsidRPr="00F86F9E">
        <w:rPr>
          <w:color w:val="000000" w:themeColor="text1"/>
          <w:sz w:val="20"/>
          <w:szCs w:val="20"/>
        </w:rPr>
        <w:t>Rasheed, A., Hao, Y., Xia, X., Khan, A., Xu, Y., Varshney, R. K., &amp; He, Z. (2017). Crop breeding chips and genotyping platforms: progress, challenges</w:t>
      </w:r>
      <w:r w:rsidR="00CF20A5">
        <w:rPr>
          <w:color w:val="000000" w:themeColor="text1"/>
          <w:sz w:val="20"/>
          <w:szCs w:val="20"/>
        </w:rPr>
        <w:t xml:space="preserve"> and</w:t>
      </w:r>
      <w:r w:rsidRPr="00F86F9E">
        <w:rPr>
          <w:color w:val="000000" w:themeColor="text1"/>
          <w:sz w:val="20"/>
          <w:szCs w:val="20"/>
        </w:rPr>
        <w:t xml:space="preserve"> perspectives. Molecular Plant, 10(8), 1047–1064.</w:t>
      </w:r>
    </w:p>
    <w:p w14:paraId="152935C6" w14:textId="77777777" w:rsidR="001E4973" w:rsidRPr="00F86F9E" w:rsidRDefault="00170421">
      <w:pPr>
        <w:spacing w:after="100"/>
        <w:ind w:left="720" w:hanging="720"/>
        <w:rPr>
          <w:color w:val="000000" w:themeColor="text1"/>
        </w:rPr>
      </w:pPr>
      <w:r w:rsidRPr="00F86F9E">
        <w:rPr>
          <w:b/>
          <w:bCs/>
          <w:color w:val="000000" w:themeColor="text1"/>
          <w:sz w:val="20"/>
          <w:szCs w:val="20"/>
        </w:rPr>
        <w:t>51.</w:t>
      </w:r>
      <w:r w:rsidRPr="00F86F9E">
        <w:rPr>
          <w:b/>
          <w:bCs/>
          <w:color w:val="000000" w:themeColor="text1"/>
          <w:sz w:val="20"/>
          <w:szCs w:val="20"/>
        </w:rPr>
        <w:tab/>
      </w:r>
      <w:r w:rsidRPr="00F86F9E">
        <w:rPr>
          <w:color w:val="000000" w:themeColor="text1"/>
          <w:sz w:val="20"/>
          <w:szCs w:val="20"/>
        </w:rPr>
        <w:t>Rodríguez-Leal, D., Lemmon, Z. H., Man, J., Bartlett, M. E., &amp; Lippman, Z. B. (2017). Engineering quantitative trait variation for crop improvement by genome editing. Cell, 171(2), 470–480.</w:t>
      </w:r>
    </w:p>
    <w:p w14:paraId="6900B1DD" w14:textId="77777777" w:rsidR="001E4973" w:rsidRPr="00F86F9E" w:rsidRDefault="00170421">
      <w:pPr>
        <w:spacing w:after="100"/>
        <w:ind w:left="720" w:hanging="720"/>
        <w:rPr>
          <w:color w:val="000000" w:themeColor="text1"/>
        </w:rPr>
      </w:pPr>
      <w:r w:rsidRPr="00F86F9E">
        <w:rPr>
          <w:b/>
          <w:bCs/>
          <w:color w:val="000000" w:themeColor="text1"/>
          <w:sz w:val="20"/>
          <w:szCs w:val="20"/>
        </w:rPr>
        <w:t>52.</w:t>
      </w:r>
      <w:r w:rsidRPr="00F86F9E">
        <w:rPr>
          <w:b/>
          <w:bCs/>
          <w:color w:val="000000" w:themeColor="text1"/>
          <w:sz w:val="20"/>
          <w:szCs w:val="20"/>
        </w:rPr>
        <w:tab/>
      </w:r>
      <w:proofErr w:type="spellStart"/>
      <w:r w:rsidRPr="00F86F9E">
        <w:rPr>
          <w:color w:val="000000" w:themeColor="text1"/>
          <w:sz w:val="20"/>
          <w:szCs w:val="20"/>
        </w:rPr>
        <w:t>Scheben</w:t>
      </w:r>
      <w:proofErr w:type="spellEnd"/>
      <w:r w:rsidRPr="00F86F9E">
        <w:rPr>
          <w:color w:val="000000" w:themeColor="text1"/>
          <w:sz w:val="20"/>
          <w:szCs w:val="20"/>
        </w:rPr>
        <w:t>, A., Batley, J., &amp; Edwards, D. (2017). Genotyping-by-sequencing approaches to characterize crop genomes: choosing between whole genome resequencing and reduced representation sequencing. Theoretical and Applied Genetics, 130(3), 587–601.</w:t>
      </w:r>
    </w:p>
    <w:p w14:paraId="5AB44952" w14:textId="77777777" w:rsidR="001E4973" w:rsidRPr="00F86F9E" w:rsidRDefault="00170421">
      <w:pPr>
        <w:spacing w:after="100"/>
        <w:ind w:left="720" w:hanging="720"/>
        <w:rPr>
          <w:color w:val="000000" w:themeColor="text1"/>
        </w:rPr>
      </w:pPr>
      <w:r w:rsidRPr="00F86F9E">
        <w:rPr>
          <w:b/>
          <w:bCs/>
          <w:color w:val="000000" w:themeColor="text1"/>
          <w:sz w:val="20"/>
          <w:szCs w:val="20"/>
        </w:rPr>
        <w:t>53.</w:t>
      </w:r>
      <w:r w:rsidRPr="00F86F9E">
        <w:rPr>
          <w:b/>
          <w:bCs/>
          <w:color w:val="000000" w:themeColor="text1"/>
          <w:sz w:val="20"/>
          <w:szCs w:val="20"/>
        </w:rPr>
        <w:tab/>
      </w:r>
      <w:r w:rsidRPr="00F86F9E">
        <w:rPr>
          <w:color w:val="000000" w:themeColor="text1"/>
          <w:sz w:val="20"/>
          <w:szCs w:val="20"/>
        </w:rPr>
        <w:t xml:space="preserve">Silver, D., Huang, A., Maddison, C. J., </w:t>
      </w:r>
      <w:proofErr w:type="spellStart"/>
      <w:r w:rsidRPr="00F86F9E">
        <w:rPr>
          <w:color w:val="000000" w:themeColor="text1"/>
          <w:sz w:val="20"/>
          <w:szCs w:val="20"/>
        </w:rPr>
        <w:t>Guez</w:t>
      </w:r>
      <w:proofErr w:type="spellEnd"/>
      <w:r w:rsidRPr="00F86F9E">
        <w:rPr>
          <w:color w:val="000000" w:themeColor="text1"/>
          <w:sz w:val="20"/>
          <w:szCs w:val="20"/>
        </w:rPr>
        <w:t xml:space="preserve">, A., </w:t>
      </w:r>
      <w:proofErr w:type="spellStart"/>
      <w:r w:rsidRPr="00F86F9E">
        <w:rPr>
          <w:color w:val="000000" w:themeColor="text1"/>
          <w:sz w:val="20"/>
          <w:szCs w:val="20"/>
        </w:rPr>
        <w:t>Sifre</w:t>
      </w:r>
      <w:proofErr w:type="spellEnd"/>
      <w:r w:rsidRPr="00F86F9E">
        <w:rPr>
          <w:color w:val="000000" w:themeColor="text1"/>
          <w:sz w:val="20"/>
          <w:szCs w:val="20"/>
        </w:rPr>
        <w:t xml:space="preserve">, L., van den </w:t>
      </w:r>
      <w:proofErr w:type="spellStart"/>
      <w:r w:rsidRPr="00F86F9E">
        <w:rPr>
          <w:color w:val="000000" w:themeColor="text1"/>
          <w:sz w:val="20"/>
          <w:szCs w:val="20"/>
        </w:rPr>
        <w:t>Driessche</w:t>
      </w:r>
      <w:proofErr w:type="spellEnd"/>
      <w:r w:rsidRPr="00F86F9E">
        <w:rPr>
          <w:color w:val="000000" w:themeColor="text1"/>
          <w:sz w:val="20"/>
          <w:szCs w:val="20"/>
        </w:rPr>
        <w:t>, G., ... &amp; Hassabis, D. (2016). Mastering the game of Go with deep neural networks and tree search. Nature, 529(7587), 484–489.</w:t>
      </w:r>
    </w:p>
    <w:p w14:paraId="516DA70E" w14:textId="77777777" w:rsidR="001E4973" w:rsidRPr="00F86F9E" w:rsidRDefault="00170421">
      <w:pPr>
        <w:spacing w:after="100"/>
        <w:ind w:left="720" w:hanging="720"/>
        <w:rPr>
          <w:color w:val="000000" w:themeColor="text1"/>
        </w:rPr>
      </w:pPr>
      <w:r w:rsidRPr="00F86F9E">
        <w:rPr>
          <w:b/>
          <w:bCs/>
          <w:color w:val="000000" w:themeColor="text1"/>
          <w:sz w:val="20"/>
          <w:szCs w:val="20"/>
        </w:rPr>
        <w:t>54.</w:t>
      </w:r>
      <w:r w:rsidRPr="00F86F9E">
        <w:rPr>
          <w:b/>
          <w:bCs/>
          <w:color w:val="000000" w:themeColor="text1"/>
          <w:sz w:val="20"/>
          <w:szCs w:val="20"/>
        </w:rPr>
        <w:tab/>
      </w:r>
      <w:r w:rsidRPr="00F86F9E">
        <w:rPr>
          <w:color w:val="000000" w:themeColor="text1"/>
          <w:sz w:val="20"/>
          <w:szCs w:val="20"/>
        </w:rPr>
        <w:t xml:space="preserve">Singh, A., </w:t>
      </w:r>
      <w:proofErr w:type="spellStart"/>
      <w:r w:rsidRPr="00F86F9E">
        <w:rPr>
          <w:color w:val="000000" w:themeColor="text1"/>
          <w:sz w:val="20"/>
          <w:szCs w:val="20"/>
        </w:rPr>
        <w:t>Ganapathysubramanian</w:t>
      </w:r>
      <w:proofErr w:type="spellEnd"/>
      <w:r w:rsidRPr="00F86F9E">
        <w:rPr>
          <w:color w:val="000000" w:themeColor="text1"/>
          <w:sz w:val="20"/>
          <w:szCs w:val="20"/>
        </w:rPr>
        <w:t>, B., Singh, A. K., &amp; Sarkar, S. (2016). Machine learning for high-throughput stress phenotyping in plants. Trends in Plant Science, 21(2), 110–124.</w:t>
      </w:r>
    </w:p>
    <w:p w14:paraId="76AE9CDF" w14:textId="77777777" w:rsidR="001E4973" w:rsidRPr="00F86F9E" w:rsidRDefault="00170421">
      <w:pPr>
        <w:spacing w:after="100"/>
        <w:ind w:left="720" w:hanging="720"/>
        <w:rPr>
          <w:color w:val="000000" w:themeColor="text1"/>
        </w:rPr>
      </w:pPr>
      <w:r w:rsidRPr="00F86F9E">
        <w:rPr>
          <w:b/>
          <w:bCs/>
          <w:color w:val="000000" w:themeColor="text1"/>
          <w:sz w:val="20"/>
          <w:szCs w:val="20"/>
        </w:rPr>
        <w:t>55.</w:t>
      </w:r>
      <w:r w:rsidRPr="00F86F9E">
        <w:rPr>
          <w:b/>
          <w:bCs/>
          <w:color w:val="000000" w:themeColor="text1"/>
          <w:sz w:val="20"/>
          <w:szCs w:val="20"/>
        </w:rPr>
        <w:tab/>
      </w:r>
      <w:proofErr w:type="spellStart"/>
      <w:r w:rsidRPr="00F86F9E">
        <w:rPr>
          <w:color w:val="000000" w:themeColor="text1"/>
          <w:sz w:val="20"/>
          <w:szCs w:val="20"/>
        </w:rPr>
        <w:t>Spindel</w:t>
      </w:r>
      <w:proofErr w:type="spellEnd"/>
      <w:r w:rsidRPr="00F86F9E">
        <w:rPr>
          <w:color w:val="000000" w:themeColor="text1"/>
          <w:sz w:val="20"/>
          <w:szCs w:val="20"/>
        </w:rPr>
        <w:t xml:space="preserve">, J. E., &amp; </w:t>
      </w:r>
      <w:proofErr w:type="spellStart"/>
      <w:r w:rsidRPr="00F86F9E">
        <w:rPr>
          <w:color w:val="000000" w:themeColor="text1"/>
          <w:sz w:val="20"/>
          <w:szCs w:val="20"/>
        </w:rPr>
        <w:t>McCouch</w:t>
      </w:r>
      <w:proofErr w:type="spellEnd"/>
      <w:r w:rsidRPr="00F86F9E">
        <w:rPr>
          <w:color w:val="000000" w:themeColor="text1"/>
          <w:sz w:val="20"/>
          <w:szCs w:val="20"/>
        </w:rPr>
        <w:t xml:space="preserve">, S. R. (2016). When more is better: how data sharing would accelerate genomic selection of crop plants. New </w:t>
      </w:r>
      <w:proofErr w:type="spellStart"/>
      <w:r w:rsidRPr="00F86F9E">
        <w:rPr>
          <w:color w:val="000000" w:themeColor="text1"/>
          <w:sz w:val="20"/>
          <w:szCs w:val="20"/>
        </w:rPr>
        <w:t>Phytologist</w:t>
      </w:r>
      <w:proofErr w:type="spellEnd"/>
      <w:r w:rsidRPr="00F86F9E">
        <w:rPr>
          <w:color w:val="000000" w:themeColor="text1"/>
          <w:sz w:val="20"/>
          <w:szCs w:val="20"/>
        </w:rPr>
        <w:t>, 212(4), 814–826.</w:t>
      </w:r>
    </w:p>
    <w:p w14:paraId="23C52095" w14:textId="77777777" w:rsidR="001E4973" w:rsidRPr="00F86F9E" w:rsidRDefault="00170421">
      <w:pPr>
        <w:spacing w:after="100"/>
        <w:ind w:left="720" w:hanging="720"/>
        <w:rPr>
          <w:color w:val="000000" w:themeColor="text1"/>
        </w:rPr>
      </w:pPr>
      <w:r w:rsidRPr="00F86F9E">
        <w:rPr>
          <w:b/>
          <w:bCs/>
          <w:color w:val="000000" w:themeColor="text1"/>
          <w:sz w:val="20"/>
          <w:szCs w:val="20"/>
        </w:rPr>
        <w:t>56.</w:t>
      </w:r>
      <w:r w:rsidRPr="00F86F9E">
        <w:rPr>
          <w:b/>
          <w:bCs/>
          <w:color w:val="000000" w:themeColor="text1"/>
          <w:sz w:val="20"/>
          <w:szCs w:val="20"/>
        </w:rPr>
        <w:tab/>
      </w:r>
      <w:proofErr w:type="spellStart"/>
      <w:r w:rsidRPr="00F86F9E">
        <w:rPr>
          <w:color w:val="000000" w:themeColor="text1"/>
          <w:sz w:val="20"/>
          <w:szCs w:val="20"/>
        </w:rPr>
        <w:t>Su</w:t>
      </w:r>
      <w:proofErr w:type="spellEnd"/>
      <w:r w:rsidRPr="00F86F9E">
        <w:rPr>
          <w:color w:val="000000" w:themeColor="text1"/>
          <w:sz w:val="20"/>
          <w:szCs w:val="20"/>
        </w:rPr>
        <w:t xml:space="preserve">, Z., Hao, C., Wang, L., Dong, Y., &amp; Zhang, X. (2011). Identification and development of a functional marker of TaGW2 associated with grain weight in bread wheat (Triticum </w:t>
      </w:r>
      <w:proofErr w:type="spellStart"/>
      <w:r w:rsidRPr="00F86F9E">
        <w:rPr>
          <w:color w:val="000000" w:themeColor="text1"/>
          <w:sz w:val="20"/>
          <w:szCs w:val="20"/>
        </w:rPr>
        <w:t>aestivum</w:t>
      </w:r>
      <w:proofErr w:type="spellEnd"/>
      <w:r w:rsidRPr="00F86F9E">
        <w:rPr>
          <w:color w:val="000000" w:themeColor="text1"/>
          <w:sz w:val="20"/>
          <w:szCs w:val="20"/>
        </w:rPr>
        <w:t xml:space="preserve"> L.). Theoretical and Applied Genetics, 122(1), 211–223.</w:t>
      </w:r>
    </w:p>
    <w:p w14:paraId="5C7FBA7C" w14:textId="77777777" w:rsidR="001E4973" w:rsidRPr="00F86F9E" w:rsidRDefault="00170421">
      <w:pPr>
        <w:spacing w:after="100"/>
        <w:ind w:left="720" w:hanging="720"/>
        <w:rPr>
          <w:color w:val="000000" w:themeColor="text1"/>
        </w:rPr>
      </w:pPr>
      <w:r w:rsidRPr="00F86F9E">
        <w:rPr>
          <w:b/>
          <w:bCs/>
          <w:color w:val="000000" w:themeColor="text1"/>
          <w:sz w:val="20"/>
          <w:szCs w:val="20"/>
        </w:rPr>
        <w:t>57.</w:t>
      </w:r>
      <w:r w:rsidRPr="00F86F9E">
        <w:rPr>
          <w:b/>
          <w:bCs/>
          <w:color w:val="000000" w:themeColor="text1"/>
          <w:sz w:val="20"/>
          <w:szCs w:val="20"/>
        </w:rPr>
        <w:tab/>
      </w:r>
      <w:r w:rsidRPr="00F86F9E">
        <w:rPr>
          <w:color w:val="000000" w:themeColor="text1"/>
          <w:sz w:val="20"/>
          <w:szCs w:val="20"/>
        </w:rPr>
        <w:t>Takeshima, R., Hayashi, T., Zhu, J., Zhao, C., Xu, M., &amp; Yamaguchi, N. (2016). A BS1 allele links vernalization response and florigen gene expression in the soybean. BMC Plant Biology, 16(1), 236.</w:t>
      </w:r>
    </w:p>
    <w:p w14:paraId="2B221664" w14:textId="77777777" w:rsidR="001E4973" w:rsidRPr="00F86F9E" w:rsidRDefault="00170421">
      <w:pPr>
        <w:spacing w:after="100"/>
        <w:ind w:left="720" w:hanging="720"/>
        <w:rPr>
          <w:color w:val="000000" w:themeColor="text1"/>
        </w:rPr>
      </w:pPr>
      <w:r w:rsidRPr="00F86F9E">
        <w:rPr>
          <w:b/>
          <w:bCs/>
          <w:color w:val="000000" w:themeColor="text1"/>
          <w:sz w:val="20"/>
          <w:szCs w:val="20"/>
        </w:rPr>
        <w:t>58.</w:t>
      </w:r>
      <w:r w:rsidRPr="00F86F9E">
        <w:rPr>
          <w:b/>
          <w:bCs/>
          <w:color w:val="000000" w:themeColor="text1"/>
          <w:sz w:val="20"/>
          <w:szCs w:val="20"/>
        </w:rPr>
        <w:tab/>
      </w:r>
      <w:r w:rsidRPr="00F86F9E">
        <w:rPr>
          <w:color w:val="000000" w:themeColor="text1"/>
          <w:sz w:val="20"/>
          <w:szCs w:val="20"/>
        </w:rPr>
        <w:t xml:space="preserve">Tang, F., </w:t>
      </w:r>
      <w:proofErr w:type="spellStart"/>
      <w:r w:rsidRPr="00F86F9E">
        <w:rPr>
          <w:color w:val="000000" w:themeColor="text1"/>
          <w:sz w:val="20"/>
          <w:szCs w:val="20"/>
        </w:rPr>
        <w:t>Barbacioru</w:t>
      </w:r>
      <w:proofErr w:type="spellEnd"/>
      <w:r w:rsidRPr="00F86F9E">
        <w:rPr>
          <w:color w:val="000000" w:themeColor="text1"/>
          <w:sz w:val="20"/>
          <w:szCs w:val="20"/>
        </w:rPr>
        <w:t xml:space="preserve">, C., Wang, Y., </w:t>
      </w:r>
      <w:proofErr w:type="spellStart"/>
      <w:r w:rsidRPr="00F86F9E">
        <w:rPr>
          <w:color w:val="000000" w:themeColor="text1"/>
          <w:sz w:val="20"/>
          <w:szCs w:val="20"/>
        </w:rPr>
        <w:t>Nordman</w:t>
      </w:r>
      <w:proofErr w:type="spellEnd"/>
      <w:r w:rsidRPr="00F86F9E">
        <w:rPr>
          <w:color w:val="000000" w:themeColor="text1"/>
          <w:sz w:val="20"/>
          <w:szCs w:val="20"/>
        </w:rPr>
        <w:t xml:space="preserve">, E., Lee, C., Xu, N., ... &amp; </w:t>
      </w:r>
      <w:proofErr w:type="spellStart"/>
      <w:r w:rsidRPr="00F86F9E">
        <w:rPr>
          <w:color w:val="000000" w:themeColor="text1"/>
          <w:sz w:val="20"/>
          <w:szCs w:val="20"/>
        </w:rPr>
        <w:t>Surani</w:t>
      </w:r>
      <w:proofErr w:type="spellEnd"/>
      <w:r w:rsidRPr="00F86F9E">
        <w:rPr>
          <w:color w:val="000000" w:themeColor="text1"/>
          <w:sz w:val="20"/>
          <w:szCs w:val="20"/>
        </w:rPr>
        <w:t>, M. A. (2009). mRNA-</w:t>
      </w:r>
      <w:proofErr w:type="spellStart"/>
      <w:r w:rsidRPr="00F86F9E">
        <w:rPr>
          <w:color w:val="000000" w:themeColor="text1"/>
          <w:sz w:val="20"/>
          <w:szCs w:val="20"/>
        </w:rPr>
        <w:t>Seq</w:t>
      </w:r>
      <w:proofErr w:type="spellEnd"/>
      <w:r w:rsidRPr="00F86F9E">
        <w:rPr>
          <w:color w:val="000000" w:themeColor="text1"/>
          <w:sz w:val="20"/>
          <w:szCs w:val="20"/>
        </w:rPr>
        <w:t xml:space="preserve"> whole-transcriptome analysis of a single cell. Nature Methods, 6(5), 377–382.</w:t>
      </w:r>
    </w:p>
    <w:p w14:paraId="55C1D105" w14:textId="77777777" w:rsidR="001E4973" w:rsidRPr="00F86F9E" w:rsidRDefault="00170421">
      <w:pPr>
        <w:spacing w:after="100"/>
        <w:ind w:left="720" w:hanging="720"/>
        <w:rPr>
          <w:color w:val="000000" w:themeColor="text1"/>
        </w:rPr>
      </w:pPr>
      <w:r w:rsidRPr="00F86F9E">
        <w:rPr>
          <w:b/>
          <w:bCs/>
          <w:color w:val="000000" w:themeColor="text1"/>
          <w:sz w:val="20"/>
          <w:szCs w:val="20"/>
        </w:rPr>
        <w:t>59.</w:t>
      </w:r>
      <w:r w:rsidRPr="00F86F9E">
        <w:rPr>
          <w:b/>
          <w:bCs/>
          <w:color w:val="000000" w:themeColor="text1"/>
          <w:sz w:val="20"/>
          <w:szCs w:val="20"/>
        </w:rPr>
        <w:tab/>
      </w:r>
      <w:r w:rsidRPr="00F86F9E">
        <w:rPr>
          <w:color w:val="000000" w:themeColor="text1"/>
          <w:sz w:val="20"/>
          <w:szCs w:val="20"/>
        </w:rPr>
        <w:t>Tracy, S. R., Nagel, K. A., Postma, J. A., Fassbender, H., Wasson, A., &amp; Watt, M. (2020). Crop improvement from phenotyping roots: highlights reveal expanding opportunities. Trends in Plant Science, 25(1), 105–118.</w:t>
      </w:r>
    </w:p>
    <w:p w14:paraId="077C8CBA" w14:textId="77777777" w:rsidR="001E4973" w:rsidRPr="00F86F9E" w:rsidRDefault="00170421">
      <w:pPr>
        <w:spacing w:after="100"/>
        <w:ind w:left="720" w:hanging="720"/>
        <w:rPr>
          <w:color w:val="000000" w:themeColor="text1"/>
        </w:rPr>
      </w:pPr>
      <w:r w:rsidRPr="00F86F9E">
        <w:rPr>
          <w:b/>
          <w:bCs/>
          <w:color w:val="000000" w:themeColor="text1"/>
          <w:sz w:val="20"/>
          <w:szCs w:val="20"/>
        </w:rPr>
        <w:t>60.</w:t>
      </w:r>
      <w:r w:rsidRPr="00F86F9E">
        <w:rPr>
          <w:b/>
          <w:bCs/>
          <w:color w:val="000000" w:themeColor="text1"/>
          <w:sz w:val="20"/>
          <w:szCs w:val="20"/>
        </w:rPr>
        <w:tab/>
      </w:r>
      <w:r w:rsidRPr="00F86F9E">
        <w:rPr>
          <w:color w:val="000000" w:themeColor="text1"/>
          <w:sz w:val="20"/>
          <w:szCs w:val="20"/>
        </w:rPr>
        <w:t xml:space="preserve">van As, H. (2007). Intact plant MRI for the study of cell water relations, membrane permeability, cell-to-cell and </w:t>
      </w:r>
      <w:proofErr w:type="gramStart"/>
      <w:r w:rsidRPr="00F86F9E">
        <w:rPr>
          <w:color w:val="000000" w:themeColor="text1"/>
          <w:sz w:val="20"/>
          <w:szCs w:val="20"/>
        </w:rPr>
        <w:t>long distance</w:t>
      </w:r>
      <w:proofErr w:type="gramEnd"/>
      <w:r w:rsidRPr="00F86F9E">
        <w:rPr>
          <w:color w:val="000000" w:themeColor="text1"/>
          <w:sz w:val="20"/>
          <w:szCs w:val="20"/>
        </w:rPr>
        <w:t xml:space="preserve"> water transport. Journal of Experimental Botany, 58(4), 743–756.</w:t>
      </w:r>
    </w:p>
    <w:p w14:paraId="502F823A"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61.</w:t>
      </w:r>
      <w:r w:rsidRPr="00F86F9E">
        <w:rPr>
          <w:b/>
          <w:bCs/>
          <w:color w:val="000000" w:themeColor="text1"/>
          <w:sz w:val="20"/>
          <w:szCs w:val="20"/>
        </w:rPr>
        <w:tab/>
      </w:r>
      <w:proofErr w:type="spellStart"/>
      <w:r w:rsidRPr="00F86F9E">
        <w:rPr>
          <w:color w:val="000000" w:themeColor="text1"/>
          <w:sz w:val="20"/>
          <w:szCs w:val="20"/>
        </w:rPr>
        <w:t>VanRaden</w:t>
      </w:r>
      <w:proofErr w:type="spellEnd"/>
      <w:r w:rsidRPr="00F86F9E">
        <w:rPr>
          <w:color w:val="000000" w:themeColor="text1"/>
          <w:sz w:val="20"/>
          <w:szCs w:val="20"/>
        </w:rPr>
        <w:t>, P. M. (2008). Efficient methods to compute genomic predictions. Journal of Dairy Science, 91(11), 4414–4423.</w:t>
      </w:r>
    </w:p>
    <w:p w14:paraId="49A3CFEC" w14:textId="77777777" w:rsidR="001E4973" w:rsidRPr="00F86F9E" w:rsidRDefault="00170421">
      <w:pPr>
        <w:spacing w:after="100"/>
        <w:ind w:left="720" w:hanging="720"/>
        <w:rPr>
          <w:color w:val="000000" w:themeColor="text1"/>
        </w:rPr>
      </w:pPr>
      <w:r w:rsidRPr="00F86F9E">
        <w:rPr>
          <w:b/>
          <w:bCs/>
          <w:color w:val="000000" w:themeColor="text1"/>
          <w:sz w:val="20"/>
          <w:szCs w:val="20"/>
        </w:rPr>
        <w:t>62.</w:t>
      </w:r>
      <w:r w:rsidRPr="00F86F9E">
        <w:rPr>
          <w:b/>
          <w:bCs/>
          <w:color w:val="000000" w:themeColor="text1"/>
          <w:sz w:val="20"/>
          <w:szCs w:val="20"/>
        </w:rPr>
        <w:tab/>
      </w:r>
      <w:r w:rsidRPr="00F86F9E">
        <w:rPr>
          <w:color w:val="000000" w:themeColor="text1"/>
          <w:sz w:val="20"/>
          <w:szCs w:val="20"/>
        </w:rPr>
        <w:t>Varshney, R. K., Bohra, A., Yu, J., Graner, A., Zhang, Q., &amp; Sorrells, M. E. (2021). Designing future crops: genomics-assisted breeding comes of age. Trends in Plant Science, 26(6), 631–649.</w:t>
      </w:r>
    </w:p>
    <w:p w14:paraId="2C6C7D4F" w14:textId="77777777" w:rsidR="001E4973" w:rsidRPr="00F86F9E" w:rsidRDefault="00170421">
      <w:pPr>
        <w:spacing w:after="100"/>
        <w:ind w:left="720" w:hanging="720"/>
        <w:rPr>
          <w:color w:val="000000" w:themeColor="text1"/>
        </w:rPr>
      </w:pPr>
      <w:r w:rsidRPr="00F86F9E">
        <w:rPr>
          <w:b/>
          <w:bCs/>
          <w:color w:val="000000" w:themeColor="text1"/>
          <w:sz w:val="20"/>
          <w:szCs w:val="20"/>
        </w:rPr>
        <w:t>63.</w:t>
      </w:r>
      <w:r w:rsidRPr="00F86F9E">
        <w:rPr>
          <w:b/>
          <w:bCs/>
          <w:color w:val="000000" w:themeColor="text1"/>
          <w:sz w:val="20"/>
          <w:szCs w:val="20"/>
        </w:rPr>
        <w:tab/>
      </w:r>
      <w:r w:rsidRPr="00F86F9E">
        <w:rPr>
          <w:color w:val="000000" w:themeColor="text1"/>
          <w:sz w:val="20"/>
          <w:szCs w:val="20"/>
        </w:rPr>
        <w:t>Varshney, R. K., Graner, A., &amp; Sorrells, M. E. (2005). Genomics-assisted breeding for crop improvement. Trends in Plant Science, 10(12), 621–630.</w:t>
      </w:r>
    </w:p>
    <w:p w14:paraId="590FFABE" w14:textId="77777777" w:rsidR="001E4973" w:rsidRPr="00F86F9E" w:rsidRDefault="00170421">
      <w:pPr>
        <w:spacing w:after="100"/>
        <w:ind w:left="720" w:hanging="720"/>
        <w:rPr>
          <w:color w:val="000000" w:themeColor="text1"/>
        </w:rPr>
      </w:pPr>
      <w:r w:rsidRPr="00F86F9E">
        <w:rPr>
          <w:b/>
          <w:bCs/>
          <w:color w:val="000000" w:themeColor="text1"/>
          <w:sz w:val="20"/>
          <w:szCs w:val="20"/>
        </w:rPr>
        <w:t>64.</w:t>
      </w:r>
      <w:r w:rsidRPr="00F86F9E">
        <w:rPr>
          <w:b/>
          <w:bCs/>
          <w:color w:val="000000" w:themeColor="text1"/>
          <w:sz w:val="20"/>
          <w:szCs w:val="20"/>
        </w:rPr>
        <w:tab/>
      </w:r>
      <w:r w:rsidRPr="00F86F9E">
        <w:rPr>
          <w:color w:val="000000" w:themeColor="text1"/>
          <w:sz w:val="20"/>
          <w:szCs w:val="20"/>
        </w:rPr>
        <w:t xml:space="preserve">Weng, J., Gu, S., Wan, X., Gao, H., Guo, T., </w:t>
      </w:r>
      <w:proofErr w:type="spellStart"/>
      <w:r w:rsidRPr="00F86F9E">
        <w:rPr>
          <w:color w:val="000000" w:themeColor="text1"/>
          <w:sz w:val="20"/>
          <w:szCs w:val="20"/>
        </w:rPr>
        <w:t>Su</w:t>
      </w:r>
      <w:proofErr w:type="spellEnd"/>
      <w:r w:rsidRPr="00F86F9E">
        <w:rPr>
          <w:color w:val="000000" w:themeColor="text1"/>
          <w:sz w:val="20"/>
          <w:szCs w:val="20"/>
        </w:rPr>
        <w:t>, N., ... &amp; Wan, J. (2008). Isolation and initial characterization of GW5, a major QTL associated with rice grain width and weight. Cell Research, 18(12), 1199–1209.</w:t>
      </w:r>
    </w:p>
    <w:p w14:paraId="551329F5" w14:textId="77777777" w:rsidR="001E4973" w:rsidRPr="00F86F9E" w:rsidRDefault="00170421">
      <w:pPr>
        <w:spacing w:after="100"/>
        <w:ind w:left="720" w:hanging="720"/>
        <w:rPr>
          <w:color w:val="000000" w:themeColor="text1"/>
        </w:rPr>
      </w:pPr>
      <w:r w:rsidRPr="00F86F9E">
        <w:rPr>
          <w:b/>
          <w:bCs/>
          <w:color w:val="000000" w:themeColor="text1"/>
          <w:sz w:val="20"/>
          <w:szCs w:val="20"/>
        </w:rPr>
        <w:t>65.</w:t>
      </w:r>
      <w:r w:rsidRPr="00F86F9E">
        <w:rPr>
          <w:b/>
          <w:bCs/>
          <w:color w:val="000000" w:themeColor="text1"/>
          <w:sz w:val="20"/>
          <w:szCs w:val="20"/>
        </w:rPr>
        <w:tab/>
      </w:r>
      <w:r w:rsidRPr="00F86F9E">
        <w:rPr>
          <w:color w:val="000000" w:themeColor="text1"/>
          <w:sz w:val="20"/>
          <w:szCs w:val="20"/>
        </w:rPr>
        <w:t>Wenger, A. M., Peluso, P., Rowell, W. J., Chang, P. C., Hall, R. J., Concepcion, G. T., ... &amp; Hunkapiller, M. W. (2019). Accurate circular consensus long-read sequencing improves variant detection and assembly of a human genome. Nature Biotechnology, 37(10), 1155–1162.</w:t>
      </w:r>
    </w:p>
    <w:p w14:paraId="5B3D7B29" w14:textId="0EAFFBA3" w:rsidR="001E4973" w:rsidRPr="00F86F9E" w:rsidRDefault="00170421">
      <w:pPr>
        <w:spacing w:after="100"/>
        <w:ind w:left="720" w:hanging="720"/>
        <w:rPr>
          <w:color w:val="000000" w:themeColor="text1"/>
        </w:rPr>
      </w:pPr>
      <w:r w:rsidRPr="00F86F9E">
        <w:rPr>
          <w:b/>
          <w:bCs/>
          <w:color w:val="000000" w:themeColor="text1"/>
          <w:sz w:val="20"/>
          <w:szCs w:val="20"/>
        </w:rPr>
        <w:t>66.</w:t>
      </w:r>
      <w:r w:rsidRPr="00F86F9E">
        <w:rPr>
          <w:b/>
          <w:bCs/>
          <w:color w:val="000000" w:themeColor="text1"/>
          <w:sz w:val="20"/>
          <w:szCs w:val="20"/>
        </w:rPr>
        <w:tab/>
      </w:r>
      <w:r w:rsidRPr="00F86F9E">
        <w:rPr>
          <w:color w:val="000000" w:themeColor="text1"/>
          <w:sz w:val="20"/>
          <w:szCs w:val="20"/>
        </w:rPr>
        <w:t>White, J. W.</w:t>
      </w:r>
      <w:r w:rsidR="00CF20A5">
        <w:rPr>
          <w:color w:val="000000" w:themeColor="text1"/>
          <w:sz w:val="20"/>
          <w:szCs w:val="20"/>
        </w:rPr>
        <w:t xml:space="preserve"> </w:t>
      </w:r>
      <w:proofErr w:type="spellStart"/>
      <w:r w:rsidR="00CF20A5">
        <w:rPr>
          <w:color w:val="000000" w:themeColor="text1"/>
          <w:sz w:val="20"/>
          <w:szCs w:val="20"/>
        </w:rPr>
        <w:t>and</w:t>
      </w:r>
      <w:r w:rsidRPr="00F86F9E">
        <w:rPr>
          <w:color w:val="000000" w:themeColor="text1"/>
          <w:sz w:val="20"/>
          <w:szCs w:val="20"/>
        </w:rPr>
        <w:t>rade</w:t>
      </w:r>
      <w:proofErr w:type="spellEnd"/>
      <w:r w:rsidRPr="00F86F9E">
        <w:rPr>
          <w:color w:val="000000" w:themeColor="text1"/>
          <w:sz w:val="20"/>
          <w:szCs w:val="20"/>
        </w:rPr>
        <w:t xml:space="preserve">-Sanchez, P., Gore, M. A., Bronson, K. F., </w:t>
      </w:r>
      <w:proofErr w:type="spellStart"/>
      <w:r w:rsidRPr="00F86F9E">
        <w:rPr>
          <w:color w:val="000000" w:themeColor="text1"/>
          <w:sz w:val="20"/>
          <w:szCs w:val="20"/>
        </w:rPr>
        <w:t>Coffelt</w:t>
      </w:r>
      <w:proofErr w:type="spellEnd"/>
      <w:r w:rsidRPr="00F86F9E">
        <w:rPr>
          <w:color w:val="000000" w:themeColor="text1"/>
          <w:sz w:val="20"/>
          <w:szCs w:val="20"/>
        </w:rPr>
        <w:t xml:space="preserve">, T. A., Conley, M. M., ... &amp; Wang, G. (2012). Field-based </w:t>
      </w:r>
      <w:proofErr w:type="spellStart"/>
      <w:r w:rsidRPr="00F86F9E">
        <w:rPr>
          <w:color w:val="000000" w:themeColor="text1"/>
          <w:sz w:val="20"/>
          <w:szCs w:val="20"/>
        </w:rPr>
        <w:t>phenomics</w:t>
      </w:r>
      <w:proofErr w:type="spellEnd"/>
      <w:r w:rsidRPr="00F86F9E">
        <w:rPr>
          <w:color w:val="000000" w:themeColor="text1"/>
          <w:sz w:val="20"/>
          <w:szCs w:val="20"/>
        </w:rPr>
        <w:t xml:space="preserve"> for plant genetics research. Field Crops Research, 133, 101–112.</w:t>
      </w:r>
    </w:p>
    <w:p w14:paraId="60AAC7F5" w14:textId="77777777" w:rsidR="001E4973" w:rsidRPr="00F86F9E" w:rsidRDefault="00170421">
      <w:pPr>
        <w:spacing w:after="100"/>
        <w:ind w:left="720" w:hanging="720"/>
        <w:rPr>
          <w:color w:val="000000" w:themeColor="text1"/>
        </w:rPr>
      </w:pPr>
      <w:r w:rsidRPr="00F86F9E">
        <w:rPr>
          <w:b/>
          <w:bCs/>
          <w:color w:val="000000" w:themeColor="text1"/>
          <w:sz w:val="20"/>
          <w:szCs w:val="20"/>
        </w:rPr>
        <w:t>67.</w:t>
      </w:r>
      <w:r w:rsidRPr="00F86F9E">
        <w:rPr>
          <w:b/>
          <w:bCs/>
          <w:color w:val="000000" w:themeColor="text1"/>
          <w:sz w:val="20"/>
          <w:szCs w:val="20"/>
        </w:rPr>
        <w:tab/>
      </w:r>
      <w:r w:rsidRPr="00F86F9E">
        <w:rPr>
          <w:color w:val="000000" w:themeColor="text1"/>
          <w:sz w:val="20"/>
          <w:szCs w:val="20"/>
        </w:rPr>
        <w:t>Xu, Y., Liu, X., Fu, J., Wang, H., Wang, J., Huang, C., ... &amp; Wang, G. (2020). Enhancing genetic gain through genomic selection: from livestock to plants. Plant Communications, 1(1), 100005.</w:t>
      </w:r>
    </w:p>
    <w:p w14:paraId="12C5E9B5" w14:textId="77777777" w:rsidR="001E4973" w:rsidRPr="00F86F9E" w:rsidRDefault="00170421">
      <w:pPr>
        <w:spacing w:after="100"/>
        <w:ind w:left="720" w:hanging="720"/>
        <w:rPr>
          <w:color w:val="000000" w:themeColor="text1"/>
        </w:rPr>
      </w:pPr>
      <w:r w:rsidRPr="00F86F9E">
        <w:rPr>
          <w:b/>
          <w:bCs/>
          <w:color w:val="000000" w:themeColor="text1"/>
          <w:sz w:val="20"/>
          <w:szCs w:val="20"/>
        </w:rPr>
        <w:t>68.</w:t>
      </w:r>
      <w:r w:rsidRPr="00F86F9E">
        <w:rPr>
          <w:b/>
          <w:bCs/>
          <w:color w:val="000000" w:themeColor="text1"/>
          <w:sz w:val="20"/>
          <w:szCs w:val="20"/>
        </w:rPr>
        <w:tab/>
      </w:r>
      <w:r w:rsidRPr="00F86F9E">
        <w:rPr>
          <w:color w:val="000000" w:themeColor="text1"/>
          <w:sz w:val="20"/>
          <w:szCs w:val="20"/>
        </w:rPr>
        <w:t>Yang, G., Liu, J., Zhao, C., Li, Z., Huang, Y., Yu, H., ... &amp; Li, Z. (2017). Unmanned aerial vehicle remote sensing for field-based crop phenotyping: current status and perspectives. Frontiers in Plant Science, 8, 1111.</w:t>
      </w:r>
    </w:p>
    <w:p w14:paraId="4DA38737" w14:textId="77777777" w:rsidR="001E4973" w:rsidRPr="00F86F9E" w:rsidRDefault="00170421">
      <w:pPr>
        <w:spacing w:after="100"/>
        <w:ind w:left="720" w:hanging="720"/>
        <w:rPr>
          <w:color w:val="000000" w:themeColor="text1"/>
        </w:rPr>
      </w:pPr>
      <w:r w:rsidRPr="00F86F9E">
        <w:rPr>
          <w:b/>
          <w:bCs/>
          <w:color w:val="000000" w:themeColor="text1"/>
          <w:sz w:val="20"/>
          <w:szCs w:val="20"/>
        </w:rPr>
        <w:t>69.</w:t>
      </w:r>
      <w:r w:rsidRPr="00F86F9E">
        <w:rPr>
          <w:b/>
          <w:bCs/>
          <w:color w:val="000000" w:themeColor="text1"/>
          <w:sz w:val="20"/>
          <w:szCs w:val="20"/>
        </w:rPr>
        <w:tab/>
      </w:r>
      <w:r w:rsidRPr="00F86F9E">
        <w:rPr>
          <w:color w:val="000000" w:themeColor="text1"/>
          <w:sz w:val="20"/>
          <w:szCs w:val="20"/>
        </w:rPr>
        <w:t xml:space="preserve">Yang, J., </w:t>
      </w:r>
      <w:proofErr w:type="spellStart"/>
      <w:r w:rsidRPr="00F86F9E">
        <w:rPr>
          <w:color w:val="000000" w:themeColor="text1"/>
          <w:sz w:val="20"/>
          <w:szCs w:val="20"/>
        </w:rPr>
        <w:t>Mezmouk</w:t>
      </w:r>
      <w:proofErr w:type="spellEnd"/>
      <w:r w:rsidRPr="00F86F9E">
        <w:rPr>
          <w:color w:val="000000" w:themeColor="text1"/>
          <w:sz w:val="20"/>
          <w:szCs w:val="20"/>
        </w:rPr>
        <w:t xml:space="preserve">, S., Baumgarten, A., Buckler, E. S., </w:t>
      </w:r>
      <w:proofErr w:type="spellStart"/>
      <w:r w:rsidRPr="00F86F9E">
        <w:rPr>
          <w:color w:val="000000" w:themeColor="text1"/>
          <w:sz w:val="20"/>
          <w:szCs w:val="20"/>
        </w:rPr>
        <w:t>Guill</w:t>
      </w:r>
      <w:proofErr w:type="spellEnd"/>
      <w:r w:rsidRPr="00F86F9E">
        <w:rPr>
          <w:color w:val="000000" w:themeColor="text1"/>
          <w:sz w:val="20"/>
          <w:szCs w:val="20"/>
        </w:rPr>
        <w:t xml:space="preserve">, K. E., McMullen, M. D., ... &amp; Ross-Ibarra, J. (2017). Incomplete dominance of deleterious alleles contributes substantially to trait variation and heterosis in maize. </w:t>
      </w:r>
      <w:proofErr w:type="spellStart"/>
      <w:r w:rsidRPr="00F86F9E">
        <w:rPr>
          <w:color w:val="000000" w:themeColor="text1"/>
          <w:sz w:val="20"/>
          <w:szCs w:val="20"/>
        </w:rPr>
        <w:t>PLoS</w:t>
      </w:r>
      <w:proofErr w:type="spellEnd"/>
      <w:r w:rsidRPr="00F86F9E">
        <w:rPr>
          <w:color w:val="000000" w:themeColor="text1"/>
          <w:sz w:val="20"/>
          <w:szCs w:val="20"/>
        </w:rPr>
        <w:t xml:space="preserve"> Genetics, 13(9), e1007019.</w:t>
      </w:r>
    </w:p>
    <w:p w14:paraId="1587273E" w14:textId="77777777" w:rsidR="001E4973" w:rsidRPr="00F86F9E" w:rsidRDefault="00170421">
      <w:pPr>
        <w:spacing w:after="100"/>
        <w:ind w:left="720" w:hanging="720"/>
        <w:rPr>
          <w:color w:val="000000" w:themeColor="text1"/>
        </w:rPr>
      </w:pPr>
      <w:r w:rsidRPr="00F86F9E">
        <w:rPr>
          <w:b/>
          <w:bCs/>
          <w:color w:val="000000" w:themeColor="text1"/>
          <w:sz w:val="20"/>
          <w:szCs w:val="20"/>
        </w:rPr>
        <w:t>70.</w:t>
      </w:r>
      <w:r w:rsidRPr="00F86F9E">
        <w:rPr>
          <w:b/>
          <w:bCs/>
          <w:color w:val="000000" w:themeColor="text1"/>
          <w:sz w:val="20"/>
          <w:szCs w:val="20"/>
        </w:rPr>
        <w:tab/>
      </w:r>
      <w:r w:rsidRPr="00F86F9E">
        <w:rPr>
          <w:color w:val="000000" w:themeColor="text1"/>
          <w:sz w:val="20"/>
          <w:szCs w:val="20"/>
        </w:rPr>
        <w:t>Yu, J., Holland, J. B., McMullen, M. D., &amp; Buckler, E. S. (2008). Genetic design and statistical power of nested association mapping in maize. Genetics, 178(1), 539–551.</w:t>
      </w:r>
    </w:p>
    <w:p w14:paraId="7CF93C54" w14:textId="77777777" w:rsidR="001E4973" w:rsidRPr="00F86F9E" w:rsidRDefault="00170421">
      <w:pPr>
        <w:spacing w:after="100"/>
        <w:ind w:left="720" w:hanging="720"/>
        <w:rPr>
          <w:color w:val="000000" w:themeColor="text1"/>
        </w:rPr>
      </w:pPr>
      <w:r w:rsidRPr="00F86F9E">
        <w:rPr>
          <w:b/>
          <w:bCs/>
          <w:color w:val="000000" w:themeColor="text1"/>
          <w:sz w:val="20"/>
          <w:szCs w:val="20"/>
        </w:rPr>
        <w:t>71.</w:t>
      </w:r>
      <w:r w:rsidRPr="00F86F9E">
        <w:rPr>
          <w:b/>
          <w:bCs/>
          <w:color w:val="000000" w:themeColor="text1"/>
          <w:sz w:val="20"/>
          <w:szCs w:val="20"/>
        </w:rPr>
        <w:tab/>
      </w:r>
      <w:proofErr w:type="spellStart"/>
      <w:r w:rsidRPr="00F86F9E">
        <w:rPr>
          <w:color w:val="000000" w:themeColor="text1"/>
          <w:sz w:val="20"/>
          <w:szCs w:val="20"/>
        </w:rPr>
        <w:t>Zarco</w:t>
      </w:r>
      <w:proofErr w:type="spellEnd"/>
      <w:r w:rsidRPr="00F86F9E">
        <w:rPr>
          <w:color w:val="000000" w:themeColor="text1"/>
          <w:sz w:val="20"/>
          <w:szCs w:val="20"/>
        </w:rPr>
        <w:t xml:space="preserve">-Tejada, P. J., Camino, C., Beck, P. S. A., Calderon, R., </w:t>
      </w:r>
      <w:proofErr w:type="spellStart"/>
      <w:r w:rsidRPr="00F86F9E">
        <w:rPr>
          <w:color w:val="000000" w:themeColor="text1"/>
          <w:sz w:val="20"/>
          <w:szCs w:val="20"/>
        </w:rPr>
        <w:t>Hornero</w:t>
      </w:r>
      <w:proofErr w:type="spellEnd"/>
      <w:r w:rsidRPr="00F86F9E">
        <w:rPr>
          <w:color w:val="000000" w:themeColor="text1"/>
          <w:sz w:val="20"/>
          <w:szCs w:val="20"/>
        </w:rPr>
        <w:t xml:space="preserve">, A., Hernández-Clemente, R., ... &amp; </w:t>
      </w:r>
      <w:proofErr w:type="spellStart"/>
      <w:r w:rsidRPr="00F86F9E">
        <w:rPr>
          <w:color w:val="000000" w:themeColor="text1"/>
          <w:sz w:val="20"/>
          <w:szCs w:val="20"/>
        </w:rPr>
        <w:t>Navas</w:t>
      </w:r>
      <w:proofErr w:type="spellEnd"/>
      <w:r w:rsidRPr="00F86F9E">
        <w:rPr>
          <w:color w:val="000000" w:themeColor="text1"/>
          <w:sz w:val="20"/>
          <w:szCs w:val="20"/>
        </w:rPr>
        <w:t xml:space="preserve">-Cortes, J. A. (2018). </w:t>
      </w:r>
      <w:proofErr w:type="spellStart"/>
      <w:r w:rsidRPr="00F86F9E">
        <w:rPr>
          <w:color w:val="000000" w:themeColor="text1"/>
          <w:sz w:val="20"/>
          <w:szCs w:val="20"/>
        </w:rPr>
        <w:t>Previsual</w:t>
      </w:r>
      <w:proofErr w:type="spellEnd"/>
      <w:r w:rsidRPr="00F86F9E">
        <w:rPr>
          <w:color w:val="000000" w:themeColor="text1"/>
          <w:sz w:val="20"/>
          <w:szCs w:val="20"/>
        </w:rPr>
        <w:t xml:space="preserve"> symptoms of </w:t>
      </w:r>
      <w:proofErr w:type="spellStart"/>
      <w:r w:rsidRPr="00F86F9E">
        <w:rPr>
          <w:color w:val="000000" w:themeColor="text1"/>
          <w:sz w:val="20"/>
          <w:szCs w:val="20"/>
        </w:rPr>
        <w:t>Xylella</w:t>
      </w:r>
      <w:proofErr w:type="spellEnd"/>
      <w:r w:rsidRPr="00F86F9E">
        <w:rPr>
          <w:color w:val="000000" w:themeColor="text1"/>
          <w:sz w:val="20"/>
          <w:szCs w:val="20"/>
        </w:rPr>
        <w:t xml:space="preserve"> </w:t>
      </w:r>
      <w:proofErr w:type="spellStart"/>
      <w:r w:rsidRPr="00F86F9E">
        <w:rPr>
          <w:color w:val="000000" w:themeColor="text1"/>
          <w:sz w:val="20"/>
          <w:szCs w:val="20"/>
        </w:rPr>
        <w:t>fastidiosa</w:t>
      </w:r>
      <w:proofErr w:type="spellEnd"/>
      <w:r w:rsidRPr="00F86F9E">
        <w:rPr>
          <w:color w:val="000000" w:themeColor="text1"/>
          <w:sz w:val="20"/>
          <w:szCs w:val="20"/>
        </w:rPr>
        <w:t xml:space="preserve"> infection revealed in spectral plant-trait alterations. Nature Plants, 4(7), 432–439.</w:t>
      </w:r>
    </w:p>
    <w:p w14:paraId="008C554F" w14:textId="77777777" w:rsidR="001E4973" w:rsidRPr="00F86F9E" w:rsidRDefault="00170421">
      <w:pPr>
        <w:spacing w:after="100"/>
        <w:ind w:left="720" w:hanging="720"/>
        <w:rPr>
          <w:color w:val="000000" w:themeColor="text1"/>
        </w:rPr>
      </w:pPr>
      <w:r w:rsidRPr="00F86F9E">
        <w:rPr>
          <w:b/>
          <w:bCs/>
          <w:color w:val="000000" w:themeColor="text1"/>
          <w:sz w:val="20"/>
          <w:szCs w:val="20"/>
        </w:rPr>
        <w:t>72.</w:t>
      </w:r>
      <w:r w:rsidRPr="00F86F9E">
        <w:rPr>
          <w:b/>
          <w:bCs/>
          <w:color w:val="000000" w:themeColor="text1"/>
          <w:sz w:val="20"/>
          <w:szCs w:val="20"/>
        </w:rPr>
        <w:tab/>
      </w:r>
      <w:r w:rsidRPr="00F86F9E">
        <w:rPr>
          <w:color w:val="000000" w:themeColor="text1"/>
          <w:sz w:val="20"/>
          <w:szCs w:val="20"/>
        </w:rPr>
        <w:t xml:space="preserve">Zhang, J., Zhang, H., </w:t>
      </w:r>
      <w:proofErr w:type="spellStart"/>
      <w:r w:rsidRPr="00F86F9E">
        <w:rPr>
          <w:color w:val="000000" w:themeColor="text1"/>
          <w:sz w:val="20"/>
          <w:szCs w:val="20"/>
        </w:rPr>
        <w:t>Botella</w:t>
      </w:r>
      <w:proofErr w:type="spellEnd"/>
      <w:r w:rsidRPr="00F86F9E">
        <w:rPr>
          <w:color w:val="000000" w:themeColor="text1"/>
          <w:sz w:val="20"/>
          <w:szCs w:val="20"/>
        </w:rPr>
        <w:t>, J. R., &amp; Zhu, J. K. (2018). Generation of new glutinous rice by CRISPR/Cas9-targeted mutagenesis of the Waxy gene in elite rice varieties. Journal of Integrative Plant Biology, 60(5), 369–375.</w:t>
      </w:r>
    </w:p>
    <w:p w14:paraId="22B175AB" w14:textId="77777777" w:rsidR="001E4973" w:rsidRPr="00F86F9E" w:rsidRDefault="00170421">
      <w:pPr>
        <w:spacing w:after="100"/>
        <w:ind w:left="720" w:hanging="720"/>
        <w:rPr>
          <w:color w:val="000000" w:themeColor="text1"/>
        </w:rPr>
      </w:pPr>
      <w:r w:rsidRPr="00F86F9E">
        <w:rPr>
          <w:b/>
          <w:bCs/>
          <w:color w:val="000000" w:themeColor="text1"/>
          <w:sz w:val="20"/>
          <w:szCs w:val="20"/>
        </w:rPr>
        <w:t>73.</w:t>
      </w:r>
      <w:r w:rsidRPr="00F86F9E">
        <w:rPr>
          <w:b/>
          <w:bCs/>
          <w:color w:val="000000" w:themeColor="text1"/>
          <w:sz w:val="20"/>
          <w:szCs w:val="20"/>
        </w:rPr>
        <w:tab/>
      </w:r>
      <w:r w:rsidRPr="00F86F9E">
        <w:rPr>
          <w:color w:val="000000" w:themeColor="text1"/>
          <w:sz w:val="20"/>
          <w:szCs w:val="20"/>
        </w:rPr>
        <w:t xml:space="preserve">Zhang, X., Pérez-Rodríguez, P., </w:t>
      </w:r>
      <w:proofErr w:type="spellStart"/>
      <w:r w:rsidRPr="00F86F9E">
        <w:rPr>
          <w:color w:val="000000" w:themeColor="text1"/>
          <w:sz w:val="20"/>
          <w:szCs w:val="20"/>
        </w:rPr>
        <w:t>Semagn</w:t>
      </w:r>
      <w:proofErr w:type="spellEnd"/>
      <w:r w:rsidRPr="00F86F9E">
        <w:rPr>
          <w:color w:val="000000" w:themeColor="text1"/>
          <w:sz w:val="20"/>
          <w:szCs w:val="20"/>
        </w:rPr>
        <w:t xml:space="preserve">, K., </w:t>
      </w:r>
      <w:proofErr w:type="spellStart"/>
      <w:r w:rsidRPr="00F86F9E">
        <w:rPr>
          <w:color w:val="000000" w:themeColor="text1"/>
          <w:sz w:val="20"/>
          <w:szCs w:val="20"/>
        </w:rPr>
        <w:t>Beyene</w:t>
      </w:r>
      <w:proofErr w:type="spellEnd"/>
      <w:r w:rsidRPr="00F86F9E">
        <w:rPr>
          <w:color w:val="000000" w:themeColor="text1"/>
          <w:sz w:val="20"/>
          <w:szCs w:val="20"/>
        </w:rPr>
        <w:t xml:space="preserve">, Y., </w:t>
      </w:r>
      <w:proofErr w:type="spellStart"/>
      <w:r w:rsidRPr="00F86F9E">
        <w:rPr>
          <w:color w:val="000000" w:themeColor="text1"/>
          <w:sz w:val="20"/>
          <w:szCs w:val="20"/>
        </w:rPr>
        <w:t>Babu</w:t>
      </w:r>
      <w:proofErr w:type="spellEnd"/>
      <w:r w:rsidRPr="00F86F9E">
        <w:rPr>
          <w:color w:val="000000" w:themeColor="text1"/>
          <w:sz w:val="20"/>
          <w:szCs w:val="20"/>
        </w:rPr>
        <w:t xml:space="preserve">, R., López-Cruz, M. A., ... &amp; </w:t>
      </w:r>
      <w:proofErr w:type="spellStart"/>
      <w:r w:rsidRPr="00F86F9E">
        <w:rPr>
          <w:color w:val="000000" w:themeColor="text1"/>
          <w:sz w:val="20"/>
          <w:szCs w:val="20"/>
        </w:rPr>
        <w:t>Crossa</w:t>
      </w:r>
      <w:proofErr w:type="spellEnd"/>
      <w:r w:rsidRPr="00F86F9E">
        <w:rPr>
          <w:color w:val="000000" w:themeColor="text1"/>
          <w:sz w:val="20"/>
          <w:szCs w:val="20"/>
        </w:rPr>
        <w:t>, J. (2015). Genomic prediction in biparental tropical maize populations in water-stressed and well-watered environments using low-density and GBS SNPs. Heredity, 114(3), 291–299.</w:t>
      </w:r>
    </w:p>
    <w:p w14:paraId="0CFBDCEB" w14:textId="77777777" w:rsidR="001E4973" w:rsidRPr="00F86F9E" w:rsidRDefault="00170421">
      <w:pPr>
        <w:spacing w:after="100"/>
        <w:ind w:left="720" w:hanging="720"/>
        <w:rPr>
          <w:color w:val="000000" w:themeColor="text1"/>
        </w:rPr>
      </w:pPr>
      <w:r w:rsidRPr="00F86F9E">
        <w:rPr>
          <w:b/>
          <w:bCs/>
          <w:color w:val="000000" w:themeColor="text1"/>
          <w:sz w:val="20"/>
          <w:szCs w:val="20"/>
        </w:rPr>
        <w:t>74.</w:t>
      </w:r>
      <w:r w:rsidRPr="00F86F9E">
        <w:rPr>
          <w:b/>
          <w:bCs/>
          <w:color w:val="000000" w:themeColor="text1"/>
          <w:sz w:val="20"/>
          <w:szCs w:val="20"/>
        </w:rPr>
        <w:tab/>
      </w:r>
      <w:r w:rsidRPr="00F86F9E">
        <w:rPr>
          <w:color w:val="000000" w:themeColor="text1"/>
          <w:sz w:val="20"/>
          <w:szCs w:val="20"/>
        </w:rPr>
        <w:t xml:space="preserve">Zhang, Y., Bai, Y., Wu, G., Zou, S., Chen, Y., Gao, C., &amp; Tang, D. (2017). Simultaneous modification of three </w:t>
      </w:r>
      <w:proofErr w:type="spellStart"/>
      <w:r w:rsidRPr="00F86F9E">
        <w:rPr>
          <w:color w:val="000000" w:themeColor="text1"/>
          <w:sz w:val="20"/>
          <w:szCs w:val="20"/>
        </w:rPr>
        <w:t>homoeologs</w:t>
      </w:r>
      <w:proofErr w:type="spellEnd"/>
      <w:r w:rsidRPr="00F86F9E">
        <w:rPr>
          <w:color w:val="000000" w:themeColor="text1"/>
          <w:sz w:val="20"/>
          <w:szCs w:val="20"/>
        </w:rPr>
        <w:t xml:space="preserve"> of TaEDR1 by genome editing enhances powdery mildew resistance in wheat. The Plant Journal, 91(4), 714–724.</w:t>
      </w:r>
    </w:p>
    <w:p w14:paraId="3556E067" w14:textId="77777777" w:rsidR="001E4973" w:rsidRPr="00F86F9E" w:rsidRDefault="00170421">
      <w:pPr>
        <w:spacing w:after="100"/>
        <w:ind w:left="720" w:hanging="720"/>
        <w:rPr>
          <w:color w:val="000000" w:themeColor="text1"/>
        </w:rPr>
      </w:pPr>
      <w:r w:rsidRPr="00F86F9E">
        <w:rPr>
          <w:b/>
          <w:bCs/>
          <w:color w:val="000000" w:themeColor="text1"/>
          <w:sz w:val="20"/>
          <w:szCs w:val="20"/>
        </w:rPr>
        <w:t>75.</w:t>
      </w:r>
      <w:r w:rsidRPr="00F86F9E">
        <w:rPr>
          <w:b/>
          <w:bCs/>
          <w:color w:val="000000" w:themeColor="text1"/>
          <w:sz w:val="20"/>
          <w:szCs w:val="20"/>
        </w:rPr>
        <w:tab/>
      </w:r>
      <w:r w:rsidRPr="00F86F9E">
        <w:rPr>
          <w:color w:val="000000" w:themeColor="text1"/>
          <w:sz w:val="20"/>
          <w:szCs w:val="20"/>
        </w:rPr>
        <w:t xml:space="preserve">Zhou, X., Stephens, M., </w:t>
      </w:r>
      <w:proofErr w:type="spellStart"/>
      <w:r w:rsidRPr="00F86F9E">
        <w:rPr>
          <w:color w:val="000000" w:themeColor="text1"/>
          <w:sz w:val="20"/>
          <w:szCs w:val="20"/>
        </w:rPr>
        <w:t>Fritsche</w:t>
      </w:r>
      <w:proofErr w:type="spellEnd"/>
      <w:r w:rsidRPr="00F86F9E">
        <w:rPr>
          <w:color w:val="000000" w:themeColor="text1"/>
          <w:sz w:val="20"/>
          <w:szCs w:val="20"/>
        </w:rPr>
        <w:t xml:space="preserve">, L. G., </w:t>
      </w:r>
      <w:proofErr w:type="spellStart"/>
      <w:r w:rsidRPr="00F86F9E">
        <w:rPr>
          <w:color w:val="000000" w:themeColor="text1"/>
          <w:sz w:val="20"/>
          <w:szCs w:val="20"/>
        </w:rPr>
        <w:t>Oymak</w:t>
      </w:r>
      <w:proofErr w:type="spellEnd"/>
      <w:r w:rsidRPr="00F86F9E">
        <w:rPr>
          <w:color w:val="000000" w:themeColor="text1"/>
          <w:sz w:val="20"/>
          <w:szCs w:val="20"/>
        </w:rPr>
        <w:t>, S., Grimes, D., &amp; Han, B. (2013). Genome-wide efficient mixed-model analysis for association studies. Nature Genetics, 45(7), 831–833.</w:t>
      </w:r>
    </w:p>
    <w:p w14:paraId="60EB9403" w14:textId="77777777" w:rsidR="001E4973" w:rsidRPr="00F86F9E" w:rsidRDefault="001E4973">
      <w:pPr>
        <w:spacing w:after="120"/>
        <w:rPr>
          <w:color w:val="000000" w:themeColor="text1"/>
        </w:rPr>
      </w:pPr>
    </w:p>
    <w:sectPr w:rsidR="001E4973" w:rsidRPr="00F86F9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29C4" w14:textId="77777777" w:rsidR="00C233FF" w:rsidRDefault="00C233FF">
      <w:r>
        <w:separator/>
      </w:r>
    </w:p>
  </w:endnote>
  <w:endnote w:type="continuationSeparator" w:id="0">
    <w:p w14:paraId="67FB7075" w14:textId="77777777" w:rsidR="00C233FF" w:rsidRDefault="00C2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7BD8" w14:textId="77777777" w:rsidR="00C97EA9" w:rsidRDefault="00C9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0CA6" w14:textId="77777777" w:rsidR="00C97EA9" w:rsidRDefault="00C9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B447" w14:textId="77777777" w:rsidR="00C97EA9" w:rsidRDefault="00C9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F7E64" w14:textId="77777777" w:rsidR="00C233FF" w:rsidRDefault="00C233FF">
      <w:r>
        <w:separator/>
      </w:r>
    </w:p>
  </w:footnote>
  <w:footnote w:type="continuationSeparator" w:id="0">
    <w:p w14:paraId="392DE316" w14:textId="77777777" w:rsidR="00C233FF" w:rsidRDefault="00C2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E082" w14:textId="5508A952" w:rsidR="00C97EA9" w:rsidRDefault="00C97EA9">
    <w:pPr>
      <w:pStyle w:val="Header"/>
    </w:pPr>
    <w:r>
      <w:rPr>
        <w:noProof/>
      </w:rPr>
      <w:pict w14:anchorId="10BA4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685C" w14:textId="2E82F7C1" w:rsidR="00C97EA9" w:rsidRDefault="00C97EA9">
    <w:pPr>
      <w:pStyle w:val="Header"/>
    </w:pPr>
    <w:r>
      <w:rPr>
        <w:noProof/>
      </w:rPr>
      <w:pict w14:anchorId="67C2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C2B0" w14:textId="3A64865A" w:rsidR="00C97EA9" w:rsidRDefault="00C97EA9">
    <w:pPr>
      <w:pStyle w:val="Header"/>
    </w:pPr>
    <w:r>
      <w:rPr>
        <w:noProof/>
      </w:rPr>
      <w:pict w14:anchorId="1881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27F61"/>
    <w:multiLevelType w:val="hybridMultilevel"/>
    <w:tmpl w:val="EC0AEF7A"/>
    <w:lvl w:ilvl="0" w:tplc="B748C260">
      <w:start w:val="1"/>
      <w:numFmt w:val="bullet"/>
      <w:lvlText w:val="•"/>
      <w:lvlJc w:val="left"/>
      <w:pPr>
        <w:ind w:left="720" w:hanging="360"/>
      </w:pPr>
    </w:lvl>
    <w:lvl w:ilvl="1" w:tplc="8500C56C">
      <w:numFmt w:val="decimal"/>
      <w:lvlText w:val=""/>
      <w:lvlJc w:val="left"/>
    </w:lvl>
    <w:lvl w:ilvl="2" w:tplc="645CA9AE">
      <w:numFmt w:val="decimal"/>
      <w:lvlText w:val=""/>
      <w:lvlJc w:val="left"/>
    </w:lvl>
    <w:lvl w:ilvl="3" w:tplc="16762F32">
      <w:numFmt w:val="decimal"/>
      <w:lvlText w:val=""/>
      <w:lvlJc w:val="left"/>
    </w:lvl>
    <w:lvl w:ilvl="4" w:tplc="DCB4829E">
      <w:numFmt w:val="decimal"/>
      <w:lvlText w:val=""/>
      <w:lvlJc w:val="left"/>
    </w:lvl>
    <w:lvl w:ilvl="5" w:tplc="46AE07C2">
      <w:numFmt w:val="decimal"/>
      <w:lvlText w:val=""/>
      <w:lvlJc w:val="left"/>
    </w:lvl>
    <w:lvl w:ilvl="6" w:tplc="D9DA2B20">
      <w:numFmt w:val="decimal"/>
      <w:lvlText w:val=""/>
      <w:lvlJc w:val="left"/>
    </w:lvl>
    <w:lvl w:ilvl="7" w:tplc="DB10827C">
      <w:numFmt w:val="decimal"/>
      <w:lvlText w:val=""/>
      <w:lvlJc w:val="left"/>
    </w:lvl>
    <w:lvl w:ilvl="8" w:tplc="5C48C064">
      <w:numFmt w:val="decimal"/>
      <w:lvlText w:val=""/>
      <w:lvlJc w:val="left"/>
    </w:lvl>
  </w:abstractNum>
  <w:abstractNum w:abstractNumId="1" w15:restartNumberingAfterBreak="0">
    <w:nsid w:val="57CA2A0B"/>
    <w:multiLevelType w:val="hybridMultilevel"/>
    <w:tmpl w:val="424E0198"/>
    <w:lvl w:ilvl="0" w:tplc="A6BAC516">
      <w:start w:val="1"/>
      <w:numFmt w:val="bullet"/>
      <w:lvlText w:val="●"/>
      <w:lvlJc w:val="left"/>
      <w:pPr>
        <w:ind w:left="720" w:hanging="360"/>
      </w:pPr>
    </w:lvl>
    <w:lvl w:ilvl="1" w:tplc="77C2E034">
      <w:start w:val="1"/>
      <w:numFmt w:val="bullet"/>
      <w:lvlText w:val="○"/>
      <w:lvlJc w:val="left"/>
      <w:pPr>
        <w:ind w:left="1440" w:hanging="360"/>
      </w:pPr>
    </w:lvl>
    <w:lvl w:ilvl="2" w:tplc="ED56A010">
      <w:start w:val="1"/>
      <w:numFmt w:val="bullet"/>
      <w:lvlText w:val="■"/>
      <w:lvlJc w:val="left"/>
      <w:pPr>
        <w:ind w:left="2160" w:hanging="360"/>
      </w:pPr>
    </w:lvl>
    <w:lvl w:ilvl="3" w:tplc="FE4658D2">
      <w:start w:val="1"/>
      <w:numFmt w:val="bullet"/>
      <w:lvlText w:val="●"/>
      <w:lvlJc w:val="left"/>
      <w:pPr>
        <w:ind w:left="2880" w:hanging="360"/>
      </w:pPr>
    </w:lvl>
    <w:lvl w:ilvl="4" w:tplc="C264042A">
      <w:start w:val="1"/>
      <w:numFmt w:val="bullet"/>
      <w:lvlText w:val="○"/>
      <w:lvlJc w:val="left"/>
      <w:pPr>
        <w:ind w:left="3600" w:hanging="360"/>
      </w:pPr>
    </w:lvl>
    <w:lvl w:ilvl="5" w:tplc="28E8DAAA">
      <w:start w:val="1"/>
      <w:numFmt w:val="bullet"/>
      <w:lvlText w:val="■"/>
      <w:lvlJc w:val="left"/>
      <w:pPr>
        <w:ind w:left="4320" w:hanging="360"/>
      </w:pPr>
    </w:lvl>
    <w:lvl w:ilvl="6" w:tplc="4280B754">
      <w:start w:val="1"/>
      <w:numFmt w:val="bullet"/>
      <w:lvlText w:val="●"/>
      <w:lvlJc w:val="left"/>
      <w:pPr>
        <w:ind w:left="5040" w:hanging="360"/>
      </w:pPr>
    </w:lvl>
    <w:lvl w:ilvl="7" w:tplc="A22ACA5E">
      <w:start w:val="1"/>
      <w:numFmt w:val="bullet"/>
      <w:lvlText w:val="●"/>
      <w:lvlJc w:val="left"/>
      <w:pPr>
        <w:ind w:left="5760" w:hanging="360"/>
      </w:pPr>
    </w:lvl>
    <w:lvl w:ilvl="8" w:tplc="1DDE11E8">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73"/>
    <w:rsid w:val="00006CAD"/>
    <w:rsid w:val="000675F6"/>
    <w:rsid w:val="00114A16"/>
    <w:rsid w:val="001524A4"/>
    <w:rsid w:val="00170421"/>
    <w:rsid w:val="001C73CF"/>
    <w:rsid w:val="001E4973"/>
    <w:rsid w:val="0024001D"/>
    <w:rsid w:val="002E562C"/>
    <w:rsid w:val="003505A5"/>
    <w:rsid w:val="00625BE5"/>
    <w:rsid w:val="006A7EA0"/>
    <w:rsid w:val="006F5CFF"/>
    <w:rsid w:val="0070055F"/>
    <w:rsid w:val="0072763D"/>
    <w:rsid w:val="007465B2"/>
    <w:rsid w:val="00764AB0"/>
    <w:rsid w:val="007A7E10"/>
    <w:rsid w:val="007F72D1"/>
    <w:rsid w:val="00853194"/>
    <w:rsid w:val="009029AD"/>
    <w:rsid w:val="00C233FF"/>
    <w:rsid w:val="00C97EA9"/>
    <w:rsid w:val="00CF20A5"/>
    <w:rsid w:val="00D27D86"/>
    <w:rsid w:val="00D74FB3"/>
    <w:rsid w:val="00D92344"/>
    <w:rsid w:val="00DF20F6"/>
    <w:rsid w:val="00F86F9E"/>
    <w:rsid w:val="00FC74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006696"/>
  <w15:docId w15:val="{1D6219EA-BB4C-425F-868C-9B90DBC1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212121"/>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rial" w:eastAsia="Arial" w:hAnsi="Arial" w:cs="Arial"/>
      <w:b/>
      <w:bCs/>
      <w:color w:val="1B5E20"/>
      <w:sz w:val="32"/>
      <w:szCs w:val="32"/>
    </w:rPr>
  </w:style>
  <w:style w:type="paragraph" w:styleId="Heading2">
    <w:name w:val="heading 2"/>
    <w:uiPriority w:val="9"/>
    <w:unhideWhenUsed/>
    <w:qFormat/>
    <w:pPr>
      <w:spacing w:before="240" w:after="120"/>
      <w:outlineLvl w:val="1"/>
    </w:pPr>
    <w:rPr>
      <w:rFonts w:ascii="Arial" w:eastAsia="Arial" w:hAnsi="Arial" w:cs="Arial"/>
      <w:b/>
      <w:bCs/>
      <w:color w:val="1B5E20"/>
      <w:sz w:val="28"/>
      <w:szCs w:val="28"/>
    </w:rPr>
  </w:style>
  <w:style w:type="paragraph" w:styleId="Heading3">
    <w:name w:val="heading 3"/>
    <w:uiPriority w:val="9"/>
    <w:semiHidden/>
    <w:unhideWhenUsed/>
    <w:qFormat/>
    <w:pPr>
      <w:spacing w:before="180" w:after="80"/>
      <w:outlineLvl w:val="2"/>
    </w:pPr>
    <w:rPr>
      <w:rFonts w:ascii="Arial" w:eastAsia="Arial" w:hAnsi="Arial" w:cs="Arial"/>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86F9E"/>
    <w:pPr>
      <w:tabs>
        <w:tab w:val="center" w:pos="4680"/>
        <w:tab w:val="right" w:pos="9360"/>
      </w:tabs>
    </w:pPr>
  </w:style>
  <w:style w:type="character" w:customStyle="1" w:styleId="HeaderChar">
    <w:name w:val="Header Char"/>
    <w:basedOn w:val="DefaultParagraphFont"/>
    <w:link w:val="Header"/>
    <w:uiPriority w:val="99"/>
    <w:rsid w:val="00F86F9E"/>
  </w:style>
  <w:style w:type="paragraph" w:styleId="Footer">
    <w:name w:val="footer"/>
    <w:basedOn w:val="Normal"/>
    <w:link w:val="FooterChar"/>
    <w:uiPriority w:val="99"/>
    <w:unhideWhenUsed/>
    <w:rsid w:val="00F86F9E"/>
    <w:pPr>
      <w:tabs>
        <w:tab w:val="center" w:pos="4680"/>
        <w:tab w:val="right" w:pos="9360"/>
      </w:tabs>
    </w:pPr>
  </w:style>
  <w:style w:type="character" w:customStyle="1" w:styleId="FooterChar">
    <w:name w:val="Footer Char"/>
    <w:basedOn w:val="DefaultParagraphFont"/>
    <w:link w:val="Footer"/>
    <w:uiPriority w:val="99"/>
    <w:rsid w:val="00F86F9E"/>
  </w:style>
  <w:style w:type="table" w:styleId="TableGrid">
    <w:name w:val="Table Grid"/>
    <w:basedOn w:val="TableNormal"/>
    <w:uiPriority w:val="39"/>
    <w:rsid w:val="007A7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7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figure/Basic-scheme-of-Genomic-Selection-process_fig1_37064912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dpi.com/2223-7747/12/10/206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rontiersin.org/journals/medicine/articles/10.3389/fmed.2025.1630788/fu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21</Pages>
  <Words>7361</Words>
  <Characters>41963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20</cp:revision>
  <dcterms:created xsi:type="dcterms:W3CDTF">2026-04-11T11:25:00Z</dcterms:created>
  <dcterms:modified xsi:type="dcterms:W3CDTF">2026-04-15T09:41:00Z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8d188981-5053-40d2-bf7f-4313b6f54b24</vt:lpwstr>
  </property>
</Properties>
</file>