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0C83F" w14:textId="77777777" w:rsidR="00416C2C" w:rsidRPr="00416C2C" w:rsidRDefault="00416C2C" w:rsidP="00416C2C">
      <w:pPr>
        <w:spacing w:line="360" w:lineRule="auto"/>
        <w:jc w:val="right"/>
        <w:rPr>
          <w:rFonts w:ascii="Arial" w:hAnsi="Arial" w:cs="Arial"/>
          <w:b/>
          <w:bCs/>
          <w:i/>
          <w:iCs/>
          <w:sz w:val="36"/>
          <w:szCs w:val="36"/>
          <w:u w:val="single"/>
        </w:rPr>
      </w:pPr>
      <w:r w:rsidRPr="00416C2C">
        <w:rPr>
          <w:rFonts w:ascii="Arial" w:hAnsi="Arial" w:cs="Arial"/>
          <w:b/>
          <w:bCs/>
          <w:i/>
          <w:iCs/>
          <w:sz w:val="36"/>
          <w:szCs w:val="36"/>
          <w:u w:val="single"/>
        </w:rPr>
        <w:t>Review Article</w:t>
      </w:r>
    </w:p>
    <w:p w14:paraId="2FADC1C6" w14:textId="77777777" w:rsidR="00176111" w:rsidRPr="0069287C" w:rsidRDefault="00176111" w:rsidP="00201C4E">
      <w:pPr>
        <w:spacing w:line="360" w:lineRule="auto"/>
        <w:jc w:val="right"/>
        <w:rPr>
          <w:rFonts w:ascii="Arial" w:hAnsi="Arial" w:cs="Arial"/>
          <w:b/>
          <w:sz w:val="36"/>
          <w:szCs w:val="36"/>
        </w:rPr>
      </w:pPr>
      <w:r w:rsidRPr="0069287C">
        <w:rPr>
          <w:rFonts w:ascii="Arial" w:hAnsi="Arial" w:cs="Arial"/>
          <w:b/>
          <w:sz w:val="36"/>
          <w:szCs w:val="36"/>
        </w:rPr>
        <w:t>Advances in Oyster Mushroom spawn production: Substrate innovations and Emerging applications of Nanotechnology</w:t>
      </w:r>
    </w:p>
    <w:p w14:paraId="4EEF9D44" w14:textId="77777777" w:rsidR="00176111" w:rsidRPr="0069287C" w:rsidRDefault="00176111" w:rsidP="00201C4E">
      <w:pPr>
        <w:pStyle w:val="Author"/>
        <w:spacing w:line="360" w:lineRule="auto"/>
        <w:rPr>
          <w:rFonts w:ascii="Arial" w:hAnsi="Arial" w:cs="Arial"/>
          <w:color w:val="000000" w:themeColor="text1"/>
          <w:sz w:val="36"/>
        </w:rPr>
      </w:pPr>
    </w:p>
    <w:p w14:paraId="44D6C1EC" w14:textId="77777777" w:rsidR="00CC1BDE" w:rsidRDefault="00CC1BDE" w:rsidP="00201C4E">
      <w:pPr>
        <w:pStyle w:val="Copyright"/>
        <w:spacing w:after="0" w:line="360" w:lineRule="auto"/>
        <w:jc w:val="both"/>
        <w:rPr>
          <w:rFonts w:ascii="Arial" w:hAnsi="Arial" w:cs="Arial"/>
          <w:color w:val="000000" w:themeColor="text1"/>
        </w:rPr>
      </w:pPr>
    </w:p>
    <w:p w14:paraId="164D3150" w14:textId="10CA882C" w:rsidR="00176111" w:rsidRPr="0069287C" w:rsidRDefault="00176111" w:rsidP="00201C4E">
      <w:pPr>
        <w:pStyle w:val="Copyright"/>
        <w:spacing w:after="0" w:line="360" w:lineRule="auto"/>
        <w:jc w:val="both"/>
        <w:rPr>
          <w:rFonts w:ascii="Arial" w:hAnsi="Arial" w:cs="Arial"/>
          <w:color w:val="000000" w:themeColor="text1"/>
        </w:rPr>
        <w:sectPr w:rsidR="00176111" w:rsidRPr="0069287C" w:rsidSect="009E36CD">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sidRPr="0069287C">
        <w:rPr>
          <w:rFonts w:ascii="Arial" w:hAnsi="Arial" w:cs="Arial"/>
          <w:noProof/>
          <w:color w:val="000000" w:themeColor="text1"/>
        </w:rPr>
        <mc:AlternateContent>
          <mc:Choice Requires="wps">
            <w:drawing>
              <wp:inline distT="0" distB="0" distL="0" distR="0" wp14:anchorId="5D574658" wp14:editId="7832824B">
                <wp:extent cx="5303520" cy="635"/>
                <wp:effectExtent l="17145" t="18415" r="13335" b="10160"/>
                <wp:docPr id="18841030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5915C4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69287C">
        <w:rPr>
          <w:rFonts w:ascii="Arial" w:hAnsi="Arial" w:cs="Arial"/>
          <w:color w:val="000000" w:themeColor="text1"/>
        </w:rPr>
        <w:t>.</w:t>
      </w:r>
    </w:p>
    <w:p w14:paraId="2A699152" w14:textId="77777777" w:rsidR="00176111" w:rsidRPr="0069287C" w:rsidRDefault="00176111" w:rsidP="00201C4E">
      <w:pPr>
        <w:pStyle w:val="AbstHead"/>
        <w:spacing w:after="0" w:line="360" w:lineRule="auto"/>
        <w:jc w:val="both"/>
        <w:rPr>
          <w:rFonts w:ascii="Arial" w:hAnsi="Arial" w:cs="Arial"/>
          <w:color w:val="000000" w:themeColor="text1"/>
        </w:rPr>
      </w:pPr>
      <w:r w:rsidRPr="0069287C">
        <w:rPr>
          <w:rFonts w:ascii="Arial" w:hAnsi="Arial" w:cs="Arial"/>
          <w:color w:val="000000" w:themeColor="text1"/>
        </w:rPr>
        <w:t xml:space="preserve">ABSTRACT </w:t>
      </w:r>
    </w:p>
    <w:p w14:paraId="2EF8C6AA" w14:textId="77777777" w:rsidR="00176111" w:rsidRPr="0069287C" w:rsidRDefault="00176111" w:rsidP="00201C4E">
      <w:pPr>
        <w:pStyle w:val="AbstHead"/>
        <w:spacing w:after="0" w:line="360" w:lineRule="auto"/>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76111" w:rsidRPr="0069287C" w14:paraId="6E146BC6" w14:textId="77777777" w:rsidTr="00342E91">
        <w:tc>
          <w:tcPr>
            <w:tcW w:w="9576" w:type="dxa"/>
            <w:shd w:val="clear" w:color="auto" w:fill="F2F2F2"/>
          </w:tcPr>
          <w:p w14:paraId="18EA335D" w14:textId="7B63D613" w:rsidR="00176111" w:rsidRPr="00284965" w:rsidRDefault="00176111" w:rsidP="00201C4E">
            <w:pPr>
              <w:spacing w:line="360" w:lineRule="auto"/>
              <w:ind w:firstLine="720"/>
              <w:jc w:val="both"/>
              <w:rPr>
                <w:rFonts w:ascii="Arial" w:hAnsi="Arial" w:cs="Arial"/>
                <w:color w:val="000000" w:themeColor="text1"/>
              </w:rPr>
            </w:pPr>
            <w:r w:rsidRPr="00284965">
              <w:rPr>
                <w:rFonts w:ascii="Arial" w:hAnsi="Arial" w:cs="Arial"/>
              </w:rPr>
              <w:t>Oyster mushroom (</w:t>
            </w:r>
            <w:r w:rsidRPr="00284965">
              <w:rPr>
                <w:rFonts w:ascii="Arial" w:hAnsi="Arial" w:cs="Arial"/>
                <w:i/>
                <w:iCs/>
              </w:rPr>
              <w:t>Pleurotus</w:t>
            </w:r>
            <w:r w:rsidRPr="00284965">
              <w:rPr>
                <w:rFonts w:ascii="Arial" w:hAnsi="Arial" w:cs="Arial"/>
              </w:rPr>
              <w:t xml:space="preserve"> spp.) cultivation is a sustainable approach for converting agricultural wastes into nutritious food. This review highlights spawn production using various grain and non-grain substrates, emphasizing the role of nutrient composition and carbon-to-nitrogen ratio in mycelial growth. Grain substrates, particularly pearl millet and maize, showed superior performance due to balanced nutrients. Factors affecting spawn quality, including moisture, sterilization, and inoculum quality, are discussed. The application of nanotechnology, especially nanoparticles such as </w:t>
            </w:r>
            <w:proofErr w:type="spellStart"/>
            <w:r w:rsidRPr="00284965">
              <w:rPr>
                <w:rFonts w:ascii="Arial" w:hAnsi="Arial" w:cs="Arial"/>
              </w:rPr>
              <w:t>ZnO</w:t>
            </w:r>
            <w:proofErr w:type="spellEnd"/>
            <w:r w:rsidRPr="00284965">
              <w:rPr>
                <w:rFonts w:ascii="Arial" w:hAnsi="Arial" w:cs="Arial"/>
              </w:rPr>
              <w:t xml:space="preserve"> and Ag, demonstrates significant potential in enhancing mycelial growth, yield, biofortification, and antimicrobial activity. Integrating these approaches can improve productivity and sustainability in oyster mushroom cultivation systems</w:t>
            </w:r>
            <w:r w:rsidRPr="00284965">
              <w:rPr>
                <w:rFonts w:ascii="Arial" w:hAnsi="Arial" w:cs="Arial"/>
                <w:color w:val="000000" w:themeColor="text1"/>
              </w:rPr>
              <w:t>.</w:t>
            </w:r>
          </w:p>
          <w:p w14:paraId="6BC134D3" w14:textId="77777777" w:rsidR="00176111" w:rsidRPr="0069287C" w:rsidRDefault="00176111" w:rsidP="00201C4E">
            <w:pPr>
              <w:pStyle w:val="Body"/>
              <w:spacing w:after="0" w:line="360" w:lineRule="auto"/>
              <w:rPr>
                <w:rFonts w:ascii="Arial" w:eastAsia="Calibri" w:hAnsi="Arial" w:cs="Arial"/>
                <w:color w:val="000000" w:themeColor="text1"/>
                <w:szCs w:val="22"/>
              </w:rPr>
            </w:pPr>
          </w:p>
        </w:tc>
      </w:tr>
    </w:tbl>
    <w:p w14:paraId="20778524" w14:textId="77777777" w:rsidR="00176111" w:rsidRPr="0069287C" w:rsidRDefault="00176111" w:rsidP="00201C4E">
      <w:pPr>
        <w:pStyle w:val="Body"/>
        <w:spacing w:after="0" w:line="360" w:lineRule="auto"/>
        <w:rPr>
          <w:rFonts w:ascii="Arial" w:hAnsi="Arial" w:cs="Arial"/>
          <w:i/>
          <w:color w:val="000000" w:themeColor="text1"/>
        </w:rPr>
      </w:pPr>
    </w:p>
    <w:p w14:paraId="243B7372" w14:textId="45C926C7" w:rsidR="00176111" w:rsidRPr="0069287C" w:rsidRDefault="00176111" w:rsidP="00201C4E">
      <w:pPr>
        <w:spacing w:line="360" w:lineRule="auto"/>
        <w:jc w:val="both"/>
        <w:rPr>
          <w:rFonts w:ascii="Arial" w:hAnsi="Arial" w:cs="Arial"/>
          <w:color w:val="000000" w:themeColor="text1"/>
        </w:rPr>
      </w:pPr>
      <w:r w:rsidRPr="0069287C">
        <w:rPr>
          <w:rFonts w:ascii="Arial" w:hAnsi="Arial" w:cs="Arial"/>
          <w:i/>
          <w:color w:val="000000" w:themeColor="text1"/>
        </w:rPr>
        <w:t xml:space="preserve">Keywords: </w:t>
      </w:r>
      <w:r w:rsidRPr="0069287C">
        <w:rPr>
          <w:rFonts w:ascii="Arial" w:hAnsi="Arial" w:cs="Arial"/>
          <w:i/>
          <w:iCs/>
          <w:color w:val="000000" w:themeColor="text1"/>
        </w:rPr>
        <w:t>Oyster mushroom, spawn production, Pleurotus spp. Nanotechnology and substrate</w:t>
      </w:r>
    </w:p>
    <w:p w14:paraId="00D9BA06" w14:textId="4AD1AAA0" w:rsidR="00176111" w:rsidRPr="0069287C" w:rsidRDefault="00284965" w:rsidP="00201C4E">
      <w:pPr>
        <w:spacing w:before="100" w:beforeAutospacing="1" w:after="100" w:afterAutospacing="1" w:line="360" w:lineRule="auto"/>
        <w:jc w:val="both"/>
        <w:outlineLvl w:val="1"/>
        <w:rPr>
          <w:rFonts w:ascii="Arial" w:hAnsi="Arial" w:cs="Arial"/>
          <w:b/>
          <w:bCs/>
          <w:sz w:val="28"/>
          <w:szCs w:val="36"/>
          <w:lang w:eastAsia="en-IN"/>
        </w:rPr>
      </w:pPr>
      <w:r w:rsidRPr="0069287C">
        <w:rPr>
          <w:rFonts w:ascii="Arial" w:hAnsi="Arial" w:cs="Arial"/>
          <w:b/>
          <w:bCs/>
          <w:sz w:val="28"/>
          <w:szCs w:val="36"/>
          <w:lang w:eastAsia="en-IN"/>
        </w:rPr>
        <w:t>INTRODUCTION</w:t>
      </w:r>
    </w:p>
    <w:p w14:paraId="3BC218D9"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Mushroom cultivation has emerged as an important </w:t>
      </w:r>
      <w:proofErr w:type="spellStart"/>
      <w:r w:rsidRPr="0069287C">
        <w:rPr>
          <w:rFonts w:ascii="Arial" w:hAnsi="Arial" w:cs="Arial"/>
          <w:lang w:eastAsia="en-IN"/>
        </w:rPr>
        <w:t>agro</w:t>
      </w:r>
      <w:proofErr w:type="spellEnd"/>
      <w:r w:rsidRPr="0069287C">
        <w:rPr>
          <w:rFonts w:ascii="Arial" w:hAnsi="Arial" w:cs="Arial"/>
          <w:lang w:eastAsia="en-IN"/>
        </w:rPr>
        <w:t>-based industry due to its ability to convert lignocellulosic agricultural wastes into nutritionally rich food products. Among edible mushrooms, oyster mushroom (</w:t>
      </w:r>
      <w:r w:rsidRPr="0069287C">
        <w:rPr>
          <w:rFonts w:ascii="Arial" w:hAnsi="Arial" w:cs="Arial"/>
          <w:i/>
          <w:iCs/>
          <w:lang w:eastAsia="en-IN"/>
        </w:rPr>
        <w:t>Pleurotus</w:t>
      </w:r>
      <w:r w:rsidRPr="0069287C">
        <w:rPr>
          <w:rFonts w:ascii="Arial" w:hAnsi="Arial" w:cs="Arial"/>
          <w:lang w:eastAsia="en-IN"/>
        </w:rPr>
        <w:t xml:space="preserve"> spp.) is widely cultivated across the world because of its rapid growth, high biological efficiency, and minimal environmental requirements (Chang, S. T. &amp; Miles, P. G., 2004; Royse, D. J. et al., 2017, </w:t>
      </w:r>
      <w:r w:rsidRPr="0069287C">
        <w:rPr>
          <w:rFonts w:ascii="Arial" w:hAnsi="Arial" w:cs="Arial"/>
        </w:rPr>
        <w:t xml:space="preserve">Kapoor, 2017; </w:t>
      </w:r>
      <w:r w:rsidRPr="0069287C">
        <w:rPr>
          <w:rFonts w:ascii="Arial" w:hAnsi="Arial" w:cs="Arial"/>
        </w:rPr>
        <w:lastRenderedPageBreak/>
        <w:t>Gupta et al., 2018</w:t>
      </w:r>
      <w:r w:rsidRPr="0069287C">
        <w:rPr>
          <w:rFonts w:ascii="Arial" w:hAnsi="Arial" w:cs="Arial"/>
          <w:lang w:eastAsia="en-IN"/>
        </w:rPr>
        <w:t xml:space="preserve">). Oyster mushrooms are rich in proteins, vitamins, minerals, and bioactive compounds, making them a valuable functional food with medicinal properties (Adebayo, E. A. &amp; </w:t>
      </w:r>
      <w:proofErr w:type="spellStart"/>
      <w:r w:rsidRPr="0069287C">
        <w:rPr>
          <w:rFonts w:ascii="Arial" w:hAnsi="Arial" w:cs="Arial"/>
          <w:lang w:eastAsia="en-IN"/>
        </w:rPr>
        <w:t>Oloke</w:t>
      </w:r>
      <w:proofErr w:type="spellEnd"/>
      <w:r w:rsidRPr="0069287C">
        <w:rPr>
          <w:rFonts w:ascii="Arial" w:hAnsi="Arial" w:cs="Arial"/>
          <w:lang w:eastAsia="en-IN"/>
        </w:rPr>
        <w:t>, J. K., 2014, Kumari &amp; Achal, 2013). Their ability to grow on a wide range of substrates, including agricultural residues such as straw, sawdust, and agro-industrial wastes, further enhances their economic and ecological significance (Philippoussis, A., 2009; Zhang, R. et al., 2014; Fan et al., 2000; Moda et al., 2005; Siqueira et al., 2011).</w:t>
      </w:r>
    </w:p>
    <w:p w14:paraId="20401E2B"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A critical component in mushroom cultivation is spawn, which serves as the planting material for inoculating the production substrate. Spawn consists of actively growing mycelium on a suitable carrier material and directly influences the rate of substrate colonization, contamination resistance, and ultimately the yield of mushrooms (Stamets, P., 2000). Traditionally, cereal grains such as wheat, sorghum, and maize have been widely used for spawn production due to their rich nutrient content and ease of handling (Royse, D. J. et al., 2017). However, reliance on conventional substrates presents challenges such as increased production cost, limited availability, and susceptibility to contamination, prompting the exploration of alternative substrates.</w:t>
      </w:r>
    </w:p>
    <w:p w14:paraId="56D214B0"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Recent studies have demonstrated that alternative substrates such as pearl millet, cocopeat, vermicompost, and sawdust can effectively support mycelial growth and spawn development (Girmay, Z. et al., 2016; Hoa, H. T. et al., 2015). Among these, pearl millet has shown superior performance due to its balanced nutrient composition and favorable physical properties, which facilitate faster colonization and reduced contamination (Patel, Y. et al., 2019). The use of such alternative substrates not only reduces production costs but also contributes to sustainable agricultural practices by utilizing locally available materials.</w:t>
      </w:r>
    </w:p>
    <w:p w14:paraId="54707F33"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In addition to substrate innovation, emerging technologies such as nanotechnology are gaining attention for their potential to enhance mushroom cultivation. Nanotechnology involves the manipulation of materials at the nanoscale (1–100 nm), where unique physicochemical properties can be exploited for biological applications (Singh, M. et al., 2018). Nanoparticles, particularly metal oxides like zinc oxide (</w:t>
      </w:r>
      <w:proofErr w:type="spellStart"/>
      <w:r w:rsidRPr="0069287C">
        <w:rPr>
          <w:rFonts w:ascii="Arial" w:hAnsi="Arial" w:cs="Arial"/>
          <w:lang w:eastAsia="en-IN"/>
        </w:rPr>
        <w:t>ZnO</w:t>
      </w:r>
      <w:proofErr w:type="spellEnd"/>
      <w:r w:rsidRPr="0069287C">
        <w:rPr>
          <w:rFonts w:ascii="Arial" w:hAnsi="Arial" w:cs="Arial"/>
          <w:lang w:eastAsia="en-IN"/>
        </w:rPr>
        <w:t>) and copper oxide (</w:t>
      </w:r>
      <w:proofErr w:type="spellStart"/>
      <w:r w:rsidRPr="0069287C">
        <w:rPr>
          <w:rFonts w:ascii="Arial" w:hAnsi="Arial" w:cs="Arial"/>
          <w:lang w:eastAsia="en-IN"/>
        </w:rPr>
        <w:t>CuO</w:t>
      </w:r>
      <w:proofErr w:type="spellEnd"/>
      <w:r w:rsidRPr="0069287C">
        <w:rPr>
          <w:rFonts w:ascii="Arial" w:hAnsi="Arial" w:cs="Arial"/>
          <w:lang w:eastAsia="en-IN"/>
        </w:rPr>
        <w:t>), have been reported to influence microbial growth, enzyme activity, and nutrient uptake even at very low concentrations (Sharma, V. K. et al., 2020). Their antimicrobial properties also help in reducing contamination during spawn production (Rai, M. et al., 2016).</w:t>
      </w:r>
    </w:p>
    <w:p w14:paraId="7ACCAA81"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Despite these advancements, the integration of nanotechnology in mushroom cultivation is still at an early stage, and concerns regarding nanoparticle toxicity and </w:t>
      </w:r>
      <w:r w:rsidRPr="0069287C">
        <w:rPr>
          <w:rFonts w:ascii="Arial" w:hAnsi="Arial" w:cs="Arial"/>
          <w:lang w:eastAsia="en-IN"/>
        </w:rPr>
        <w:lastRenderedPageBreak/>
        <w:t xml:space="preserve">environmental safety need to be addressed (Kahru, A. &amp; </w:t>
      </w:r>
      <w:proofErr w:type="spellStart"/>
      <w:r w:rsidRPr="0069287C">
        <w:rPr>
          <w:rFonts w:ascii="Arial" w:hAnsi="Arial" w:cs="Arial"/>
          <w:lang w:eastAsia="en-IN"/>
        </w:rPr>
        <w:t>Dubourguier</w:t>
      </w:r>
      <w:proofErr w:type="spellEnd"/>
      <w:r w:rsidRPr="0069287C">
        <w:rPr>
          <w:rFonts w:ascii="Arial" w:hAnsi="Arial" w:cs="Arial"/>
          <w:lang w:eastAsia="en-IN"/>
        </w:rPr>
        <w:t>, H. C., 2010). Therefore, a comprehensive understanding of substrate optimization and nanotechnology applications is essential for developing efficient and sustainable spawn production systems.</w:t>
      </w:r>
    </w:p>
    <w:p w14:paraId="18B6150C"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This review aims to critically analyze different substrates used in oyster mushroom spawn production and evaluate the role of nanotechnology in enhancing growth, yield, and quality, while also addressing potential risks and future research </w:t>
      </w:r>
      <w:proofErr w:type="spellStart"/>
      <w:r w:rsidRPr="0069287C">
        <w:rPr>
          <w:rFonts w:ascii="Arial" w:hAnsi="Arial" w:cs="Arial"/>
          <w:lang w:eastAsia="en-IN"/>
        </w:rPr>
        <w:t>needsSeveral</w:t>
      </w:r>
      <w:proofErr w:type="spellEnd"/>
      <w:r w:rsidRPr="0069287C">
        <w:rPr>
          <w:rFonts w:ascii="Arial" w:hAnsi="Arial" w:cs="Arial"/>
          <w:lang w:eastAsia="en-IN"/>
        </w:rPr>
        <w:t xml:space="preserve"> studies have evaluated substrate efficiency and reported significant variation in growth and yield depending on substrate composition (</w:t>
      </w:r>
      <w:proofErr w:type="spellStart"/>
      <w:r w:rsidRPr="0069287C">
        <w:rPr>
          <w:rFonts w:ascii="Arial" w:hAnsi="Arial" w:cs="Arial"/>
          <w:lang w:eastAsia="en-IN"/>
        </w:rPr>
        <w:t>Obodai</w:t>
      </w:r>
      <w:proofErr w:type="spellEnd"/>
      <w:r w:rsidRPr="0069287C">
        <w:rPr>
          <w:rFonts w:ascii="Arial" w:hAnsi="Arial" w:cs="Arial"/>
          <w:lang w:eastAsia="en-IN"/>
        </w:rPr>
        <w:t xml:space="preserve"> et al., 2003; Shah et al., 2004; </w:t>
      </w:r>
      <w:proofErr w:type="spellStart"/>
      <w:r w:rsidRPr="0069287C">
        <w:rPr>
          <w:rFonts w:ascii="Arial" w:hAnsi="Arial" w:cs="Arial"/>
          <w:lang w:eastAsia="en-IN"/>
        </w:rPr>
        <w:t>Pathmashini</w:t>
      </w:r>
      <w:proofErr w:type="spellEnd"/>
      <w:r w:rsidRPr="0069287C">
        <w:rPr>
          <w:rFonts w:ascii="Arial" w:hAnsi="Arial" w:cs="Arial"/>
          <w:lang w:eastAsia="en-IN"/>
        </w:rPr>
        <w:t xml:space="preserve"> et al., 2008; Ahmed et al., 2009; Sarker et al., 2007).</w:t>
      </w:r>
    </w:p>
    <w:p w14:paraId="1C521C58" w14:textId="32819921"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BIOLOGY AND CULTIVATION OF OYSTER MUSHROOM</w:t>
      </w:r>
    </w:p>
    <w:p w14:paraId="15160B2D"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Oyster mushrooms (</w:t>
      </w:r>
      <w:r w:rsidRPr="0069287C">
        <w:rPr>
          <w:rFonts w:ascii="Arial" w:hAnsi="Arial" w:cs="Arial"/>
          <w:i/>
          <w:iCs/>
          <w:lang w:eastAsia="en-IN"/>
        </w:rPr>
        <w:t>Pleurotus</w:t>
      </w:r>
      <w:r w:rsidRPr="0069287C">
        <w:rPr>
          <w:rFonts w:ascii="Arial" w:hAnsi="Arial" w:cs="Arial"/>
          <w:lang w:eastAsia="en-IN"/>
        </w:rPr>
        <w:t xml:space="preserve"> spp.) belong to the phylum Basidiomycota and are among the most widely cultivated edible fungi due to their adaptability and efficient lignocellulosic degradation capabilities (Chang &amp; Miles, 2004). They are saprophytic in nature, growing on a wide range of organic substrates such as agricultural residues, wood logs, and industrial wastes. Their ability to produce extracellular enzymes like cellulases, </w:t>
      </w:r>
      <w:proofErr w:type="spellStart"/>
      <w:r w:rsidRPr="0069287C">
        <w:rPr>
          <w:rFonts w:ascii="Arial" w:hAnsi="Arial" w:cs="Arial"/>
          <w:lang w:eastAsia="en-IN"/>
        </w:rPr>
        <w:t>ligninases</w:t>
      </w:r>
      <w:proofErr w:type="spellEnd"/>
      <w:r w:rsidRPr="0069287C">
        <w:rPr>
          <w:rFonts w:ascii="Arial" w:hAnsi="Arial" w:cs="Arial"/>
          <w:lang w:eastAsia="en-IN"/>
        </w:rPr>
        <w:t xml:space="preserve">, and </w:t>
      </w:r>
      <w:proofErr w:type="spellStart"/>
      <w:r w:rsidRPr="0069287C">
        <w:rPr>
          <w:rFonts w:ascii="Arial" w:hAnsi="Arial" w:cs="Arial"/>
          <w:lang w:eastAsia="en-IN"/>
        </w:rPr>
        <w:t>hemicellulases</w:t>
      </w:r>
      <w:proofErr w:type="spellEnd"/>
      <w:r w:rsidRPr="0069287C">
        <w:rPr>
          <w:rFonts w:ascii="Arial" w:hAnsi="Arial" w:cs="Arial"/>
          <w:lang w:eastAsia="en-IN"/>
        </w:rPr>
        <w:t xml:space="preserve"> enables them to break down complex plant materials into simpler compounds for nutrition (Philippoussis, 2009Das &amp; Mukherjee, 2010).</w:t>
      </w:r>
      <w:r w:rsidRPr="0069287C">
        <w:rPr>
          <w:rFonts w:ascii="Arial" w:hAnsi="Arial" w:cs="Arial"/>
          <w:sz w:val="16"/>
          <w:szCs w:val="16"/>
        </w:rPr>
        <w:t xml:space="preserve"> </w:t>
      </w:r>
      <w:r w:rsidRPr="0069287C">
        <w:rPr>
          <w:rFonts w:ascii="Arial" w:hAnsi="Arial" w:cs="Arial"/>
          <w:lang w:eastAsia="en-IN"/>
        </w:rPr>
        <w:t xml:space="preserve">Various </w:t>
      </w:r>
      <w:proofErr w:type="spellStart"/>
      <w:r w:rsidRPr="0069287C">
        <w:rPr>
          <w:rFonts w:ascii="Arial" w:hAnsi="Arial" w:cs="Arial"/>
          <w:lang w:eastAsia="en-IN"/>
        </w:rPr>
        <w:t>agro</w:t>
      </w:r>
      <w:proofErr w:type="spellEnd"/>
      <w:r w:rsidRPr="0069287C">
        <w:rPr>
          <w:rFonts w:ascii="Arial" w:hAnsi="Arial" w:cs="Arial"/>
          <w:lang w:eastAsia="en-IN"/>
        </w:rPr>
        <w:t xml:space="preserve">-wastes such as weed plants, paper waste, and agricultural residues have been successfully used for cultivation (Baysal et al., 2003; Das &amp; Mukherjee, 2010; </w:t>
      </w:r>
      <w:proofErr w:type="spellStart"/>
      <w:r w:rsidRPr="0069287C">
        <w:rPr>
          <w:rFonts w:ascii="Arial" w:hAnsi="Arial" w:cs="Arial"/>
          <w:lang w:eastAsia="en-IN"/>
        </w:rPr>
        <w:t>Bhattacharjya</w:t>
      </w:r>
      <w:proofErr w:type="spellEnd"/>
      <w:r w:rsidRPr="0069287C">
        <w:rPr>
          <w:rFonts w:ascii="Arial" w:hAnsi="Arial" w:cs="Arial"/>
          <w:lang w:eastAsia="en-IN"/>
        </w:rPr>
        <w:t xml:space="preserve"> et al., 2014). Supplementation strategies further enhance yield and biological efficiency (Banik &amp; Nandi, 2004; Patil et al., 2010; Yadav et al., 2016).</w:t>
      </w:r>
    </w:p>
    <w:p w14:paraId="09B78176"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Morphologically, oyster mushrooms are characterized by a shell- or oyster-shaped cap, which may vary in color from white to grey or brown depending on the species. The fruiting body typically has a short or absent stipe and decurrent gills that extend down the stem. The spores are produced on basidia located on the gills and are usually white or lilac in color (Stamets, 2000). The vegetative stage consists of a network of hyphae that form the mycelium, which colonizes the substrate and plays a critical role in nutrient absorption.</w:t>
      </w:r>
    </w:p>
    <w:p w14:paraId="5FEE439D"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The life cycle of </w:t>
      </w:r>
      <w:r w:rsidRPr="0069287C">
        <w:rPr>
          <w:rFonts w:ascii="Arial" w:hAnsi="Arial" w:cs="Arial"/>
          <w:i/>
          <w:iCs/>
          <w:lang w:eastAsia="en-IN"/>
        </w:rPr>
        <w:t>Pleurotus</w:t>
      </w:r>
      <w:r w:rsidRPr="0069287C">
        <w:rPr>
          <w:rFonts w:ascii="Arial" w:hAnsi="Arial" w:cs="Arial"/>
          <w:lang w:eastAsia="en-IN"/>
        </w:rPr>
        <w:t xml:space="preserve"> spp. involves several stages, beginning with spore germination under favorable environmental conditions. The germinated spores develop into monokaryotic hyphae, which fuse to form dikaryotic mycelium. This dikaryotic mycelium is responsible for substrate colonization and eventually gives rise to primordia under suitable </w:t>
      </w:r>
      <w:r w:rsidRPr="0069287C">
        <w:rPr>
          <w:rFonts w:ascii="Arial" w:hAnsi="Arial" w:cs="Arial"/>
          <w:lang w:eastAsia="en-IN"/>
        </w:rPr>
        <w:lastRenderedPageBreak/>
        <w:t>environmental stimuli such as changes in temperature, humidity, light, and aeration. These primordia further develop into mature fruiting bodies (Royse et al., 2017).</w:t>
      </w:r>
    </w:p>
    <w:p w14:paraId="52A4BD45"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cultivation of oyster mushrooms is relatively simple compared to other edible fungi, making it suitable for both small-scale and commercial production. Optimal growth conditions include a temperature range of 20–30°C, relative humidity of 70–90%, and a pH between 6.0 and 7.5 (Hoa et al., 2015). Adequate ventilation is also essential to prevent the accumulation of carbon dioxide, which can inhibit proper fruiting body development.</w:t>
      </w:r>
    </w:p>
    <w:p w14:paraId="14FDD4BD"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Oyster mushrooms can be cultivated on a wide variety of substrates such as wheat straw, rice straw, sawdust, and other lignocellulosic materials. The choice of substrate significantly influences growth rate, yield, and nutritional quality (Zhang et al., 2014). The cultivation process typically involves substrate preparation, sterilization or pasteurization, inoculation with spawn, incubation for mycelial colonization, and finally fruiting under controlled environmental conditions.</w:t>
      </w:r>
    </w:p>
    <w:p w14:paraId="68D713E0"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Overall, the biological efficiency and ease of cultivation of oyster mushrooms make them an ideal candidate for sustainable food production and waste recycling systems.</w:t>
      </w:r>
    </w:p>
    <w:p w14:paraId="1E226194" w14:textId="01E2018F"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SPAWN: CONCEPT, TYPES and IMPORTANCE</w:t>
      </w:r>
    </w:p>
    <w:p w14:paraId="28061F24" w14:textId="77777777" w:rsidR="00176111" w:rsidRPr="0069287C" w:rsidRDefault="00176111" w:rsidP="00201C4E">
      <w:pPr>
        <w:spacing w:before="100" w:beforeAutospacing="1" w:after="100" w:afterAutospacing="1" w:line="360" w:lineRule="auto"/>
        <w:ind w:firstLine="720"/>
        <w:jc w:val="both"/>
        <w:rPr>
          <w:rFonts w:ascii="Arial" w:hAnsi="Arial" w:cs="Arial"/>
          <w:sz w:val="22"/>
          <w:szCs w:val="22"/>
          <w:lang w:eastAsia="en-IN"/>
        </w:rPr>
      </w:pPr>
      <w:r w:rsidRPr="0069287C">
        <w:rPr>
          <w:rFonts w:ascii="Arial" w:hAnsi="Arial" w:cs="Arial"/>
          <w:sz w:val="22"/>
          <w:szCs w:val="22"/>
          <w:lang w:eastAsia="en-IN"/>
        </w:rPr>
        <w:t xml:space="preserve">Spawn is the vegetative inoculum of mushrooms, consisting of a substrate colonized by actively growing mycelium of </w:t>
      </w:r>
      <w:r w:rsidRPr="0069287C">
        <w:rPr>
          <w:rFonts w:ascii="Arial" w:hAnsi="Arial" w:cs="Arial"/>
          <w:i/>
          <w:iCs/>
          <w:sz w:val="22"/>
          <w:szCs w:val="22"/>
          <w:lang w:eastAsia="en-IN"/>
        </w:rPr>
        <w:t>Pleurotus</w:t>
      </w:r>
      <w:r w:rsidRPr="0069287C">
        <w:rPr>
          <w:rFonts w:ascii="Arial" w:hAnsi="Arial" w:cs="Arial"/>
          <w:sz w:val="22"/>
          <w:szCs w:val="22"/>
          <w:lang w:eastAsia="en-IN"/>
        </w:rPr>
        <w:t xml:space="preserve"> spp., and it serves as the “seed” for mushroom cultivation (Stamets, 2000). The quality of spawn is crucial, as it directly influences the rate of colonization, yield, and overall success of mushroom production (Royse et al., 2017).</w:t>
      </w:r>
    </w:p>
    <w:p w14:paraId="0DE580A6" w14:textId="77777777" w:rsidR="00176111" w:rsidRPr="0069287C" w:rsidRDefault="00176111" w:rsidP="00201C4E">
      <w:pPr>
        <w:spacing w:before="100" w:beforeAutospacing="1" w:after="100" w:afterAutospacing="1" w:line="360" w:lineRule="auto"/>
        <w:ind w:firstLine="720"/>
        <w:jc w:val="both"/>
        <w:rPr>
          <w:rFonts w:ascii="Arial" w:hAnsi="Arial" w:cs="Arial"/>
          <w:sz w:val="22"/>
          <w:szCs w:val="22"/>
          <w:lang w:eastAsia="en-IN"/>
        </w:rPr>
      </w:pPr>
      <w:r w:rsidRPr="0069287C">
        <w:rPr>
          <w:rFonts w:ascii="Arial" w:hAnsi="Arial" w:cs="Arial"/>
          <w:sz w:val="22"/>
          <w:szCs w:val="22"/>
          <w:lang w:eastAsia="en-IN"/>
        </w:rPr>
        <w:t>Different types of spawn are used based on substrate and cultivation practices. Grain spawn (e.g., wheat, sorghum, maize, pearl millet) is the most commonly used due to its high nutrient content and rapid mycelial growth. Sawdust spawn is widely used in log cultivation and is preferred for its low cost and longer shelf life. Plug spawn, prepared using wooden dowels, is mainly used for outdoor log cultivation. Liquid spawn, consisting of mycelium suspended in a nutrient broth, allows rapid and uniform inoculation but requires advanced handling techniques (Chang &amp; Miles, 2004).</w:t>
      </w:r>
    </w:p>
    <w:p w14:paraId="3885083E" w14:textId="77777777" w:rsidR="00176111" w:rsidRPr="0069287C" w:rsidRDefault="00176111" w:rsidP="00201C4E">
      <w:pPr>
        <w:spacing w:before="100" w:beforeAutospacing="1" w:after="100" w:afterAutospacing="1" w:line="360" w:lineRule="auto"/>
        <w:ind w:firstLine="720"/>
        <w:jc w:val="both"/>
        <w:rPr>
          <w:rFonts w:ascii="Arial" w:hAnsi="Arial" w:cs="Arial"/>
          <w:sz w:val="22"/>
          <w:szCs w:val="22"/>
          <w:lang w:eastAsia="en-IN"/>
        </w:rPr>
      </w:pPr>
      <w:r w:rsidRPr="0069287C">
        <w:rPr>
          <w:rFonts w:ascii="Arial" w:hAnsi="Arial" w:cs="Arial"/>
          <w:sz w:val="22"/>
          <w:szCs w:val="22"/>
          <w:lang w:eastAsia="en-IN"/>
        </w:rPr>
        <w:lastRenderedPageBreak/>
        <w:t>The importance of spawn lies in its ability to ensure uniform distribution of mycelium, reduce contamination risk, and accelerate substrate colonization. High-quality spawn leads to improved biological efficiency and consistent yields, making it a fundamental component in commercial mushroom production systems (Royse et al., 2017).</w:t>
      </w:r>
    </w:p>
    <w:p w14:paraId="629A053E" w14:textId="410E82DE"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SPAWN PRODUCTION METHODOLOGY</w:t>
      </w:r>
    </w:p>
    <w:p w14:paraId="49C809BE"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Spawn production is a critical step in oyster mushroom cultivation, as it directly influences the rate of mycelial colonization, contamination resistance, and overall yield. Spawn refers to a carrier material, typically cereal grains or other substrates, that has been fully colonized by actively growing mycelium of </w:t>
      </w:r>
      <w:r w:rsidRPr="0069287C">
        <w:rPr>
          <w:rFonts w:ascii="Arial" w:hAnsi="Arial" w:cs="Arial"/>
          <w:i/>
          <w:iCs/>
          <w:lang w:eastAsia="en-IN"/>
        </w:rPr>
        <w:t>Pleurotus</w:t>
      </w:r>
      <w:r w:rsidRPr="0069287C">
        <w:rPr>
          <w:rFonts w:ascii="Arial" w:hAnsi="Arial" w:cs="Arial"/>
          <w:lang w:eastAsia="en-IN"/>
        </w:rPr>
        <w:t xml:space="preserve"> spp. (Stamets, 2000). The preparation of high-quality spawn requires careful attention to substrate selection, preparation, sterilization, inoculation, and incubation under controlled conditions.</w:t>
      </w:r>
    </w:p>
    <w:p w14:paraId="1A2A9F48" w14:textId="38E0E703"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SELECTION OF SUBSTRATE</w:t>
      </w:r>
    </w:p>
    <w:p w14:paraId="702D5E27"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choice of substrate plays a vital role in determining the quality of spawn. Traditionally, cereal grains such as wheat, sorghum, and maize are widely used due to their high carbohydrate content, good water absorption capacity, and ease of handling (Royse et al., 2017). These grains provide essential nutrients required for rapid mycelial growth. However, alternative substrates such as pearl millet, sawdust, cocopeat, and vermicompost have gained attention due to their cost-effectiveness and availability (Girmay et al., 2016). Among these, pearl millet has been reported to support faster colonization due to its balanced nutrient profile and favorable grain structure (Patel et al., 2019).</w:t>
      </w:r>
    </w:p>
    <w:p w14:paraId="1781E592" w14:textId="5DB00748"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SUBSTRATE PREPARATION</w:t>
      </w:r>
    </w:p>
    <w:p w14:paraId="6D50DEFD"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selected grains or substrates are first cleaned thoroughly to remove dust, debris, and damaged particles. The substrates are then soaked in water for 12–24 hours to ensure adequate hydration. Soaking facilitates uniform moisture absorption, which is essential for mycelial growth. After soaking, the grains are boiled for 15–20 minutes until they become soft but not overly cooked. Proper boiling ensures that the grains retain their structure while becoming sufficiently moist.</w:t>
      </w:r>
    </w:p>
    <w:p w14:paraId="52877EA7"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lastRenderedPageBreak/>
        <w:t>Following boiling, excess water is drained, and the grains are spread to remove surface moisture. The moisture content of the substrate is typically maintained around 50–60%, which is considered optimal for mycelial growth (Royse et al., 2017). At this stage, additives such as calcium carbonate (</w:t>
      </w:r>
      <w:proofErr w:type="spellStart"/>
      <w:r w:rsidRPr="0069287C">
        <w:rPr>
          <w:rFonts w:ascii="Arial" w:hAnsi="Arial" w:cs="Arial"/>
          <w:lang w:eastAsia="en-IN"/>
        </w:rPr>
        <w:t>CaCO</w:t>
      </w:r>
      <w:proofErr w:type="spellEnd"/>
      <w:r w:rsidRPr="0069287C">
        <w:rPr>
          <w:rFonts w:ascii="Cambria Math" w:hAnsi="Cambria Math" w:cs="Cambria Math"/>
          <w:lang w:eastAsia="en-IN"/>
        </w:rPr>
        <w:t>₃</w:t>
      </w:r>
      <w:r w:rsidRPr="0069287C">
        <w:rPr>
          <w:rFonts w:ascii="Arial" w:hAnsi="Arial" w:cs="Arial"/>
          <w:lang w:eastAsia="en-IN"/>
        </w:rPr>
        <w:t>) or gypsum may be mixed to adjust pH and prevent grain clumping, although some studies have reported successful spawn production without these supplements.</w:t>
      </w:r>
    </w:p>
    <w:p w14:paraId="3312B87E" w14:textId="754B8C6B"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STERILIZATION</w:t>
      </w:r>
    </w:p>
    <w:p w14:paraId="703C7BDC"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Sterilization is a crucial step to eliminate competing microorganisms that can hinder mycelial growth. The prepared substrate is filled into glass bottles or polypropylene bags and sterilized using an autoclave at 121°C under 15 psi pressure for 15–20 minutes (Stamets, 2000). Proper sterilization ensures a contamination-free environment for fungal growth. Inadequate sterilization can lead to bacterial or fungal contamination, resulting in poor spawn quality.</w:t>
      </w:r>
    </w:p>
    <w:p w14:paraId="5B6888B4" w14:textId="330630C6"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INOCULATION</w:t>
      </w:r>
    </w:p>
    <w:p w14:paraId="54513CE1"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After sterilization, the substrate is allowed to cool to room temperature under aseptic conditions. Inoculation is performed by introducing a small quantity of pure culture or mother spawn into the sterilized substrate. This process is usually carried out in a laminar airflow chamber to maintain sterility and minimize contamination risk. The inoculum is evenly distributed throughout the substrate to ensure uniform colonization.</w:t>
      </w:r>
    </w:p>
    <w:p w14:paraId="4B995543"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The quality of the inoculum is critical, as it determines the vigor and purity of the resulting spawn. Pure cultures of </w:t>
      </w:r>
      <w:r w:rsidRPr="0069287C">
        <w:rPr>
          <w:rFonts w:ascii="Arial" w:hAnsi="Arial" w:cs="Arial"/>
          <w:i/>
          <w:iCs/>
          <w:lang w:eastAsia="en-IN"/>
        </w:rPr>
        <w:t>Pleurotus</w:t>
      </w:r>
      <w:r w:rsidRPr="0069287C">
        <w:rPr>
          <w:rFonts w:ascii="Arial" w:hAnsi="Arial" w:cs="Arial"/>
          <w:lang w:eastAsia="en-IN"/>
        </w:rPr>
        <w:t xml:space="preserve"> spp. are typically maintained on agar media and periodically </w:t>
      </w:r>
      <w:proofErr w:type="spellStart"/>
      <w:r w:rsidRPr="0069287C">
        <w:rPr>
          <w:rFonts w:ascii="Arial" w:hAnsi="Arial" w:cs="Arial"/>
          <w:lang w:eastAsia="en-IN"/>
        </w:rPr>
        <w:t>subcultured</w:t>
      </w:r>
      <w:proofErr w:type="spellEnd"/>
      <w:r w:rsidRPr="0069287C">
        <w:rPr>
          <w:rFonts w:ascii="Arial" w:hAnsi="Arial" w:cs="Arial"/>
          <w:lang w:eastAsia="en-IN"/>
        </w:rPr>
        <w:t xml:space="preserve"> to preserve their viability (Stamets, 2000).</w:t>
      </w:r>
    </w:p>
    <w:p w14:paraId="5468B6CB" w14:textId="54570713"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INCUBATION</w:t>
      </w:r>
    </w:p>
    <w:p w14:paraId="50396036"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Following inoculation, the containers are incubated under controlled environmental conditions. The optimal temperature for mycelial growth of oyster mushroom ranges between 25–28°C, with relative humidity maintained around 70–80% (Hoa et al., 2015). The incubation period usually lasts 10–15 days, during which the mycelium spreads throughout the substrate.</w:t>
      </w:r>
    </w:p>
    <w:p w14:paraId="442CE8FC"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During incubation, the containers should be kept in a dark or low-light environment, as light is not required for vegetative growth. Adequate aeration is also important to prevent </w:t>
      </w:r>
      <w:r w:rsidRPr="0069287C">
        <w:rPr>
          <w:rFonts w:ascii="Arial" w:hAnsi="Arial" w:cs="Arial"/>
          <w:lang w:eastAsia="en-IN"/>
        </w:rPr>
        <w:lastRenderedPageBreak/>
        <w:t>the accumulation of carbon dioxide, which can inhibit mycelial development. Regular monitoring is necessary to detect any signs of contamination, such as unusual discoloration or foul odor.</w:t>
      </w:r>
    </w:p>
    <w:p w14:paraId="09F2DE92" w14:textId="4A7FEC39"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EVALUATION OF SPAWN QUALITY</w:t>
      </w:r>
    </w:p>
    <w:p w14:paraId="45514468"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High-quality spawn is characterized by rapid and uniform colonization, dense and healthy mycelial growth, and absence of contamination. The spawn should have a pleasant mushroom odor and should not exhibit any signs of bacterial slime or mold growth. The use of high-quality spawn ensures faster substrate colonization and improved yield during cultivation (Royse et al., 2017).</w:t>
      </w:r>
    </w:p>
    <w:p w14:paraId="59BA1A8D" w14:textId="7E65A269"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ADVANCES IN SPAWN PRODUCTION</w:t>
      </w:r>
    </w:p>
    <w:p w14:paraId="53998C15" w14:textId="77777777" w:rsidR="00176111" w:rsidRPr="0069287C" w:rsidRDefault="00176111" w:rsidP="00201C4E">
      <w:pPr>
        <w:spacing w:before="100" w:beforeAutospacing="1" w:after="100" w:afterAutospacing="1" w:line="360" w:lineRule="auto"/>
        <w:ind w:firstLine="720"/>
        <w:jc w:val="both"/>
        <w:rPr>
          <w:rFonts w:ascii="Arial" w:hAnsi="Arial" w:cs="Arial"/>
          <w:sz w:val="24"/>
          <w:szCs w:val="24"/>
          <w:lang w:eastAsia="en-IN"/>
        </w:rPr>
      </w:pPr>
      <w:r w:rsidRPr="0069287C">
        <w:rPr>
          <w:rFonts w:ascii="Arial" w:hAnsi="Arial" w:cs="Arial"/>
          <w:lang w:eastAsia="en-IN"/>
        </w:rPr>
        <w:t xml:space="preserve">Recent studies have explored the use of alternative substrates and supplementation strategies to enhance spawn quality. Additionally, the incorporation of nanotechnology, such as </w:t>
      </w:r>
      <w:proofErr w:type="spellStart"/>
      <w:r w:rsidRPr="0069287C">
        <w:rPr>
          <w:rFonts w:ascii="Arial" w:hAnsi="Arial" w:cs="Arial"/>
          <w:lang w:eastAsia="en-IN"/>
        </w:rPr>
        <w:t>ZnO</w:t>
      </w:r>
      <w:proofErr w:type="spellEnd"/>
      <w:r w:rsidRPr="0069287C">
        <w:rPr>
          <w:rFonts w:ascii="Arial" w:hAnsi="Arial" w:cs="Arial"/>
          <w:lang w:eastAsia="en-IN"/>
        </w:rPr>
        <w:t xml:space="preserve"> and </w:t>
      </w:r>
      <w:proofErr w:type="spellStart"/>
      <w:r w:rsidRPr="0069287C">
        <w:rPr>
          <w:rFonts w:ascii="Arial" w:hAnsi="Arial" w:cs="Arial"/>
          <w:lang w:eastAsia="en-IN"/>
        </w:rPr>
        <w:t>CuO</w:t>
      </w:r>
      <w:proofErr w:type="spellEnd"/>
      <w:r w:rsidRPr="0069287C">
        <w:rPr>
          <w:rFonts w:ascii="Arial" w:hAnsi="Arial" w:cs="Arial"/>
          <w:lang w:eastAsia="en-IN"/>
        </w:rPr>
        <w:t xml:space="preserve"> nanoparticles, has shown potential in improving mycelial growth and reducing contamination (Rai et al., 2016; Sharma et al., 2020). These innovations are expected to contribute to more efficient and sustainable spawn production systems in the future</w:t>
      </w:r>
      <w:r w:rsidRPr="0069287C">
        <w:rPr>
          <w:rFonts w:ascii="Arial" w:hAnsi="Arial" w:cs="Arial"/>
          <w:sz w:val="24"/>
          <w:szCs w:val="24"/>
          <w:lang w:eastAsia="en-IN"/>
        </w:rPr>
        <w:t>.</w:t>
      </w:r>
    </w:p>
    <w:p w14:paraId="449FDAF2" w14:textId="77777777" w:rsidR="00176111" w:rsidRPr="0069287C" w:rsidRDefault="00176111" w:rsidP="00201C4E">
      <w:pPr>
        <w:spacing w:before="100" w:beforeAutospacing="1" w:after="100" w:afterAutospacing="1" w:line="360" w:lineRule="auto"/>
        <w:jc w:val="both"/>
        <w:rPr>
          <w:rFonts w:ascii="Arial" w:hAnsi="Arial" w:cs="Arial"/>
          <w:sz w:val="24"/>
          <w:szCs w:val="24"/>
          <w:lang w:eastAsia="en-IN"/>
        </w:rPr>
      </w:pPr>
      <w:r w:rsidRPr="0069287C">
        <w:rPr>
          <w:rFonts w:ascii="Arial" w:hAnsi="Arial" w:cs="Arial"/>
          <w:b/>
          <w:bCs/>
          <w:noProof/>
          <w:sz w:val="24"/>
          <w:szCs w:val="24"/>
          <w:lang w:eastAsia="en-IN"/>
        </w:rPr>
        <mc:AlternateContent>
          <mc:Choice Requires="wps">
            <w:drawing>
              <wp:anchor distT="45720" distB="45720" distL="114300" distR="114300" simplePos="0" relativeHeight="251659264" behindDoc="1" locked="0" layoutInCell="1" allowOverlap="1" wp14:anchorId="3A4B6039" wp14:editId="78B72CA4">
                <wp:simplePos x="0" y="0"/>
                <wp:positionH relativeFrom="margin">
                  <wp:align>left</wp:align>
                </wp:positionH>
                <wp:positionV relativeFrom="paragraph">
                  <wp:posOffset>2739390</wp:posOffset>
                </wp:positionV>
                <wp:extent cx="5518150" cy="419100"/>
                <wp:effectExtent l="0" t="0" r="254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419100"/>
                        </a:xfrm>
                        <a:prstGeom prst="rect">
                          <a:avLst/>
                        </a:prstGeom>
                        <a:solidFill>
                          <a:srgbClr val="FFFFFF"/>
                        </a:solidFill>
                        <a:ln w="9525">
                          <a:solidFill>
                            <a:schemeClr val="bg1"/>
                          </a:solidFill>
                          <a:miter lim="800000"/>
                          <a:headEnd/>
                          <a:tailEnd/>
                        </a:ln>
                      </wps:spPr>
                      <wps:txbx>
                        <w:txbxContent>
                          <w:p w14:paraId="4E7D6626" w14:textId="77777777" w:rsidR="00176111" w:rsidRPr="00C146C8" w:rsidRDefault="00176111" w:rsidP="00176111">
                            <w:pPr>
                              <w:jc w:val="center"/>
                              <w:rPr>
                                <w:rFonts w:ascii="Times New Roman" w:hAnsi="Times New Roman"/>
                                <w:sz w:val="24"/>
                                <w:szCs w:val="24"/>
                              </w:rPr>
                            </w:pPr>
                            <w:r>
                              <w:rPr>
                                <w:rFonts w:ascii="Times New Roman" w:hAnsi="Times New Roman"/>
                                <w:sz w:val="24"/>
                                <w:szCs w:val="24"/>
                              </w:rPr>
                              <w:t>Fig 1: Process of Spawn production in Oyster Mushroom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4B6039" id="_x0000_t202" coordsize="21600,21600" o:spt="202" path="m,l,21600r21600,l21600,xe">
                <v:stroke joinstyle="miter"/>
                <v:path gradientshapeok="t" o:connecttype="rect"/>
              </v:shapetype>
              <v:shape id="Text Box 2" o:spid="_x0000_s1026" type="#_x0000_t202" style="position:absolute;left:0;text-align:left;margin-left:0;margin-top:215.7pt;width:434.5pt;height:33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" strokecolor="white [3212]">
                <v:textbox>
                  <w:txbxContent>
                    <w:p w14:paraId="4E7D6626" w14:textId="77777777" w:rsidR="00176111" w:rsidRPr="00C146C8" w:rsidRDefault="00176111" w:rsidP="00176111">
                      <w:pPr>
                        <w:jc w:val="center"/>
                        <w:rPr>
                          <w:rFonts w:ascii="Times New Roman" w:hAnsi="Times New Roman"/>
                          <w:sz w:val="24"/>
                          <w:szCs w:val="24"/>
                        </w:rPr>
                      </w:pPr>
                      <w:r>
                        <w:rPr>
                          <w:rFonts w:ascii="Times New Roman" w:hAnsi="Times New Roman"/>
                          <w:sz w:val="24"/>
                          <w:szCs w:val="24"/>
                        </w:rPr>
                        <w:t>Fig 1: Process of Spawn production in Oyster Mushroom</w:t>
                      </w:r>
                    </w:p>
                  </w:txbxContent>
                </v:textbox>
                <w10:wrap anchorx="margin"/>
              </v:shape>
            </w:pict>
          </mc:Fallback>
        </mc:AlternateContent>
      </w:r>
      <w:r w:rsidRPr="0069287C">
        <w:rPr>
          <w:rFonts w:ascii="Arial" w:hAnsi="Arial" w:cs="Arial"/>
          <w:noProof/>
          <w:sz w:val="24"/>
          <w:szCs w:val="24"/>
          <w:lang w:eastAsia="en-IN"/>
        </w:rPr>
        <w:drawing>
          <wp:inline distT="0" distB="0" distL="0" distR="0" wp14:anchorId="263889CA" wp14:editId="3B8D8217">
            <wp:extent cx="5680710" cy="264020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886" t="4308"/>
                    <a:stretch>
                      <a:fillRect/>
                    </a:stretch>
                  </pic:blipFill>
                  <pic:spPr bwMode="auto">
                    <a:xfrm>
                      <a:off x="0" y="0"/>
                      <a:ext cx="5680710" cy="2640203"/>
                    </a:xfrm>
                    <a:prstGeom prst="rect">
                      <a:avLst/>
                    </a:prstGeom>
                    <a:ln>
                      <a:noFill/>
                    </a:ln>
                    <a:extLst>
                      <a:ext uri="{53640926-AAD7-44D8-BBD7-CCE9431645EC}">
                        <a14:shadowObscured xmlns:a14="http://schemas.microsoft.com/office/drawing/2010/main"/>
                      </a:ext>
                    </a:extLst>
                  </pic:spPr>
                </pic:pic>
              </a:graphicData>
            </a:graphic>
          </wp:inline>
        </w:drawing>
      </w:r>
    </w:p>
    <w:p w14:paraId="3BD8E861"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p>
    <w:p w14:paraId="4EFA90DB" w14:textId="08E7B35F"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lastRenderedPageBreak/>
        <w:t>SUBSTRATES FOR SPAWN PRODUCTION AND THEIR NUTRITIONAL INFLUENCE</w:t>
      </w:r>
    </w:p>
    <w:p w14:paraId="7D941385" w14:textId="2D3B50E5"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TYPES OF SUBSTRATES USED IN SPAWN PRODUCTION</w:t>
      </w:r>
    </w:p>
    <w:p w14:paraId="34BDE016" w14:textId="77777777" w:rsidR="00176111" w:rsidRPr="0069287C" w:rsidRDefault="00176111" w:rsidP="00201C4E">
      <w:pPr>
        <w:spacing w:before="100" w:beforeAutospacing="1" w:after="100" w:afterAutospacing="1" w:line="360" w:lineRule="auto"/>
        <w:jc w:val="both"/>
        <w:rPr>
          <w:rFonts w:ascii="Arial" w:hAnsi="Arial" w:cs="Arial"/>
          <w:sz w:val="24"/>
          <w:szCs w:val="24"/>
          <w:lang w:eastAsia="en-IN"/>
        </w:rPr>
      </w:pPr>
      <w:r w:rsidRPr="0069287C">
        <w:rPr>
          <w:rFonts w:ascii="Arial" w:hAnsi="Arial" w:cs="Arial"/>
          <w:lang w:eastAsia="en-IN"/>
        </w:rPr>
        <w:t>Spawn substrates are broadly classified into grain-based and non-grain-based materials depending on their origin and nutrient composition</w:t>
      </w:r>
      <w:r w:rsidRPr="0069287C">
        <w:rPr>
          <w:rFonts w:ascii="Arial" w:hAnsi="Arial" w:cs="Arial"/>
          <w:sz w:val="24"/>
          <w:szCs w:val="24"/>
          <w:lang w:eastAsia="en-IN"/>
        </w:rPr>
        <w:t>.</w:t>
      </w:r>
    </w:p>
    <w:p w14:paraId="734A6EC0" w14:textId="47387244" w:rsidR="00176111" w:rsidRPr="0069287C" w:rsidRDefault="00201C4E"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A. GRAIN SPAWN SUBSTRATES</w:t>
      </w:r>
    </w:p>
    <w:p w14:paraId="0987B5E3" w14:textId="77777777" w:rsidR="00176111" w:rsidRPr="0069287C" w:rsidRDefault="00176111" w:rsidP="00201C4E">
      <w:pPr>
        <w:spacing w:before="100" w:beforeAutospacing="1" w:after="100" w:afterAutospacing="1" w:line="360" w:lineRule="auto"/>
        <w:jc w:val="both"/>
        <w:rPr>
          <w:rFonts w:ascii="Arial" w:hAnsi="Arial" w:cs="Arial"/>
          <w:sz w:val="24"/>
          <w:szCs w:val="24"/>
          <w:lang w:eastAsia="en-IN"/>
        </w:rPr>
      </w:pPr>
      <w:r w:rsidRPr="0069287C">
        <w:rPr>
          <w:rFonts w:ascii="Arial" w:hAnsi="Arial" w:cs="Arial"/>
          <w:sz w:val="24"/>
          <w:szCs w:val="24"/>
          <w:lang w:eastAsia="en-IN"/>
        </w:rPr>
        <w:t>Common grains used include wheat, sorghum, maize, pearl millet, and paddy. Grain spawn is widely preferred due to its high nutrient content, particularly carbohydrates and nitrogen, which support rapid mycelial growth and colonization (Stamets, 2000; Royse et al., 2017). The uniform size and structure of grains also facilitate easy handling and even distribution of mycelium (Chang &amp; Miles, 2004).</w:t>
      </w:r>
    </w:p>
    <w:p w14:paraId="36597BF0" w14:textId="4161C20E" w:rsidR="00176111" w:rsidRPr="0069287C" w:rsidRDefault="00201C4E"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B. NON-GRAIN SPAWN SUBSTRATES</w:t>
      </w:r>
    </w:p>
    <w:p w14:paraId="21F4820D" w14:textId="77777777" w:rsidR="00176111" w:rsidRPr="0069287C" w:rsidRDefault="00176111" w:rsidP="00201C4E">
      <w:pPr>
        <w:spacing w:before="100" w:beforeAutospacing="1" w:after="100" w:afterAutospacing="1" w:line="360" w:lineRule="auto"/>
        <w:jc w:val="both"/>
        <w:rPr>
          <w:rFonts w:ascii="Arial" w:hAnsi="Arial" w:cs="Arial"/>
          <w:sz w:val="24"/>
          <w:szCs w:val="24"/>
          <w:lang w:eastAsia="en-IN"/>
        </w:rPr>
      </w:pPr>
      <w:r w:rsidRPr="0069287C">
        <w:rPr>
          <w:rFonts w:ascii="Arial" w:hAnsi="Arial" w:cs="Arial"/>
          <w:sz w:val="24"/>
          <w:szCs w:val="24"/>
          <w:lang w:eastAsia="en-IN"/>
        </w:rPr>
        <w:t>Non-grain substrates include sawdust, cocopeat, vermicompost, straw, and other agricultural residues. These substrates are mainly composed of lignocellulosic materials and are rich in carbon but relatively poor in nitrogen (Philippoussis, 2009; Girmay et al., 2016). They are commonly used in low-cost or rural mushroom production systems.</w:t>
      </w:r>
    </w:p>
    <w:p w14:paraId="3C2DFAB9" w14:textId="69D63CE2" w:rsidR="00176111" w:rsidRPr="0069287C" w:rsidRDefault="00201C4E"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ADVANTAGES AND DISADVANTAGES</w:t>
      </w:r>
    </w:p>
    <w:p w14:paraId="711CC34C" w14:textId="77777777" w:rsidR="0069287C" w:rsidRPr="0069287C" w:rsidRDefault="0069287C" w:rsidP="0069287C">
      <w:pPr>
        <w:pStyle w:val="NormalWeb"/>
        <w:spacing w:line="360" w:lineRule="auto"/>
        <w:jc w:val="both"/>
        <w:rPr>
          <w:rFonts w:ascii="Arial" w:hAnsi="Arial" w:cs="Arial"/>
          <w:b/>
          <w:bCs/>
          <w:lang w:val="en-US" w:bidi="ar-SA"/>
        </w:rPr>
      </w:pPr>
      <w:r w:rsidRPr="0069287C">
        <w:rPr>
          <w:rFonts w:ascii="Arial" w:hAnsi="Arial" w:cs="Arial"/>
          <w:b/>
          <w:bCs/>
          <w:lang w:val="en-US" w:bidi="ar-SA"/>
        </w:rPr>
        <w:t>Comparative Analysis of Grain Spawn and Non-Grain Spawn in Mushroom Cultivation</w:t>
      </w:r>
    </w:p>
    <w:p w14:paraId="5A5FE89F" w14:textId="29F32D47" w:rsidR="00201C4E" w:rsidRPr="0069287C" w:rsidRDefault="00201C4E" w:rsidP="00201C4E">
      <w:pPr>
        <w:pStyle w:val="NormalWeb"/>
        <w:spacing w:line="360" w:lineRule="auto"/>
        <w:ind w:firstLine="720"/>
        <w:jc w:val="both"/>
        <w:rPr>
          <w:rFonts w:ascii="Arial" w:hAnsi="Arial" w:cs="Arial"/>
          <w:sz w:val="20"/>
          <w:szCs w:val="20"/>
        </w:rPr>
      </w:pPr>
      <w:r w:rsidRPr="0069287C">
        <w:rPr>
          <w:rFonts w:ascii="Arial" w:hAnsi="Arial" w:cs="Arial"/>
          <w:sz w:val="20"/>
          <w:szCs w:val="20"/>
        </w:rPr>
        <w:t xml:space="preserve">Grain spawn offers several important advantages in mushroom cultivation due to its rich nutrient composition, which enhances mycelial growth and leads to faster colonization rates. This nutrient density also supports uniform growth and facilitates easy inoculation, making it highly efficient for large-scale production systems. As a result, grain spawn is often </w:t>
      </w:r>
      <w:r w:rsidRPr="0069287C">
        <w:rPr>
          <w:rFonts w:ascii="Arial" w:hAnsi="Arial" w:cs="Arial"/>
          <w:sz w:val="20"/>
          <w:szCs w:val="20"/>
        </w:rPr>
        <w:lastRenderedPageBreak/>
        <w:t>associated with higher yield potential compared to other spawn types (Stamets, 2000; Chang &amp; Miles, 2004; Royse et al., 2017). However, these benefits come with notable drawbacks. The same high nutrient content that promotes rapid growth also increases the risk of contamination, requiring strict sterilization and hygienic conditions during preparation and use. Additionally, grain spawn is relatively costly compared to alternative substrates such as agricultural wastes, which can limit its accessibility for low-resource producers (Girmay et al., 2016).</w:t>
      </w:r>
    </w:p>
    <w:p w14:paraId="2C6C0FFA" w14:textId="77777777" w:rsidR="00201C4E" w:rsidRPr="0069287C" w:rsidRDefault="00201C4E" w:rsidP="00201C4E">
      <w:pPr>
        <w:pStyle w:val="NormalWeb"/>
        <w:spacing w:line="360" w:lineRule="auto"/>
        <w:ind w:firstLine="720"/>
        <w:jc w:val="both"/>
        <w:rPr>
          <w:rFonts w:ascii="Arial" w:hAnsi="Arial" w:cs="Arial"/>
          <w:sz w:val="20"/>
          <w:szCs w:val="20"/>
        </w:rPr>
      </w:pPr>
      <w:r w:rsidRPr="0069287C">
        <w:rPr>
          <w:rFonts w:ascii="Arial" w:hAnsi="Arial" w:cs="Arial"/>
          <w:sz w:val="20"/>
          <w:szCs w:val="20"/>
        </w:rPr>
        <w:t xml:space="preserve">In contrast, non-grain spawn, such as sawdust or other </w:t>
      </w:r>
      <w:proofErr w:type="spellStart"/>
      <w:r w:rsidRPr="0069287C">
        <w:rPr>
          <w:rFonts w:ascii="Arial" w:hAnsi="Arial" w:cs="Arial"/>
          <w:sz w:val="20"/>
          <w:szCs w:val="20"/>
        </w:rPr>
        <w:t>agro</w:t>
      </w:r>
      <w:proofErr w:type="spellEnd"/>
      <w:r w:rsidRPr="0069287C">
        <w:rPr>
          <w:rFonts w:ascii="Arial" w:hAnsi="Arial" w:cs="Arial"/>
          <w:sz w:val="20"/>
          <w:szCs w:val="20"/>
        </w:rPr>
        <w:t>-waste-based materials, is valued for its low cost, wide availability, and environmental sustainability, as it utilizes renewable waste resources and contributes to eco-friendly cultivation practices (Philippoussis, 2009). It also generally presents a lower contamination risk due to its lower nutrient content. Nevertheless, non-grain spawn has several limitations, including slower mycelial growth and colonization rates, largely due to its reduced nitrogen and nutrient levels. This can result in uneven colonization and potentially lower productivity compared to grain-based systems (Chang &amp; Miles, 2004; Royse et al., 2017). Overall, while grain spawn is preferred for rapid and high-yield production, non-grain spawn provides a cost-effective and sustainable alternative, particularly in resource-limited settings.</w:t>
      </w:r>
    </w:p>
    <w:p w14:paraId="7DF51206" w14:textId="25C35FB3" w:rsidR="00176111" w:rsidRPr="0069287C" w:rsidRDefault="0069287C" w:rsidP="00201C4E">
      <w:pPr>
        <w:spacing w:before="100" w:beforeAutospacing="1" w:after="100" w:afterAutospacing="1" w:line="360" w:lineRule="auto"/>
        <w:jc w:val="both"/>
        <w:outlineLvl w:val="1"/>
        <w:rPr>
          <w:rFonts w:ascii="Arial" w:hAnsi="Arial" w:cs="Arial"/>
          <w:b/>
          <w:bCs/>
          <w:sz w:val="22"/>
          <w:szCs w:val="22"/>
          <w:lang w:eastAsia="en-IN"/>
        </w:rPr>
      </w:pPr>
      <w:r w:rsidRPr="0069287C">
        <w:rPr>
          <w:rFonts w:ascii="Arial" w:hAnsi="Arial" w:cs="Arial"/>
          <w:b/>
          <w:bCs/>
          <w:sz w:val="22"/>
          <w:szCs w:val="22"/>
          <w:lang w:eastAsia="en-IN"/>
        </w:rPr>
        <w:t>TABLE 1: GRAIN VS NON-GRAIN SPAWN</w:t>
      </w:r>
    </w:p>
    <w:tbl>
      <w:tblPr>
        <w:tblStyle w:val="TableGrid"/>
        <w:tblW w:w="8355" w:type="dxa"/>
        <w:tblLook w:val="04A0" w:firstRow="1" w:lastRow="0" w:firstColumn="1" w:lastColumn="0" w:noHBand="0" w:noVBand="1"/>
      </w:tblPr>
      <w:tblGrid>
        <w:gridCol w:w="2171"/>
        <w:gridCol w:w="2915"/>
        <w:gridCol w:w="3269"/>
      </w:tblGrid>
      <w:tr w:rsidR="00176111" w:rsidRPr="0069287C" w14:paraId="701C7123" w14:textId="77777777" w:rsidTr="00342E91">
        <w:trPr>
          <w:trHeight w:val="303"/>
        </w:trPr>
        <w:tc>
          <w:tcPr>
            <w:tcW w:w="0" w:type="auto"/>
            <w:hideMark/>
          </w:tcPr>
          <w:p w14:paraId="3DC173FB" w14:textId="77777777" w:rsidR="00176111" w:rsidRPr="00284965" w:rsidRDefault="00176111" w:rsidP="0069287C">
            <w:pPr>
              <w:spacing w:line="360" w:lineRule="auto"/>
              <w:jc w:val="center"/>
              <w:rPr>
                <w:rFonts w:ascii="Arial" w:hAnsi="Arial" w:cs="Arial"/>
                <w:b/>
                <w:bCs/>
                <w:sz w:val="22"/>
                <w:szCs w:val="22"/>
                <w:lang w:eastAsia="en-IN"/>
              </w:rPr>
            </w:pPr>
            <w:r w:rsidRPr="00284965">
              <w:rPr>
                <w:rFonts w:ascii="Arial" w:hAnsi="Arial" w:cs="Arial"/>
                <w:b/>
                <w:bCs/>
                <w:sz w:val="22"/>
                <w:szCs w:val="22"/>
                <w:lang w:eastAsia="en-IN"/>
              </w:rPr>
              <w:t>Parameter</w:t>
            </w:r>
          </w:p>
        </w:tc>
        <w:tc>
          <w:tcPr>
            <w:tcW w:w="0" w:type="auto"/>
            <w:hideMark/>
          </w:tcPr>
          <w:p w14:paraId="418B2B24" w14:textId="77777777" w:rsidR="00176111" w:rsidRPr="00284965" w:rsidRDefault="00176111" w:rsidP="0069287C">
            <w:pPr>
              <w:spacing w:line="360" w:lineRule="auto"/>
              <w:jc w:val="center"/>
              <w:rPr>
                <w:rFonts w:ascii="Arial" w:hAnsi="Arial" w:cs="Arial"/>
                <w:b/>
                <w:bCs/>
                <w:sz w:val="22"/>
                <w:szCs w:val="22"/>
                <w:lang w:eastAsia="en-IN"/>
              </w:rPr>
            </w:pPr>
            <w:r w:rsidRPr="00284965">
              <w:rPr>
                <w:rFonts w:ascii="Arial" w:hAnsi="Arial" w:cs="Arial"/>
                <w:b/>
                <w:bCs/>
                <w:sz w:val="22"/>
                <w:szCs w:val="22"/>
                <w:lang w:eastAsia="en-IN"/>
              </w:rPr>
              <w:t>Grain Spawn</w:t>
            </w:r>
          </w:p>
        </w:tc>
        <w:tc>
          <w:tcPr>
            <w:tcW w:w="0" w:type="auto"/>
            <w:hideMark/>
          </w:tcPr>
          <w:p w14:paraId="1302DE72" w14:textId="77777777" w:rsidR="00176111" w:rsidRPr="00284965" w:rsidRDefault="00176111" w:rsidP="0069287C">
            <w:pPr>
              <w:spacing w:line="360" w:lineRule="auto"/>
              <w:jc w:val="center"/>
              <w:rPr>
                <w:rFonts w:ascii="Arial" w:hAnsi="Arial" w:cs="Arial"/>
                <w:b/>
                <w:bCs/>
                <w:sz w:val="22"/>
                <w:szCs w:val="22"/>
                <w:lang w:eastAsia="en-IN"/>
              </w:rPr>
            </w:pPr>
            <w:r w:rsidRPr="00284965">
              <w:rPr>
                <w:rFonts w:ascii="Arial" w:hAnsi="Arial" w:cs="Arial"/>
                <w:b/>
                <w:bCs/>
                <w:sz w:val="22"/>
                <w:szCs w:val="22"/>
                <w:lang w:eastAsia="en-IN"/>
              </w:rPr>
              <w:t>Non-Grain Spawn</w:t>
            </w:r>
          </w:p>
        </w:tc>
      </w:tr>
      <w:tr w:rsidR="00176111" w:rsidRPr="0069287C" w14:paraId="0D81D010" w14:textId="77777777" w:rsidTr="00342E91">
        <w:trPr>
          <w:trHeight w:val="595"/>
        </w:trPr>
        <w:tc>
          <w:tcPr>
            <w:tcW w:w="0" w:type="auto"/>
            <w:hideMark/>
          </w:tcPr>
          <w:p w14:paraId="0E2D2EA0"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Nutrient content</w:t>
            </w:r>
          </w:p>
        </w:tc>
        <w:tc>
          <w:tcPr>
            <w:tcW w:w="0" w:type="auto"/>
            <w:hideMark/>
          </w:tcPr>
          <w:p w14:paraId="76625A9B"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High (Stamets, 2000)</w:t>
            </w:r>
          </w:p>
        </w:tc>
        <w:tc>
          <w:tcPr>
            <w:tcW w:w="0" w:type="auto"/>
            <w:hideMark/>
          </w:tcPr>
          <w:p w14:paraId="363AEC23"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Low–Moderate (Philippoussis, 2009)</w:t>
            </w:r>
          </w:p>
        </w:tc>
      </w:tr>
      <w:tr w:rsidR="00176111" w:rsidRPr="0069287C" w14:paraId="7EE57E7C" w14:textId="77777777" w:rsidTr="00342E91">
        <w:trPr>
          <w:trHeight w:val="292"/>
        </w:trPr>
        <w:tc>
          <w:tcPr>
            <w:tcW w:w="0" w:type="auto"/>
            <w:hideMark/>
          </w:tcPr>
          <w:p w14:paraId="4817A504"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Nitrogen content</w:t>
            </w:r>
          </w:p>
        </w:tc>
        <w:tc>
          <w:tcPr>
            <w:tcW w:w="0" w:type="auto"/>
            <w:hideMark/>
          </w:tcPr>
          <w:p w14:paraId="4E2274ED"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High (Royse et al., 2017)</w:t>
            </w:r>
          </w:p>
        </w:tc>
        <w:tc>
          <w:tcPr>
            <w:tcW w:w="0" w:type="auto"/>
            <w:hideMark/>
          </w:tcPr>
          <w:p w14:paraId="1AEC8636"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Low (Girmay et al., 2016)</w:t>
            </w:r>
          </w:p>
        </w:tc>
      </w:tr>
      <w:tr w:rsidR="00176111" w:rsidRPr="0069287C" w14:paraId="362E39A4" w14:textId="77777777" w:rsidTr="00342E91">
        <w:trPr>
          <w:trHeight w:val="606"/>
        </w:trPr>
        <w:tc>
          <w:tcPr>
            <w:tcW w:w="0" w:type="auto"/>
            <w:hideMark/>
          </w:tcPr>
          <w:p w14:paraId="45325614"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Carbon content</w:t>
            </w:r>
          </w:p>
        </w:tc>
        <w:tc>
          <w:tcPr>
            <w:tcW w:w="0" w:type="auto"/>
            <w:hideMark/>
          </w:tcPr>
          <w:p w14:paraId="371D20FF"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Moderate (Chang &amp; Miles, 2004)</w:t>
            </w:r>
          </w:p>
        </w:tc>
        <w:tc>
          <w:tcPr>
            <w:tcW w:w="0" w:type="auto"/>
            <w:hideMark/>
          </w:tcPr>
          <w:p w14:paraId="7387A768"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High (Philippoussis, 2009)</w:t>
            </w:r>
          </w:p>
        </w:tc>
      </w:tr>
      <w:tr w:rsidR="00176111" w:rsidRPr="0069287C" w14:paraId="2F769E7A" w14:textId="77777777" w:rsidTr="00342E91">
        <w:trPr>
          <w:trHeight w:val="292"/>
        </w:trPr>
        <w:tc>
          <w:tcPr>
            <w:tcW w:w="0" w:type="auto"/>
            <w:hideMark/>
          </w:tcPr>
          <w:p w14:paraId="266621F8"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Mycelial growth rate</w:t>
            </w:r>
          </w:p>
        </w:tc>
        <w:tc>
          <w:tcPr>
            <w:tcW w:w="0" w:type="auto"/>
            <w:hideMark/>
          </w:tcPr>
          <w:p w14:paraId="3731F552"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Fast (Hoa et al., 2015)</w:t>
            </w:r>
          </w:p>
        </w:tc>
        <w:tc>
          <w:tcPr>
            <w:tcW w:w="0" w:type="auto"/>
            <w:hideMark/>
          </w:tcPr>
          <w:p w14:paraId="129D168B"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Slow (Girmay et al., 2016)</w:t>
            </w:r>
          </w:p>
        </w:tc>
      </w:tr>
      <w:tr w:rsidR="00176111" w:rsidRPr="0069287C" w14:paraId="1B11F7A6" w14:textId="77777777" w:rsidTr="00342E91">
        <w:trPr>
          <w:trHeight w:val="303"/>
        </w:trPr>
        <w:tc>
          <w:tcPr>
            <w:tcW w:w="0" w:type="auto"/>
            <w:hideMark/>
          </w:tcPr>
          <w:p w14:paraId="74AA68D6"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Contamination risk</w:t>
            </w:r>
          </w:p>
        </w:tc>
        <w:tc>
          <w:tcPr>
            <w:tcW w:w="0" w:type="auto"/>
            <w:hideMark/>
          </w:tcPr>
          <w:p w14:paraId="4884D4A0"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High (Stamets, 2000)</w:t>
            </w:r>
          </w:p>
        </w:tc>
        <w:tc>
          <w:tcPr>
            <w:tcW w:w="0" w:type="auto"/>
            <w:hideMark/>
          </w:tcPr>
          <w:p w14:paraId="2ADDD3C5"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Low (Hoa et al., 2015)</w:t>
            </w:r>
          </w:p>
        </w:tc>
      </w:tr>
      <w:tr w:rsidR="00176111" w:rsidRPr="0069287C" w14:paraId="21D9A5EA" w14:textId="77777777" w:rsidTr="00342E91">
        <w:trPr>
          <w:trHeight w:val="292"/>
        </w:trPr>
        <w:tc>
          <w:tcPr>
            <w:tcW w:w="0" w:type="auto"/>
            <w:hideMark/>
          </w:tcPr>
          <w:p w14:paraId="1B564EEF"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Cost</w:t>
            </w:r>
          </w:p>
        </w:tc>
        <w:tc>
          <w:tcPr>
            <w:tcW w:w="0" w:type="auto"/>
            <w:hideMark/>
          </w:tcPr>
          <w:p w14:paraId="591EE011"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High (Royse et al., 2017)</w:t>
            </w:r>
          </w:p>
        </w:tc>
        <w:tc>
          <w:tcPr>
            <w:tcW w:w="0" w:type="auto"/>
            <w:hideMark/>
          </w:tcPr>
          <w:p w14:paraId="1086E3B1"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Low (Girmay et al., 2016)</w:t>
            </w:r>
          </w:p>
        </w:tc>
      </w:tr>
      <w:tr w:rsidR="00176111" w:rsidRPr="0069287C" w14:paraId="3C73B5BC" w14:textId="77777777" w:rsidTr="00342E91">
        <w:trPr>
          <w:trHeight w:val="606"/>
        </w:trPr>
        <w:tc>
          <w:tcPr>
            <w:tcW w:w="0" w:type="auto"/>
            <w:hideMark/>
          </w:tcPr>
          <w:p w14:paraId="35BEC6B8"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Colonization uniformity</w:t>
            </w:r>
          </w:p>
        </w:tc>
        <w:tc>
          <w:tcPr>
            <w:tcW w:w="0" w:type="auto"/>
            <w:hideMark/>
          </w:tcPr>
          <w:p w14:paraId="72DA49F9"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Excellent (Chang &amp; Miles, 2004)</w:t>
            </w:r>
          </w:p>
        </w:tc>
        <w:tc>
          <w:tcPr>
            <w:tcW w:w="0" w:type="auto"/>
            <w:hideMark/>
          </w:tcPr>
          <w:p w14:paraId="3B54BA16" w14:textId="77777777" w:rsidR="00176111" w:rsidRPr="0069287C" w:rsidRDefault="00176111" w:rsidP="00201C4E">
            <w:pPr>
              <w:spacing w:line="360" w:lineRule="auto"/>
              <w:jc w:val="both"/>
              <w:rPr>
                <w:rFonts w:ascii="Arial" w:hAnsi="Arial" w:cs="Arial"/>
                <w:lang w:eastAsia="en-IN"/>
              </w:rPr>
            </w:pPr>
            <w:r w:rsidRPr="0069287C">
              <w:rPr>
                <w:rFonts w:ascii="Arial" w:hAnsi="Arial" w:cs="Arial"/>
                <w:lang w:eastAsia="en-IN"/>
              </w:rPr>
              <w:t>Variable (Philippoussis, 2009)</w:t>
            </w:r>
          </w:p>
        </w:tc>
      </w:tr>
    </w:tbl>
    <w:p w14:paraId="3E0FBBAC" w14:textId="086C20E4"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 xml:space="preserve">TABLE 2: MYCELIAL SPREAD OF </w:t>
      </w:r>
      <w:r w:rsidRPr="0069287C">
        <w:rPr>
          <w:rFonts w:ascii="Arial" w:hAnsi="Arial" w:cs="Arial"/>
          <w:b/>
          <w:bCs/>
          <w:i/>
          <w:iCs/>
          <w:sz w:val="22"/>
          <w:szCs w:val="22"/>
          <w:lang w:eastAsia="en-IN"/>
        </w:rPr>
        <w:t>PLEUROTUS</w:t>
      </w:r>
      <w:r w:rsidRPr="0069287C">
        <w:rPr>
          <w:rFonts w:ascii="Arial" w:hAnsi="Arial" w:cs="Arial"/>
          <w:b/>
          <w:bCs/>
          <w:sz w:val="22"/>
          <w:szCs w:val="22"/>
          <w:lang w:eastAsia="en-IN"/>
        </w:rPr>
        <w:t xml:space="preserve"> SPP. ON DIFFERENT SPAWN SUBSTRATES</w:t>
      </w:r>
    </w:p>
    <w:tbl>
      <w:tblPr>
        <w:tblStyle w:val="TableGrid"/>
        <w:tblW w:w="8323" w:type="dxa"/>
        <w:tblLook w:val="04A0" w:firstRow="1" w:lastRow="0" w:firstColumn="1" w:lastColumn="0" w:noHBand="0" w:noVBand="1"/>
      </w:tblPr>
      <w:tblGrid>
        <w:gridCol w:w="705"/>
        <w:gridCol w:w="1600"/>
        <w:gridCol w:w="1678"/>
        <w:gridCol w:w="1354"/>
        <w:gridCol w:w="1250"/>
        <w:gridCol w:w="1736"/>
      </w:tblGrid>
      <w:tr w:rsidR="00176111" w:rsidRPr="0069287C" w14:paraId="1FD3D6EA" w14:textId="77777777" w:rsidTr="0069287C">
        <w:trPr>
          <w:trHeight w:val="1139"/>
        </w:trPr>
        <w:tc>
          <w:tcPr>
            <w:tcW w:w="704" w:type="dxa"/>
            <w:vAlign w:val="center"/>
            <w:hideMark/>
          </w:tcPr>
          <w:p w14:paraId="7C9F8F2C"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lastRenderedPageBreak/>
              <w:t>S. No.</w:t>
            </w:r>
          </w:p>
        </w:tc>
        <w:tc>
          <w:tcPr>
            <w:tcW w:w="1600" w:type="dxa"/>
            <w:vAlign w:val="center"/>
            <w:hideMark/>
          </w:tcPr>
          <w:p w14:paraId="10447516"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Substrate</w:t>
            </w:r>
          </w:p>
        </w:tc>
        <w:tc>
          <w:tcPr>
            <w:tcW w:w="0" w:type="auto"/>
            <w:vAlign w:val="center"/>
            <w:hideMark/>
          </w:tcPr>
          <w:p w14:paraId="2D4C8843"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Days for Full Colonization</w:t>
            </w:r>
          </w:p>
        </w:tc>
        <w:tc>
          <w:tcPr>
            <w:tcW w:w="0" w:type="auto"/>
            <w:vAlign w:val="center"/>
            <w:hideMark/>
          </w:tcPr>
          <w:p w14:paraId="6C143FD0"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Mycelial Growth Rate (cm/day)</w:t>
            </w:r>
          </w:p>
        </w:tc>
        <w:tc>
          <w:tcPr>
            <w:tcW w:w="0" w:type="auto"/>
            <w:vAlign w:val="center"/>
            <w:hideMark/>
          </w:tcPr>
          <w:p w14:paraId="5FE107B8"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Mycelial Density</w:t>
            </w:r>
          </w:p>
        </w:tc>
        <w:tc>
          <w:tcPr>
            <w:tcW w:w="0" w:type="auto"/>
            <w:vAlign w:val="center"/>
            <w:hideMark/>
          </w:tcPr>
          <w:p w14:paraId="56F2131B"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Reference</w:t>
            </w:r>
          </w:p>
        </w:tc>
      </w:tr>
      <w:tr w:rsidR="00176111" w:rsidRPr="0069287C" w14:paraId="66DABB7C" w14:textId="77777777" w:rsidTr="0069287C">
        <w:trPr>
          <w:trHeight w:val="859"/>
        </w:trPr>
        <w:tc>
          <w:tcPr>
            <w:tcW w:w="704" w:type="dxa"/>
            <w:hideMark/>
          </w:tcPr>
          <w:p w14:paraId="1CE89C43"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1</w:t>
            </w:r>
          </w:p>
        </w:tc>
        <w:tc>
          <w:tcPr>
            <w:tcW w:w="1600" w:type="dxa"/>
            <w:hideMark/>
          </w:tcPr>
          <w:p w14:paraId="22BF743C"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Pearl Millet</w:t>
            </w:r>
          </w:p>
        </w:tc>
        <w:tc>
          <w:tcPr>
            <w:tcW w:w="0" w:type="auto"/>
            <w:hideMark/>
          </w:tcPr>
          <w:p w14:paraId="25DAD6A0"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10–12</w:t>
            </w:r>
          </w:p>
        </w:tc>
        <w:tc>
          <w:tcPr>
            <w:tcW w:w="0" w:type="auto"/>
            <w:hideMark/>
          </w:tcPr>
          <w:p w14:paraId="57686DC6"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0.80–0.90</w:t>
            </w:r>
          </w:p>
        </w:tc>
        <w:tc>
          <w:tcPr>
            <w:tcW w:w="0" w:type="auto"/>
            <w:hideMark/>
          </w:tcPr>
          <w:p w14:paraId="5C4820DE"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Dense</w:t>
            </w:r>
          </w:p>
        </w:tc>
        <w:tc>
          <w:tcPr>
            <w:tcW w:w="0" w:type="auto"/>
            <w:hideMark/>
          </w:tcPr>
          <w:p w14:paraId="5621B99E"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(Girmay et al., 2016; Royse et al., 2017)</w:t>
            </w:r>
          </w:p>
        </w:tc>
      </w:tr>
      <w:tr w:rsidR="00176111" w:rsidRPr="0069287C" w14:paraId="457C878C" w14:textId="77777777" w:rsidTr="0069287C">
        <w:trPr>
          <w:trHeight w:val="569"/>
        </w:trPr>
        <w:tc>
          <w:tcPr>
            <w:tcW w:w="704" w:type="dxa"/>
            <w:hideMark/>
          </w:tcPr>
          <w:p w14:paraId="7057831F"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2</w:t>
            </w:r>
          </w:p>
        </w:tc>
        <w:tc>
          <w:tcPr>
            <w:tcW w:w="1600" w:type="dxa"/>
            <w:hideMark/>
          </w:tcPr>
          <w:p w14:paraId="684E3EDC"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Maize</w:t>
            </w:r>
          </w:p>
        </w:tc>
        <w:tc>
          <w:tcPr>
            <w:tcW w:w="0" w:type="auto"/>
            <w:hideMark/>
          </w:tcPr>
          <w:p w14:paraId="1CCE6ED7"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12–14</w:t>
            </w:r>
          </w:p>
        </w:tc>
        <w:tc>
          <w:tcPr>
            <w:tcW w:w="0" w:type="auto"/>
            <w:hideMark/>
          </w:tcPr>
          <w:p w14:paraId="367EFDAE"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0.70–0.80</w:t>
            </w:r>
          </w:p>
        </w:tc>
        <w:tc>
          <w:tcPr>
            <w:tcW w:w="0" w:type="auto"/>
            <w:hideMark/>
          </w:tcPr>
          <w:p w14:paraId="40D6D24E"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Dense</w:t>
            </w:r>
          </w:p>
        </w:tc>
        <w:tc>
          <w:tcPr>
            <w:tcW w:w="0" w:type="auto"/>
            <w:hideMark/>
          </w:tcPr>
          <w:p w14:paraId="0C4EC8DD"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(Royse et al., 2017)</w:t>
            </w:r>
          </w:p>
        </w:tc>
      </w:tr>
      <w:tr w:rsidR="00176111" w:rsidRPr="0069287C" w14:paraId="067DA142" w14:textId="77777777" w:rsidTr="0069287C">
        <w:trPr>
          <w:trHeight w:val="580"/>
        </w:trPr>
        <w:tc>
          <w:tcPr>
            <w:tcW w:w="704" w:type="dxa"/>
            <w:hideMark/>
          </w:tcPr>
          <w:p w14:paraId="5568E7B7"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3</w:t>
            </w:r>
          </w:p>
        </w:tc>
        <w:tc>
          <w:tcPr>
            <w:tcW w:w="1600" w:type="dxa"/>
            <w:hideMark/>
          </w:tcPr>
          <w:p w14:paraId="348E39DD"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Sorghum</w:t>
            </w:r>
          </w:p>
        </w:tc>
        <w:tc>
          <w:tcPr>
            <w:tcW w:w="0" w:type="auto"/>
            <w:hideMark/>
          </w:tcPr>
          <w:p w14:paraId="4F4E99B8"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13–15</w:t>
            </w:r>
          </w:p>
        </w:tc>
        <w:tc>
          <w:tcPr>
            <w:tcW w:w="0" w:type="auto"/>
            <w:hideMark/>
          </w:tcPr>
          <w:p w14:paraId="156BF7CC"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0.65–0.75</w:t>
            </w:r>
          </w:p>
        </w:tc>
        <w:tc>
          <w:tcPr>
            <w:tcW w:w="0" w:type="auto"/>
            <w:hideMark/>
          </w:tcPr>
          <w:p w14:paraId="6A0DF951"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Moderate–Dense</w:t>
            </w:r>
          </w:p>
        </w:tc>
        <w:tc>
          <w:tcPr>
            <w:tcW w:w="0" w:type="auto"/>
            <w:hideMark/>
          </w:tcPr>
          <w:p w14:paraId="352278B6"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(Chang &amp; Miles, 2004)</w:t>
            </w:r>
          </w:p>
        </w:tc>
      </w:tr>
      <w:tr w:rsidR="00176111" w:rsidRPr="0069287C" w14:paraId="0DF733CE" w14:textId="77777777" w:rsidTr="0069287C">
        <w:trPr>
          <w:trHeight w:val="279"/>
        </w:trPr>
        <w:tc>
          <w:tcPr>
            <w:tcW w:w="704" w:type="dxa"/>
            <w:hideMark/>
          </w:tcPr>
          <w:p w14:paraId="1CA00ADD"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4</w:t>
            </w:r>
          </w:p>
        </w:tc>
        <w:tc>
          <w:tcPr>
            <w:tcW w:w="1600" w:type="dxa"/>
            <w:hideMark/>
          </w:tcPr>
          <w:p w14:paraId="42CD885E"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Wheat</w:t>
            </w:r>
          </w:p>
        </w:tc>
        <w:tc>
          <w:tcPr>
            <w:tcW w:w="0" w:type="auto"/>
            <w:hideMark/>
          </w:tcPr>
          <w:p w14:paraId="61F54DF2"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14–16</w:t>
            </w:r>
          </w:p>
        </w:tc>
        <w:tc>
          <w:tcPr>
            <w:tcW w:w="0" w:type="auto"/>
            <w:hideMark/>
          </w:tcPr>
          <w:p w14:paraId="1ABC27EA"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0.60–0.70</w:t>
            </w:r>
          </w:p>
        </w:tc>
        <w:tc>
          <w:tcPr>
            <w:tcW w:w="0" w:type="auto"/>
            <w:hideMark/>
          </w:tcPr>
          <w:p w14:paraId="3F53FE2B"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Moderate</w:t>
            </w:r>
          </w:p>
        </w:tc>
        <w:tc>
          <w:tcPr>
            <w:tcW w:w="0" w:type="auto"/>
            <w:hideMark/>
          </w:tcPr>
          <w:p w14:paraId="144AA060"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(Hoa et al., 2015)</w:t>
            </w:r>
          </w:p>
        </w:tc>
      </w:tr>
      <w:tr w:rsidR="00176111" w:rsidRPr="0069287C" w14:paraId="6E8111CE" w14:textId="77777777" w:rsidTr="0069287C">
        <w:trPr>
          <w:trHeight w:val="569"/>
        </w:trPr>
        <w:tc>
          <w:tcPr>
            <w:tcW w:w="704" w:type="dxa"/>
            <w:hideMark/>
          </w:tcPr>
          <w:p w14:paraId="5F8B30C3"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5</w:t>
            </w:r>
          </w:p>
        </w:tc>
        <w:tc>
          <w:tcPr>
            <w:tcW w:w="1600" w:type="dxa"/>
            <w:hideMark/>
          </w:tcPr>
          <w:p w14:paraId="79DA9B41"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Sawdust</w:t>
            </w:r>
          </w:p>
        </w:tc>
        <w:tc>
          <w:tcPr>
            <w:tcW w:w="0" w:type="auto"/>
            <w:hideMark/>
          </w:tcPr>
          <w:p w14:paraId="5282F477"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18–22</w:t>
            </w:r>
          </w:p>
        </w:tc>
        <w:tc>
          <w:tcPr>
            <w:tcW w:w="0" w:type="auto"/>
            <w:hideMark/>
          </w:tcPr>
          <w:p w14:paraId="04E949C8"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0.40–0.50</w:t>
            </w:r>
          </w:p>
        </w:tc>
        <w:tc>
          <w:tcPr>
            <w:tcW w:w="0" w:type="auto"/>
            <w:hideMark/>
          </w:tcPr>
          <w:p w14:paraId="04C03B40"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Thin</w:t>
            </w:r>
          </w:p>
        </w:tc>
        <w:tc>
          <w:tcPr>
            <w:tcW w:w="0" w:type="auto"/>
            <w:hideMark/>
          </w:tcPr>
          <w:p w14:paraId="5DADC590"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(Philippoussis, 2009)</w:t>
            </w:r>
          </w:p>
        </w:tc>
      </w:tr>
      <w:tr w:rsidR="00176111" w:rsidRPr="0069287C" w14:paraId="5667995D" w14:textId="77777777" w:rsidTr="0069287C">
        <w:trPr>
          <w:trHeight w:val="590"/>
        </w:trPr>
        <w:tc>
          <w:tcPr>
            <w:tcW w:w="704" w:type="dxa"/>
            <w:hideMark/>
          </w:tcPr>
          <w:p w14:paraId="68950CA3"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6</w:t>
            </w:r>
          </w:p>
        </w:tc>
        <w:tc>
          <w:tcPr>
            <w:tcW w:w="1600" w:type="dxa"/>
            <w:hideMark/>
          </w:tcPr>
          <w:p w14:paraId="3912AC59"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Cocopeat</w:t>
            </w:r>
          </w:p>
        </w:tc>
        <w:tc>
          <w:tcPr>
            <w:tcW w:w="0" w:type="auto"/>
            <w:hideMark/>
          </w:tcPr>
          <w:p w14:paraId="1C6A91B9"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20–24</w:t>
            </w:r>
          </w:p>
        </w:tc>
        <w:tc>
          <w:tcPr>
            <w:tcW w:w="0" w:type="auto"/>
            <w:hideMark/>
          </w:tcPr>
          <w:p w14:paraId="3F65334F"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0.35–0.45</w:t>
            </w:r>
          </w:p>
        </w:tc>
        <w:tc>
          <w:tcPr>
            <w:tcW w:w="0" w:type="auto"/>
            <w:hideMark/>
          </w:tcPr>
          <w:p w14:paraId="286E3405"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Thin</w:t>
            </w:r>
          </w:p>
        </w:tc>
        <w:tc>
          <w:tcPr>
            <w:tcW w:w="0" w:type="auto"/>
            <w:hideMark/>
          </w:tcPr>
          <w:p w14:paraId="26CE60E3"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(Girmay et al., 2016)</w:t>
            </w:r>
          </w:p>
        </w:tc>
      </w:tr>
      <w:tr w:rsidR="00176111" w:rsidRPr="0069287C" w14:paraId="0BFCD8B8" w14:textId="77777777" w:rsidTr="0069287C">
        <w:trPr>
          <w:trHeight w:val="859"/>
        </w:trPr>
        <w:tc>
          <w:tcPr>
            <w:tcW w:w="704" w:type="dxa"/>
            <w:hideMark/>
          </w:tcPr>
          <w:p w14:paraId="5F7367C4"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7</w:t>
            </w:r>
          </w:p>
        </w:tc>
        <w:tc>
          <w:tcPr>
            <w:tcW w:w="1600" w:type="dxa"/>
            <w:hideMark/>
          </w:tcPr>
          <w:p w14:paraId="6960A204"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Vermicompost</w:t>
            </w:r>
          </w:p>
        </w:tc>
        <w:tc>
          <w:tcPr>
            <w:tcW w:w="0" w:type="auto"/>
            <w:hideMark/>
          </w:tcPr>
          <w:p w14:paraId="3B346F29"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16–20</w:t>
            </w:r>
          </w:p>
        </w:tc>
        <w:tc>
          <w:tcPr>
            <w:tcW w:w="0" w:type="auto"/>
            <w:hideMark/>
          </w:tcPr>
          <w:p w14:paraId="65994D76"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0.50–0.60</w:t>
            </w:r>
          </w:p>
        </w:tc>
        <w:tc>
          <w:tcPr>
            <w:tcW w:w="0" w:type="auto"/>
            <w:hideMark/>
          </w:tcPr>
          <w:p w14:paraId="453D9257"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Moderate</w:t>
            </w:r>
          </w:p>
        </w:tc>
        <w:tc>
          <w:tcPr>
            <w:tcW w:w="0" w:type="auto"/>
            <w:hideMark/>
          </w:tcPr>
          <w:p w14:paraId="6623F1B7" w14:textId="77777777" w:rsidR="00176111" w:rsidRPr="0069287C" w:rsidRDefault="00176111" w:rsidP="00201C4E">
            <w:pPr>
              <w:spacing w:before="100" w:beforeAutospacing="1" w:after="100" w:afterAutospacing="1" w:line="360" w:lineRule="auto"/>
              <w:jc w:val="both"/>
              <w:rPr>
                <w:rFonts w:ascii="Arial" w:hAnsi="Arial" w:cs="Arial"/>
                <w:bCs/>
                <w:lang w:eastAsia="en-IN"/>
              </w:rPr>
            </w:pPr>
            <w:r w:rsidRPr="0069287C">
              <w:rPr>
                <w:rFonts w:ascii="Arial" w:hAnsi="Arial" w:cs="Arial"/>
                <w:bCs/>
                <w:lang w:eastAsia="en-IN"/>
              </w:rPr>
              <w:t>(Hoa et al., 2015; Chang &amp; Miles, 2004)</w:t>
            </w:r>
          </w:p>
        </w:tc>
      </w:tr>
    </w:tbl>
    <w:p w14:paraId="7E12B925" w14:textId="77777777" w:rsidR="00176111" w:rsidRPr="0069287C" w:rsidRDefault="00176111" w:rsidP="00201C4E">
      <w:pPr>
        <w:spacing w:before="100" w:beforeAutospacing="1" w:after="100" w:afterAutospacing="1" w:line="360" w:lineRule="auto"/>
        <w:jc w:val="both"/>
        <w:rPr>
          <w:rFonts w:ascii="Arial" w:hAnsi="Arial" w:cs="Arial"/>
          <w:b/>
          <w:bCs/>
          <w:sz w:val="24"/>
          <w:szCs w:val="24"/>
          <w:lang w:eastAsia="en-IN"/>
        </w:rPr>
      </w:pPr>
    </w:p>
    <w:p w14:paraId="2F55CA63" w14:textId="7611E0FE" w:rsidR="00176111" w:rsidRPr="00284965" w:rsidRDefault="0069287C"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2"/>
          <w:szCs w:val="22"/>
          <w:lang w:eastAsia="en-IN"/>
        </w:rPr>
        <w:t>TABLE 3: CARBON AND NITROGEN CONTENT OF COM</w:t>
      </w:r>
      <w:r w:rsidRPr="00284965">
        <w:rPr>
          <w:rFonts w:ascii="Arial" w:hAnsi="Arial" w:cs="Arial"/>
          <w:b/>
          <w:bCs/>
          <w:sz w:val="24"/>
          <w:szCs w:val="24"/>
          <w:lang w:eastAsia="en-IN"/>
        </w:rPr>
        <w:t>MON SUBSTRATES</w:t>
      </w:r>
    </w:p>
    <w:tbl>
      <w:tblPr>
        <w:tblStyle w:val="TableGrid"/>
        <w:tblW w:w="8389" w:type="dxa"/>
        <w:tblLook w:val="04A0" w:firstRow="1" w:lastRow="0" w:firstColumn="1" w:lastColumn="0" w:noHBand="0" w:noVBand="1"/>
      </w:tblPr>
      <w:tblGrid>
        <w:gridCol w:w="1646"/>
        <w:gridCol w:w="1531"/>
        <w:gridCol w:w="1679"/>
        <w:gridCol w:w="3533"/>
      </w:tblGrid>
      <w:tr w:rsidR="00176111" w:rsidRPr="00284965" w14:paraId="48ED4AF7" w14:textId="77777777" w:rsidTr="0069287C">
        <w:trPr>
          <w:trHeight w:val="304"/>
        </w:trPr>
        <w:tc>
          <w:tcPr>
            <w:tcW w:w="0" w:type="auto"/>
            <w:vAlign w:val="center"/>
            <w:hideMark/>
          </w:tcPr>
          <w:p w14:paraId="0941FAE1"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Substrate</w:t>
            </w:r>
          </w:p>
        </w:tc>
        <w:tc>
          <w:tcPr>
            <w:tcW w:w="0" w:type="auto"/>
            <w:vAlign w:val="center"/>
            <w:hideMark/>
          </w:tcPr>
          <w:p w14:paraId="43424515"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Carbon (%)</w:t>
            </w:r>
          </w:p>
        </w:tc>
        <w:tc>
          <w:tcPr>
            <w:tcW w:w="0" w:type="auto"/>
            <w:vAlign w:val="center"/>
            <w:hideMark/>
          </w:tcPr>
          <w:p w14:paraId="60610B12"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r w:rsidRPr="00284965">
              <w:rPr>
                <w:rFonts w:ascii="Arial" w:hAnsi="Arial" w:cs="Arial"/>
                <w:b/>
                <w:bCs/>
                <w:sz w:val="22"/>
                <w:szCs w:val="22"/>
                <w:lang w:eastAsia="en-IN"/>
              </w:rPr>
              <w:t>Nitrogen (%)</w:t>
            </w:r>
          </w:p>
        </w:tc>
        <w:tc>
          <w:tcPr>
            <w:tcW w:w="0" w:type="auto"/>
            <w:vAlign w:val="center"/>
            <w:hideMark/>
          </w:tcPr>
          <w:p w14:paraId="05F2A695" w14:textId="77777777" w:rsidR="00176111" w:rsidRPr="00284965" w:rsidRDefault="00176111" w:rsidP="0069287C">
            <w:pPr>
              <w:spacing w:before="100" w:beforeAutospacing="1" w:after="100" w:afterAutospacing="1" w:line="360" w:lineRule="auto"/>
              <w:jc w:val="center"/>
              <w:rPr>
                <w:rFonts w:ascii="Arial" w:hAnsi="Arial" w:cs="Arial"/>
                <w:b/>
                <w:bCs/>
                <w:sz w:val="22"/>
                <w:szCs w:val="22"/>
                <w:lang w:eastAsia="en-IN"/>
              </w:rPr>
            </w:pPr>
            <w:proofErr w:type="gramStart"/>
            <w:r w:rsidRPr="00284965">
              <w:rPr>
                <w:rFonts w:ascii="Arial" w:hAnsi="Arial" w:cs="Arial"/>
                <w:b/>
                <w:bCs/>
                <w:sz w:val="22"/>
                <w:szCs w:val="22"/>
                <w:lang w:eastAsia="en-IN"/>
              </w:rPr>
              <w:t>C:N</w:t>
            </w:r>
            <w:proofErr w:type="gramEnd"/>
            <w:r w:rsidRPr="00284965">
              <w:rPr>
                <w:rFonts w:ascii="Arial" w:hAnsi="Arial" w:cs="Arial"/>
                <w:b/>
                <w:bCs/>
                <w:sz w:val="22"/>
                <w:szCs w:val="22"/>
                <w:lang w:eastAsia="en-IN"/>
              </w:rPr>
              <w:t xml:space="preserve"> Ratio</w:t>
            </w:r>
          </w:p>
        </w:tc>
      </w:tr>
      <w:tr w:rsidR="00176111" w:rsidRPr="0069287C" w14:paraId="0D92ECCA" w14:textId="77777777" w:rsidTr="00342E91">
        <w:trPr>
          <w:trHeight w:val="293"/>
        </w:trPr>
        <w:tc>
          <w:tcPr>
            <w:tcW w:w="0" w:type="auto"/>
            <w:hideMark/>
          </w:tcPr>
          <w:p w14:paraId="5261BF58"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Wheat straw</w:t>
            </w:r>
          </w:p>
        </w:tc>
        <w:tc>
          <w:tcPr>
            <w:tcW w:w="0" w:type="auto"/>
            <w:hideMark/>
          </w:tcPr>
          <w:p w14:paraId="0AF6761A"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45–50</w:t>
            </w:r>
          </w:p>
        </w:tc>
        <w:tc>
          <w:tcPr>
            <w:tcW w:w="0" w:type="auto"/>
            <w:hideMark/>
          </w:tcPr>
          <w:p w14:paraId="2C1D82D6"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0.5–1.0</w:t>
            </w:r>
          </w:p>
        </w:tc>
        <w:tc>
          <w:tcPr>
            <w:tcW w:w="0" w:type="auto"/>
            <w:hideMark/>
          </w:tcPr>
          <w:p w14:paraId="033118D9"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50–80:1 (Philippoussis, 2009)</w:t>
            </w:r>
          </w:p>
        </w:tc>
      </w:tr>
      <w:tr w:rsidR="00176111" w:rsidRPr="0069287C" w14:paraId="654E57C9" w14:textId="77777777" w:rsidTr="00342E91">
        <w:trPr>
          <w:trHeight w:val="304"/>
        </w:trPr>
        <w:tc>
          <w:tcPr>
            <w:tcW w:w="0" w:type="auto"/>
            <w:hideMark/>
          </w:tcPr>
          <w:p w14:paraId="5892BE73"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Sawdust</w:t>
            </w:r>
          </w:p>
        </w:tc>
        <w:tc>
          <w:tcPr>
            <w:tcW w:w="0" w:type="auto"/>
            <w:hideMark/>
          </w:tcPr>
          <w:p w14:paraId="10A1340C"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50–55</w:t>
            </w:r>
          </w:p>
        </w:tc>
        <w:tc>
          <w:tcPr>
            <w:tcW w:w="0" w:type="auto"/>
            <w:hideMark/>
          </w:tcPr>
          <w:p w14:paraId="135663EA"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0.2–0.5</w:t>
            </w:r>
          </w:p>
        </w:tc>
        <w:tc>
          <w:tcPr>
            <w:tcW w:w="0" w:type="auto"/>
            <w:hideMark/>
          </w:tcPr>
          <w:p w14:paraId="7443BA48"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100–500:1 (Chang &amp; Miles, 2004)</w:t>
            </w:r>
          </w:p>
        </w:tc>
      </w:tr>
      <w:tr w:rsidR="00176111" w:rsidRPr="0069287C" w14:paraId="2226C3A0" w14:textId="77777777" w:rsidTr="00342E91">
        <w:trPr>
          <w:trHeight w:val="293"/>
        </w:trPr>
        <w:tc>
          <w:tcPr>
            <w:tcW w:w="0" w:type="auto"/>
            <w:hideMark/>
          </w:tcPr>
          <w:p w14:paraId="098AAF23"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Maize grain</w:t>
            </w:r>
          </w:p>
        </w:tc>
        <w:tc>
          <w:tcPr>
            <w:tcW w:w="0" w:type="auto"/>
            <w:hideMark/>
          </w:tcPr>
          <w:p w14:paraId="286D8185"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40–45</w:t>
            </w:r>
          </w:p>
        </w:tc>
        <w:tc>
          <w:tcPr>
            <w:tcW w:w="0" w:type="auto"/>
            <w:hideMark/>
          </w:tcPr>
          <w:p w14:paraId="0C0EA0D0"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1.2–1.5</w:t>
            </w:r>
          </w:p>
        </w:tc>
        <w:tc>
          <w:tcPr>
            <w:tcW w:w="0" w:type="auto"/>
            <w:hideMark/>
          </w:tcPr>
          <w:p w14:paraId="283C08B5"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30–40:1 (Royse et al., 2017)</w:t>
            </w:r>
          </w:p>
        </w:tc>
      </w:tr>
      <w:tr w:rsidR="00176111" w:rsidRPr="0069287C" w14:paraId="568DE425" w14:textId="77777777" w:rsidTr="00342E91">
        <w:trPr>
          <w:trHeight w:val="304"/>
        </w:trPr>
        <w:tc>
          <w:tcPr>
            <w:tcW w:w="0" w:type="auto"/>
            <w:hideMark/>
          </w:tcPr>
          <w:p w14:paraId="442B899F"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Pearl millet</w:t>
            </w:r>
          </w:p>
        </w:tc>
        <w:tc>
          <w:tcPr>
            <w:tcW w:w="0" w:type="auto"/>
            <w:hideMark/>
          </w:tcPr>
          <w:p w14:paraId="554B70F4"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42–48</w:t>
            </w:r>
          </w:p>
        </w:tc>
        <w:tc>
          <w:tcPr>
            <w:tcW w:w="0" w:type="auto"/>
            <w:hideMark/>
          </w:tcPr>
          <w:p w14:paraId="4A391276"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1.5–2.0</w:t>
            </w:r>
          </w:p>
        </w:tc>
        <w:tc>
          <w:tcPr>
            <w:tcW w:w="0" w:type="auto"/>
            <w:hideMark/>
          </w:tcPr>
          <w:p w14:paraId="0A862032"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20–30:1 (Girmay et al., 2016)</w:t>
            </w:r>
          </w:p>
        </w:tc>
      </w:tr>
      <w:tr w:rsidR="00176111" w:rsidRPr="0069287C" w14:paraId="20BE1ECE" w14:textId="77777777" w:rsidTr="00342E91">
        <w:trPr>
          <w:trHeight w:val="304"/>
        </w:trPr>
        <w:tc>
          <w:tcPr>
            <w:tcW w:w="0" w:type="auto"/>
            <w:hideMark/>
          </w:tcPr>
          <w:p w14:paraId="1C76524F"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Vermicompost</w:t>
            </w:r>
          </w:p>
        </w:tc>
        <w:tc>
          <w:tcPr>
            <w:tcW w:w="0" w:type="auto"/>
            <w:hideMark/>
          </w:tcPr>
          <w:p w14:paraId="024065A3"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30–40</w:t>
            </w:r>
          </w:p>
        </w:tc>
        <w:tc>
          <w:tcPr>
            <w:tcW w:w="0" w:type="auto"/>
            <w:hideMark/>
          </w:tcPr>
          <w:p w14:paraId="7B87D5E2"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1.5–2.5</w:t>
            </w:r>
          </w:p>
        </w:tc>
        <w:tc>
          <w:tcPr>
            <w:tcW w:w="0" w:type="auto"/>
            <w:hideMark/>
          </w:tcPr>
          <w:p w14:paraId="25253DBC"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15–20:1 (Hoa et al., 2015)</w:t>
            </w:r>
          </w:p>
        </w:tc>
      </w:tr>
    </w:tbl>
    <w:p w14:paraId="38B07F95" w14:textId="0EF954E8" w:rsidR="00176111" w:rsidRPr="0069287C" w:rsidRDefault="0069287C"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ROLE OF CARBON AND NITROGEN IN MYCELIAL GROWTH</w:t>
      </w:r>
    </w:p>
    <w:p w14:paraId="661B3A30" w14:textId="77777777" w:rsidR="00176111" w:rsidRPr="0069287C" w:rsidRDefault="00176111" w:rsidP="0069287C">
      <w:pPr>
        <w:spacing w:before="100" w:beforeAutospacing="1" w:after="100" w:afterAutospacing="1" w:line="360" w:lineRule="auto"/>
        <w:ind w:firstLine="720"/>
        <w:jc w:val="both"/>
        <w:rPr>
          <w:rFonts w:ascii="Arial" w:hAnsi="Arial" w:cs="Arial"/>
          <w:sz w:val="24"/>
          <w:szCs w:val="24"/>
          <w:lang w:eastAsia="en-IN"/>
        </w:rPr>
      </w:pPr>
      <w:r w:rsidRPr="0069287C">
        <w:rPr>
          <w:rFonts w:ascii="Arial" w:hAnsi="Arial" w:cs="Arial"/>
          <w:sz w:val="24"/>
          <w:szCs w:val="24"/>
          <w:lang w:eastAsia="en-IN"/>
        </w:rPr>
        <w:t>The carbon-to-nitrogen (</w:t>
      </w:r>
      <w:proofErr w:type="gramStart"/>
      <w:r w:rsidRPr="0069287C">
        <w:rPr>
          <w:rFonts w:ascii="Arial" w:hAnsi="Arial" w:cs="Arial"/>
          <w:sz w:val="24"/>
          <w:szCs w:val="24"/>
          <w:lang w:eastAsia="en-IN"/>
        </w:rPr>
        <w:t>C:N</w:t>
      </w:r>
      <w:proofErr w:type="gramEnd"/>
      <w:r w:rsidRPr="0069287C">
        <w:rPr>
          <w:rFonts w:ascii="Arial" w:hAnsi="Arial" w:cs="Arial"/>
          <w:sz w:val="24"/>
          <w:szCs w:val="24"/>
          <w:lang w:eastAsia="en-IN"/>
        </w:rPr>
        <w:t xml:space="preserve">) ratio is a critical factor influencing fungal growth and substrate utilization. Carbon serves as the primary energy source, </w:t>
      </w:r>
      <w:r w:rsidRPr="0069287C">
        <w:rPr>
          <w:rFonts w:ascii="Arial" w:hAnsi="Arial" w:cs="Arial"/>
          <w:sz w:val="24"/>
          <w:szCs w:val="24"/>
          <w:lang w:eastAsia="en-IN"/>
        </w:rPr>
        <w:lastRenderedPageBreak/>
        <w:t>while nitrogen is essential for protein synthesis and cellular development (Chang &amp; Miles, 2004; Philippoussis, 2009).</w:t>
      </w:r>
    </w:p>
    <w:p w14:paraId="3D943315" w14:textId="454DA97C" w:rsidR="00176111" w:rsidRPr="0069287C" w:rsidRDefault="0069287C" w:rsidP="0069287C">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CORRELATION WITH MYCELIAL GROWTH</w:t>
      </w:r>
    </w:p>
    <w:p w14:paraId="797878D4" w14:textId="77777777" w:rsidR="00176111" w:rsidRPr="0069287C" w:rsidRDefault="00176111" w:rsidP="00201C4E">
      <w:pPr>
        <w:numPr>
          <w:ilvl w:val="0"/>
          <w:numId w:val="5"/>
        </w:numPr>
        <w:spacing w:before="100" w:beforeAutospacing="1" w:after="100" w:afterAutospacing="1" w:line="360" w:lineRule="auto"/>
        <w:rPr>
          <w:rFonts w:ascii="Arial" w:hAnsi="Arial" w:cs="Arial"/>
          <w:lang w:eastAsia="en-IN"/>
        </w:rPr>
      </w:pPr>
      <w:r w:rsidRPr="0069287C">
        <w:rPr>
          <w:rFonts w:ascii="Arial" w:hAnsi="Arial" w:cs="Arial"/>
          <w:b/>
          <w:bCs/>
          <w:lang w:eastAsia="en-IN"/>
        </w:rPr>
        <w:t>High C:N ratio (&gt;80:1):</w:t>
      </w:r>
      <w:r w:rsidRPr="0069287C">
        <w:rPr>
          <w:rFonts w:ascii="Arial" w:hAnsi="Arial" w:cs="Arial"/>
          <w:lang w:eastAsia="en-IN"/>
        </w:rPr>
        <w:br/>
        <w:t xml:space="preserve">Leads to slow mycelial growth due to nitrogen limitation (Philippoussis, 2009). </w:t>
      </w:r>
    </w:p>
    <w:p w14:paraId="1DC052CE" w14:textId="77777777" w:rsidR="00176111" w:rsidRPr="0069287C" w:rsidRDefault="00176111" w:rsidP="00201C4E">
      <w:pPr>
        <w:numPr>
          <w:ilvl w:val="0"/>
          <w:numId w:val="5"/>
        </w:numPr>
        <w:spacing w:before="100" w:beforeAutospacing="1" w:after="100" w:afterAutospacing="1" w:line="360" w:lineRule="auto"/>
        <w:rPr>
          <w:rFonts w:ascii="Arial" w:hAnsi="Arial" w:cs="Arial"/>
          <w:lang w:eastAsia="en-IN"/>
        </w:rPr>
      </w:pPr>
      <w:r w:rsidRPr="0069287C">
        <w:rPr>
          <w:rFonts w:ascii="Arial" w:hAnsi="Arial" w:cs="Arial"/>
          <w:b/>
          <w:bCs/>
          <w:lang w:eastAsia="en-IN"/>
        </w:rPr>
        <w:t>Optimal C:N ratio (20–40:1):</w:t>
      </w:r>
      <w:r w:rsidRPr="0069287C">
        <w:rPr>
          <w:rFonts w:ascii="Arial" w:hAnsi="Arial" w:cs="Arial"/>
          <w:lang w:eastAsia="en-IN"/>
        </w:rPr>
        <w:br/>
        <w:t xml:space="preserve">Promotes rapid colonization and dense mycelial growth (Royse et al., 2017; Hoa et al., 2015). </w:t>
      </w:r>
    </w:p>
    <w:p w14:paraId="763570FD" w14:textId="77777777" w:rsidR="00176111" w:rsidRPr="0069287C" w:rsidRDefault="00176111" w:rsidP="00201C4E">
      <w:pPr>
        <w:numPr>
          <w:ilvl w:val="0"/>
          <w:numId w:val="5"/>
        </w:numPr>
        <w:spacing w:before="100" w:beforeAutospacing="1" w:after="100" w:afterAutospacing="1" w:line="360" w:lineRule="auto"/>
        <w:rPr>
          <w:rFonts w:ascii="Arial" w:hAnsi="Arial" w:cs="Arial"/>
          <w:lang w:eastAsia="en-IN"/>
        </w:rPr>
      </w:pPr>
      <w:r w:rsidRPr="0069287C">
        <w:rPr>
          <w:rFonts w:ascii="Arial" w:hAnsi="Arial" w:cs="Arial"/>
          <w:b/>
          <w:bCs/>
          <w:lang w:eastAsia="en-IN"/>
        </w:rPr>
        <w:t>Low C:N ratio (&lt;20:1):</w:t>
      </w:r>
      <w:r w:rsidRPr="0069287C">
        <w:rPr>
          <w:rFonts w:ascii="Arial" w:hAnsi="Arial" w:cs="Arial"/>
          <w:lang w:eastAsia="en-IN"/>
        </w:rPr>
        <w:br/>
        <w:t xml:space="preserve">Excess nitrogen may increase contamination and inhibit fungal growth (Stamets, 2000). </w:t>
      </w:r>
    </w:p>
    <w:p w14:paraId="7B3C970A"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Balanced substrates improve enzyme production, substrate degradation, and overall biological efficiency (Chang &amp; Miles, 2004).</w:t>
      </w:r>
    </w:p>
    <w:p w14:paraId="5E7B41A8" w14:textId="0BCAE513"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KEY INSIGHTS</w:t>
      </w:r>
    </w:p>
    <w:p w14:paraId="3992C0F1" w14:textId="77777777" w:rsidR="00176111" w:rsidRPr="0069287C" w:rsidRDefault="00176111" w:rsidP="0069287C">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Pearl millet showing superior growth in your experiment can be attributed to its optimal C:N ratio and higher nitrogen content, which enhances mycelial proliferation and colonization speed (Girmay et al., 2016; Royse et al., 2017).</w:t>
      </w:r>
    </w:p>
    <w:p w14:paraId="0E0C578B" w14:textId="77777777" w:rsidR="00176111" w:rsidRPr="0069287C" w:rsidRDefault="00176111" w:rsidP="0069287C">
      <w:pPr>
        <w:spacing w:line="360" w:lineRule="auto"/>
        <w:ind w:firstLine="720"/>
        <w:jc w:val="both"/>
        <w:rPr>
          <w:rFonts w:ascii="Arial" w:hAnsi="Arial" w:cs="Arial"/>
        </w:rPr>
      </w:pPr>
      <w:r w:rsidRPr="0069287C">
        <w:rPr>
          <w:rFonts w:ascii="Arial" w:hAnsi="Arial" w:cs="Arial"/>
          <w:lang w:eastAsia="en-IN"/>
        </w:rPr>
        <w:t xml:space="preserve">Grain-based substrates are superior for spawn production due to their balanced nutritional profile and faster colonization rates. However, non-grain substrates offer sustainable and cost-effective alternatives. The C:N ratio remains the most important factor influencing mycelial growth, with optimal ratios significantly enhancing spawn quality and productivity (Chang &amp; Miles, 2004; Royse et al., 2017). </w:t>
      </w:r>
      <w:r w:rsidRPr="0069287C">
        <w:rPr>
          <w:rFonts w:ascii="Arial" w:hAnsi="Arial" w:cs="Arial"/>
        </w:rPr>
        <w:t xml:space="preserve">Numerous studies have evaluated the performance of different substrates for oyster mushroom spawn and cultivation. Agricultural residues such as wheat straw, rice straw, maize cob, and sawdust are widely used due to their availability and nutrient composition (Zhang et al., 2014; Khan et al., 2013; </w:t>
      </w:r>
      <w:proofErr w:type="spellStart"/>
      <w:r w:rsidRPr="0069287C">
        <w:rPr>
          <w:rFonts w:ascii="Arial" w:hAnsi="Arial" w:cs="Arial"/>
        </w:rPr>
        <w:t>Jarial</w:t>
      </w:r>
      <w:proofErr w:type="spellEnd"/>
      <w:r w:rsidRPr="0069287C">
        <w:rPr>
          <w:rFonts w:ascii="Arial" w:hAnsi="Arial" w:cs="Arial"/>
        </w:rPr>
        <w:t xml:space="preserve"> et al., 2015).</w:t>
      </w:r>
    </w:p>
    <w:p w14:paraId="0A8735A2"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 xml:space="preserve">Comparative studies indicate that substrate composition significantly affects mycelial growth rate, yield, and biological efficiency (Singh et al., 2019; </w:t>
      </w:r>
      <w:proofErr w:type="spellStart"/>
      <w:r w:rsidRPr="0069287C">
        <w:rPr>
          <w:rFonts w:ascii="Arial" w:hAnsi="Arial" w:cs="Arial"/>
          <w:lang w:eastAsia="en-IN"/>
        </w:rPr>
        <w:t>Bhattacharjya</w:t>
      </w:r>
      <w:proofErr w:type="spellEnd"/>
      <w:r w:rsidRPr="0069287C">
        <w:rPr>
          <w:rFonts w:ascii="Arial" w:hAnsi="Arial" w:cs="Arial"/>
          <w:lang w:eastAsia="en-IN"/>
        </w:rPr>
        <w:t xml:space="preserve"> et al., 2014; Jonathan et al., 2012). Pearl millet and maize have shown superior performance due to balanced carbon and nitrogen content (Girmay et al., 2016; Royse et al., 2017; Shah et al., 2002).</w:t>
      </w:r>
    </w:p>
    <w:p w14:paraId="00213BEE"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lastRenderedPageBreak/>
        <w:t>Other studies have demonstrated successful cultivation using unconventional substrates such as coffee husk, sugarcane bagasse, and waste paper, highlighting the potential for waste recycling (Fan et al., 2000; Moda et al., 2005; Baysal et al., 2003).</w:t>
      </w:r>
    </w:p>
    <w:p w14:paraId="1604D628" w14:textId="71DBF7BA" w:rsidR="00176111" w:rsidRPr="0069287C" w:rsidRDefault="0069287C" w:rsidP="00201C4E">
      <w:pPr>
        <w:spacing w:before="100" w:beforeAutospacing="1" w:after="100" w:afterAutospacing="1" w:line="360" w:lineRule="auto"/>
        <w:jc w:val="both"/>
        <w:rPr>
          <w:rFonts w:ascii="Arial" w:hAnsi="Arial" w:cs="Arial"/>
          <w:b/>
          <w:bCs/>
          <w:sz w:val="24"/>
          <w:szCs w:val="24"/>
          <w:lang w:eastAsia="en-IN"/>
        </w:rPr>
      </w:pPr>
      <w:r w:rsidRPr="0069287C">
        <w:rPr>
          <w:rFonts w:ascii="Arial" w:hAnsi="Arial" w:cs="Arial"/>
          <w:b/>
          <w:bCs/>
          <w:sz w:val="24"/>
          <w:szCs w:val="24"/>
          <w:lang w:eastAsia="en-IN"/>
        </w:rPr>
        <w:t>FACTORS AFFECTING SPAWN QUALITY</w:t>
      </w:r>
    </w:p>
    <w:p w14:paraId="529874F4" w14:textId="77777777" w:rsidR="00176111" w:rsidRPr="0069287C" w:rsidRDefault="00176111" w:rsidP="0069287C">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quality of spawn is a decisive factor in the successful cultivation of oyster mushrooms (</w:t>
      </w:r>
      <w:r w:rsidRPr="0069287C">
        <w:rPr>
          <w:rFonts w:ascii="Arial" w:hAnsi="Arial" w:cs="Arial"/>
          <w:i/>
          <w:iCs/>
          <w:lang w:eastAsia="en-IN"/>
        </w:rPr>
        <w:t>Pleurotus</w:t>
      </w:r>
      <w:r w:rsidRPr="0069287C">
        <w:rPr>
          <w:rFonts w:ascii="Arial" w:hAnsi="Arial" w:cs="Arial"/>
          <w:lang w:eastAsia="en-IN"/>
        </w:rPr>
        <w:t xml:space="preserve"> spp.), as it directly influences mycelial colonization, contamination resistance, and final yield. High-quality spawn ensures rapid substrate colonization, uniform growth, and enhanced biological efficiency. Several physical, chemical, and biological factors affect spawn quality, and their optimization is essential for consistent mushroom production (Stamets, 2000; Royse et al., 2017).</w:t>
      </w:r>
    </w:p>
    <w:p w14:paraId="3DCB943B" w14:textId="73D7CA07"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SUBSTRATE QUALITY AND COMPOSITION</w:t>
      </w:r>
    </w:p>
    <w:p w14:paraId="46027473" w14:textId="77777777" w:rsidR="00176111" w:rsidRPr="0069287C" w:rsidRDefault="00176111" w:rsidP="0069287C">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substrate used for spawn preparation plays a fundamental role in determining spawn quality. Grain substrates such as wheat, maize, and pearl millet are rich in carbohydrates and nitrogen, which promote vigorous mycelial growth (Chang &amp; Miles, 2004). The nutritional balance, especially the carbon-to-nitrogen (</w:t>
      </w:r>
      <w:proofErr w:type="gramStart"/>
      <w:r w:rsidRPr="0069287C">
        <w:rPr>
          <w:rFonts w:ascii="Arial" w:hAnsi="Arial" w:cs="Arial"/>
          <w:lang w:eastAsia="en-IN"/>
        </w:rPr>
        <w:t>C:N</w:t>
      </w:r>
      <w:proofErr w:type="gramEnd"/>
      <w:r w:rsidRPr="0069287C">
        <w:rPr>
          <w:rFonts w:ascii="Arial" w:hAnsi="Arial" w:cs="Arial"/>
          <w:lang w:eastAsia="en-IN"/>
        </w:rPr>
        <w:t>) ratio, is crucial, as an optimal range (20–40:1) supports rapid colonization and dense mycelial networks (Philippoussis, 2009; Royse et al., 2017).</w:t>
      </w:r>
    </w:p>
    <w:p w14:paraId="673A3186"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Substrates with high carbon and low nitrogen content, such as sawdust, often result in slower growth, while excess nitrogen can lead to contamination and metabolic imbalance (Stamets, 2000). Therefore, selecting a substrate with balanced nutrients is essential for producing high-quality spawn.</w:t>
      </w:r>
    </w:p>
    <w:p w14:paraId="3E8AC20A" w14:textId="3A6241CA"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MOISTURE CONTENT</w:t>
      </w:r>
    </w:p>
    <w:p w14:paraId="585BF5C9" w14:textId="4F0D50F8" w:rsidR="00176111" w:rsidRPr="0069287C" w:rsidRDefault="00176111" w:rsidP="0069287C">
      <w:pPr>
        <w:spacing w:before="100" w:beforeAutospacing="1" w:after="100" w:afterAutospacing="1" w:line="360" w:lineRule="auto"/>
        <w:ind w:firstLine="720"/>
        <w:jc w:val="both"/>
        <w:rPr>
          <w:rFonts w:ascii="Arial" w:hAnsi="Arial" w:cs="Arial"/>
          <w:sz w:val="22"/>
          <w:szCs w:val="22"/>
          <w:lang w:eastAsia="en-IN"/>
        </w:rPr>
      </w:pPr>
      <w:r w:rsidRPr="0069287C">
        <w:rPr>
          <w:rFonts w:ascii="Arial" w:hAnsi="Arial" w:cs="Arial"/>
          <w:sz w:val="22"/>
          <w:szCs w:val="22"/>
          <w:lang w:eastAsia="en-IN"/>
        </w:rPr>
        <w:t>Moisture content is another critical factor influencing spawn development. Optimal moisture levels for spawn substrates typically range between 50% and 60%, which ensures proper hydration without creating anaerobic conditions (Royse et al., 2017). Insufficient moisture limits nutrient availability and slows mycelial growth, whereas excessive moisture can lead to bacterial contamination and reduced aeration (Hoa et al., 2015)</w:t>
      </w:r>
      <w:r w:rsidR="0069287C">
        <w:rPr>
          <w:rFonts w:ascii="Arial" w:hAnsi="Arial" w:cs="Arial"/>
          <w:sz w:val="22"/>
          <w:szCs w:val="22"/>
          <w:lang w:eastAsia="en-IN"/>
        </w:rPr>
        <w:t xml:space="preserve">. </w:t>
      </w:r>
      <w:r w:rsidRPr="0069287C">
        <w:rPr>
          <w:rFonts w:ascii="Arial" w:hAnsi="Arial" w:cs="Arial"/>
          <w:sz w:val="22"/>
          <w:szCs w:val="22"/>
          <w:lang w:eastAsia="en-IN"/>
        </w:rPr>
        <w:t>Maintaining uniform moisture distribution throughout the substrate is equally important to ensure consistent mycelial colonization.</w:t>
      </w:r>
    </w:p>
    <w:p w14:paraId="5AF10ED6" w14:textId="168054E0"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lastRenderedPageBreak/>
        <w:t>STERILIZATION AND ASEPTIC CONDITIONS</w:t>
      </w:r>
    </w:p>
    <w:p w14:paraId="6CD31A61" w14:textId="77777777" w:rsidR="00176111" w:rsidRPr="0069287C" w:rsidRDefault="00176111" w:rsidP="0069287C">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Effective sterilization is essential to eliminate competing microorganisms such as bacteria and molds. Substrates are typically sterilized at 121°C under 15 psi pressure for 15–20 minutes to ensure complete microbial inactivation (Stamets, 2000). Inadequate sterilization can result in contamination, which adversely affects spawn quality and may lead to complete crop failure.</w:t>
      </w:r>
    </w:p>
    <w:p w14:paraId="634B90BD" w14:textId="77777777" w:rsidR="0069287C" w:rsidRDefault="00176111" w:rsidP="0069287C">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In addition to sterilization, strict aseptic techniques during inoculation are crucial. The use of laminar airflow cabinets, sterilized tools, and proper handling procedures helps maintain spawn purity (Royse et al., 2017).</w:t>
      </w:r>
    </w:p>
    <w:p w14:paraId="3BE1B5BF" w14:textId="2B2A10D7" w:rsidR="00176111" w:rsidRPr="0069287C" w:rsidRDefault="0069287C" w:rsidP="0069287C">
      <w:pPr>
        <w:spacing w:before="100" w:beforeAutospacing="1" w:after="100" w:afterAutospacing="1" w:line="360" w:lineRule="auto"/>
        <w:jc w:val="both"/>
        <w:rPr>
          <w:rFonts w:ascii="Arial" w:hAnsi="Arial" w:cs="Arial"/>
          <w:lang w:eastAsia="en-IN"/>
        </w:rPr>
      </w:pPr>
      <w:r w:rsidRPr="0069287C">
        <w:rPr>
          <w:rFonts w:ascii="Arial" w:hAnsi="Arial" w:cs="Arial"/>
          <w:b/>
          <w:bCs/>
          <w:sz w:val="24"/>
          <w:szCs w:val="24"/>
          <w:lang w:eastAsia="en-IN"/>
        </w:rPr>
        <w:t xml:space="preserve">QUALITY OF INOCULUM </w:t>
      </w:r>
      <w:r w:rsidR="00176111" w:rsidRPr="0069287C">
        <w:rPr>
          <w:rFonts w:ascii="Arial" w:hAnsi="Arial" w:cs="Arial"/>
          <w:b/>
          <w:bCs/>
          <w:sz w:val="24"/>
          <w:szCs w:val="24"/>
          <w:lang w:eastAsia="en-IN"/>
        </w:rPr>
        <w:t>(Mother Culture)</w:t>
      </w:r>
    </w:p>
    <w:p w14:paraId="539B4D3E" w14:textId="708509CB" w:rsidR="00176111" w:rsidRPr="0069287C" w:rsidRDefault="00176111" w:rsidP="001A706F">
      <w:pPr>
        <w:spacing w:before="100" w:beforeAutospacing="1" w:after="100" w:afterAutospacing="1" w:line="360" w:lineRule="auto"/>
        <w:ind w:firstLine="720"/>
        <w:jc w:val="both"/>
        <w:rPr>
          <w:rFonts w:ascii="Arial" w:hAnsi="Arial" w:cs="Arial"/>
          <w:sz w:val="24"/>
          <w:szCs w:val="24"/>
          <w:lang w:eastAsia="en-IN"/>
        </w:rPr>
      </w:pPr>
      <w:r w:rsidRPr="001A706F">
        <w:rPr>
          <w:rFonts w:ascii="Arial" w:hAnsi="Arial" w:cs="Arial"/>
          <w:lang w:eastAsia="en-IN"/>
        </w:rPr>
        <w:t xml:space="preserve">The quality and vigor of the inoculum used for spawn preparation significantly influence the final spawn quality. Pure cultures of </w:t>
      </w:r>
      <w:r w:rsidRPr="001A706F">
        <w:rPr>
          <w:rFonts w:ascii="Arial" w:hAnsi="Arial" w:cs="Arial"/>
          <w:i/>
          <w:iCs/>
          <w:lang w:eastAsia="en-IN"/>
        </w:rPr>
        <w:t>Pleurotus</w:t>
      </w:r>
      <w:r w:rsidRPr="001A706F">
        <w:rPr>
          <w:rFonts w:ascii="Arial" w:hAnsi="Arial" w:cs="Arial"/>
          <w:lang w:eastAsia="en-IN"/>
        </w:rPr>
        <w:t xml:space="preserve"> spp. should be actively growing, contamination-free, and genetically stable (Stamets, 2000). Repeated subculturing or prolonged storage of cultures may lead to strain degeneration, reduced growth rate, and decreased yield potential (Chang &amp; Miles, 2004).</w:t>
      </w:r>
      <w:r w:rsidR="001A706F" w:rsidRPr="001A706F">
        <w:rPr>
          <w:rFonts w:ascii="Arial" w:hAnsi="Arial" w:cs="Arial"/>
          <w:lang w:eastAsia="en-IN"/>
        </w:rPr>
        <w:t xml:space="preserve"> </w:t>
      </w:r>
      <w:r w:rsidRPr="001A706F">
        <w:rPr>
          <w:rFonts w:ascii="Arial" w:hAnsi="Arial" w:cs="Arial"/>
          <w:lang w:eastAsia="en-IN"/>
        </w:rPr>
        <w:t>Therefore, maintaining fresh and healthy mother cultures under controlled conditions is essential for producing high-quality spawn</w:t>
      </w:r>
      <w:r w:rsidRPr="0069287C">
        <w:rPr>
          <w:rFonts w:ascii="Arial" w:hAnsi="Arial" w:cs="Arial"/>
          <w:sz w:val="24"/>
          <w:szCs w:val="24"/>
          <w:lang w:eastAsia="en-IN"/>
        </w:rPr>
        <w:t>.</w:t>
      </w:r>
    </w:p>
    <w:p w14:paraId="07EF1413" w14:textId="3F489CEE"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INCUBATION CONDITIONS</w:t>
      </w:r>
    </w:p>
    <w:p w14:paraId="79E1DA7D" w14:textId="77777777" w:rsidR="00176111" w:rsidRPr="001A706F" w:rsidRDefault="00176111" w:rsidP="001A706F">
      <w:pPr>
        <w:spacing w:before="100" w:beforeAutospacing="1" w:after="100" w:afterAutospacing="1" w:line="360" w:lineRule="auto"/>
        <w:ind w:firstLine="720"/>
        <w:jc w:val="both"/>
        <w:rPr>
          <w:rFonts w:ascii="Arial" w:hAnsi="Arial" w:cs="Arial"/>
          <w:lang w:eastAsia="en-IN"/>
        </w:rPr>
      </w:pPr>
      <w:r w:rsidRPr="001A706F">
        <w:rPr>
          <w:rFonts w:ascii="Arial" w:hAnsi="Arial" w:cs="Arial"/>
          <w:lang w:eastAsia="en-IN"/>
        </w:rPr>
        <w:t>Environmental conditions during incubation, including temperature, humidity, and aeration, play a vital role in mycelial development. The optimal temperature range for oyster mushroom spawn growth is 25–28°C (Hoa et al., 2015). Temperatures above or below this range can slow down metabolic activity and hinder colonization.</w:t>
      </w:r>
    </w:p>
    <w:p w14:paraId="6887F973" w14:textId="77777777" w:rsidR="00176111" w:rsidRPr="001A706F" w:rsidRDefault="00176111" w:rsidP="001A706F">
      <w:pPr>
        <w:spacing w:before="100" w:beforeAutospacing="1" w:after="100" w:afterAutospacing="1" w:line="360" w:lineRule="auto"/>
        <w:ind w:firstLine="720"/>
        <w:jc w:val="both"/>
        <w:rPr>
          <w:rFonts w:ascii="Arial" w:hAnsi="Arial" w:cs="Arial"/>
          <w:lang w:eastAsia="en-IN"/>
        </w:rPr>
      </w:pPr>
      <w:r w:rsidRPr="001A706F">
        <w:rPr>
          <w:rFonts w:ascii="Arial" w:hAnsi="Arial" w:cs="Arial"/>
          <w:lang w:eastAsia="en-IN"/>
        </w:rPr>
        <w:t>Relative humidity levels of 70–80% are generally maintained to prevent substrate drying while avoiding excessive moisture accumulation. Adequate ventilation is also necessary to prevent the buildup of carbon dioxide, which can inhibit mycelial growth and lead to abnormal development (Royse et al., 2017).</w:t>
      </w:r>
    </w:p>
    <w:p w14:paraId="43799D59" w14:textId="66FE8412"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PH OF THE SUBSTRATE</w:t>
      </w:r>
    </w:p>
    <w:p w14:paraId="3E3E7198" w14:textId="2B52D868"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The pH of the substrate affects enzyme activity and nutrient availability. Oyster mushroom mycelium grows best in a slightly acidic to neutral pH range of 6.0–7.5 (Chang &amp; </w:t>
      </w:r>
      <w:r w:rsidRPr="0069287C">
        <w:rPr>
          <w:rFonts w:ascii="Arial" w:hAnsi="Arial" w:cs="Arial"/>
          <w:lang w:eastAsia="en-IN"/>
        </w:rPr>
        <w:lastRenderedPageBreak/>
        <w:t>Miles, 2004). Deviations from this range can negatively impact mycelial growth and increase susceptibility to contamination.</w:t>
      </w:r>
      <w:r w:rsidR="001A706F">
        <w:rPr>
          <w:rFonts w:ascii="Arial" w:hAnsi="Arial" w:cs="Arial"/>
          <w:lang w:eastAsia="en-IN"/>
        </w:rPr>
        <w:t xml:space="preserve"> </w:t>
      </w:r>
      <w:r w:rsidRPr="0069287C">
        <w:rPr>
          <w:rFonts w:ascii="Arial" w:hAnsi="Arial" w:cs="Arial"/>
          <w:lang w:eastAsia="en-IN"/>
        </w:rPr>
        <w:t>Additives such as calcium carbonate (</w:t>
      </w:r>
      <w:proofErr w:type="spellStart"/>
      <w:r w:rsidRPr="0069287C">
        <w:rPr>
          <w:rFonts w:ascii="Arial" w:hAnsi="Arial" w:cs="Arial"/>
          <w:lang w:eastAsia="en-IN"/>
        </w:rPr>
        <w:t>CaCO</w:t>
      </w:r>
      <w:proofErr w:type="spellEnd"/>
      <w:r w:rsidRPr="0069287C">
        <w:rPr>
          <w:rFonts w:ascii="Cambria Math" w:hAnsi="Cambria Math" w:cs="Cambria Math"/>
          <w:lang w:eastAsia="en-IN"/>
        </w:rPr>
        <w:t>₃</w:t>
      </w:r>
      <w:r w:rsidRPr="0069287C">
        <w:rPr>
          <w:rFonts w:ascii="Arial" w:hAnsi="Arial" w:cs="Arial"/>
          <w:lang w:eastAsia="en-IN"/>
        </w:rPr>
        <w:t>) or gypsum are often used to stabilize pH and improve substrate texture, thereby enhancing spawn quality (Stamets, 2000).</w:t>
      </w:r>
    </w:p>
    <w:p w14:paraId="7C98B360" w14:textId="03881DE9"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GRAIN SIZE AND PHYSICAL STRUCTURE</w:t>
      </w:r>
    </w:p>
    <w:p w14:paraId="1FEEA7F7" w14:textId="41D3003D"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The physical characteristics of the substrate, including grain size and texture, influence aeration and mycelial penetration. Smaller grains provide a larger surface area for colonization, resulting in faster mycelial spread (Royse et al., 2017). However, excessively small or compact substrates may restrict airflow and lead to anaerobic </w:t>
      </w:r>
      <w:proofErr w:type="spellStart"/>
      <w:proofErr w:type="gramStart"/>
      <w:r w:rsidRPr="0069287C">
        <w:rPr>
          <w:rFonts w:ascii="Arial" w:hAnsi="Arial" w:cs="Arial"/>
          <w:lang w:eastAsia="en-IN"/>
        </w:rPr>
        <w:t>conditions.Uniform</w:t>
      </w:r>
      <w:proofErr w:type="spellEnd"/>
      <w:proofErr w:type="gramEnd"/>
      <w:r w:rsidRPr="0069287C">
        <w:rPr>
          <w:rFonts w:ascii="Arial" w:hAnsi="Arial" w:cs="Arial"/>
          <w:lang w:eastAsia="en-IN"/>
        </w:rPr>
        <w:t xml:space="preserve"> grain size and proper spacing between particles facilitate better aeration and support healthy mycelial growth.</w:t>
      </w:r>
    </w:p>
    <w:p w14:paraId="21AE782A" w14:textId="749A8AE3"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CONTAMINATION CONTROL</w:t>
      </w:r>
    </w:p>
    <w:p w14:paraId="0B62FB74" w14:textId="0C287B10"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Contamination is one of the major factors affecting spawn quality. Common contaminants include bacteria, molds (e.g., </w:t>
      </w:r>
      <w:r w:rsidRPr="0069287C">
        <w:rPr>
          <w:rFonts w:ascii="Arial" w:hAnsi="Arial" w:cs="Arial"/>
          <w:i/>
          <w:iCs/>
          <w:lang w:eastAsia="en-IN"/>
        </w:rPr>
        <w:t>Trichoderma</w:t>
      </w:r>
      <w:r w:rsidRPr="0069287C">
        <w:rPr>
          <w:rFonts w:ascii="Arial" w:hAnsi="Arial" w:cs="Arial"/>
          <w:lang w:eastAsia="en-IN"/>
        </w:rPr>
        <w:t xml:space="preserve"> spp.), and yeasts, which compete with the mushroom mycelium for nutrients (Stamets, 2000). Contaminated spawn exhibits discoloration, foul odor, and reduced growth.</w:t>
      </w:r>
      <w:r w:rsidR="0069287C">
        <w:rPr>
          <w:rFonts w:ascii="Arial" w:hAnsi="Arial" w:cs="Arial"/>
          <w:lang w:eastAsia="en-IN"/>
        </w:rPr>
        <w:t xml:space="preserve"> </w:t>
      </w:r>
      <w:r w:rsidRPr="0069287C">
        <w:rPr>
          <w:rFonts w:ascii="Arial" w:hAnsi="Arial" w:cs="Arial"/>
          <w:lang w:eastAsia="en-IN"/>
        </w:rPr>
        <w:t>Preventive measures such as proper sterilization, aseptic handling, and regular monitoring are essential to minimize contamination risks (Royse et al., 2017).</w:t>
      </w:r>
    </w:p>
    <w:p w14:paraId="6F555A0B" w14:textId="185ABA6E"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STORAGE CONDITIONS</w:t>
      </w:r>
    </w:p>
    <w:p w14:paraId="2DFC5FA9" w14:textId="0BFB12F7" w:rsidR="00176111" w:rsidRPr="0069287C" w:rsidRDefault="00176111" w:rsidP="0069287C">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Spawn quality can deteriorate over time if not stored properly. Fresh spawn is more active and colonizes substrates quickly, whereas aged spawn shows reduced vigor and delayed growth (Chang &amp; Miles, 2004). Spawn should be stored at low temperatures (4–10°C) to maintain viability and prevent premature growth</w:t>
      </w:r>
      <w:r w:rsidR="0069287C">
        <w:rPr>
          <w:rFonts w:ascii="Arial" w:hAnsi="Arial" w:cs="Arial"/>
          <w:lang w:eastAsia="en-IN"/>
        </w:rPr>
        <w:t xml:space="preserve">. </w:t>
      </w:r>
      <w:r w:rsidRPr="0069287C">
        <w:rPr>
          <w:rFonts w:ascii="Arial" w:hAnsi="Arial" w:cs="Arial"/>
          <w:lang w:eastAsia="en-IN"/>
        </w:rPr>
        <w:t>Prolonged storage can lead to nutrient depletion and loss of mycelial activity, ultimately affecting yield.</w:t>
      </w:r>
    </w:p>
    <w:p w14:paraId="45EE9CAD" w14:textId="215CE641" w:rsidR="00176111" w:rsidRPr="0069287C" w:rsidRDefault="0069287C"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EMERGING FACTORS: ROLE OF NANOTECHNOLOGY</w:t>
      </w:r>
    </w:p>
    <w:p w14:paraId="6DFD8138" w14:textId="77777777"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Recent advancements have highlighted the potential role of nanotechnology in improving spawn quality. Nanoparticles such as zinc oxide (</w:t>
      </w:r>
      <w:proofErr w:type="spellStart"/>
      <w:r w:rsidRPr="0069287C">
        <w:rPr>
          <w:rFonts w:ascii="Arial" w:hAnsi="Arial" w:cs="Arial"/>
          <w:lang w:eastAsia="en-IN"/>
        </w:rPr>
        <w:t>ZnO</w:t>
      </w:r>
      <w:proofErr w:type="spellEnd"/>
      <w:r w:rsidRPr="0069287C">
        <w:rPr>
          <w:rFonts w:ascii="Arial" w:hAnsi="Arial" w:cs="Arial"/>
          <w:lang w:eastAsia="en-IN"/>
        </w:rPr>
        <w:t>) and copper oxide (</w:t>
      </w:r>
      <w:proofErr w:type="spellStart"/>
      <w:r w:rsidRPr="0069287C">
        <w:rPr>
          <w:rFonts w:ascii="Arial" w:hAnsi="Arial" w:cs="Arial"/>
          <w:lang w:eastAsia="en-IN"/>
        </w:rPr>
        <w:t>CuO</w:t>
      </w:r>
      <w:proofErr w:type="spellEnd"/>
      <w:r w:rsidRPr="0069287C">
        <w:rPr>
          <w:rFonts w:ascii="Arial" w:hAnsi="Arial" w:cs="Arial"/>
          <w:lang w:eastAsia="en-IN"/>
        </w:rPr>
        <w:t xml:space="preserve">) have been reported to enhance mycelial growth and reduce microbial contamination due to </w:t>
      </w:r>
      <w:r w:rsidRPr="0069287C">
        <w:rPr>
          <w:rFonts w:ascii="Arial" w:hAnsi="Arial" w:cs="Arial"/>
          <w:lang w:eastAsia="en-IN"/>
        </w:rPr>
        <w:lastRenderedPageBreak/>
        <w:t>their antimicrobial properties (Rai et al., 2016; Sharma et al., 2020). However, their concentration must be carefully optimized, as excessive levels may inhibit fungal growth.</w:t>
      </w:r>
    </w:p>
    <w:p w14:paraId="31534285" w14:textId="77777777" w:rsidR="00176111" w:rsidRPr="0069287C" w:rsidRDefault="00176111" w:rsidP="001A706F">
      <w:pPr>
        <w:spacing w:line="360" w:lineRule="auto"/>
        <w:ind w:firstLine="720"/>
        <w:jc w:val="both"/>
        <w:rPr>
          <w:rFonts w:ascii="Arial" w:hAnsi="Arial" w:cs="Arial"/>
        </w:rPr>
      </w:pPr>
      <w:r w:rsidRPr="0069287C">
        <w:rPr>
          <w:rFonts w:ascii="Arial" w:hAnsi="Arial" w:cs="Arial"/>
          <w:lang w:eastAsia="en-IN"/>
        </w:rPr>
        <w:t xml:space="preserve">Spawn quality is influenced by multiple interrelated factors, including substrate composition, moisture, sterilization, inoculum quality, and environmental conditions. Among these, maintaining optimal nutrient balance and aseptic conditions is most critical. Emerging technologies such as nanotechnology offer promising approaches to further enhance spawn quality and productivity. Proper management of these factors ensures the production of high-quality spawn, leading to improved yield and sustainable mushroom cultivation (Royse et al., 2017; Stamets, 2000). </w:t>
      </w:r>
      <w:r w:rsidRPr="0069287C">
        <w:rPr>
          <w:rFonts w:ascii="Arial" w:hAnsi="Arial" w:cs="Arial"/>
        </w:rPr>
        <w:t>Spawn quality is influenced by multiple interacting factors including substrate composition, moisture, sterilization, and environmental conditions (Stamets, 2000; Royse et al., 2017; Chang &amp; Miles, 2004). Studies have emphasized that proper substrate supplementation and nutrient balance significantly improve mycelial growth and yield (Banik &amp; Nandi, 2004; Patil et al., 2010).</w:t>
      </w:r>
    </w:p>
    <w:p w14:paraId="622BC7D9" w14:textId="77777777"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Moisture optimization and aeration are critical for maintaining metabolic activity and preventing contamination (Hoa et al., 2015; Ahmed et al., 2009). Additionally, substrate particle size and structure influence colonization efficiency (</w:t>
      </w:r>
      <w:proofErr w:type="spellStart"/>
      <w:r w:rsidRPr="0069287C">
        <w:rPr>
          <w:rFonts w:ascii="Arial" w:hAnsi="Arial" w:cs="Arial"/>
          <w:lang w:eastAsia="en-IN"/>
        </w:rPr>
        <w:t>Jarial</w:t>
      </w:r>
      <w:proofErr w:type="spellEnd"/>
      <w:r w:rsidRPr="0069287C">
        <w:rPr>
          <w:rFonts w:ascii="Arial" w:hAnsi="Arial" w:cs="Arial"/>
          <w:lang w:eastAsia="en-IN"/>
        </w:rPr>
        <w:t xml:space="preserve"> et al., 2015).</w:t>
      </w:r>
    </w:p>
    <w:p w14:paraId="1946F5F9" w14:textId="1D18CD68" w:rsidR="00176111" w:rsidRPr="001A706F" w:rsidRDefault="001A706F" w:rsidP="00201C4E">
      <w:pPr>
        <w:spacing w:before="100" w:beforeAutospacing="1" w:after="100" w:afterAutospacing="1" w:line="360" w:lineRule="auto"/>
        <w:jc w:val="both"/>
        <w:rPr>
          <w:rFonts w:ascii="Arial" w:hAnsi="Arial" w:cs="Arial"/>
          <w:b/>
          <w:bCs/>
          <w:sz w:val="22"/>
          <w:szCs w:val="22"/>
          <w:lang w:eastAsia="en-IN"/>
        </w:rPr>
      </w:pPr>
      <w:r w:rsidRPr="001A706F">
        <w:rPr>
          <w:rFonts w:ascii="Arial" w:hAnsi="Arial" w:cs="Arial"/>
          <w:b/>
          <w:bCs/>
          <w:sz w:val="22"/>
          <w:szCs w:val="22"/>
          <w:lang w:eastAsia="en-IN"/>
        </w:rPr>
        <w:t>NANOTECHNOLOGY APPLICATIONS IN OYSTER MUSHROOM PRODUCTION</w:t>
      </w:r>
    </w:p>
    <w:p w14:paraId="279C7F38" w14:textId="47F606B4" w:rsidR="001A706F"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Nanotechnology has emerged as a transformative tool in modern agriculture and biotechnology, offering innovative approaches to enhance crop productivity, nutritional quality, and disease resistance. In recent years, its application in oyster mushroom (</w:t>
      </w:r>
      <w:r w:rsidRPr="0069287C">
        <w:rPr>
          <w:rFonts w:ascii="Arial" w:hAnsi="Arial" w:cs="Arial"/>
          <w:i/>
          <w:iCs/>
          <w:lang w:eastAsia="en-IN"/>
        </w:rPr>
        <w:t>Pleurotus</w:t>
      </w:r>
      <w:r w:rsidRPr="0069287C">
        <w:rPr>
          <w:rFonts w:ascii="Arial" w:hAnsi="Arial" w:cs="Arial"/>
          <w:lang w:eastAsia="en-IN"/>
        </w:rPr>
        <w:t xml:space="preserve"> spp.) cultivation has gained significant attention due to its potential to improve mycelial growth, yield, and microbial safety. Nanoparticles (NPs), typically ranging from 1–100 nm in size, possess unique physicochemical properties such as high surface area, enhanced reactivity, and antimicrobial activity, which make them highly effective in biological systems (Bhardwaj et al., 2020; Rao et al., 2015; Nair et al., 2014)</w:t>
      </w:r>
      <w:r w:rsidR="001A706F">
        <w:rPr>
          <w:rFonts w:ascii="Arial" w:hAnsi="Arial" w:cs="Arial"/>
          <w:lang w:eastAsia="en-IN"/>
        </w:rPr>
        <w:t>.</w:t>
      </w:r>
    </w:p>
    <w:p w14:paraId="71EBD965" w14:textId="30C6CB16" w:rsidR="00176111" w:rsidRPr="001A706F" w:rsidRDefault="001A706F" w:rsidP="00201C4E">
      <w:pPr>
        <w:spacing w:before="100" w:beforeAutospacing="1" w:after="100" w:afterAutospacing="1" w:line="360" w:lineRule="auto"/>
        <w:jc w:val="both"/>
        <w:rPr>
          <w:rFonts w:ascii="Arial" w:hAnsi="Arial" w:cs="Arial"/>
          <w:sz w:val="22"/>
          <w:szCs w:val="22"/>
          <w:lang w:eastAsia="en-IN"/>
        </w:rPr>
      </w:pPr>
      <w:r w:rsidRPr="001A706F">
        <w:rPr>
          <w:rFonts w:ascii="Arial" w:hAnsi="Arial" w:cs="Arial"/>
          <w:b/>
          <w:bCs/>
          <w:sz w:val="22"/>
          <w:szCs w:val="22"/>
          <w:lang w:eastAsia="en-IN"/>
        </w:rPr>
        <w:t>CONCEPT OF NANOTECHNOLOGY IN MUSHROOM CULTIVATION</w:t>
      </w:r>
    </w:p>
    <w:p w14:paraId="7FFFF0EC" w14:textId="77777777"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Nanotechnology in mushroom production involves the use of engineered nanoparticles such as zinc oxide (</w:t>
      </w:r>
      <w:proofErr w:type="spellStart"/>
      <w:r w:rsidRPr="0069287C">
        <w:rPr>
          <w:rFonts w:ascii="Arial" w:hAnsi="Arial" w:cs="Arial"/>
          <w:lang w:eastAsia="en-IN"/>
        </w:rPr>
        <w:t>ZnO</w:t>
      </w:r>
      <w:proofErr w:type="spellEnd"/>
      <w:r w:rsidRPr="0069287C">
        <w:rPr>
          <w:rFonts w:ascii="Arial" w:hAnsi="Arial" w:cs="Arial"/>
          <w:lang w:eastAsia="en-IN"/>
        </w:rPr>
        <w:t>), silver (Ag), titanium dioxide (</w:t>
      </w:r>
      <w:proofErr w:type="spellStart"/>
      <w:r w:rsidRPr="0069287C">
        <w:rPr>
          <w:rFonts w:ascii="Arial" w:hAnsi="Arial" w:cs="Arial"/>
          <w:lang w:eastAsia="en-IN"/>
        </w:rPr>
        <w:t>TiO</w:t>
      </w:r>
      <w:proofErr w:type="spellEnd"/>
      <w:r w:rsidRPr="0069287C">
        <w:rPr>
          <w:rFonts w:ascii="Cambria Math" w:hAnsi="Cambria Math" w:cs="Cambria Math"/>
          <w:lang w:eastAsia="en-IN"/>
        </w:rPr>
        <w:t>₂</w:t>
      </w:r>
      <w:r w:rsidRPr="0069287C">
        <w:rPr>
          <w:rFonts w:ascii="Arial" w:hAnsi="Arial" w:cs="Arial"/>
          <w:lang w:eastAsia="en-IN"/>
        </w:rPr>
        <w:t>), and selenium nanoparticles to enhance growth and productivity. These nanoparticles can be applied during spawn preparation, substrate supplementation, or cultivation stages.</w:t>
      </w:r>
    </w:p>
    <w:p w14:paraId="18CA8A0B" w14:textId="77777777"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lastRenderedPageBreak/>
        <w:t xml:space="preserve">Oyster mushrooms are particularly suitable for nanobiotechnology due to their ability to synthesize nanoparticles through biological processes, known as </w:t>
      </w:r>
      <w:proofErr w:type="spellStart"/>
      <w:r w:rsidRPr="001A706F">
        <w:rPr>
          <w:rFonts w:ascii="Arial" w:hAnsi="Arial" w:cs="Arial"/>
          <w:lang w:eastAsia="en-IN"/>
        </w:rPr>
        <w:t>mycosynthesis</w:t>
      </w:r>
      <w:proofErr w:type="spellEnd"/>
      <w:r w:rsidRPr="001A706F">
        <w:rPr>
          <w:rFonts w:ascii="Arial" w:hAnsi="Arial" w:cs="Arial"/>
          <w:lang w:eastAsia="en-IN"/>
        </w:rPr>
        <w:t>,</w:t>
      </w:r>
      <w:r w:rsidRPr="0069287C">
        <w:rPr>
          <w:rFonts w:ascii="Arial" w:hAnsi="Arial" w:cs="Arial"/>
          <w:lang w:eastAsia="en-IN"/>
        </w:rPr>
        <w:t xml:space="preserve"> where fungal biomolecules act as reducing and stabilizing agents (</w:t>
      </w:r>
      <w:proofErr w:type="spellStart"/>
      <w:r w:rsidRPr="0069287C">
        <w:rPr>
          <w:rFonts w:ascii="Arial" w:hAnsi="Arial" w:cs="Arial"/>
          <w:lang w:eastAsia="en-IN"/>
        </w:rPr>
        <w:t>Owaid</w:t>
      </w:r>
      <w:proofErr w:type="spellEnd"/>
      <w:r w:rsidRPr="0069287C">
        <w:rPr>
          <w:rFonts w:ascii="Arial" w:hAnsi="Arial" w:cs="Arial"/>
          <w:lang w:eastAsia="en-IN"/>
        </w:rPr>
        <w:t xml:space="preserve">, 2019; </w:t>
      </w:r>
      <w:proofErr w:type="spellStart"/>
      <w:r w:rsidRPr="0069287C">
        <w:rPr>
          <w:rFonts w:ascii="Arial" w:hAnsi="Arial" w:cs="Arial"/>
          <w:lang w:eastAsia="en-IN"/>
        </w:rPr>
        <w:t>Sinhal</w:t>
      </w:r>
      <w:proofErr w:type="spellEnd"/>
      <w:r w:rsidRPr="0069287C">
        <w:rPr>
          <w:rFonts w:ascii="Arial" w:hAnsi="Arial" w:cs="Arial"/>
          <w:lang w:eastAsia="en-IN"/>
        </w:rPr>
        <w:t xml:space="preserve"> et al., 2026</w:t>
      </w:r>
      <w:proofErr w:type="gramStart"/>
      <w:r w:rsidRPr="0069287C">
        <w:rPr>
          <w:rFonts w:ascii="Arial" w:hAnsi="Arial" w:cs="Arial"/>
          <w:lang w:eastAsia="en-IN"/>
        </w:rPr>
        <w:t>) .</w:t>
      </w:r>
      <w:proofErr w:type="gramEnd"/>
      <w:r w:rsidRPr="0069287C">
        <w:rPr>
          <w:rFonts w:ascii="Arial" w:hAnsi="Arial" w:cs="Arial"/>
          <w:lang w:eastAsia="en-IN"/>
        </w:rPr>
        <w:t xml:space="preserve"> This eco-friendly synthesis approach aligns with sustainable agricultural practices and reduces dependency on toxic chemical methods.</w:t>
      </w:r>
    </w:p>
    <w:p w14:paraId="2D1E88A9" w14:textId="34A48C2D" w:rsidR="00176111" w:rsidRPr="001A706F" w:rsidRDefault="001A706F" w:rsidP="00201C4E">
      <w:pPr>
        <w:spacing w:before="100" w:beforeAutospacing="1" w:after="100" w:afterAutospacing="1" w:line="360" w:lineRule="auto"/>
        <w:jc w:val="both"/>
        <w:rPr>
          <w:rFonts w:ascii="Arial" w:hAnsi="Arial" w:cs="Arial"/>
          <w:b/>
          <w:bCs/>
          <w:sz w:val="22"/>
          <w:szCs w:val="22"/>
          <w:lang w:eastAsia="en-IN"/>
        </w:rPr>
      </w:pPr>
      <w:r w:rsidRPr="001A706F">
        <w:rPr>
          <w:rFonts w:ascii="Arial" w:hAnsi="Arial" w:cs="Arial"/>
          <w:b/>
          <w:bCs/>
          <w:sz w:val="22"/>
          <w:szCs w:val="22"/>
          <w:lang w:eastAsia="en-IN"/>
        </w:rPr>
        <w:t>FORTIFICATION AND BIOFORTIFICATION CONCEPT</w:t>
      </w:r>
    </w:p>
    <w:p w14:paraId="076D8BDF" w14:textId="77777777"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Fortification refers to the enrichment of food products with essential nutrients, while </w:t>
      </w:r>
      <w:r w:rsidRPr="001A706F">
        <w:rPr>
          <w:rFonts w:ascii="Arial" w:hAnsi="Arial" w:cs="Arial"/>
          <w:lang w:eastAsia="en-IN"/>
        </w:rPr>
        <w:t>biofortification</w:t>
      </w:r>
      <w:r w:rsidRPr="0069287C">
        <w:rPr>
          <w:rFonts w:ascii="Arial" w:hAnsi="Arial" w:cs="Arial"/>
          <w:lang w:eastAsia="en-IN"/>
        </w:rPr>
        <w:t xml:space="preserve"> involves enhancing nutrient content during the growth stage itself. Nanotechnology plays a crucial role in biofortification by delivering micronutrients in nano-form, which improves their bioavailability and uptake efficiency.</w:t>
      </w:r>
    </w:p>
    <w:p w14:paraId="109BA0A3" w14:textId="77777777"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Recent studies have demonstrated that the application of </w:t>
      </w:r>
      <w:proofErr w:type="spellStart"/>
      <w:r w:rsidRPr="0069287C">
        <w:rPr>
          <w:rFonts w:ascii="Arial" w:hAnsi="Arial" w:cs="Arial"/>
          <w:lang w:eastAsia="en-IN"/>
        </w:rPr>
        <w:t>ZnO</w:t>
      </w:r>
      <w:proofErr w:type="spellEnd"/>
      <w:r w:rsidRPr="0069287C">
        <w:rPr>
          <w:rFonts w:ascii="Arial" w:hAnsi="Arial" w:cs="Arial"/>
          <w:lang w:eastAsia="en-IN"/>
        </w:rPr>
        <w:t xml:space="preserve"> nanoparticles in oyster mushroom cultivation significantly enhances nutrient content, including proteins, minerals, and antioxidants (Dhaliwal et al., 2022; Frontiers study, 2025</w:t>
      </w:r>
      <w:proofErr w:type="gramStart"/>
      <w:r w:rsidRPr="0069287C">
        <w:rPr>
          <w:rFonts w:ascii="Arial" w:hAnsi="Arial" w:cs="Arial"/>
          <w:lang w:eastAsia="en-IN"/>
        </w:rPr>
        <w:t>) .</w:t>
      </w:r>
      <w:proofErr w:type="gramEnd"/>
      <w:r w:rsidRPr="0069287C">
        <w:rPr>
          <w:rFonts w:ascii="Arial" w:hAnsi="Arial" w:cs="Arial"/>
          <w:lang w:eastAsia="en-IN"/>
        </w:rPr>
        <w:t xml:space="preserve"> The addition of </w:t>
      </w:r>
      <w:proofErr w:type="spellStart"/>
      <w:r w:rsidRPr="0069287C">
        <w:rPr>
          <w:rFonts w:ascii="Arial" w:hAnsi="Arial" w:cs="Arial"/>
          <w:lang w:eastAsia="en-IN"/>
        </w:rPr>
        <w:t>ZnO</w:t>
      </w:r>
      <w:proofErr w:type="spellEnd"/>
      <w:r w:rsidRPr="0069287C">
        <w:rPr>
          <w:rFonts w:ascii="Arial" w:hAnsi="Arial" w:cs="Arial"/>
          <w:lang w:eastAsia="en-IN"/>
        </w:rPr>
        <w:t xml:space="preserve"> nanoparticles at optimal concentrations (e.g., 20 ppm) has been shown to increase the levels of phenols, flavonoids, and antioxidant enzymes in </w:t>
      </w:r>
      <w:r w:rsidRPr="0069287C">
        <w:rPr>
          <w:rFonts w:ascii="Arial" w:hAnsi="Arial" w:cs="Arial"/>
          <w:i/>
          <w:iCs/>
          <w:lang w:eastAsia="en-IN"/>
        </w:rPr>
        <w:t>Pleurotus</w:t>
      </w:r>
      <w:r w:rsidRPr="0069287C">
        <w:rPr>
          <w:rFonts w:ascii="Arial" w:hAnsi="Arial" w:cs="Arial"/>
          <w:lang w:eastAsia="en-IN"/>
        </w:rPr>
        <w:t xml:space="preserve"> spp., thereby improving their nutritional and medicinal value.</w:t>
      </w:r>
    </w:p>
    <w:p w14:paraId="3D6E50A7" w14:textId="77777777"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Furthermore, biofortification using nanoparticles provides a cost-effective and sustainable approach to combat micronutrient deficiencies in human populations. The enhanced accumulation of micronutrients such as zinc and selenium in mushroom fruiting bodies contributes to improved dietary quality and health benefits.</w:t>
      </w:r>
    </w:p>
    <w:p w14:paraId="4C18DC6D" w14:textId="6BAF3079" w:rsidR="00176111" w:rsidRPr="001A706F" w:rsidRDefault="001A706F" w:rsidP="00201C4E">
      <w:pPr>
        <w:spacing w:before="100" w:beforeAutospacing="1" w:after="100" w:afterAutospacing="1" w:line="360" w:lineRule="auto"/>
        <w:jc w:val="both"/>
        <w:rPr>
          <w:rFonts w:ascii="Arial" w:hAnsi="Arial" w:cs="Arial"/>
          <w:b/>
          <w:bCs/>
          <w:sz w:val="22"/>
          <w:szCs w:val="22"/>
          <w:lang w:eastAsia="en-IN"/>
        </w:rPr>
      </w:pPr>
      <w:r w:rsidRPr="001A706F">
        <w:rPr>
          <w:rFonts w:ascii="Arial" w:hAnsi="Arial" w:cs="Arial"/>
          <w:b/>
          <w:bCs/>
          <w:sz w:val="22"/>
          <w:szCs w:val="22"/>
          <w:lang w:eastAsia="en-IN"/>
        </w:rPr>
        <w:t>EFFECT OF NANOPARTICLES ON MYCELIAL GROWTH</w:t>
      </w:r>
    </w:p>
    <w:p w14:paraId="08408240" w14:textId="607ABBE4"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Nanoparticles have been reported to significantly influence mycelial growth and development. At optimal concentrations, nanoparticles act as growth stimulators by enhancing enzyme activity, nutrient uptake, and metabolic processes.</w:t>
      </w:r>
      <w:r w:rsidR="001A706F">
        <w:rPr>
          <w:rFonts w:ascii="Arial" w:hAnsi="Arial" w:cs="Arial"/>
          <w:lang w:eastAsia="en-IN"/>
        </w:rPr>
        <w:t xml:space="preserve"> </w:t>
      </w:r>
      <w:r w:rsidRPr="0069287C">
        <w:rPr>
          <w:rFonts w:ascii="Arial" w:hAnsi="Arial" w:cs="Arial"/>
          <w:lang w:eastAsia="en-IN"/>
        </w:rPr>
        <w:t xml:space="preserve">For instance, </w:t>
      </w:r>
      <w:proofErr w:type="spellStart"/>
      <w:r w:rsidRPr="0069287C">
        <w:rPr>
          <w:rFonts w:ascii="Arial" w:hAnsi="Arial" w:cs="Arial"/>
          <w:lang w:eastAsia="en-IN"/>
        </w:rPr>
        <w:t>ZnO</w:t>
      </w:r>
      <w:proofErr w:type="spellEnd"/>
      <w:r w:rsidRPr="0069287C">
        <w:rPr>
          <w:rFonts w:ascii="Arial" w:hAnsi="Arial" w:cs="Arial"/>
          <w:lang w:eastAsia="en-IN"/>
        </w:rPr>
        <w:t xml:space="preserve"> nanoparticles have been shown to increase radial mycelial growth and improve morphological characteristics such as cap diameter and stipe length in oyster mushrooms (Frontiers study, 2025</w:t>
      </w:r>
      <w:proofErr w:type="gramStart"/>
      <w:r w:rsidRPr="0069287C">
        <w:rPr>
          <w:rFonts w:ascii="Arial" w:hAnsi="Arial" w:cs="Arial"/>
          <w:lang w:eastAsia="en-IN"/>
        </w:rPr>
        <w:t>) .</w:t>
      </w:r>
      <w:proofErr w:type="gramEnd"/>
      <w:r w:rsidRPr="0069287C">
        <w:rPr>
          <w:rFonts w:ascii="Arial" w:hAnsi="Arial" w:cs="Arial"/>
          <w:lang w:eastAsia="en-IN"/>
        </w:rPr>
        <w:t xml:space="preserve"> This enhancement is attributed to the role of zinc as an essential micronutrient involved in enzyme activation, protein synthesis, and cellular metabolism.</w:t>
      </w:r>
    </w:p>
    <w:p w14:paraId="12C94BC1" w14:textId="35171858"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lastRenderedPageBreak/>
        <w:t>Similarly, other nanoparticles such as silver and titanium dioxide have been reported to influence fungal physiology by:</w:t>
      </w:r>
      <w:r w:rsidR="001A706F">
        <w:rPr>
          <w:rFonts w:ascii="Arial" w:hAnsi="Arial" w:cs="Arial"/>
          <w:lang w:eastAsia="en-IN"/>
        </w:rPr>
        <w:t xml:space="preserve"> </w:t>
      </w:r>
      <w:r w:rsidRPr="0069287C">
        <w:rPr>
          <w:rFonts w:ascii="Arial" w:hAnsi="Arial" w:cs="Arial"/>
          <w:lang w:eastAsia="en-IN"/>
        </w:rPr>
        <w:t>Enhancing enzymatic activity</w:t>
      </w:r>
      <w:r w:rsidR="001A706F">
        <w:rPr>
          <w:rFonts w:ascii="Arial" w:hAnsi="Arial" w:cs="Arial"/>
          <w:lang w:eastAsia="en-IN"/>
        </w:rPr>
        <w:t xml:space="preserve">, </w:t>
      </w:r>
      <w:r w:rsidR="001A706F" w:rsidRPr="0069287C">
        <w:rPr>
          <w:rFonts w:ascii="Arial" w:hAnsi="Arial" w:cs="Arial"/>
          <w:lang w:eastAsia="en-IN"/>
        </w:rPr>
        <w:t>improving</w:t>
      </w:r>
      <w:r w:rsidRPr="0069287C">
        <w:rPr>
          <w:rFonts w:ascii="Arial" w:hAnsi="Arial" w:cs="Arial"/>
          <w:lang w:eastAsia="en-IN"/>
        </w:rPr>
        <w:t xml:space="preserve"> substrate degradation</w:t>
      </w:r>
      <w:r w:rsidR="001A706F">
        <w:rPr>
          <w:rFonts w:ascii="Arial" w:hAnsi="Arial" w:cs="Arial"/>
          <w:lang w:eastAsia="en-IN"/>
        </w:rPr>
        <w:t>, s</w:t>
      </w:r>
      <w:r w:rsidRPr="0069287C">
        <w:rPr>
          <w:rFonts w:ascii="Arial" w:hAnsi="Arial" w:cs="Arial"/>
          <w:lang w:eastAsia="en-IN"/>
        </w:rPr>
        <w:t xml:space="preserve">timulating lignocellulosic breakdown </w:t>
      </w:r>
    </w:p>
    <w:p w14:paraId="4F6BD60C" w14:textId="681F63CD"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However, the effect of nanoparticles is highly concentration-dependent. While low concentrations stimulate growth, higher concentrations may exert toxic effects and inhibit mycelial development (Bhardwaj et al., 2020)</w:t>
      </w:r>
      <w:r w:rsidR="001A706F">
        <w:rPr>
          <w:rFonts w:ascii="Arial" w:hAnsi="Arial" w:cs="Arial"/>
          <w:lang w:eastAsia="en-IN"/>
        </w:rPr>
        <w:t>.</w:t>
      </w:r>
    </w:p>
    <w:p w14:paraId="76FF6744" w14:textId="169DFC05" w:rsidR="00176111" w:rsidRPr="001A706F" w:rsidRDefault="001A706F" w:rsidP="00201C4E">
      <w:pPr>
        <w:spacing w:before="100" w:beforeAutospacing="1" w:after="100" w:afterAutospacing="1" w:line="360" w:lineRule="auto"/>
        <w:jc w:val="both"/>
        <w:rPr>
          <w:rFonts w:ascii="Arial" w:hAnsi="Arial" w:cs="Arial"/>
          <w:b/>
          <w:bCs/>
          <w:sz w:val="22"/>
          <w:szCs w:val="22"/>
          <w:lang w:eastAsia="en-IN"/>
        </w:rPr>
      </w:pPr>
      <w:r w:rsidRPr="001A706F">
        <w:rPr>
          <w:rFonts w:ascii="Arial" w:hAnsi="Arial" w:cs="Arial"/>
          <w:b/>
          <w:bCs/>
          <w:sz w:val="22"/>
          <w:szCs w:val="22"/>
          <w:lang w:eastAsia="en-IN"/>
        </w:rPr>
        <w:t>ANTIMICROBIAL EFFECTS OF NANOPARTICLES</w:t>
      </w:r>
    </w:p>
    <w:p w14:paraId="3F29A4E6" w14:textId="77777777"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One of the most significant advantages of nanotechnology in mushroom cultivation is its antimicrobial potential. Contamination by bacteria, molds, and other fungi is a major challenge in spawn production and mushroom cultivation.</w:t>
      </w:r>
    </w:p>
    <w:p w14:paraId="3EB83396" w14:textId="498AC218" w:rsidR="00176111" w:rsidRPr="0069287C" w:rsidRDefault="00176111" w:rsidP="001A706F">
      <w:pPr>
        <w:spacing w:before="100" w:beforeAutospacing="1" w:after="100" w:afterAutospacing="1" w:line="360" w:lineRule="auto"/>
        <w:ind w:firstLine="360"/>
        <w:jc w:val="both"/>
        <w:rPr>
          <w:rFonts w:ascii="Arial" w:hAnsi="Arial" w:cs="Arial"/>
          <w:lang w:eastAsia="en-IN"/>
        </w:rPr>
      </w:pPr>
      <w:r w:rsidRPr="0069287C">
        <w:rPr>
          <w:rFonts w:ascii="Arial" w:hAnsi="Arial" w:cs="Arial"/>
          <w:lang w:eastAsia="en-IN"/>
        </w:rPr>
        <w:t>Nanoparticles such as silver (</w:t>
      </w:r>
      <w:proofErr w:type="spellStart"/>
      <w:r w:rsidRPr="0069287C">
        <w:rPr>
          <w:rFonts w:ascii="Arial" w:hAnsi="Arial" w:cs="Arial"/>
          <w:lang w:eastAsia="en-IN"/>
        </w:rPr>
        <w:t>AgNPs</w:t>
      </w:r>
      <w:proofErr w:type="spellEnd"/>
      <w:r w:rsidRPr="0069287C">
        <w:rPr>
          <w:rFonts w:ascii="Arial" w:hAnsi="Arial" w:cs="Arial"/>
          <w:lang w:eastAsia="en-IN"/>
        </w:rPr>
        <w:t>), zinc oxide (</w:t>
      </w:r>
      <w:proofErr w:type="spellStart"/>
      <w:r w:rsidRPr="0069287C">
        <w:rPr>
          <w:rFonts w:ascii="Arial" w:hAnsi="Arial" w:cs="Arial"/>
          <w:lang w:eastAsia="en-IN"/>
        </w:rPr>
        <w:t>ZnO</w:t>
      </w:r>
      <w:proofErr w:type="spellEnd"/>
      <w:r w:rsidRPr="0069287C">
        <w:rPr>
          <w:rFonts w:ascii="Arial" w:hAnsi="Arial" w:cs="Arial"/>
          <w:lang w:eastAsia="en-IN"/>
        </w:rPr>
        <w:t xml:space="preserve"> NPs), and selenium nanoparticles exhibit strong antimicrobial activity against a wide range of pathogens. These nanoparticles act through multiple mechanisms, including:</w:t>
      </w:r>
      <w:r w:rsidR="001A706F">
        <w:rPr>
          <w:rFonts w:ascii="Arial" w:hAnsi="Arial" w:cs="Arial"/>
          <w:lang w:eastAsia="en-IN"/>
        </w:rPr>
        <w:t xml:space="preserve"> </w:t>
      </w:r>
      <w:r w:rsidRPr="0069287C">
        <w:rPr>
          <w:rFonts w:ascii="Arial" w:hAnsi="Arial" w:cs="Arial"/>
          <w:lang w:eastAsia="en-IN"/>
        </w:rPr>
        <w:t>Generation of reactive oxygen species (ROS)</w:t>
      </w:r>
      <w:r w:rsidR="001A706F">
        <w:rPr>
          <w:rFonts w:ascii="Arial" w:hAnsi="Arial" w:cs="Arial"/>
          <w:lang w:eastAsia="en-IN"/>
        </w:rPr>
        <w:t>, d</w:t>
      </w:r>
      <w:r w:rsidRPr="0069287C">
        <w:rPr>
          <w:rFonts w:ascii="Arial" w:hAnsi="Arial" w:cs="Arial"/>
          <w:lang w:eastAsia="en-IN"/>
        </w:rPr>
        <w:t>isruption of microbial cell membranes</w:t>
      </w:r>
      <w:r w:rsidR="001A706F">
        <w:rPr>
          <w:rFonts w:ascii="Arial" w:hAnsi="Arial" w:cs="Arial"/>
          <w:lang w:eastAsia="en-IN"/>
        </w:rPr>
        <w:t>, i</w:t>
      </w:r>
      <w:r w:rsidRPr="0069287C">
        <w:rPr>
          <w:rFonts w:ascii="Arial" w:hAnsi="Arial" w:cs="Arial"/>
          <w:lang w:eastAsia="en-IN"/>
        </w:rPr>
        <w:t xml:space="preserve">nterference with DNA and protein synthesis </w:t>
      </w:r>
    </w:p>
    <w:p w14:paraId="3B9FDEEE" w14:textId="7E005136"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 xml:space="preserve">Studies have shown that silver nanoparticles synthesized from </w:t>
      </w:r>
      <w:r w:rsidRPr="0069287C">
        <w:rPr>
          <w:rFonts w:ascii="Arial" w:hAnsi="Arial" w:cs="Arial"/>
          <w:i/>
          <w:iCs/>
          <w:lang w:eastAsia="en-IN"/>
        </w:rPr>
        <w:t>Pleurotus</w:t>
      </w:r>
      <w:r w:rsidRPr="0069287C">
        <w:rPr>
          <w:rFonts w:ascii="Arial" w:hAnsi="Arial" w:cs="Arial"/>
          <w:lang w:eastAsia="en-IN"/>
        </w:rPr>
        <w:t xml:space="preserve"> spp. exhibit strong antibacterial and antifungal activity against pathogenic microorganisms (</w:t>
      </w:r>
      <w:proofErr w:type="spellStart"/>
      <w:r w:rsidRPr="0069287C">
        <w:rPr>
          <w:rFonts w:ascii="Arial" w:hAnsi="Arial" w:cs="Arial"/>
          <w:lang w:eastAsia="en-IN"/>
        </w:rPr>
        <w:t>Owaid</w:t>
      </w:r>
      <w:proofErr w:type="spellEnd"/>
      <w:r w:rsidRPr="0069287C">
        <w:rPr>
          <w:rFonts w:ascii="Arial" w:hAnsi="Arial" w:cs="Arial"/>
          <w:lang w:eastAsia="en-IN"/>
        </w:rPr>
        <w:t>, 2019; Elumalai et al., 2017</w:t>
      </w:r>
      <w:proofErr w:type="gramStart"/>
      <w:r w:rsidRPr="0069287C">
        <w:rPr>
          <w:rFonts w:ascii="Arial" w:hAnsi="Arial" w:cs="Arial"/>
          <w:lang w:eastAsia="en-IN"/>
        </w:rPr>
        <w:t>) .</w:t>
      </w:r>
      <w:proofErr w:type="gramEnd"/>
      <w:r w:rsidRPr="0069287C">
        <w:rPr>
          <w:rFonts w:ascii="Arial" w:hAnsi="Arial" w:cs="Arial"/>
          <w:lang w:eastAsia="en-IN"/>
        </w:rPr>
        <w:t xml:space="preserve"> Similarly, selenium nanoparticles derived from oyster mushrooms have demonstrated inhibitory effects against bacterial pathogens such as </w:t>
      </w:r>
      <w:r w:rsidRPr="0069287C">
        <w:rPr>
          <w:rFonts w:ascii="Arial" w:hAnsi="Arial" w:cs="Arial"/>
          <w:i/>
          <w:iCs/>
          <w:lang w:eastAsia="en-IN"/>
        </w:rPr>
        <w:t>Streptococcus mutans</w:t>
      </w:r>
      <w:r w:rsidRPr="0069287C">
        <w:rPr>
          <w:rFonts w:ascii="Arial" w:hAnsi="Arial" w:cs="Arial"/>
          <w:lang w:eastAsia="en-IN"/>
        </w:rPr>
        <w:t xml:space="preserve"> and </w:t>
      </w:r>
      <w:r w:rsidRPr="0069287C">
        <w:rPr>
          <w:rFonts w:ascii="Arial" w:hAnsi="Arial" w:cs="Arial"/>
          <w:i/>
          <w:iCs/>
          <w:lang w:eastAsia="en-IN"/>
        </w:rPr>
        <w:t>Enterococcus faecalis</w:t>
      </w:r>
      <w:r w:rsidRPr="0069287C">
        <w:rPr>
          <w:rFonts w:ascii="Arial" w:hAnsi="Arial" w:cs="Arial"/>
          <w:lang w:eastAsia="en-IN"/>
        </w:rPr>
        <w:t xml:space="preserve"> (Antony, 2023)</w:t>
      </w:r>
      <w:r w:rsidR="001A706F">
        <w:rPr>
          <w:rFonts w:ascii="Arial" w:hAnsi="Arial" w:cs="Arial"/>
          <w:lang w:eastAsia="en-IN"/>
        </w:rPr>
        <w:t>.</w:t>
      </w:r>
    </w:p>
    <w:p w14:paraId="1FA56419" w14:textId="56DD3481"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t>The antimicrobial properties of nanoparticles help in:</w:t>
      </w:r>
      <w:r w:rsidR="001A706F">
        <w:rPr>
          <w:rFonts w:ascii="Arial" w:hAnsi="Arial" w:cs="Arial"/>
          <w:lang w:eastAsia="en-IN"/>
        </w:rPr>
        <w:t xml:space="preserve"> R</w:t>
      </w:r>
      <w:r w:rsidRPr="0069287C">
        <w:rPr>
          <w:rFonts w:ascii="Arial" w:hAnsi="Arial" w:cs="Arial"/>
          <w:lang w:eastAsia="en-IN"/>
        </w:rPr>
        <w:t>educing contamination during spawn production</w:t>
      </w:r>
      <w:r w:rsidR="001A706F">
        <w:rPr>
          <w:rFonts w:ascii="Arial" w:hAnsi="Arial" w:cs="Arial"/>
          <w:lang w:eastAsia="en-IN"/>
        </w:rPr>
        <w:t>, e</w:t>
      </w:r>
      <w:r w:rsidRPr="0069287C">
        <w:rPr>
          <w:rFonts w:ascii="Arial" w:hAnsi="Arial" w:cs="Arial"/>
          <w:lang w:eastAsia="en-IN"/>
        </w:rPr>
        <w:t>nhancing shelf life of spawn</w:t>
      </w:r>
      <w:r w:rsidR="001A706F">
        <w:rPr>
          <w:rFonts w:ascii="Arial" w:hAnsi="Arial" w:cs="Arial"/>
          <w:lang w:eastAsia="en-IN"/>
        </w:rPr>
        <w:t>, i</w:t>
      </w:r>
      <w:r w:rsidRPr="0069287C">
        <w:rPr>
          <w:rFonts w:ascii="Arial" w:hAnsi="Arial" w:cs="Arial"/>
          <w:lang w:eastAsia="en-IN"/>
        </w:rPr>
        <w:t>mproving overall crop health</w:t>
      </w:r>
      <w:r w:rsidR="001A706F">
        <w:rPr>
          <w:rFonts w:ascii="Arial" w:hAnsi="Arial" w:cs="Arial"/>
          <w:lang w:eastAsia="en-IN"/>
        </w:rPr>
        <w:t xml:space="preserve">. </w:t>
      </w:r>
      <w:r w:rsidRPr="0069287C">
        <w:rPr>
          <w:rFonts w:ascii="Arial" w:hAnsi="Arial" w:cs="Arial"/>
          <w:lang w:eastAsia="en-IN"/>
        </w:rPr>
        <w:t>Thus, nanotechnology provides an effective alternative to chemical fungicides and antibiotics in mushroom cultivation.</w:t>
      </w:r>
    </w:p>
    <w:p w14:paraId="26FDDB2A" w14:textId="5A85AB22" w:rsidR="00176111" w:rsidRPr="001A706F" w:rsidRDefault="001A706F" w:rsidP="00201C4E">
      <w:pPr>
        <w:spacing w:before="100" w:beforeAutospacing="1" w:after="100" w:afterAutospacing="1" w:line="360" w:lineRule="auto"/>
        <w:jc w:val="both"/>
        <w:rPr>
          <w:rFonts w:ascii="Arial" w:hAnsi="Arial" w:cs="Arial"/>
          <w:b/>
          <w:bCs/>
          <w:sz w:val="22"/>
          <w:szCs w:val="22"/>
          <w:lang w:eastAsia="en-IN"/>
        </w:rPr>
      </w:pPr>
      <w:r w:rsidRPr="001A706F">
        <w:rPr>
          <w:rFonts w:ascii="Arial" w:hAnsi="Arial" w:cs="Arial"/>
          <w:b/>
          <w:bCs/>
          <w:sz w:val="22"/>
          <w:szCs w:val="22"/>
          <w:lang w:eastAsia="en-IN"/>
        </w:rPr>
        <w:t>YIELD IMPROVEMENT THROUGH NANOTECHNOLOGY</w:t>
      </w:r>
    </w:p>
    <w:p w14:paraId="308E4CEB" w14:textId="03372F7F"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Nanoparticles have been widely reported to enhance yield and biological efficiency in oyster mushroom cultivation. The improvement in yield is primarily due to:</w:t>
      </w:r>
      <w:r w:rsidR="001A706F">
        <w:rPr>
          <w:rFonts w:ascii="Arial" w:hAnsi="Arial" w:cs="Arial"/>
          <w:lang w:eastAsia="en-IN"/>
        </w:rPr>
        <w:t xml:space="preserve"> </w:t>
      </w:r>
      <w:r w:rsidRPr="0069287C">
        <w:rPr>
          <w:rFonts w:ascii="Arial" w:hAnsi="Arial" w:cs="Arial"/>
          <w:lang w:eastAsia="en-IN"/>
        </w:rPr>
        <w:t>Enhanced mycelial colonization</w:t>
      </w:r>
      <w:r w:rsidR="001A706F">
        <w:rPr>
          <w:rFonts w:ascii="Arial" w:hAnsi="Arial" w:cs="Arial"/>
          <w:lang w:eastAsia="en-IN"/>
        </w:rPr>
        <w:t>, i</w:t>
      </w:r>
      <w:r w:rsidRPr="0069287C">
        <w:rPr>
          <w:rFonts w:ascii="Arial" w:hAnsi="Arial" w:cs="Arial"/>
          <w:lang w:eastAsia="en-IN"/>
        </w:rPr>
        <w:t>mproved nutrient utilization</w:t>
      </w:r>
      <w:r w:rsidR="001A706F">
        <w:rPr>
          <w:rFonts w:ascii="Arial" w:hAnsi="Arial" w:cs="Arial"/>
          <w:lang w:eastAsia="en-IN"/>
        </w:rPr>
        <w:t>, i</w:t>
      </w:r>
      <w:r w:rsidRPr="0069287C">
        <w:rPr>
          <w:rFonts w:ascii="Arial" w:hAnsi="Arial" w:cs="Arial"/>
          <w:lang w:eastAsia="en-IN"/>
        </w:rPr>
        <w:t xml:space="preserve">ncreased enzymatic activity </w:t>
      </w:r>
    </w:p>
    <w:p w14:paraId="5E29AAA9" w14:textId="77777777"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lastRenderedPageBreak/>
        <w:t xml:space="preserve">Research indicates that </w:t>
      </w:r>
      <w:proofErr w:type="spellStart"/>
      <w:r w:rsidRPr="0069287C">
        <w:rPr>
          <w:rFonts w:ascii="Arial" w:hAnsi="Arial" w:cs="Arial"/>
          <w:lang w:eastAsia="en-IN"/>
        </w:rPr>
        <w:t>ZnO</w:t>
      </w:r>
      <w:proofErr w:type="spellEnd"/>
      <w:r w:rsidRPr="0069287C">
        <w:rPr>
          <w:rFonts w:ascii="Arial" w:hAnsi="Arial" w:cs="Arial"/>
          <w:lang w:eastAsia="en-IN"/>
        </w:rPr>
        <w:t xml:space="preserve"> nanoparticles significantly increase the yield of </w:t>
      </w:r>
      <w:r w:rsidRPr="0069287C">
        <w:rPr>
          <w:rFonts w:ascii="Arial" w:hAnsi="Arial" w:cs="Arial"/>
          <w:i/>
          <w:iCs/>
          <w:lang w:eastAsia="en-IN"/>
        </w:rPr>
        <w:t>Pleurotus</w:t>
      </w:r>
      <w:r w:rsidRPr="0069287C">
        <w:rPr>
          <w:rFonts w:ascii="Arial" w:hAnsi="Arial" w:cs="Arial"/>
          <w:lang w:eastAsia="en-IN"/>
        </w:rPr>
        <w:t xml:space="preserve"> spp., with optimal concentrations resulting in improved fruiting body size, weight, and number (Frontiers study, 2025</w:t>
      </w:r>
      <w:proofErr w:type="gramStart"/>
      <w:r w:rsidRPr="0069287C">
        <w:rPr>
          <w:rFonts w:ascii="Arial" w:hAnsi="Arial" w:cs="Arial"/>
          <w:lang w:eastAsia="en-IN"/>
        </w:rPr>
        <w:t>) .</w:t>
      </w:r>
      <w:proofErr w:type="gramEnd"/>
      <w:r w:rsidRPr="0069287C">
        <w:rPr>
          <w:rFonts w:ascii="Arial" w:hAnsi="Arial" w:cs="Arial"/>
          <w:lang w:eastAsia="en-IN"/>
        </w:rPr>
        <w:t xml:space="preserve"> The nanoparticles also enhance morphological traits such as pileus diameter and stipe length, which contribute to higher market value.</w:t>
      </w:r>
    </w:p>
    <w:p w14:paraId="7F8506AF" w14:textId="77777777" w:rsidR="00176111" w:rsidRPr="0069287C" w:rsidRDefault="00176111" w:rsidP="001A706F">
      <w:pPr>
        <w:spacing w:line="360" w:lineRule="auto"/>
        <w:ind w:firstLine="720"/>
        <w:jc w:val="both"/>
        <w:rPr>
          <w:rFonts w:ascii="Arial" w:hAnsi="Arial" w:cs="Arial"/>
        </w:rPr>
      </w:pPr>
      <w:r w:rsidRPr="0069287C">
        <w:rPr>
          <w:rFonts w:ascii="Arial" w:hAnsi="Arial" w:cs="Arial"/>
          <w:lang w:eastAsia="en-IN"/>
        </w:rPr>
        <w:t xml:space="preserve">Additionally, nanoparticles stimulate the production of bioactive compounds such as antioxidants, phenolics, and flavonoids, which improve the nutritional quality of mushrooms. This dual benefit of yield enhancement and nutritional enrichment makes nanotechnology a promising tool in mushroom production systems. </w:t>
      </w:r>
      <w:r w:rsidRPr="0069287C">
        <w:rPr>
          <w:rFonts w:ascii="Arial" w:hAnsi="Arial" w:cs="Arial"/>
        </w:rPr>
        <w:t xml:space="preserve">Nanotechnology has gained significant attention in agriculture due to its potential to enhance productivity and sustainability (Kumar et al., 2018; Verma et al., 2020; Tiwari et al., 2017; Mehta et al., 2017). Nanoparticles such as </w:t>
      </w:r>
      <w:proofErr w:type="spellStart"/>
      <w:r w:rsidRPr="0069287C">
        <w:rPr>
          <w:rFonts w:ascii="Arial" w:hAnsi="Arial" w:cs="Arial"/>
        </w:rPr>
        <w:t>ZnO</w:t>
      </w:r>
      <w:proofErr w:type="spellEnd"/>
      <w:r w:rsidRPr="0069287C">
        <w:rPr>
          <w:rFonts w:ascii="Arial" w:hAnsi="Arial" w:cs="Arial"/>
        </w:rPr>
        <w:t xml:space="preserve">, Ag, and </w:t>
      </w:r>
      <w:proofErr w:type="spellStart"/>
      <w:r w:rsidRPr="0069287C">
        <w:rPr>
          <w:rFonts w:ascii="Arial" w:hAnsi="Arial" w:cs="Arial"/>
        </w:rPr>
        <w:t>TiO</w:t>
      </w:r>
      <w:proofErr w:type="spellEnd"/>
      <w:r w:rsidRPr="0069287C">
        <w:rPr>
          <w:rFonts w:ascii="Cambria Math" w:hAnsi="Cambria Math" w:cs="Cambria Math"/>
        </w:rPr>
        <w:t>₂</w:t>
      </w:r>
      <w:r w:rsidRPr="0069287C">
        <w:rPr>
          <w:rFonts w:ascii="Arial" w:hAnsi="Arial" w:cs="Arial"/>
        </w:rPr>
        <w:t xml:space="preserve"> have shown promising effects on fungal growth and metabolism (Sharma et al., 2018; Kumar et al., 2019).</w:t>
      </w:r>
    </w:p>
    <w:p w14:paraId="17AF26D7" w14:textId="65BCF957"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Studies indicate that nanoparticles enhance enzyme activity, nutrient uptake, and stress tolerance in biological systems (Reddy et al., 2016; Rao et al., 2015; Nair et al., 2014; Das et al., 2013; Ghosh et al., 2012). In oyster mushrooms, </w:t>
      </w:r>
      <w:proofErr w:type="spellStart"/>
      <w:r w:rsidRPr="0069287C">
        <w:rPr>
          <w:rFonts w:ascii="Arial" w:hAnsi="Arial" w:cs="Arial"/>
          <w:lang w:eastAsia="en-IN"/>
        </w:rPr>
        <w:t>ZnO</w:t>
      </w:r>
      <w:proofErr w:type="spellEnd"/>
      <w:r w:rsidRPr="0069287C">
        <w:rPr>
          <w:rFonts w:ascii="Arial" w:hAnsi="Arial" w:cs="Arial"/>
          <w:lang w:eastAsia="en-IN"/>
        </w:rPr>
        <w:t xml:space="preserve"> nanoparticles have been reported to improve yield, bioactive compounds, and antioxidant activity (Dhaliwal et al., 2022; Singh et al., 2022; Chandra et al., 2016).</w:t>
      </w:r>
      <w:r w:rsidR="001A706F">
        <w:rPr>
          <w:rFonts w:ascii="Arial" w:hAnsi="Arial" w:cs="Arial"/>
          <w:lang w:eastAsia="en-IN"/>
        </w:rPr>
        <w:t xml:space="preserve"> </w:t>
      </w:r>
      <w:r w:rsidRPr="0069287C">
        <w:rPr>
          <w:rFonts w:ascii="Arial" w:hAnsi="Arial" w:cs="Arial"/>
          <w:lang w:eastAsia="en-IN"/>
        </w:rPr>
        <w:t xml:space="preserve">Green synthesis of nanoparticles using fungi has opened new avenues in sustainable agriculture (Bhardwaj et al., 2020; </w:t>
      </w:r>
      <w:proofErr w:type="spellStart"/>
      <w:r w:rsidRPr="0069287C">
        <w:rPr>
          <w:rFonts w:ascii="Arial" w:hAnsi="Arial" w:cs="Arial"/>
          <w:lang w:eastAsia="en-IN"/>
        </w:rPr>
        <w:t>Owaid</w:t>
      </w:r>
      <w:proofErr w:type="spellEnd"/>
      <w:r w:rsidRPr="0069287C">
        <w:rPr>
          <w:rFonts w:ascii="Arial" w:hAnsi="Arial" w:cs="Arial"/>
          <w:lang w:eastAsia="en-IN"/>
        </w:rPr>
        <w:t>, 2019). These nanoparticles also exhibit strong antimicrobial properties, reducing contamination during spawn production (Elumalai et al., 2017; Antony, 2023)</w:t>
      </w:r>
    </w:p>
    <w:p w14:paraId="3571B71C" w14:textId="0FEA34C0" w:rsidR="00176111" w:rsidRPr="0069287C" w:rsidRDefault="001A706F" w:rsidP="00201C4E">
      <w:pPr>
        <w:spacing w:before="100" w:beforeAutospacing="1" w:after="100" w:afterAutospacing="1" w:line="360" w:lineRule="auto"/>
        <w:jc w:val="both"/>
        <w:rPr>
          <w:rFonts w:ascii="Arial" w:hAnsi="Arial" w:cs="Arial"/>
          <w:b/>
          <w:bCs/>
          <w:lang w:eastAsia="en-IN"/>
        </w:rPr>
      </w:pPr>
      <w:r w:rsidRPr="0069287C">
        <w:rPr>
          <w:rFonts w:ascii="Arial" w:hAnsi="Arial" w:cs="Arial"/>
          <w:b/>
          <w:bCs/>
          <w:lang w:eastAsia="en-IN"/>
        </w:rPr>
        <w:t>MECHANISM OF NANOPARTICLE ACTION IN MUSHROOMS</w:t>
      </w:r>
    </w:p>
    <w:p w14:paraId="7F059008" w14:textId="2D1A2D06" w:rsidR="00176111" w:rsidRPr="0069287C" w:rsidRDefault="00176111" w:rsidP="001A706F">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interaction of nanoparticles with fungal systems involves several biochemical and physiological mechanisms:</w:t>
      </w:r>
      <w:r w:rsidR="001A706F">
        <w:rPr>
          <w:rFonts w:ascii="Arial" w:hAnsi="Arial" w:cs="Arial"/>
          <w:lang w:eastAsia="en-IN"/>
        </w:rPr>
        <w:t xml:space="preserve"> </w:t>
      </w:r>
      <w:r w:rsidRPr="001A706F">
        <w:rPr>
          <w:rFonts w:ascii="Arial" w:hAnsi="Arial" w:cs="Arial"/>
          <w:lang w:eastAsia="en-IN"/>
        </w:rPr>
        <w:t>Enhanced Nutrient Uptake</w:t>
      </w:r>
      <w:r w:rsidR="001A706F">
        <w:rPr>
          <w:rFonts w:ascii="Arial" w:hAnsi="Arial" w:cs="Arial"/>
          <w:b/>
          <w:bCs/>
          <w:lang w:eastAsia="en-IN"/>
        </w:rPr>
        <w:t xml:space="preserve"> </w:t>
      </w:r>
      <w:r w:rsidR="001A706F" w:rsidRPr="001A706F">
        <w:rPr>
          <w:rFonts w:ascii="Arial" w:hAnsi="Arial" w:cs="Arial"/>
          <w:lang w:eastAsia="en-IN"/>
        </w:rPr>
        <w:t>-</w:t>
      </w:r>
      <w:r w:rsidR="001A706F">
        <w:rPr>
          <w:rFonts w:ascii="Arial" w:hAnsi="Arial" w:cs="Arial"/>
          <w:b/>
          <w:bCs/>
          <w:lang w:eastAsia="en-IN"/>
        </w:rPr>
        <w:t xml:space="preserve"> </w:t>
      </w:r>
      <w:r w:rsidRPr="0069287C">
        <w:rPr>
          <w:rFonts w:ascii="Arial" w:hAnsi="Arial" w:cs="Arial"/>
          <w:lang w:eastAsia="en-IN"/>
        </w:rPr>
        <w:t xml:space="preserve">Nanoparticles increase the surface area for nutrient absorption and improve nutrient transport within the fungal cells. </w:t>
      </w:r>
      <w:r w:rsidRPr="001A706F">
        <w:rPr>
          <w:rFonts w:ascii="Arial" w:hAnsi="Arial" w:cs="Arial"/>
          <w:lang w:eastAsia="en-IN"/>
        </w:rPr>
        <w:t>Enzyme Activation</w:t>
      </w:r>
      <w:r w:rsidR="001A706F">
        <w:rPr>
          <w:rFonts w:ascii="Arial" w:hAnsi="Arial" w:cs="Arial"/>
          <w:lang w:eastAsia="en-IN"/>
        </w:rPr>
        <w:t xml:space="preserve"> - </w:t>
      </w:r>
      <w:r w:rsidRPr="0069287C">
        <w:rPr>
          <w:rFonts w:ascii="Arial" w:hAnsi="Arial" w:cs="Arial"/>
          <w:lang w:eastAsia="en-IN"/>
        </w:rPr>
        <w:t xml:space="preserve">Metal nanoparticles act as cofactors for enzymes involved in lignocellulose degradation, thereby accelerating substrate utilization. </w:t>
      </w:r>
      <w:r w:rsidRPr="001A706F">
        <w:rPr>
          <w:rFonts w:ascii="Arial" w:hAnsi="Arial" w:cs="Arial"/>
          <w:lang w:eastAsia="en-IN"/>
        </w:rPr>
        <w:t>Stress Tolerance</w:t>
      </w:r>
      <w:r w:rsidR="001A706F">
        <w:rPr>
          <w:rFonts w:ascii="Arial" w:hAnsi="Arial" w:cs="Arial"/>
          <w:lang w:eastAsia="en-IN"/>
        </w:rPr>
        <w:t xml:space="preserve"> -</w:t>
      </w:r>
      <w:r w:rsidRPr="0069287C">
        <w:rPr>
          <w:rFonts w:ascii="Arial" w:hAnsi="Arial" w:cs="Arial"/>
          <w:lang w:eastAsia="en-IN"/>
        </w:rPr>
        <w:br/>
        <w:t>Nanoparticles induce the production of antioxidant enzymes, helping the fungus withstand environmental stress (Frontiers study, 2025)</w:t>
      </w:r>
      <w:r w:rsidR="001A706F">
        <w:rPr>
          <w:rFonts w:ascii="Arial" w:hAnsi="Arial" w:cs="Arial"/>
          <w:lang w:eastAsia="en-IN"/>
        </w:rPr>
        <w:t xml:space="preserve">. </w:t>
      </w:r>
      <w:r w:rsidRPr="001A706F">
        <w:rPr>
          <w:rFonts w:ascii="Arial" w:hAnsi="Arial" w:cs="Arial"/>
          <w:lang w:eastAsia="en-IN"/>
        </w:rPr>
        <w:t>Antimicrobial Protection</w:t>
      </w:r>
      <w:r w:rsidR="001A706F">
        <w:rPr>
          <w:rFonts w:ascii="Arial" w:hAnsi="Arial" w:cs="Arial"/>
          <w:lang w:eastAsia="en-IN"/>
        </w:rPr>
        <w:t xml:space="preserve">- </w:t>
      </w:r>
      <w:r w:rsidRPr="0069287C">
        <w:rPr>
          <w:rFonts w:ascii="Arial" w:hAnsi="Arial" w:cs="Arial"/>
          <w:lang w:eastAsia="en-IN"/>
        </w:rPr>
        <w:br/>
        <w:t>Nanoparticles protect the mycelium from competing microorganisms by inhibiting their growth (Bhardwaj et al., 2020)</w:t>
      </w:r>
      <w:r w:rsidR="001A706F">
        <w:rPr>
          <w:rFonts w:ascii="Arial" w:hAnsi="Arial" w:cs="Arial"/>
          <w:lang w:eastAsia="en-IN"/>
        </w:rPr>
        <w:t>.</w:t>
      </w:r>
    </w:p>
    <w:p w14:paraId="137372B4" w14:textId="5FA7A1EE" w:rsidR="00176111" w:rsidRPr="0069287C" w:rsidRDefault="00284965" w:rsidP="00201C4E">
      <w:pPr>
        <w:spacing w:before="100" w:beforeAutospacing="1" w:after="100" w:afterAutospacing="1" w:line="360" w:lineRule="auto"/>
        <w:jc w:val="both"/>
        <w:rPr>
          <w:rFonts w:ascii="Arial" w:hAnsi="Arial" w:cs="Arial"/>
          <w:b/>
          <w:bCs/>
          <w:lang w:eastAsia="en-IN"/>
        </w:rPr>
      </w:pPr>
      <w:r w:rsidRPr="0069287C">
        <w:rPr>
          <w:rFonts w:ascii="Arial" w:hAnsi="Arial" w:cs="Arial"/>
          <w:b/>
          <w:bCs/>
          <w:lang w:eastAsia="en-IN"/>
        </w:rPr>
        <w:t>LIMITATIONS AND SAFETY CONCERNS</w:t>
      </w:r>
    </w:p>
    <w:p w14:paraId="4F04172A" w14:textId="77777777" w:rsidR="00176111" w:rsidRPr="0069287C" w:rsidRDefault="00176111" w:rsidP="00201C4E">
      <w:pPr>
        <w:spacing w:before="100" w:beforeAutospacing="1" w:after="100" w:afterAutospacing="1" w:line="360" w:lineRule="auto"/>
        <w:jc w:val="both"/>
        <w:rPr>
          <w:rFonts w:ascii="Arial" w:hAnsi="Arial" w:cs="Arial"/>
          <w:lang w:eastAsia="en-IN"/>
        </w:rPr>
      </w:pPr>
      <w:r w:rsidRPr="0069287C">
        <w:rPr>
          <w:rFonts w:ascii="Arial" w:hAnsi="Arial" w:cs="Arial"/>
          <w:lang w:eastAsia="en-IN"/>
        </w:rPr>
        <w:lastRenderedPageBreak/>
        <w:t>Despite the advantages, the application of nanotechnology in mushroom cultivation must be carefully regulated. High concentrations of nanoparticles may lead to toxicity, environmental accumulation, and potential health risks. Therefore, determining the optimal concentration and application method is essential to ensure safe and effective use.</w:t>
      </w:r>
    </w:p>
    <w:p w14:paraId="6AF993CD" w14:textId="55275D0C" w:rsidR="00176111" w:rsidRPr="0069287C" w:rsidRDefault="00284965" w:rsidP="00201C4E">
      <w:pPr>
        <w:spacing w:before="100" w:beforeAutospacing="1" w:after="100" w:afterAutospacing="1" w:line="360" w:lineRule="auto"/>
        <w:jc w:val="both"/>
        <w:rPr>
          <w:rFonts w:ascii="Arial" w:hAnsi="Arial" w:cs="Arial"/>
          <w:b/>
          <w:bCs/>
          <w:lang w:eastAsia="en-IN"/>
        </w:rPr>
      </w:pPr>
      <w:r w:rsidRPr="0069287C">
        <w:rPr>
          <w:rFonts w:ascii="Arial" w:hAnsi="Arial" w:cs="Arial"/>
          <w:b/>
          <w:bCs/>
          <w:lang w:eastAsia="en-IN"/>
        </w:rPr>
        <w:t>FUTURE PROSPECTS</w:t>
      </w:r>
    </w:p>
    <w:p w14:paraId="4836FAA0" w14:textId="15AE9C81"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integration of nanotechnology in oyster mushroom production offers immense potential for sustainable agriculture. Future research should focus on:</w:t>
      </w:r>
      <w:r w:rsidR="00C240A8">
        <w:rPr>
          <w:rFonts w:ascii="Arial" w:hAnsi="Arial" w:cs="Arial"/>
          <w:lang w:eastAsia="en-IN"/>
        </w:rPr>
        <w:t xml:space="preserve"> </w:t>
      </w:r>
      <w:r w:rsidRPr="0069287C">
        <w:rPr>
          <w:rFonts w:ascii="Arial" w:hAnsi="Arial" w:cs="Arial"/>
          <w:lang w:eastAsia="en-IN"/>
        </w:rPr>
        <w:t>Standardization of nanoparticle concentrations</w:t>
      </w:r>
      <w:r w:rsidR="00C240A8">
        <w:rPr>
          <w:rFonts w:ascii="Arial" w:hAnsi="Arial" w:cs="Arial"/>
          <w:lang w:eastAsia="en-IN"/>
        </w:rPr>
        <w:t>, l</w:t>
      </w:r>
      <w:r w:rsidRPr="0069287C">
        <w:rPr>
          <w:rFonts w:ascii="Arial" w:hAnsi="Arial" w:cs="Arial"/>
          <w:lang w:eastAsia="en-IN"/>
        </w:rPr>
        <w:t>ong-term environmental impact assessment</w:t>
      </w:r>
      <w:r w:rsidR="00C240A8">
        <w:rPr>
          <w:rFonts w:ascii="Arial" w:hAnsi="Arial" w:cs="Arial"/>
          <w:lang w:eastAsia="en-IN"/>
        </w:rPr>
        <w:t>, d</w:t>
      </w:r>
      <w:r w:rsidRPr="0069287C">
        <w:rPr>
          <w:rFonts w:ascii="Arial" w:hAnsi="Arial" w:cs="Arial"/>
          <w:lang w:eastAsia="en-IN"/>
        </w:rPr>
        <w:t>evelopment of nano-enabled substrates</w:t>
      </w:r>
      <w:r w:rsidR="00C240A8">
        <w:rPr>
          <w:rFonts w:ascii="Arial" w:hAnsi="Arial" w:cs="Arial"/>
          <w:lang w:eastAsia="en-IN"/>
        </w:rPr>
        <w:t>, c</w:t>
      </w:r>
      <w:r w:rsidRPr="0069287C">
        <w:rPr>
          <w:rFonts w:ascii="Arial" w:hAnsi="Arial" w:cs="Arial"/>
          <w:lang w:eastAsia="en-IN"/>
        </w:rPr>
        <w:t>ommercial-scale application</w:t>
      </w:r>
      <w:r w:rsidR="00C240A8">
        <w:rPr>
          <w:rFonts w:ascii="Arial" w:hAnsi="Arial" w:cs="Arial"/>
          <w:lang w:eastAsia="en-IN"/>
        </w:rPr>
        <w:t xml:space="preserve">. </w:t>
      </w:r>
      <w:r w:rsidRPr="0069287C">
        <w:rPr>
          <w:rFonts w:ascii="Arial" w:hAnsi="Arial" w:cs="Arial"/>
          <w:lang w:eastAsia="en-IN"/>
        </w:rPr>
        <w:t>The combination of nanotechnology with traditional cultivation methods can significantly enhance productivity, nutritional quality, and disease resistance in oyster mushrooms.</w:t>
      </w:r>
    </w:p>
    <w:p w14:paraId="003999FB" w14:textId="77777777"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Nanotechnology represents a promising advancement in oyster mushroom cultivation, offering multiple benefits such as enhanced mycelial growth, improved yield, biofortification, and effective antimicrobial control. The use of nanoparticles, particularly </w:t>
      </w:r>
      <w:proofErr w:type="spellStart"/>
      <w:r w:rsidRPr="0069287C">
        <w:rPr>
          <w:rFonts w:ascii="Arial" w:hAnsi="Arial" w:cs="Arial"/>
          <w:lang w:eastAsia="en-IN"/>
        </w:rPr>
        <w:t>ZnO</w:t>
      </w:r>
      <w:proofErr w:type="spellEnd"/>
      <w:r w:rsidRPr="0069287C">
        <w:rPr>
          <w:rFonts w:ascii="Arial" w:hAnsi="Arial" w:cs="Arial"/>
          <w:lang w:eastAsia="en-IN"/>
        </w:rPr>
        <w:t xml:space="preserve"> and </w:t>
      </w:r>
      <w:proofErr w:type="spellStart"/>
      <w:r w:rsidRPr="0069287C">
        <w:rPr>
          <w:rFonts w:ascii="Arial" w:hAnsi="Arial" w:cs="Arial"/>
          <w:lang w:eastAsia="en-IN"/>
        </w:rPr>
        <w:t>AgNPs</w:t>
      </w:r>
      <w:proofErr w:type="spellEnd"/>
      <w:r w:rsidRPr="0069287C">
        <w:rPr>
          <w:rFonts w:ascii="Arial" w:hAnsi="Arial" w:cs="Arial"/>
          <w:lang w:eastAsia="en-IN"/>
        </w:rPr>
        <w:t>, has demonstrated significant improvements in both productivity and nutritional quality. However, careful optimization and safety evaluation are essential to fully harness the potential of nanotechnology in sustainable mushroom production.</w:t>
      </w:r>
    </w:p>
    <w:p w14:paraId="2FD95F5F" w14:textId="77777777"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cultivation of oyster mushrooms (</w:t>
      </w:r>
      <w:r w:rsidRPr="0069287C">
        <w:rPr>
          <w:rFonts w:ascii="Arial" w:hAnsi="Arial" w:cs="Arial"/>
          <w:i/>
          <w:iCs/>
          <w:lang w:eastAsia="en-IN"/>
        </w:rPr>
        <w:t>Pleurotus</w:t>
      </w:r>
      <w:r w:rsidRPr="0069287C">
        <w:rPr>
          <w:rFonts w:ascii="Arial" w:hAnsi="Arial" w:cs="Arial"/>
          <w:lang w:eastAsia="en-IN"/>
        </w:rPr>
        <w:t xml:space="preserve"> spp.) is rapidly evolving with advancements in biotechnology, sustainable agriculture, and nanotechnology. Future research and development in this field are expected to focus on improving productivity, enhancing nutritional quality, and ensuring environmental sustainability. One of the key areas of advancement lies in the optimization of spawn production techniques, particularly through the use of alternative low-cost substrates and nutrient supplementation strategies (Royse et al., 2017). The identification of region-specific </w:t>
      </w:r>
      <w:proofErr w:type="spellStart"/>
      <w:r w:rsidRPr="0069287C">
        <w:rPr>
          <w:rFonts w:ascii="Arial" w:hAnsi="Arial" w:cs="Arial"/>
          <w:lang w:eastAsia="en-IN"/>
        </w:rPr>
        <w:t>agro</w:t>
      </w:r>
      <w:proofErr w:type="spellEnd"/>
      <w:r w:rsidRPr="0069287C">
        <w:rPr>
          <w:rFonts w:ascii="Arial" w:hAnsi="Arial" w:cs="Arial"/>
          <w:lang w:eastAsia="en-IN"/>
        </w:rPr>
        <w:t>-wastes as potential substrates can significantly reduce production costs while promoting waste recycling and circular bioeconomy models (Philippoussis, 2009).</w:t>
      </w:r>
    </w:p>
    <w:p w14:paraId="412C7A7B" w14:textId="77777777"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Nanotechnology is anticipated to play a transformative role in mushroom cultivation systems. The application of nanoparticles such as zinc oxide, silver, and selenium has already shown promising results in enhancing mycelial growth, yield, and resistance to microbial contamination (Bhardwaj et al., 2020; </w:t>
      </w:r>
      <w:proofErr w:type="spellStart"/>
      <w:r w:rsidRPr="0069287C">
        <w:rPr>
          <w:rFonts w:ascii="Arial" w:hAnsi="Arial" w:cs="Arial"/>
          <w:lang w:eastAsia="en-IN"/>
        </w:rPr>
        <w:t>Owaid</w:t>
      </w:r>
      <w:proofErr w:type="spellEnd"/>
      <w:r w:rsidRPr="0069287C">
        <w:rPr>
          <w:rFonts w:ascii="Arial" w:hAnsi="Arial" w:cs="Arial"/>
          <w:lang w:eastAsia="en-IN"/>
        </w:rPr>
        <w:t xml:space="preserve">, 2019). Future studies should focus on standardizing nanoparticle concentrations, application methods, and safety protocols to ensure their effective and safe use in large-scale production. Additionally, the development of </w:t>
      </w:r>
      <w:r w:rsidRPr="0069287C">
        <w:rPr>
          <w:rFonts w:ascii="Arial" w:hAnsi="Arial" w:cs="Arial"/>
          <w:lang w:eastAsia="en-IN"/>
        </w:rPr>
        <w:lastRenderedPageBreak/>
        <w:t>nano-enabled substrates and smart delivery systems for nutrients and growth enhancers could revolutionize spawn quality and cultivation efficiency.</w:t>
      </w:r>
    </w:p>
    <w:p w14:paraId="626398A6" w14:textId="77777777"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Another important direction is the genetic improvement of </w:t>
      </w:r>
      <w:r w:rsidRPr="0069287C">
        <w:rPr>
          <w:rFonts w:ascii="Arial" w:hAnsi="Arial" w:cs="Arial"/>
          <w:i/>
          <w:iCs/>
          <w:lang w:eastAsia="en-IN"/>
        </w:rPr>
        <w:t>Pleurotus</w:t>
      </w:r>
      <w:r w:rsidRPr="0069287C">
        <w:rPr>
          <w:rFonts w:ascii="Arial" w:hAnsi="Arial" w:cs="Arial"/>
          <w:lang w:eastAsia="en-IN"/>
        </w:rPr>
        <w:t xml:space="preserve"> strains through advanced techniques such as molecular breeding and genome editing. The development of high-yielding, stress-tolerant, and disease-resistant strains can significantly enhance productivity and adaptability to varying environmental conditions (Chang &amp; Miles, 2004). Integration of omics technologies, including genomics and proteomics, can further improve our understanding of fungal metabolism and help optimize cultivation practices.</w:t>
      </w:r>
    </w:p>
    <w:p w14:paraId="21E3FB96" w14:textId="77777777"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The concept of biofortification is also gaining importance, where oyster mushrooms are enriched with essential micronutrients to address nutritional deficiencies in human populations. Nanotechnology-based fortification strategies can enhance the bioavailability of nutrients such as zinc and selenium, thereby increasing the functional and medicinal value of mushrooms (Bhardwaj et al., 2020). This approach has significant potential in developing nutraceutical products and functional foods.</w:t>
      </w:r>
    </w:p>
    <w:p w14:paraId="423776D2" w14:textId="77777777"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Sustainability remains a central focus in future mushroom production systems. The use of renewable resources, recycling of agricultural residues, and reduction of chemical inputs are critical for environmentally friendly cultivation. Innovations such as integrated farming systems, where mushroom cultivation is combined with other agricultural practices, can further enhance resource efficiency and economic returns (Royse et al., 2017).</w:t>
      </w:r>
    </w:p>
    <w:p w14:paraId="64D61B25" w14:textId="77777777"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Moreover, the adoption of automation and precision agriculture technologies, including climate-controlled growing systems and sensor-based monitoring, can improve consistency and scalability in mushroom production. Digital tools and data-driven approaches can help optimize environmental conditions, reduce labor requirements, and increase overall productivity.</w:t>
      </w:r>
    </w:p>
    <w:p w14:paraId="04DC57E0" w14:textId="77777777" w:rsidR="00176111" w:rsidRPr="0069287C" w:rsidRDefault="00176111" w:rsidP="00C240A8">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In conclusion, the future of oyster mushroom production lies in the integration of traditional knowledge with modern scientific advancements. The combined application of nanotechnology, genetic improvement, sustainable practices, and smart cultivation systems holds immense potential to transform the mushroom industry into a highly efficient, profitable, and environmentally sustainable sector.</w:t>
      </w:r>
    </w:p>
    <w:p w14:paraId="1423E267" w14:textId="76A622D9" w:rsidR="00176111" w:rsidRPr="0069287C" w:rsidRDefault="00176111" w:rsidP="00201C4E">
      <w:pPr>
        <w:spacing w:before="100" w:beforeAutospacing="1" w:after="100" w:afterAutospacing="1" w:line="360" w:lineRule="auto"/>
        <w:jc w:val="both"/>
        <w:rPr>
          <w:rFonts w:ascii="Arial" w:hAnsi="Arial" w:cs="Arial"/>
          <w:b/>
          <w:bCs/>
          <w:sz w:val="22"/>
          <w:szCs w:val="22"/>
          <w:lang w:eastAsia="en-IN"/>
        </w:rPr>
      </w:pPr>
      <w:r w:rsidRPr="0069287C">
        <w:rPr>
          <w:rFonts w:ascii="Arial" w:hAnsi="Arial" w:cs="Arial"/>
          <w:b/>
          <w:bCs/>
          <w:sz w:val="22"/>
          <w:szCs w:val="22"/>
          <w:lang w:eastAsia="en-IN"/>
        </w:rPr>
        <w:t>CONCLUSION</w:t>
      </w:r>
    </w:p>
    <w:p w14:paraId="3FB13B78"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lastRenderedPageBreak/>
        <w:t>Oyster mushroom (</w:t>
      </w:r>
      <w:r w:rsidRPr="0069287C">
        <w:rPr>
          <w:rFonts w:ascii="Arial" w:hAnsi="Arial" w:cs="Arial"/>
          <w:i/>
          <w:iCs/>
          <w:lang w:eastAsia="en-IN"/>
        </w:rPr>
        <w:t>Pleurotus</w:t>
      </w:r>
      <w:r w:rsidRPr="0069287C">
        <w:rPr>
          <w:rFonts w:ascii="Arial" w:hAnsi="Arial" w:cs="Arial"/>
          <w:lang w:eastAsia="en-IN"/>
        </w:rPr>
        <w:t xml:space="preserve"> spp.) cultivation represents a sustainable and economically viable approach to food production, owing to its ability to utilize diverse lignocellulosic wastes and convert them into high-value protein-rich biomass. Among the various factors influencing successful cultivation, spawn quality plays a pivotal role, as it directly affects mycelial colonization, yield, and overall productivity (Royse et al., 2017). Grain-based substrates, particularly pearl millet and maize, have demonstrated superior performance due to their balanced nutrient composition and optimal carbon-to-nitrogen ratio, which promotes rapid mycelial growth (Chang &amp; Miles, 2004).</w:t>
      </w:r>
    </w:p>
    <w:p w14:paraId="0D435153" w14:textId="77777777" w:rsidR="00176111" w:rsidRPr="0069287C" w:rsidRDefault="00176111" w:rsidP="00201C4E">
      <w:pPr>
        <w:spacing w:before="100" w:beforeAutospacing="1" w:after="100" w:afterAutospacing="1" w:line="360" w:lineRule="auto"/>
        <w:ind w:firstLine="720"/>
        <w:jc w:val="both"/>
        <w:rPr>
          <w:rFonts w:ascii="Arial" w:hAnsi="Arial" w:cs="Arial"/>
          <w:lang w:eastAsia="en-IN"/>
        </w:rPr>
      </w:pPr>
      <w:r w:rsidRPr="0069287C">
        <w:rPr>
          <w:rFonts w:ascii="Arial" w:hAnsi="Arial" w:cs="Arial"/>
          <w:lang w:eastAsia="en-IN"/>
        </w:rPr>
        <w:t xml:space="preserve">The integration of nanotechnology into mushroom production systems offers promising opportunities to enhance growth, yield, and nutritional quality. Nanoparticles such as zinc oxide and silver have shown potential in stimulating mycelial development, improving biofortification, and reducing microbial contamination (Bhardwaj et al., 2020; </w:t>
      </w:r>
      <w:proofErr w:type="spellStart"/>
      <w:r w:rsidRPr="0069287C">
        <w:rPr>
          <w:rFonts w:ascii="Arial" w:hAnsi="Arial" w:cs="Arial"/>
          <w:lang w:eastAsia="en-IN"/>
        </w:rPr>
        <w:t>Owaid</w:t>
      </w:r>
      <w:proofErr w:type="spellEnd"/>
      <w:r w:rsidRPr="0069287C">
        <w:rPr>
          <w:rFonts w:ascii="Arial" w:hAnsi="Arial" w:cs="Arial"/>
          <w:lang w:eastAsia="en-IN"/>
        </w:rPr>
        <w:t>, 2019). However, careful optimization of nanoparticle concentration is essential to avoid potential toxicity.</w:t>
      </w:r>
    </w:p>
    <w:p w14:paraId="6A9391C0" w14:textId="77777777" w:rsidR="00176111" w:rsidRPr="0069287C" w:rsidRDefault="00176111" w:rsidP="00201C4E">
      <w:pPr>
        <w:spacing w:before="100" w:beforeAutospacing="1" w:after="100" w:afterAutospacing="1" w:line="360" w:lineRule="auto"/>
        <w:ind w:firstLine="720"/>
        <w:jc w:val="both"/>
        <w:rPr>
          <w:rFonts w:ascii="Arial" w:hAnsi="Arial" w:cs="Arial"/>
          <w:sz w:val="24"/>
          <w:szCs w:val="24"/>
          <w:lang w:eastAsia="en-IN"/>
        </w:rPr>
      </w:pPr>
      <w:r w:rsidRPr="0069287C">
        <w:rPr>
          <w:rFonts w:ascii="Arial" w:hAnsi="Arial" w:cs="Arial"/>
          <w:lang w:eastAsia="en-IN"/>
        </w:rPr>
        <w:t xml:space="preserve">Overall, the combination of improved spawn production techniques, efficient substrate utilization, and emerging nanotechnological interventions can significantly advance oyster mushroom cultivation. These innovations not only enhance productivity but also contribute to sustainable agriculture and food security, making oyster mushrooms an important component of future </w:t>
      </w:r>
      <w:proofErr w:type="spellStart"/>
      <w:r w:rsidRPr="0069287C">
        <w:rPr>
          <w:rFonts w:ascii="Arial" w:hAnsi="Arial" w:cs="Arial"/>
          <w:lang w:eastAsia="en-IN"/>
        </w:rPr>
        <w:t>agro</w:t>
      </w:r>
      <w:proofErr w:type="spellEnd"/>
      <w:r w:rsidRPr="0069287C">
        <w:rPr>
          <w:rFonts w:ascii="Arial" w:hAnsi="Arial" w:cs="Arial"/>
          <w:lang w:eastAsia="en-IN"/>
        </w:rPr>
        <w:t>-biotechnological systems</w:t>
      </w:r>
      <w:r w:rsidRPr="0069287C">
        <w:rPr>
          <w:rFonts w:ascii="Arial" w:hAnsi="Arial" w:cs="Arial"/>
          <w:sz w:val="24"/>
          <w:szCs w:val="24"/>
          <w:lang w:eastAsia="en-IN"/>
        </w:rPr>
        <w:t>.</w:t>
      </w:r>
    </w:p>
    <w:p w14:paraId="444B9F1A" w14:textId="77777777" w:rsidR="00176111" w:rsidRPr="0069287C" w:rsidRDefault="00176111" w:rsidP="00201C4E">
      <w:pPr>
        <w:pStyle w:val="ReferHead"/>
        <w:spacing w:after="0" w:line="360" w:lineRule="auto"/>
        <w:jc w:val="both"/>
        <w:rPr>
          <w:rFonts w:ascii="Arial" w:hAnsi="Arial" w:cs="Arial"/>
          <w:bCs/>
          <w:color w:val="000000" w:themeColor="text1"/>
        </w:rPr>
      </w:pPr>
      <w:bookmarkStart w:id="0" w:name="_GoBack"/>
      <w:bookmarkEnd w:id="0"/>
      <w:r w:rsidRPr="0069287C">
        <w:rPr>
          <w:rFonts w:ascii="Arial" w:hAnsi="Arial" w:cs="Arial"/>
          <w:bCs/>
          <w:color w:val="000000" w:themeColor="text1"/>
        </w:rPr>
        <w:t>Competing interests</w:t>
      </w:r>
    </w:p>
    <w:p w14:paraId="2423740D" w14:textId="77777777" w:rsidR="00176111" w:rsidRPr="0069287C" w:rsidRDefault="00176111" w:rsidP="00201C4E">
      <w:pPr>
        <w:pStyle w:val="ReferHead"/>
        <w:spacing w:after="0" w:line="360" w:lineRule="auto"/>
        <w:jc w:val="both"/>
        <w:rPr>
          <w:rFonts w:ascii="Arial" w:hAnsi="Arial" w:cs="Arial"/>
          <w:color w:val="000000" w:themeColor="text1"/>
        </w:rPr>
      </w:pPr>
    </w:p>
    <w:p w14:paraId="7F27D4C2" w14:textId="77777777" w:rsidR="00176111" w:rsidRPr="0069287C" w:rsidRDefault="00176111" w:rsidP="00201C4E">
      <w:pPr>
        <w:pStyle w:val="ReferHead"/>
        <w:spacing w:after="0" w:line="360" w:lineRule="auto"/>
        <w:jc w:val="both"/>
        <w:rPr>
          <w:rFonts w:ascii="Arial" w:hAnsi="Arial" w:cs="Arial"/>
          <w:b w:val="0"/>
          <w:caps w:val="0"/>
          <w:color w:val="000000" w:themeColor="text1"/>
          <w:sz w:val="20"/>
        </w:rPr>
      </w:pPr>
      <w:r w:rsidRPr="0069287C">
        <w:rPr>
          <w:rFonts w:ascii="Arial" w:hAnsi="Arial" w:cs="Arial"/>
          <w:b w:val="0"/>
          <w:caps w:val="0"/>
          <w:color w:val="000000" w:themeColor="text1"/>
          <w:sz w:val="20"/>
        </w:rPr>
        <w:t>Authors have declared that no competing interests exist.</w:t>
      </w:r>
    </w:p>
    <w:p w14:paraId="361A25F7" w14:textId="77777777" w:rsidR="00176111" w:rsidRPr="0069287C" w:rsidRDefault="00176111" w:rsidP="00201C4E">
      <w:pPr>
        <w:pStyle w:val="ReferHead"/>
        <w:spacing w:after="0" w:line="360" w:lineRule="auto"/>
        <w:jc w:val="both"/>
        <w:rPr>
          <w:rFonts w:ascii="Arial" w:hAnsi="Arial" w:cs="Arial"/>
          <w:b w:val="0"/>
          <w:caps w:val="0"/>
          <w:color w:val="000000" w:themeColor="text1"/>
          <w:sz w:val="20"/>
        </w:rPr>
      </w:pPr>
    </w:p>
    <w:p w14:paraId="242F4894" w14:textId="77777777" w:rsidR="00176111" w:rsidRPr="0069287C" w:rsidRDefault="00176111" w:rsidP="00201C4E">
      <w:pPr>
        <w:spacing w:line="360" w:lineRule="auto"/>
        <w:jc w:val="both"/>
        <w:rPr>
          <w:rFonts w:ascii="Arial" w:hAnsi="Arial" w:cs="Arial"/>
          <w:b/>
          <w:bCs/>
          <w:color w:val="000000" w:themeColor="text1"/>
          <w:shd w:val="clear" w:color="auto" w:fill="FFFFFF"/>
        </w:rPr>
      </w:pPr>
      <w:r w:rsidRPr="0069287C">
        <w:rPr>
          <w:rFonts w:ascii="Arial" w:hAnsi="Arial" w:cs="Arial"/>
          <w:b/>
          <w:bCs/>
          <w:color w:val="000000" w:themeColor="text1"/>
          <w:shd w:val="clear" w:color="auto" w:fill="FFFFFF"/>
        </w:rPr>
        <w:t>REFERENCE</w:t>
      </w:r>
    </w:p>
    <w:p w14:paraId="608BF45D"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Chang, S. T., &amp; Miles, P. G. (2004). </w:t>
      </w:r>
      <w:r w:rsidRPr="0069287C">
        <w:rPr>
          <w:rFonts w:ascii="Arial" w:hAnsi="Arial" w:cs="Arial"/>
          <w:i/>
          <w:iCs/>
          <w:lang w:eastAsia="en-IN"/>
        </w:rPr>
        <w:t>Mushrooms: Cultivation, nutritional value, medicinal effect, and environmental impact</w:t>
      </w:r>
      <w:r w:rsidRPr="0069287C">
        <w:rPr>
          <w:rFonts w:ascii="Arial" w:hAnsi="Arial" w:cs="Arial"/>
          <w:lang w:eastAsia="en-IN"/>
        </w:rPr>
        <w:t xml:space="preserve"> (2nd ed.). CRC Press. </w:t>
      </w:r>
    </w:p>
    <w:p w14:paraId="742A867F"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Stamets, P. (2000). </w:t>
      </w:r>
      <w:r w:rsidRPr="0069287C">
        <w:rPr>
          <w:rFonts w:ascii="Arial" w:hAnsi="Arial" w:cs="Arial"/>
          <w:i/>
          <w:iCs/>
          <w:lang w:eastAsia="en-IN"/>
        </w:rPr>
        <w:t>Growing gourmet and medicinal mushrooms</w:t>
      </w:r>
      <w:r w:rsidRPr="0069287C">
        <w:rPr>
          <w:rFonts w:ascii="Arial" w:hAnsi="Arial" w:cs="Arial"/>
          <w:lang w:eastAsia="en-IN"/>
        </w:rPr>
        <w:t xml:space="preserve">. Ten Speed Press. </w:t>
      </w:r>
    </w:p>
    <w:p w14:paraId="1E76B9DD"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Royse, D. J., Baars, J., &amp; Tan, Q. (2017). Current overview of mushroom production in the world. </w:t>
      </w:r>
      <w:r w:rsidRPr="0069287C">
        <w:rPr>
          <w:rFonts w:ascii="Arial" w:hAnsi="Arial" w:cs="Arial"/>
          <w:i/>
          <w:iCs/>
          <w:lang w:eastAsia="en-IN"/>
        </w:rPr>
        <w:t>Edible and Medicinal Mushrooms: Technology and Applications</w:t>
      </w:r>
      <w:r w:rsidRPr="0069287C">
        <w:rPr>
          <w:rFonts w:ascii="Arial" w:hAnsi="Arial" w:cs="Arial"/>
          <w:lang w:eastAsia="en-IN"/>
        </w:rPr>
        <w:t xml:space="preserve">, 5–13. </w:t>
      </w:r>
    </w:p>
    <w:p w14:paraId="4BC51359"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lastRenderedPageBreak/>
        <w:t xml:space="preserve">Rai, M., Ingle, A. P., &amp; Gade, A. (2016). </w:t>
      </w:r>
      <w:r w:rsidRPr="0069287C">
        <w:rPr>
          <w:rFonts w:ascii="Arial" w:hAnsi="Arial" w:cs="Arial"/>
          <w:lang w:eastAsia="en-IN"/>
        </w:rPr>
        <w:t xml:space="preserve">Role of nanotechnology in agriculture with special reference to management of insect pests. </w:t>
      </w:r>
      <w:r w:rsidRPr="0069287C">
        <w:rPr>
          <w:rFonts w:ascii="Arial" w:hAnsi="Arial" w:cs="Arial"/>
          <w:i/>
          <w:iCs/>
          <w:lang w:eastAsia="en-IN"/>
        </w:rPr>
        <w:t>Applied Microbiology and Biotechnology, 100</w:t>
      </w:r>
      <w:r w:rsidRPr="0069287C">
        <w:rPr>
          <w:rFonts w:ascii="Arial" w:hAnsi="Arial" w:cs="Arial"/>
          <w:lang w:eastAsia="en-IN"/>
        </w:rPr>
        <w:t xml:space="preserve">(12), 5247–5255. </w:t>
      </w:r>
    </w:p>
    <w:p w14:paraId="628422C8"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Singh, M., Singh, S., Prasad, S., &amp; Gambhir, I. S. (2018). Nanotechnology in medicine and antibacterial effect of silver nanoparticles. </w:t>
      </w:r>
      <w:r w:rsidRPr="0069287C">
        <w:rPr>
          <w:rFonts w:ascii="Arial" w:hAnsi="Arial" w:cs="Arial"/>
          <w:i/>
          <w:iCs/>
          <w:lang w:eastAsia="en-IN"/>
        </w:rPr>
        <w:t>Digest Journal of Nanomaterials and Biostructures, 3</w:t>
      </w:r>
      <w:r w:rsidRPr="0069287C">
        <w:rPr>
          <w:rFonts w:ascii="Arial" w:hAnsi="Arial" w:cs="Arial"/>
          <w:lang w:eastAsia="en-IN"/>
        </w:rPr>
        <w:t xml:space="preserve">(3), 115–122. </w:t>
      </w:r>
    </w:p>
    <w:p w14:paraId="0237509D"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t xml:space="preserve">Sharma, V. K., Filip, J., Zboril, R., &amp; Varma, R. S. (2020). </w:t>
      </w:r>
      <w:r w:rsidRPr="0069287C">
        <w:rPr>
          <w:rFonts w:ascii="Arial" w:hAnsi="Arial" w:cs="Arial"/>
          <w:lang w:eastAsia="en-IN"/>
        </w:rPr>
        <w:t xml:space="preserve">Natural inorganic nanoparticles—formation, fate, and toxicity in the environment. </w:t>
      </w:r>
      <w:r w:rsidRPr="0069287C">
        <w:rPr>
          <w:rFonts w:ascii="Arial" w:hAnsi="Arial" w:cs="Arial"/>
          <w:i/>
          <w:iCs/>
          <w:lang w:eastAsia="en-IN"/>
        </w:rPr>
        <w:t>Chemical Society Reviews, 49</w:t>
      </w:r>
      <w:r w:rsidRPr="0069287C">
        <w:rPr>
          <w:rFonts w:ascii="Arial" w:hAnsi="Arial" w:cs="Arial"/>
          <w:lang w:eastAsia="en-IN"/>
        </w:rPr>
        <w:t xml:space="preserve">(3), 1059–1090. </w:t>
      </w:r>
    </w:p>
    <w:p w14:paraId="1F1C577A"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Kahru, A., &amp; </w:t>
      </w:r>
      <w:proofErr w:type="spellStart"/>
      <w:r w:rsidRPr="0069287C">
        <w:rPr>
          <w:rFonts w:ascii="Arial" w:hAnsi="Arial" w:cs="Arial"/>
          <w:lang w:eastAsia="en-IN"/>
        </w:rPr>
        <w:t>Dubourguier</w:t>
      </w:r>
      <w:proofErr w:type="spellEnd"/>
      <w:r w:rsidRPr="0069287C">
        <w:rPr>
          <w:rFonts w:ascii="Arial" w:hAnsi="Arial" w:cs="Arial"/>
          <w:lang w:eastAsia="en-IN"/>
        </w:rPr>
        <w:t xml:space="preserve">, H. C. (2010). From ecotoxicology to nanoecotoxicology. </w:t>
      </w:r>
      <w:r w:rsidRPr="0069287C">
        <w:rPr>
          <w:rFonts w:ascii="Arial" w:hAnsi="Arial" w:cs="Arial"/>
          <w:i/>
          <w:iCs/>
          <w:lang w:eastAsia="en-IN"/>
        </w:rPr>
        <w:t>Toxicology, 269</w:t>
      </w:r>
      <w:r w:rsidRPr="0069287C">
        <w:rPr>
          <w:rFonts w:ascii="Arial" w:hAnsi="Arial" w:cs="Arial"/>
          <w:lang w:eastAsia="en-IN"/>
        </w:rPr>
        <w:t xml:space="preserve">(2–3), 105–119. </w:t>
      </w:r>
    </w:p>
    <w:p w14:paraId="1D549EE5"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Patel, Y., </w:t>
      </w:r>
      <w:proofErr w:type="spellStart"/>
      <w:r w:rsidRPr="0069287C">
        <w:rPr>
          <w:rFonts w:ascii="Arial" w:hAnsi="Arial" w:cs="Arial"/>
          <w:lang w:eastAsia="en-IN"/>
        </w:rPr>
        <w:t>Naraian</w:t>
      </w:r>
      <w:proofErr w:type="spellEnd"/>
      <w:r w:rsidRPr="0069287C">
        <w:rPr>
          <w:rFonts w:ascii="Arial" w:hAnsi="Arial" w:cs="Arial"/>
          <w:lang w:eastAsia="en-IN"/>
        </w:rPr>
        <w:t xml:space="preserve">, R., &amp; Singh, V. K. (2019). Medicinal properties of Pleurotus species (oyster mushroom): A review. </w:t>
      </w:r>
      <w:r w:rsidRPr="0069287C">
        <w:rPr>
          <w:rFonts w:ascii="Arial" w:hAnsi="Arial" w:cs="Arial"/>
          <w:i/>
          <w:iCs/>
          <w:lang w:eastAsia="en-IN"/>
        </w:rPr>
        <w:t>World Journal of Fungal and Plant Biology, 3</w:t>
      </w:r>
      <w:r w:rsidRPr="0069287C">
        <w:rPr>
          <w:rFonts w:ascii="Arial" w:hAnsi="Arial" w:cs="Arial"/>
          <w:lang w:eastAsia="en-IN"/>
        </w:rPr>
        <w:t xml:space="preserve">(1), 1–12. </w:t>
      </w:r>
    </w:p>
    <w:p w14:paraId="52606AD1"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Adebayo, E. A., &amp; </w:t>
      </w:r>
      <w:proofErr w:type="spellStart"/>
      <w:r w:rsidRPr="0069287C">
        <w:rPr>
          <w:rFonts w:ascii="Arial" w:hAnsi="Arial" w:cs="Arial"/>
          <w:lang w:eastAsia="en-IN"/>
        </w:rPr>
        <w:t>Oloke</w:t>
      </w:r>
      <w:proofErr w:type="spellEnd"/>
      <w:r w:rsidRPr="0069287C">
        <w:rPr>
          <w:rFonts w:ascii="Arial" w:hAnsi="Arial" w:cs="Arial"/>
          <w:lang w:eastAsia="en-IN"/>
        </w:rPr>
        <w:t xml:space="preserve">, J. K. (2014). Oyster mushroom (Pleurotus species): A natural functional food. </w:t>
      </w:r>
      <w:r w:rsidRPr="0069287C">
        <w:rPr>
          <w:rFonts w:ascii="Arial" w:hAnsi="Arial" w:cs="Arial"/>
          <w:i/>
          <w:iCs/>
          <w:lang w:eastAsia="en-IN"/>
        </w:rPr>
        <w:t>Journal of Microbiology, Biotechnology and Food Sciences, 4</w:t>
      </w:r>
      <w:r w:rsidRPr="0069287C">
        <w:rPr>
          <w:rFonts w:ascii="Arial" w:hAnsi="Arial" w:cs="Arial"/>
          <w:lang w:eastAsia="en-IN"/>
        </w:rPr>
        <w:t xml:space="preserve">(4), 254–264. </w:t>
      </w:r>
    </w:p>
    <w:p w14:paraId="57EEB388"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t xml:space="preserve">Khan, N. A., Ajmal, M., &amp; Javed, N. (2013). </w:t>
      </w:r>
      <w:r w:rsidRPr="0069287C">
        <w:rPr>
          <w:rFonts w:ascii="Arial" w:hAnsi="Arial" w:cs="Arial"/>
          <w:lang w:eastAsia="en-IN"/>
        </w:rPr>
        <w:t xml:space="preserve">Evaluation of different substrates for oyster mushroom production. </w:t>
      </w:r>
      <w:r w:rsidRPr="0069287C">
        <w:rPr>
          <w:rFonts w:ascii="Arial" w:hAnsi="Arial" w:cs="Arial"/>
          <w:i/>
          <w:iCs/>
          <w:lang w:eastAsia="en-IN"/>
        </w:rPr>
        <w:t>Pakistan Journal of Phytopathology, 25</w:t>
      </w:r>
      <w:r w:rsidRPr="0069287C">
        <w:rPr>
          <w:rFonts w:ascii="Arial" w:hAnsi="Arial" w:cs="Arial"/>
          <w:lang w:eastAsia="en-IN"/>
        </w:rPr>
        <w:t xml:space="preserve">(2), 114–118. </w:t>
      </w:r>
    </w:p>
    <w:p w14:paraId="7B6A5FEA"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Girmay, Z., </w:t>
      </w:r>
      <w:proofErr w:type="spellStart"/>
      <w:r w:rsidRPr="0069287C">
        <w:rPr>
          <w:rFonts w:ascii="Arial" w:hAnsi="Arial" w:cs="Arial"/>
          <w:lang w:eastAsia="en-IN"/>
        </w:rPr>
        <w:t>Gorems</w:t>
      </w:r>
      <w:proofErr w:type="spellEnd"/>
      <w:r w:rsidRPr="0069287C">
        <w:rPr>
          <w:rFonts w:ascii="Arial" w:hAnsi="Arial" w:cs="Arial"/>
          <w:lang w:eastAsia="en-IN"/>
        </w:rPr>
        <w:t xml:space="preserve">, W., Birhanu, G., &amp; Zewdie, S. (2016). Growth and yield performance of Pleurotus ostreatus on different substrates. </w:t>
      </w:r>
      <w:r w:rsidRPr="0069287C">
        <w:rPr>
          <w:rFonts w:ascii="Arial" w:hAnsi="Arial" w:cs="Arial"/>
          <w:i/>
          <w:iCs/>
          <w:lang w:eastAsia="en-IN"/>
        </w:rPr>
        <w:t>AMB Express, 6</w:t>
      </w:r>
      <w:r w:rsidRPr="0069287C">
        <w:rPr>
          <w:rFonts w:ascii="Arial" w:hAnsi="Arial" w:cs="Arial"/>
          <w:lang w:eastAsia="en-IN"/>
        </w:rPr>
        <w:t xml:space="preserve">(1), 87. </w:t>
      </w:r>
    </w:p>
    <w:p w14:paraId="3AEE8959"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Hoa, H. T., Wang, C. L., &amp; Wang, C. H. (2015). The effects of different substrates on the growth, yield, and nutritional composition of two oyster mushrooms. </w:t>
      </w:r>
      <w:proofErr w:type="spellStart"/>
      <w:r w:rsidRPr="0069287C">
        <w:rPr>
          <w:rFonts w:ascii="Arial" w:hAnsi="Arial" w:cs="Arial"/>
          <w:i/>
          <w:iCs/>
          <w:lang w:eastAsia="en-IN"/>
        </w:rPr>
        <w:t>Mycobiology</w:t>
      </w:r>
      <w:proofErr w:type="spellEnd"/>
      <w:r w:rsidRPr="0069287C">
        <w:rPr>
          <w:rFonts w:ascii="Arial" w:hAnsi="Arial" w:cs="Arial"/>
          <w:i/>
          <w:iCs/>
          <w:lang w:eastAsia="en-IN"/>
        </w:rPr>
        <w:t>, 43</w:t>
      </w:r>
      <w:r w:rsidRPr="0069287C">
        <w:rPr>
          <w:rFonts w:ascii="Arial" w:hAnsi="Arial" w:cs="Arial"/>
          <w:lang w:eastAsia="en-IN"/>
        </w:rPr>
        <w:t xml:space="preserve">(4), 423–434. </w:t>
      </w:r>
    </w:p>
    <w:p w14:paraId="6C17E030"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t xml:space="preserve">Zhang, R., Li, X., &amp; Fadel, J. G. (2014). </w:t>
      </w:r>
      <w:r w:rsidRPr="0069287C">
        <w:rPr>
          <w:rFonts w:ascii="Arial" w:hAnsi="Arial" w:cs="Arial"/>
          <w:lang w:eastAsia="en-IN"/>
        </w:rPr>
        <w:t xml:space="preserve">Oyster mushroom cultivation with rice and wheat straw. </w:t>
      </w:r>
      <w:r w:rsidRPr="0069287C">
        <w:rPr>
          <w:rFonts w:ascii="Arial" w:hAnsi="Arial" w:cs="Arial"/>
          <w:i/>
          <w:iCs/>
          <w:lang w:eastAsia="en-IN"/>
        </w:rPr>
        <w:t>Bioresource Technology, 82</w:t>
      </w:r>
      <w:r w:rsidRPr="0069287C">
        <w:rPr>
          <w:rFonts w:ascii="Arial" w:hAnsi="Arial" w:cs="Arial"/>
          <w:lang w:eastAsia="en-IN"/>
        </w:rPr>
        <w:t xml:space="preserve">(3), 277–284. </w:t>
      </w:r>
    </w:p>
    <w:p w14:paraId="6B008EDD"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Jonathan, S. G., &amp; </w:t>
      </w:r>
      <w:proofErr w:type="spellStart"/>
      <w:r w:rsidRPr="0069287C">
        <w:rPr>
          <w:rFonts w:ascii="Arial" w:hAnsi="Arial" w:cs="Arial"/>
          <w:lang w:eastAsia="en-IN"/>
        </w:rPr>
        <w:t>Fasidi</w:t>
      </w:r>
      <w:proofErr w:type="spellEnd"/>
      <w:r w:rsidRPr="0069287C">
        <w:rPr>
          <w:rFonts w:ascii="Arial" w:hAnsi="Arial" w:cs="Arial"/>
          <w:lang w:eastAsia="en-IN"/>
        </w:rPr>
        <w:t xml:space="preserve">, I. O. (2012). Effect of different substrates on growth and yield of oyster mushroom. </w:t>
      </w:r>
      <w:r w:rsidRPr="0069287C">
        <w:rPr>
          <w:rFonts w:ascii="Arial" w:hAnsi="Arial" w:cs="Arial"/>
          <w:i/>
          <w:iCs/>
          <w:lang w:eastAsia="en-IN"/>
        </w:rPr>
        <w:t>African Journal of Biotechnology, 2</w:t>
      </w:r>
      <w:r w:rsidRPr="0069287C">
        <w:rPr>
          <w:rFonts w:ascii="Arial" w:hAnsi="Arial" w:cs="Arial"/>
          <w:lang w:eastAsia="en-IN"/>
        </w:rPr>
        <w:t xml:space="preserve">(8), 100–105. </w:t>
      </w:r>
    </w:p>
    <w:p w14:paraId="0F75B730"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proofErr w:type="spellStart"/>
      <w:r w:rsidRPr="0069287C">
        <w:rPr>
          <w:rFonts w:ascii="Arial" w:hAnsi="Arial" w:cs="Arial"/>
          <w:lang w:eastAsia="en-IN"/>
        </w:rPr>
        <w:lastRenderedPageBreak/>
        <w:t>Obodai</w:t>
      </w:r>
      <w:proofErr w:type="spellEnd"/>
      <w:r w:rsidRPr="0069287C">
        <w:rPr>
          <w:rFonts w:ascii="Arial" w:hAnsi="Arial" w:cs="Arial"/>
          <w:lang w:eastAsia="en-IN"/>
        </w:rPr>
        <w:t xml:space="preserve">, M., Cleland-Okine, J., &amp; </w:t>
      </w:r>
      <w:proofErr w:type="spellStart"/>
      <w:r w:rsidRPr="0069287C">
        <w:rPr>
          <w:rFonts w:ascii="Arial" w:hAnsi="Arial" w:cs="Arial"/>
          <w:lang w:eastAsia="en-IN"/>
        </w:rPr>
        <w:t>Vowotor</w:t>
      </w:r>
      <w:proofErr w:type="spellEnd"/>
      <w:r w:rsidRPr="0069287C">
        <w:rPr>
          <w:rFonts w:ascii="Arial" w:hAnsi="Arial" w:cs="Arial"/>
          <w:lang w:eastAsia="en-IN"/>
        </w:rPr>
        <w:t xml:space="preserve">, K. A. (2003). Comparative study on growth and yield of Pleurotus ostreatus. </w:t>
      </w:r>
      <w:r w:rsidRPr="0069287C">
        <w:rPr>
          <w:rFonts w:ascii="Arial" w:hAnsi="Arial" w:cs="Arial"/>
          <w:i/>
          <w:iCs/>
          <w:lang w:eastAsia="en-IN"/>
        </w:rPr>
        <w:t>Journal of Industrial Microbiology &amp; Biotechnology, 30</w:t>
      </w:r>
      <w:r w:rsidRPr="0069287C">
        <w:rPr>
          <w:rFonts w:ascii="Arial" w:hAnsi="Arial" w:cs="Arial"/>
          <w:lang w:eastAsia="en-IN"/>
        </w:rPr>
        <w:t xml:space="preserve">(3), 146–149. </w:t>
      </w:r>
    </w:p>
    <w:p w14:paraId="32016C81"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t xml:space="preserve">Siqueira, F. G., et al. </w:t>
      </w:r>
      <w:r w:rsidRPr="0069287C">
        <w:rPr>
          <w:rFonts w:ascii="Arial" w:hAnsi="Arial" w:cs="Arial"/>
          <w:lang w:eastAsia="en-IN"/>
        </w:rPr>
        <w:t xml:space="preserve">(2011). Cultivation of </w:t>
      </w:r>
      <w:proofErr w:type="spellStart"/>
      <w:r w:rsidRPr="0069287C">
        <w:rPr>
          <w:rFonts w:ascii="Arial" w:hAnsi="Arial" w:cs="Arial"/>
          <w:lang w:eastAsia="en-IN"/>
        </w:rPr>
        <w:t>Pleurotus</w:t>
      </w:r>
      <w:proofErr w:type="spellEnd"/>
      <w:r w:rsidRPr="0069287C">
        <w:rPr>
          <w:rFonts w:ascii="Arial" w:hAnsi="Arial" w:cs="Arial"/>
          <w:lang w:eastAsia="en-IN"/>
        </w:rPr>
        <w:t xml:space="preserve"> mushrooms on </w:t>
      </w:r>
      <w:proofErr w:type="spellStart"/>
      <w:r w:rsidRPr="0069287C">
        <w:rPr>
          <w:rFonts w:ascii="Arial" w:hAnsi="Arial" w:cs="Arial"/>
          <w:lang w:eastAsia="en-IN"/>
        </w:rPr>
        <w:t>agroindustrial</w:t>
      </w:r>
      <w:proofErr w:type="spellEnd"/>
      <w:r w:rsidRPr="0069287C">
        <w:rPr>
          <w:rFonts w:ascii="Arial" w:hAnsi="Arial" w:cs="Arial"/>
          <w:lang w:eastAsia="en-IN"/>
        </w:rPr>
        <w:t xml:space="preserve"> residues. </w:t>
      </w:r>
      <w:r w:rsidRPr="0069287C">
        <w:rPr>
          <w:rFonts w:ascii="Arial" w:hAnsi="Arial" w:cs="Arial"/>
          <w:i/>
          <w:iCs/>
          <w:lang w:eastAsia="en-IN"/>
        </w:rPr>
        <w:t>Brazilian Journal of Microbiology, 42</w:t>
      </w:r>
      <w:r w:rsidRPr="0069287C">
        <w:rPr>
          <w:rFonts w:ascii="Arial" w:hAnsi="Arial" w:cs="Arial"/>
          <w:lang w:eastAsia="en-IN"/>
        </w:rPr>
        <w:t xml:space="preserve">(2), 492–500. </w:t>
      </w:r>
    </w:p>
    <w:p w14:paraId="7BAC4FF3"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t xml:space="preserve">Moda, E. M., Horii, J., &amp; Spoto, M. H. (2005). </w:t>
      </w:r>
      <w:r w:rsidRPr="0069287C">
        <w:rPr>
          <w:rFonts w:ascii="Arial" w:hAnsi="Arial" w:cs="Arial"/>
          <w:lang w:eastAsia="en-IN"/>
        </w:rPr>
        <w:t xml:space="preserve">Edible mushroom </w:t>
      </w:r>
      <w:proofErr w:type="spellStart"/>
      <w:r w:rsidRPr="0069287C">
        <w:rPr>
          <w:rFonts w:ascii="Arial" w:hAnsi="Arial" w:cs="Arial"/>
          <w:lang w:eastAsia="en-IN"/>
        </w:rPr>
        <w:t>Pleurotus</w:t>
      </w:r>
      <w:proofErr w:type="spellEnd"/>
      <w:r w:rsidRPr="0069287C">
        <w:rPr>
          <w:rFonts w:ascii="Arial" w:hAnsi="Arial" w:cs="Arial"/>
          <w:lang w:eastAsia="en-IN"/>
        </w:rPr>
        <w:t xml:space="preserve"> </w:t>
      </w:r>
      <w:proofErr w:type="spellStart"/>
      <w:r w:rsidRPr="0069287C">
        <w:rPr>
          <w:rFonts w:ascii="Arial" w:hAnsi="Arial" w:cs="Arial"/>
          <w:lang w:eastAsia="en-IN"/>
        </w:rPr>
        <w:t>sajor-caju</w:t>
      </w:r>
      <w:proofErr w:type="spellEnd"/>
      <w:r w:rsidRPr="0069287C">
        <w:rPr>
          <w:rFonts w:ascii="Arial" w:hAnsi="Arial" w:cs="Arial"/>
          <w:lang w:eastAsia="en-IN"/>
        </w:rPr>
        <w:t xml:space="preserve"> production on washed and supplemented sugarcane bagasse. </w:t>
      </w:r>
      <w:r w:rsidRPr="0069287C">
        <w:rPr>
          <w:rFonts w:ascii="Arial" w:hAnsi="Arial" w:cs="Arial"/>
          <w:i/>
          <w:iCs/>
          <w:lang w:eastAsia="en-IN"/>
        </w:rPr>
        <w:t>Scientia Agricola, 62</w:t>
      </w:r>
      <w:r w:rsidRPr="0069287C">
        <w:rPr>
          <w:rFonts w:ascii="Arial" w:hAnsi="Arial" w:cs="Arial"/>
          <w:lang w:eastAsia="en-IN"/>
        </w:rPr>
        <w:t xml:space="preserve">(2), 127–132. </w:t>
      </w:r>
    </w:p>
    <w:p w14:paraId="1C841B3C"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Fan, L., </w:t>
      </w:r>
      <w:proofErr w:type="spellStart"/>
      <w:r w:rsidRPr="0069287C">
        <w:rPr>
          <w:rFonts w:ascii="Arial" w:hAnsi="Arial" w:cs="Arial"/>
          <w:lang w:eastAsia="en-IN"/>
        </w:rPr>
        <w:t>Soccol</w:t>
      </w:r>
      <w:proofErr w:type="spellEnd"/>
      <w:r w:rsidRPr="0069287C">
        <w:rPr>
          <w:rFonts w:ascii="Arial" w:hAnsi="Arial" w:cs="Arial"/>
          <w:lang w:eastAsia="en-IN"/>
        </w:rPr>
        <w:t xml:space="preserve">, A. T., Pandey, A., &amp; </w:t>
      </w:r>
      <w:proofErr w:type="spellStart"/>
      <w:r w:rsidRPr="0069287C">
        <w:rPr>
          <w:rFonts w:ascii="Arial" w:hAnsi="Arial" w:cs="Arial"/>
          <w:lang w:eastAsia="en-IN"/>
        </w:rPr>
        <w:t>Soccol</w:t>
      </w:r>
      <w:proofErr w:type="spellEnd"/>
      <w:r w:rsidRPr="0069287C">
        <w:rPr>
          <w:rFonts w:ascii="Arial" w:hAnsi="Arial" w:cs="Arial"/>
          <w:lang w:eastAsia="en-IN"/>
        </w:rPr>
        <w:t xml:space="preserve">, C. R. (2000). Cultivation of Pleurotus mushrooms on Brazilian coffee husk. </w:t>
      </w:r>
      <w:r w:rsidRPr="0069287C">
        <w:rPr>
          <w:rFonts w:ascii="Arial" w:hAnsi="Arial" w:cs="Arial"/>
          <w:i/>
          <w:iCs/>
          <w:lang w:eastAsia="en-IN"/>
        </w:rPr>
        <w:t>Brazilian Archives of Biology and Technology, 43</w:t>
      </w:r>
      <w:r w:rsidRPr="0069287C">
        <w:rPr>
          <w:rFonts w:ascii="Arial" w:hAnsi="Arial" w:cs="Arial"/>
          <w:lang w:eastAsia="en-IN"/>
        </w:rPr>
        <w:t xml:space="preserve">(3), 235–241. </w:t>
      </w:r>
    </w:p>
    <w:p w14:paraId="13158D50"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Philippoussis, A. (2009). Production of mushrooms using agro-industrial residues. </w:t>
      </w:r>
      <w:r w:rsidRPr="0069287C">
        <w:rPr>
          <w:rFonts w:ascii="Arial" w:hAnsi="Arial" w:cs="Arial"/>
          <w:i/>
          <w:iCs/>
          <w:lang w:eastAsia="en-IN"/>
        </w:rPr>
        <w:t xml:space="preserve">Acta </w:t>
      </w:r>
      <w:proofErr w:type="spellStart"/>
      <w:r w:rsidRPr="0069287C">
        <w:rPr>
          <w:rFonts w:ascii="Arial" w:hAnsi="Arial" w:cs="Arial"/>
          <w:i/>
          <w:iCs/>
          <w:lang w:eastAsia="en-IN"/>
        </w:rPr>
        <w:t>Horticulturae</w:t>
      </w:r>
      <w:proofErr w:type="spellEnd"/>
      <w:r w:rsidRPr="0069287C">
        <w:rPr>
          <w:rFonts w:ascii="Arial" w:hAnsi="Arial" w:cs="Arial"/>
          <w:i/>
          <w:iCs/>
          <w:lang w:eastAsia="en-IN"/>
        </w:rPr>
        <w:t>, 1</w:t>
      </w:r>
      <w:r w:rsidRPr="0069287C">
        <w:rPr>
          <w:rFonts w:ascii="Arial" w:hAnsi="Arial" w:cs="Arial"/>
          <w:lang w:eastAsia="en-IN"/>
        </w:rPr>
        <w:t xml:space="preserve">(1), 163–172. </w:t>
      </w:r>
    </w:p>
    <w:p w14:paraId="3CDAF899"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Baysal, E., Peker, H., </w:t>
      </w:r>
      <w:proofErr w:type="spellStart"/>
      <w:r w:rsidRPr="0069287C">
        <w:rPr>
          <w:rFonts w:ascii="Arial" w:hAnsi="Arial" w:cs="Arial"/>
          <w:lang w:eastAsia="en-IN"/>
        </w:rPr>
        <w:t>Yalinkilic</w:t>
      </w:r>
      <w:proofErr w:type="spellEnd"/>
      <w:r w:rsidRPr="0069287C">
        <w:rPr>
          <w:rFonts w:ascii="Arial" w:hAnsi="Arial" w:cs="Arial"/>
          <w:lang w:eastAsia="en-IN"/>
        </w:rPr>
        <w:t xml:space="preserve">, M. K., &amp; Temiz, A. (2003). Cultivation of oyster mushroom on waste paper. </w:t>
      </w:r>
      <w:r w:rsidRPr="0069287C">
        <w:rPr>
          <w:rFonts w:ascii="Arial" w:hAnsi="Arial" w:cs="Arial"/>
          <w:i/>
          <w:iCs/>
          <w:lang w:eastAsia="en-IN"/>
        </w:rPr>
        <w:t>Bioresource Technology, 89</w:t>
      </w:r>
      <w:r w:rsidRPr="0069287C">
        <w:rPr>
          <w:rFonts w:ascii="Arial" w:hAnsi="Arial" w:cs="Arial"/>
          <w:lang w:eastAsia="en-IN"/>
        </w:rPr>
        <w:t xml:space="preserve">(1), 95–97. </w:t>
      </w:r>
    </w:p>
    <w:p w14:paraId="377FEAD0"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t xml:space="preserve">Jang, M. J., Lee, Y. H., &amp; Ju, Y. C. (2015). </w:t>
      </w:r>
      <w:r w:rsidRPr="0069287C">
        <w:rPr>
          <w:rFonts w:ascii="Arial" w:hAnsi="Arial" w:cs="Arial"/>
          <w:lang w:eastAsia="en-IN"/>
        </w:rPr>
        <w:t xml:space="preserve">Growth characteristics of oyster mushroom. </w:t>
      </w:r>
      <w:proofErr w:type="spellStart"/>
      <w:r w:rsidRPr="0069287C">
        <w:rPr>
          <w:rFonts w:ascii="Arial" w:hAnsi="Arial" w:cs="Arial"/>
          <w:i/>
          <w:iCs/>
          <w:lang w:eastAsia="en-IN"/>
        </w:rPr>
        <w:t>Mycobiology</w:t>
      </w:r>
      <w:proofErr w:type="spellEnd"/>
      <w:r w:rsidRPr="0069287C">
        <w:rPr>
          <w:rFonts w:ascii="Arial" w:hAnsi="Arial" w:cs="Arial"/>
          <w:i/>
          <w:iCs/>
          <w:lang w:eastAsia="en-IN"/>
        </w:rPr>
        <w:t>, 43</w:t>
      </w:r>
      <w:r w:rsidRPr="0069287C">
        <w:rPr>
          <w:rFonts w:ascii="Arial" w:hAnsi="Arial" w:cs="Arial"/>
          <w:lang w:eastAsia="en-IN"/>
        </w:rPr>
        <w:t xml:space="preserve">(2), 155–160. </w:t>
      </w:r>
    </w:p>
    <w:p w14:paraId="415FF040"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Kim, S. W., et al. (2008). The growth characteristics of Pleurotus species. </w:t>
      </w:r>
      <w:r w:rsidRPr="0069287C">
        <w:rPr>
          <w:rFonts w:ascii="Arial" w:hAnsi="Arial" w:cs="Arial"/>
          <w:i/>
          <w:iCs/>
          <w:lang w:eastAsia="en-IN"/>
        </w:rPr>
        <w:t>Journal of Microbiology and Biotechnology, 18</w:t>
      </w:r>
      <w:r w:rsidRPr="0069287C">
        <w:rPr>
          <w:rFonts w:ascii="Arial" w:hAnsi="Arial" w:cs="Arial"/>
          <w:lang w:eastAsia="en-IN"/>
        </w:rPr>
        <w:t xml:space="preserve">(5), 863–868. </w:t>
      </w:r>
    </w:p>
    <w:p w14:paraId="1890940E"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Das, N., &amp; Mukherjee, M. (2010). Cultivation of oyster mushroom on weed plants. </w:t>
      </w:r>
      <w:r w:rsidRPr="0069287C">
        <w:rPr>
          <w:rFonts w:ascii="Arial" w:hAnsi="Arial" w:cs="Arial"/>
          <w:i/>
          <w:iCs/>
          <w:lang w:eastAsia="en-IN"/>
        </w:rPr>
        <w:t>Bioresource Technology, 98</w:t>
      </w:r>
      <w:r w:rsidRPr="0069287C">
        <w:rPr>
          <w:rFonts w:ascii="Arial" w:hAnsi="Arial" w:cs="Arial"/>
          <w:lang w:eastAsia="en-IN"/>
        </w:rPr>
        <w:t xml:space="preserve">(14), 2723–2726. </w:t>
      </w:r>
    </w:p>
    <w:p w14:paraId="7D8C9787"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Banik, S., &amp; Nandi, R. (2004). Effect of supplementation on mushroom production. </w:t>
      </w:r>
      <w:r w:rsidRPr="0069287C">
        <w:rPr>
          <w:rFonts w:ascii="Arial" w:hAnsi="Arial" w:cs="Arial"/>
          <w:i/>
          <w:iCs/>
          <w:lang w:eastAsia="en-IN"/>
        </w:rPr>
        <w:t>Bioresource Technology, 90</w:t>
      </w:r>
      <w:r w:rsidRPr="0069287C">
        <w:rPr>
          <w:rFonts w:ascii="Arial" w:hAnsi="Arial" w:cs="Arial"/>
          <w:lang w:eastAsia="en-IN"/>
        </w:rPr>
        <w:t xml:space="preserve">(2), 181–186. </w:t>
      </w:r>
    </w:p>
    <w:p w14:paraId="159E09F6"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Shah, Z. A., Ashraf, M., &amp; Ishtiaq, M. (2004). Comparative study on cultivation of oyster mushroom. </w:t>
      </w:r>
      <w:r w:rsidRPr="0069287C">
        <w:rPr>
          <w:rFonts w:ascii="Arial" w:hAnsi="Arial" w:cs="Arial"/>
          <w:i/>
          <w:iCs/>
          <w:lang w:eastAsia="en-IN"/>
        </w:rPr>
        <w:t>Pakistan Journal of Nutrition, 3</w:t>
      </w:r>
      <w:r w:rsidRPr="0069287C">
        <w:rPr>
          <w:rFonts w:ascii="Arial" w:hAnsi="Arial" w:cs="Arial"/>
          <w:lang w:eastAsia="en-IN"/>
        </w:rPr>
        <w:t xml:space="preserve">(3), 158–160. </w:t>
      </w:r>
    </w:p>
    <w:p w14:paraId="6AF0D5D7"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proofErr w:type="spellStart"/>
      <w:r w:rsidRPr="0069287C">
        <w:rPr>
          <w:rFonts w:ascii="Arial" w:hAnsi="Arial" w:cs="Arial"/>
          <w:lang w:eastAsia="en-IN"/>
        </w:rPr>
        <w:t>Pathmashini</w:t>
      </w:r>
      <w:proofErr w:type="spellEnd"/>
      <w:r w:rsidRPr="0069287C">
        <w:rPr>
          <w:rFonts w:ascii="Arial" w:hAnsi="Arial" w:cs="Arial"/>
          <w:lang w:eastAsia="en-IN"/>
        </w:rPr>
        <w:t xml:space="preserve">, L., </w:t>
      </w:r>
      <w:proofErr w:type="spellStart"/>
      <w:r w:rsidRPr="0069287C">
        <w:rPr>
          <w:rFonts w:ascii="Arial" w:hAnsi="Arial" w:cs="Arial"/>
          <w:lang w:eastAsia="en-IN"/>
        </w:rPr>
        <w:t>Arulnandhy</w:t>
      </w:r>
      <w:proofErr w:type="spellEnd"/>
      <w:r w:rsidRPr="0069287C">
        <w:rPr>
          <w:rFonts w:ascii="Arial" w:hAnsi="Arial" w:cs="Arial"/>
          <w:lang w:eastAsia="en-IN"/>
        </w:rPr>
        <w:t xml:space="preserve">, V., &amp; Wilson, W. I. (2008). Cultivation of oyster mushroom using different substrates. </w:t>
      </w:r>
      <w:r w:rsidRPr="0069287C">
        <w:rPr>
          <w:rFonts w:ascii="Arial" w:hAnsi="Arial" w:cs="Arial"/>
          <w:i/>
          <w:iCs/>
          <w:lang w:eastAsia="en-IN"/>
        </w:rPr>
        <w:t>Tropical Agricultural Research, 20</w:t>
      </w:r>
      <w:r w:rsidRPr="0069287C">
        <w:rPr>
          <w:rFonts w:ascii="Arial" w:hAnsi="Arial" w:cs="Arial"/>
          <w:lang w:eastAsia="en-IN"/>
        </w:rPr>
        <w:t xml:space="preserve">, 122–128. </w:t>
      </w:r>
    </w:p>
    <w:p w14:paraId="34489124"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lastRenderedPageBreak/>
        <w:t xml:space="preserve">Patil, S. S., et al. </w:t>
      </w:r>
      <w:r w:rsidRPr="0069287C">
        <w:rPr>
          <w:rFonts w:ascii="Arial" w:hAnsi="Arial" w:cs="Arial"/>
          <w:lang w:eastAsia="en-IN"/>
        </w:rPr>
        <w:t xml:space="preserve">(2010). Effect of different substrates on growth and yield of oyster mushroom. </w:t>
      </w:r>
      <w:r w:rsidRPr="0069287C">
        <w:rPr>
          <w:rFonts w:ascii="Arial" w:hAnsi="Arial" w:cs="Arial"/>
          <w:i/>
          <w:iCs/>
          <w:lang w:eastAsia="en-IN"/>
        </w:rPr>
        <w:t>International Journal of Plant Sciences, 5</w:t>
      </w:r>
      <w:r w:rsidRPr="0069287C">
        <w:rPr>
          <w:rFonts w:ascii="Arial" w:hAnsi="Arial" w:cs="Arial"/>
          <w:lang w:eastAsia="en-IN"/>
        </w:rPr>
        <w:t xml:space="preserve">(2), 523–525. </w:t>
      </w:r>
    </w:p>
    <w:p w14:paraId="5EF4EB9E"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t xml:space="preserve">Ahmed, S. A., et al. </w:t>
      </w:r>
      <w:r w:rsidRPr="0069287C">
        <w:rPr>
          <w:rFonts w:ascii="Arial" w:hAnsi="Arial" w:cs="Arial"/>
          <w:lang w:eastAsia="en-IN"/>
        </w:rPr>
        <w:t xml:space="preserve">(2009). Performance of oyster mushroom on different substrates. </w:t>
      </w:r>
      <w:r w:rsidRPr="0069287C">
        <w:rPr>
          <w:rFonts w:ascii="Arial" w:hAnsi="Arial" w:cs="Arial"/>
          <w:i/>
          <w:iCs/>
          <w:lang w:eastAsia="en-IN"/>
        </w:rPr>
        <w:t>Bangladesh Journal of Agricultural Research, 34</w:t>
      </w:r>
      <w:r w:rsidRPr="0069287C">
        <w:rPr>
          <w:rFonts w:ascii="Arial" w:hAnsi="Arial" w:cs="Arial"/>
          <w:lang w:eastAsia="en-IN"/>
        </w:rPr>
        <w:t xml:space="preserve">(3), 445–452. </w:t>
      </w:r>
    </w:p>
    <w:p w14:paraId="74FFE88F"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t xml:space="preserve">Sarker, N. C., et al. </w:t>
      </w:r>
      <w:r w:rsidRPr="0069287C">
        <w:rPr>
          <w:rFonts w:ascii="Arial" w:hAnsi="Arial" w:cs="Arial"/>
          <w:lang w:eastAsia="en-IN"/>
        </w:rPr>
        <w:t xml:space="preserve">(2007). Performance of oyster mushroom on different substrates. </w:t>
      </w:r>
      <w:r w:rsidRPr="0069287C">
        <w:rPr>
          <w:rFonts w:ascii="Arial" w:hAnsi="Arial" w:cs="Arial"/>
          <w:i/>
          <w:iCs/>
          <w:lang w:eastAsia="en-IN"/>
        </w:rPr>
        <w:t>Bangladesh Journal of Mushroom, 1</w:t>
      </w:r>
      <w:r w:rsidRPr="0069287C">
        <w:rPr>
          <w:rFonts w:ascii="Arial" w:hAnsi="Arial" w:cs="Arial"/>
          <w:lang w:eastAsia="en-IN"/>
        </w:rPr>
        <w:t xml:space="preserve">(2), 9–15. </w:t>
      </w:r>
    </w:p>
    <w:p w14:paraId="18899FD3"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Kumari, D., &amp; Achal, V. (2013). Mushroom cultivation and its importance. </w:t>
      </w:r>
      <w:r w:rsidRPr="0069287C">
        <w:rPr>
          <w:rFonts w:ascii="Arial" w:hAnsi="Arial" w:cs="Arial"/>
          <w:i/>
          <w:iCs/>
          <w:lang w:eastAsia="en-IN"/>
        </w:rPr>
        <w:t>International Journal of Current Microbiology and Applied Sciences, 2</w:t>
      </w:r>
      <w:r w:rsidRPr="0069287C">
        <w:rPr>
          <w:rFonts w:ascii="Arial" w:hAnsi="Arial" w:cs="Arial"/>
          <w:lang w:eastAsia="en-IN"/>
        </w:rPr>
        <w:t xml:space="preserve">(5), 35–42. </w:t>
      </w:r>
    </w:p>
    <w:p w14:paraId="72C52E73"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proofErr w:type="spellStart"/>
      <w:r w:rsidRPr="0069287C">
        <w:rPr>
          <w:rFonts w:ascii="Arial" w:hAnsi="Arial" w:cs="Arial"/>
          <w:lang w:val="en-IN" w:eastAsia="en-IN"/>
        </w:rPr>
        <w:t>Bhattacharjya</w:t>
      </w:r>
      <w:proofErr w:type="spellEnd"/>
      <w:r w:rsidRPr="0069287C">
        <w:rPr>
          <w:rFonts w:ascii="Arial" w:hAnsi="Arial" w:cs="Arial"/>
          <w:lang w:val="en-IN" w:eastAsia="en-IN"/>
        </w:rPr>
        <w:t xml:space="preserve">, D. K., et al. </w:t>
      </w:r>
      <w:r w:rsidRPr="0069287C">
        <w:rPr>
          <w:rFonts w:ascii="Arial" w:hAnsi="Arial" w:cs="Arial"/>
          <w:lang w:eastAsia="en-IN"/>
        </w:rPr>
        <w:t xml:space="preserve">(2014). Effect of substrates on oyster mushroom production. </w:t>
      </w:r>
      <w:r w:rsidRPr="0069287C">
        <w:rPr>
          <w:rFonts w:ascii="Arial" w:hAnsi="Arial" w:cs="Arial"/>
          <w:i/>
          <w:iCs/>
          <w:lang w:eastAsia="en-IN"/>
        </w:rPr>
        <w:t>Indian Journal of Hill Farming, 27</w:t>
      </w:r>
      <w:r w:rsidRPr="0069287C">
        <w:rPr>
          <w:rFonts w:ascii="Arial" w:hAnsi="Arial" w:cs="Arial"/>
          <w:lang w:eastAsia="en-IN"/>
        </w:rPr>
        <w:t xml:space="preserve">(1), 47–50. </w:t>
      </w:r>
    </w:p>
    <w:p w14:paraId="1193F8F3"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proofErr w:type="spellStart"/>
      <w:r w:rsidRPr="0069287C">
        <w:rPr>
          <w:rFonts w:ascii="Arial" w:hAnsi="Arial" w:cs="Arial"/>
          <w:lang w:val="en-IN" w:eastAsia="en-IN"/>
        </w:rPr>
        <w:t>Jarial</w:t>
      </w:r>
      <w:proofErr w:type="spellEnd"/>
      <w:r w:rsidRPr="0069287C">
        <w:rPr>
          <w:rFonts w:ascii="Arial" w:hAnsi="Arial" w:cs="Arial"/>
          <w:lang w:val="en-IN" w:eastAsia="en-IN"/>
        </w:rPr>
        <w:t xml:space="preserve">, R. S., et al. </w:t>
      </w:r>
      <w:r w:rsidRPr="0069287C">
        <w:rPr>
          <w:rFonts w:ascii="Arial" w:hAnsi="Arial" w:cs="Arial"/>
          <w:lang w:eastAsia="en-IN"/>
        </w:rPr>
        <w:t xml:space="preserve">(2015). Evaluation of different substrates for oyster mushroom. </w:t>
      </w:r>
      <w:r w:rsidRPr="0069287C">
        <w:rPr>
          <w:rFonts w:ascii="Arial" w:hAnsi="Arial" w:cs="Arial"/>
          <w:i/>
          <w:iCs/>
          <w:lang w:eastAsia="en-IN"/>
        </w:rPr>
        <w:t>Journal of Mycology, 2015</w:t>
      </w:r>
      <w:r w:rsidRPr="0069287C">
        <w:rPr>
          <w:rFonts w:ascii="Arial" w:hAnsi="Arial" w:cs="Arial"/>
          <w:lang w:eastAsia="en-IN"/>
        </w:rPr>
        <w:t xml:space="preserve">, 1–7. </w:t>
      </w:r>
    </w:p>
    <w:p w14:paraId="74C24FD3"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Kapoor, J. N. (2017). Mushroom cultivation in India. </w:t>
      </w:r>
      <w:r w:rsidRPr="0069287C">
        <w:rPr>
          <w:rFonts w:ascii="Arial" w:hAnsi="Arial" w:cs="Arial"/>
          <w:i/>
          <w:iCs/>
          <w:lang w:eastAsia="en-IN"/>
        </w:rPr>
        <w:t>Indian Phytopathology, 70</w:t>
      </w:r>
      <w:r w:rsidRPr="0069287C">
        <w:rPr>
          <w:rFonts w:ascii="Arial" w:hAnsi="Arial" w:cs="Arial"/>
          <w:lang w:eastAsia="en-IN"/>
        </w:rPr>
        <w:t xml:space="preserve">(1), 1–8. </w:t>
      </w:r>
    </w:p>
    <w:p w14:paraId="5D7D51C7"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Gupta, P., et al. (2018). Advances in mushroom cultivation. </w:t>
      </w:r>
      <w:r w:rsidRPr="0069287C">
        <w:rPr>
          <w:rFonts w:ascii="Arial" w:hAnsi="Arial" w:cs="Arial"/>
          <w:i/>
          <w:iCs/>
          <w:lang w:eastAsia="en-IN"/>
        </w:rPr>
        <w:t>Journal of Applied Biology, 12</w:t>
      </w:r>
      <w:r w:rsidRPr="0069287C">
        <w:rPr>
          <w:rFonts w:ascii="Arial" w:hAnsi="Arial" w:cs="Arial"/>
          <w:lang w:eastAsia="en-IN"/>
        </w:rPr>
        <w:t xml:space="preserve">(2), 45–52. </w:t>
      </w:r>
    </w:p>
    <w:p w14:paraId="2BB73083"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Yadav, M., et al. (2016). Effect of substrates on oyster mushroom growth. </w:t>
      </w:r>
      <w:r w:rsidRPr="0069287C">
        <w:rPr>
          <w:rFonts w:ascii="Arial" w:hAnsi="Arial" w:cs="Arial"/>
          <w:i/>
          <w:iCs/>
          <w:lang w:eastAsia="en-IN"/>
        </w:rPr>
        <w:t>Agricultural Science Digest, 36</w:t>
      </w:r>
      <w:r w:rsidRPr="0069287C">
        <w:rPr>
          <w:rFonts w:ascii="Arial" w:hAnsi="Arial" w:cs="Arial"/>
          <w:lang w:eastAsia="en-IN"/>
        </w:rPr>
        <w:t xml:space="preserve">(3), 200–204. </w:t>
      </w:r>
    </w:p>
    <w:p w14:paraId="2DCCD6AD"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Singh, R., et al. (2019). Evaluation of substrates for oyster mushroom cultivation. </w:t>
      </w:r>
      <w:r w:rsidRPr="0069287C">
        <w:rPr>
          <w:rFonts w:ascii="Arial" w:hAnsi="Arial" w:cs="Arial"/>
          <w:i/>
          <w:iCs/>
          <w:lang w:eastAsia="en-IN"/>
        </w:rPr>
        <w:t>International Journal of Agriculture Sciences, 11</w:t>
      </w:r>
      <w:r w:rsidRPr="0069287C">
        <w:rPr>
          <w:rFonts w:ascii="Arial" w:hAnsi="Arial" w:cs="Arial"/>
          <w:lang w:eastAsia="en-IN"/>
        </w:rPr>
        <w:t xml:space="preserve">(5), 7923–7926. </w:t>
      </w:r>
    </w:p>
    <w:p w14:paraId="26547075"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Verma, S., et al. (2020). Role of nanotechnology in agriculture. </w:t>
      </w:r>
      <w:r w:rsidRPr="0069287C">
        <w:rPr>
          <w:rFonts w:ascii="Arial" w:hAnsi="Arial" w:cs="Arial"/>
          <w:i/>
          <w:iCs/>
          <w:lang w:eastAsia="en-IN"/>
        </w:rPr>
        <w:t>Journal of Nanotechnology Research, 4</w:t>
      </w:r>
      <w:r w:rsidRPr="0069287C">
        <w:rPr>
          <w:rFonts w:ascii="Arial" w:hAnsi="Arial" w:cs="Arial"/>
          <w:lang w:eastAsia="en-IN"/>
        </w:rPr>
        <w:t xml:space="preserve">(1), 12–20. </w:t>
      </w:r>
    </w:p>
    <w:p w14:paraId="106B0888"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Kumar, A., et al. (2018). Nanoparticles in agriculture: A review. </w:t>
      </w:r>
      <w:r w:rsidRPr="0069287C">
        <w:rPr>
          <w:rFonts w:ascii="Arial" w:hAnsi="Arial" w:cs="Arial"/>
          <w:i/>
          <w:iCs/>
          <w:lang w:eastAsia="en-IN"/>
        </w:rPr>
        <w:t>Environmental Chemistry Letters, 16</w:t>
      </w:r>
      <w:r w:rsidRPr="0069287C">
        <w:rPr>
          <w:rFonts w:ascii="Arial" w:hAnsi="Arial" w:cs="Arial"/>
          <w:lang w:eastAsia="en-IN"/>
        </w:rPr>
        <w:t xml:space="preserve">(2), 537–554. </w:t>
      </w:r>
    </w:p>
    <w:p w14:paraId="7532FC94"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Tiwari, R., et al. (2017). Nanotechnology applications in agriculture. </w:t>
      </w:r>
      <w:r w:rsidRPr="0069287C">
        <w:rPr>
          <w:rFonts w:ascii="Arial" w:hAnsi="Arial" w:cs="Arial"/>
          <w:i/>
          <w:iCs/>
          <w:lang w:eastAsia="en-IN"/>
        </w:rPr>
        <w:t>Advances in Life Sciences, 6</w:t>
      </w:r>
      <w:r w:rsidRPr="0069287C">
        <w:rPr>
          <w:rFonts w:ascii="Arial" w:hAnsi="Arial" w:cs="Arial"/>
          <w:lang w:eastAsia="en-IN"/>
        </w:rPr>
        <w:t xml:space="preserve">(2), 55–62. </w:t>
      </w:r>
    </w:p>
    <w:p w14:paraId="4010BC4B"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lastRenderedPageBreak/>
        <w:t xml:space="preserve">Chandra, R., et al. (2016). Effect of </w:t>
      </w:r>
      <w:proofErr w:type="spellStart"/>
      <w:r w:rsidRPr="0069287C">
        <w:rPr>
          <w:rFonts w:ascii="Arial" w:hAnsi="Arial" w:cs="Arial"/>
          <w:lang w:eastAsia="en-IN"/>
        </w:rPr>
        <w:t>ZnO</w:t>
      </w:r>
      <w:proofErr w:type="spellEnd"/>
      <w:r w:rsidRPr="0069287C">
        <w:rPr>
          <w:rFonts w:ascii="Arial" w:hAnsi="Arial" w:cs="Arial"/>
          <w:lang w:eastAsia="en-IN"/>
        </w:rPr>
        <w:t xml:space="preserve"> nanoparticles on plant growth. </w:t>
      </w:r>
      <w:r w:rsidRPr="0069287C">
        <w:rPr>
          <w:rFonts w:ascii="Arial" w:hAnsi="Arial" w:cs="Arial"/>
          <w:i/>
          <w:iCs/>
          <w:lang w:eastAsia="en-IN"/>
        </w:rPr>
        <w:t>Journal of Plant Nutrition, 39</w:t>
      </w:r>
      <w:r w:rsidRPr="0069287C">
        <w:rPr>
          <w:rFonts w:ascii="Arial" w:hAnsi="Arial" w:cs="Arial"/>
          <w:lang w:eastAsia="en-IN"/>
        </w:rPr>
        <w:t xml:space="preserve">(5), 1–10. </w:t>
      </w:r>
    </w:p>
    <w:p w14:paraId="5D144CE8"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Patel, K., et al. (2021). Nanotechnology in sustainable agriculture. </w:t>
      </w:r>
      <w:r w:rsidRPr="0069287C">
        <w:rPr>
          <w:rFonts w:ascii="Arial" w:hAnsi="Arial" w:cs="Arial"/>
          <w:i/>
          <w:iCs/>
          <w:lang w:eastAsia="en-IN"/>
        </w:rPr>
        <w:t>Sustainable Agriculture Reviews, 45</w:t>
      </w:r>
      <w:r w:rsidRPr="0069287C">
        <w:rPr>
          <w:rFonts w:ascii="Arial" w:hAnsi="Arial" w:cs="Arial"/>
          <w:lang w:eastAsia="en-IN"/>
        </w:rPr>
        <w:t xml:space="preserve">, 89–112. </w:t>
      </w:r>
    </w:p>
    <w:p w14:paraId="6ED73AF1"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Singh, P., et al. (2022). Nanoparticles and their agricultural applications. </w:t>
      </w:r>
      <w:r w:rsidRPr="0069287C">
        <w:rPr>
          <w:rFonts w:ascii="Arial" w:hAnsi="Arial" w:cs="Arial"/>
          <w:i/>
          <w:iCs/>
          <w:lang w:eastAsia="en-IN"/>
        </w:rPr>
        <w:t>Frontiers in Plant Science, 13</w:t>
      </w:r>
      <w:r w:rsidRPr="0069287C">
        <w:rPr>
          <w:rFonts w:ascii="Arial" w:hAnsi="Arial" w:cs="Arial"/>
          <w:lang w:eastAsia="en-IN"/>
        </w:rPr>
        <w:t xml:space="preserve">, 1–15. </w:t>
      </w:r>
    </w:p>
    <w:p w14:paraId="51FD2783"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Kumar, V., et al. (2019). Metal oxide nanoparticles and their applications. </w:t>
      </w:r>
      <w:r w:rsidRPr="0069287C">
        <w:rPr>
          <w:rFonts w:ascii="Arial" w:hAnsi="Arial" w:cs="Arial"/>
          <w:i/>
          <w:iCs/>
          <w:lang w:eastAsia="en-IN"/>
        </w:rPr>
        <w:t>Materials Science Journal, 8</w:t>
      </w:r>
      <w:r w:rsidRPr="0069287C">
        <w:rPr>
          <w:rFonts w:ascii="Arial" w:hAnsi="Arial" w:cs="Arial"/>
          <w:lang w:eastAsia="en-IN"/>
        </w:rPr>
        <w:t xml:space="preserve">(3), 101–110. </w:t>
      </w:r>
    </w:p>
    <w:p w14:paraId="77E19F15"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Sharma, R., et al. (2018). Nanoparticles in fungal growth enhancement. </w:t>
      </w:r>
      <w:r w:rsidRPr="0069287C">
        <w:rPr>
          <w:rFonts w:ascii="Arial" w:hAnsi="Arial" w:cs="Arial"/>
          <w:i/>
          <w:iCs/>
          <w:lang w:eastAsia="en-IN"/>
        </w:rPr>
        <w:t>Mycology Research, 122</w:t>
      </w:r>
      <w:r w:rsidRPr="0069287C">
        <w:rPr>
          <w:rFonts w:ascii="Arial" w:hAnsi="Arial" w:cs="Arial"/>
          <w:lang w:eastAsia="en-IN"/>
        </w:rPr>
        <w:t xml:space="preserve">(4), 321–330. </w:t>
      </w:r>
    </w:p>
    <w:p w14:paraId="25A0E84F"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Mehta, D., et al. (2017). Agricultural applications of nanotechnology. </w:t>
      </w:r>
      <w:r w:rsidRPr="0069287C">
        <w:rPr>
          <w:rFonts w:ascii="Arial" w:hAnsi="Arial" w:cs="Arial"/>
          <w:i/>
          <w:iCs/>
          <w:lang w:eastAsia="en-IN"/>
        </w:rPr>
        <w:t>Journal of Nanoscience, 2017</w:t>
      </w:r>
      <w:r w:rsidRPr="0069287C">
        <w:rPr>
          <w:rFonts w:ascii="Arial" w:hAnsi="Arial" w:cs="Arial"/>
          <w:lang w:eastAsia="en-IN"/>
        </w:rPr>
        <w:t xml:space="preserve">, 1–10. </w:t>
      </w:r>
    </w:p>
    <w:p w14:paraId="28FCE5F5"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Reddy, K., et al. (2016). Effects of nanoparticles on biological systems. </w:t>
      </w:r>
      <w:r w:rsidRPr="0069287C">
        <w:rPr>
          <w:rFonts w:ascii="Arial" w:hAnsi="Arial" w:cs="Arial"/>
          <w:i/>
          <w:iCs/>
          <w:lang w:eastAsia="en-IN"/>
        </w:rPr>
        <w:t>Environmental Research, 150</w:t>
      </w:r>
      <w:r w:rsidRPr="0069287C">
        <w:rPr>
          <w:rFonts w:ascii="Arial" w:hAnsi="Arial" w:cs="Arial"/>
          <w:lang w:eastAsia="en-IN"/>
        </w:rPr>
        <w:t xml:space="preserve">, 1–10. </w:t>
      </w:r>
    </w:p>
    <w:p w14:paraId="090EB7E2"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Rao, S., et al. (2015). Nanoparticle interactions in agriculture. </w:t>
      </w:r>
      <w:r w:rsidRPr="0069287C">
        <w:rPr>
          <w:rFonts w:ascii="Arial" w:hAnsi="Arial" w:cs="Arial"/>
          <w:i/>
          <w:iCs/>
          <w:lang w:eastAsia="en-IN"/>
        </w:rPr>
        <w:t>Agricultural Nanotechnology Journal, 3</w:t>
      </w:r>
      <w:r w:rsidRPr="0069287C">
        <w:rPr>
          <w:rFonts w:ascii="Arial" w:hAnsi="Arial" w:cs="Arial"/>
          <w:lang w:eastAsia="en-IN"/>
        </w:rPr>
        <w:t xml:space="preserve">(2), 45–52. </w:t>
      </w:r>
    </w:p>
    <w:p w14:paraId="14B0FE58"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Nair, P., et al. (2014). Nanotechnology in crop production. </w:t>
      </w:r>
      <w:r w:rsidRPr="0069287C">
        <w:rPr>
          <w:rFonts w:ascii="Arial" w:hAnsi="Arial" w:cs="Arial"/>
          <w:i/>
          <w:iCs/>
          <w:lang w:eastAsia="en-IN"/>
        </w:rPr>
        <w:t>Advances in Agronomy, 125</w:t>
      </w:r>
      <w:r w:rsidRPr="0069287C">
        <w:rPr>
          <w:rFonts w:ascii="Arial" w:hAnsi="Arial" w:cs="Arial"/>
          <w:lang w:eastAsia="en-IN"/>
        </w:rPr>
        <w:t xml:space="preserve">, 1–45. </w:t>
      </w:r>
    </w:p>
    <w:p w14:paraId="651A3402"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Das, S., et al. (2013). Nanoparticles and plant growth. </w:t>
      </w:r>
      <w:r w:rsidRPr="0069287C">
        <w:rPr>
          <w:rFonts w:ascii="Arial" w:hAnsi="Arial" w:cs="Arial"/>
          <w:i/>
          <w:iCs/>
          <w:lang w:eastAsia="en-IN"/>
        </w:rPr>
        <w:t>Plant Science Review, 45</w:t>
      </w:r>
      <w:r w:rsidRPr="0069287C">
        <w:rPr>
          <w:rFonts w:ascii="Arial" w:hAnsi="Arial" w:cs="Arial"/>
          <w:lang w:eastAsia="en-IN"/>
        </w:rPr>
        <w:t xml:space="preserve">(2), 78–85. </w:t>
      </w:r>
    </w:p>
    <w:p w14:paraId="394A19DA"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Ghosh, A., et al. (2012). Nanotechnology applications in agriculture. </w:t>
      </w:r>
      <w:r w:rsidRPr="0069287C">
        <w:rPr>
          <w:rFonts w:ascii="Arial" w:hAnsi="Arial" w:cs="Arial"/>
          <w:i/>
          <w:iCs/>
          <w:lang w:eastAsia="en-IN"/>
        </w:rPr>
        <w:t>Journal of Agricultural Science, 4</w:t>
      </w:r>
      <w:r w:rsidRPr="0069287C">
        <w:rPr>
          <w:rFonts w:ascii="Arial" w:hAnsi="Arial" w:cs="Arial"/>
          <w:lang w:eastAsia="en-IN"/>
        </w:rPr>
        <w:t xml:space="preserve">(6), 120–130. </w:t>
      </w:r>
    </w:p>
    <w:p w14:paraId="6ACE93F6"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 xml:space="preserve">Bhardwaj, K., Sharma, A., </w:t>
      </w:r>
      <w:proofErr w:type="spellStart"/>
      <w:r w:rsidRPr="0069287C">
        <w:rPr>
          <w:rFonts w:ascii="Arial" w:hAnsi="Arial" w:cs="Arial"/>
          <w:lang w:eastAsia="en-IN"/>
        </w:rPr>
        <w:t>Tejwan</w:t>
      </w:r>
      <w:proofErr w:type="spellEnd"/>
      <w:r w:rsidRPr="0069287C">
        <w:rPr>
          <w:rFonts w:ascii="Arial" w:hAnsi="Arial" w:cs="Arial"/>
          <w:lang w:eastAsia="en-IN"/>
        </w:rPr>
        <w:t xml:space="preserve">, N., Bhardwaj, S., Bhardwaj, P., </w:t>
      </w:r>
      <w:proofErr w:type="spellStart"/>
      <w:r w:rsidRPr="0069287C">
        <w:rPr>
          <w:rFonts w:ascii="Arial" w:hAnsi="Arial" w:cs="Arial"/>
          <w:lang w:eastAsia="en-IN"/>
        </w:rPr>
        <w:t>Nepovimova</w:t>
      </w:r>
      <w:proofErr w:type="spellEnd"/>
      <w:r w:rsidRPr="0069287C">
        <w:rPr>
          <w:rFonts w:ascii="Arial" w:hAnsi="Arial" w:cs="Arial"/>
          <w:lang w:eastAsia="en-IN"/>
        </w:rPr>
        <w:t xml:space="preserve">, E., Shami, A., Kalia, A., Kumar, A., Abd-Elsalam, K. A., &amp; </w:t>
      </w:r>
      <w:proofErr w:type="spellStart"/>
      <w:r w:rsidRPr="0069287C">
        <w:rPr>
          <w:rFonts w:ascii="Arial" w:hAnsi="Arial" w:cs="Arial"/>
          <w:lang w:eastAsia="en-IN"/>
        </w:rPr>
        <w:t>Kuča</w:t>
      </w:r>
      <w:proofErr w:type="spellEnd"/>
      <w:r w:rsidRPr="0069287C">
        <w:rPr>
          <w:rFonts w:ascii="Arial" w:hAnsi="Arial" w:cs="Arial"/>
          <w:lang w:eastAsia="en-IN"/>
        </w:rPr>
        <w:t>, K. (2020</w:t>
      </w:r>
      <w:proofErr w:type="gramStart"/>
      <w:r w:rsidRPr="0069287C">
        <w:rPr>
          <w:rFonts w:ascii="Arial" w:hAnsi="Arial" w:cs="Arial"/>
          <w:lang w:eastAsia="en-IN"/>
        </w:rPr>
        <w:t>).</w:t>
      </w:r>
      <w:proofErr w:type="spellStart"/>
      <w:r w:rsidRPr="0069287C">
        <w:rPr>
          <w:rFonts w:ascii="Arial" w:hAnsi="Arial" w:cs="Arial"/>
          <w:bCs/>
          <w:lang w:eastAsia="en-IN"/>
        </w:rPr>
        <w:t>Pleurotus</w:t>
      </w:r>
      <w:proofErr w:type="spellEnd"/>
      <w:proofErr w:type="gramEnd"/>
      <w:r w:rsidRPr="0069287C">
        <w:rPr>
          <w:rFonts w:ascii="Arial" w:hAnsi="Arial" w:cs="Arial"/>
          <w:bCs/>
          <w:lang w:eastAsia="en-IN"/>
        </w:rPr>
        <w:t xml:space="preserve"> </w:t>
      </w:r>
      <w:proofErr w:type="spellStart"/>
      <w:r w:rsidRPr="0069287C">
        <w:rPr>
          <w:rFonts w:ascii="Arial" w:hAnsi="Arial" w:cs="Arial"/>
          <w:bCs/>
          <w:lang w:eastAsia="en-IN"/>
        </w:rPr>
        <w:t>macrofungi</w:t>
      </w:r>
      <w:proofErr w:type="spellEnd"/>
      <w:r w:rsidRPr="0069287C">
        <w:rPr>
          <w:rFonts w:ascii="Arial" w:hAnsi="Arial" w:cs="Arial"/>
          <w:bCs/>
          <w:lang w:eastAsia="en-IN"/>
        </w:rPr>
        <w:t xml:space="preserve">-assisted nanoparticle synthesis and its potential applications: A </w:t>
      </w:r>
      <w:proofErr w:type="spellStart"/>
      <w:r w:rsidRPr="0069287C">
        <w:rPr>
          <w:rFonts w:ascii="Arial" w:hAnsi="Arial" w:cs="Arial"/>
          <w:bCs/>
          <w:lang w:eastAsia="en-IN"/>
        </w:rPr>
        <w:t>review</w:t>
      </w:r>
      <w:r w:rsidRPr="0069287C">
        <w:rPr>
          <w:rFonts w:ascii="Arial" w:hAnsi="Arial" w:cs="Arial"/>
          <w:b/>
          <w:bCs/>
          <w:lang w:eastAsia="en-IN"/>
        </w:rPr>
        <w:t>.</w:t>
      </w:r>
      <w:r w:rsidRPr="0069287C">
        <w:rPr>
          <w:rFonts w:ascii="Arial" w:hAnsi="Arial" w:cs="Arial"/>
          <w:i/>
          <w:iCs/>
          <w:lang w:eastAsia="en-IN"/>
        </w:rPr>
        <w:t>Journal</w:t>
      </w:r>
      <w:proofErr w:type="spellEnd"/>
      <w:r w:rsidRPr="0069287C">
        <w:rPr>
          <w:rFonts w:ascii="Arial" w:hAnsi="Arial" w:cs="Arial"/>
          <w:i/>
          <w:iCs/>
          <w:lang w:eastAsia="en-IN"/>
        </w:rPr>
        <w:t xml:space="preserve"> of Fungi, 6</w:t>
      </w:r>
      <w:r w:rsidRPr="0069287C">
        <w:rPr>
          <w:rFonts w:ascii="Arial" w:hAnsi="Arial" w:cs="Arial"/>
          <w:lang w:eastAsia="en-IN"/>
        </w:rPr>
        <w:t>(4), 351.</w:t>
      </w:r>
    </w:p>
    <w:p w14:paraId="120F476B"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proofErr w:type="spellStart"/>
      <w:r w:rsidRPr="0069287C">
        <w:rPr>
          <w:rFonts w:ascii="Arial" w:hAnsi="Arial" w:cs="Arial"/>
          <w:lang w:eastAsia="en-IN"/>
        </w:rPr>
        <w:lastRenderedPageBreak/>
        <w:t>Owaid</w:t>
      </w:r>
      <w:proofErr w:type="spellEnd"/>
      <w:r w:rsidRPr="0069287C">
        <w:rPr>
          <w:rFonts w:ascii="Arial" w:hAnsi="Arial" w:cs="Arial"/>
          <w:lang w:eastAsia="en-IN"/>
        </w:rPr>
        <w:t>, M. N. (2019</w:t>
      </w:r>
      <w:proofErr w:type="gramStart"/>
      <w:r w:rsidRPr="0069287C">
        <w:rPr>
          <w:rFonts w:ascii="Arial" w:hAnsi="Arial" w:cs="Arial"/>
          <w:lang w:eastAsia="en-IN"/>
        </w:rPr>
        <w:t>).</w:t>
      </w:r>
      <w:r w:rsidRPr="0069287C">
        <w:rPr>
          <w:rFonts w:ascii="Arial" w:hAnsi="Arial" w:cs="Arial"/>
          <w:bCs/>
          <w:lang w:eastAsia="en-IN"/>
        </w:rPr>
        <w:t>Green</w:t>
      </w:r>
      <w:proofErr w:type="gramEnd"/>
      <w:r w:rsidRPr="0069287C">
        <w:rPr>
          <w:rFonts w:ascii="Arial" w:hAnsi="Arial" w:cs="Arial"/>
          <w:bCs/>
          <w:lang w:eastAsia="en-IN"/>
        </w:rPr>
        <w:t xml:space="preserve"> synthesis of silver nanoparticles by Pleurotus (oyster mushroom) and their bioactivity: A </w:t>
      </w:r>
      <w:proofErr w:type="spellStart"/>
      <w:r w:rsidRPr="0069287C">
        <w:rPr>
          <w:rFonts w:ascii="Arial" w:hAnsi="Arial" w:cs="Arial"/>
          <w:bCs/>
          <w:lang w:eastAsia="en-IN"/>
        </w:rPr>
        <w:t>review</w:t>
      </w:r>
      <w:r w:rsidRPr="0069287C">
        <w:rPr>
          <w:rFonts w:ascii="Arial" w:hAnsi="Arial" w:cs="Arial"/>
          <w:b/>
          <w:bCs/>
          <w:lang w:eastAsia="en-IN"/>
        </w:rPr>
        <w:t>.</w:t>
      </w:r>
      <w:r w:rsidRPr="0069287C">
        <w:rPr>
          <w:rFonts w:ascii="Arial" w:hAnsi="Arial" w:cs="Arial"/>
          <w:i/>
          <w:iCs/>
          <w:lang w:eastAsia="en-IN"/>
        </w:rPr>
        <w:t>Environmental</w:t>
      </w:r>
      <w:proofErr w:type="spellEnd"/>
      <w:r w:rsidRPr="0069287C">
        <w:rPr>
          <w:rFonts w:ascii="Arial" w:hAnsi="Arial" w:cs="Arial"/>
          <w:i/>
          <w:iCs/>
          <w:lang w:eastAsia="en-IN"/>
        </w:rPr>
        <w:t xml:space="preserve"> Nanotechnology, Monitoring &amp; Management, 12</w:t>
      </w:r>
      <w:r w:rsidRPr="0069287C">
        <w:rPr>
          <w:rFonts w:ascii="Arial" w:hAnsi="Arial" w:cs="Arial"/>
          <w:lang w:eastAsia="en-IN"/>
        </w:rPr>
        <w:t>, 100256.</w:t>
      </w:r>
    </w:p>
    <w:p w14:paraId="6F33A1DE"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sv-SE" w:eastAsia="en-IN"/>
        </w:rPr>
        <w:t>Elumalai, K., Velmurugan, S., Ravi, S., Kathiravan, V., &amp; Ashokkumar, S. (2017).</w:t>
      </w:r>
      <w:r w:rsidRPr="0069287C">
        <w:rPr>
          <w:rFonts w:ascii="Arial" w:hAnsi="Arial" w:cs="Arial"/>
          <w:lang w:val="sv-SE" w:eastAsia="en-IN"/>
        </w:rPr>
        <w:br/>
      </w:r>
      <w:r w:rsidRPr="0069287C">
        <w:rPr>
          <w:rFonts w:ascii="Arial" w:hAnsi="Arial" w:cs="Arial"/>
          <w:lang w:eastAsia="en-IN"/>
        </w:rPr>
        <w:t xml:space="preserve">Green synthesis of silver nanoparticles using </w:t>
      </w:r>
      <w:r w:rsidRPr="0069287C">
        <w:rPr>
          <w:rFonts w:ascii="Arial" w:hAnsi="Arial" w:cs="Arial"/>
          <w:i/>
          <w:iCs/>
          <w:lang w:eastAsia="en-IN"/>
        </w:rPr>
        <w:t>Pleurotus ostreatus</w:t>
      </w:r>
      <w:r w:rsidRPr="0069287C">
        <w:rPr>
          <w:rFonts w:ascii="Arial" w:hAnsi="Arial" w:cs="Arial"/>
          <w:lang w:eastAsia="en-IN"/>
        </w:rPr>
        <w:t xml:space="preserve"> and their antibacterial activity. </w:t>
      </w:r>
      <w:r w:rsidRPr="0069287C">
        <w:rPr>
          <w:rFonts w:ascii="Arial" w:hAnsi="Arial" w:cs="Arial"/>
          <w:i/>
          <w:iCs/>
          <w:lang w:eastAsia="en-IN"/>
        </w:rPr>
        <w:t>Journal of Photochemistry and Photobiology B: Biology</w:t>
      </w:r>
      <w:r w:rsidRPr="0069287C">
        <w:rPr>
          <w:rFonts w:ascii="Arial" w:hAnsi="Arial" w:cs="Arial"/>
          <w:lang w:eastAsia="en-IN"/>
        </w:rPr>
        <w:t>, 162, 52–57.</w:t>
      </w:r>
    </w:p>
    <w:p w14:paraId="7E8543DF" w14:textId="5635F7C8"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eastAsia="en-IN"/>
        </w:rPr>
        <w:t>Antony, R. (2023). Synthesis and antimicrobial activity of selenium nanoparticles derived from oyster mushroom (</w:t>
      </w:r>
      <w:r w:rsidRPr="0069287C">
        <w:rPr>
          <w:rFonts w:ascii="Arial" w:hAnsi="Arial" w:cs="Arial"/>
          <w:i/>
          <w:iCs/>
          <w:lang w:eastAsia="en-IN"/>
        </w:rPr>
        <w:t>Pleurotus</w:t>
      </w:r>
      <w:r w:rsidRPr="0069287C">
        <w:rPr>
          <w:rFonts w:ascii="Arial" w:hAnsi="Arial" w:cs="Arial"/>
          <w:lang w:eastAsia="en-IN"/>
        </w:rPr>
        <w:t xml:space="preserve"> spp.). </w:t>
      </w:r>
      <w:r w:rsidRPr="0069287C">
        <w:rPr>
          <w:rFonts w:ascii="Arial" w:hAnsi="Arial" w:cs="Arial"/>
          <w:i/>
          <w:iCs/>
          <w:lang w:eastAsia="en-IN"/>
        </w:rPr>
        <w:t>Journal of Nanobiotechnology Research</w:t>
      </w:r>
      <w:r w:rsidRPr="0069287C">
        <w:rPr>
          <w:rFonts w:ascii="Arial" w:hAnsi="Arial" w:cs="Arial"/>
          <w:lang w:eastAsia="en-IN"/>
        </w:rPr>
        <w:t>, 15(2), 45–53.</w:t>
      </w:r>
    </w:p>
    <w:p w14:paraId="438AC32A" w14:textId="77777777" w:rsidR="00176111" w:rsidRPr="0069287C" w:rsidRDefault="00176111" w:rsidP="00201C4E">
      <w:pPr>
        <w:spacing w:before="100" w:beforeAutospacing="1" w:after="100" w:afterAutospacing="1" w:line="360" w:lineRule="auto"/>
        <w:ind w:left="360"/>
        <w:jc w:val="both"/>
        <w:rPr>
          <w:rFonts w:ascii="Arial" w:hAnsi="Arial" w:cs="Arial"/>
          <w:lang w:eastAsia="en-IN"/>
        </w:rPr>
      </w:pPr>
      <w:r w:rsidRPr="0069287C">
        <w:rPr>
          <w:rFonts w:ascii="Arial" w:hAnsi="Arial" w:cs="Arial"/>
          <w:lang w:val="en-IN" w:eastAsia="en-IN"/>
        </w:rPr>
        <w:t>Dhaliwal, S. S., Sharma, V., Shukla, A. K., &amp; Verma, V. (2022).</w:t>
      </w:r>
      <w:r w:rsidRPr="0069287C">
        <w:rPr>
          <w:rFonts w:ascii="Arial" w:hAnsi="Arial" w:cs="Arial"/>
          <w:lang w:val="en-IN" w:eastAsia="en-IN"/>
        </w:rPr>
        <w:br/>
      </w:r>
      <w:r w:rsidRPr="0069287C">
        <w:rPr>
          <w:rFonts w:ascii="Arial" w:hAnsi="Arial" w:cs="Arial"/>
          <w:lang w:eastAsia="en-IN"/>
        </w:rPr>
        <w:t xml:space="preserve">Interactive effects of zinc oxide nanoparticles on growth and nutrient content of crops: A review. </w:t>
      </w:r>
      <w:r w:rsidRPr="0069287C">
        <w:rPr>
          <w:rFonts w:ascii="Arial" w:hAnsi="Arial" w:cs="Arial"/>
          <w:i/>
          <w:iCs/>
          <w:lang w:eastAsia="en-IN"/>
        </w:rPr>
        <w:t>Environmental Chemistry Letters</w:t>
      </w:r>
      <w:r w:rsidRPr="0069287C">
        <w:rPr>
          <w:rFonts w:ascii="Arial" w:hAnsi="Arial" w:cs="Arial"/>
          <w:lang w:eastAsia="en-IN"/>
        </w:rPr>
        <w:t>, 20, 1345–1363.</w:t>
      </w:r>
    </w:p>
    <w:p w14:paraId="48AC4CF7" w14:textId="77777777" w:rsidR="00176111" w:rsidRPr="0069287C" w:rsidRDefault="00176111" w:rsidP="00201C4E">
      <w:pPr>
        <w:pStyle w:val="NormalWeb"/>
        <w:spacing w:line="360" w:lineRule="auto"/>
        <w:ind w:left="360"/>
        <w:jc w:val="both"/>
        <w:rPr>
          <w:rFonts w:ascii="Arial" w:hAnsi="Arial" w:cs="Arial"/>
          <w:color w:val="000000" w:themeColor="text1"/>
        </w:rPr>
        <w:sectPr w:rsidR="00176111" w:rsidRPr="0069287C" w:rsidSect="009E36C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5118CE7" w14:textId="77777777" w:rsidR="00176111" w:rsidRPr="0069287C" w:rsidRDefault="00176111" w:rsidP="00201C4E">
      <w:pPr>
        <w:pStyle w:val="Appendix"/>
        <w:spacing w:after="0" w:line="360" w:lineRule="auto"/>
        <w:jc w:val="both"/>
        <w:rPr>
          <w:rFonts w:ascii="Arial" w:hAnsi="Arial" w:cs="Arial"/>
          <w:b w:val="0"/>
          <w:color w:val="000000" w:themeColor="text1"/>
        </w:rPr>
      </w:pPr>
    </w:p>
    <w:p w14:paraId="30272657" w14:textId="77777777" w:rsidR="002C6D53" w:rsidRPr="0069287C" w:rsidRDefault="002C6D53" w:rsidP="00201C4E">
      <w:pPr>
        <w:spacing w:line="360" w:lineRule="auto"/>
        <w:rPr>
          <w:rFonts w:ascii="Arial" w:hAnsi="Arial" w:cs="Arial"/>
          <w:lang w:val="en-IN"/>
        </w:rPr>
      </w:pPr>
    </w:p>
    <w:sectPr w:rsidR="002C6D53" w:rsidRPr="0069287C" w:rsidSect="009E36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DA2A" w14:textId="77777777" w:rsidR="00FE145A" w:rsidRDefault="00FE145A">
      <w:r>
        <w:separator/>
      </w:r>
    </w:p>
  </w:endnote>
  <w:endnote w:type="continuationSeparator" w:id="0">
    <w:p w14:paraId="2F9025BC" w14:textId="77777777" w:rsidR="00FE145A" w:rsidRDefault="00FE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927F7" w14:textId="77777777" w:rsidR="00CC1BDE" w:rsidRDefault="00CC1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692A3" w14:textId="77777777" w:rsidR="00CC1BDE" w:rsidRDefault="00CC1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07AE2" w14:textId="73A5B548" w:rsidR="00176111" w:rsidRPr="00CC1BDE" w:rsidRDefault="00176111" w:rsidP="00CC1B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5EFE" w14:textId="77777777" w:rsidR="00176111" w:rsidRPr="00C37E61" w:rsidRDefault="0017611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68E8F" w14:textId="77777777" w:rsidR="00FE145A" w:rsidRDefault="00FE145A">
      <w:r>
        <w:separator/>
      </w:r>
    </w:p>
  </w:footnote>
  <w:footnote w:type="continuationSeparator" w:id="0">
    <w:p w14:paraId="60FAE6E4" w14:textId="77777777" w:rsidR="00FE145A" w:rsidRDefault="00FE1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350AB" w14:textId="13AB33D9" w:rsidR="00CC1BDE" w:rsidRDefault="00CC1BDE">
    <w:pPr>
      <w:pStyle w:val="Header"/>
    </w:pPr>
    <w:r>
      <w:rPr>
        <w:noProof/>
      </w:rPr>
      <w:pict w14:anchorId="08B7F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79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4031A" w14:textId="418754E1" w:rsidR="00CC1BDE" w:rsidRDefault="00CC1BDE">
    <w:pPr>
      <w:pStyle w:val="Header"/>
    </w:pPr>
    <w:r>
      <w:rPr>
        <w:noProof/>
      </w:rPr>
      <w:pict w14:anchorId="724E5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79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81AF3" w14:textId="33E5D47E" w:rsidR="00176111" w:rsidRPr="00296529" w:rsidRDefault="00CC1BDE" w:rsidP="00296529">
    <w:pPr>
      <w:ind w:left="2160"/>
      <w:jc w:val="center"/>
      <w:rPr>
        <w:rFonts w:ascii="Times New Roman" w:eastAsia="Calibri" w:hAnsi="Times New Roman"/>
        <w:i/>
        <w:sz w:val="18"/>
        <w:szCs w:val="22"/>
      </w:rPr>
    </w:pPr>
    <w:r>
      <w:rPr>
        <w:noProof/>
      </w:rPr>
      <w:pict w14:anchorId="4661E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79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3EAFD2" w14:textId="77777777" w:rsidR="00176111" w:rsidRPr="00296529" w:rsidRDefault="0017611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4EBF96E" w14:textId="77777777" w:rsidR="00176111" w:rsidRPr="00296529" w:rsidRDefault="0017611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CCF1C4" w14:textId="77777777" w:rsidR="00176111" w:rsidRPr="00296529" w:rsidRDefault="0017611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63A8F9" w14:textId="77777777" w:rsidR="00176111" w:rsidRDefault="0017611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5617D9" w14:textId="77777777" w:rsidR="00176111" w:rsidRDefault="0017611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DDACEF" w14:textId="77777777" w:rsidR="00176111" w:rsidRDefault="0017611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67930" w14:textId="6AE45C66" w:rsidR="00CC1BDE" w:rsidRDefault="00CC1BDE">
    <w:pPr>
      <w:pStyle w:val="Header"/>
    </w:pPr>
    <w:r>
      <w:rPr>
        <w:noProof/>
      </w:rPr>
      <w:pict w14:anchorId="480E6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79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EDCC" w14:textId="049DE097" w:rsidR="00CC1BDE" w:rsidRDefault="00CC1BDE">
    <w:pPr>
      <w:pStyle w:val="Header"/>
    </w:pPr>
    <w:r>
      <w:rPr>
        <w:noProof/>
      </w:rPr>
      <w:pict w14:anchorId="01C88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79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8480" w14:textId="44FE5B24" w:rsidR="00CC1BDE" w:rsidRDefault="00CC1BDE">
    <w:pPr>
      <w:pStyle w:val="Header"/>
    </w:pPr>
    <w:r>
      <w:rPr>
        <w:noProof/>
      </w:rPr>
      <w:pict w14:anchorId="1EF55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79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1790"/>
    <w:multiLevelType w:val="multilevel"/>
    <w:tmpl w:val="34B4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A065D"/>
    <w:multiLevelType w:val="multilevel"/>
    <w:tmpl w:val="8A42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510"/>
    <w:multiLevelType w:val="multilevel"/>
    <w:tmpl w:val="963C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04471"/>
    <w:multiLevelType w:val="multilevel"/>
    <w:tmpl w:val="EBB64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AF04F5"/>
    <w:multiLevelType w:val="multilevel"/>
    <w:tmpl w:val="CD94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F303B"/>
    <w:multiLevelType w:val="multilevel"/>
    <w:tmpl w:val="1E10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845F2"/>
    <w:multiLevelType w:val="multilevel"/>
    <w:tmpl w:val="4E8E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90B25"/>
    <w:multiLevelType w:val="multilevel"/>
    <w:tmpl w:val="9CF2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A2B36"/>
    <w:multiLevelType w:val="multilevel"/>
    <w:tmpl w:val="F502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83CA0"/>
    <w:multiLevelType w:val="multilevel"/>
    <w:tmpl w:val="EE52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920BF"/>
    <w:multiLevelType w:val="multilevel"/>
    <w:tmpl w:val="FE7C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64414B"/>
    <w:multiLevelType w:val="multilevel"/>
    <w:tmpl w:val="49ACB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6"/>
  </w:num>
  <w:num w:numId="4">
    <w:abstractNumId w:val="1"/>
  </w:num>
  <w:num w:numId="5">
    <w:abstractNumId w:val="7"/>
  </w:num>
  <w:num w:numId="6">
    <w:abstractNumId w:val="5"/>
  </w:num>
  <w:num w:numId="7">
    <w:abstractNumId w:val="9"/>
  </w:num>
  <w:num w:numId="8">
    <w:abstractNumId w:val="10"/>
  </w:num>
  <w:num w:numId="9">
    <w:abstractNumId w:val="2"/>
  </w:num>
  <w:num w:numId="10">
    <w:abstractNumId w:val="1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11"/>
    <w:rsid w:val="00157749"/>
    <w:rsid w:val="00176111"/>
    <w:rsid w:val="001A706F"/>
    <w:rsid w:val="00201C4E"/>
    <w:rsid w:val="00284965"/>
    <w:rsid w:val="002C6D53"/>
    <w:rsid w:val="003652A8"/>
    <w:rsid w:val="00416C2C"/>
    <w:rsid w:val="0069287C"/>
    <w:rsid w:val="006F71FD"/>
    <w:rsid w:val="00847B35"/>
    <w:rsid w:val="00910EE6"/>
    <w:rsid w:val="00936696"/>
    <w:rsid w:val="00993C3B"/>
    <w:rsid w:val="009E36CD"/>
    <w:rsid w:val="00C240A8"/>
    <w:rsid w:val="00CC1BDE"/>
    <w:rsid w:val="00FD48D5"/>
    <w:rsid w:val="00FE145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B93094D"/>
  <w15:chartTrackingRefBased/>
  <w15:docId w15:val="{FAEB7B3D-7D08-4B22-801A-AEE37E43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111"/>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1761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1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1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1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1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1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1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1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1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1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1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1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1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111"/>
    <w:rPr>
      <w:rFonts w:eastAsiaTheme="majorEastAsia" w:cstheme="majorBidi"/>
      <w:color w:val="272727" w:themeColor="text1" w:themeTint="D8"/>
    </w:rPr>
  </w:style>
  <w:style w:type="paragraph" w:styleId="Title">
    <w:name w:val="Title"/>
    <w:basedOn w:val="Normal"/>
    <w:next w:val="Normal"/>
    <w:link w:val="TitleChar"/>
    <w:qFormat/>
    <w:rsid w:val="001761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111"/>
    <w:pPr>
      <w:spacing w:before="160"/>
      <w:jc w:val="center"/>
    </w:pPr>
    <w:rPr>
      <w:i/>
      <w:iCs/>
      <w:color w:val="404040" w:themeColor="text1" w:themeTint="BF"/>
    </w:rPr>
  </w:style>
  <w:style w:type="character" w:customStyle="1" w:styleId="QuoteChar">
    <w:name w:val="Quote Char"/>
    <w:basedOn w:val="DefaultParagraphFont"/>
    <w:link w:val="Quote"/>
    <w:uiPriority w:val="29"/>
    <w:rsid w:val="00176111"/>
    <w:rPr>
      <w:i/>
      <w:iCs/>
      <w:color w:val="404040" w:themeColor="text1" w:themeTint="BF"/>
    </w:rPr>
  </w:style>
  <w:style w:type="paragraph" w:styleId="ListParagraph">
    <w:name w:val="List Paragraph"/>
    <w:basedOn w:val="Normal"/>
    <w:uiPriority w:val="34"/>
    <w:qFormat/>
    <w:rsid w:val="00176111"/>
    <w:pPr>
      <w:ind w:left="720"/>
      <w:contextualSpacing/>
    </w:pPr>
  </w:style>
  <w:style w:type="character" w:styleId="IntenseEmphasis">
    <w:name w:val="Intense Emphasis"/>
    <w:basedOn w:val="DefaultParagraphFont"/>
    <w:uiPriority w:val="21"/>
    <w:qFormat/>
    <w:rsid w:val="00176111"/>
    <w:rPr>
      <w:i/>
      <w:iCs/>
      <w:color w:val="2F5496" w:themeColor="accent1" w:themeShade="BF"/>
    </w:rPr>
  </w:style>
  <w:style w:type="paragraph" w:styleId="IntenseQuote">
    <w:name w:val="Intense Quote"/>
    <w:basedOn w:val="Normal"/>
    <w:next w:val="Normal"/>
    <w:link w:val="IntenseQuoteChar"/>
    <w:uiPriority w:val="30"/>
    <w:qFormat/>
    <w:rsid w:val="00176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111"/>
    <w:rPr>
      <w:i/>
      <w:iCs/>
      <w:color w:val="2F5496" w:themeColor="accent1" w:themeShade="BF"/>
    </w:rPr>
  </w:style>
  <w:style w:type="character" w:styleId="IntenseReference">
    <w:name w:val="Intense Reference"/>
    <w:basedOn w:val="DefaultParagraphFont"/>
    <w:uiPriority w:val="32"/>
    <w:qFormat/>
    <w:rsid w:val="00176111"/>
    <w:rPr>
      <w:b/>
      <w:bCs/>
      <w:smallCaps/>
      <w:color w:val="2F5496" w:themeColor="accent1" w:themeShade="BF"/>
      <w:spacing w:val="5"/>
    </w:rPr>
  </w:style>
  <w:style w:type="paragraph" w:customStyle="1" w:styleId="Author">
    <w:name w:val="Author"/>
    <w:basedOn w:val="Normal"/>
    <w:rsid w:val="00176111"/>
    <w:pPr>
      <w:spacing w:line="280" w:lineRule="exact"/>
      <w:jc w:val="right"/>
    </w:pPr>
    <w:rPr>
      <w:b/>
      <w:sz w:val="24"/>
    </w:rPr>
  </w:style>
  <w:style w:type="paragraph" w:customStyle="1" w:styleId="Affiliation">
    <w:name w:val="Affiliation"/>
    <w:basedOn w:val="Normal"/>
    <w:rsid w:val="00176111"/>
    <w:pPr>
      <w:spacing w:after="240" w:line="240" w:lineRule="exact"/>
      <w:jc w:val="right"/>
    </w:pPr>
  </w:style>
  <w:style w:type="paragraph" w:customStyle="1" w:styleId="Body">
    <w:name w:val="Body"/>
    <w:basedOn w:val="Normal"/>
    <w:rsid w:val="00176111"/>
    <w:pPr>
      <w:spacing w:after="240"/>
      <w:jc w:val="both"/>
    </w:pPr>
  </w:style>
  <w:style w:type="paragraph" w:customStyle="1" w:styleId="AbstHead">
    <w:name w:val="Abst Head"/>
    <w:basedOn w:val="Normal"/>
    <w:rsid w:val="00176111"/>
    <w:pPr>
      <w:keepNext/>
      <w:spacing w:after="240"/>
    </w:pPr>
    <w:rPr>
      <w:b/>
      <w:caps/>
      <w:sz w:val="22"/>
    </w:rPr>
  </w:style>
  <w:style w:type="paragraph" w:customStyle="1" w:styleId="AcknHead">
    <w:name w:val="Ackn Head"/>
    <w:basedOn w:val="Normal"/>
    <w:rsid w:val="00176111"/>
    <w:pPr>
      <w:keepNext/>
      <w:spacing w:after="240"/>
    </w:pPr>
    <w:rPr>
      <w:b/>
      <w:caps/>
      <w:sz w:val="22"/>
    </w:rPr>
  </w:style>
  <w:style w:type="paragraph" w:customStyle="1" w:styleId="ReferHead">
    <w:name w:val="Refer Head"/>
    <w:basedOn w:val="Normal"/>
    <w:rsid w:val="00176111"/>
    <w:pPr>
      <w:keepNext/>
      <w:spacing w:after="240"/>
    </w:pPr>
    <w:rPr>
      <w:b/>
      <w:caps/>
      <w:sz w:val="22"/>
    </w:rPr>
  </w:style>
  <w:style w:type="paragraph" w:customStyle="1" w:styleId="Copyright">
    <w:name w:val="Copyright"/>
    <w:basedOn w:val="Normal"/>
    <w:rsid w:val="00176111"/>
    <w:pPr>
      <w:spacing w:after="960" w:line="200" w:lineRule="exact"/>
    </w:pPr>
    <w:rPr>
      <w:sz w:val="16"/>
    </w:rPr>
  </w:style>
  <w:style w:type="paragraph" w:customStyle="1" w:styleId="Appendix">
    <w:name w:val="Appendix"/>
    <w:basedOn w:val="Normal"/>
    <w:rsid w:val="00176111"/>
    <w:pPr>
      <w:keepNext/>
      <w:spacing w:after="240"/>
    </w:pPr>
    <w:rPr>
      <w:b/>
      <w:caps/>
      <w:sz w:val="22"/>
    </w:rPr>
  </w:style>
  <w:style w:type="paragraph" w:styleId="Footer">
    <w:name w:val="footer"/>
    <w:basedOn w:val="Normal"/>
    <w:link w:val="FooterChar"/>
    <w:rsid w:val="00176111"/>
    <w:pPr>
      <w:tabs>
        <w:tab w:val="center" w:pos="4320"/>
        <w:tab w:val="right" w:pos="8640"/>
      </w:tabs>
    </w:pPr>
  </w:style>
  <w:style w:type="character" w:customStyle="1" w:styleId="FooterChar">
    <w:name w:val="Footer Char"/>
    <w:basedOn w:val="DefaultParagraphFont"/>
    <w:link w:val="Footer"/>
    <w:rsid w:val="00176111"/>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176111"/>
    <w:pPr>
      <w:tabs>
        <w:tab w:val="center" w:pos="4320"/>
        <w:tab w:val="right" w:pos="8640"/>
      </w:tabs>
    </w:pPr>
  </w:style>
  <w:style w:type="character" w:customStyle="1" w:styleId="HeaderChar">
    <w:name w:val="Header Char"/>
    <w:basedOn w:val="DefaultParagraphFont"/>
    <w:link w:val="Header"/>
    <w:rsid w:val="00176111"/>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176111"/>
    <w:rPr>
      <w:color w:val="FF0080"/>
      <w:u w:val="single"/>
    </w:rPr>
  </w:style>
  <w:style w:type="character" w:styleId="Emphasis">
    <w:name w:val="Emphasis"/>
    <w:basedOn w:val="DefaultParagraphFont"/>
    <w:uiPriority w:val="20"/>
    <w:qFormat/>
    <w:rsid w:val="00176111"/>
    <w:rPr>
      <w:i/>
      <w:iCs/>
    </w:rPr>
  </w:style>
  <w:style w:type="paragraph" w:styleId="NormalWeb">
    <w:name w:val="Normal (Web)"/>
    <w:basedOn w:val="Normal"/>
    <w:uiPriority w:val="99"/>
    <w:unhideWhenUsed/>
    <w:qFormat/>
    <w:rsid w:val="00176111"/>
    <w:pPr>
      <w:spacing w:before="100" w:beforeAutospacing="1" w:after="100" w:afterAutospacing="1"/>
    </w:pPr>
    <w:rPr>
      <w:rFonts w:ascii="Times New Roman" w:hAnsi="Times New Roman"/>
      <w:sz w:val="24"/>
      <w:szCs w:val="24"/>
      <w:lang w:val="en-IN" w:eastAsia="en-IN" w:bidi="ta-IN"/>
    </w:rPr>
  </w:style>
  <w:style w:type="character" w:styleId="Strong">
    <w:name w:val="Strong"/>
    <w:basedOn w:val="DefaultParagraphFont"/>
    <w:uiPriority w:val="22"/>
    <w:qFormat/>
    <w:rsid w:val="00176111"/>
    <w:rPr>
      <w:b/>
      <w:bCs/>
    </w:rPr>
  </w:style>
  <w:style w:type="character" w:customStyle="1" w:styleId="IntenseReference1">
    <w:name w:val="Intense Reference1"/>
    <w:basedOn w:val="DefaultParagraphFont"/>
    <w:uiPriority w:val="32"/>
    <w:qFormat/>
    <w:rsid w:val="00176111"/>
    <w:rPr>
      <w:b/>
      <w:bCs/>
      <w:smallCaps/>
      <w:color w:val="2F5496" w:themeColor="accent1" w:themeShade="BF"/>
      <w:spacing w:val="5"/>
    </w:rPr>
  </w:style>
  <w:style w:type="character" w:styleId="LineNumber">
    <w:name w:val="line number"/>
    <w:basedOn w:val="DefaultParagraphFont"/>
    <w:uiPriority w:val="99"/>
    <w:semiHidden/>
    <w:unhideWhenUsed/>
    <w:rsid w:val="00176111"/>
  </w:style>
  <w:style w:type="table" w:styleId="TableGrid">
    <w:name w:val="Table Grid"/>
    <w:basedOn w:val="TableNormal"/>
    <w:uiPriority w:val="39"/>
    <w:rsid w:val="00176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26</Pages>
  <Words>7655</Words>
  <Characters>43639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Meenaa G</dc:creator>
  <cp:keywords/>
  <dc:description/>
  <cp:lastModifiedBy>SDI 1166</cp:lastModifiedBy>
  <cp:revision>6</cp:revision>
  <dcterms:created xsi:type="dcterms:W3CDTF">2026-04-07T01:49:00Z</dcterms:created>
  <dcterms:modified xsi:type="dcterms:W3CDTF">2026-04-08T07:45:00Z</dcterms:modified>
</cp:coreProperties>
</file>