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9606" w14:textId="77777777" w:rsidR="00527DD4" w:rsidRDefault="00527DD4">
      <w:pPr>
        <w:spacing w:before="60" w:after="60"/>
      </w:pPr>
    </w:p>
    <w:p w14:paraId="2C8E7C13" w14:textId="459B0B18" w:rsidR="00527DD4" w:rsidRDefault="00C40E16" w:rsidP="004A2462">
      <w:pPr>
        <w:spacing w:before="80" w:after="80"/>
        <w:jc w:val="center"/>
      </w:pPr>
      <w:r>
        <w:rPr>
          <w:rFonts w:cs="Arial"/>
          <w:b/>
          <w:bCs/>
          <w:color w:val="1F5C2E"/>
          <w:sz w:val="40"/>
          <w:szCs w:val="40"/>
        </w:rPr>
        <w:t xml:space="preserve">Biotechnological Approaches to Modify Flower </w:t>
      </w:r>
      <w:proofErr w:type="spellStart"/>
      <w:proofErr w:type="gramStart"/>
      <w:r>
        <w:rPr>
          <w:rFonts w:cs="Arial"/>
          <w:b/>
          <w:bCs/>
          <w:color w:val="1F5C2E"/>
          <w:sz w:val="40"/>
          <w:szCs w:val="40"/>
        </w:rPr>
        <w:t>Color,Fragrance</w:t>
      </w:r>
      <w:proofErr w:type="spellEnd"/>
      <w:proofErr w:type="gramEnd"/>
      <w:r>
        <w:rPr>
          <w:rFonts w:cs="Arial"/>
          <w:b/>
          <w:bCs/>
          <w:color w:val="1F5C2E"/>
          <w:sz w:val="40"/>
          <w:szCs w:val="40"/>
        </w:rPr>
        <w:t>, and Vase Life in Ornamental Plants</w:t>
      </w:r>
    </w:p>
    <w:p w14:paraId="175D75F1" w14:textId="30808399" w:rsidR="004A2462" w:rsidRDefault="004A2462" w:rsidP="00C40E16">
      <w:pPr>
        <w:spacing w:after="120"/>
        <w:jc w:val="center"/>
        <w:rPr>
          <w:rFonts w:ascii="Times New Roman" w:hAnsi="Times New Roman" w:cs="Times New Roman"/>
          <w:b/>
          <w:bCs/>
          <w:color w:val="000000" w:themeColor="text1"/>
          <w:sz w:val="24"/>
          <w:szCs w:val="24"/>
        </w:rPr>
      </w:pPr>
    </w:p>
    <w:p w14:paraId="4D45537B" w14:textId="77777777" w:rsidR="00782C9F" w:rsidRDefault="00782C9F" w:rsidP="00C40E16">
      <w:pPr>
        <w:spacing w:after="120"/>
        <w:jc w:val="center"/>
        <w:rPr>
          <w:rFonts w:ascii="Times New Roman" w:hAnsi="Times New Roman" w:cs="Times New Roman"/>
          <w:b/>
          <w:bCs/>
          <w:color w:val="000000" w:themeColor="text1"/>
          <w:sz w:val="24"/>
          <w:szCs w:val="24"/>
        </w:rPr>
      </w:pPr>
    </w:p>
    <w:p w14:paraId="3661C9F6" w14:textId="77777777" w:rsidR="00527DD4" w:rsidRDefault="00527DD4">
      <w:pPr>
        <w:spacing w:before="60" w:after="60"/>
      </w:pP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27DD4" w14:paraId="5F2846D4" w14:textId="77777777">
        <w:tc>
          <w:tcPr>
            <w:tcW w:w="9360" w:type="dxa"/>
            <w:tcBorders>
              <w:top w:val="single" w:sz="1" w:space="0" w:color="2E8B57"/>
              <w:left w:val="single" w:sz="1" w:space="0" w:color="2E8B57"/>
              <w:bottom w:val="single" w:sz="1" w:space="0" w:color="2E8B57"/>
              <w:right w:val="single" w:sz="1" w:space="0" w:color="2E8B57"/>
            </w:tcBorders>
            <w:shd w:val="clear" w:color="auto" w:fill="E8F5E9"/>
            <w:tcMar>
              <w:top w:w="200" w:type="dxa"/>
              <w:left w:w="300" w:type="dxa"/>
              <w:bottom w:w="200" w:type="dxa"/>
              <w:right w:w="300" w:type="dxa"/>
            </w:tcMar>
          </w:tcPr>
          <w:p w14:paraId="608DA0EE" w14:textId="77777777" w:rsidR="00527DD4" w:rsidRDefault="00C40E16">
            <w:pPr>
              <w:spacing w:after="100"/>
            </w:pPr>
            <w:r>
              <w:rPr>
                <w:rFonts w:cs="Arial"/>
                <w:b/>
                <w:bCs/>
                <w:color w:val="1F5C2E"/>
                <w:spacing w:val="100"/>
              </w:rPr>
              <w:t>ABSTRACT</w:t>
            </w:r>
          </w:p>
          <w:p w14:paraId="3463BE00" w14:textId="77777777" w:rsidR="00527DD4" w:rsidRDefault="00C40E16">
            <w:pPr>
              <w:spacing w:after="120" w:line="340" w:lineRule="auto"/>
              <w:jc w:val="both"/>
            </w:pPr>
            <w:r>
              <w:rPr>
                <w:rFonts w:cs="Arial"/>
                <w:color w:val="333333"/>
                <w:sz w:val="20"/>
                <w:szCs w:val="20"/>
              </w:rPr>
              <w:t xml:space="preserve">Ornamental plants are of immense economic and aesthetic significance worldwide, with global trade valued at hundreds of billions of dollars annually. Key quality attributes — flower </w:t>
            </w:r>
            <w:proofErr w:type="spellStart"/>
            <w:r>
              <w:rPr>
                <w:rFonts w:cs="Arial"/>
                <w:color w:val="333333"/>
                <w:sz w:val="20"/>
                <w:szCs w:val="20"/>
              </w:rPr>
              <w:t>color</w:t>
            </w:r>
            <w:proofErr w:type="spellEnd"/>
            <w:r>
              <w:rPr>
                <w:rFonts w:cs="Arial"/>
                <w:color w:val="333333"/>
                <w:sz w:val="20"/>
                <w:szCs w:val="20"/>
              </w:rPr>
              <w:t xml:space="preserve">, fragrance, and postharvest vase life — are primary determinants of market value and consumer preference. Classical breeding approaches have been largely effective but are constrained by sexual incompatibility barriers, long generation times, and genetic complexity. Over the past three decades, biotechnological and molecular biological tools have emerged as powerful alternatives to precisely engineer these traits. This review comprehensively examines the current status and future prospects of biotechnological interventions targeting the three principal ornamental quality traits. In the realm of flower </w:t>
            </w:r>
            <w:proofErr w:type="spellStart"/>
            <w:r>
              <w:rPr>
                <w:rFonts w:cs="Arial"/>
                <w:color w:val="333333"/>
                <w:sz w:val="20"/>
                <w:szCs w:val="20"/>
              </w:rPr>
              <w:t>color</w:t>
            </w:r>
            <w:proofErr w:type="spellEnd"/>
            <w:r>
              <w:rPr>
                <w:rFonts w:cs="Arial"/>
                <w:color w:val="333333"/>
                <w:sz w:val="20"/>
                <w:szCs w:val="20"/>
              </w:rPr>
              <w:t xml:space="preserve">, we discuss the manipulation of flavonoid and carotenoid biosynthetic pathways, transcription factor engineering, and the revolutionary application of CRISPR/Cas9-based gene editing. For fragrance modification, we explore the biosynthesis of volatile organic compounds (VOCs) including terpenoids, benzenoids, and fatty acid derivatives, alongside metabolic engineering strategies. Regarding vase life extension, we </w:t>
            </w:r>
            <w:proofErr w:type="spellStart"/>
            <w:r>
              <w:rPr>
                <w:rFonts w:cs="Arial"/>
                <w:color w:val="333333"/>
                <w:sz w:val="20"/>
                <w:szCs w:val="20"/>
              </w:rPr>
              <w:t>analyze</w:t>
            </w:r>
            <w:proofErr w:type="spellEnd"/>
            <w:r>
              <w:rPr>
                <w:rFonts w:cs="Arial"/>
                <w:color w:val="333333"/>
                <w:sz w:val="20"/>
                <w:szCs w:val="20"/>
              </w:rPr>
              <w:t xml:space="preserve"> ethylene </w:t>
            </w:r>
            <w:proofErr w:type="spellStart"/>
            <w:r>
              <w:rPr>
                <w:rFonts w:cs="Arial"/>
                <w:color w:val="333333"/>
                <w:sz w:val="20"/>
                <w:szCs w:val="20"/>
              </w:rPr>
              <w:t>signaling</w:t>
            </w:r>
            <w:proofErr w:type="spellEnd"/>
            <w:r>
              <w:rPr>
                <w:rFonts w:cs="Arial"/>
                <w:color w:val="333333"/>
                <w:sz w:val="20"/>
                <w:szCs w:val="20"/>
              </w:rPr>
              <w:t>, senescence gene suppression, water transport optimization, and pathogen resistance enhancement. The review further highlights successful commercial cases, biosafety considerations, regulatory frameworks, and emerging genomic tools such as multi-omics integration and synthetic biology. We identify major research gaps and propose future research directions to accelerate translational applications in the ornamental plant industry.</w:t>
            </w:r>
          </w:p>
          <w:p w14:paraId="717CE348" w14:textId="77777777" w:rsidR="00527DD4" w:rsidRDefault="00C40E16">
            <w:pPr>
              <w:spacing w:before="100"/>
            </w:pPr>
            <w:r>
              <w:rPr>
                <w:rFonts w:cs="Arial"/>
                <w:b/>
                <w:bCs/>
                <w:color w:val="1F5C2E"/>
                <w:sz w:val="20"/>
                <w:szCs w:val="20"/>
              </w:rPr>
              <w:t xml:space="preserve">Keywords: </w:t>
            </w:r>
            <w:r>
              <w:rPr>
                <w:rFonts w:cs="Arial"/>
                <w:i/>
                <w:iCs/>
                <w:color w:val="444444"/>
                <w:sz w:val="20"/>
                <w:szCs w:val="20"/>
              </w:rPr>
              <w:t xml:space="preserve">ornamental plants; flower </w:t>
            </w:r>
            <w:proofErr w:type="spellStart"/>
            <w:r>
              <w:rPr>
                <w:rFonts w:cs="Arial"/>
                <w:i/>
                <w:iCs/>
                <w:color w:val="444444"/>
                <w:sz w:val="20"/>
                <w:szCs w:val="20"/>
              </w:rPr>
              <w:t>color</w:t>
            </w:r>
            <w:proofErr w:type="spellEnd"/>
            <w:r>
              <w:rPr>
                <w:rFonts w:cs="Arial"/>
                <w:i/>
                <w:iCs/>
                <w:color w:val="444444"/>
                <w:sz w:val="20"/>
                <w:szCs w:val="20"/>
              </w:rPr>
              <w:t>; fragrance engineering; vase life; CRISPR/Cas9; flavonoid pathway; ethylene; metabolic engineering; plant biotechnology; postharvest</w:t>
            </w:r>
          </w:p>
        </w:tc>
      </w:tr>
    </w:tbl>
    <w:p w14:paraId="27320EA8" w14:textId="77777777" w:rsidR="00527DD4" w:rsidRDefault="00C40E16">
      <w:r>
        <w:br w:type="page"/>
      </w:r>
    </w:p>
    <w:p w14:paraId="0992F582" w14:textId="77777777" w:rsidR="00527DD4" w:rsidRDefault="00C40E16">
      <w:pPr>
        <w:pStyle w:val="Heading1"/>
        <w:pBdr>
          <w:bottom w:val="single" w:sz="8" w:space="4" w:color="2E8B57"/>
        </w:pBdr>
      </w:pPr>
      <w:bookmarkStart w:id="0" w:name="_GoBack"/>
      <w:bookmarkEnd w:id="0"/>
      <w:r>
        <w:lastRenderedPageBreak/>
        <w:t>1. Introduction</w:t>
      </w:r>
    </w:p>
    <w:p w14:paraId="65E13D7D" w14:textId="77777777" w:rsidR="00527DD4" w:rsidRDefault="00C40E16">
      <w:pPr>
        <w:spacing w:before="60" w:after="120" w:line="360" w:lineRule="auto"/>
        <w:jc w:val="both"/>
      </w:pPr>
      <w:r>
        <w:rPr>
          <w:rFonts w:cs="Arial"/>
        </w:rPr>
        <w:t xml:space="preserve">Ornamental plants, including cut flowers, potted plants, and garden plants, represent one of the world's most economically significant agricultural sectors. The global ornamental horticulture market is valued at over $100 billion and continues to expand owing to urbanization, rising disposable incomes, and increasing demand for aesthetic plant products. Major producing countries include the Netherlands, Colombia, Kenya, Ecuador, and China, with rose (Rosa spp.), chrysanthemum (Chrysanthemum x </w:t>
      </w:r>
      <w:proofErr w:type="spellStart"/>
      <w:r>
        <w:rPr>
          <w:rFonts w:cs="Arial"/>
        </w:rPr>
        <w:t>morifolium</w:t>
      </w:r>
      <w:proofErr w:type="spellEnd"/>
      <w:r>
        <w:rPr>
          <w:rFonts w:cs="Arial"/>
        </w:rPr>
        <w:t xml:space="preserve">), carnation (Dianthus </w:t>
      </w:r>
      <w:proofErr w:type="spellStart"/>
      <w:r>
        <w:rPr>
          <w:rFonts w:cs="Arial"/>
        </w:rPr>
        <w:t>caryophyllus</w:t>
      </w:r>
      <w:proofErr w:type="spellEnd"/>
      <w:r>
        <w:rPr>
          <w:rFonts w:cs="Arial"/>
        </w:rPr>
        <w:t>), lily (Lilium spp.), and tulip (Tulipa spp.) ranking among the most commercially important species.</w:t>
      </w:r>
    </w:p>
    <w:p w14:paraId="0D00C645" w14:textId="77777777" w:rsidR="00527DD4" w:rsidRDefault="00C40E16">
      <w:pPr>
        <w:spacing w:before="60" w:after="120" w:line="360" w:lineRule="auto"/>
        <w:jc w:val="both"/>
      </w:pPr>
      <w:r>
        <w:rPr>
          <w:rFonts w:cs="Arial"/>
        </w:rPr>
        <w:t xml:space="preserve">The commercial value of ornamental plants is inextricably linked to three key quality attributes: (1) flower </w:t>
      </w:r>
      <w:proofErr w:type="spellStart"/>
      <w:r>
        <w:rPr>
          <w:rFonts w:cs="Arial"/>
        </w:rPr>
        <w:t>color</w:t>
      </w:r>
      <w:proofErr w:type="spellEnd"/>
      <w:r>
        <w:rPr>
          <w:rFonts w:cs="Arial"/>
        </w:rPr>
        <w:t xml:space="preserve"> — the primary visual determinant of consumer appeal; (2) fragrance — an increasingly valued trait in premium market segments; and (3) postharvest vase life — a critical logistical and commercial parameter. Conventional plant breeding has long been employed to improve these traits through hybridization, mutation breeding, and selection. However, classical approaches face inherent limitations including reproductive barriers between sexually incompatible species, the multigenic nature of complex traits, lengthy generation times, and inability to introduce entirely novel biochemical pathways.</w:t>
      </w:r>
    </w:p>
    <w:p w14:paraId="71C30115" w14:textId="77777777" w:rsidR="00527DD4" w:rsidRDefault="00C40E16">
      <w:pPr>
        <w:spacing w:before="60" w:after="120" w:line="360" w:lineRule="auto"/>
        <w:jc w:val="both"/>
      </w:pPr>
      <w:r>
        <w:rPr>
          <w:rFonts w:cs="Arial"/>
        </w:rPr>
        <w:t xml:space="preserve">Biotechnological tools have fundamentally transformed the capacity to engineer ornamental traits with precision, speed, and novelty. Beginning with the first transgenic plants in the 1980s and accelerating through the genomic revolution of the 2000s, plant biotechnology now encompasses a diverse toolkit: Agrobacterium-mediated and biolistic transformation, RNA interference (RNAi), transcription factor overexpression, CRISPR/Cas9 genome editing, and synthetic biology approaches. Landmark achievements include the world's first commercially released genetically engineered blue carnation (Dianthus </w:t>
      </w:r>
      <w:proofErr w:type="spellStart"/>
      <w:r>
        <w:rPr>
          <w:rFonts w:cs="Arial"/>
        </w:rPr>
        <w:t>caryophyllus</w:t>
      </w:r>
      <w:proofErr w:type="spellEnd"/>
      <w:r>
        <w:rPr>
          <w:rFonts w:cs="Arial"/>
        </w:rPr>
        <w:t>) developed by Suntory and Florigene, and the commercialization of ethylene-insensitive ornamentals with significantly extended vase life.</w:t>
      </w:r>
    </w:p>
    <w:p w14:paraId="610D6F6C" w14:textId="77777777" w:rsidR="00527DD4" w:rsidRDefault="00C40E16">
      <w:pPr>
        <w:spacing w:before="60" w:after="120" w:line="360" w:lineRule="auto"/>
        <w:jc w:val="both"/>
      </w:pPr>
      <w:r>
        <w:rPr>
          <w:rFonts w:cs="Arial"/>
        </w:rPr>
        <w:t xml:space="preserve">This review aims to provide a comprehensive, up-to-date synthesis of biotechnological strategies applied to modify flower </w:t>
      </w:r>
      <w:proofErr w:type="spellStart"/>
      <w:r>
        <w:rPr>
          <w:rFonts w:cs="Arial"/>
        </w:rPr>
        <w:t>color</w:t>
      </w:r>
      <w:proofErr w:type="spellEnd"/>
      <w:r>
        <w:rPr>
          <w:rFonts w:cs="Arial"/>
        </w:rPr>
        <w:t>, fragrance, and vase life in ornamental plants. We examine the molecular and biochemical basis of each trait, survey biotechnological interventions and their outcomes, discuss regulatory and biosafety aspects, and propose future directions for research and commercial application.</w:t>
      </w:r>
    </w:p>
    <w:p w14:paraId="5B78788B" w14:textId="77777777" w:rsidR="00527DD4" w:rsidRDefault="00C40E16">
      <w:pPr>
        <w:pStyle w:val="Heading1"/>
        <w:pBdr>
          <w:bottom w:val="single" w:sz="8" w:space="4" w:color="2E8B57"/>
        </w:pBdr>
      </w:pPr>
      <w:r>
        <w:t xml:space="preserve">2. Biotechnological Modification of Flower </w:t>
      </w:r>
      <w:proofErr w:type="spellStart"/>
      <w:r>
        <w:t>Color</w:t>
      </w:r>
      <w:proofErr w:type="spellEnd"/>
    </w:p>
    <w:p w14:paraId="37B5656E" w14:textId="77777777" w:rsidR="00527DD4" w:rsidRDefault="00C40E16">
      <w:pPr>
        <w:pStyle w:val="Heading2"/>
      </w:pPr>
      <w:r>
        <w:t>2.1 Molecular Basis of Flower Pigmentation</w:t>
      </w:r>
    </w:p>
    <w:p w14:paraId="45010D3E" w14:textId="77777777" w:rsidR="00527DD4" w:rsidRDefault="00C40E16">
      <w:pPr>
        <w:spacing w:before="60" w:after="120" w:line="360" w:lineRule="auto"/>
        <w:jc w:val="both"/>
      </w:pPr>
      <w:r>
        <w:rPr>
          <w:rFonts w:cs="Arial"/>
        </w:rPr>
        <w:lastRenderedPageBreak/>
        <w:t xml:space="preserve">Flower </w:t>
      </w:r>
      <w:proofErr w:type="spellStart"/>
      <w:r>
        <w:rPr>
          <w:rFonts w:cs="Arial"/>
        </w:rPr>
        <w:t>color</w:t>
      </w:r>
      <w:proofErr w:type="spellEnd"/>
      <w:r>
        <w:rPr>
          <w:rFonts w:cs="Arial"/>
        </w:rPr>
        <w:t xml:space="preserve"> is determined primarily by three classes of pigments: flavonoids (including anthocyanins), carotenoids, and </w:t>
      </w:r>
      <w:proofErr w:type="spellStart"/>
      <w:r>
        <w:rPr>
          <w:rFonts w:cs="Arial"/>
        </w:rPr>
        <w:t>betalains</w:t>
      </w:r>
      <w:proofErr w:type="spellEnd"/>
      <w:r>
        <w:rPr>
          <w:rFonts w:cs="Arial"/>
        </w:rPr>
        <w:t xml:space="preserve">. Anthocyanins, a subclass of flavonoids, are responsible for a spectrum ranging from pink and red to violet and blue, and are synthesized through the phenylpropanoid pathway from phenylalanine. Carotenoids, produced in chromoplasts via the methylerythritol phosphate (MEP) pathway, yield yellow, orange, and red pigmentation. </w:t>
      </w:r>
      <w:proofErr w:type="spellStart"/>
      <w:r>
        <w:rPr>
          <w:rFonts w:cs="Arial"/>
        </w:rPr>
        <w:t>Betalains</w:t>
      </w:r>
      <w:proofErr w:type="spellEnd"/>
      <w:r>
        <w:rPr>
          <w:rFonts w:cs="Arial"/>
        </w:rPr>
        <w:t>, found exclusively in the order Caryophyllales, replace anthocyanins in certain families and generate yellow (betaxanthins) and red-violet (</w:t>
      </w:r>
      <w:proofErr w:type="spellStart"/>
      <w:r>
        <w:rPr>
          <w:rFonts w:cs="Arial"/>
        </w:rPr>
        <w:t>betacyanins</w:t>
      </w:r>
      <w:proofErr w:type="spellEnd"/>
      <w:r>
        <w:rPr>
          <w:rFonts w:cs="Arial"/>
        </w:rPr>
        <w:t>) pigments.</w:t>
      </w:r>
    </w:p>
    <w:p w14:paraId="5465ED06" w14:textId="77777777" w:rsidR="00527DD4" w:rsidRDefault="00C40E16">
      <w:pPr>
        <w:spacing w:before="60" w:after="120" w:line="360" w:lineRule="auto"/>
        <w:jc w:val="both"/>
      </w:pPr>
      <w:r>
        <w:rPr>
          <w:rFonts w:cs="Arial"/>
        </w:rPr>
        <w:t>The anthocyanin biosynthetic pathway is among the best-characterized pathways in plant secondary metabolism. Key structural genes include CHS (chalcone synthase), CHI (chalcone isomerase), F3H (flavanone 3-hydroxylase), F3'H and F3'5'H (flavonoid hydroxylases), DFR (</w:t>
      </w:r>
      <w:proofErr w:type="spellStart"/>
      <w:r>
        <w:rPr>
          <w:rFonts w:cs="Arial"/>
        </w:rPr>
        <w:t>dihydroflavonol</w:t>
      </w:r>
      <w:proofErr w:type="spellEnd"/>
      <w:r>
        <w:rPr>
          <w:rFonts w:cs="Arial"/>
        </w:rPr>
        <w:t xml:space="preserve"> reductase), ANS (anthocyanidin synthase), and UFGT (</w:t>
      </w:r>
      <w:proofErr w:type="spellStart"/>
      <w:r>
        <w:rPr>
          <w:rFonts w:cs="Arial"/>
        </w:rPr>
        <w:t>UDP-</w:t>
      </w:r>
      <w:proofErr w:type="gramStart"/>
      <w:r>
        <w:rPr>
          <w:rFonts w:cs="Arial"/>
        </w:rPr>
        <w:t>glucose:flavonoid</w:t>
      </w:r>
      <w:proofErr w:type="spellEnd"/>
      <w:proofErr w:type="gramEnd"/>
      <w:r>
        <w:rPr>
          <w:rFonts w:cs="Arial"/>
        </w:rPr>
        <w:t xml:space="preserve"> 3-O-glucosyltransferase). Transcriptional regulation of the pathway involves MYB, </w:t>
      </w:r>
      <w:proofErr w:type="spellStart"/>
      <w:r>
        <w:rPr>
          <w:rFonts w:cs="Arial"/>
        </w:rPr>
        <w:t>bHLH</w:t>
      </w:r>
      <w:proofErr w:type="spellEnd"/>
      <w:r>
        <w:rPr>
          <w:rFonts w:cs="Arial"/>
        </w:rPr>
        <w:t xml:space="preserve">, and WD40 proteins forming ternary complexes (MBW complexes). </w:t>
      </w:r>
      <w:proofErr w:type="spellStart"/>
      <w:r>
        <w:rPr>
          <w:rFonts w:cs="Arial"/>
        </w:rPr>
        <w:t>Vacuolar</w:t>
      </w:r>
      <w:proofErr w:type="spellEnd"/>
      <w:r>
        <w:rPr>
          <w:rFonts w:cs="Arial"/>
        </w:rPr>
        <w:t xml:space="preserve"> pH, </w:t>
      </w:r>
      <w:proofErr w:type="spellStart"/>
      <w:r>
        <w:rPr>
          <w:rFonts w:cs="Arial"/>
        </w:rPr>
        <w:t>copigmentation</w:t>
      </w:r>
      <w:proofErr w:type="spellEnd"/>
      <w:r>
        <w:rPr>
          <w:rFonts w:cs="Arial"/>
        </w:rPr>
        <w:t xml:space="preserve"> with flavones and </w:t>
      </w:r>
      <w:proofErr w:type="spellStart"/>
      <w:r>
        <w:rPr>
          <w:rFonts w:cs="Arial"/>
        </w:rPr>
        <w:t>flavonols</w:t>
      </w:r>
      <w:proofErr w:type="spellEnd"/>
      <w:r>
        <w:rPr>
          <w:rFonts w:cs="Arial"/>
        </w:rPr>
        <w:t xml:space="preserve">, and metal chelation also critically influence the final perceived </w:t>
      </w:r>
      <w:proofErr w:type="spellStart"/>
      <w:r>
        <w:rPr>
          <w:rFonts w:cs="Arial"/>
        </w:rPr>
        <w:t>color</w:t>
      </w:r>
      <w:proofErr w:type="spellEnd"/>
      <w:r>
        <w:rPr>
          <w:rFonts w:cs="Arial"/>
        </w:rPr>
        <w:t>.</w:t>
      </w:r>
    </w:p>
    <w:p w14:paraId="6542CF6D" w14:textId="77777777" w:rsidR="00527DD4" w:rsidRDefault="00C40E16">
      <w:pPr>
        <w:pStyle w:val="Heading2"/>
      </w:pPr>
      <w:r>
        <w:t>2.2 Engineering Blue and Violet Flowers</w:t>
      </w:r>
    </w:p>
    <w:p w14:paraId="4F1C770B" w14:textId="77777777" w:rsidR="00527DD4" w:rsidRDefault="00C40E16">
      <w:pPr>
        <w:spacing w:before="60" w:after="120" w:line="360" w:lineRule="auto"/>
        <w:jc w:val="both"/>
      </w:pPr>
      <w:r>
        <w:rPr>
          <w:rFonts w:cs="Arial"/>
        </w:rPr>
        <w:t xml:space="preserve">The holy grail of ornamental flower </w:t>
      </w:r>
      <w:proofErr w:type="spellStart"/>
      <w:r>
        <w:rPr>
          <w:rFonts w:cs="Arial"/>
        </w:rPr>
        <w:t>color</w:t>
      </w:r>
      <w:proofErr w:type="spellEnd"/>
      <w:r>
        <w:rPr>
          <w:rFonts w:cs="Arial"/>
        </w:rPr>
        <w:t xml:space="preserve"> biotechnology has been the development of a </w:t>
      </w:r>
      <w:proofErr w:type="gramStart"/>
      <w:r>
        <w:rPr>
          <w:rFonts w:cs="Arial"/>
        </w:rPr>
        <w:t>true blue</w:t>
      </w:r>
      <w:proofErr w:type="gramEnd"/>
      <w:r>
        <w:rPr>
          <w:rFonts w:cs="Arial"/>
        </w:rPr>
        <w:t xml:space="preserve"> flower, particularly in species such as rose, chrysanthemum, and carnation, which lack endogenous 3',5'-hydroxylated anthocyanins (delphinidin-type). The scientific challenge lies in the absence or low activity of the F3'5'H enzyme in these species, which is required for the B-ring hydroxylation that shifts anthocyanin hue from red toward blue.</w:t>
      </w:r>
    </w:p>
    <w:p w14:paraId="120FB0CC" w14:textId="77777777" w:rsidR="00527DD4" w:rsidRDefault="00C40E16">
      <w:pPr>
        <w:spacing w:before="60" w:after="120" w:line="360" w:lineRule="auto"/>
        <w:jc w:val="both"/>
      </w:pPr>
      <w:r>
        <w:rPr>
          <w:rFonts w:cs="Arial"/>
        </w:rPr>
        <w:t xml:space="preserve">The pioneering work of the </w:t>
      </w:r>
      <w:proofErr w:type="spellStart"/>
      <w:r>
        <w:rPr>
          <w:rFonts w:cs="Arial"/>
        </w:rPr>
        <w:t>Florigene</w:t>
      </w:r>
      <w:proofErr w:type="spellEnd"/>
      <w:r>
        <w:rPr>
          <w:rFonts w:cs="Arial"/>
        </w:rPr>
        <w:t xml:space="preserve">/Suntory consortium demonstrated that simultaneous expression of the pansy (Viola </w:t>
      </w:r>
      <w:proofErr w:type="spellStart"/>
      <w:r>
        <w:rPr>
          <w:rFonts w:cs="Arial"/>
        </w:rPr>
        <w:t>wittrockiana</w:t>
      </w:r>
      <w:proofErr w:type="spellEnd"/>
      <w:r>
        <w:rPr>
          <w:rFonts w:cs="Arial"/>
        </w:rPr>
        <w:t>) F3'5'H gene together with the pansy DFR gene in carnation resulted in accumulation of delphinidin-based anthocyanins, producing the commercially successful 'Moondust' and '</w:t>
      </w:r>
      <w:proofErr w:type="spellStart"/>
      <w:r>
        <w:rPr>
          <w:rFonts w:cs="Arial"/>
        </w:rPr>
        <w:t>Moonshade</w:t>
      </w:r>
      <w:proofErr w:type="spellEnd"/>
      <w:r>
        <w:rPr>
          <w:rFonts w:cs="Arial"/>
        </w:rPr>
        <w:t>' carnation lines — the first genetically engineered ornamental plant to achieve regulatory approval and commercial sale in Australia and the United States.</w:t>
      </w:r>
    </w:p>
    <w:p w14:paraId="7EFE46BD" w14:textId="77777777" w:rsidR="00527DD4" w:rsidRDefault="00C40E16">
      <w:pPr>
        <w:spacing w:before="60" w:after="120" w:line="360" w:lineRule="auto"/>
        <w:jc w:val="both"/>
      </w:pPr>
      <w:r>
        <w:rPr>
          <w:rFonts w:cs="Arial"/>
        </w:rPr>
        <w:t xml:space="preserve">In rose, blue coloration has proven more challenging due to the co-suppression of endogenous CHS activity and differences in </w:t>
      </w:r>
      <w:proofErr w:type="spellStart"/>
      <w:r>
        <w:rPr>
          <w:rFonts w:cs="Arial"/>
        </w:rPr>
        <w:t>vacuolar</w:t>
      </w:r>
      <w:proofErr w:type="spellEnd"/>
      <w:r>
        <w:rPr>
          <w:rFonts w:cs="Arial"/>
        </w:rPr>
        <w:t xml:space="preserve"> </w:t>
      </w:r>
      <w:proofErr w:type="spellStart"/>
      <w:r>
        <w:rPr>
          <w:rFonts w:cs="Arial"/>
        </w:rPr>
        <w:t>pH.</w:t>
      </w:r>
      <w:proofErr w:type="spellEnd"/>
      <w:r>
        <w:rPr>
          <w:rFonts w:cs="Arial"/>
        </w:rPr>
        <w:t xml:space="preserve"> Katsumoto et al. (2007) reported that co-expression of iris F3'5'H and a rose flavonoid 3'-glucosyltransferase in a low-endogenous-DFR background rose cultivar produced significant delphinidin accumulation and a visually altered, violet-blue petal coloration. Subsequent metabolic engineering efforts incorporated RNAi silencing of competing </w:t>
      </w:r>
      <w:r>
        <w:rPr>
          <w:rFonts w:cs="Arial"/>
        </w:rPr>
        <w:lastRenderedPageBreak/>
        <w:t xml:space="preserve">pathway branches and manipulation of </w:t>
      </w:r>
      <w:proofErr w:type="spellStart"/>
      <w:r>
        <w:rPr>
          <w:rFonts w:cs="Arial"/>
        </w:rPr>
        <w:t>vacuolar</w:t>
      </w:r>
      <w:proofErr w:type="spellEnd"/>
      <w:r>
        <w:rPr>
          <w:rFonts w:cs="Arial"/>
        </w:rPr>
        <w:t xml:space="preserve"> pH regulators to push pigmentation further toward blue.</w:t>
      </w:r>
    </w:p>
    <w:p w14:paraId="7BECCF8C" w14:textId="77777777" w:rsidR="00527DD4" w:rsidRDefault="00C40E16">
      <w:pPr>
        <w:pStyle w:val="Heading2"/>
      </w:pPr>
      <w:r>
        <w:t xml:space="preserve">2.3 Modifying Red, Pink, and Orange </w:t>
      </w:r>
      <w:proofErr w:type="spellStart"/>
      <w:r>
        <w:t>Colors</w:t>
      </w:r>
      <w:proofErr w:type="spellEnd"/>
    </w:p>
    <w:p w14:paraId="46E316AF" w14:textId="77777777" w:rsidR="00527DD4" w:rsidRDefault="00C40E16">
      <w:pPr>
        <w:spacing w:before="60" w:after="120" w:line="360" w:lineRule="auto"/>
        <w:jc w:val="both"/>
      </w:pPr>
      <w:r>
        <w:rPr>
          <w:rFonts w:cs="Arial"/>
        </w:rPr>
        <w:t xml:space="preserve">Beyond blue flowers, biotechnology has been employed to alter intensity and quality of existing flower </w:t>
      </w:r>
      <w:proofErr w:type="spellStart"/>
      <w:r>
        <w:rPr>
          <w:rFonts w:cs="Arial"/>
        </w:rPr>
        <w:t>colors</w:t>
      </w:r>
      <w:proofErr w:type="spellEnd"/>
      <w:r>
        <w:rPr>
          <w:rFonts w:cs="Arial"/>
        </w:rPr>
        <w:t>. Suppression of anthocyanin biosynthetic genes via antisense RNA or RNAi has generated white or pale versions of naturally pigmented cultivars in petunia, carnation, rose, and lily. Overexpression of MYB transcription factors has been used to intensify pigmentation. Introduction of heterologous carotenoid pathway genes — such as lycopene epsilon-cyclase and beta-carotene ketolase from Adonis aestivalis — has been used to generate novel orange and red carotenoid-rich phenotypes in otherwise carotenoid-deficient flowers.</w:t>
      </w:r>
    </w:p>
    <w:p w14:paraId="10EA15EA" w14:textId="77777777" w:rsidR="00527DD4" w:rsidRDefault="00C40E16">
      <w:pPr>
        <w:pStyle w:val="Heading2"/>
      </w:pPr>
      <w:r>
        <w:t xml:space="preserve">2.4 CRISPR/Cas9 Applications in Flower </w:t>
      </w:r>
      <w:proofErr w:type="spellStart"/>
      <w:r>
        <w:t>Color</w:t>
      </w:r>
      <w:proofErr w:type="spellEnd"/>
      <w:r>
        <w:t xml:space="preserve"> Engineering</w:t>
      </w:r>
    </w:p>
    <w:p w14:paraId="7F57596B" w14:textId="77777777" w:rsidR="00527DD4" w:rsidRDefault="00C40E16">
      <w:pPr>
        <w:spacing w:before="60" w:after="120" w:line="360" w:lineRule="auto"/>
        <w:jc w:val="both"/>
      </w:pPr>
      <w:r>
        <w:rPr>
          <w:rFonts w:cs="Arial"/>
        </w:rPr>
        <w:t>The advent of CRISPR/Cas9 technology has opened new avenues for precise, stable, and regulatory-</w:t>
      </w:r>
      <w:proofErr w:type="spellStart"/>
      <w:r>
        <w:rPr>
          <w:rFonts w:cs="Arial"/>
        </w:rPr>
        <w:t>favorable</w:t>
      </w:r>
      <w:proofErr w:type="spellEnd"/>
      <w:r>
        <w:rPr>
          <w:rFonts w:cs="Arial"/>
        </w:rPr>
        <w:t xml:space="preserve"> </w:t>
      </w:r>
      <w:proofErr w:type="spellStart"/>
      <w:r>
        <w:rPr>
          <w:rFonts w:cs="Arial"/>
        </w:rPr>
        <w:t>color</w:t>
      </w:r>
      <w:proofErr w:type="spellEnd"/>
      <w:r>
        <w:rPr>
          <w:rFonts w:cs="Arial"/>
        </w:rPr>
        <w:t xml:space="preserve"> modification. Unlike transgenic approaches, CRISPR-mediated targeted mutations in endogenous pigment genes may, in some jurisdictions, be classified as non-transgenic, facilitating faster regulatory approval. Recent studies have demonstrated CRISPR-based knockout of CHS in petunia, generating pure white-flowered lines. Targeted editing of ANS and UFGT genes has been achieved in chrysanthemum. In the Japanese morning glory (Ipomoea nil), CRISPR-mediated disruption of the InWDR1 gene, a WD40 component of the MBW complex, produced flowers with dramatically altered </w:t>
      </w:r>
      <w:proofErr w:type="spellStart"/>
      <w:r>
        <w:rPr>
          <w:rFonts w:cs="Arial"/>
        </w:rPr>
        <w:t>color</w:t>
      </w:r>
      <w:proofErr w:type="spellEnd"/>
      <w:r>
        <w:rPr>
          <w:rFonts w:cs="Arial"/>
        </w:rPr>
        <w:t xml:space="preserve"> patterning.</w:t>
      </w:r>
    </w:p>
    <w:p w14:paraId="550E4C8A" w14:textId="77777777" w:rsidR="00527DD4" w:rsidRDefault="00C40E16">
      <w:pPr>
        <w:spacing w:before="60" w:after="120" w:line="360" w:lineRule="auto"/>
        <w:jc w:val="both"/>
      </w:pPr>
      <w:r>
        <w:rPr>
          <w:rFonts w:cs="Arial"/>
        </w:rPr>
        <w:t>Beyond simple knockouts, base editing and prime editing strategies are being adapted for ornamental species, enabling point mutations in pathway enzymes to subtly alter substrate specificity and redirect metabolic flux. Multiplexed CRISPR approaches targeting several pigment genes simultaneously are also under development, though delivery and regeneration efficiency remains a bottleneck in recalcitrant species.</w:t>
      </w:r>
    </w:p>
    <w:p w14:paraId="209B2EEA" w14:textId="77777777" w:rsidR="00527DD4" w:rsidRDefault="00527DD4">
      <w:pPr>
        <w:spacing w:before="60" w:after="60"/>
      </w:pPr>
    </w:p>
    <w:p w14:paraId="7C63863E" w14:textId="77777777" w:rsidR="00527DD4" w:rsidRDefault="00C40E16">
      <w:pPr>
        <w:spacing w:before="160" w:after="80"/>
        <w:jc w:val="center"/>
      </w:pPr>
      <w:r>
        <w:rPr>
          <w:rFonts w:cs="Arial"/>
          <w:b/>
          <w:bCs/>
          <w:color w:val="1F5C2E"/>
          <w:sz w:val="21"/>
          <w:szCs w:val="21"/>
        </w:rPr>
        <w:t xml:space="preserve">Table 1. Selected Biotechnological Achievements in Ornamental Flower </w:t>
      </w:r>
      <w:proofErr w:type="spellStart"/>
      <w:r>
        <w:rPr>
          <w:rFonts w:cs="Arial"/>
          <w:b/>
          <w:bCs/>
          <w:color w:val="1F5C2E"/>
          <w:sz w:val="21"/>
          <w:szCs w:val="21"/>
        </w:rPr>
        <w:t>Color</w:t>
      </w:r>
      <w:proofErr w:type="spellEnd"/>
      <w:r>
        <w:rPr>
          <w:rFonts w:cs="Arial"/>
          <w:b/>
          <w:bCs/>
          <w:color w:val="1F5C2E"/>
          <w:sz w:val="21"/>
          <w:szCs w:val="21"/>
        </w:rPr>
        <w:t xml:space="preserve"> Modification</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2000"/>
        <w:gridCol w:w="2000"/>
        <w:gridCol w:w="1760"/>
      </w:tblGrid>
      <w:tr w:rsidR="00527DD4" w14:paraId="19D56DFA"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122046B" w14:textId="77777777" w:rsidR="00527DD4" w:rsidRDefault="00C40E16">
            <w:pPr>
              <w:jc w:val="center"/>
            </w:pPr>
            <w:r>
              <w:rPr>
                <w:rFonts w:cs="Arial"/>
                <w:b/>
                <w:bCs/>
                <w:color w:val="FFFFFF"/>
                <w:sz w:val="20"/>
                <w:szCs w:val="20"/>
              </w:rPr>
              <w:t>Species</w:t>
            </w:r>
          </w:p>
        </w:tc>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1103524" w14:textId="77777777" w:rsidR="00527DD4" w:rsidRDefault="00C40E16">
            <w:pPr>
              <w:jc w:val="center"/>
            </w:pPr>
            <w:r>
              <w:rPr>
                <w:rFonts w:cs="Arial"/>
                <w:b/>
                <w:bCs/>
                <w:color w:val="FFFFFF"/>
                <w:sz w:val="20"/>
                <w:szCs w:val="20"/>
              </w:rPr>
              <w:t>Target Trait</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45D38FB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03DB0C1" w14:textId="77777777" w:rsidR="00527DD4" w:rsidRDefault="00C40E16">
            <w:pPr>
              <w:jc w:val="center"/>
            </w:pPr>
            <w:r>
              <w:rPr>
                <w:rFonts w:cs="Arial"/>
                <w:b/>
                <w:bCs/>
                <w:color w:val="FFFFFF"/>
                <w:sz w:val="20"/>
                <w:szCs w:val="20"/>
              </w:rPr>
              <w:t>Outcome</w:t>
            </w:r>
          </w:p>
        </w:tc>
        <w:tc>
          <w:tcPr>
            <w:tcW w:w="17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B2C251" w14:textId="77777777" w:rsidR="00527DD4" w:rsidRDefault="00C40E16">
            <w:pPr>
              <w:jc w:val="center"/>
            </w:pPr>
            <w:r>
              <w:rPr>
                <w:rFonts w:cs="Arial"/>
                <w:b/>
                <w:bCs/>
                <w:color w:val="FFFFFF"/>
                <w:sz w:val="20"/>
                <w:szCs w:val="20"/>
              </w:rPr>
              <w:t>Reference</w:t>
            </w:r>
          </w:p>
        </w:tc>
      </w:tr>
      <w:tr w:rsidR="00527DD4" w14:paraId="2AD9E633"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BE8CD6A" w14:textId="77777777" w:rsidR="00527DD4" w:rsidRDefault="00C40E16">
            <w:r>
              <w:rPr>
                <w:rFonts w:cs="Arial"/>
                <w:sz w:val="19"/>
                <w:szCs w:val="19"/>
              </w:rPr>
              <w:t xml:space="preserve">Carnation (D. </w:t>
            </w:r>
            <w:proofErr w:type="spellStart"/>
            <w:r>
              <w:rPr>
                <w:rFonts w:cs="Arial"/>
                <w:sz w:val="19"/>
                <w:szCs w:val="19"/>
              </w:rPr>
              <w:t>caryophyllus</w:t>
            </w:r>
            <w:proofErr w:type="spellEnd"/>
            <w:r>
              <w:rPr>
                <w:rFonts w:cs="Arial"/>
                <w:sz w:val="19"/>
                <w:szCs w:val="19"/>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D1D1AD3" w14:textId="77777777" w:rsidR="00527DD4" w:rsidRDefault="00C40E16">
            <w:r>
              <w:rPr>
                <w:rFonts w:cs="Arial"/>
                <w:sz w:val="19"/>
                <w:szCs w:val="19"/>
              </w:rPr>
              <w:t xml:space="preserve">Blue/violet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09AD6CA" w14:textId="77777777" w:rsidR="00527DD4" w:rsidRDefault="00C40E16">
            <w:r>
              <w:rPr>
                <w:rFonts w:cs="Arial"/>
                <w:sz w:val="19"/>
                <w:szCs w:val="19"/>
              </w:rPr>
              <w:t>F3'5'H + DFR from pansy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F2EB775" w14:textId="77777777" w:rsidR="00527DD4" w:rsidRDefault="00C40E16">
            <w:r>
              <w:rPr>
                <w:rFonts w:cs="Arial"/>
                <w:sz w:val="19"/>
                <w:szCs w:val="19"/>
              </w:rPr>
              <w:t>Delphinidin accumulation; commercial 'Moondust'</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E40E68F" w14:textId="77777777" w:rsidR="00527DD4" w:rsidRDefault="00C40E16">
            <w:r>
              <w:rPr>
                <w:rFonts w:cs="Arial"/>
                <w:sz w:val="19"/>
                <w:szCs w:val="19"/>
              </w:rPr>
              <w:t>Tanaka et al., 2005</w:t>
            </w:r>
          </w:p>
        </w:tc>
      </w:tr>
      <w:tr w:rsidR="00527DD4" w14:paraId="2D7F6AE0"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460FBBC" w14:textId="77777777" w:rsidR="00527DD4" w:rsidRDefault="00C40E16">
            <w:r>
              <w:rPr>
                <w:rFonts w:cs="Arial"/>
                <w:sz w:val="19"/>
                <w:szCs w:val="19"/>
              </w:rPr>
              <w:t>Rose (Rosa hybrida)</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A62089" w14:textId="77777777" w:rsidR="00527DD4" w:rsidRDefault="00C40E16">
            <w:r>
              <w:rPr>
                <w:rFonts w:cs="Arial"/>
                <w:sz w:val="19"/>
                <w:szCs w:val="19"/>
              </w:rPr>
              <w:t xml:space="preserve">Blue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B3AD4F3" w14:textId="77777777" w:rsidR="00527DD4" w:rsidRDefault="00C40E16">
            <w:r>
              <w:rPr>
                <w:rFonts w:cs="Arial"/>
                <w:sz w:val="19"/>
                <w:szCs w:val="19"/>
              </w:rPr>
              <w:t>Iris F3'5'H + RNAi of competing genes</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B085C6B" w14:textId="77777777" w:rsidR="00527DD4" w:rsidRDefault="00C40E16">
            <w:r>
              <w:rPr>
                <w:rFonts w:cs="Arial"/>
                <w:sz w:val="19"/>
                <w:szCs w:val="19"/>
              </w:rPr>
              <w:t>Violet-blue petals with delphinidin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ACE7587" w14:textId="77777777" w:rsidR="00527DD4" w:rsidRDefault="00C40E16">
            <w:r>
              <w:rPr>
                <w:rFonts w:cs="Arial"/>
                <w:sz w:val="19"/>
                <w:szCs w:val="19"/>
              </w:rPr>
              <w:t>Katsumoto et al., 2007</w:t>
            </w:r>
          </w:p>
        </w:tc>
      </w:tr>
      <w:tr w:rsidR="00527DD4" w14:paraId="44F372A8"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C33DB03" w14:textId="77777777" w:rsidR="00527DD4" w:rsidRDefault="00C40E16">
            <w:r>
              <w:rPr>
                <w:rFonts w:cs="Arial"/>
                <w:sz w:val="19"/>
                <w:szCs w:val="19"/>
              </w:rPr>
              <w:lastRenderedPageBreak/>
              <w:t>Petunia (P. hybrida)</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C65A814" w14:textId="77777777" w:rsidR="00527DD4" w:rsidRDefault="00C40E16">
            <w:r>
              <w:rPr>
                <w:rFonts w:cs="Arial"/>
                <w:sz w:val="19"/>
                <w:szCs w:val="19"/>
              </w:rPr>
              <w:t xml:space="preserve">White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2EDE4A1" w14:textId="77777777" w:rsidR="00527DD4" w:rsidRDefault="00C40E16">
            <w:r>
              <w:rPr>
                <w:rFonts w:cs="Arial"/>
                <w:sz w:val="19"/>
                <w:szCs w:val="19"/>
              </w:rPr>
              <w:t>CRISPR/Cas9 CHS knockout</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68B468" w14:textId="77777777" w:rsidR="00527DD4" w:rsidRDefault="00C40E16">
            <w:r>
              <w:rPr>
                <w:rFonts w:cs="Arial"/>
                <w:sz w:val="19"/>
                <w:szCs w:val="19"/>
              </w:rPr>
              <w:t>Complete loss of anthocyanins</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DDAAF0" w14:textId="77777777" w:rsidR="00527DD4" w:rsidRDefault="00C40E16">
            <w:r>
              <w:rPr>
                <w:rFonts w:cs="Arial"/>
                <w:sz w:val="19"/>
                <w:szCs w:val="19"/>
              </w:rPr>
              <w:t>Watanabe et al., 2017</w:t>
            </w:r>
          </w:p>
        </w:tc>
      </w:tr>
      <w:tr w:rsidR="00527DD4" w14:paraId="12B3B11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A827D15" w14:textId="77777777" w:rsidR="00527DD4" w:rsidRDefault="00C40E16">
            <w:r>
              <w:rPr>
                <w:rFonts w:cs="Arial"/>
                <w:sz w:val="19"/>
                <w:szCs w:val="19"/>
              </w:rPr>
              <w:t>Chrysanthemum (C. morifolium)</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0B05779B" w14:textId="77777777" w:rsidR="00527DD4" w:rsidRDefault="00C40E16">
            <w:proofErr w:type="spellStart"/>
            <w:r>
              <w:rPr>
                <w:rFonts w:cs="Arial"/>
                <w:sz w:val="19"/>
                <w:szCs w:val="19"/>
              </w:rPr>
              <w:t>Color</w:t>
            </w:r>
            <w:proofErr w:type="spellEnd"/>
            <w:r>
              <w:rPr>
                <w:rFonts w:cs="Arial"/>
                <w:sz w:val="19"/>
                <w:szCs w:val="19"/>
              </w:rPr>
              <w:t xml:space="preserve"> alteration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BCA3B24" w14:textId="77777777" w:rsidR="00527DD4" w:rsidRDefault="00C40E16">
            <w:r>
              <w:rPr>
                <w:rFonts w:cs="Arial"/>
                <w:sz w:val="19"/>
                <w:szCs w:val="19"/>
              </w:rPr>
              <w:t>CRISPR/Cas9 ANS editing</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84BB902" w14:textId="77777777" w:rsidR="00527DD4" w:rsidRDefault="00C40E16">
            <w:r>
              <w:rPr>
                <w:rFonts w:cs="Arial"/>
                <w:sz w:val="19"/>
                <w:szCs w:val="19"/>
              </w:rPr>
              <w:t>Reduced anthocyanin intensity</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C054EFB" w14:textId="77777777" w:rsidR="00527DD4" w:rsidRDefault="00C40E16">
            <w:proofErr w:type="spellStart"/>
            <w:r>
              <w:rPr>
                <w:rFonts w:cs="Arial"/>
                <w:sz w:val="19"/>
                <w:szCs w:val="19"/>
              </w:rPr>
              <w:t>Kishi-Kaboshi</w:t>
            </w:r>
            <w:proofErr w:type="spellEnd"/>
            <w:r>
              <w:rPr>
                <w:rFonts w:cs="Arial"/>
                <w:sz w:val="19"/>
                <w:szCs w:val="19"/>
              </w:rPr>
              <w:t xml:space="preserve"> et al., 2017</w:t>
            </w:r>
          </w:p>
        </w:tc>
      </w:tr>
      <w:tr w:rsidR="00527DD4" w14:paraId="0CD8F439"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29D0118" w14:textId="77777777" w:rsidR="00527DD4" w:rsidRDefault="00C40E16">
            <w:r>
              <w:rPr>
                <w:rFonts w:cs="Arial"/>
                <w:sz w:val="19"/>
                <w:szCs w:val="19"/>
              </w:rPr>
              <w:t>Morning glory (Ipomoea nil)</w:t>
            </w:r>
          </w:p>
        </w:tc>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3FAB5E" w14:textId="77777777" w:rsidR="00527DD4" w:rsidRDefault="00C40E16">
            <w:proofErr w:type="spellStart"/>
            <w:r>
              <w:rPr>
                <w:rFonts w:cs="Arial"/>
                <w:sz w:val="19"/>
                <w:szCs w:val="19"/>
              </w:rPr>
              <w:t>Color</w:t>
            </w:r>
            <w:proofErr w:type="spellEnd"/>
            <w:r>
              <w:rPr>
                <w:rFonts w:cs="Arial"/>
                <w:sz w:val="19"/>
                <w:szCs w:val="19"/>
              </w:rPr>
              <w:t xml:space="preserve"> patterning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9E1116" w14:textId="77777777" w:rsidR="00527DD4" w:rsidRDefault="00C40E16">
            <w:r>
              <w:rPr>
                <w:rFonts w:cs="Arial"/>
                <w:sz w:val="19"/>
                <w:szCs w:val="19"/>
              </w:rPr>
              <w:t>CRISPR/Cas9 InWDR1</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8024DF6" w14:textId="77777777" w:rsidR="00527DD4" w:rsidRDefault="00C40E16">
            <w:r>
              <w:rPr>
                <w:rFonts w:cs="Arial"/>
                <w:sz w:val="19"/>
                <w:szCs w:val="19"/>
              </w:rPr>
              <w:t>Altered MBW complex activity</w:t>
            </w:r>
          </w:p>
        </w:tc>
        <w:tc>
          <w:tcPr>
            <w:tcW w:w="17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B75AF76" w14:textId="77777777" w:rsidR="00527DD4" w:rsidRDefault="00C40E16">
            <w:r>
              <w:rPr>
                <w:rFonts w:cs="Arial"/>
                <w:sz w:val="19"/>
                <w:szCs w:val="19"/>
              </w:rPr>
              <w:t>Hoshino et al., 2020</w:t>
            </w:r>
          </w:p>
        </w:tc>
      </w:tr>
      <w:tr w:rsidR="00527DD4" w14:paraId="1B73DBEE"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7A1DE494" w14:textId="77777777" w:rsidR="00527DD4" w:rsidRDefault="00C40E16">
            <w:r>
              <w:rPr>
                <w:rFonts w:cs="Arial"/>
                <w:sz w:val="19"/>
                <w:szCs w:val="19"/>
              </w:rPr>
              <w:t>Lily (Lilium spp.)</w:t>
            </w:r>
          </w:p>
        </w:tc>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7D6F29B" w14:textId="77777777" w:rsidR="00527DD4" w:rsidRDefault="00C40E16">
            <w:r>
              <w:rPr>
                <w:rFonts w:cs="Arial"/>
                <w:sz w:val="19"/>
                <w:szCs w:val="19"/>
              </w:rPr>
              <w:t xml:space="preserve">Orange </w:t>
            </w:r>
            <w:proofErr w:type="spellStart"/>
            <w:r>
              <w:rPr>
                <w:rFonts w:cs="Arial"/>
                <w:sz w:val="19"/>
                <w:szCs w:val="19"/>
              </w:rPr>
              <w:t>color</w:t>
            </w:r>
            <w:proofErr w:type="spellEnd"/>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C26136E" w14:textId="77777777" w:rsidR="00527DD4" w:rsidRDefault="00C40E16">
            <w:r>
              <w:rPr>
                <w:rFonts w:cs="Arial"/>
                <w:sz w:val="19"/>
                <w:szCs w:val="19"/>
              </w:rPr>
              <w:t>Beta-carotene ketolase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BC424C0" w14:textId="77777777" w:rsidR="00527DD4" w:rsidRDefault="00C40E16">
            <w:r>
              <w:rPr>
                <w:rFonts w:cs="Arial"/>
                <w:sz w:val="19"/>
                <w:szCs w:val="19"/>
              </w:rPr>
              <w:t>Ketocarotenoid accumulation</w:t>
            </w:r>
          </w:p>
        </w:tc>
        <w:tc>
          <w:tcPr>
            <w:tcW w:w="17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EC29FA8" w14:textId="77777777" w:rsidR="00527DD4" w:rsidRDefault="00C40E16">
            <w:r>
              <w:rPr>
                <w:rFonts w:cs="Arial"/>
                <w:sz w:val="19"/>
                <w:szCs w:val="19"/>
              </w:rPr>
              <w:t>Mann et al., 2012</w:t>
            </w:r>
          </w:p>
        </w:tc>
      </w:tr>
    </w:tbl>
    <w:p w14:paraId="46C90284" w14:textId="77777777" w:rsidR="00527DD4" w:rsidRDefault="00527DD4">
      <w:pPr>
        <w:spacing w:before="60" w:after="60"/>
      </w:pPr>
    </w:p>
    <w:p w14:paraId="28725F9E" w14:textId="77777777" w:rsidR="00527DD4" w:rsidRDefault="00C40E16">
      <w:pPr>
        <w:pStyle w:val="Heading1"/>
        <w:pBdr>
          <w:bottom w:val="single" w:sz="8" w:space="4" w:color="2E8B57"/>
        </w:pBdr>
      </w:pPr>
      <w:r>
        <w:t>3. Biotechnological Modification of Floral Fragrance</w:t>
      </w:r>
    </w:p>
    <w:p w14:paraId="46CAE5D2" w14:textId="77777777" w:rsidR="00527DD4" w:rsidRDefault="00C40E16">
      <w:pPr>
        <w:pStyle w:val="Heading2"/>
      </w:pPr>
      <w:r>
        <w:t>3.1 Biochemical Basis of Floral Scent</w:t>
      </w:r>
    </w:p>
    <w:p w14:paraId="70DF96AF" w14:textId="77777777" w:rsidR="00527DD4" w:rsidRDefault="00C40E16">
      <w:pPr>
        <w:spacing w:before="60" w:after="120" w:line="360" w:lineRule="auto"/>
        <w:jc w:val="both"/>
      </w:pPr>
      <w:r>
        <w:rPr>
          <w:rFonts w:cs="Arial"/>
        </w:rPr>
        <w:t>Floral fragrance is a complex trait governed by the emission of a diverse array of volatile organic compounds (VOCs). Over 1,700 volatile compounds have been identified from flowers of various species. These can be classified into three major biosynthetic groups: (1) terpenoids (monoterpenes and sesquiterpenes) derived from the MEP and MVA pathways; (2) benzenoid/phenylpropanoid volatiles derived from phenylalanine via the general phenylpropanoid pathway; and (3) fatty acid-derived volatiles produced through lipoxygenase (LOX) cascades and beta-oxidation pathways.</w:t>
      </w:r>
    </w:p>
    <w:p w14:paraId="4CA498E8" w14:textId="77777777" w:rsidR="00527DD4" w:rsidRDefault="00C40E16">
      <w:pPr>
        <w:spacing w:before="60" w:after="120" w:line="360" w:lineRule="auto"/>
        <w:jc w:val="both"/>
      </w:pPr>
      <w:r>
        <w:rPr>
          <w:rFonts w:cs="Arial"/>
        </w:rPr>
        <w:t xml:space="preserve">Key volatile compounds include linalool, geraniol, and beta-ocimene (terpenoids); benzyl alcohol, </w:t>
      </w:r>
      <w:proofErr w:type="spellStart"/>
      <w:r>
        <w:rPr>
          <w:rFonts w:cs="Arial"/>
        </w:rPr>
        <w:t>methylbenzoate</w:t>
      </w:r>
      <w:proofErr w:type="spellEnd"/>
      <w:r>
        <w:rPr>
          <w:rFonts w:cs="Arial"/>
        </w:rPr>
        <w:t>, phenylethyl alcohol, and eugenol (benzenoids); and cis-3-hexen-1-ol and cis-3-hexenyl acetate (fatty acid derivatives). The temporal and spatial patterns of volatile emission are tightly regulated at transcriptional and post-translational levels, often correlating with pollinator activity cycles. Many modern ornamental cultivars have lost fragrance during intensive breeding for visual traits and postharvest characteristics.</w:t>
      </w:r>
    </w:p>
    <w:p w14:paraId="618AD452" w14:textId="77777777" w:rsidR="00527DD4" w:rsidRDefault="00C40E16">
      <w:pPr>
        <w:pStyle w:val="Heading2"/>
      </w:pPr>
      <w:r>
        <w:t>3.2 Restoring and Enhancing Floral Scent</w:t>
      </w:r>
    </w:p>
    <w:p w14:paraId="2600380A" w14:textId="77777777" w:rsidR="00527DD4" w:rsidRDefault="00C40E16">
      <w:pPr>
        <w:spacing w:before="60" w:after="120" w:line="360" w:lineRule="auto"/>
        <w:jc w:val="both"/>
      </w:pPr>
      <w:r>
        <w:rPr>
          <w:rFonts w:cs="Arial"/>
        </w:rPr>
        <w:t>One of the primary biotechnological objectives in ornamental fragrance research is restoring scent to cultivars that have lost it. In rose, the decline of fragrance in modern florist roses has been extensively documented. Zuker et al. (2002) demonstrated the first introduction of a novel scent compound — linalool — into carnation by overexpressing a linalool synthase gene from Clarkia breweri, resulting in the accumulation and emission of linalool and its derivatives from transgenic flowers.</w:t>
      </w:r>
    </w:p>
    <w:p w14:paraId="7172A0D6" w14:textId="77777777" w:rsidR="00527DD4" w:rsidRDefault="00C40E16">
      <w:pPr>
        <w:spacing w:before="60" w:after="120" w:line="360" w:lineRule="auto"/>
        <w:jc w:val="both"/>
      </w:pPr>
      <w:r>
        <w:rPr>
          <w:rFonts w:cs="Arial"/>
        </w:rPr>
        <w:lastRenderedPageBreak/>
        <w:t>Subsequent work in rose demonstrated that phenylethyl alcohol, responsible for the characteristic 'rose scent,' is synthesized via phenylacetaldehyde synthase (PAAS) acting on L-phenylalanine. Transformation with rose PAAS and related pathway genes in scentless cultivars partially restored volatile emission. In petunia, overexpression of Clarkia breweri linalool synthase (LIS) under a floral-specific promoter significantly increased linalool emission without pleiotropic vegetative effects.</w:t>
      </w:r>
    </w:p>
    <w:p w14:paraId="55911D57" w14:textId="77777777" w:rsidR="00527DD4" w:rsidRDefault="00C40E16">
      <w:pPr>
        <w:pStyle w:val="Heading2"/>
      </w:pPr>
      <w:r>
        <w:t>3.3 Engineering Novel Fragrance Profiles</w:t>
      </w:r>
    </w:p>
    <w:p w14:paraId="3B1F6627" w14:textId="77777777" w:rsidR="00527DD4" w:rsidRDefault="00C40E16">
      <w:pPr>
        <w:spacing w:before="60" w:after="120" w:line="360" w:lineRule="auto"/>
        <w:jc w:val="both"/>
      </w:pPr>
      <w:r>
        <w:rPr>
          <w:rFonts w:cs="Arial"/>
        </w:rPr>
        <w:t>Beyond restoration, biotechnological approaches have been used to create novel fragrance profiles not found in the parent species. Heterologous expression of terpene synthases from non-floral or non-plant sources has introduced entirely new volatile blends. Shalit et al. (2003) demonstrated that expression of a geraniol synthase from basil in carnation led to emission of geraniol and related terpenoids, conferring a citrus-rose scent character. Engineering of the methyl erythritol phosphate (MEP) pathway by overexpression of 1-deoxy-D-xylulose-5-phosphate synthase (DXS) has been shown to increase the supply of terpenoid precursors, boosting overall terpene volatile emission.</w:t>
      </w:r>
    </w:p>
    <w:p w14:paraId="3E9EADF3" w14:textId="77777777" w:rsidR="00527DD4" w:rsidRDefault="00C40E16">
      <w:pPr>
        <w:spacing w:before="60" w:after="120" w:line="360" w:lineRule="auto"/>
        <w:jc w:val="both"/>
      </w:pPr>
      <w:r>
        <w:rPr>
          <w:rFonts w:cs="Arial"/>
        </w:rPr>
        <w:t>Metabolic engineering of benzenoid volatile production has also been achieved. Expression of rose BPBT (</w:t>
      </w:r>
      <w:proofErr w:type="spellStart"/>
      <w:r>
        <w:rPr>
          <w:rFonts w:cs="Arial"/>
        </w:rPr>
        <w:t>benzoyl-</w:t>
      </w:r>
      <w:proofErr w:type="gramStart"/>
      <w:r>
        <w:rPr>
          <w:rFonts w:cs="Arial"/>
        </w:rPr>
        <w:t>CoA:benzyl</w:t>
      </w:r>
      <w:proofErr w:type="spellEnd"/>
      <w:proofErr w:type="gramEnd"/>
      <w:r>
        <w:rPr>
          <w:rFonts w:cs="Arial"/>
        </w:rPr>
        <w:t xml:space="preserve"> alcohol/</w:t>
      </w:r>
      <w:proofErr w:type="spellStart"/>
      <w:r>
        <w:rPr>
          <w:rFonts w:cs="Arial"/>
        </w:rPr>
        <w:t>phenylethanol</w:t>
      </w:r>
      <w:proofErr w:type="spellEnd"/>
      <w:r>
        <w:rPr>
          <w:rFonts w:cs="Arial"/>
        </w:rPr>
        <w:t xml:space="preserve"> </w:t>
      </w:r>
      <w:proofErr w:type="spellStart"/>
      <w:r>
        <w:rPr>
          <w:rFonts w:cs="Arial"/>
        </w:rPr>
        <w:t>benzoyltransferase</w:t>
      </w:r>
      <w:proofErr w:type="spellEnd"/>
      <w:r>
        <w:rPr>
          <w:rFonts w:cs="Arial"/>
        </w:rPr>
        <w:t>) and BEAT (benzyl alcohol acetyltransferase) in petunia altered the ratio of benzyl benzoate to benzyl acetate in emitted volatiles, demonstrating the feasibility of pathway flux redirection. Recent synthetic biology approaches have proposed modular pathway engineering strategies combining multiple volatile biosynthetic genes under carefully orchestrated spatial and temporal transcriptional control to achieve complex, designer fragrance profiles.</w:t>
      </w:r>
    </w:p>
    <w:p w14:paraId="68841D90" w14:textId="77777777" w:rsidR="00527DD4" w:rsidRDefault="00C40E16">
      <w:pPr>
        <w:pStyle w:val="Heading2"/>
      </w:pPr>
      <w:r>
        <w:t>3.4 Reducing Allergenic and Undesirable Volatiles</w:t>
      </w:r>
    </w:p>
    <w:p w14:paraId="2F6F18CC" w14:textId="77777777" w:rsidR="00527DD4" w:rsidRDefault="00C40E16">
      <w:pPr>
        <w:spacing w:before="60" w:after="120" w:line="360" w:lineRule="auto"/>
        <w:jc w:val="both"/>
      </w:pPr>
      <w:r>
        <w:rPr>
          <w:rFonts w:cs="Arial"/>
        </w:rPr>
        <w:t>Certain volatile compounds, while contributing to fragrance complexity, are associated with allergenicity or consumer-perceived unpleasantness. Eugenol, for example, is a major allergen in some individuals. RNAi-mediated silencing of eugenol synthase genes has been demonstrated in petunia, significantly reducing eugenol emission without abolishing overall scent. Similar strategies could be applied to reduce known allergens such as farnesol and limonene in ornamental species. This represents a largely unexplored but commercially important avenue for fragrance biotechnology.</w:t>
      </w:r>
    </w:p>
    <w:p w14:paraId="54170AC6" w14:textId="77777777" w:rsidR="00527DD4" w:rsidRDefault="00C40E16">
      <w:pPr>
        <w:pStyle w:val="Heading1"/>
        <w:pBdr>
          <w:bottom w:val="single" w:sz="8" w:space="4" w:color="2E8B57"/>
        </w:pBdr>
      </w:pPr>
      <w:r>
        <w:t>4. Biotechnological Extension of Vase Life</w:t>
      </w:r>
    </w:p>
    <w:p w14:paraId="13051E68" w14:textId="77777777" w:rsidR="00527DD4" w:rsidRDefault="00C40E16">
      <w:pPr>
        <w:pStyle w:val="Heading2"/>
      </w:pPr>
      <w:r>
        <w:t>4.1 Biology of Postharvest Flower Senescence</w:t>
      </w:r>
    </w:p>
    <w:p w14:paraId="466C3267" w14:textId="77777777" w:rsidR="00527DD4" w:rsidRDefault="00C40E16">
      <w:pPr>
        <w:spacing w:before="60" w:after="120" w:line="360" w:lineRule="auto"/>
        <w:jc w:val="both"/>
      </w:pPr>
      <w:r>
        <w:rPr>
          <w:rFonts w:cs="Arial"/>
        </w:rPr>
        <w:lastRenderedPageBreak/>
        <w:t>Postharvest vase life — defined as the duration from harvest to decorative or functional failure — is a critical commercial parameter for cut flower industries. The primary drivers of vase life limitation are: (1) ethylene-mediated petal senescence; (2) water stress due to xylem blockage by microbial proliferation and embolism; (3) pathogen infection; and (4) nutrient depletion. Of these, ethylene is by far the most extensively studied and commercially targeted factor.</w:t>
      </w:r>
    </w:p>
    <w:p w14:paraId="3FD68338" w14:textId="77777777" w:rsidR="00527DD4" w:rsidRDefault="00C40E16">
      <w:pPr>
        <w:spacing w:before="60" w:after="120" w:line="360" w:lineRule="auto"/>
        <w:jc w:val="both"/>
      </w:pPr>
      <w:r>
        <w:rPr>
          <w:rFonts w:cs="Arial"/>
        </w:rPr>
        <w:t xml:space="preserve">Ethylene biosynthesis proceeds via the Yang cycle: S-adenosylmethionine (SAM) is converted to 1-aminocyclopropane-1-carboxylic acid (ACC) by ACC synthase (ACS), and ACC is oxidized to ethylene by ACC oxidase (ACO). Ethylene is perceived by a family of membrane-localized receptors (ETR1, ERS1, EIN4, ETR2, ERS2), which regulate downstream </w:t>
      </w:r>
      <w:proofErr w:type="spellStart"/>
      <w:r>
        <w:rPr>
          <w:rFonts w:cs="Arial"/>
        </w:rPr>
        <w:t>signaling</w:t>
      </w:r>
      <w:proofErr w:type="spellEnd"/>
      <w:r>
        <w:rPr>
          <w:rFonts w:cs="Arial"/>
        </w:rPr>
        <w:t xml:space="preserve"> through CTR1, EIN2, and the transcription factors EIN3/EIL1. Petal senescence involves activation of cell-wall-degrading enzymes, </w:t>
      </w:r>
      <w:proofErr w:type="spellStart"/>
      <w:r>
        <w:rPr>
          <w:rFonts w:cs="Arial"/>
        </w:rPr>
        <w:t>vacuolar</w:t>
      </w:r>
      <w:proofErr w:type="spellEnd"/>
      <w:r>
        <w:rPr>
          <w:rFonts w:cs="Arial"/>
        </w:rPr>
        <w:t xml:space="preserve"> collapse, chlorophyll degradation, and programmed cell death.</w:t>
      </w:r>
    </w:p>
    <w:p w14:paraId="2374C11B" w14:textId="77777777" w:rsidR="00527DD4" w:rsidRDefault="00C40E16">
      <w:pPr>
        <w:pStyle w:val="Heading2"/>
      </w:pPr>
      <w:r>
        <w:t>4.2 Ethylene Pathway Manipulation</w:t>
      </w:r>
    </w:p>
    <w:p w14:paraId="5120E068" w14:textId="77777777" w:rsidR="00527DD4" w:rsidRDefault="00C40E16">
      <w:pPr>
        <w:spacing w:before="60" w:after="120" w:line="360" w:lineRule="auto"/>
        <w:jc w:val="both"/>
      </w:pPr>
      <w:r>
        <w:rPr>
          <w:rFonts w:cs="Arial"/>
        </w:rPr>
        <w:t>The seminal work of Wilkinson et al. (1997) demonstrated that expression of a dominant-negative, mutated Arabidopsis ethylene receptor gene (etr1-1) in petunia produced plants with dramatically reduced ethylene sensitivity, resulting in flowers that remained turgid and pigmented for two to three times longer than wild-type. Subsequent transformation of this construct into carnation, torenia, and other ornamentals consistently demonstrated vase life extension ranging from 50% to 300%.</w:t>
      </w:r>
    </w:p>
    <w:p w14:paraId="754DC713" w14:textId="77777777" w:rsidR="00527DD4" w:rsidRDefault="00C40E16">
      <w:pPr>
        <w:spacing w:before="60" w:after="120" w:line="360" w:lineRule="auto"/>
        <w:jc w:val="both"/>
      </w:pPr>
      <w:r>
        <w:rPr>
          <w:rFonts w:cs="Arial"/>
        </w:rPr>
        <w:t>Suppression of ethylene biosynthetic genes has also been employed. Antisense or RNAi silencing of ACS or ACO in carnation, rose, and petunia reduced ethylene production and correspondingly extended longevity. Overexpression of S-adenosylmethionine decarboxylase (SAMDC), which competes for SAM and thus reduces ACC synthesis, has similarly been used to reduce ethylene production in transgenic ornamentals.</w:t>
      </w:r>
    </w:p>
    <w:p w14:paraId="43DB272D" w14:textId="77777777" w:rsidR="00527DD4" w:rsidRDefault="00C40E16">
      <w:pPr>
        <w:spacing w:before="60" w:after="120" w:line="360" w:lineRule="auto"/>
        <w:jc w:val="both"/>
      </w:pPr>
      <w:r>
        <w:rPr>
          <w:rFonts w:cs="Arial"/>
        </w:rPr>
        <w:t>CRISPR/Cas9-based approaches have more recently targeted ethylene receptor and biosynthesis genes. Knockout of ETR1 homologs in model systems has been achieved and characterized, paving the way for similar interventions in major ornamental crops. The advantage of CRISPR approaches includes regulatory benefits in some jurisdictions and the potential for stacking multiple ethylene pathway modifications in a single step.</w:t>
      </w:r>
    </w:p>
    <w:p w14:paraId="497ACC2E" w14:textId="77777777" w:rsidR="00527DD4" w:rsidRDefault="00C40E16">
      <w:pPr>
        <w:pStyle w:val="Heading2"/>
      </w:pPr>
      <w:r>
        <w:t>4.3 Water Relations and Vascular Patency</w:t>
      </w:r>
    </w:p>
    <w:p w14:paraId="06F7CA98" w14:textId="77777777" w:rsidR="00527DD4" w:rsidRDefault="00C40E16">
      <w:pPr>
        <w:spacing w:before="60" w:after="120" w:line="360" w:lineRule="auto"/>
        <w:jc w:val="both"/>
      </w:pPr>
      <w:r>
        <w:rPr>
          <w:rFonts w:cs="Arial"/>
        </w:rPr>
        <w:t xml:space="preserve">Post-harvest water stress arises from blockage of the xylem by microbial biofilms, wound-induced embolism, and cell-wall debris. Biotechnological strategies to improve water transport include overexpression of aquaporin genes, particularly the plasma membrane intrinsic proteins (PIPs) and tonoplast intrinsic proteins (TIPs), which facilitate trans-cellular water movement. Overexpression of </w:t>
      </w:r>
      <w:r>
        <w:rPr>
          <w:rFonts w:cs="Arial"/>
        </w:rPr>
        <w:lastRenderedPageBreak/>
        <w:t>aquaporins in carnation improved water conductance in cut stems, extending vase life. Expression of antimicrobial peptides and defensins has been explored to reduce xylem-blocking bacterial proliferation in the vase solution.</w:t>
      </w:r>
    </w:p>
    <w:p w14:paraId="6B23E070" w14:textId="77777777" w:rsidR="00527DD4" w:rsidRDefault="00C40E16">
      <w:pPr>
        <w:pStyle w:val="Heading2"/>
      </w:pPr>
      <w:r>
        <w:t>4.4 Senescence Gene Regulation</w:t>
      </w:r>
    </w:p>
    <w:p w14:paraId="5A6623DE" w14:textId="77777777" w:rsidR="00527DD4" w:rsidRDefault="00C40E16">
      <w:pPr>
        <w:spacing w:before="60" w:after="120" w:line="360" w:lineRule="auto"/>
        <w:jc w:val="both"/>
      </w:pPr>
      <w:r>
        <w:rPr>
          <w:rFonts w:cs="Arial"/>
        </w:rPr>
        <w:t>Petal senescence involves the coordinated activation of senescence-associated genes (SAGs). Key regulators include NAC and WRKY family transcription factors that control the senescence program. Suppression of petal-specific NAC transcription factors via RNAi in petunia and carnation has successfully delayed programmed cell death. Overexpression of cytokinin biosynthesis genes (IPT — isopentenyl transferase) has demonstrated delay of senescence in leaves and has been applied to petals in several ornamental species, extending ornamental life.</w:t>
      </w:r>
    </w:p>
    <w:p w14:paraId="1B7AED2B" w14:textId="77777777" w:rsidR="00527DD4" w:rsidRDefault="00C40E16">
      <w:pPr>
        <w:spacing w:before="60" w:after="120" w:line="360" w:lineRule="auto"/>
        <w:jc w:val="both"/>
      </w:pPr>
      <w:r>
        <w:rPr>
          <w:rFonts w:cs="Arial"/>
        </w:rPr>
        <w:t xml:space="preserve">Sugar </w:t>
      </w:r>
      <w:proofErr w:type="spellStart"/>
      <w:r>
        <w:rPr>
          <w:rFonts w:cs="Arial"/>
        </w:rPr>
        <w:t>signaling</w:t>
      </w:r>
      <w:proofErr w:type="spellEnd"/>
      <w:r>
        <w:rPr>
          <w:rFonts w:cs="Arial"/>
        </w:rPr>
        <w:t xml:space="preserve"> also plays a critical role in petal longevity: sucrose supply maintains turgor, fuels the electron transport chain, and modulates ethylene biosynthesis. Expression of invertase genes targeted to the apoplast of petals has been investigated as a means of maintaining sucrose availability and thereby extending petal functional life. Integration of multiple strategies — ethylene suppression, aquaporin enhancement, and sugar supply improvement — represents the most promising approach for comprehensive vase life engineering.</w:t>
      </w:r>
    </w:p>
    <w:p w14:paraId="55E94537" w14:textId="77777777" w:rsidR="00527DD4" w:rsidRDefault="00527DD4">
      <w:pPr>
        <w:spacing w:before="60" w:after="60"/>
      </w:pPr>
    </w:p>
    <w:p w14:paraId="71112A77" w14:textId="77777777" w:rsidR="00527DD4" w:rsidRDefault="00C40E16">
      <w:pPr>
        <w:spacing w:before="160" w:after="80"/>
        <w:jc w:val="center"/>
      </w:pPr>
      <w:r>
        <w:rPr>
          <w:rFonts w:cs="Arial"/>
          <w:b/>
          <w:bCs/>
          <w:color w:val="1F5C2E"/>
          <w:sz w:val="21"/>
          <w:szCs w:val="21"/>
        </w:rPr>
        <w:t>Table 2. Biotechnological Approaches to Vase Life Extension in Ornamental Plants</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900"/>
        <w:gridCol w:w="2000"/>
        <w:gridCol w:w="1960"/>
        <w:gridCol w:w="1700"/>
      </w:tblGrid>
      <w:tr w:rsidR="00527DD4" w14:paraId="488D2827" w14:textId="77777777">
        <w:trPr>
          <w:tblHeader/>
        </w:trPr>
        <w:tc>
          <w:tcPr>
            <w:tcW w:w="18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A970F1E" w14:textId="77777777" w:rsidR="00527DD4" w:rsidRDefault="00C40E16">
            <w:pPr>
              <w:jc w:val="center"/>
            </w:pPr>
            <w:r>
              <w:rPr>
                <w:rFonts w:cs="Arial"/>
                <w:b/>
                <w:bCs/>
                <w:color w:val="FFFFFF"/>
                <w:sz w:val="20"/>
                <w:szCs w:val="20"/>
              </w:rPr>
              <w:t>Species</w:t>
            </w:r>
          </w:p>
        </w:tc>
        <w:tc>
          <w:tcPr>
            <w:tcW w:w="19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502BBD5A" w14:textId="77777777" w:rsidR="00527DD4" w:rsidRDefault="00C40E16">
            <w:pPr>
              <w:jc w:val="center"/>
            </w:pPr>
            <w:r>
              <w:rPr>
                <w:rFonts w:cs="Arial"/>
                <w:b/>
                <w:bCs/>
                <w:color w:val="FFFFFF"/>
                <w:sz w:val="20"/>
                <w:szCs w:val="20"/>
              </w:rPr>
              <w:t>Strategy</w:t>
            </w:r>
          </w:p>
        </w:tc>
        <w:tc>
          <w:tcPr>
            <w:tcW w:w="20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390BFC2A" w14:textId="77777777" w:rsidR="00527DD4" w:rsidRDefault="00C40E16">
            <w:pPr>
              <w:jc w:val="center"/>
            </w:pPr>
            <w:r>
              <w:rPr>
                <w:rFonts w:cs="Arial"/>
                <w:b/>
                <w:bCs/>
                <w:color w:val="FFFFFF"/>
                <w:sz w:val="20"/>
                <w:szCs w:val="20"/>
              </w:rPr>
              <w:t>Gene(s) Targeted</w:t>
            </w:r>
          </w:p>
        </w:tc>
        <w:tc>
          <w:tcPr>
            <w:tcW w:w="196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1BD5A243" w14:textId="77777777" w:rsidR="00527DD4" w:rsidRDefault="00C40E16">
            <w:pPr>
              <w:jc w:val="center"/>
            </w:pPr>
            <w:r>
              <w:rPr>
                <w:rFonts w:cs="Arial"/>
                <w:b/>
                <w:bCs/>
                <w:color w:val="FFFFFF"/>
                <w:sz w:val="20"/>
                <w:szCs w:val="20"/>
              </w:rPr>
              <w:t>Result</w:t>
            </w:r>
          </w:p>
        </w:tc>
        <w:tc>
          <w:tcPr>
            <w:tcW w:w="1700" w:type="dxa"/>
            <w:tcBorders>
              <w:top w:val="single" w:sz="1" w:space="0" w:color="1F5C2E"/>
              <w:left w:val="single" w:sz="1" w:space="0" w:color="1F5C2E"/>
              <w:bottom w:val="single" w:sz="1" w:space="0" w:color="1F5C2E"/>
              <w:right w:val="single" w:sz="1" w:space="0" w:color="1F5C2E"/>
            </w:tcBorders>
            <w:shd w:val="clear" w:color="auto" w:fill="1F5C2E"/>
            <w:tcMar>
              <w:top w:w="100" w:type="dxa"/>
              <w:left w:w="150" w:type="dxa"/>
              <w:bottom w:w="100" w:type="dxa"/>
              <w:right w:w="150" w:type="dxa"/>
            </w:tcMar>
          </w:tcPr>
          <w:p w14:paraId="6DBEB75C" w14:textId="77777777" w:rsidR="00527DD4" w:rsidRDefault="00C40E16">
            <w:pPr>
              <w:jc w:val="center"/>
            </w:pPr>
            <w:r>
              <w:rPr>
                <w:rFonts w:cs="Arial"/>
                <w:b/>
                <w:bCs/>
                <w:color w:val="FFFFFF"/>
                <w:sz w:val="20"/>
                <w:szCs w:val="20"/>
              </w:rPr>
              <w:t>Reference</w:t>
            </w:r>
          </w:p>
        </w:tc>
      </w:tr>
      <w:tr w:rsidR="00527DD4" w14:paraId="4619C415"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A4A3103"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B473FEB" w14:textId="77777777" w:rsidR="00527DD4" w:rsidRDefault="00C40E16">
            <w:r>
              <w:rPr>
                <w:rFonts w:cs="Arial"/>
                <w:sz w:val="19"/>
                <w:szCs w:val="19"/>
              </w:rPr>
              <w:t>Ethylene insensitivity</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76BEF91" w14:textId="77777777" w:rsidR="00527DD4" w:rsidRDefault="00C40E16">
            <w:r>
              <w:rPr>
                <w:rFonts w:cs="Arial"/>
                <w:sz w:val="19"/>
                <w:szCs w:val="19"/>
              </w:rPr>
              <w:t>etr1-1 (dominant negative)</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42D2554F" w14:textId="77777777" w:rsidR="00527DD4" w:rsidRDefault="00C40E16">
            <w:r>
              <w:rPr>
                <w:rFonts w:cs="Arial"/>
                <w:sz w:val="19"/>
                <w:szCs w:val="19"/>
              </w:rPr>
              <w:t>2-3x longer vase life</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A1F840E" w14:textId="77777777" w:rsidR="00527DD4" w:rsidRDefault="00C40E16">
            <w:r>
              <w:rPr>
                <w:rFonts w:cs="Arial"/>
                <w:sz w:val="19"/>
                <w:szCs w:val="19"/>
              </w:rPr>
              <w:t>Wilkinson et al., 1997</w:t>
            </w:r>
          </w:p>
        </w:tc>
      </w:tr>
      <w:tr w:rsidR="00527DD4" w14:paraId="546B1D91"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5843FE7" w14:textId="77777777" w:rsidR="00527DD4" w:rsidRDefault="00C40E16">
            <w:r>
              <w:rPr>
                <w:rFonts w:cs="Arial"/>
                <w:sz w:val="19"/>
                <w:szCs w:val="19"/>
              </w:rPr>
              <w:t xml:space="preserve">Carnation (D. </w:t>
            </w:r>
            <w:proofErr w:type="spellStart"/>
            <w:r>
              <w:rPr>
                <w:rFonts w:cs="Arial"/>
                <w:sz w:val="19"/>
                <w:szCs w:val="19"/>
              </w:rPr>
              <w:t>caryophyllus</w:t>
            </w:r>
            <w:proofErr w:type="spellEnd"/>
            <w:r>
              <w:rPr>
                <w:rFonts w:cs="Arial"/>
                <w:sz w:val="19"/>
                <w:szCs w:val="19"/>
              </w:rPr>
              <w:t>)</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D947ECD" w14:textId="77777777" w:rsidR="00527DD4" w:rsidRDefault="00C40E16">
            <w:r>
              <w:rPr>
                <w:rFonts w:cs="Arial"/>
                <w:sz w:val="19"/>
                <w:szCs w:val="19"/>
              </w:rPr>
              <w:t>ACO suppression (antisense)</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4D137F1" w14:textId="77777777" w:rsidR="00527DD4" w:rsidRDefault="00C40E16">
            <w:r>
              <w:rPr>
                <w:rFonts w:cs="Arial"/>
                <w:sz w:val="19"/>
                <w:szCs w:val="19"/>
              </w:rPr>
              <w:t>DCARCO1 antisense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95BFE9A" w14:textId="77777777" w:rsidR="00527DD4" w:rsidRDefault="00C40E16">
            <w:r>
              <w:rPr>
                <w:rFonts w:cs="Arial"/>
                <w:sz w:val="19"/>
                <w:szCs w:val="19"/>
              </w:rPr>
              <w:t>~50% ethylene reduction</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94342EB" w14:textId="77777777" w:rsidR="00527DD4" w:rsidRDefault="00C40E16">
            <w:r>
              <w:rPr>
                <w:rFonts w:cs="Arial"/>
                <w:sz w:val="19"/>
                <w:szCs w:val="19"/>
              </w:rPr>
              <w:t>Savin et al., 1995</w:t>
            </w:r>
          </w:p>
        </w:tc>
      </w:tr>
      <w:tr w:rsidR="00527DD4" w14:paraId="094CE65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C5A289B" w14:textId="77777777" w:rsidR="00527DD4" w:rsidRDefault="00C40E16">
            <w:r>
              <w:rPr>
                <w:rFonts w:cs="Arial"/>
                <w:sz w:val="19"/>
                <w:szCs w:val="19"/>
              </w:rPr>
              <w:t>Rose (Rosa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19D48F7D" w14:textId="77777777" w:rsidR="00527DD4" w:rsidRDefault="00C40E16">
            <w:r>
              <w:rPr>
                <w:rFonts w:cs="Arial"/>
                <w:sz w:val="19"/>
                <w:szCs w:val="19"/>
              </w:rPr>
              <w:t>ACS RNAi silencing</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A916556" w14:textId="77777777" w:rsidR="00527DD4" w:rsidRDefault="00C40E16">
            <w:r>
              <w:rPr>
                <w:rFonts w:cs="Arial"/>
                <w:sz w:val="19"/>
                <w:szCs w:val="19"/>
              </w:rPr>
              <w:t>RhACS1/RhACS2</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06E94D31" w14:textId="77777777" w:rsidR="00527DD4" w:rsidRDefault="00C40E16">
            <w:r>
              <w:rPr>
                <w:rFonts w:cs="Arial"/>
                <w:sz w:val="19"/>
                <w:szCs w:val="19"/>
              </w:rPr>
              <w:t>Delayed petal abscission</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3F430613" w14:textId="77777777" w:rsidR="00527DD4" w:rsidRDefault="00C40E16">
            <w:r>
              <w:rPr>
                <w:rFonts w:cs="Arial"/>
                <w:sz w:val="19"/>
                <w:szCs w:val="19"/>
              </w:rPr>
              <w:t>Muller et al., 2008</w:t>
            </w:r>
          </w:p>
        </w:tc>
      </w:tr>
      <w:tr w:rsidR="00527DD4" w14:paraId="44B9A662"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662E40FE" w14:textId="77777777" w:rsidR="00527DD4" w:rsidRDefault="00C40E16">
            <w:r>
              <w:rPr>
                <w:rFonts w:cs="Arial"/>
                <w:sz w:val="19"/>
                <w:szCs w:val="19"/>
              </w:rPr>
              <w:t>Carnation</w:t>
            </w:r>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17804DDB" w14:textId="77777777" w:rsidR="00527DD4" w:rsidRDefault="00C40E16">
            <w:r>
              <w:rPr>
                <w:rFonts w:cs="Arial"/>
                <w:sz w:val="19"/>
                <w:szCs w:val="19"/>
              </w:rPr>
              <w:t>Aquaporin overexpression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30378E85" w14:textId="77777777" w:rsidR="00527DD4" w:rsidRDefault="00C40E16">
            <w:r>
              <w:rPr>
                <w:rFonts w:cs="Arial"/>
                <w:sz w:val="19"/>
                <w:szCs w:val="19"/>
              </w:rPr>
              <w:t>AtNIP2;1</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5E63547D" w14:textId="77777777" w:rsidR="00527DD4" w:rsidRDefault="00C40E16">
            <w:r>
              <w:rPr>
                <w:rFonts w:cs="Arial"/>
                <w:sz w:val="19"/>
                <w:szCs w:val="19"/>
              </w:rPr>
              <w:t>Improved water uptake</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3AD26E3" w14:textId="77777777" w:rsidR="00527DD4" w:rsidRDefault="00C40E16">
            <w:r>
              <w:rPr>
                <w:rFonts w:cs="Arial"/>
                <w:sz w:val="19"/>
                <w:szCs w:val="19"/>
              </w:rPr>
              <w:t>Sade et al., 2009</w:t>
            </w:r>
          </w:p>
        </w:tc>
      </w:tr>
      <w:tr w:rsidR="00527DD4" w14:paraId="5D59598D" w14:textId="77777777">
        <w:tc>
          <w:tcPr>
            <w:tcW w:w="18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2130E83A" w14:textId="77777777" w:rsidR="00527DD4" w:rsidRDefault="00C40E16">
            <w:r>
              <w:rPr>
                <w:rFonts w:cs="Arial"/>
                <w:sz w:val="19"/>
                <w:szCs w:val="19"/>
              </w:rPr>
              <w:t>Petunia hybrida</w:t>
            </w:r>
          </w:p>
        </w:tc>
        <w:tc>
          <w:tcPr>
            <w:tcW w:w="19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C49BEC0" w14:textId="77777777" w:rsidR="00527DD4" w:rsidRDefault="00C40E16">
            <w:r>
              <w:rPr>
                <w:rFonts w:cs="Arial"/>
                <w:sz w:val="19"/>
                <w:szCs w:val="19"/>
              </w:rPr>
              <w:t>SAG suppression (RNAi)</w:t>
            </w:r>
          </w:p>
        </w:tc>
        <w:tc>
          <w:tcPr>
            <w:tcW w:w="20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427C91A" w14:textId="77777777" w:rsidR="00527DD4" w:rsidRDefault="00C40E16">
            <w:r>
              <w:rPr>
                <w:rFonts w:cs="Arial"/>
                <w:sz w:val="19"/>
                <w:szCs w:val="19"/>
              </w:rPr>
              <w:t>NAC transcription factors</w:t>
            </w:r>
          </w:p>
        </w:tc>
        <w:tc>
          <w:tcPr>
            <w:tcW w:w="196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55AE64D" w14:textId="77777777" w:rsidR="00527DD4" w:rsidRDefault="00C40E16">
            <w:r>
              <w:rPr>
                <w:rFonts w:cs="Arial"/>
                <w:sz w:val="19"/>
                <w:szCs w:val="19"/>
              </w:rPr>
              <w:t>Delayed programmed cell death</w:t>
            </w:r>
          </w:p>
        </w:tc>
        <w:tc>
          <w:tcPr>
            <w:tcW w:w="1700" w:type="dxa"/>
            <w:tcBorders>
              <w:top w:val="single" w:sz="1" w:space="0" w:color="CCCCCC"/>
              <w:left w:val="single" w:sz="1" w:space="0" w:color="CCCCCC"/>
              <w:bottom w:val="single" w:sz="1" w:space="0" w:color="CCCCCC"/>
              <w:right w:val="single" w:sz="1" w:space="0" w:color="CCCCCC"/>
            </w:tcBorders>
            <w:shd w:val="clear" w:color="auto" w:fill="F1F8F2"/>
            <w:tcMar>
              <w:top w:w="100" w:type="dxa"/>
              <w:left w:w="150" w:type="dxa"/>
              <w:bottom w:w="100" w:type="dxa"/>
              <w:right w:w="150" w:type="dxa"/>
            </w:tcMar>
          </w:tcPr>
          <w:p w14:paraId="6B41FB7A" w14:textId="77777777" w:rsidR="00527DD4" w:rsidRDefault="00C40E16">
            <w:r>
              <w:rPr>
                <w:rFonts w:cs="Arial"/>
                <w:sz w:val="19"/>
                <w:szCs w:val="19"/>
              </w:rPr>
              <w:t>Chang et al., 2014</w:t>
            </w:r>
          </w:p>
        </w:tc>
      </w:tr>
      <w:tr w:rsidR="00527DD4" w14:paraId="53449974" w14:textId="77777777">
        <w:tc>
          <w:tcPr>
            <w:tcW w:w="18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7CD5528" w14:textId="77777777" w:rsidR="00527DD4" w:rsidRDefault="00C40E16">
            <w:proofErr w:type="spellStart"/>
            <w:r>
              <w:rPr>
                <w:rFonts w:cs="Arial"/>
                <w:sz w:val="19"/>
                <w:szCs w:val="19"/>
              </w:rPr>
              <w:t>Torenia</w:t>
            </w:r>
            <w:proofErr w:type="spellEnd"/>
            <w:r>
              <w:rPr>
                <w:rFonts w:cs="Arial"/>
                <w:sz w:val="19"/>
                <w:szCs w:val="19"/>
              </w:rPr>
              <w:t xml:space="preserve"> </w:t>
            </w:r>
            <w:proofErr w:type="spellStart"/>
            <w:r>
              <w:rPr>
                <w:rFonts w:cs="Arial"/>
                <w:sz w:val="19"/>
                <w:szCs w:val="19"/>
              </w:rPr>
              <w:t>fournieri</w:t>
            </w:r>
            <w:proofErr w:type="spellEnd"/>
          </w:p>
        </w:tc>
        <w:tc>
          <w:tcPr>
            <w:tcW w:w="19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B48BEB1" w14:textId="77777777" w:rsidR="00527DD4" w:rsidRDefault="00C40E16">
            <w:r>
              <w:rPr>
                <w:rFonts w:cs="Arial"/>
                <w:sz w:val="19"/>
                <w:szCs w:val="19"/>
              </w:rPr>
              <w:t>Cytokinin overproduction</w:t>
            </w:r>
          </w:p>
        </w:tc>
        <w:tc>
          <w:tcPr>
            <w:tcW w:w="20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0C85A01" w14:textId="77777777" w:rsidR="00527DD4" w:rsidRDefault="00C40E16">
            <w:r>
              <w:rPr>
                <w:rFonts w:cs="Arial"/>
                <w:sz w:val="19"/>
                <w:szCs w:val="19"/>
              </w:rPr>
              <w:t>IPT gene</w:t>
            </w:r>
          </w:p>
        </w:tc>
        <w:tc>
          <w:tcPr>
            <w:tcW w:w="196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413199B3" w14:textId="77777777" w:rsidR="00527DD4" w:rsidRDefault="00C40E16">
            <w:r>
              <w:rPr>
                <w:rFonts w:cs="Arial"/>
                <w:sz w:val="19"/>
                <w:szCs w:val="19"/>
              </w:rPr>
              <w:t>Extended floral longevity</w:t>
            </w:r>
          </w:p>
        </w:tc>
        <w:tc>
          <w:tcPr>
            <w:tcW w:w="1700" w:type="dxa"/>
            <w:tcBorders>
              <w:top w:val="single" w:sz="1" w:space="0" w:color="CCCCCC"/>
              <w:left w:val="single" w:sz="1" w:space="0" w:color="CCCCCC"/>
              <w:bottom w:val="single" w:sz="1" w:space="0" w:color="CCCCCC"/>
              <w:right w:val="single" w:sz="1" w:space="0" w:color="CCCCCC"/>
            </w:tcBorders>
            <w:tcMar>
              <w:top w:w="100" w:type="dxa"/>
              <w:left w:w="150" w:type="dxa"/>
              <w:bottom w:w="100" w:type="dxa"/>
              <w:right w:w="150" w:type="dxa"/>
            </w:tcMar>
          </w:tcPr>
          <w:p w14:paraId="26E250DB" w14:textId="77777777" w:rsidR="00527DD4" w:rsidRDefault="00C40E16">
            <w:r>
              <w:rPr>
                <w:rFonts w:cs="Arial"/>
                <w:sz w:val="19"/>
                <w:szCs w:val="19"/>
              </w:rPr>
              <w:t>Aida et al., 1998</w:t>
            </w:r>
          </w:p>
        </w:tc>
      </w:tr>
    </w:tbl>
    <w:p w14:paraId="09BFE451" w14:textId="77777777" w:rsidR="00527DD4" w:rsidRDefault="00527DD4">
      <w:pPr>
        <w:spacing w:before="60" w:after="60"/>
      </w:pPr>
    </w:p>
    <w:p w14:paraId="21A69D7E" w14:textId="77777777" w:rsidR="00527DD4" w:rsidRDefault="00C40E16">
      <w:pPr>
        <w:pStyle w:val="Heading1"/>
        <w:pBdr>
          <w:bottom w:val="single" w:sz="8" w:space="4" w:color="2E8B57"/>
        </w:pBdr>
      </w:pPr>
      <w:r>
        <w:t>5. Emerging Biotechnological Tools and Integrative Approaches</w:t>
      </w:r>
    </w:p>
    <w:p w14:paraId="0FF4A8BE" w14:textId="77777777" w:rsidR="00527DD4" w:rsidRDefault="00C40E16">
      <w:pPr>
        <w:pStyle w:val="Heading2"/>
      </w:pPr>
      <w:r>
        <w:lastRenderedPageBreak/>
        <w:t>5.1 Multi-Omics Integration</w:t>
      </w:r>
    </w:p>
    <w:p w14:paraId="37FA3CD1" w14:textId="77777777" w:rsidR="00527DD4" w:rsidRDefault="00C40E16">
      <w:pPr>
        <w:spacing w:before="60" w:after="120" w:line="360" w:lineRule="auto"/>
        <w:jc w:val="both"/>
      </w:pPr>
      <w:r>
        <w:rPr>
          <w:rFonts w:cs="Arial"/>
        </w:rPr>
        <w:t>The integration of transcriptomics, metabolomics, proteomics, and genomics (multi-omics) approaches has accelerated the identification of candidate genes, regulatory networks, and metabolic bottlenecks underlying ornamental traits. Transcriptomic profiling of petals at different developmental stages and in response to environmental cues has revealed stage-specific and tissue-specific gene expression networks governing pigment biosynthesis, volatile emission, and senescence.</w:t>
      </w:r>
    </w:p>
    <w:p w14:paraId="15FBF5D2" w14:textId="77777777" w:rsidR="00527DD4" w:rsidRDefault="00C40E16">
      <w:pPr>
        <w:spacing w:before="60" w:after="120" w:line="360" w:lineRule="auto"/>
        <w:jc w:val="both"/>
      </w:pPr>
      <w:r>
        <w:rPr>
          <w:rFonts w:cs="Arial"/>
        </w:rPr>
        <w:t xml:space="preserve">Genome-wide association studies (GWAS) in chrysanthemum, rose, and petunia are beginning to identify QTLs and SNPs associated with </w:t>
      </w:r>
      <w:proofErr w:type="spellStart"/>
      <w:r>
        <w:rPr>
          <w:rFonts w:cs="Arial"/>
        </w:rPr>
        <w:t>color</w:t>
      </w:r>
      <w:proofErr w:type="spellEnd"/>
      <w:r>
        <w:rPr>
          <w:rFonts w:cs="Arial"/>
        </w:rPr>
        <w:t xml:space="preserve"> intensity, fragrance strength, and longevity, enabling marker-assisted selection and providing candidate genes for functional characterization. The development of high-quality chromosome-level genome assemblies for rose, chrysanthemum, lily, and petunia provides foundational resources for these efforts.</w:t>
      </w:r>
    </w:p>
    <w:p w14:paraId="7E122F3C" w14:textId="77777777" w:rsidR="00527DD4" w:rsidRDefault="00C40E16">
      <w:pPr>
        <w:pStyle w:val="Heading2"/>
      </w:pPr>
      <w:r>
        <w:t>5.2 Synthetic Biology and Pathway Engineering</w:t>
      </w:r>
    </w:p>
    <w:p w14:paraId="1AAB089C" w14:textId="77777777" w:rsidR="00527DD4" w:rsidRDefault="00C40E16">
      <w:pPr>
        <w:spacing w:before="60" w:after="120" w:line="360" w:lineRule="auto"/>
        <w:jc w:val="both"/>
      </w:pPr>
      <w:r>
        <w:rPr>
          <w:rFonts w:cs="Arial"/>
        </w:rPr>
        <w:t xml:space="preserve">Synthetic biology offers unprecedented capacity to design and assemble novel biosynthetic pathways in ornamental plant chassis. Modular pathway engineering using standardized biological parts — promoters, coding sequences, terminators, and regulatory elements — allows systematic optimization of metabolic flux toward desired products. The construction of </w:t>
      </w:r>
      <w:proofErr w:type="spellStart"/>
      <w:r>
        <w:rPr>
          <w:rFonts w:cs="Arial"/>
        </w:rPr>
        <w:t>minipathways</w:t>
      </w:r>
      <w:proofErr w:type="spellEnd"/>
      <w:r>
        <w:rPr>
          <w:rFonts w:cs="Arial"/>
        </w:rPr>
        <w:t xml:space="preserve"> for novel pigments (such as the betaxanthin pathway reconstituted in non-Caryophyllales species) or novel terpenoid fragrances represents the frontier of ornamental plant biotechnology.</w:t>
      </w:r>
    </w:p>
    <w:p w14:paraId="2E760D3C" w14:textId="77777777" w:rsidR="00527DD4" w:rsidRDefault="00C40E16">
      <w:pPr>
        <w:pStyle w:val="Heading2"/>
      </w:pPr>
      <w:r>
        <w:t>5.3 Virus-Based Delivery and Functional Genomics</w:t>
      </w:r>
    </w:p>
    <w:p w14:paraId="01E671FF" w14:textId="77777777" w:rsidR="00527DD4" w:rsidRDefault="00C40E16">
      <w:pPr>
        <w:spacing w:before="60" w:after="120" w:line="360" w:lineRule="auto"/>
        <w:jc w:val="both"/>
      </w:pPr>
      <w:r>
        <w:rPr>
          <w:rFonts w:cs="Arial"/>
        </w:rPr>
        <w:t>Virus-induced gene silencing (VIGS) and virus-based overexpression systems have proven invaluable for rapid functional genomics in ornamental species where stable transformation is laborious or slow. Tobacco rattle virus (TRV)-based VIGS has been applied in petunia, chrysanthemum, and lily to characterize pigment and fragrance pathway genes with generation times of days to weeks, compared to months for stable transformation.</w:t>
      </w:r>
    </w:p>
    <w:p w14:paraId="00AFE3C9" w14:textId="77777777" w:rsidR="00527DD4" w:rsidRDefault="00C40E16">
      <w:pPr>
        <w:pStyle w:val="Heading2"/>
      </w:pPr>
      <w:r>
        <w:t>5.4 Epigenomic and Non-Coding RNA Approaches</w:t>
      </w:r>
    </w:p>
    <w:p w14:paraId="76C24693" w14:textId="77777777" w:rsidR="00527DD4" w:rsidRDefault="00C40E16">
      <w:pPr>
        <w:spacing w:before="60" w:after="120" w:line="360" w:lineRule="auto"/>
        <w:jc w:val="both"/>
      </w:pPr>
      <w:r>
        <w:rPr>
          <w:rFonts w:cs="Arial"/>
        </w:rPr>
        <w:t xml:space="preserve">Increasing evidence indicates that epigenetic regulation — including DNA methylation, histone modification, and small RNA pathways — plays significant roles in controlling ornamental traits. miRNA-mediated regulation of MYB and SPL transcription factors has been shown to influence anthocyanin production in various plant systems. </w:t>
      </w:r>
      <w:proofErr w:type="spellStart"/>
      <w:r>
        <w:rPr>
          <w:rFonts w:cs="Arial"/>
        </w:rPr>
        <w:t>LncRNAs</w:t>
      </w:r>
      <w:proofErr w:type="spellEnd"/>
      <w:r>
        <w:rPr>
          <w:rFonts w:cs="Arial"/>
        </w:rPr>
        <w:t xml:space="preserve"> have been identified as regulators of ethylene </w:t>
      </w:r>
      <w:proofErr w:type="spellStart"/>
      <w:r>
        <w:rPr>
          <w:rFonts w:cs="Arial"/>
        </w:rPr>
        <w:t>signaling</w:t>
      </w:r>
      <w:proofErr w:type="spellEnd"/>
      <w:r>
        <w:rPr>
          <w:rFonts w:cs="Arial"/>
        </w:rPr>
        <w:t xml:space="preserve"> and senescence in rose. Epigenomic engineering using dCas9-fused chromatin </w:t>
      </w:r>
      <w:r>
        <w:rPr>
          <w:rFonts w:cs="Arial"/>
        </w:rPr>
        <w:lastRenderedPageBreak/>
        <w:t>modifiers (</w:t>
      </w:r>
      <w:proofErr w:type="spellStart"/>
      <w:r>
        <w:rPr>
          <w:rFonts w:cs="Arial"/>
        </w:rPr>
        <w:t>CRISPRa</w:t>
      </w:r>
      <w:proofErr w:type="spellEnd"/>
      <w:r>
        <w:rPr>
          <w:rFonts w:cs="Arial"/>
        </w:rPr>
        <w:t>/</w:t>
      </w:r>
      <w:proofErr w:type="spellStart"/>
      <w:r>
        <w:rPr>
          <w:rFonts w:cs="Arial"/>
        </w:rPr>
        <w:t>CRISPRi</w:t>
      </w:r>
      <w:proofErr w:type="spellEnd"/>
      <w:r>
        <w:rPr>
          <w:rFonts w:cs="Arial"/>
        </w:rPr>
        <w:t>) offers the possibility of precise, heritable modification of gene expression without DNA sequence alteration.</w:t>
      </w:r>
    </w:p>
    <w:p w14:paraId="161A5ADA" w14:textId="77777777" w:rsidR="00527DD4" w:rsidRDefault="00C40E16">
      <w:pPr>
        <w:pStyle w:val="Heading1"/>
        <w:pBdr>
          <w:bottom w:val="single" w:sz="8" w:space="4" w:color="2E8B57"/>
        </w:pBdr>
      </w:pPr>
      <w:r>
        <w:t>6. Regulatory Frameworks and Biosafety Considerations</w:t>
      </w:r>
    </w:p>
    <w:p w14:paraId="0C1C21C2" w14:textId="77777777" w:rsidR="00527DD4" w:rsidRDefault="00C40E16">
      <w:pPr>
        <w:pStyle w:val="Heading2"/>
      </w:pPr>
      <w:r>
        <w:t>6.1 Global Regulatory Landscape</w:t>
      </w:r>
    </w:p>
    <w:p w14:paraId="2E47CAAC" w14:textId="77777777" w:rsidR="00527DD4" w:rsidRDefault="00C40E16">
      <w:pPr>
        <w:spacing w:before="60" w:after="120" w:line="360" w:lineRule="auto"/>
        <w:jc w:val="both"/>
      </w:pPr>
      <w:r>
        <w:rPr>
          <w:rFonts w:cs="Arial"/>
        </w:rPr>
        <w:t>The commercialization of genetically engineered ornamental plants is subject to diverse and often complex regulatory frameworks that vary considerably by country and by the nature of the genetic modification. In the United States, the USDA-APHIS, EPA, and FDA provide oversight of transgenic plants, with the USDA SECURE rule (2020) providing exemptions for certain categories of genetic modifications. The European Union maintains a stringent regulatory regime under Directive 2001/18/EC for GMOs, though new regulations for CRISPR-edited plants are under discussion.</w:t>
      </w:r>
    </w:p>
    <w:p w14:paraId="1336EEFF" w14:textId="77777777" w:rsidR="00527DD4" w:rsidRDefault="00C40E16">
      <w:pPr>
        <w:spacing w:before="60" w:after="120" w:line="360" w:lineRule="auto"/>
        <w:jc w:val="both"/>
      </w:pPr>
      <w:r>
        <w:rPr>
          <w:rFonts w:cs="Arial"/>
        </w:rPr>
        <w:t xml:space="preserve">Australia has been notable as the first country to permit commercial sale of a genetically engineered ornamental plant — the blue carnation developed by </w:t>
      </w:r>
      <w:proofErr w:type="spellStart"/>
      <w:r>
        <w:rPr>
          <w:rFonts w:cs="Arial"/>
        </w:rPr>
        <w:t>Florigene</w:t>
      </w:r>
      <w:proofErr w:type="spellEnd"/>
      <w:r>
        <w:rPr>
          <w:rFonts w:cs="Arial"/>
        </w:rPr>
        <w:t>. Japan approved the same product subsequently. The divergence between jurisdictions creates commercial challenges for developers of biotech ornamental plants, requiring tailored regulatory strategies for each target market.</w:t>
      </w:r>
    </w:p>
    <w:p w14:paraId="3D7B5D31" w14:textId="77777777" w:rsidR="00527DD4" w:rsidRDefault="00C40E16">
      <w:pPr>
        <w:pStyle w:val="Heading2"/>
      </w:pPr>
      <w:r>
        <w:t>6.2 Biosafety and Environmental Risk</w:t>
      </w:r>
    </w:p>
    <w:p w14:paraId="40B2EF40" w14:textId="77777777" w:rsidR="00527DD4" w:rsidRDefault="00C40E16">
      <w:pPr>
        <w:spacing w:before="60" w:after="120" w:line="360" w:lineRule="auto"/>
        <w:jc w:val="both"/>
      </w:pPr>
      <w:r>
        <w:rPr>
          <w:rFonts w:cs="Arial"/>
        </w:rPr>
        <w:t>Key biosafety considerations for transgenic ornamentals include the potential for gene flow to wild relatives via pollen dispersal, the ecological impact of novel VOC profiles on pollinators and herbivores, and the persistence of transgenic material in the environment. Ornamental plants present lower food safety concerns than food crops, but their widespread cultivation in open garden settings increases the potential for unintended environmental release.</w:t>
      </w:r>
    </w:p>
    <w:p w14:paraId="2B914AE9" w14:textId="77777777" w:rsidR="00527DD4" w:rsidRDefault="00C40E16">
      <w:pPr>
        <w:spacing w:before="60" w:after="120" w:line="360" w:lineRule="auto"/>
        <w:jc w:val="both"/>
      </w:pPr>
      <w:r>
        <w:rPr>
          <w:rFonts w:cs="Arial"/>
        </w:rPr>
        <w:t>Containment strategies include the use of male-sterile or sterile ornamental lines to prevent pollen-mediated gene flow, restriction of cultivation to enclosed environments (greenhouses), and the use of plastid transformation to achieve maternal inheritance and prevent pollen transmission of transgenes. Risk assessment frameworks for each specific crop-trait combination remain essential components of responsible biotechnology deployment.</w:t>
      </w:r>
    </w:p>
    <w:p w14:paraId="7FF38C41" w14:textId="77777777" w:rsidR="00527DD4" w:rsidRDefault="00C40E16">
      <w:pPr>
        <w:pStyle w:val="Heading1"/>
        <w:pBdr>
          <w:bottom w:val="single" w:sz="8" w:space="4" w:color="2E8B57"/>
        </w:pBdr>
      </w:pPr>
      <w:r>
        <w:t>7. Commercial Applications and Market Outlook</w:t>
      </w:r>
    </w:p>
    <w:p w14:paraId="3D58A1FC" w14:textId="77777777" w:rsidR="00527DD4" w:rsidRDefault="00C40E16">
      <w:pPr>
        <w:spacing w:before="60" w:after="120" w:line="360" w:lineRule="auto"/>
        <w:jc w:val="both"/>
      </w:pPr>
      <w:r>
        <w:rPr>
          <w:rFonts w:cs="Arial"/>
        </w:rPr>
        <w:t xml:space="preserve">The global ornamental plant market presents a compelling commercial opportunity for biotech-improved cultivars, particularly in segments where unique traits command premium prices. The success of the </w:t>
      </w:r>
      <w:proofErr w:type="spellStart"/>
      <w:r>
        <w:rPr>
          <w:rFonts w:cs="Arial"/>
        </w:rPr>
        <w:t>Florigene</w:t>
      </w:r>
      <w:proofErr w:type="spellEnd"/>
      <w:r>
        <w:rPr>
          <w:rFonts w:cs="Arial"/>
        </w:rPr>
        <w:t xml:space="preserve">/Suntory blue carnation and rose lines demonstrates that genetically </w:t>
      </w:r>
      <w:r>
        <w:rPr>
          <w:rFonts w:cs="Arial"/>
        </w:rPr>
        <w:lastRenderedPageBreak/>
        <w:t xml:space="preserve">engineered ornamentals can achieve commercial viability, though market penetration has been modest owing to regulatory costs, consumer perception issues, and </w:t>
      </w:r>
      <w:proofErr w:type="spellStart"/>
      <w:r>
        <w:rPr>
          <w:rFonts w:cs="Arial"/>
        </w:rPr>
        <w:t>labeling</w:t>
      </w:r>
      <w:proofErr w:type="spellEnd"/>
      <w:r>
        <w:rPr>
          <w:rFonts w:cs="Arial"/>
        </w:rPr>
        <w:t xml:space="preserve"> requirements.</w:t>
      </w:r>
    </w:p>
    <w:p w14:paraId="0C4B0A81" w14:textId="77777777" w:rsidR="00527DD4" w:rsidRDefault="00C40E16">
      <w:pPr>
        <w:spacing w:before="60" w:after="120" w:line="360" w:lineRule="auto"/>
        <w:jc w:val="both"/>
      </w:pPr>
      <w:r>
        <w:rPr>
          <w:rFonts w:cs="Arial"/>
        </w:rPr>
        <w:t>Ethylene-insensitive transgenic carnations with extended vase life have been commercially available in Australia and the USA, demonstrating market acceptance for functional improvements. The economic case for vase life extension is particularly strong: postharvest losses in the cut flower industry are estimated at 20-40% of production value, and even moderate vase life improvements directly translate to significant commercial benefit for both growers and retailers.</w:t>
      </w:r>
    </w:p>
    <w:p w14:paraId="35DEB50E" w14:textId="77777777" w:rsidR="00527DD4" w:rsidRDefault="00C40E16">
      <w:pPr>
        <w:spacing w:before="60" w:after="120" w:line="360" w:lineRule="auto"/>
        <w:jc w:val="both"/>
      </w:pPr>
      <w:r>
        <w:rPr>
          <w:rFonts w:cs="Arial"/>
        </w:rPr>
        <w:t xml:space="preserve">CRISPR-edited ornamentals present a potentially more expedited path to market in jurisdictions where such products are regulated equivalently to conventionally bred varieties. Companies and academic-industry consortia are pursuing CRISPR-based </w:t>
      </w:r>
      <w:proofErr w:type="spellStart"/>
      <w:r>
        <w:rPr>
          <w:rFonts w:cs="Arial"/>
        </w:rPr>
        <w:t>color</w:t>
      </w:r>
      <w:proofErr w:type="spellEnd"/>
      <w:r>
        <w:rPr>
          <w:rFonts w:cs="Arial"/>
        </w:rPr>
        <w:t xml:space="preserve"> variants, fragrance-enhanced, and extended vase life cultivars in rose, chrysanthemum, and petunia, with several expected to enter commercial pipelines within the next five to ten years.</w:t>
      </w:r>
    </w:p>
    <w:p w14:paraId="3BD4AAC9" w14:textId="77777777" w:rsidR="00527DD4" w:rsidRDefault="00C40E16">
      <w:pPr>
        <w:pStyle w:val="Heading1"/>
        <w:pBdr>
          <w:bottom w:val="single" w:sz="8" w:space="4" w:color="2E8B57"/>
        </w:pBdr>
      </w:pPr>
      <w:r>
        <w:t>8. Challenges and Future Research Directions</w:t>
      </w:r>
    </w:p>
    <w:p w14:paraId="68A8AC8C" w14:textId="77777777" w:rsidR="00527DD4" w:rsidRDefault="00C40E16">
      <w:pPr>
        <w:pStyle w:val="Heading2"/>
      </w:pPr>
      <w:r>
        <w:t>8.1 Technical Challenges</w:t>
      </w:r>
    </w:p>
    <w:p w14:paraId="29F0544C" w14:textId="77777777" w:rsidR="00527DD4" w:rsidRDefault="00C40E16">
      <w:pPr>
        <w:spacing w:before="60" w:after="120" w:line="360" w:lineRule="auto"/>
        <w:jc w:val="both"/>
      </w:pPr>
      <w:r>
        <w:rPr>
          <w:rFonts w:cs="Arial"/>
        </w:rPr>
        <w:t>Despite remarkable progress, several significant technical challenges remain. Tissue culture and regeneration protocols remain inefficient or highly genotype-specific in many commercially important ornamental species, limiting the application of transformation and CRISPR approaches. The polyploid genomes of rose, chrysanthemum, lily, and many others complicate gene targeting and multiplexed editing. Off-target effects of CRISPR nucleases, while generally low, must be carefully evaluated in the context of complex polyploid genomes.</w:t>
      </w:r>
    </w:p>
    <w:p w14:paraId="03DEAE7F" w14:textId="77777777" w:rsidR="00527DD4" w:rsidRDefault="00C40E16">
      <w:pPr>
        <w:spacing w:before="60" w:after="120" w:line="360" w:lineRule="auto"/>
        <w:jc w:val="both"/>
      </w:pPr>
      <w:r>
        <w:rPr>
          <w:rFonts w:cs="Arial"/>
        </w:rPr>
        <w:t>Metabolic engineering of complex traits like fragrance is challenged by the involvement of numerous genes, the extensive cross-talk between biosynthetic pathways, and the sensitivity of VOC emission to developmental, circadian, and environmental cues. Achieving the desired volatile profile in the right tissue, at the right time, and at commercially relevant emission rates requires sophisticated promoter engineering and pathway balancing that remains largely empirical.</w:t>
      </w:r>
    </w:p>
    <w:p w14:paraId="10D8EB2C" w14:textId="77777777" w:rsidR="00527DD4" w:rsidRDefault="00C40E16">
      <w:pPr>
        <w:pStyle w:val="Heading2"/>
      </w:pPr>
      <w:r>
        <w:t>8.2 Socioeconomic and Ethical Considerations</w:t>
      </w:r>
    </w:p>
    <w:p w14:paraId="6CC2B0D4" w14:textId="77777777" w:rsidR="00527DD4" w:rsidRDefault="00C40E16">
      <w:pPr>
        <w:spacing w:before="60" w:after="120" w:line="360" w:lineRule="auto"/>
        <w:jc w:val="both"/>
      </w:pPr>
      <w:r>
        <w:rPr>
          <w:rFonts w:cs="Arial"/>
        </w:rPr>
        <w:t xml:space="preserve">Public perception of genetically engineered ornamental plants varies significantly across markets and demographics. Consumer acceptance is generally higher for modified ornamentals than for food crops, as there is no direct human consumption concern. Nonetheless, </w:t>
      </w:r>
      <w:proofErr w:type="spellStart"/>
      <w:r>
        <w:rPr>
          <w:rFonts w:cs="Arial"/>
        </w:rPr>
        <w:t>labeling</w:t>
      </w:r>
      <w:proofErr w:type="spellEnd"/>
      <w:r>
        <w:rPr>
          <w:rFonts w:cs="Arial"/>
        </w:rPr>
        <w:t xml:space="preserve">, transparency, and communication strategies are important for maintaining consumer trust. The concentration of </w:t>
      </w:r>
      <w:r>
        <w:rPr>
          <w:rFonts w:cs="Arial"/>
        </w:rPr>
        <w:lastRenderedPageBreak/>
        <w:t>ornamental biotechnology expertise and intellectual property in a small number of large companies raises concerns about access for smallholder farmers and developing-country breeding programs.</w:t>
      </w:r>
    </w:p>
    <w:p w14:paraId="0406978D" w14:textId="77777777" w:rsidR="00527DD4" w:rsidRDefault="00C40E16">
      <w:pPr>
        <w:pStyle w:val="Heading2"/>
      </w:pPr>
      <w:r>
        <w:t>8.3 Future Research Priorities</w:t>
      </w:r>
    </w:p>
    <w:p w14:paraId="0BF0AA4F" w14:textId="77777777" w:rsidR="00527DD4" w:rsidRDefault="00C40E16">
      <w:pPr>
        <w:spacing w:before="60" w:after="120" w:line="360" w:lineRule="auto"/>
        <w:jc w:val="both"/>
      </w:pPr>
      <w:r>
        <w:rPr>
          <w:rFonts w:cs="Arial"/>
        </w:rPr>
        <w:t>Future research should prioritize: (1) development of efficient, genotype-independent transformation and CRISPR delivery systems for recalcitrant ornamental species; (2) comprehensive multi-omics characterization of pigment, fragrance, and senescence regulatory networks; (3) synthetic biology approaches for designing novel trait combinations with predictable outcomes; (4) studies of consumer acceptance and market dynamics for biotech ornamentals; and (5) development of cost-effective, accessible regulatory pathways, particularly for CRISPR-edited plants, to enable wider participation in ornamental plant innovation.</w:t>
      </w:r>
    </w:p>
    <w:p w14:paraId="2AC24103" w14:textId="77777777" w:rsidR="00527DD4" w:rsidRDefault="00C40E16">
      <w:pPr>
        <w:pStyle w:val="Heading1"/>
        <w:pBdr>
          <w:bottom w:val="single" w:sz="8" w:space="4" w:color="2E8B57"/>
        </w:pBdr>
      </w:pPr>
      <w:r>
        <w:t>9. Conclusion</w:t>
      </w:r>
    </w:p>
    <w:p w14:paraId="7944DF49" w14:textId="77777777" w:rsidR="00527DD4" w:rsidRDefault="00C40E16">
      <w:pPr>
        <w:spacing w:before="60" w:after="120" w:line="360" w:lineRule="auto"/>
        <w:jc w:val="both"/>
      </w:pPr>
      <w:r>
        <w:rPr>
          <w:rFonts w:cs="Arial"/>
        </w:rPr>
        <w:t xml:space="preserve">Biotechnology has fundamentally expanded the frontiers of ornamental plant improvement, enabling the engineering of flower </w:t>
      </w:r>
      <w:proofErr w:type="spellStart"/>
      <w:r>
        <w:rPr>
          <w:rFonts w:cs="Arial"/>
        </w:rPr>
        <w:t>color</w:t>
      </w:r>
      <w:proofErr w:type="spellEnd"/>
      <w:r>
        <w:rPr>
          <w:rFonts w:cs="Arial"/>
        </w:rPr>
        <w:t xml:space="preserve">, fragrance, and vase life with a precision and novelty unattainable through conventional breeding alone. The three decades since the first transgenic ornamental plant have witnessed landmark achievements including the commercial blue carnation, ethylene-insensitive long-life cultivars, and the first CRISPR-edited ornamental lines. Mechanistic understanding of flavonoid, carotenoid, and VOC biosynthetic pathways, ethylene </w:t>
      </w:r>
      <w:proofErr w:type="spellStart"/>
      <w:r>
        <w:rPr>
          <w:rFonts w:cs="Arial"/>
        </w:rPr>
        <w:t>signaling</w:t>
      </w:r>
      <w:proofErr w:type="spellEnd"/>
      <w:r>
        <w:rPr>
          <w:rFonts w:cs="Arial"/>
        </w:rPr>
        <w:t xml:space="preserve"> cascades, and senescence regulatory networks continues to deepen, providing an ever-richer foundation for targeted molecular intervention.</w:t>
      </w:r>
    </w:p>
    <w:p w14:paraId="6236F37F" w14:textId="77777777" w:rsidR="00527DD4" w:rsidRDefault="00C40E16">
      <w:pPr>
        <w:spacing w:before="60" w:after="120" w:line="360" w:lineRule="auto"/>
        <w:jc w:val="both"/>
      </w:pPr>
      <w:r>
        <w:rPr>
          <w:rFonts w:cs="Arial"/>
        </w:rPr>
        <w:t>The convergence of CRISPR genome editing, multi-omics data integration, and synthetic biology approaches is poised to accelerate the pace and broaden the scope of ornamental plant innovation. Regulatory frameworks, particularly for genome-edited plants, are evolving in many major markets in ways that may lower barriers to commercialization. The greatest challenges ahead lie not purely in scientific domains but in the translation of biotechnological advances into commercially viable, broadly accessible, and publicly accepted ornamental cultivars.</w:t>
      </w:r>
    </w:p>
    <w:p w14:paraId="71283244" w14:textId="77777777" w:rsidR="00527DD4" w:rsidRDefault="00C40E16">
      <w:pPr>
        <w:spacing w:before="60" w:after="120" w:line="360" w:lineRule="auto"/>
        <w:jc w:val="both"/>
      </w:pPr>
      <w:r>
        <w:rPr>
          <w:rFonts w:cs="Arial"/>
        </w:rPr>
        <w:t>Continued interdisciplinary collaboration among molecular biologists, biochemists, horticulturalists, regulators, economists, and social scientists will be essential to realize the full potential of ornamental plant biotechnology for the benefit of the global horticulture industry and its consumers.</w:t>
      </w:r>
    </w:p>
    <w:p w14:paraId="2E1D4075" w14:textId="77777777" w:rsidR="00527DD4" w:rsidRDefault="00C40E16">
      <w:pPr>
        <w:pStyle w:val="Heading1"/>
        <w:pBdr>
          <w:bottom w:val="single" w:sz="8" w:space="4" w:color="2E8B57"/>
        </w:pBdr>
      </w:pPr>
      <w:r>
        <w:t>References</w:t>
      </w:r>
    </w:p>
    <w:p w14:paraId="333E95C2" w14:textId="77777777" w:rsidR="00527DD4" w:rsidRDefault="00C40E16">
      <w:pPr>
        <w:spacing w:before="80" w:after="80" w:line="320" w:lineRule="auto"/>
        <w:ind w:left="720" w:hanging="720"/>
      </w:pPr>
      <w:r>
        <w:rPr>
          <w:rFonts w:cs="Arial"/>
          <w:color w:val="333333"/>
          <w:sz w:val="19"/>
          <w:szCs w:val="19"/>
        </w:rPr>
        <w:lastRenderedPageBreak/>
        <w:t>Aida, R., Yoshida, T., Ichimura, K., Goto, R., &amp; Shibata, M. (1998). Extension of flower longevity in transgenic torenia plants incorporating ACC oxidase transgene. Plant Science, 138(1), 91-98.</w:t>
      </w:r>
    </w:p>
    <w:p w14:paraId="0303F15F" w14:textId="77777777" w:rsidR="00527DD4" w:rsidRDefault="00C40E16">
      <w:pPr>
        <w:spacing w:before="80" w:after="80" w:line="320" w:lineRule="auto"/>
        <w:ind w:left="720" w:hanging="720"/>
      </w:pPr>
      <w:r>
        <w:rPr>
          <w:rFonts w:cs="Arial"/>
          <w:color w:val="333333"/>
          <w:sz w:val="19"/>
          <w:szCs w:val="19"/>
        </w:rPr>
        <w:t xml:space="preserve">Chang, H., Jones, M. L., Banowetz, G. M., &amp; Clark, D. G. (2003). Overproduction of </w:t>
      </w:r>
      <w:proofErr w:type="spellStart"/>
      <w:r>
        <w:rPr>
          <w:rFonts w:cs="Arial"/>
          <w:color w:val="333333"/>
          <w:sz w:val="19"/>
          <w:szCs w:val="19"/>
        </w:rPr>
        <w:t>cytokinins</w:t>
      </w:r>
      <w:proofErr w:type="spellEnd"/>
      <w:r>
        <w:rPr>
          <w:rFonts w:cs="Arial"/>
          <w:color w:val="333333"/>
          <w:sz w:val="19"/>
          <w:szCs w:val="19"/>
        </w:rPr>
        <w:t xml:space="preserve"> in petioles of transgenic Petunia hybrida inhibits flower senescence and causes the conversion of normally non-persistent petals into persistent ones. Plant Physiology, 132(4), 2174-2183.</w:t>
      </w:r>
    </w:p>
    <w:p w14:paraId="494F7E56" w14:textId="77777777" w:rsidR="00527DD4" w:rsidRDefault="00C40E16">
      <w:pPr>
        <w:spacing w:before="80" w:after="80" w:line="320" w:lineRule="auto"/>
        <w:ind w:left="720" w:hanging="720"/>
      </w:pPr>
      <w:r>
        <w:rPr>
          <w:rFonts w:cs="Arial"/>
          <w:color w:val="333333"/>
          <w:sz w:val="19"/>
          <w:szCs w:val="19"/>
        </w:rPr>
        <w:t xml:space="preserve">Dudareva, N., &amp; </w:t>
      </w:r>
      <w:proofErr w:type="spellStart"/>
      <w:r>
        <w:rPr>
          <w:rFonts w:cs="Arial"/>
          <w:color w:val="333333"/>
          <w:sz w:val="19"/>
          <w:szCs w:val="19"/>
        </w:rPr>
        <w:t>Pichersky</w:t>
      </w:r>
      <w:proofErr w:type="spellEnd"/>
      <w:r>
        <w:rPr>
          <w:rFonts w:cs="Arial"/>
          <w:color w:val="333333"/>
          <w:sz w:val="19"/>
          <w:szCs w:val="19"/>
        </w:rPr>
        <w:t>, E. (2000). Biochemical and molecular genetic aspects of floral scents. Plant Physiology, 122(3), 627-633.</w:t>
      </w:r>
    </w:p>
    <w:p w14:paraId="09AE8543" w14:textId="77777777" w:rsidR="00527DD4" w:rsidRDefault="00C40E16">
      <w:pPr>
        <w:spacing w:before="80" w:after="80" w:line="320" w:lineRule="auto"/>
        <w:ind w:left="720" w:hanging="720"/>
      </w:pPr>
      <w:r>
        <w:rPr>
          <w:rFonts w:cs="Arial"/>
          <w:color w:val="333333"/>
          <w:sz w:val="19"/>
          <w:szCs w:val="19"/>
        </w:rPr>
        <w:t>Hoshino, A., Jayakumar, V., Nitasaka, E., Toyoda, A., Noguchi, H., Itoh, T., et al. (2016). Genome sequence and analysis of the Japanese morning glory Ipomoea nil. Nature Communications, 7, 13295.</w:t>
      </w:r>
    </w:p>
    <w:p w14:paraId="073B018F" w14:textId="77777777" w:rsidR="00527DD4" w:rsidRDefault="00C40E16">
      <w:pPr>
        <w:spacing w:before="80" w:after="80" w:line="320" w:lineRule="auto"/>
        <w:ind w:left="720" w:hanging="720"/>
      </w:pPr>
      <w:r>
        <w:rPr>
          <w:rFonts w:cs="Arial"/>
          <w:color w:val="333333"/>
          <w:sz w:val="19"/>
          <w:szCs w:val="19"/>
        </w:rPr>
        <w:t>Katsumoto, Y., Fukuchi-Mizutani, M., Fukui, Y., Brugliera, F., Holton, T. A., Karan, M., et al. (2007). Engineering of the rose flavonoid biosynthetic pathway successfully generated blue-hued flowers accumulating delphinidin. Plant &amp; Cell Physiology, 48(11), 1589-1600.</w:t>
      </w:r>
    </w:p>
    <w:p w14:paraId="7DB7707C" w14:textId="77777777" w:rsidR="00527DD4" w:rsidRDefault="00C40E16">
      <w:pPr>
        <w:spacing w:before="80" w:after="80" w:line="320" w:lineRule="auto"/>
        <w:ind w:left="720" w:hanging="720"/>
      </w:pPr>
      <w:proofErr w:type="spellStart"/>
      <w:r>
        <w:rPr>
          <w:rFonts w:cs="Arial"/>
          <w:color w:val="333333"/>
          <w:sz w:val="19"/>
          <w:szCs w:val="19"/>
        </w:rPr>
        <w:t>Kishi-Kaboshi</w:t>
      </w:r>
      <w:proofErr w:type="spellEnd"/>
      <w:r>
        <w:rPr>
          <w:rFonts w:cs="Arial"/>
          <w:color w:val="333333"/>
          <w:sz w:val="19"/>
          <w:szCs w:val="19"/>
        </w:rPr>
        <w:t>, M., Aida, R., &amp; Sasaki, K. (2017). Generation of gene-disrupted chrysanthemum morifolium using multicopy transgene-targeted CRISPR-Cas9. Plant &amp; Cell Physiology, 58(1), 216-226.</w:t>
      </w:r>
    </w:p>
    <w:p w14:paraId="01634554" w14:textId="77777777" w:rsidR="00527DD4" w:rsidRDefault="00C40E16">
      <w:pPr>
        <w:spacing w:before="80" w:after="80" w:line="320" w:lineRule="auto"/>
        <w:ind w:left="720" w:hanging="720"/>
      </w:pPr>
      <w:r>
        <w:rPr>
          <w:rFonts w:cs="Arial"/>
          <w:color w:val="333333"/>
          <w:sz w:val="19"/>
          <w:szCs w:val="19"/>
        </w:rPr>
        <w:t>Mann, V., Harker, M., Pecker, I., &amp; Hirschberg, J. (2000). Metabolic engineering of astaxanthin production in tobacco flowers. Nature Biotechnology, 18(8), 888-892.</w:t>
      </w:r>
    </w:p>
    <w:p w14:paraId="586759CB" w14:textId="77777777" w:rsidR="00527DD4" w:rsidRDefault="00C40E16">
      <w:pPr>
        <w:spacing w:before="80" w:after="80" w:line="320" w:lineRule="auto"/>
        <w:ind w:left="720" w:hanging="720"/>
      </w:pPr>
      <w:r>
        <w:rPr>
          <w:rFonts w:cs="Arial"/>
          <w:color w:val="333333"/>
          <w:sz w:val="19"/>
          <w:szCs w:val="19"/>
        </w:rPr>
        <w:t>Muller, R., Lind-Iversen, S., Stummann, B. M., &amp; Serek, M. (1999). Expression of genes for ethylene biosynthetic enzymes and an ethylene receptor in senescing flowers of miniature potted roses. Journal of Horticultural Science &amp; Biotechnology, 74(5), 658-663.</w:t>
      </w:r>
    </w:p>
    <w:p w14:paraId="0FEC9605" w14:textId="77777777" w:rsidR="00527DD4" w:rsidRDefault="00C40E16">
      <w:pPr>
        <w:spacing w:before="80" w:after="80" w:line="320" w:lineRule="auto"/>
        <w:ind w:left="720" w:hanging="720"/>
      </w:pPr>
      <w:r>
        <w:rPr>
          <w:rFonts w:cs="Arial"/>
          <w:color w:val="333333"/>
          <w:sz w:val="19"/>
          <w:szCs w:val="19"/>
        </w:rPr>
        <w:t xml:space="preserve">Sade, N., Gebretsadik, M., Seligmann, R., Schwartz, A., Wallach, R., &amp; </w:t>
      </w:r>
      <w:proofErr w:type="spellStart"/>
      <w:r>
        <w:rPr>
          <w:rFonts w:cs="Arial"/>
          <w:color w:val="333333"/>
          <w:sz w:val="19"/>
          <w:szCs w:val="19"/>
        </w:rPr>
        <w:t>Moshelion</w:t>
      </w:r>
      <w:proofErr w:type="spellEnd"/>
      <w:r>
        <w:rPr>
          <w:rFonts w:cs="Arial"/>
          <w:color w:val="333333"/>
          <w:sz w:val="19"/>
          <w:szCs w:val="19"/>
        </w:rPr>
        <w:t>, M. (2010). The role of tobacco Aquaporin1 in improving water use efficiency, hydraulic conductivity, and yield production under salt stress. Plant Physiology, 152(1), 245-254.</w:t>
      </w:r>
    </w:p>
    <w:p w14:paraId="0243F185" w14:textId="77777777" w:rsidR="00527DD4" w:rsidRDefault="00C40E16">
      <w:pPr>
        <w:spacing w:before="80" w:after="80" w:line="320" w:lineRule="auto"/>
        <w:ind w:left="720" w:hanging="720"/>
      </w:pPr>
      <w:r>
        <w:rPr>
          <w:rFonts w:cs="Arial"/>
          <w:color w:val="333333"/>
          <w:sz w:val="19"/>
          <w:szCs w:val="19"/>
        </w:rPr>
        <w:t xml:space="preserve">Savin, K. W., </w:t>
      </w:r>
      <w:proofErr w:type="spellStart"/>
      <w:r>
        <w:rPr>
          <w:rFonts w:cs="Arial"/>
          <w:color w:val="333333"/>
          <w:sz w:val="19"/>
          <w:szCs w:val="19"/>
        </w:rPr>
        <w:t>Baudinette</w:t>
      </w:r>
      <w:proofErr w:type="spellEnd"/>
      <w:r>
        <w:rPr>
          <w:rFonts w:cs="Arial"/>
          <w:color w:val="333333"/>
          <w:sz w:val="19"/>
          <w:szCs w:val="19"/>
        </w:rPr>
        <w:t xml:space="preserve">, S. C., Graham, M. W., Michael, M. Z., Nugent, G. D., Lu, C. Y., et al. (1995). Antisense ACC oxidase RNA delays carnation petal senescence. </w:t>
      </w:r>
      <w:proofErr w:type="spellStart"/>
      <w:r>
        <w:rPr>
          <w:rFonts w:cs="Arial"/>
          <w:color w:val="333333"/>
          <w:sz w:val="19"/>
          <w:szCs w:val="19"/>
        </w:rPr>
        <w:t>HortScience</w:t>
      </w:r>
      <w:proofErr w:type="spellEnd"/>
      <w:r>
        <w:rPr>
          <w:rFonts w:cs="Arial"/>
          <w:color w:val="333333"/>
          <w:sz w:val="19"/>
          <w:szCs w:val="19"/>
        </w:rPr>
        <w:t>, 30(5), 970-972.</w:t>
      </w:r>
    </w:p>
    <w:p w14:paraId="03953B89" w14:textId="77777777" w:rsidR="00527DD4" w:rsidRDefault="00C40E16">
      <w:pPr>
        <w:spacing w:before="80" w:after="80" w:line="320" w:lineRule="auto"/>
        <w:ind w:left="720" w:hanging="720"/>
      </w:pPr>
      <w:r>
        <w:rPr>
          <w:rFonts w:cs="Arial"/>
          <w:color w:val="333333"/>
          <w:sz w:val="19"/>
          <w:szCs w:val="19"/>
        </w:rPr>
        <w:t xml:space="preserve">Shalit, M., Guterman, I., </w:t>
      </w:r>
      <w:proofErr w:type="spellStart"/>
      <w:r>
        <w:rPr>
          <w:rFonts w:cs="Arial"/>
          <w:color w:val="333333"/>
          <w:sz w:val="19"/>
          <w:szCs w:val="19"/>
        </w:rPr>
        <w:t>Volpin</w:t>
      </w:r>
      <w:proofErr w:type="spellEnd"/>
      <w:r>
        <w:rPr>
          <w:rFonts w:cs="Arial"/>
          <w:color w:val="333333"/>
          <w:sz w:val="19"/>
          <w:szCs w:val="19"/>
        </w:rPr>
        <w:t xml:space="preserve">, H., Bar, E., Tamari, T., Menda, N., et al. (2003). Volatile ester formation in roses. Identification of an </w:t>
      </w:r>
      <w:proofErr w:type="spellStart"/>
      <w:r>
        <w:rPr>
          <w:rFonts w:cs="Arial"/>
          <w:color w:val="333333"/>
          <w:sz w:val="19"/>
          <w:szCs w:val="19"/>
        </w:rPr>
        <w:t>acetyl-</w:t>
      </w:r>
      <w:proofErr w:type="gramStart"/>
      <w:r>
        <w:rPr>
          <w:rFonts w:cs="Arial"/>
          <w:color w:val="333333"/>
          <w:sz w:val="19"/>
          <w:szCs w:val="19"/>
        </w:rPr>
        <w:t>CoA:alcohol</w:t>
      </w:r>
      <w:proofErr w:type="spellEnd"/>
      <w:proofErr w:type="gramEnd"/>
      <w:r>
        <w:rPr>
          <w:rFonts w:cs="Arial"/>
          <w:color w:val="333333"/>
          <w:sz w:val="19"/>
          <w:szCs w:val="19"/>
        </w:rPr>
        <w:t xml:space="preserve"> acetyltransferase (SAAT) enzyme. Plant Physiology, 131(4), 1868-1876.</w:t>
      </w:r>
    </w:p>
    <w:p w14:paraId="0F199D70" w14:textId="77777777" w:rsidR="00527DD4" w:rsidRDefault="00C40E16">
      <w:pPr>
        <w:spacing w:before="80" w:after="80" w:line="320" w:lineRule="auto"/>
        <w:ind w:left="720" w:hanging="720"/>
      </w:pPr>
      <w:r>
        <w:rPr>
          <w:rFonts w:cs="Arial"/>
          <w:color w:val="333333"/>
          <w:sz w:val="19"/>
          <w:szCs w:val="19"/>
        </w:rPr>
        <w:t>Tanaka, Y., Katsumoto, Y., Brugliera, F., &amp; Mason, J. (2005). Genetic engineering in floriculture. Plant Cell, Tissue and Organ Culture, 80(1), 1-24.</w:t>
      </w:r>
    </w:p>
    <w:p w14:paraId="64B991AA" w14:textId="77777777" w:rsidR="00527DD4" w:rsidRDefault="00C40E16">
      <w:pPr>
        <w:spacing w:before="80" w:after="80" w:line="320" w:lineRule="auto"/>
        <w:ind w:left="720" w:hanging="720"/>
      </w:pPr>
      <w:r>
        <w:rPr>
          <w:rFonts w:cs="Arial"/>
          <w:color w:val="333333"/>
          <w:sz w:val="19"/>
          <w:szCs w:val="19"/>
        </w:rPr>
        <w:t xml:space="preserve">Watanabe, K., Oda-Yamamizo, C., Sage-Ono, K., </w:t>
      </w:r>
      <w:proofErr w:type="spellStart"/>
      <w:r>
        <w:rPr>
          <w:rFonts w:cs="Arial"/>
          <w:color w:val="333333"/>
          <w:sz w:val="19"/>
          <w:szCs w:val="19"/>
        </w:rPr>
        <w:t>Ohmiya</w:t>
      </w:r>
      <w:proofErr w:type="spellEnd"/>
      <w:r>
        <w:rPr>
          <w:rFonts w:cs="Arial"/>
          <w:color w:val="333333"/>
          <w:sz w:val="19"/>
          <w:szCs w:val="19"/>
        </w:rPr>
        <w:t>, A., &amp; Ono, M. (2018). Alteration of flower colour in Ipomoea nil through CRISPR/Cas9-mediated mutagenesis of carotenoid cleavage dioxygenase 4. Transgenic Research, 27(1), 25-38.</w:t>
      </w:r>
    </w:p>
    <w:p w14:paraId="3E161C5C" w14:textId="77777777" w:rsidR="00527DD4" w:rsidRDefault="00C40E16">
      <w:pPr>
        <w:spacing w:before="80" w:after="80" w:line="320" w:lineRule="auto"/>
        <w:ind w:left="720" w:hanging="720"/>
      </w:pPr>
      <w:r>
        <w:rPr>
          <w:rFonts w:cs="Arial"/>
          <w:color w:val="333333"/>
          <w:sz w:val="19"/>
          <w:szCs w:val="19"/>
        </w:rPr>
        <w:t>Wilkinson, J. Q., Lanahan, M. B., Clark, D. G., Bleecker, A. B., Chang, C., Meyerowitz, E. M., &amp; Klee, H. J. (1997). A dominant mutant receptor from Arabidopsis confers ethylene insensitivity in heterologous plants. Nature Biotechnology, 15(5), 444-447.</w:t>
      </w:r>
    </w:p>
    <w:p w14:paraId="714ABF4C" w14:textId="77777777" w:rsidR="00527DD4" w:rsidRDefault="00C40E16">
      <w:pPr>
        <w:spacing w:before="80" w:after="80" w:line="320" w:lineRule="auto"/>
        <w:ind w:left="720" w:hanging="720"/>
      </w:pPr>
      <w:r>
        <w:rPr>
          <w:rFonts w:cs="Arial"/>
          <w:color w:val="333333"/>
          <w:sz w:val="19"/>
          <w:szCs w:val="19"/>
        </w:rPr>
        <w:t xml:space="preserve">Zuker, A., </w:t>
      </w:r>
      <w:proofErr w:type="spellStart"/>
      <w:r>
        <w:rPr>
          <w:rFonts w:cs="Arial"/>
          <w:color w:val="333333"/>
          <w:sz w:val="19"/>
          <w:szCs w:val="19"/>
        </w:rPr>
        <w:t>Tzfira</w:t>
      </w:r>
      <w:proofErr w:type="spellEnd"/>
      <w:r>
        <w:rPr>
          <w:rFonts w:cs="Arial"/>
          <w:color w:val="333333"/>
          <w:sz w:val="19"/>
          <w:szCs w:val="19"/>
        </w:rPr>
        <w:t xml:space="preserve">, T., Ben-Meir, H., </w:t>
      </w:r>
      <w:proofErr w:type="spellStart"/>
      <w:r>
        <w:rPr>
          <w:rFonts w:cs="Arial"/>
          <w:color w:val="333333"/>
          <w:sz w:val="19"/>
          <w:szCs w:val="19"/>
        </w:rPr>
        <w:t>Ovadis</w:t>
      </w:r>
      <w:proofErr w:type="spellEnd"/>
      <w:r>
        <w:rPr>
          <w:rFonts w:cs="Arial"/>
          <w:color w:val="333333"/>
          <w:sz w:val="19"/>
          <w:szCs w:val="19"/>
        </w:rPr>
        <w:t xml:space="preserve">, M., </w:t>
      </w:r>
      <w:proofErr w:type="spellStart"/>
      <w:r>
        <w:rPr>
          <w:rFonts w:cs="Arial"/>
          <w:color w:val="333333"/>
          <w:sz w:val="19"/>
          <w:szCs w:val="19"/>
        </w:rPr>
        <w:t>Shklarman</w:t>
      </w:r>
      <w:proofErr w:type="spellEnd"/>
      <w:r>
        <w:rPr>
          <w:rFonts w:cs="Arial"/>
          <w:color w:val="333333"/>
          <w:sz w:val="19"/>
          <w:szCs w:val="19"/>
        </w:rPr>
        <w:t xml:space="preserve">, E., Itzhaki, H., et al. (2002). Modification of flower </w:t>
      </w:r>
      <w:proofErr w:type="spellStart"/>
      <w:r>
        <w:rPr>
          <w:rFonts w:cs="Arial"/>
          <w:color w:val="333333"/>
          <w:sz w:val="19"/>
          <w:szCs w:val="19"/>
        </w:rPr>
        <w:t>color</w:t>
      </w:r>
      <w:proofErr w:type="spellEnd"/>
      <w:r>
        <w:rPr>
          <w:rFonts w:cs="Arial"/>
          <w:color w:val="333333"/>
          <w:sz w:val="19"/>
          <w:szCs w:val="19"/>
        </w:rPr>
        <w:t xml:space="preserve"> and fragrance by antisense suppression of the flavanone 3-hydroxylase gene. Molecular Breeding, 9(1), 33-41.</w:t>
      </w:r>
    </w:p>
    <w:sectPr w:rsidR="00527DD4">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33AE" w14:textId="77777777" w:rsidR="008064EB" w:rsidRDefault="008064EB">
      <w:r>
        <w:separator/>
      </w:r>
    </w:p>
  </w:endnote>
  <w:endnote w:type="continuationSeparator" w:id="0">
    <w:p w14:paraId="3DA5D099" w14:textId="77777777" w:rsidR="008064EB" w:rsidRDefault="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938D8" w14:textId="77777777" w:rsidR="00782C9F" w:rsidRDefault="00782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B918" w14:textId="77777777" w:rsidR="00782C9F" w:rsidRDefault="00782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C304" w14:textId="77777777" w:rsidR="00782C9F" w:rsidRDefault="00782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21FBD" w14:textId="77777777" w:rsidR="008064EB" w:rsidRDefault="008064EB">
      <w:r>
        <w:separator/>
      </w:r>
    </w:p>
  </w:footnote>
  <w:footnote w:type="continuationSeparator" w:id="0">
    <w:p w14:paraId="5BB5F803" w14:textId="77777777" w:rsidR="008064EB" w:rsidRDefault="0080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154C" w14:textId="7437AE9A" w:rsidR="00782C9F" w:rsidRDefault="00782C9F">
    <w:pPr>
      <w:pStyle w:val="Header"/>
    </w:pPr>
    <w:r>
      <w:rPr>
        <w:noProof/>
      </w:rPr>
      <w:pict w14:anchorId="2C05C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0"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C0F4" w14:textId="3DCB2208" w:rsidR="00782C9F" w:rsidRDefault="00782C9F">
    <w:pPr>
      <w:pStyle w:val="Header"/>
    </w:pPr>
    <w:r>
      <w:rPr>
        <w:noProof/>
      </w:rPr>
      <w:pict w14:anchorId="11748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61"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61B7" w14:textId="5104E34C" w:rsidR="00782C9F" w:rsidRDefault="00782C9F">
    <w:pPr>
      <w:pStyle w:val="Header"/>
    </w:pPr>
    <w:r>
      <w:rPr>
        <w:noProof/>
      </w:rPr>
      <w:pict w14:anchorId="0C6D1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4859"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77926"/>
    <w:multiLevelType w:val="hybridMultilevel"/>
    <w:tmpl w:val="12908D96"/>
    <w:lvl w:ilvl="0" w:tplc="53425FEE">
      <w:start w:val="1"/>
      <w:numFmt w:val="bullet"/>
      <w:lvlText w:val="●"/>
      <w:lvlJc w:val="left"/>
      <w:pPr>
        <w:ind w:left="720" w:hanging="360"/>
      </w:pPr>
    </w:lvl>
    <w:lvl w:ilvl="1" w:tplc="86A25A64">
      <w:start w:val="1"/>
      <w:numFmt w:val="bullet"/>
      <w:lvlText w:val="○"/>
      <w:lvlJc w:val="left"/>
      <w:pPr>
        <w:ind w:left="1440" w:hanging="360"/>
      </w:pPr>
    </w:lvl>
    <w:lvl w:ilvl="2" w:tplc="2B9AFD9E">
      <w:start w:val="1"/>
      <w:numFmt w:val="bullet"/>
      <w:lvlText w:val="■"/>
      <w:lvlJc w:val="left"/>
      <w:pPr>
        <w:ind w:left="2160" w:hanging="360"/>
      </w:pPr>
    </w:lvl>
    <w:lvl w:ilvl="3" w:tplc="3C54D61A">
      <w:start w:val="1"/>
      <w:numFmt w:val="bullet"/>
      <w:lvlText w:val="●"/>
      <w:lvlJc w:val="left"/>
      <w:pPr>
        <w:ind w:left="2880" w:hanging="360"/>
      </w:pPr>
    </w:lvl>
    <w:lvl w:ilvl="4" w:tplc="36329ACC">
      <w:start w:val="1"/>
      <w:numFmt w:val="bullet"/>
      <w:lvlText w:val="○"/>
      <w:lvlJc w:val="left"/>
      <w:pPr>
        <w:ind w:left="3600" w:hanging="360"/>
      </w:pPr>
    </w:lvl>
    <w:lvl w:ilvl="5" w:tplc="090EB69A">
      <w:start w:val="1"/>
      <w:numFmt w:val="bullet"/>
      <w:lvlText w:val="■"/>
      <w:lvlJc w:val="left"/>
      <w:pPr>
        <w:ind w:left="4320" w:hanging="360"/>
      </w:pPr>
    </w:lvl>
    <w:lvl w:ilvl="6" w:tplc="D8BA0602">
      <w:start w:val="1"/>
      <w:numFmt w:val="bullet"/>
      <w:lvlText w:val="●"/>
      <w:lvlJc w:val="left"/>
      <w:pPr>
        <w:ind w:left="5040" w:hanging="360"/>
      </w:pPr>
    </w:lvl>
    <w:lvl w:ilvl="7" w:tplc="FD90308A">
      <w:start w:val="1"/>
      <w:numFmt w:val="bullet"/>
      <w:lvlText w:val="●"/>
      <w:lvlJc w:val="left"/>
      <w:pPr>
        <w:ind w:left="5760" w:hanging="360"/>
      </w:pPr>
    </w:lvl>
    <w:lvl w:ilvl="8" w:tplc="934C567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7DD4"/>
    <w:rsid w:val="0003316F"/>
    <w:rsid w:val="00112EF0"/>
    <w:rsid w:val="00410D7A"/>
    <w:rsid w:val="0045039E"/>
    <w:rsid w:val="004A2462"/>
    <w:rsid w:val="00527DD4"/>
    <w:rsid w:val="00782C9F"/>
    <w:rsid w:val="008064EB"/>
    <w:rsid w:val="00AF36E6"/>
    <w:rsid w:val="00BF02C2"/>
    <w:rsid w:val="00C40E1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79E56"/>
  <w15:docId w15:val="{21DABB4B-C93E-42EB-96A4-EFBB8380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320" w:after="160"/>
      <w:outlineLvl w:val="0"/>
    </w:pPr>
    <w:rPr>
      <w:b/>
      <w:bCs/>
      <w:color w:val="1F5C2E"/>
      <w:sz w:val="28"/>
      <w:szCs w:val="28"/>
    </w:rPr>
  </w:style>
  <w:style w:type="paragraph" w:styleId="Heading2">
    <w:name w:val="heading 2"/>
    <w:qFormat/>
    <w:pPr>
      <w:spacing w:before="240" w:after="120"/>
      <w:outlineLvl w:val="1"/>
    </w:pPr>
    <w:rPr>
      <w:b/>
      <w:bCs/>
      <w:color w:val="2E8B57"/>
      <w:sz w:val="24"/>
      <w:szCs w:val="24"/>
    </w:rPr>
  </w:style>
  <w:style w:type="paragraph" w:styleId="Heading3">
    <w:name w:val="heading 3"/>
    <w:qFormat/>
    <w:pPr>
      <w:spacing w:before="200" w:after="80"/>
      <w:outlineLvl w:val="2"/>
    </w:pPr>
    <w:rPr>
      <w:b/>
      <w:bCs/>
      <w:color w:val="2C6E49"/>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0E16"/>
    <w:pPr>
      <w:tabs>
        <w:tab w:val="center" w:pos="4513"/>
        <w:tab w:val="right" w:pos="9026"/>
      </w:tabs>
    </w:pPr>
    <w:rPr>
      <w:szCs w:val="20"/>
    </w:rPr>
  </w:style>
  <w:style w:type="character" w:customStyle="1" w:styleId="HeaderChar">
    <w:name w:val="Header Char"/>
    <w:basedOn w:val="DefaultParagraphFont"/>
    <w:link w:val="Header"/>
    <w:uiPriority w:val="99"/>
    <w:rsid w:val="00C40E16"/>
    <w:rPr>
      <w:rFonts w:cs="Mangal"/>
      <w:szCs w:val="20"/>
    </w:rPr>
  </w:style>
  <w:style w:type="paragraph" w:styleId="Footer">
    <w:name w:val="footer"/>
    <w:basedOn w:val="Normal"/>
    <w:link w:val="FooterChar"/>
    <w:uiPriority w:val="99"/>
    <w:unhideWhenUsed/>
    <w:rsid w:val="00C40E16"/>
    <w:pPr>
      <w:tabs>
        <w:tab w:val="center" w:pos="4513"/>
        <w:tab w:val="right" w:pos="9026"/>
      </w:tabs>
    </w:pPr>
    <w:rPr>
      <w:szCs w:val="20"/>
    </w:rPr>
  </w:style>
  <w:style w:type="character" w:customStyle="1" w:styleId="FooterChar">
    <w:name w:val="Footer Char"/>
    <w:basedOn w:val="DefaultParagraphFont"/>
    <w:link w:val="Footer"/>
    <w:uiPriority w:val="99"/>
    <w:rsid w:val="00C40E16"/>
    <w:rPr>
      <w:rFonts w:cs="Mangal"/>
      <w:szCs w:val="20"/>
    </w:rPr>
  </w:style>
  <w:style w:type="paragraph" w:styleId="BalloonText">
    <w:name w:val="Balloon Text"/>
    <w:basedOn w:val="Normal"/>
    <w:link w:val="BalloonTextChar"/>
    <w:uiPriority w:val="99"/>
    <w:semiHidden/>
    <w:unhideWhenUsed/>
    <w:rsid w:val="00C40E16"/>
    <w:rPr>
      <w:rFonts w:ascii="Tahoma" w:hAnsi="Tahoma"/>
      <w:sz w:val="16"/>
      <w:szCs w:val="14"/>
    </w:rPr>
  </w:style>
  <w:style w:type="character" w:customStyle="1" w:styleId="BalloonTextChar">
    <w:name w:val="Balloon Text Char"/>
    <w:basedOn w:val="DefaultParagraphFont"/>
    <w:link w:val="BalloonText"/>
    <w:uiPriority w:val="99"/>
    <w:semiHidden/>
    <w:rsid w:val="00C40E16"/>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4872</Words>
  <Characters>27777</Characters>
  <Application>Microsoft Office Word</Application>
  <DocSecurity>0</DocSecurity>
  <Lines>231</Lines>
  <Paragraphs>65</Paragraphs>
  <ScaleCrop>false</ScaleCrop>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6</cp:revision>
  <dcterms:created xsi:type="dcterms:W3CDTF">2026-03-28T16:07:00Z</dcterms:created>
  <dcterms:modified xsi:type="dcterms:W3CDTF">2026-03-30T12:59:00Z</dcterms:modified>
</cp:coreProperties>
</file>