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37D4D" w14:textId="75AFD712" w:rsidR="00B43974" w:rsidRDefault="00223189" w:rsidP="00223189">
      <w:pPr>
        <w:pStyle w:val="NoSpacing"/>
        <w:jc w:val="right"/>
        <w:rPr>
          <w:rFonts w:ascii="Times New Roman" w:hAnsi="Times New Roman" w:cs="Times New Roman"/>
          <w:b/>
          <w:bCs/>
          <w:i/>
          <w:iCs/>
          <w:sz w:val="32"/>
          <w:szCs w:val="32"/>
          <w:u w:val="single"/>
        </w:rPr>
      </w:pPr>
      <w:r w:rsidRPr="00223189">
        <w:rPr>
          <w:rFonts w:ascii="Times New Roman" w:hAnsi="Times New Roman" w:cs="Times New Roman"/>
          <w:b/>
          <w:bCs/>
          <w:i/>
          <w:iCs/>
          <w:sz w:val="32"/>
          <w:szCs w:val="32"/>
          <w:u w:val="single"/>
        </w:rPr>
        <w:t>Review article</w:t>
      </w:r>
    </w:p>
    <w:p w14:paraId="0D3C3E35" w14:textId="77777777" w:rsidR="00223189" w:rsidRPr="00223189" w:rsidRDefault="00223189" w:rsidP="00223189">
      <w:pPr>
        <w:pStyle w:val="NoSpacing"/>
      </w:pPr>
    </w:p>
    <w:p w14:paraId="6345241A" w14:textId="17B05114" w:rsidR="00223189" w:rsidRDefault="00223189" w:rsidP="00223189">
      <w:pPr>
        <w:pStyle w:val="NoSpacing"/>
        <w:jc w:val="right"/>
        <w:rPr>
          <w:rFonts w:ascii="Times New Roman" w:hAnsi="Times New Roman" w:cs="Times New Roman"/>
          <w:b/>
          <w:bCs/>
          <w:sz w:val="32"/>
          <w:szCs w:val="32"/>
        </w:rPr>
      </w:pPr>
      <w:r w:rsidRPr="00223189">
        <w:rPr>
          <w:rFonts w:ascii="Times New Roman" w:hAnsi="Times New Roman" w:cs="Times New Roman"/>
          <w:b/>
          <w:bCs/>
          <w:sz w:val="32"/>
          <w:szCs w:val="32"/>
        </w:rPr>
        <w:t>Next-Generation Breeding: Integrating Multi-Omics and Artificial Intelligence for Advancing Nutritional and Food Security</w:t>
      </w:r>
    </w:p>
    <w:p w14:paraId="2C57C530" w14:textId="77777777" w:rsidR="00223189" w:rsidRPr="00223189" w:rsidRDefault="00223189" w:rsidP="00223189">
      <w:pPr>
        <w:pStyle w:val="NoSpacing"/>
      </w:pPr>
    </w:p>
    <w:p w14:paraId="56C685D8" w14:textId="7EBAE673" w:rsidR="00223189" w:rsidRDefault="00223189" w:rsidP="00223189">
      <w:pPr>
        <w:pStyle w:val="NoSpacing"/>
        <w:jc w:val="right"/>
        <w:rPr>
          <w:rFonts w:ascii="Times New Roman" w:hAnsi="Times New Roman" w:cs="Times New Roman"/>
        </w:rPr>
      </w:pPr>
    </w:p>
    <w:p w14:paraId="6327C183" w14:textId="77777777" w:rsidR="000E0E5E" w:rsidRDefault="000E0E5E" w:rsidP="00223189">
      <w:pPr>
        <w:pStyle w:val="NoSpacing"/>
        <w:jc w:val="right"/>
        <w:rPr>
          <w:rFonts w:ascii="Times New Roman" w:hAnsi="Times New Roman" w:cs="Times New Roman"/>
        </w:rPr>
      </w:pPr>
      <w:bookmarkStart w:id="0" w:name="_GoBack"/>
      <w:bookmarkEnd w:id="0"/>
    </w:p>
    <w:p w14:paraId="1D80D1E6" w14:textId="6B4B9684" w:rsidR="00223189" w:rsidRPr="00F82FC9" w:rsidRDefault="00223189" w:rsidP="00F82FC9">
      <w:pPr>
        <w:pStyle w:val="NoSpacing"/>
        <w:spacing w:line="276" w:lineRule="auto"/>
        <w:jc w:val="center"/>
        <w:rPr>
          <w:rFonts w:ascii="Times New Roman" w:hAnsi="Times New Roman" w:cs="Times New Roman"/>
          <w:b/>
          <w:bCs/>
        </w:rPr>
      </w:pPr>
      <w:r w:rsidRPr="00F82FC9">
        <w:rPr>
          <w:rFonts w:ascii="Times New Roman" w:hAnsi="Times New Roman" w:cs="Times New Roman"/>
          <w:b/>
          <w:bCs/>
        </w:rPr>
        <w:t>Abstract</w:t>
      </w:r>
    </w:p>
    <w:p w14:paraId="5789C984" w14:textId="50E27269" w:rsidR="00CF5704" w:rsidRPr="00CF5704" w:rsidRDefault="00CF5704" w:rsidP="00CF5704">
      <w:pPr>
        <w:pStyle w:val="NoSpacing"/>
        <w:spacing w:line="276" w:lineRule="auto"/>
        <w:rPr>
          <w:rFonts w:ascii="Times New Roman" w:hAnsi="Times New Roman" w:cs="Times New Roman"/>
        </w:rPr>
      </w:pPr>
      <w:r w:rsidRPr="00CF5704">
        <w:rPr>
          <w:rFonts w:ascii="Times New Roman" w:hAnsi="Times New Roman" w:cs="Times New Roman"/>
        </w:rPr>
        <w:t>Global food and nutritional security are increasingly challenged by rapid population growth, climate change, and the prevalence of micronutrient deficiencies, commonly referred to as hidden hunger. Conventional plant breeding approaches, although successful in improving crop productivity, are often limited by low precision, long breeding cycles, and inefficiency in dissecting complex traits such as yield, stress tolerance, and nutritional quality. In recent years, the integration of multi-omics technologies</w:t>
      </w:r>
      <w:r>
        <w:rPr>
          <w:rFonts w:ascii="Times New Roman" w:hAnsi="Times New Roman" w:cs="Times New Roman"/>
        </w:rPr>
        <w:t xml:space="preserve"> </w:t>
      </w:r>
      <w:r w:rsidRPr="00CF5704">
        <w:rPr>
          <w:rFonts w:ascii="Times New Roman" w:hAnsi="Times New Roman" w:cs="Times New Roman"/>
        </w:rPr>
        <w:t>encompassing genomics, transcriptomics, proteomics, metabolomics, phenomics, and epigenomics</w:t>
      </w:r>
      <w:r>
        <w:rPr>
          <w:rFonts w:ascii="Times New Roman" w:hAnsi="Times New Roman" w:cs="Times New Roman"/>
        </w:rPr>
        <w:t xml:space="preserve"> </w:t>
      </w:r>
      <w:r w:rsidRPr="00CF5704">
        <w:rPr>
          <w:rFonts w:ascii="Times New Roman" w:hAnsi="Times New Roman" w:cs="Times New Roman"/>
        </w:rPr>
        <w:t>has revolutionized crop improvement by enabling a comprehensive understanding of biological systems at multiple regulatory levels. These approaches facilitate the identification of key genes, pathways, and molecular interactions underlying agronomically important traits.</w:t>
      </w:r>
      <w:r>
        <w:rPr>
          <w:rFonts w:ascii="Times New Roman" w:hAnsi="Times New Roman" w:cs="Times New Roman"/>
        </w:rPr>
        <w:t xml:space="preserve"> </w:t>
      </w:r>
      <w:r w:rsidRPr="00CF5704">
        <w:rPr>
          <w:rFonts w:ascii="Times New Roman" w:hAnsi="Times New Roman" w:cs="Times New Roman"/>
        </w:rPr>
        <w:t xml:space="preserve">Simultaneously, advances in artificial intelligence (AI) and machine learning (ML) have provided powerful tools for </w:t>
      </w:r>
      <w:proofErr w:type="spellStart"/>
      <w:r w:rsidRPr="00CF5704">
        <w:rPr>
          <w:rFonts w:ascii="Times New Roman" w:hAnsi="Times New Roman" w:cs="Times New Roman"/>
        </w:rPr>
        <w:t>analyzing</w:t>
      </w:r>
      <w:proofErr w:type="spellEnd"/>
      <w:r w:rsidRPr="00CF5704">
        <w:rPr>
          <w:rFonts w:ascii="Times New Roman" w:hAnsi="Times New Roman" w:cs="Times New Roman"/>
        </w:rPr>
        <w:t xml:space="preserve"> large-scale, high-dimensional datasets generated through omics platforms. AI-driven models enhance predictive accuracy, enable genomic selection, and support data-driven decision-making in breeding programs. The integration of multi-omics with AI has significantly improved the efficiency of biofortification strategies aimed at enhancing micronutrients such as iron, zinc, and protein in staple crops, while also contributing to yield improvement and climate resilience.</w:t>
      </w:r>
      <w:r>
        <w:rPr>
          <w:rFonts w:ascii="Times New Roman" w:hAnsi="Times New Roman" w:cs="Times New Roman"/>
        </w:rPr>
        <w:t xml:space="preserve"> </w:t>
      </w:r>
      <w:r w:rsidRPr="00CF5704">
        <w:rPr>
          <w:rFonts w:ascii="Times New Roman" w:hAnsi="Times New Roman" w:cs="Times New Roman"/>
        </w:rPr>
        <w:t>This review synthesizes recent advancements in multi-omics and AI applications in plant breeding, with a particular focus on their role in improving nutritional traits and ensuring sustainable food systems. It also discusses key challenges, including data integration complexities, computational limitations, and phenotyping bottlenecks, along with future prospects for precision breeding. The convergence of these technologies represents a paradigm shift toward predictive, efficient, and sustainable crop improvement strategies.</w:t>
      </w:r>
    </w:p>
    <w:p w14:paraId="5C04A4EB" w14:textId="703F49CC" w:rsidR="00CF5704" w:rsidRPr="00CF5704" w:rsidRDefault="00CF5704" w:rsidP="00CF5704">
      <w:pPr>
        <w:pStyle w:val="NoSpacing"/>
      </w:pPr>
    </w:p>
    <w:p w14:paraId="283409FF" w14:textId="0C5FC397" w:rsidR="00CF5704" w:rsidRPr="00CF5704" w:rsidRDefault="00CF5704" w:rsidP="00CF5704">
      <w:pPr>
        <w:pStyle w:val="NoSpacing"/>
        <w:spacing w:line="276" w:lineRule="auto"/>
        <w:rPr>
          <w:rFonts w:ascii="Times New Roman" w:hAnsi="Times New Roman" w:cs="Times New Roman"/>
          <w:i/>
          <w:iCs/>
        </w:rPr>
      </w:pPr>
      <w:r w:rsidRPr="00CF5704">
        <w:rPr>
          <w:rFonts w:ascii="Times New Roman" w:hAnsi="Times New Roman" w:cs="Times New Roman"/>
          <w:b/>
          <w:bCs/>
          <w:i/>
          <w:iCs/>
        </w:rPr>
        <w:t xml:space="preserve">Keywords: </w:t>
      </w:r>
      <w:r w:rsidRPr="00CF5704">
        <w:rPr>
          <w:rFonts w:ascii="Times New Roman" w:hAnsi="Times New Roman" w:cs="Times New Roman"/>
          <w:i/>
          <w:iCs/>
        </w:rPr>
        <w:t>Multi-omics, Artificial intelligence, Machine learning, Genomics, Phenomics, Biofortification, Nutritional security, Precision breeding</w:t>
      </w:r>
    </w:p>
    <w:p w14:paraId="79517C66" w14:textId="175D4FCB" w:rsidR="003F7F22" w:rsidRPr="003F7F22" w:rsidRDefault="003F7F22" w:rsidP="00F82FC9">
      <w:pPr>
        <w:pStyle w:val="NoSpacing"/>
        <w:spacing w:line="276" w:lineRule="auto"/>
        <w:rPr>
          <w:rFonts w:ascii="Times New Roman" w:hAnsi="Times New Roman" w:cs="Times New Roman"/>
        </w:rPr>
      </w:pPr>
    </w:p>
    <w:p w14:paraId="5C83B780" w14:textId="77777777" w:rsidR="004A3020" w:rsidRPr="004A3020" w:rsidRDefault="004A3020" w:rsidP="004A3020">
      <w:pPr>
        <w:pStyle w:val="NoSpacing"/>
        <w:spacing w:line="276" w:lineRule="auto"/>
        <w:rPr>
          <w:rFonts w:ascii="Times New Roman" w:hAnsi="Times New Roman" w:cs="Times New Roman"/>
          <w:b/>
          <w:bCs/>
        </w:rPr>
      </w:pPr>
      <w:r w:rsidRPr="004A3020">
        <w:rPr>
          <w:rFonts w:ascii="Times New Roman" w:hAnsi="Times New Roman" w:cs="Times New Roman"/>
          <w:b/>
          <w:bCs/>
        </w:rPr>
        <w:t>1. Introduction</w:t>
      </w:r>
    </w:p>
    <w:p w14:paraId="44238955" w14:textId="77777777" w:rsidR="004A3020" w:rsidRPr="004A3020" w:rsidRDefault="004A3020" w:rsidP="004A3020">
      <w:pPr>
        <w:pStyle w:val="NoSpacing"/>
        <w:spacing w:line="276" w:lineRule="auto"/>
        <w:rPr>
          <w:rFonts w:ascii="Times New Roman" w:hAnsi="Times New Roman" w:cs="Times New Roman"/>
          <w:b/>
          <w:bCs/>
        </w:rPr>
      </w:pPr>
      <w:r w:rsidRPr="004A3020">
        <w:rPr>
          <w:rFonts w:ascii="Times New Roman" w:hAnsi="Times New Roman" w:cs="Times New Roman"/>
          <w:b/>
          <w:bCs/>
        </w:rPr>
        <w:t>1.1 Global Food and Nutritional Security Challenges</w:t>
      </w:r>
    </w:p>
    <w:p w14:paraId="225867EF" w14:textId="77777777" w:rsidR="004A3020" w:rsidRPr="004A3020" w:rsidRDefault="004A3020" w:rsidP="004A3020">
      <w:pPr>
        <w:pStyle w:val="NoSpacing"/>
        <w:spacing w:line="276" w:lineRule="auto"/>
        <w:rPr>
          <w:rFonts w:ascii="Times New Roman" w:hAnsi="Times New Roman" w:cs="Times New Roman"/>
        </w:rPr>
      </w:pPr>
      <w:r w:rsidRPr="004A3020">
        <w:rPr>
          <w:rFonts w:ascii="Times New Roman" w:hAnsi="Times New Roman" w:cs="Times New Roman"/>
        </w:rPr>
        <w:t xml:space="preserve">Global food and nutritional security remain critical challenges in the context of rapid population growth, environmental degradation, and changing climatic conditions. It is projected that the global population will surpass 9.7 billion by 2050, significantly increasing the demand for food and nutrient-rich agricultural products (FAO, 2021). Despite substantial gains in crop productivity during the Green Revolution, malnutrition persists, particularly in the form of </w:t>
      </w:r>
      <w:r w:rsidRPr="004A3020">
        <w:rPr>
          <w:rFonts w:ascii="Times New Roman" w:hAnsi="Times New Roman" w:cs="Times New Roman"/>
          <w:i/>
          <w:iCs/>
        </w:rPr>
        <w:t>hidden hunger</w:t>
      </w:r>
      <w:r w:rsidRPr="004A3020">
        <w:rPr>
          <w:rFonts w:ascii="Times New Roman" w:hAnsi="Times New Roman" w:cs="Times New Roman"/>
        </w:rPr>
        <w:t>, which is characterized by deficiencies in essential micronutrients such as iron, zinc, and vitamin A (Ritchie &amp; Roser, 2020). This issue is especially pronounced in developing regions where diets are heavily dependent on staple crops with low nutritional diversity.</w:t>
      </w:r>
    </w:p>
    <w:p w14:paraId="3497FE70" w14:textId="77777777" w:rsidR="004A3020" w:rsidRPr="004A3020" w:rsidRDefault="004A3020" w:rsidP="004A3020">
      <w:pPr>
        <w:pStyle w:val="NoSpacing"/>
        <w:spacing w:line="276" w:lineRule="auto"/>
        <w:rPr>
          <w:rFonts w:ascii="Times New Roman" w:hAnsi="Times New Roman" w:cs="Times New Roman"/>
        </w:rPr>
      </w:pPr>
      <w:r w:rsidRPr="004A3020">
        <w:rPr>
          <w:rFonts w:ascii="Times New Roman" w:hAnsi="Times New Roman" w:cs="Times New Roman"/>
        </w:rPr>
        <w:t xml:space="preserve">Simultaneously, climate change is emerging as a major threat to agricultural sustainability. Increasing temperatures, erratic precipitation patterns, and the frequency of extreme weather events are negatively impacting crop productivity and stability. These environmental stresses not only </w:t>
      </w:r>
      <w:r w:rsidRPr="004A3020">
        <w:rPr>
          <w:rFonts w:ascii="Times New Roman" w:hAnsi="Times New Roman" w:cs="Times New Roman"/>
        </w:rPr>
        <w:lastRenderedPageBreak/>
        <w:t>reduce yields but also alter crop nutritional composition. Elevated atmospheric CO₂ levels, for instance, have been shown to reduce protein, iron, and zinc concentrations in major cereal crops (Myers et al., 2014). Therefore, there is an urgent need to develop climate-resilient and nutritionally enhanced crop varieties to ensure sustainable food systems.</w:t>
      </w:r>
    </w:p>
    <w:p w14:paraId="4608D485" w14:textId="4748B4C4" w:rsidR="004A3020" w:rsidRPr="004A3020" w:rsidRDefault="004A3020" w:rsidP="004A3020">
      <w:pPr>
        <w:pStyle w:val="NoSpacing"/>
        <w:spacing w:line="276" w:lineRule="auto"/>
        <w:rPr>
          <w:rFonts w:ascii="Times New Roman" w:hAnsi="Times New Roman" w:cs="Times New Roman"/>
        </w:rPr>
      </w:pPr>
    </w:p>
    <w:p w14:paraId="5BCDD73E" w14:textId="77777777" w:rsidR="004A3020" w:rsidRPr="004A3020" w:rsidRDefault="004A3020" w:rsidP="004A3020">
      <w:pPr>
        <w:pStyle w:val="NoSpacing"/>
        <w:spacing w:line="276" w:lineRule="auto"/>
        <w:rPr>
          <w:rFonts w:ascii="Times New Roman" w:hAnsi="Times New Roman" w:cs="Times New Roman"/>
          <w:b/>
          <w:bCs/>
        </w:rPr>
      </w:pPr>
      <w:r w:rsidRPr="004A3020">
        <w:rPr>
          <w:rFonts w:ascii="Times New Roman" w:hAnsi="Times New Roman" w:cs="Times New Roman"/>
          <w:b/>
          <w:bCs/>
        </w:rPr>
        <w:t>1.2 Limitations of Conventional Breeding</w:t>
      </w:r>
    </w:p>
    <w:p w14:paraId="02C75911" w14:textId="77777777" w:rsidR="004A3020" w:rsidRPr="004A3020" w:rsidRDefault="004A3020" w:rsidP="004A3020">
      <w:pPr>
        <w:pStyle w:val="NoSpacing"/>
        <w:spacing w:line="276" w:lineRule="auto"/>
        <w:rPr>
          <w:rFonts w:ascii="Times New Roman" w:hAnsi="Times New Roman" w:cs="Times New Roman"/>
        </w:rPr>
      </w:pPr>
      <w:r w:rsidRPr="004A3020">
        <w:rPr>
          <w:rFonts w:ascii="Times New Roman" w:hAnsi="Times New Roman" w:cs="Times New Roman"/>
        </w:rPr>
        <w:t>Conventional plant breeding has played a pivotal role in improving crop yield and adaptability. However, traditional breeding approaches rely primarily on phenotypic selection, which is inherently time-consuming and influenced by environmental variability. The process often requires multiple breeding cycles to achieve desirable genetic gains, making it less efficient in addressing rapidly evolving agricultural challenges (Hickey et al., 2019).</w:t>
      </w:r>
    </w:p>
    <w:p w14:paraId="34B09819" w14:textId="77777777" w:rsidR="004A3020" w:rsidRPr="004A3020" w:rsidRDefault="004A3020" w:rsidP="004A3020">
      <w:pPr>
        <w:pStyle w:val="NoSpacing"/>
        <w:spacing w:line="276" w:lineRule="auto"/>
        <w:rPr>
          <w:rFonts w:ascii="Times New Roman" w:hAnsi="Times New Roman" w:cs="Times New Roman"/>
        </w:rPr>
      </w:pPr>
      <w:r w:rsidRPr="004A3020">
        <w:rPr>
          <w:rFonts w:ascii="Times New Roman" w:hAnsi="Times New Roman" w:cs="Times New Roman"/>
        </w:rPr>
        <w:t>Moreover, complex traits such as yield, nutritional quality, and stress tolerance are typically controlled by multiple genes with small effects and strong genotype × environment interactions. Conventional breeding methods have limited capacity to dissect such traits at the molecular level, leading to lower precision and slower progress. The inability to effectively capture underlying genetic architecture further constrains selection efficiency. As a result, there is a growing need for advanced approaches that can enhance precision, reduce breeding cycles, and improve selection accuracy.</w:t>
      </w:r>
    </w:p>
    <w:p w14:paraId="75C7D664" w14:textId="4943C0D0" w:rsidR="004A3020" w:rsidRPr="004A3020" w:rsidRDefault="004A3020" w:rsidP="004A3020">
      <w:pPr>
        <w:pStyle w:val="NoSpacing"/>
        <w:spacing w:line="276" w:lineRule="auto"/>
        <w:rPr>
          <w:rFonts w:ascii="Times New Roman" w:hAnsi="Times New Roman" w:cs="Times New Roman"/>
        </w:rPr>
      </w:pPr>
    </w:p>
    <w:p w14:paraId="0E78ACF9" w14:textId="77777777" w:rsidR="004A3020" w:rsidRPr="004A3020" w:rsidRDefault="004A3020" w:rsidP="004A3020">
      <w:pPr>
        <w:pStyle w:val="NoSpacing"/>
        <w:spacing w:line="276" w:lineRule="auto"/>
        <w:rPr>
          <w:rFonts w:ascii="Times New Roman" w:hAnsi="Times New Roman" w:cs="Times New Roman"/>
          <w:b/>
          <w:bCs/>
        </w:rPr>
      </w:pPr>
      <w:r w:rsidRPr="004A3020">
        <w:rPr>
          <w:rFonts w:ascii="Times New Roman" w:hAnsi="Times New Roman" w:cs="Times New Roman"/>
          <w:b/>
          <w:bCs/>
        </w:rPr>
        <w:t>1.3 Emergence of Omics Technologies</w:t>
      </w:r>
    </w:p>
    <w:p w14:paraId="46907CA3" w14:textId="77777777" w:rsidR="004A3020" w:rsidRPr="004A3020" w:rsidRDefault="004A3020" w:rsidP="004A3020">
      <w:pPr>
        <w:pStyle w:val="NoSpacing"/>
        <w:spacing w:line="276" w:lineRule="auto"/>
        <w:rPr>
          <w:rFonts w:ascii="Times New Roman" w:hAnsi="Times New Roman" w:cs="Times New Roman"/>
        </w:rPr>
      </w:pPr>
      <w:r w:rsidRPr="004A3020">
        <w:rPr>
          <w:rFonts w:ascii="Times New Roman" w:hAnsi="Times New Roman" w:cs="Times New Roman"/>
        </w:rPr>
        <w:t>The advent of high-throughput omics technologies has revolutionized plant science by enabling comprehensive analysis of biological systems. Omics approaches—including genomics, transcriptomics, proteomics, metabolomics, and phenomics—provide insights into different layers of biological organization, from DNA sequences to phenotypic traits (Yang et al., 2021).</w:t>
      </w:r>
    </w:p>
    <w:p w14:paraId="300A4B30" w14:textId="77777777" w:rsidR="004A3020" w:rsidRPr="004A3020" w:rsidRDefault="004A3020" w:rsidP="004A3020">
      <w:pPr>
        <w:pStyle w:val="NoSpacing"/>
        <w:spacing w:line="276" w:lineRule="auto"/>
        <w:rPr>
          <w:rFonts w:ascii="Times New Roman" w:hAnsi="Times New Roman" w:cs="Times New Roman"/>
        </w:rPr>
      </w:pPr>
      <w:r w:rsidRPr="004A3020">
        <w:rPr>
          <w:rFonts w:ascii="Times New Roman" w:hAnsi="Times New Roman" w:cs="Times New Roman"/>
        </w:rPr>
        <w:t>Genomics facilitates the identification of genetic variations associated with important agronomic traits through tools such as genome-wide association studies (GWAS) and genomic selection. Transcriptomics provides information on gene expression dynamics under various conditions, while proteomics and metabolomics offer insights into functional and biochemical pathways influencing plant growth and nutritional composition. Phenomics, particularly high-throughput phenotyping, enables precise measurement of plant traits across large populations.</w:t>
      </w:r>
    </w:p>
    <w:p w14:paraId="15F33F57" w14:textId="77777777" w:rsidR="004A3020" w:rsidRPr="004A3020" w:rsidRDefault="004A3020" w:rsidP="004A3020">
      <w:pPr>
        <w:pStyle w:val="NoSpacing"/>
        <w:spacing w:line="276" w:lineRule="auto"/>
        <w:rPr>
          <w:rFonts w:ascii="Times New Roman" w:hAnsi="Times New Roman" w:cs="Times New Roman"/>
        </w:rPr>
      </w:pPr>
      <w:r w:rsidRPr="004A3020">
        <w:rPr>
          <w:rFonts w:ascii="Times New Roman" w:hAnsi="Times New Roman" w:cs="Times New Roman"/>
        </w:rPr>
        <w:t>The integration of these omics layers has shifted plant breeding from a reductionist approach to a systems biology framework, allowing for a more comprehensive understanding of genotype–phenotype relationships. This transition enhances the ability to dissect complex traits and accelerates crop improvement (Weckwerth, 2019).</w:t>
      </w:r>
    </w:p>
    <w:p w14:paraId="2FD1AA59" w14:textId="5645A7D0" w:rsidR="004A3020" w:rsidRPr="004A3020" w:rsidRDefault="004A3020" w:rsidP="004A3020">
      <w:pPr>
        <w:pStyle w:val="NoSpacing"/>
        <w:spacing w:line="276" w:lineRule="auto"/>
        <w:rPr>
          <w:rFonts w:ascii="Times New Roman" w:hAnsi="Times New Roman" w:cs="Times New Roman"/>
        </w:rPr>
      </w:pPr>
    </w:p>
    <w:p w14:paraId="1980E596" w14:textId="77777777" w:rsidR="004A3020" w:rsidRPr="004A3020" w:rsidRDefault="004A3020" w:rsidP="004A3020">
      <w:pPr>
        <w:pStyle w:val="NoSpacing"/>
        <w:spacing w:line="276" w:lineRule="auto"/>
        <w:rPr>
          <w:rFonts w:ascii="Times New Roman" w:hAnsi="Times New Roman" w:cs="Times New Roman"/>
          <w:b/>
          <w:bCs/>
        </w:rPr>
      </w:pPr>
      <w:r w:rsidRPr="004A3020">
        <w:rPr>
          <w:rFonts w:ascii="Times New Roman" w:hAnsi="Times New Roman" w:cs="Times New Roman"/>
          <w:b/>
          <w:bCs/>
        </w:rPr>
        <w:t>1.4 Role of Artificial Intelligence in Agriculture</w:t>
      </w:r>
    </w:p>
    <w:p w14:paraId="00F46963" w14:textId="77777777" w:rsidR="004A3020" w:rsidRPr="004A3020" w:rsidRDefault="004A3020" w:rsidP="004A3020">
      <w:pPr>
        <w:pStyle w:val="NoSpacing"/>
        <w:spacing w:line="276" w:lineRule="auto"/>
        <w:rPr>
          <w:rFonts w:ascii="Times New Roman" w:hAnsi="Times New Roman" w:cs="Times New Roman"/>
        </w:rPr>
      </w:pPr>
      <w:r w:rsidRPr="004A3020">
        <w:rPr>
          <w:rFonts w:ascii="Times New Roman" w:hAnsi="Times New Roman" w:cs="Times New Roman"/>
        </w:rPr>
        <w:t xml:space="preserve">The rapid generation of large-scale omics datasets has introduced significant challenges in data analysis and interpretation. Artificial Intelligence (AI), including machine learning (ML) and deep learning (DL), has emerged as a powerful tool to address these challenges. AI algorithms are capable of </w:t>
      </w:r>
      <w:proofErr w:type="spellStart"/>
      <w:r w:rsidRPr="004A3020">
        <w:rPr>
          <w:rFonts w:ascii="Times New Roman" w:hAnsi="Times New Roman" w:cs="Times New Roman"/>
        </w:rPr>
        <w:t>analyzing</w:t>
      </w:r>
      <w:proofErr w:type="spellEnd"/>
      <w:r w:rsidRPr="004A3020">
        <w:rPr>
          <w:rFonts w:ascii="Times New Roman" w:hAnsi="Times New Roman" w:cs="Times New Roman"/>
        </w:rPr>
        <w:t xml:space="preserve"> high-dimensional datasets, identifying hidden patterns, and generating predictive models with high accuracy (van Dijk et al., 2021).</w:t>
      </w:r>
    </w:p>
    <w:p w14:paraId="3B7BAFCA" w14:textId="77777777" w:rsidR="004A3020" w:rsidRPr="004A3020" w:rsidRDefault="004A3020" w:rsidP="004A3020">
      <w:pPr>
        <w:pStyle w:val="NoSpacing"/>
        <w:spacing w:line="276" w:lineRule="auto"/>
        <w:rPr>
          <w:rFonts w:ascii="Times New Roman" w:hAnsi="Times New Roman" w:cs="Times New Roman"/>
        </w:rPr>
      </w:pPr>
      <w:r w:rsidRPr="004A3020">
        <w:rPr>
          <w:rFonts w:ascii="Times New Roman" w:hAnsi="Times New Roman" w:cs="Times New Roman"/>
        </w:rPr>
        <w:t>In plant breeding, AI is increasingly used for genomic prediction, trait classification, and high-throughput phenotyping. Machine learning models such as Random Forest, Support Vector Machines, and neural networks enable accurate prediction of breeding values and complex trait associations. Deep learning approaches, particularly convolutional neural networks (CNNs), are widely used for image-based phenotyping and disease detection (Singh et al., 2020).</w:t>
      </w:r>
    </w:p>
    <w:p w14:paraId="1313B466" w14:textId="77777777" w:rsidR="004A3020" w:rsidRPr="004A3020" w:rsidRDefault="004A3020" w:rsidP="004A3020">
      <w:pPr>
        <w:pStyle w:val="NoSpacing"/>
        <w:spacing w:line="276" w:lineRule="auto"/>
        <w:rPr>
          <w:rFonts w:ascii="Times New Roman" w:hAnsi="Times New Roman" w:cs="Times New Roman"/>
        </w:rPr>
      </w:pPr>
      <w:r w:rsidRPr="004A3020">
        <w:rPr>
          <w:rFonts w:ascii="Times New Roman" w:hAnsi="Times New Roman" w:cs="Times New Roman"/>
        </w:rPr>
        <w:t xml:space="preserve">Furthermore, AI facilitates the integration of multi-omics datasets through advanced data fusion and network </w:t>
      </w:r>
      <w:proofErr w:type="spellStart"/>
      <w:r w:rsidRPr="004A3020">
        <w:rPr>
          <w:rFonts w:ascii="Times New Roman" w:hAnsi="Times New Roman" w:cs="Times New Roman"/>
        </w:rPr>
        <w:t>modeling</w:t>
      </w:r>
      <w:proofErr w:type="spellEnd"/>
      <w:r w:rsidRPr="004A3020">
        <w:rPr>
          <w:rFonts w:ascii="Times New Roman" w:hAnsi="Times New Roman" w:cs="Times New Roman"/>
        </w:rPr>
        <w:t xml:space="preserve"> techniques. This integration enhances the understanding of biological </w:t>
      </w:r>
      <w:r w:rsidRPr="004A3020">
        <w:rPr>
          <w:rFonts w:ascii="Times New Roman" w:hAnsi="Times New Roman" w:cs="Times New Roman"/>
        </w:rPr>
        <w:lastRenderedPageBreak/>
        <w:t>systems and supports data-driven decision-making in breeding programs. By improving prediction accuracy and reducing breeding cycles, AI-driven approaches are transforming agriculture into a more precise and efficient discipline.</w:t>
      </w:r>
    </w:p>
    <w:p w14:paraId="4C517083" w14:textId="310ACAED" w:rsidR="001F610D" w:rsidRPr="001F610D" w:rsidRDefault="001F610D" w:rsidP="00F82FC9">
      <w:pPr>
        <w:pStyle w:val="NoSpacing"/>
        <w:spacing w:line="276" w:lineRule="auto"/>
        <w:rPr>
          <w:rFonts w:ascii="Times New Roman" w:hAnsi="Times New Roman" w:cs="Times New Roman"/>
        </w:rPr>
      </w:pPr>
    </w:p>
    <w:p w14:paraId="6B562C53"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1.5 Scope and Objectives of the Review</w:t>
      </w:r>
    </w:p>
    <w:p w14:paraId="63EF6B14"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Given the growing complexity of challenges associated with food and nutritional security, there is a critical need for innovative and integrative approaches in crop improvement. This review aims to provide a comprehensive overview of the convergence of multi-omics technologies and artificial intelligence in advancing plant breeding strategies.</w:t>
      </w:r>
    </w:p>
    <w:p w14:paraId="70CD24B4" w14:textId="77777777" w:rsidR="00CF5704"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Specifically, the objectives of this review are to:</w:t>
      </w:r>
    </w:p>
    <w:p w14:paraId="72EBD313" w14:textId="7DD0CAD0"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(i) summarize the current advancements in multi-omics approaches and their applications in crop improvement;</w:t>
      </w:r>
      <w:r w:rsidRPr="001F610D">
        <w:rPr>
          <w:rFonts w:ascii="Times New Roman" w:hAnsi="Times New Roman" w:cs="Times New Roman"/>
        </w:rPr>
        <w:br/>
        <w:t xml:space="preserve">(ii) elucidate the role of AI and machine learning in </w:t>
      </w:r>
      <w:proofErr w:type="spellStart"/>
      <w:r w:rsidRPr="001F610D">
        <w:rPr>
          <w:rFonts w:ascii="Times New Roman" w:hAnsi="Times New Roman" w:cs="Times New Roman"/>
        </w:rPr>
        <w:t>analyzing</w:t>
      </w:r>
      <w:proofErr w:type="spellEnd"/>
      <w:r w:rsidRPr="001F610D">
        <w:rPr>
          <w:rFonts w:ascii="Times New Roman" w:hAnsi="Times New Roman" w:cs="Times New Roman"/>
        </w:rPr>
        <w:t xml:space="preserve"> complex biological datasets;</w:t>
      </w:r>
      <w:r w:rsidRPr="001F610D">
        <w:rPr>
          <w:rFonts w:ascii="Times New Roman" w:hAnsi="Times New Roman" w:cs="Times New Roman"/>
        </w:rPr>
        <w:br/>
        <w:t>(iii) explore the integration of multi-omics and AI for enhancing nutritional traits and overall crop productivity</w:t>
      </w:r>
      <w:r w:rsidR="00CF5704">
        <w:rPr>
          <w:rFonts w:ascii="Times New Roman" w:hAnsi="Times New Roman" w:cs="Times New Roman"/>
        </w:rPr>
        <w:t>;</w:t>
      </w:r>
      <w:r w:rsidRPr="001F610D">
        <w:rPr>
          <w:rFonts w:ascii="Times New Roman" w:hAnsi="Times New Roman" w:cs="Times New Roman"/>
        </w:rPr>
        <w:br/>
        <w:t>(iv) highlight key challenges, opportunities, and future directions in this rapidly evolving field.</w:t>
      </w:r>
    </w:p>
    <w:p w14:paraId="5C0D86EC"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The review places particular emphasis on applications relevant to Genetics and Plant Breeding (GPB), with a focus on improving nutritional quality and ensuring sustainable food systems. By synthesizing recent developments, this work aims to provide a conceptual and methodological framework for researchers and breeders seeking to harness the full potential of omics and AI technologies in crop improvement programs.</w:t>
      </w:r>
    </w:p>
    <w:p w14:paraId="5946D5D8" w14:textId="77777777" w:rsidR="00F34AD8" w:rsidRPr="00F82FC9" w:rsidRDefault="00F34AD8" w:rsidP="00F82FC9">
      <w:pPr>
        <w:pStyle w:val="NoSpacing"/>
        <w:spacing w:line="276" w:lineRule="auto"/>
        <w:rPr>
          <w:rFonts w:ascii="Times New Roman" w:hAnsi="Times New Roman" w:cs="Times New Roman"/>
        </w:rPr>
      </w:pPr>
    </w:p>
    <w:p w14:paraId="7110877E"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2. Overview of Multi-Omics Approaches in Crop Improvement</w:t>
      </w:r>
    </w:p>
    <w:p w14:paraId="222ADD05"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 xml:space="preserve">The rapid evolution of high-throughput biological technologies has ushered in a new paradigm in crop improvement, wherein plant systems are </w:t>
      </w:r>
      <w:proofErr w:type="spellStart"/>
      <w:r w:rsidRPr="001F610D">
        <w:rPr>
          <w:rFonts w:ascii="Times New Roman" w:hAnsi="Times New Roman" w:cs="Times New Roman"/>
        </w:rPr>
        <w:t>analyzed</w:t>
      </w:r>
      <w:proofErr w:type="spellEnd"/>
      <w:r w:rsidRPr="001F610D">
        <w:rPr>
          <w:rFonts w:ascii="Times New Roman" w:hAnsi="Times New Roman" w:cs="Times New Roman"/>
        </w:rPr>
        <w:t xml:space="preserve"> at multiple molecular and phenotypic layers collectively referred to as </w:t>
      </w:r>
      <w:r w:rsidRPr="001F610D">
        <w:rPr>
          <w:rFonts w:ascii="Times New Roman" w:hAnsi="Times New Roman" w:cs="Times New Roman"/>
          <w:i/>
          <w:iCs/>
        </w:rPr>
        <w:t>multi-omics</w:t>
      </w:r>
      <w:r w:rsidRPr="001F610D">
        <w:rPr>
          <w:rFonts w:ascii="Times New Roman" w:hAnsi="Times New Roman" w:cs="Times New Roman"/>
        </w:rPr>
        <w:t>. Unlike conventional approaches that focus on single traits or genes, multi-omics enables a comprehensive understanding of biological processes from genotype to phenotype. This systems-level perspective is particularly critical for dissecting complex traits such as yield, stress tolerance, and nutritional quality, which are governed by intricate gene networks and environmental interactions. The integration of diverse omics platforms—genomics, transcriptomics, proteomics, metabolomics, phenomics, and epigenomics—has significantly enhanced the precision, efficiency, and predictive capacity of modern plant breeding programs.</w:t>
      </w:r>
    </w:p>
    <w:p w14:paraId="616DC030" w14:textId="36568A77" w:rsidR="001F610D" w:rsidRPr="001F610D" w:rsidRDefault="001F610D" w:rsidP="00F82FC9">
      <w:pPr>
        <w:pStyle w:val="NoSpacing"/>
        <w:spacing w:line="276" w:lineRule="auto"/>
        <w:rPr>
          <w:rFonts w:ascii="Times New Roman" w:hAnsi="Times New Roman" w:cs="Times New Roman"/>
        </w:rPr>
      </w:pPr>
    </w:p>
    <w:p w14:paraId="4A72D431"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2.1 Genomics</w:t>
      </w:r>
    </w:p>
    <w:p w14:paraId="616A9233" w14:textId="77777777" w:rsidR="00CF5704" w:rsidRDefault="001F610D" w:rsidP="00CF5704">
      <w:pPr>
        <w:pStyle w:val="NoSpacing"/>
        <w:spacing w:line="276" w:lineRule="auto"/>
        <w:rPr>
          <w:rFonts w:ascii="Times New Roman" w:hAnsi="Times New Roman" w:cs="Times New Roman"/>
        </w:rPr>
      </w:pPr>
      <w:r w:rsidRPr="001F610D">
        <w:rPr>
          <w:rFonts w:ascii="Times New Roman" w:hAnsi="Times New Roman" w:cs="Times New Roman"/>
        </w:rPr>
        <w:t>Genomics constitutes the cornerstone of multi-omics approaches and has revolutionized plant breeding through the generation and utilization of genome-wide information. The advent of next-generation sequencing (NGS) and, more recently, third-generation sequencing technologies has enabled the rapid sequencing of complex plant genomes, including those of major cereals, legumes, and orphan crops. High-quality reference genomes, pan-genomes, and re-sequencing datasets have provided unprecedented insights into genetic diversity, structural variation, and evolutionary relationships among crop species (Varshney et al., 2021).</w:t>
      </w:r>
    </w:p>
    <w:p w14:paraId="47A5A00D" w14:textId="77777777" w:rsidR="00CF5704" w:rsidRDefault="001F610D" w:rsidP="00CF5704">
      <w:pPr>
        <w:pStyle w:val="NoSpacing"/>
        <w:spacing w:line="276" w:lineRule="auto"/>
        <w:ind w:firstLine="636"/>
        <w:rPr>
          <w:rFonts w:ascii="Times New Roman" w:hAnsi="Times New Roman" w:cs="Times New Roman"/>
        </w:rPr>
      </w:pPr>
      <w:r w:rsidRPr="001F610D">
        <w:rPr>
          <w:rFonts w:ascii="Times New Roman" w:hAnsi="Times New Roman" w:cs="Times New Roman"/>
        </w:rPr>
        <w:t>Whole genome sequencing facilitates the identification of genome-wide polymorphisms such as single nucleotide polymorphisms (SNPs), insertions/deletions (</w:t>
      </w:r>
      <w:proofErr w:type="spellStart"/>
      <w:r w:rsidRPr="001F610D">
        <w:rPr>
          <w:rFonts w:ascii="Times New Roman" w:hAnsi="Times New Roman" w:cs="Times New Roman"/>
        </w:rPr>
        <w:t>InDels</w:t>
      </w:r>
      <w:proofErr w:type="spellEnd"/>
      <w:r w:rsidRPr="001F610D">
        <w:rPr>
          <w:rFonts w:ascii="Times New Roman" w:hAnsi="Times New Roman" w:cs="Times New Roman"/>
        </w:rPr>
        <w:t xml:space="preserve">), and copy number variations, which serve as essential markers for genetic analysis. Genome-wide association studies (GWAS) have emerged as a powerful approach to exploit natural genetic variation for identifying loci associated with complex traits. By leveraging historical recombination events in diverse germplasm panels, GWAS offers high-resolution mapping of trait-associated genomic regions (Huang and Han, 2014). Complementarily, quantitative trait loci (QTL) mapping in biparental </w:t>
      </w:r>
      <w:r w:rsidRPr="001F610D">
        <w:rPr>
          <w:rFonts w:ascii="Times New Roman" w:hAnsi="Times New Roman" w:cs="Times New Roman"/>
        </w:rPr>
        <w:lastRenderedPageBreak/>
        <w:t>populations remains a robust method for detecting genomic regions controlling specific traits, albeit at relatively lower resolution.</w:t>
      </w:r>
    </w:p>
    <w:p w14:paraId="6138F41D" w14:textId="096A21F6" w:rsidR="001F610D" w:rsidRPr="001F610D" w:rsidRDefault="001F610D" w:rsidP="00CF5704">
      <w:pPr>
        <w:pStyle w:val="NoSpacing"/>
        <w:spacing w:line="276" w:lineRule="auto"/>
        <w:ind w:firstLine="636"/>
        <w:rPr>
          <w:rFonts w:ascii="Times New Roman" w:hAnsi="Times New Roman" w:cs="Times New Roman"/>
        </w:rPr>
      </w:pPr>
      <w:r w:rsidRPr="001F610D">
        <w:rPr>
          <w:rFonts w:ascii="Times New Roman" w:hAnsi="Times New Roman" w:cs="Times New Roman"/>
        </w:rPr>
        <w:t>The application of genomic information in breeding has been substantially enhanced through marker-assisted selection (MAS) and genomic selection (GS). MAS enables the targeted introgression of desirable alleles linked to major genes or QTLs, particularly for traits with high heritability. However, for polygenic traits controlled by numerous loci with small effects, genomic selection has proven more effective. GS utilizes genome-wide marker profiles to predict genomic estimated breeding values (GEBVs), thereby allowing early and accurate selection of superior genotypes without extensive phenotyping (Meuwissen et al., 2001). Recent advancements integrating high-density genotyping platforms and statistical models have further improved prediction accuracy, making genomics an indispensable tool for accelerating genetic gain in crop improvement.</w:t>
      </w:r>
    </w:p>
    <w:p w14:paraId="60F9F192" w14:textId="0D0C9255" w:rsidR="001F610D" w:rsidRPr="001F610D" w:rsidRDefault="001F610D" w:rsidP="00F82FC9">
      <w:pPr>
        <w:pStyle w:val="NoSpacing"/>
        <w:spacing w:line="276" w:lineRule="auto"/>
        <w:rPr>
          <w:rFonts w:ascii="Times New Roman" w:hAnsi="Times New Roman" w:cs="Times New Roman"/>
        </w:rPr>
      </w:pPr>
    </w:p>
    <w:p w14:paraId="6FB56399"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2.2 Transcriptomics</w:t>
      </w:r>
    </w:p>
    <w:p w14:paraId="1CBAE490"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While genomics provides a static blueprint of genetic potential, transcriptomics offers dynamic insights into gene expression under specific developmental and environmental contexts. The advent of RNA sequencing (RNA-</w:t>
      </w:r>
      <w:proofErr w:type="spellStart"/>
      <w:r w:rsidRPr="001F610D">
        <w:rPr>
          <w:rFonts w:ascii="Times New Roman" w:hAnsi="Times New Roman" w:cs="Times New Roman"/>
        </w:rPr>
        <w:t>Seq</w:t>
      </w:r>
      <w:proofErr w:type="spellEnd"/>
      <w:r w:rsidRPr="001F610D">
        <w:rPr>
          <w:rFonts w:ascii="Times New Roman" w:hAnsi="Times New Roman" w:cs="Times New Roman"/>
        </w:rPr>
        <w:t>) has transformed transcriptomic studies by enabling high-resolution, quantitative, and comprehensive profiling of transcriptomes across different tissues and conditions (Wang et al., 2009).</w:t>
      </w:r>
    </w:p>
    <w:p w14:paraId="48DF2514"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Transcriptomic analyses facilitate the identification of differentially expressed genes (DEGs), alternative splicing events, and regulatory RNAs, including microRNAs and long non-coding RNAs. These insights are crucial for understanding gene function and regulatory networks underlying complex traits. For instance, transcriptome profiling has been extensively used to elucidate pathways involved in micronutrient uptake, transport, and accumulation, particularly for iron and zinc biofortification in staple crops.</w:t>
      </w:r>
    </w:p>
    <w:p w14:paraId="339E5605"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Comparative transcriptomics between contrasting genotypes, such as stress-tolerant versus susceptible lines, enables the identification of candidate genes and key regulatory pathways associated with adaptive traits. Moreover, co-expression network analysis has been employed to identify gene modules and hub genes that play central roles in trait regulation. Integrating transcriptomics with genomics enhances the functional annotation of candidate loci identified through GWAS and QTL mapping, thereby improving the efficiency of marker development and trait dissection (Kremling et al., 2019).</w:t>
      </w:r>
    </w:p>
    <w:p w14:paraId="5C56CAEB" w14:textId="09F16717" w:rsidR="001F610D" w:rsidRPr="001F610D" w:rsidRDefault="001F610D" w:rsidP="00F82FC9">
      <w:pPr>
        <w:pStyle w:val="NoSpacing"/>
        <w:spacing w:line="276" w:lineRule="auto"/>
        <w:rPr>
          <w:rFonts w:ascii="Times New Roman" w:hAnsi="Times New Roman" w:cs="Times New Roman"/>
        </w:rPr>
      </w:pPr>
    </w:p>
    <w:p w14:paraId="08B36FB1"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2.3 Proteomics</w:t>
      </w:r>
    </w:p>
    <w:p w14:paraId="66D0965E"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 xml:space="preserve">Proteomics provides a functional perspective of the genome by </w:t>
      </w:r>
      <w:proofErr w:type="spellStart"/>
      <w:r w:rsidRPr="001F610D">
        <w:rPr>
          <w:rFonts w:ascii="Times New Roman" w:hAnsi="Times New Roman" w:cs="Times New Roman"/>
        </w:rPr>
        <w:t>analyzing</w:t>
      </w:r>
      <w:proofErr w:type="spellEnd"/>
      <w:r w:rsidRPr="001F610D">
        <w:rPr>
          <w:rFonts w:ascii="Times New Roman" w:hAnsi="Times New Roman" w:cs="Times New Roman"/>
        </w:rPr>
        <w:t xml:space="preserve"> the complete set of proteins expressed in a cell, tissue, or organism under specific conditions. Since proteins are the primary effectors of biological processes, proteomics offers direct insights into cellular function, bridging the gap between genotype and phenotype.</w:t>
      </w:r>
    </w:p>
    <w:p w14:paraId="6B256F69"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 xml:space="preserve">Advances in proteomic technologies, particularly mass spectrometry-based approaches such as liquid chromatography–tandem mass spectrometry (LC-MS/MS), have enabled high-throughput identification and quantification of proteins. These techniques also facilitate the analysis of post-translational modifications (PTMs), including phosphorylation, glycosylation, and ubiquitination, which are critical for regulating protein activity and </w:t>
      </w:r>
      <w:proofErr w:type="spellStart"/>
      <w:r w:rsidRPr="001F610D">
        <w:rPr>
          <w:rFonts w:ascii="Times New Roman" w:hAnsi="Times New Roman" w:cs="Times New Roman"/>
        </w:rPr>
        <w:t>signaling</w:t>
      </w:r>
      <w:proofErr w:type="spellEnd"/>
      <w:r w:rsidRPr="001F610D">
        <w:rPr>
          <w:rFonts w:ascii="Times New Roman" w:hAnsi="Times New Roman" w:cs="Times New Roman"/>
        </w:rPr>
        <w:t xml:space="preserve"> pathways (</w:t>
      </w:r>
      <w:proofErr w:type="spellStart"/>
      <w:r w:rsidRPr="001F610D">
        <w:rPr>
          <w:rFonts w:ascii="Times New Roman" w:hAnsi="Times New Roman" w:cs="Times New Roman"/>
        </w:rPr>
        <w:t>Jorrín</w:t>
      </w:r>
      <w:proofErr w:type="spellEnd"/>
      <w:r w:rsidRPr="001F610D">
        <w:rPr>
          <w:rFonts w:ascii="Times New Roman" w:hAnsi="Times New Roman" w:cs="Times New Roman"/>
        </w:rPr>
        <w:t>-Novo et al., 2015).</w:t>
      </w:r>
    </w:p>
    <w:p w14:paraId="162FF221"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 xml:space="preserve">In crop improvement, proteomics has been widely applied to investigate plant responses to abiotic stresses such as drought, salinity, and heat, as well as biotic stresses including pathogen infection. By identifying stress-responsive proteins and </w:t>
      </w:r>
      <w:proofErr w:type="spellStart"/>
      <w:r w:rsidRPr="001F610D">
        <w:rPr>
          <w:rFonts w:ascii="Times New Roman" w:hAnsi="Times New Roman" w:cs="Times New Roman"/>
        </w:rPr>
        <w:t>signaling</w:t>
      </w:r>
      <w:proofErr w:type="spellEnd"/>
      <w:r w:rsidRPr="001F610D">
        <w:rPr>
          <w:rFonts w:ascii="Times New Roman" w:hAnsi="Times New Roman" w:cs="Times New Roman"/>
        </w:rPr>
        <w:t xml:space="preserve"> components, proteomic studies contribute to the development of resilient crop varieties. Furthermore, proteomics plays a vital role in validating candidate genes identified through genomic and transcriptomic analyses, ensuring that </w:t>
      </w:r>
      <w:r w:rsidRPr="001F610D">
        <w:rPr>
          <w:rFonts w:ascii="Times New Roman" w:hAnsi="Times New Roman" w:cs="Times New Roman"/>
        </w:rPr>
        <w:lastRenderedPageBreak/>
        <w:t xml:space="preserve">transcriptional changes are reflected at the functional protein level. This integrative approach enhances the reliability of trait-associated </w:t>
      </w:r>
      <w:proofErr w:type="spellStart"/>
      <w:r w:rsidRPr="001F610D">
        <w:rPr>
          <w:rFonts w:ascii="Times New Roman" w:hAnsi="Times New Roman" w:cs="Times New Roman"/>
        </w:rPr>
        <w:t>markers</w:t>
      </w:r>
      <w:proofErr w:type="spellEnd"/>
      <w:r w:rsidRPr="001F610D">
        <w:rPr>
          <w:rFonts w:ascii="Times New Roman" w:hAnsi="Times New Roman" w:cs="Times New Roman"/>
        </w:rPr>
        <w:t xml:space="preserve"> and supports precision breeding strategies.</w:t>
      </w:r>
    </w:p>
    <w:p w14:paraId="48688D84" w14:textId="71D816D9" w:rsidR="001F610D" w:rsidRPr="001F610D" w:rsidRDefault="001F610D" w:rsidP="00F82FC9">
      <w:pPr>
        <w:pStyle w:val="NoSpacing"/>
        <w:spacing w:line="276" w:lineRule="auto"/>
        <w:rPr>
          <w:rFonts w:ascii="Times New Roman" w:hAnsi="Times New Roman" w:cs="Times New Roman"/>
        </w:rPr>
      </w:pPr>
    </w:p>
    <w:p w14:paraId="6E09DD43"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2.4 Metabolomics</w:t>
      </w:r>
    </w:p>
    <w:p w14:paraId="0B7A4B27"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Metabolomics represents the terminal layer of the omics cascade, focusing on the comprehensive profiling of metabolites that directly determine plant phenotype. As the end products of gene expression and enzymatic activity, metabolites provide a close representation of the physiological state of the plant.</w:t>
      </w:r>
    </w:p>
    <w:p w14:paraId="6DA1DBBA"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Advanced analytical platforms such as gas chromatography–mass spectrometry (GC-MS), liquid chromatography–mass spectrometry (LC-MS), and nuclear magnetic resonance (NMR) spectroscopy are employed for metabolite detection and quantification. These techniques enable the analysis of a wide range of primary metabolites, including sugars, amino acids, and organic acids, as well as secondary metabolites such as flavonoids, alkaloids, and phenolic compounds (Fiehn, 2002).</w:t>
      </w:r>
    </w:p>
    <w:p w14:paraId="75775020"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Metabolomics plays a crucial role in nutritional improvement and biofortification of crops. It enables the identification of metabolic pathways associated with the accumulation of essential micronutrients and bioactive compounds. For example, metabolomic studies have contributed to enhancing provitamin A content in crops such as rice and maize, as well as improving iron and zinc concentrations in legumes and cereals. Additionally, metabolomics provides insights into plant responses to environmental stresses by revealing metabolic adjustments that confer tolerance.</w:t>
      </w:r>
    </w:p>
    <w:p w14:paraId="7D49C8A4"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The integration of metabolomics with other omics layers allows for the reconstruction of metabolic networks and the identification of key regulatory nodes, facilitating targeted manipulation of metabolic pathways for crop improvement.</w:t>
      </w:r>
    </w:p>
    <w:p w14:paraId="12A346DF" w14:textId="598F846C" w:rsidR="001F610D" w:rsidRPr="001F610D" w:rsidRDefault="001F610D" w:rsidP="00F82FC9">
      <w:pPr>
        <w:pStyle w:val="NoSpacing"/>
        <w:spacing w:line="276" w:lineRule="auto"/>
        <w:rPr>
          <w:rFonts w:ascii="Times New Roman" w:hAnsi="Times New Roman" w:cs="Times New Roman"/>
        </w:rPr>
      </w:pPr>
    </w:p>
    <w:p w14:paraId="1CE2A644"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2.5 Phenomics</w:t>
      </w:r>
    </w:p>
    <w:p w14:paraId="3E113C98"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Phenomics is a critical component of multi-omics approaches, focusing on the large-scale measurement of phenotypic traits. It serves as the bridge between molecular data and observable plant characteristics, enabling the validation and application of omics-based discoveries in breeding programs.</w:t>
      </w:r>
    </w:p>
    <w:p w14:paraId="364E6E68"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Traditional phenotyping methods are often limited by low throughput, subjectivity, and environmental variability. In contrast, high-throughput phenotyping (HTP) platforms employ advanced imaging technologies and sensor-based systems to capture precise and quantitative trait data. These platforms utilize a range of imaging modalities, including visible (RGB), hyperspectral, thermal, and fluorescence imaging, as well as technologies such as LiDAR and unmanned aerial vehicles (UAVs) for field-based phenotyping (Fiorani and Schurr, 2013).</w:t>
      </w:r>
    </w:p>
    <w:p w14:paraId="01B4E9D4" w14:textId="4B5085B2" w:rsidR="00CF5704" w:rsidRDefault="001F610D" w:rsidP="00CF5704">
      <w:pPr>
        <w:pStyle w:val="NoSpacing"/>
        <w:spacing w:line="276" w:lineRule="auto"/>
      </w:pPr>
      <w:r w:rsidRPr="001F610D">
        <w:rPr>
          <w:rFonts w:ascii="Times New Roman" w:hAnsi="Times New Roman" w:cs="Times New Roman"/>
        </w:rPr>
        <w:t xml:space="preserve">Phenomics enables the measurement of complex traits such as plant architecture, biomass, photosynthetic efficiency, water-use efficiency, and stress responses in a non-destructive and time-resolved manner. The integration of </w:t>
      </w:r>
      <w:proofErr w:type="spellStart"/>
      <w:r w:rsidRPr="001F610D">
        <w:rPr>
          <w:rFonts w:ascii="Times New Roman" w:hAnsi="Times New Roman" w:cs="Times New Roman"/>
        </w:rPr>
        <w:t>phenomic</w:t>
      </w:r>
      <w:proofErr w:type="spellEnd"/>
      <w:r w:rsidRPr="001F610D">
        <w:rPr>
          <w:rFonts w:ascii="Times New Roman" w:hAnsi="Times New Roman" w:cs="Times New Roman"/>
        </w:rPr>
        <w:t xml:space="preserve"> data with genomic information enhances the accuracy of genomic selection models and facilitates the identification of genotype–phenotype associations. Moreover, phenomics plays a pivotal role in addressing the “phenotyping bottleneck,” which has historically limited the application of genomics in breeding.</w:t>
      </w:r>
      <w:r w:rsidR="00CF5704" w:rsidRPr="00CF5704">
        <w:t xml:space="preserve"> </w:t>
      </w:r>
    </w:p>
    <w:p w14:paraId="28A360B0" w14:textId="77777777" w:rsidR="00CF5704" w:rsidRPr="00CF5704" w:rsidRDefault="00CF5704" w:rsidP="00CF5704">
      <w:pPr>
        <w:pStyle w:val="NoSpacing"/>
        <w:spacing w:line="276" w:lineRule="auto"/>
        <w:rPr>
          <w:rFonts w:ascii="Times New Roman" w:hAnsi="Times New Roman" w:cs="Times New Roman"/>
          <w:b/>
          <w:bCs/>
        </w:rPr>
      </w:pPr>
    </w:p>
    <w:p w14:paraId="7DA3B89D"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2.6 Epigenomics</w:t>
      </w:r>
    </w:p>
    <w:p w14:paraId="30B70E40" w14:textId="726E1F91"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 xml:space="preserve">Epigenomics adds an additional layer of complexity to the understanding of plant traits by examining heritable changes in gene expression that are not associated with alterations in DNA sequence. Key epigenetic mechanisms include DNA methylation, histone modifications, and chromatin </w:t>
      </w:r>
      <w:proofErr w:type="spellStart"/>
      <w:r w:rsidRPr="001F610D">
        <w:rPr>
          <w:rFonts w:ascii="Times New Roman" w:hAnsi="Times New Roman" w:cs="Times New Roman"/>
        </w:rPr>
        <w:t>remodeling</w:t>
      </w:r>
      <w:proofErr w:type="spellEnd"/>
      <w:r w:rsidRPr="001F610D">
        <w:rPr>
          <w:rFonts w:ascii="Times New Roman" w:hAnsi="Times New Roman" w:cs="Times New Roman"/>
        </w:rPr>
        <w:t>, all of which influence gene accessibility and transcriptional activity.</w:t>
      </w:r>
      <w:r w:rsidR="00CF5704">
        <w:rPr>
          <w:rFonts w:ascii="Times New Roman" w:hAnsi="Times New Roman" w:cs="Times New Roman"/>
        </w:rPr>
        <w:t xml:space="preserve"> </w:t>
      </w:r>
      <w:r w:rsidRPr="001F610D">
        <w:rPr>
          <w:rFonts w:ascii="Times New Roman" w:hAnsi="Times New Roman" w:cs="Times New Roman"/>
        </w:rPr>
        <w:t xml:space="preserve">Recent research has demonstrated that epigenetic modifications play a crucial role in plant adaptation to </w:t>
      </w:r>
      <w:r w:rsidRPr="001F610D">
        <w:rPr>
          <w:rFonts w:ascii="Times New Roman" w:hAnsi="Times New Roman" w:cs="Times New Roman"/>
        </w:rPr>
        <w:lastRenderedPageBreak/>
        <w:t>environmental stresses, including drought, salinity, and temperature extremes. These modifications can regulate genes involved in stress responses, nutrient uptake, and metabolic pathways, thereby contributing to phenotypic plasticity and resilience (Zhang et al., 2018).</w:t>
      </w:r>
    </w:p>
    <w:p w14:paraId="1EC10E64" w14:textId="299FE2EB" w:rsidR="00CF5704" w:rsidRDefault="001F610D" w:rsidP="00CF5704">
      <w:pPr>
        <w:pStyle w:val="NoSpacing"/>
        <w:spacing w:line="276" w:lineRule="auto"/>
        <w:ind w:firstLine="363"/>
        <w:rPr>
          <w:rFonts w:ascii="Times New Roman" w:hAnsi="Times New Roman" w:cs="Times New Roman"/>
        </w:rPr>
      </w:pPr>
      <w:r w:rsidRPr="001F610D">
        <w:rPr>
          <w:rFonts w:ascii="Times New Roman" w:hAnsi="Times New Roman" w:cs="Times New Roman"/>
        </w:rPr>
        <w:t>Importantly, some epigenetic changes can be stably inherited across generations, offering new opportunities for crop improvement through epigenetic breeding. The integration of epigenomic data with other omics layers provides a more comprehensive understanding of gene regulation and trait expression. This holistic approach is particularly valuable for improving complex traits that are influenced by both genetic and environmental factors.</w:t>
      </w:r>
      <w:r w:rsidR="00CF5704" w:rsidRPr="00CF5704">
        <w:rPr>
          <w:rFonts w:ascii="Times New Roman" w:hAnsi="Times New Roman" w:cs="Times New Roman"/>
        </w:rPr>
        <w:t xml:space="preserve"> A comprehensive summary of major omics approaches, their methodologies, and applications in crop improvement is presented in Table 1.</w:t>
      </w:r>
    </w:p>
    <w:p w14:paraId="6F51CC9F" w14:textId="77777777" w:rsidR="00CF5704" w:rsidRDefault="00CF5704" w:rsidP="00CF5704">
      <w:pPr>
        <w:pStyle w:val="NoSpacing"/>
        <w:spacing w:line="276" w:lineRule="auto"/>
        <w:rPr>
          <w:rFonts w:ascii="Times New Roman" w:hAnsi="Times New Roman" w:cs="Times New Roman"/>
          <w:b/>
          <w:bCs/>
        </w:rPr>
      </w:pPr>
      <w:r w:rsidRPr="00CF5704">
        <w:rPr>
          <w:rFonts w:ascii="Times New Roman" w:hAnsi="Times New Roman" w:cs="Times New Roman"/>
          <w:b/>
          <w:bCs/>
        </w:rPr>
        <w:t>Table 1. Overview of Multi-Omics Approaches and Their Applications in Crop Improvement</w:t>
      </w:r>
    </w:p>
    <w:tbl>
      <w:tblPr>
        <w:tblStyle w:val="TableGrid"/>
        <w:tblW w:w="0" w:type="auto"/>
        <w:tblInd w:w="357" w:type="dxa"/>
        <w:tblLook w:val="04A0" w:firstRow="1" w:lastRow="0" w:firstColumn="1" w:lastColumn="0" w:noHBand="0" w:noVBand="1"/>
      </w:tblPr>
      <w:tblGrid>
        <w:gridCol w:w="1627"/>
        <w:gridCol w:w="1910"/>
        <w:gridCol w:w="1696"/>
        <w:gridCol w:w="2004"/>
        <w:gridCol w:w="1422"/>
      </w:tblGrid>
      <w:tr w:rsidR="00CF5704" w14:paraId="2E8DDECA" w14:textId="77777777" w:rsidTr="00AA6022">
        <w:tc>
          <w:tcPr>
            <w:tcW w:w="1627" w:type="dxa"/>
            <w:vAlign w:val="center"/>
          </w:tcPr>
          <w:p w14:paraId="3023D5BE"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b/>
                <w:bCs/>
                <w:sz w:val="20"/>
                <w:szCs w:val="20"/>
              </w:rPr>
              <w:t>Omics Layer</w:t>
            </w:r>
          </w:p>
        </w:tc>
        <w:tc>
          <w:tcPr>
            <w:tcW w:w="1910" w:type="dxa"/>
            <w:vAlign w:val="center"/>
          </w:tcPr>
          <w:p w14:paraId="69CB95BD"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b/>
                <w:bCs/>
                <w:sz w:val="20"/>
                <w:szCs w:val="20"/>
              </w:rPr>
              <w:t>Key Techniques</w:t>
            </w:r>
          </w:p>
        </w:tc>
        <w:tc>
          <w:tcPr>
            <w:tcW w:w="0" w:type="auto"/>
            <w:vAlign w:val="center"/>
          </w:tcPr>
          <w:p w14:paraId="423C6AF2"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b/>
                <w:bCs/>
                <w:sz w:val="20"/>
                <w:szCs w:val="20"/>
              </w:rPr>
              <w:t>Type of Data Generated</w:t>
            </w:r>
          </w:p>
        </w:tc>
        <w:tc>
          <w:tcPr>
            <w:tcW w:w="0" w:type="auto"/>
            <w:vAlign w:val="center"/>
          </w:tcPr>
          <w:p w14:paraId="22DFA659"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b/>
                <w:bCs/>
                <w:sz w:val="20"/>
                <w:szCs w:val="20"/>
              </w:rPr>
              <w:t>Major Applications in Crop Improvement</w:t>
            </w:r>
          </w:p>
        </w:tc>
        <w:tc>
          <w:tcPr>
            <w:tcW w:w="0" w:type="auto"/>
            <w:vAlign w:val="center"/>
          </w:tcPr>
          <w:p w14:paraId="78FD7567"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b/>
                <w:bCs/>
                <w:sz w:val="20"/>
                <w:szCs w:val="20"/>
              </w:rPr>
              <w:t>References</w:t>
            </w:r>
          </w:p>
        </w:tc>
      </w:tr>
      <w:tr w:rsidR="00CF5704" w14:paraId="1CE755EC" w14:textId="77777777" w:rsidTr="00AA6022">
        <w:tc>
          <w:tcPr>
            <w:tcW w:w="1627" w:type="dxa"/>
            <w:vAlign w:val="center"/>
          </w:tcPr>
          <w:p w14:paraId="13A8B44B"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b/>
                <w:bCs/>
                <w:sz w:val="20"/>
                <w:szCs w:val="20"/>
              </w:rPr>
              <w:t>Genomics</w:t>
            </w:r>
          </w:p>
        </w:tc>
        <w:tc>
          <w:tcPr>
            <w:tcW w:w="1910" w:type="dxa"/>
            <w:vAlign w:val="center"/>
          </w:tcPr>
          <w:p w14:paraId="4A194A9B"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Whole genome sequencing, GWAS, QTL mapping, SNP genotyping</w:t>
            </w:r>
          </w:p>
        </w:tc>
        <w:tc>
          <w:tcPr>
            <w:tcW w:w="0" w:type="auto"/>
            <w:vAlign w:val="center"/>
          </w:tcPr>
          <w:p w14:paraId="47500056"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 xml:space="preserve">DNA sequence variation (SNPs, </w:t>
            </w:r>
            <w:proofErr w:type="spellStart"/>
            <w:r w:rsidRPr="00CF5704">
              <w:rPr>
                <w:rFonts w:ascii="Times New Roman" w:hAnsi="Times New Roman" w:cs="Times New Roman"/>
                <w:sz w:val="20"/>
                <w:szCs w:val="20"/>
              </w:rPr>
              <w:t>InDels</w:t>
            </w:r>
            <w:proofErr w:type="spellEnd"/>
            <w:r w:rsidRPr="00CF5704">
              <w:rPr>
                <w:rFonts w:ascii="Times New Roman" w:hAnsi="Times New Roman" w:cs="Times New Roman"/>
                <w:sz w:val="20"/>
                <w:szCs w:val="20"/>
              </w:rPr>
              <w:t>)</w:t>
            </w:r>
          </w:p>
        </w:tc>
        <w:tc>
          <w:tcPr>
            <w:tcW w:w="0" w:type="auto"/>
            <w:vAlign w:val="center"/>
          </w:tcPr>
          <w:p w14:paraId="6329CFE3"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Marker-assisted selection, genomic selection, gene discovery</w:t>
            </w:r>
          </w:p>
        </w:tc>
        <w:tc>
          <w:tcPr>
            <w:tcW w:w="0" w:type="auto"/>
            <w:vAlign w:val="center"/>
          </w:tcPr>
          <w:p w14:paraId="56191FD7"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Varshney et al., 2021; Crossa et al., 2017</w:t>
            </w:r>
          </w:p>
        </w:tc>
      </w:tr>
      <w:tr w:rsidR="00CF5704" w14:paraId="33CF564B" w14:textId="77777777" w:rsidTr="00AA6022">
        <w:tc>
          <w:tcPr>
            <w:tcW w:w="1627" w:type="dxa"/>
            <w:vAlign w:val="center"/>
          </w:tcPr>
          <w:p w14:paraId="71D7F7E7"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b/>
                <w:bCs/>
                <w:sz w:val="20"/>
                <w:szCs w:val="20"/>
              </w:rPr>
              <w:t>Transcriptomics</w:t>
            </w:r>
          </w:p>
        </w:tc>
        <w:tc>
          <w:tcPr>
            <w:tcW w:w="1910" w:type="dxa"/>
            <w:vAlign w:val="center"/>
          </w:tcPr>
          <w:p w14:paraId="054E4977"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RNA-</w:t>
            </w:r>
            <w:proofErr w:type="spellStart"/>
            <w:r w:rsidRPr="00CF5704">
              <w:rPr>
                <w:rFonts w:ascii="Times New Roman" w:hAnsi="Times New Roman" w:cs="Times New Roman"/>
                <w:sz w:val="20"/>
                <w:szCs w:val="20"/>
              </w:rPr>
              <w:t>Seq</w:t>
            </w:r>
            <w:proofErr w:type="spellEnd"/>
            <w:r w:rsidRPr="00CF5704">
              <w:rPr>
                <w:rFonts w:ascii="Times New Roman" w:hAnsi="Times New Roman" w:cs="Times New Roman"/>
                <w:sz w:val="20"/>
                <w:szCs w:val="20"/>
              </w:rPr>
              <w:t>, microarray analysis</w:t>
            </w:r>
          </w:p>
        </w:tc>
        <w:tc>
          <w:tcPr>
            <w:tcW w:w="0" w:type="auto"/>
            <w:vAlign w:val="center"/>
          </w:tcPr>
          <w:p w14:paraId="2765071D"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Gene expression profiles</w:t>
            </w:r>
          </w:p>
        </w:tc>
        <w:tc>
          <w:tcPr>
            <w:tcW w:w="0" w:type="auto"/>
            <w:vAlign w:val="center"/>
          </w:tcPr>
          <w:p w14:paraId="69CEB5CE"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Identification of candidate genes, regulatory pathways</w:t>
            </w:r>
          </w:p>
        </w:tc>
        <w:tc>
          <w:tcPr>
            <w:tcW w:w="0" w:type="auto"/>
            <w:vAlign w:val="center"/>
          </w:tcPr>
          <w:p w14:paraId="3A218A9C"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Wang et al., 2009; Kremling et al., 2019</w:t>
            </w:r>
          </w:p>
        </w:tc>
      </w:tr>
      <w:tr w:rsidR="00CF5704" w14:paraId="30D89E1C" w14:textId="77777777" w:rsidTr="00AA6022">
        <w:tc>
          <w:tcPr>
            <w:tcW w:w="1627" w:type="dxa"/>
            <w:vAlign w:val="center"/>
          </w:tcPr>
          <w:p w14:paraId="342E49FF"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b/>
                <w:bCs/>
                <w:sz w:val="20"/>
                <w:szCs w:val="20"/>
              </w:rPr>
              <w:t>Proteomics</w:t>
            </w:r>
          </w:p>
        </w:tc>
        <w:tc>
          <w:tcPr>
            <w:tcW w:w="1910" w:type="dxa"/>
            <w:vAlign w:val="center"/>
          </w:tcPr>
          <w:p w14:paraId="6ED991CD"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LC-MS/MS, 2-DE, mass spectrometry</w:t>
            </w:r>
          </w:p>
        </w:tc>
        <w:tc>
          <w:tcPr>
            <w:tcW w:w="0" w:type="auto"/>
            <w:vAlign w:val="center"/>
          </w:tcPr>
          <w:p w14:paraId="2BBB6155"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Protein abundance, post-translational modifications</w:t>
            </w:r>
          </w:p>
        </w:tc>
        <w:tc>
          <w:tcPr>
            <w:tcW w:w="0" w:type="auto"/>
            <w:vAlign w:val="center"/>
          </w:tcPr>
          <w:p w14:paraId="4E91B718"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Functional validation, stress response analysis</w:t>
            </w:r>
          </w:p>
        </w:tc>
        <w:tc>
          <w:tcPr>
            <w:tcW w:w="0" w:type="auto"/>
            <w:vAlign w:val="center"/>
          </w:tcPr>
          <w:p w14:paraId="4729FCEB"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proofErr w:type="spellStart"/>
            <w:r w:rsidRPr="00CF5704">
              <w:rPr>
                <w:rFonts w:ascii="Times New Roman" w:hAnsi="Times New Roman" w:cs="Times New Roman"/>
                <w:sz w:val="20"/>
                <w:szCs w:val="20"/>
              </w:rPr>
              <w:t>Jorrín</w:t>
            </w:r>
            <w:proofErr w:type="spellEnd"/>
            <w:r w:rsidRPr="00CF5704">
              <w:rPr>
                <w:rFonts w:ascii="Times New Roman" w:hAnsi="Times New Roman" w:cs="Times New Roman"/>
                <w:sz w:val="20"/>
                <w:szCs w:val="20"/>
              </w:rPr>
              <w:t>-Novo et al., 2015</w:t>
            </w:r>
          </w:p>
        </w:tc>
      </w:tr>
      <w:tr w:rsidR="00CF5704" w14:paraId="09F73287" w14:textId="77777777" w:rsidTr="00AA6022">
        <w:tc>
          <w:tcPr>
            <w:tcW w:w="1627" w:type="dxa"/>
            <w:vAlign w:val="center"/>
          </w:tcPr>
          <w:p w14:paraId="013670BE"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b/>
                <w:bCs/>
                <w:sz w:val="20"/>
                <w:szCs w:val="20"/>
              </w:rPr>
              <w:t>Metabolomics</w:t>
            </w:r>
          </w:p>
        </w:tc>
        <w:tc>
          <w:tcPr>
            <w:tcW w:w="1910" w:type="dxa"/>
            <w:vAlign w:val="center"/>
          </w:tcPr>
          <w:p w14:paraId="208FD0F6"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GC-MS, LC-MS, NMR spectroscopy</w:t>
            </w:r>
          </w:p>
        </w:tc>
        <w:tc>
          <w:tcPr>
            <w:tcW w:w="0" w:type="auto"/>
            <w:vAlign w:val="center"/>
          </w:tcPr>
          <w:p w14:paraId="48504017"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Metabolite profiles (primary &amp; secondary metabolites)</w:t>
            </w:r>
          </w:p>
        </w:tc>
        <w:tc>
          <w:tcPr>
            <w:tcW w:w="0" w:type="auto"/>
            <w:vAlign w:val="center"/>
          </w:tcPr>
          <w:p w14:paraId="49B785B7"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Nutritional trait analysis, biofortification, metabolic pathway elucidation</w:t>
            </w:r>
          </w:p>
        </w:tc>
        <w:tc>
          <w:tcPr>
            <w:tcW w:w="0" w:type="auto"/>
            <w:vAlign w:val="center"/>
          </w:tcPr>
          <w:p w14:paraId="20918710"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Fiehn, 2002</w:t>
            </w:r>
          </w:p>
        </w:tc>
      </w:tr>
      <w:tr w:rsidR="00CF5704" w14:paraId="0FDFEAC9" w14:textId="77777777" w:rsidTr="00AA6022">
        <w:tc>
          <w:tcPr>
            <w:tcW w:w="1627" w:type="dxa"/>
            <w:vAlign w:val="center"/>
          </w:tcPr>
          <w:p w14:paraId="6B5A23FB"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b/>
                <w:bCs/>
                <w:sz w:val="20"/>
                <w:szCs w:val="20"/>
              </w:rPr>
              <w:t>Phenomics</w:t>
            </w:r>
          </w:p>
        </w:tc>
        <w:tc>
          <w:tcPr>
            <w:tcW w:w="1910" w:type="dxa"/>
            <w:vAlign w:val="center"/>
          </w:tcPr>
          <w:p w14:paraId="7C234433"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Imaging (RGB, hyperspectral), UAVs, sensors</w:t>
            </w:r>
          </w:p>
        </w:tc>
        <w:tc>
          <w:tcPr>
            <w:tcW w:w="0" w:type="auto"/>
            <w:vAlign w:val="center"/>
          </w:tcPr>
          <w:p w14:paraId="6FFC47A5"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High-throughput phenotypic data</w:t>
            </w:r>
          </w:p>
        </w:tc>
        <w:tc>
          <w:tcPr>
            <w:tcW w:w="0" w:type="auto"/>
            <w:vAlign w:val="center"/>
          </w:tcPr>
          <w:p w14:paraId="3C556D2B"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Trait evaluation, stress phenotyping, yield prediction</w:t>
            </w:r>
          </w:p>
        </w:tc>
        <w:tc>
          <w:tcPr>
            <w:tcW w:w="0" w:type="auto"/>
            <w:vAlign w:val="center"/>
          </w:tcPr>
          <w:p w14:paraId="3449D793"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Fiorani &amp; Schurr, 2013</w:t>
            </w:r>
          </w:p>
        </w:tc>
      </w:tr>
      <w:tr w:rsidR="00CF5704" w14:paraId="23FDE60E" w14:textId="77777777" w:rsidTr="00AA6022">
        <w:tc>
          <w:tcPr>
            <w:tcW w:w="1627" w:type="dxa"/>
            <w:vAlign w:val="center"/>
          </w:tcPr>
          <w:p w14:paraId="1C3EE655"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b/>
                <w:bCs/>
                <w:sz w:val="20"/>
                <w:szCs w:val="20"/>
              </w:rPr>
              <w:t>Epigenomics</w:t>
            </w:r>
          </w:p>
        </w:tc>
        <w:tc>
          <w:tcPr>
            <w:tcW w:w="1910" w:type="dxa"/>
            <w:vAlign w:val="center"/>
          </w:tcPr>
          <w:p w14:paraId="3416FF08"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 xml:space="preserve">DNA methylation analysis, </w:t>
            </w:r>
            <w:proofErr w:type="spellStart"/>
            <w:r w:rsidRPr="00CF5704">
              <w:rPr>
                <w:rFonts w:ascii="Times New Roman" w:hAnsi="Times New Roman" w:cs="Times New Roman"/>
                <w:sz w:val="20"/>
                <w:szCs w:val="20"/>
              </w:rPr>
              <w:t>ChIP-Seq</w:t>
            </w:r>
            <w:proofErr w:type="spellEnd"/>
          </w:p>
        </w:tc>
        <w:tc>
          <w:tcPr>
            <w:tcW w:w="0" w:type="auto"/>
            <w:vAlign w:val="center"/>
          </w:tcPr>
          <w:p w14:paraId="71429990"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Epigenetic modifications</w:t>
            </w:r>
          </w:p>
        </w:tc>
        <w:tc>
          <w:tcPr>
            <w:tcW w:w="0" w:type="auto"/>
            <w:vAlign w:val="center"/>
          </w:tcPr>
          <w:p w14:paraId="230A2A57"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Stress adaptation, gene regulation, trait plasticity</w:t>
            </w:r>
          </w:p>
        </w:tc>
        <w:tc>
          <w:tcPr>
            <w:tcW w:w="0" w:type="auto"/>
            <w:vAlign w:val="center"/>
          </w:tcPr>
          <w:p w14:paraId="58071D5A" w14:textId="77777777" w:rsidR="00CF5704" w:rsidRPr="00CF5704" w:rsidRDefault="00CF5704" w:rsidP="00AA6022">
            <w:pPr>
              <w:pStyle w:val="NoSpacing"/>
              <w:spacing w:line="276" w:lineRule="auto"/>
              <w:ind w:left="0"/>
              <w:jc w:val="center"/>
              <w:rPr>
                <w:rFonts w:ascii="Times New Roman" w:hAnsi="Times New Roman" w:cs="Times New Roman"/>
                <w:b/>
                <w:bCs/>
                <w:sz w:val="20"/>
                <w:szCs w:val="20"/>
              </w:rPr>
            </w:pPr>
            <w:r w:rsidRPr="00CF5704">
              <w:rPr>
                <w:rFonts w:ascii="Times New Roman" w:hAnsi="Times New Roman" w:cs="Times New Roman"/>
                <w:sz w:val="20"/>
                <w:szCs w:val="20"/>
              </w:rPr>
              <w:t>Zhang et al., 2018</w:t>
            </w:r>
          </w:p>
        </w:tc>
      </w:tr>
    </w:tbl>
    <w:p w14:paraId="17408698"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3. Integration of Multi-Omics Data</w:t>
      </w:r>
    </w:p>
    <w:p w14:paraId="21782181"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The rapid accumulation of high-throughput datasets across multiple biological layers has necessitated the development of integrative frameworks that can effectively combine and interpret diverse omics information. While individual omics approaches provide valuable insights, their isolated application often fails to capture the full complexity of biological systems. Integration of multi-omics data enables a holistic understanding of plant traits by linking molecular variation to phenotypic outcomes through interconnected regulatory networks. This systems-level approach is particularly critical in crop improvement, where complex traits such as yield, stress tolerance, and nutritional quality are governed by multilayered interactions among genes, proteins, metabolites, and environmental factors.</w:t>
      </w:r>
    </w:p>
    <w:p w14:paraId="18AA12C1" w14:textId="21D8CEA4" w:rsidR="001F610D" w:rsidRPr="001F610D" w:rsidRDefault="001F610D" w:rsidP="00F82FC9">
      <w:pPr>
        <w:pStyle w:val="NoSpacing"/>
        <w:spacing w:line="276" w:lineRule="auto"/>
        <w:rPr>
          <w:rFonts w:ascii="Times New Roman" w:hAnsi="Times New Roman" w:cs="Times New Roman"/>
        </w:rPr>
      </w:pPr>
    </w:p>
    <w:p w14:paraId="4F9E3521"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3.1 Need for Multi-Omics Integration</w:t>
      </w:r>
    </w:p>
    <w:p w14:paraId="0369039D"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Complex Trait Architecture</w:t>
      </w:r>
    </w:p>
    <w:p w14:paraId="6EBC6298"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lastRenderedPageBreak/>
        <w:t>Most agronomically important traits in crops, including productivity, nutritional composition, and abiotic stress tolerance, are quantitatively inherited and controlled by multiple genes with small additive effects. These traits exhibit intricate genetic architectures involving epistatic interactions, pleiotropy, and strong genotype × environment (G×E) interactions. Traditional single-omics approaches are often insufficient to fully dissect such complexity, as they capture only a partial view of the biological system.</w:t>
      </w:r>
    </w:p>
    <w:p w14:paraId="4C1F42C6"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Multi-omics integration allows simultaneous interrogation of multiple regulatory layers, thereby enabling the identification of key drivers and interactions underlying complex traits. For example, while genomics may identify loci associated with a trait, transcriptomics and proteomics can reveal how these loci are expressed and regulated, and metabolomics can demonstrate their functional consequences. This layered understanding enhances the precision of trait dissection and improves the efficiency of breeding strategies.</w:t>
      </w:r>
    </w:p>
    <w:p w14:paraId="665192F3"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Linking Genotype to Phenotype</w:t>
      </w:r>
    </w:p>
    <w:p w14:paraId="627F5921"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One of the central challenges in plant biology is bridging the gap between genotype and phenotype. Although genomic data provide extensive information on genetic variation, translating this information into phenotypic predictions remains challenging due to intermediate regulatory processes. Gene expression, protein activity, metabolic fluxes, and environmental influences collectively determine the final phenotype.</w:t>
      </w:r>
    </w:p>
    <w:p w14:paraId="4A8B338F"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 xml:space="preserve">Multi-omics integration facilitates the reconstruction of genotype–phenotype relationships by connecting these intermediate layers. For instance, integrating genomic markers with transcriptomic profiles (e.g., expression QTLs or </w:t>
      </w:r>
      <w:proofErr w:type="spellStart"/>
      <w:r w:rsidRPr="001F610D">
        <w:rPr>
          <w:rFonts w:ascii="Times New Roman" w:hAnsi="Times New Roman" w:cs="Times New Roman"/>
        </w:rPr>
        <w:t>eQTLs</w:t>
      </w:r>
      <w:proofErr w:type="spellEnd"/>
      <w:r w:rsidRPr="001F610D">
        <w:rPr>
          <w:rFonts w:ascii="Times New Roman" w:hAnsi="Times New Roman" w:cs="Times New Roman"/>
        </w:rPr>
        <w:t>) can identify regulatory variants influencing gene expression. Similarly, combining transcriptomics with metabolomics can elucidate pathways that directly impact nutritional traits. Such integrative analyses improve predictive accuracy and provide mechanistic insights, which are essential for precision breeding and crop improvement.</w:t>
      </w:r>
    </w:p>
    <w:p w14:paraId="5945D65B" w14:textId="1DA36EA7" w:rsidR="001F610D" w:rsidRPr="001F610D" w:rsidRDefault="001F610D" w:rsidP="00F82FC9">
      <w:pPr>
        <w:pStyle w:val="NoSpacing"/>
        <w:spacing w:line="276" w:lineRule="auto"/>
        <w:rPr>
          <w:rFonts w:ascii="Times New Roman" w:hAnsi="Times New Roman" w:cs="Times New Roman"/>
        </w:rPr>
      </w:pPr>
    </w:p>
    <w:p w14:paraId="673D3FFE"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3.2 Strategies for Multi-Omics Integration</w:t>
      </w:r>
    </w:p>
    <w:p w14:paraId="33CCD26F"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The integration of multi-omics datasets requires robust computational and statistical frameworks capable of handling heterogeneous data types, scales, and structures. Broadly, integration strategies can be categorized into horizontal and vertical approaches, complemented by network-based methodologies.</w:t>
      </w:r>
    </w:p>
    <w:p w14:paraId="53B1BA06"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Horizontal vs. Vertical Integration</w:t>
      </w:r>
    </w:p>
    <w:p w14:paraId="643A5FE1"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b/>
          <w:bCs/>
        </w:rPr>
        <w:t>Horizontal integration</w:t>
      </w:r>
      <w:r w:rsidRPr="001F610D">
        <w:rPr>
          <w:rFonts w:ascii="Times New Roman" w:hAnsi="Times New Roman" w:cs="Times New Roman"/>
        </w:rPr>
        <w:t xml:space="preserve"> refers to the combination of datasets from the same omics layer across different conditions, populations, or time points. For example, integrating transcriptomic datasets from multiple environments can help identify stable gene expression patterns associated with stress tolerance. This approach is useful for increasing statistical power and identifying conserved biological signals.</w:t>
      </w:r>
    </w:p>
    <w:p w14:paraId="2E7D2390"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 xml:space="preserve">In contrast, </w:t>
      </w:r>
      <w:r w:rsidRPr="001F610D">
        <w:rPr>
          <w:rFonts w:ascii="Times New Roman" w:hAnsi="Times New Roman" w:cs="Times New Roman"/>
          <w:b/>
          <w:bCs/>
        </w:rPr>
        <w:t>vertical integration</w:t>
      </w:r>
      <w:r w:rsidRPr="001F610D">
        <w:rPr>
          <w:rFonts w:ascii="Times New Roman" w:hAnsi="Times New Roman" w:cs="Times New Roman"/>
        </w:rPr>
        <w:t xml:space="preserve"> involves combining datasets from different omics layers (e.g., genomics, transcriptomics, proteomics, and metabolomics) for the same biological samples. This approach provides a comprehensive view of biological systems by capturing interactions across molecular hierarchies. Vertical integration is particularly valuable for elucidating causal relationships, such as how genetic variation influences gene expression, which in turn affects protein function and metabolic outcomes.</w:t>
      </w:r>
    </w:p>
    <w:p w14:paraId="11CA2993"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Several statistical and computational methods have been developed to facilitate vertical integration, including multi-block data analysis, Bayesian models, matrix factorization techniques, and machine learning algorithms. Methods such as multi-omics factor analysis (MOFA), canonical correlation analysis (CCA), and partial least squares (PLS) regression are commonly used to identify shared patterns across datasets.</w:t>
      </w:r>
    </w:p>
    <w:p w14:paraId="13A9B336"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lastRenderedPageBreak/>
        <w:t>Network Biology Approaches</w:t>
      </w:r>
    </w:p>
    <w:p w14:paraId="704CEB0B"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Network-based approaches have emerged as powerful tools for multi-omics integration by representing biological systems as interconnected networks of genes, proteins, and metabolites. These networks capture complex interactions and enable the identification of key regulatory nodes, pathways, and modules associated with specific traits.</w:t>
      </w:r>
    </w:p>
    <w:p w14:paraId="51E1E953"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Gene co-expression networks, protein–protein interaction networks, and metabolic networks are widely used to integrate omics data. Techniques such as weighted gene co-expression network analysis (WGCNA) allow the identification of gene modules correlated with phenotypic traits. Integration of multi-omics data into unified networks facilitates the identification of hub genes or master regulators that play central roles in trait expression.</w:t>
      </w:r>
    </w:p>
    <w:p w14:paraId="62C0F762"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In crop improvement, network biology approaches have been successfully applied to identify candidate genes for stress tolerance and nutritional traits, thereby providing targets for genetic manipulation and marker development. These approaches also support the discovery of novel pathways and regulatory mechanisms that may not be evident through single-omics analyses.</w:t>
      </w:r>
    </w:p>
    <w:p w14:paraId="1FDF4977" w14:textId="400BBECC" w:rsidR="001F610D" w:rsidRPr="001F610D" w:rsidRDefault="001F610D" w:rsidP="00F82FC9">
      <w:pPr>
        <w:pStyle w:val="NoSpacing"/>
        <w:spacing w:line="276" w:lineRule="auto"/>
        <w:rPr>
          <w:rFonts w:ascii="Times New Roman" w:hAnsi="Times New Roman" w:cs="Times New Roman"/>
        </w:rPr>
      </w:pPr>
    </w:p>
    <w:p w14:paraId="54120C0F"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3.3 Multi-Omics Data Platforms and Databases</w:t>
      </w:r>
    </w:p>
    <w:p w14:paraId="53656D45"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The successful integration of multi-omics data relies heavily on the availability of robust data platforms, repositories, and standardized data formats. Over the past decade, numerous public databases have been developed to store, curate, and share omics datasets, facilitating data accessibility and reproducibility.</w:t>
      </w:r>
    </w:p>
    <w:p w14:paraId="751DD764"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Public Repositories</w:t>
      </w:r>
    </w:p>
    <w:p w14:paraId="14DD03AD"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 xml:space="preserve">Several international repositories host large-scale omics datasets across plant species. Genomic data are commonly stored in databases such as GenBank and </w:t>
      </w:r>
      <w:proofErr w:type="spellStart"/>
      <w:r w:rsidRPr="001F610D">
        <w:rPr>
          <w:rFonts w:ascii="Times New Roman" w:hAnsi="Times New Roman" w:cs="Times New Roman"/>
        </w:rPr>
        <w:t>Ensembl</w:t>
      </w:r>
      <w:proofErr w:type="spellEnd"/>
      <w:r w:rsidRPr="001F610D">
        <w:rPr>
          <w:rFonts w:ascii="Times New Roman" w:hAnsi="Times New Roman" w:cs="Times New Roman"/>
        </w:rPr>
        <w:t xml:space="preserve"> Plants, while transcriptomic data are available through platforms like the Gene Expression Omnibus (GEO) and the Sequence Read Archive (SRA). Proteomic data are deposited in repositories such as PRIDE, and metabolomic datasets are available in databases like </w:t>
      </w:r>
      <w:proofErr w:type="spellStart"/>
      <w:r w:rsidRPr="001F610D">
        <w:rPr>
          <w:rFonts w:ascii="Times New Roman" w:hAnsi="Times New Roman" w:cs="Times New Roman"/>
        </w:rPr>
        <w:t>MetaboLights</w:t>
      </w:r>
      <w:proofErr w:type="spellEnd"/>
      <w:r w:rsidRPr="001F610D">
        <w:rPr>
          <w:rFonts w:ascii="Times New Roman" w:hAnsi="Times New Roman" w:cs="Times New Roman"/>
        </w:rPr>
        <w:t xml:space="preserve"> and the Human Metabolome Database (adapted for plant studies). In addition, crop-specific databases, such as </w:t>
      </w:r>
      <w:proofErr w:type="spellStart"/>
      <w:r w:rsidRPr="001F610D">
        <w:rPr>
          <w:rFonts w:ascii="Times New Roman" w:hAnsi="Times New Roman" w:cs="Times New Roman"/>
        </w:rPr>
        <w:t>Gramene</w:t>
      </w:r>
      <w:proofErr w:type="spellEnd"/>
      <w:r w:rsidRPr="001F610D">
        <w:rPr>
          <w:rFonts w:ascii="Times New Roman" w:hAnsi="Times New Roman" w:cs="Times New Roman"/>
        </w:rPr>
        <w:t xml:space="preserve"> and the Legume Information System, provide integrated resources tailored to plant breeding and genetics.</w:t>
      </w:r>
    </w:p>
    <w:p w14:paraId="7DE2D07F"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These repositories enable researchers to access high-quality datasets for comparative analysis, meta-analysis, and model development. The increasing availability of multi-omics datasets has accelerated research in crop improvement and facilitated collaborative efforts across institutions and countries.</w:t>
      </w:r>
    </w:p>
    <w:p w14:paraId="01659160" w14:textId="77777777" w:rsidR="001F610D" w:rsidRPr="001F610D" w:rsidRDefault="001F610D" w:rsidP="00F82FC9">
      <w:pPr>
        <w:pStyle w:val="NoSpacing"/>
        <w:spacing w:line="276" w:lineRule="auto"/>
        <w:rPr>
          <w:rFonts w:ascii="Times New Roman" w:hAnsi="Times New Roman" w:cs="Times New Roman"/>
          <w:b/>
          <w:bCs/>
        </w:rPr>
      </w:pPr>
      <w:r w:rsidRPr="001F610D">
        <w:rPr>
          <w:rFonts w:ascii="Times New Roman" w:hAnsi="Times New Roman" w:cs="Times New Roman"/>
          <w:b/>
          <w:bCs/>
        </w:rPr>
        <w:t>Data Standardization Challenges</w:t>
      </w:r>
    </w:p>
    <w:p w14:paraId="3086BF75"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Despite the growing availability of omics data, several challenges hinder effective integration. One of the primary issues is the lack of standardized protocols for data generation, processing, and annotation. Variability in experimental design, sample preparation, sequencing platforms, and data analysis pipelines can introduce inconsistencies, making cross-study comparisons difficult.</w:t>
      </w:r>
    </w:p>
    <w:p w14:paraId="3C6BAC18" w14:textId="77777777" w:rsidR="001F610D" w:rsidRP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Data heterogeneity, including differences in scale, dimensionality, and noise levels, further complicates integration efforts. Additionally, incomplete metadata and inconsistent annotation standards limit data reusability and interoperability. To address these challenges, international initiatives such as FAIR (Findable, Accessible, Interoperable, and Reusable) data principles have been proposed to promote standardized data management practices.</w:t>
      </w:r>
    </w:p>
    <w:p w14:paraId="09B5E9BB" w14:textId="2A4A2B9B" w:rsidR="001F610D" w:rsidRDefault="001F610D" w:rsidP="00F82FC9">
      <w:pPr>
        <w:pStyle w:val="NoSpacing"/>
        <w:spacing w:line="276" w:lineRule="auto"/>
        <w:rPr>
          <w:rFonts w:ascii="Times New Roman" w:hAnsi="Times New Roman" w:cs="Times New Roman"/>
        </w:rPr>
      </w:pPr>
      <w:r w:rsidRPr="001F610D">
        <w:rPr>
          <w:rFonts w:ascii="Times New Roman" w:hAnsi="Times New Roman" w:cs="Times New Roman"/>
        </w:rPr>
        <w:t>Advancements in bioinformatics tools, data harmonization techniques, and cloud-based platforms are gradually improving the integration of multi-omics datasets. However, continued efforts in standardization, data sharing, and capacity building are essential to fully realize the potential of multi-omics integration in crop improvement.</w:t>
      </w:r>
      <w:r w:rsidR="002450B7" w:rsidRPr="002450B7">
        <w:t xml:space="preserve"> </w:t>
      </w:r>
      <w:r w:rsidR="002450B7" w:rsidRPr="002450B7">
        <w:rPr>
          <w:rFonts w:ascii="Times New Roman" w:hAnsi="Times New Roman" w:cs="Times New Roman"/>
        </w:rPr>
        <w:t>The multi-layer integration of omics data, coupled with advanced computational approaches, facilitates the transition from genotype to phenotype, as illustrated in Fig. 1</w:t>
      </w:r>
      <w:r w:rsidR="002450B7">
        <w:rPr>
          <w:rFonts w:ascii="Times New Roman" w:hAnsi="Times New Roman" w:cs="Times New Roman"/>
        </w:rPr>
        <w:t>.</w:t>
      </w:r>
    </w:p>
    <w:p w14:paraId="5A9127F6" w14:textId="1EF5F63C" w:rsidR="002450B7" w:rsidRDefault="002450B7" w:rsidP="00F82FC9">
      <w:pPr>
        <w:pStyle w:val="NoSpacing"/>
        <w:spacing w:line="276" w:lineRule="auto"/>
        <w:rPr>
          <w:rFonts w:ascii="Times New Roman" w:hAnsi="Times New Roman" w:cs="Times New Roman"/>
        </w:rPr>
      </w:pPr>
      <w:r>
        <w:rPr>
          <w:rFonts w:ascii="Times New Roman" w:hAnsi="Times New Roman" w:cs="Times New Roman"/>
          <w:noProof/>
        </w:rPr>
        <w:lastRenderedPageBreak/>
        <w:drawing>
          <wp:inline distT="0" distB="0" distL="0" distR="0" wp14:anchorId="60AF5674" wp14:editId="7E288401">
            <wp:extent cx="5731510" cy="3811905"/>
            <wp:effectExtent l="19050" t="19050" r="21590" b="17145"/>
            <wp:docPr id="161392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1905"/>
                    </a:xfrm>
                    <a:prstGeom prst="rect">
                      <a:avLst/>
                    </a:prstGeom>
                    <a:noFill/>
                    <a:ln w="3175">
                      <a:solidFill>
                        <a:schemeClr val="tx1"/>
                      </a:solidFill>
                    </a:ln>
                  </pic:spPr>
                </pic:pic>
              </a:graphicData>
            </a:graphic>
          </wp:inline>
        </w:drawing>
      </w:r>
    </w:p>
    <w:p w14:paraId="5AD0808E" w14:textId="621F5853" w:rsidR="002450B7" w:rsidRPr="001F610D" w:rsidRDefault="00CA1052" w:rsidP="00CA1052">
      <w:pPr>
        <w:pStyle w:val="NoSpacing"/>
        <w:spacing w:line="276" w:lineRule="auto"/>
        <w:jc w:val="center"/>
        <w:rPr>
          <w:rFonts w:ascii="Times New Roman" w:hAnsi="Times New Roman" w:cs="Times New Roman"/>
        </w:rPr>
      </w:pPr>
      <w:r w:rsidRPr="00CA1052">
        <w:rPr>
          <w:rFonts w:ascii="Times New Roman" w:hAnsi="Times New Roman" w:cs="Times New Roman"/>
          <w:b/>
          <w:bCs/>
        </w:rPr>
        <w:t>Fig. 1.</w:t>
      </w:r>
      <w:r w:rsidRPr="00CA1052">
        <w:rPr>
          <w:rFonts w:ascii="Times New Roman" w:hAnsi="Times New Roman" w:cs="Times New Roman"/>
        </w:rPr>
        <w:t xml:space="preserve"> Integrated framework illustrating the convergence of multi-omics approaches and artificial intelligence for crop improvement and nutritional security.</w:t>
      </w:r>
    </w:p>
    <w:p w14:paraId="2D55E4F6" w14:textId="191D724F" w:rsidR="003F7F22" w:rsidRPr="003F7F22" w:rsidRDefault="003F7F22" w:rsidP="00F82FC9">
      <w:pPr>
        <w:pStyle w:val="NoSpacing"/>
        <w:spacing w:line="276" w:lineRule="auto"/>
        <w:rPr>
          <w:rFonts w:ascii="Times New Roman" w:hAnsi="Times New Roman" w:cs="Times New Roman"/>
        </w:rPr>
      </w:pPr>
    </w:p>
    <w:p w14:paraId="45357181"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4. Role of Artificial Intelligence and Machine Learning</w:t>
      </w:r>
    </w:p>
    <w:p w14:paraId="2E503EB3"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The exponential growth of high-throughput biological data generated through multi-omics platforms has necessitated the adoption of advanced computational approaches for effective data analysis and interpretation. Artificial Intelligence (AI), encompassing machine learning (ML) and deep learning (DL), has emerged as a transformative tool in plant sciences, enabling the extraction of meaningful patterns from complex, high-dimensional datasets. In crop improvement, AI facilitates predictive </w:t>
      </w:r>
      <w:proofErr w:type="spellStart"/>
      <w:r w:rsidRPr="004053EB">
        <w:rPr>
          <w:rFonts w:ascii="Times New Roman" w:hAnsi="Times New Roman" w:cs="Times New Roman"/>
        </w:rPr>
        <w:t>modeling</w:t>
      </w:r>
      <w:proofErr w:type="spellEnd"/>
      <w:r w:rsidRPr="004053EB">
        <w:rPr>
          <w:rFonts w:ascii="Times New Roman" w:hAnsi="Times New Roman" w:cs="Times New Roman"/>
        </w:rPr>
        <w:t>, trait dissection, and decision-making, thereby enhancing the efficiency and precision of breeding programs. By integrating diverse data types and capturing non-linear relationships, AI-driven approaches are redefining modern Genetics and Plant Breeding (GPB).</w:t>
      </w:r>
    </w:p>
    <w:p w14:paraId="578234E3" w14:textId="0B93CC28" w:rsidR="004053EB" w:rsidRPr="004053EB" w:rsidRDefault="004053EB" w:rsidP="00F82FC9">
      <w:pPr>
        <w:pStyle w:val="NoSpacing"/>
        <w:spacing w:line="276" w:lineRule="auto"/>
        <w:rPr>
          <w:rFonts w:ascii="Times New Roman" w:hAnsi="Times New Roman" w:cs="Times New Roman"/>
        </w:rPr>
      </w:pPr>
    </w:p>
    <w:p w14:paraId="3933DCD4"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4.1 Overview of AI in Plant Sciences</w:t>
      </w:r>
    </w:p>
    <w:p w14:paraId="15AB8E3B"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Artificial Intelligence refers to computational systems capable of performing tasks that typically require human intelligence, such as pattern recognition, prediction, and decision-making. Within AI, machine learning involves algorithms that learn from data to improve performance without explicit programming, while deep learning represents a subset of ML that uses multi-layered neural networks to model complex relationships.</w:t>
      </w:r>
    </w:p>
    <w:p w14:paraId="717C1F68"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Machine learning approaches in plant sciences can be broadly categorized into:</w:t>
      </w:r>
    </w:p>
    <w:p w14:paraId="41CDDEE7" w14:textId="77777777" w:rsidR="004053EB" w:rsidRPr="004053EB" w:rsidRDefault="004053EB" w:rsidP="00E5129B">
      <w:pPr>
        <w:pStyle w:val="NoSpacing"/>
        <w:numPr>
          <w:ilvl w:val="0"/>
          <w:numId w:val="1"/>
        </w:numPr>
        <w:spacing w:line="276" w:lineRule="auto"/>
        <w:rPr>
          <w:rFonts w:ascii="Times New Roman" w:hAnsi="Times New Roman" w:cs="Times New Roman"/>
        </w:rPr>
      </w:pPr>
      <w:r w:rsidRPr="004053EB">
        <w:rPr>
          <w:rFonts w:ascii="Times New Roman" w:hAnsi="Times New Roman" w:cs="Times New Roman"/>
        </w:rPr>
        <w:t xml:space="preserve">Supervised learning, where models are trained on </w:t>
      </w:r>
      <w:proofErr w:type="spellStart"/>
      <w:r w:rsidRPr="004053EB">
        <w:rPr>
          <w:rFonts w:ascii="Times New Roman" w:hAnsi="Times New Roman" w:cs="Times New Roman"/>
        </w:rPr>
        <w:t>labeled</w:t>
      </w:r>
      <w:proofErr w:type="spellEnd"/>
      <w:r w:rsidRPr="004053EB">
        <w:rPr>
          <w:rFonts w:ascii="Times New Roman" w:hAnsi="Times New Roman" w:cs="Times New Roman"/>
        </w:rPr>
        <w:t xml:space="preserve"> datasets to predict outcomes such as yield, disease resistance, or nutrient content. Common tasks include regression and classification.</w:t>
      </w:r>
    </w:p>
    <w:p w14:paraId="11ED2328" w14:textId="77777777" w:rsidR="004053EB" w:rsidRPr="004053EB" w:rsidRDefault="004053EB" w:rsidP="00E5129B">
      <w:pPr>
        <w:pStyle w:val="NoSpacing"/>
        <w:numPr>
          <w:ilvl w:val="0"/>
          <w:numId w:val="1"/>
        </w:numPr>
        <w:spacing w:line="276" w:lineRule="auto"/>
        <w:rPr>
          <w:rFonts w:ascii="Times New Roman" w:hAnsi="Times New Roman" w:cs="Times New Roman"/>
        </w:rPr>
      </w:pPr>
      <w:r w:rsidRPr="004053EB">
        <w:rPr>
          <w:rFonts w:ascii="Times New Roman" w:hAnsi="Times New Roman" w:cs="Times New Roman"/>
        </w:rPr>
        <w:t xml:space="preserve">Unsupervised learning, which identifies hidden structures or patterns in </w:t>
      </w:r>
      <w:proofErr w:type="spellStart"/>
      <w:r w:rsidRPr="004053EB">
        <w:rPr>
          <w:rFonts w:ascii="Times New Roman" w:hAnsi="Times New Roman" w:cs="Times New Roman"/>
        </w:rPr>
        <w:t>unlabeled</w:t>
      </w:r>
      <w:proofErr w:type="spellEnd"/>
      <w:r w:rsidRPr="004053EB">
        <w:rPr>
          <w:rFonts w:ascii="Times New Roman" w:hAnsi="Times New Roman" w:cs="Times New Roman"/>
        </w:rPr>
        <w:t xml:space="preserve"> data, such as clustering genotypes based on similarity or identifying latent variables in omics datasets.</w:t>
      </w:r>
    </w:p>
    <w:p w14:paraId="516A63D6" w14:textId="77777777" w:rsidR="004053EB" w:rsidRPr="004053EB" w:rsidRDefault="004053EB" w:rsidP="00E5129B">
      <w:pPr>
        <w:pStyle w:val="NoSpacing"/>
        <w:numPr>
          <w:ilvl w:val="0"/>
          <w:numId w:val="1"/>
        </w:numPr>
        <w:spacing w:line="276" w:lineRule="auto"/>
        <w:rPr>
          <w:rFonts w:ascii="Times New Roman" w:hAnsi="Times New Roman" w:cs="Times New Roman"/>
        </w:rPr>
      </w:pPr>
      <w:r w:rsidRPr="004053EB">
        <w:rPr>
          <w:rFonts w:ascii="Times New Roman" w:hAnsi="Times New Roman" w:cs="Times New Roman"/>
        </w:rPr>
        <w:lastRenderedPageBreak/>
        <w:t>Deep learning, which employs artificial neural networks with multiple hidden layers to automatically learn hierarchical features from large datasets, particularly useful in image analysis and complex trait prediction.</w:t>
      </w:r>
    </w:p>
    <w:p w14:paraId="7984EC52"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application of AI in plant sciences has expanded rapidly due to increased computational power, availability of large datasets, and advances in algorithm development. These approaches enable the integration of genomic, phenotypic, and environmental data, thereby facilitating data-driven crop improvement strategies (Liakos et al., 2018; Ma et al., 2020).</w:t>
      </w:r>
    </w:p>
    <w:p w14:paraId="7B6AEEFC" w14:textId="2F3E7ED0" w:rsidR="004053EB" w:rsidRPr="004053EB" w:rsidRDefault="004053EB" w:rsidP="00F82FC9">
      <w:pPr>
        <w:pStyle w:val="NoSpacing"/>
        <w:spacing w:line="276" w:lineRule="auto"/>
        <w:rPr>
          <w:rFonts w:ascii="Times New Roman" w:hAnsi="Times New Roman" w:cs="Times New Roman"/>
        </w:rPr>
      </w:pPr>
    </w:p>
    <w:p w14:paraId="505F3AA6"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4.2 Machine Learning Algorithms in Breeding</w:t>
      </w:r>
    </w:p>
    <w:p w14:paraId="7059CAF1"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A wide range of machine learning algorithms have been successfully applied in plant breeding to improve prediction accuracy and selection efficiency. Among these, Random Forest (RF), Support Vector Machines (SVM), and Artificial Neural Networks (ANNs) are particularly prominent.</w:t>
      </w:r>
    </w:p>
    <w:p w14:paraId="3FCB7B2F"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Random Forest is an ensemble learning method that constructs multiple decision trees and aggregates their outputs to improve prediction accuracy and reduce overfitting. It is highly effective in handling high-dimensional data and identifying important variables influencing complex traits. RF has been widely used in genomic prediction, trait classification, and marker selection.</w:t>
      </w:r>
    </w:p>
    <w:p w14:paraId="7C4188D2"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Support Vector Machines are powerful supervised learning models that perform classification and regression by identifying optimal hyperplanes that separate data points in high-dimensional space. SVMs are particularly useful for </w:t>
      </w:r>
      <w:proofErr w:type="spellStart"/>
      <w:r w:rsidRPr="004053EB">
        <w:rPr>
          <w:rFonts w:ascii="Times New Roman" w:hAnsi="Times New Roman" w:cs="Times New Roman"/>
        </w:rPr>
        <w:t>analyzing</w:t>
      </w:r>
      <w:proofErr w:type="spellEnd"/>
      <w:r w:rsidRPr="004053EB">
        <w:rPr>
          <w:rFonts w:ascii="Times New Roman" w:hAnsi="Times New Roman" w:cs="Times New Roman"/>
        </w:rPr>
        <w:t xml:space="preserve"> non-linear relationships and have been applied in disease detection, genotype classification, and stress response prediction.</w:t>
      </w:r>
    </w:p>
    <w:p w14:paraId="792ADCD1"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Artificial Neural Networks mimic the structure and function of biological neural systems, consisting of interconnected nodes (neurons) organized in layers. ANNs are capable of </w:t>
      </w:r>
      <w:proofErr w:type="spellStart"/>
      <w:r w:rsidRPr="004053EB">
        <w:rPr>
          <w:rFonts w:ascii="Times New Roman" w:hAnsi="Times New Roman" w:cs="Times New Roman"/>
        </w:rPr>
        <w:t>modeling</w:t>
      </w:r>
      <w:proofErr w:type="spellEnd"/>
      <w:r w:rsidRPr="004053EB">
        <w:rPr>
          <w:rFonts w:ascii="Times New Roman" w:hAnsi="Times New Roman" w:cs="Times New Roman"/>
        </w:rPr>
        <w:t xml:space="preserve"> complex, non-linear interactions among variables and have been used for yield prediction, genotype evaluation, and environmental response </w:t>
      </w:r>
      <w:proofErr w:type="spellStart"/>
      <w:r w:rsidRPr="004053EB">
        <w:rPr>
          <w:rFonts w:ascii="Times New Roman" w:hAnsi="Times New Roman" w:cs="Times New Roman"/>
        </w:rPr>
        <w:t>modeling</w:t>
      </w:r>
      <w:proofErr w:type="spellEnd"/>
      <w:r w:rsidRPr="004053EB">
        <w:rPr>
          <w:rFonts w:ascii="Times New Roman" w:hAnsi="Times New Roman" w:cs="Times New Roman"/>
        </w:rPr>
        <w:t>.</w:t>
      </w:r>
    </w:p>
    <w:p w14:paraId="7C6639EE"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These machine learning algorithms offer significant advantages over traditional statistical methods by accommodating complex interactions, handling large datasets, and improving predictive performance. Their application in breeding programs has led to more accurate selection decisions and accelerated genetic gain (Crossa et al., 2017).</w:t>
      </w:r>
    </w:p>
    <w:p w14:paraId="78C950F9" w14:textId="4145D664" w:rsidR="004053EB" w:rsidRPr="004053EB" w:rsidRDefault="004053EB" w:rsidP="00F82FC9">
      <w:pPr>
        <w:pStyle w:val="NoSpacing"/>
        <w:spacing w:line="276" w:lineRule="auto"/>
        <w:rPr>
          <w:rFonts w:ascii="Times New Roman" w:hAnsi="Times New Roman" w:cs="Times New Roman"/>
        </w:rPr>
      </w:pPr>
    </w:p>
    <w:p w14:paraId="5E3467DA"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4.3 Deep Learning Applications</w:t>
      </w:r>
    </w:p>
    <w:p w14:paraId="1B80F8BB"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Deep learning has emerged as a powerful extension of machine learning, particularly suited for </w:t>
      </w:r>
      <w:proofErr w:type="spellStart"/>
      <w:r w:rsidRPr="004053EB">
        <w:rPr>
          <w:rFonts w:ascii="Times New Roman" w:hAnsi="Times New Roman" w:cs="Times New Roman"/>
        </w:rPr>
        <w:t>analyzing</w:t>
      </w:r>
      <w:proofErr w:type="spellEnd"/>
      <w:r w:rsidRPr="004053EB">
        <w:rPr>
          <w:rFonts w:ascii="Times New Roman" w:hAnsi="Times New Roman" w:cs="Times New Roman"/>
        </w:rPr>
        <w:t xml:space="preserve"> large-scale and unstructured data such as images, videos, and high-dimensional omics datasets. Convolutional Neural Networks (CNNs), Recurrent Neural Networks (RNNs), and deep feedforward networks are among the most widely used architectures in plant science applications.</w:t>
      </w:r>
    </w:p>
    <w:p w14:paraId="3DD2CBF1"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One of the most significant applications of deep learning in agriculture is image-based phenotyping. CNNs are capable of automatically extracting features from images and have been successfully used for plant disease detection, leaf area estimation, biomass prediction, and stress assessment. High-throughput phenotyping platforms equipped with RGB, hyperspectral, and thermal imaging generate large volumes of image data, which can be efficiently </w:t>
      </w:r>
      <w:proofErr w:type="spellStart"/>
      <w:r w:rsidRPr="004053EB">
        <w:rPr>
          <w:rFonts w:ascii="Times New Roman" w:hAnsi="Times New Roman" w:cs="Times New Roman"/>
        </w:rPr>
        <w:t>analyzed</w:t>
      </w:r>
      <w:proofErr w:type="spellEnd"/>
      <w:r w:rsidRPr="004053EB">
        <w:rPr>
          <w:rFonts w:ascii="Times New Roman" w:hAnsi="Times New Roman" w:cs="Times New Roman"/>
        </w:rPr>
        <w:t xml:space="preserve"> using deep learning models (Mohanty et al., 2016).</w:t>
      </w:r>
    </w:p>
    <w:p w14:paraId="5AE6A441"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Deep learning is also increasingly used for trait prediction, where complex relationships between genotype, phenotype, and environment are </w:t>
      </w:r>
      <w:proofErr w:type="spellStart"/>
      <w:r w:rsidRPr="004053EB">
        <w:rPr>
          <w:rFonts w:ascii="Times New Roman" w:hAnsi="Times New Roman" w:cs="Times New Roman"/>
        </w:rPr>
        <w:t>modeled</w:t>
      </w:r>
      <w:proofErr w:type="spellEnd"/>
      <w:r w:rsidRPr="004053EB">
        <w:rPr>
          <w:rFonts w:ascii="Times New Roman" w:hAnsi="Times New Roman" w:cs="Times New Roman"/>
        </w:rPr>
        <w:t xml:space="preserve"> to predict outcomes such as yield, nutrient content, and stress tolerance. These models can integrate diverse data types and capture non-linear interactions that are difficult to model using conventional approaches.</w:t>
      </w:r>
    </w:p>
    <w:p w14:paraId="5D384B4C" w14:textId="27EE89DC" w:rsid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Furthermore, deep learning facilitates time-series analysis of plant growth and development, enabling dynamic trait monitoring and early stress detection. The ability of deep learning models to learn hierarchical representations makes them particularly suitable for capturing complex </w:t>
      </w:r>
      <w:r w:rsidRPr="004053EB">
        <w:rPr>
          <w:rFonts w:ascii="Times New Roman" w:hAnsi="Times New Roman" w:cs="Times New Roman"/>
        </w:rPr>
        <w:lastRenderedPageBreak/>
        <w:t>biological patterns.</w:t>
      </w:r>
      <w:r w:rsidR="00F023C5" w:rsidRPr="00F023C5">
        <w:t xml:space="preserve"> </w:t>
      </w:r>
      <w:r w:rsidR="00F023C5" w:rsidRPr="00F023C5">
        <w:rPr>
          <w:rFonts w:ascii="Times New Roman" w:hAnsi="Times New Roman" w:cs="Times New Roman"/>
        </w:rPr>
        <w:t>A summary of major artificial intelligence and machine learning techniques and their applications in crop improvement is presented in Table 2.</w:t>
      </w:r>
    </w:p>
    <w:p w14:paraId="630DC979" w14:textId="77777777" w:rsidR="00F023C5" w:rsidRDefault="00F023C5" w:rsidP="00F82FC9">
      <w:pPr>
        <w:pStyle w:val="NoSpacing"/>
        <w:spacing w:line="276" w:lineRule="auto"/>
        <w:rPr>
          <w:rFonts w:ascii="Times New Roman" w:hAnsi="Times New Roman" w:cs="Times New Roman"/>
        </w:rPr>
        <w:sectPr w:rsidR="00F023C5" w:rsidSect="0022318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71BCC59B" w14:textId="5BD6957F" w:rsidR="00F023C5" w:rsidRPr="00F023C5" w:rsidRDefault="00F023C5" w:rsidP="00F023C5">
      <w:pPr>
        <w:pStyle w:val="NoSpacing"/>
        <w:spacing w:line="276" w:lineRule="auto"/>
        <w:jc w:val="center"/>
        <w:rPr>
          <w:rFonts w:ascii="Times New Roman" w:hAnsi="Times New Roman" w:cs="Times New Roman"/>
          <w:b/>
          <w:bCs/>
        </w:rPr>
      </w:pPr>
      <w:r w:rsidRPr="00F023C5">
        <w:rPr>
          <w:rFonts w:ascii="Times New Roman" w:hAnsi="Times New Roman" w:cs="Times New Roman"/>
          <w:b/>
          <w:bCs/>
        </w:rPr>
        <w:lastRenderedPageBreak/>
        <w:t>Table 2. Artificial Intelligence and Machine Learning Techniques and Their Applications in Crop Improvement</w:t>
      </w:r>
    </w:p>
    <w:tbl>
      <w:tblPr>
        <w:tblStyle w:val="TableGrid"/>
        <w:tblW w:w="15040" w:type="dxa"/>
        <w:jc w:val="center"/>
        <w:tblLook w:val="04A0" w:firstRow="1" w:lastRow="0" w:firstColumn="1" w:lastColumn="0" w:noHBand="0" w:noVBand="1"/>
      </w:tblPr>
      <w:tblGrid>
        <w:gridCol w:w="2652"/>
        <w:gridCol w:w="2890"/>
        <w:gridCol w:w="3330"/>
        <w:gridCol w:w="4106"/>
        <w:gridCol w:w="2062"/>
      </w:tblGrid>
      <w:tr w:rsidR="00F023C5" w14:paraId="3BAE3478" w14:textId="77777777" w:rsidTr="00F023C5">
        <w:trPr>
          <w:trHeight w:val="456"/>
          <w:jc w:val="center"/>
        </w:trPr>
        <w:tc>
          <w:tcPr>
            <w:tcW w:w="0" w:type="auto"/>
            <w:vAlign w:val="center"/>
          </w:tcPr>
          <w:p w14:paraId="5EEE824D" w14:textId="184074A9"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AI/ML Technique</w:t>
            </w:r>
          </w:p>
        </w:tc>
        <w:tc>
          <w:tcPr>
            <w:tcW w:w="2890" w:type="dxa"/>
            <w:vAlign w:val="center"/>
          </w:tcPr>
          <w:p w14:paraId="7F09BA6E" w14:textId="7BC838F4"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Algorithm Type</w:t>
            </w:r>
          </w:p>
        </w:tc>
        <w:tc>
          <w:tcPr>
            <w:tcW w:w="3330" w:type="dxa"/>
            <w:vAlign w:val="center"/>
          </w:tcPr>
          <w:p w14:paraId="334214D5" w14:textId="4B3DE65F"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Input Data Type</w:t>
            </w:r>
          </w:p>
        </w:tc>
        <w:tc>
          <w:tcPr>
            <w:tcW w:w="4106" w:type="dxa"/>
            <w:vAlign w:val="center"/>
          </w:tcPr>
          <w:p w14:paraId="0926076C" w14:textId="20BB9C8F"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Key Applications in Crop Improvement</w:t>
            </w:r>
          </w:p>
        </w:tc>
        <w:tc>
          <w:tcPr>
            <w:tcW w:w="0" w:type="auto"/>
            <w:vAlign w:val="center"/>
          </w:tcPr>
          <w:p w14:paraId="12F77E1F" w14:textId="5871EFD1"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References</w:t>
            </w:r>
          </w:p>
        </w:tc>
      </w:tr>
      <w:tr w:rsidR="00F023C5" w14:paraId="7A83255D" w14:textId="77777777" w:rsidTr="00F023C5">
        <w:trPr>
          <w:trHeight w:val="682"/>
          <w:jc w:val="center"/>
        </w:trPr>
        <w:tc>
          <w:tcPr>
            <w:tcW w:w="0" w:type="auto"/>
            <w:vAlign w:val="center"/>
          </w:tcPr>
          <w:p w14:paraId="251FA4D4" w14:textId="260A04E9"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Random Forest (RF)</w:t>
            </w:r>
          </w:p>
        </w:tc>
        <w:tc>
          <w:tcPr>
            <w:tcW w:w="2890" w:type="dxa"/>
            <w:vAlign w:val="center"/>
          </w:tcPr>
          <w:p w14:paraId="4A032C8F" w14:textId="696B2C45"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Supervised (Ensemble learning)</w:t>
            </w:r>
          </w:p>
        </w:tc>
        <w:tc>
          <w:tcPr>
            <w:tcW w:w="3330" w:type="dxa"/>
            <w:vAlign w:val="center"/>
          </w:tcPr>
          <w:p w14:paraId="76D15817" w14:textId="4F8E33CC"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Genomic, phenotypic, environmental data</w:t>
            </w:r>
          </w:p>
        </w:tc>
        <w:tc>
          <w:tcPr>
            <w:tcW w:w="4106" w:type="dxa"/>
            <w:vAlign w:val="center"/>
          </w:tcPr>
          <w:p w14:paraId="582D6B02" w14:textId="1D66060F"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Trait prediction, marker importance, genomic selection</w:t>
            </w:r>
          </w:p>
        </w:tc>
        <w:tc>
          <w:tcPr>
            <w:tcW w:w="0" w:type="auto"/>
            <w:vAlign w:val="center"/>
          </w:tcPr>
          <w:p w14:paraId="616F00EB" w14:textId="6E0324F8"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Crossa et al., 2017</w:t>
            </w:r>
          </w:p>
        </w:tc>
      </w:tr>
      <w:tr w:rsidR="00F023C5" w14:paraId="7518576F" w14:textId="77777777" w:rsidTr="00F023C5">
        <w:trPr>
          <w:trHeight w:val="687"/>
          <w:jc w:val="center"/>
        </w:trPr>
        <w:tc>
          <w:tcPr>
            <w:tcW w:w="0" w:type="auto"/>
            <w:vAlign w:val="center"/>
          </w:tcPr>
          <w:p w14:paraId="143D5381" w14:textId="09AE2ECA"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Support Vector Machine (SVM)</w:t>
            </w:r>
          </w:p>
        </w:tc>
        <w:tc>
          <w:tcPr>
            <w:tcW w:w="2890" w:type="dxa"/>
            <w:vAlign w:val="center"/>
          </w:tcPr>
          <w:p w14:paraId="0FB932F0" w14:textId="7A45B60C"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Supervised (Classification/Regression)</w:t>
            </w:r>
          </w:p>
        </w:tc>
        <w:tc>
          <w:tcPr>
            <w:tcW w:w="3330" w:type="dxa"/>
            <w:vAlign w:val="center"/>
          </w:tcPr>
          <w:p w14:paraId="4EE3E812" w14:textId="5F65F32D"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Genomic and phenotypic data</w:t>
            </w:r>
          </w:p>
        </w:tc>
        <w:tc>
          <w:tcPr>
            <w:tcW w:w="4106" w:type="dxa"/>
            <w:vAlign w:val="center"/>
          </w:tcPr>
          <w:p w14:paraId="184ACDF0" w14:textId="652EF943"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Disease classification, genotype classification, stress response prediction</w:t>
            </w:r>
          </w:p>
        </w:tc>
        <w:tc>
          <w:tcPr>
            <w:tcW w:w="0" w:type="auto"/>
            <w:vAlign w:val="center"/>
          </w:tcPr>
          <w:p w14:paraId="08CB2A09" w14:textId="561D591A"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Liakos et al., 2018</w:t>
            </w:r>
          </w:p>
        </w:tc>
      </w:tr>
      <w:tr w:rsidR="00F023C5" w14:paraId="4B148980" w14:textId="77777777" w:rsidTr="00F023C5">
        <w:trPr>
          <w:trHeight w:val="682"/>
          <w:jc w:val="center"/>
        </w:trPr>
        <w:tc>
          <w:tcPr>
            <w:tcW w:w="0" w:type="auto"/>
            <w:vAlign w:val="center"/>
          </w:tcPr>
          <w:p w14:paraId="41DF380F" w14:textId="3EF02B83"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Artificial Neural Networks (ANN)</w:t>
            </w:r>
          </w:p>
        </w:tc>
        <w:tc>
          <w:tcPr>
            <w:tcW w:w="2890" w:type="dxa"/>
            <w:vAlign w:val="center"/>
          </w:tcPr>
          <w:p w14:paraId="2B765F4F" w14:textId="1EC21E1A"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 xml:space="preserve">Supervised (Non-linear </w:t>
            </w:r>
            <w:proofErr w:type="spellStart"/>
            <w:r w:rsidRPr="00CF5704">
              <w:rPr>
                <w:rFonts w:ascii="Times New Roman" w:hAnsi="Times New Roman" w:cs="Times New Roman"/>
              </w:rPr>
              <w:t>modeling</w:t>
            </w:r>
            <w:proofErr w:type="spellEnd"/>
            <w:r w:rsidRPr="00CF5704">
              <w:rPr>
                <w:rFonts w:ascii="Times New Roman" w:hAnsi="Times New Roman" w:cs="Times New Roman"/>
              </w:rPr>
              <w:t>)</w:t>
            </w:r>
          </w:p>
        </w:tc>
        <w:tc>
          <w:tcPr>
            <w:tcW w:w="3330" w:type="dxa"/>
            <w:vAlign w:val="center"/>
          </w:tcPr>
          <w:p w14:paraId="77331497" w14:textId="1809994C"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Multi-omics, phenotypic data</w:t>
            </w:r>
          </w:p>
        </w:tc>
        <w:tc>
          <w:tcPr>
            <w:tcW w:w="4106" w:type="dxa"/>
            <w:vAlign w:val="center"/>
          </w:tcPr>
          <w:p w14:paraId="7DA9DC36" w14:textId="434AC7E2"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 xml:space="preserve">Yield prediction, trait </w:t>
            </w:r>
            <w:proofErr w:type="spellStart"/>
            <w:r w:rsidRPr="00CF5704">
              <w:rPr>
                <w:rFonts w:ascii="Times New Roman" w:hAnsi="Times New Roman" w:cs="Times New Roman"/>
              </w:rPr>
              <w:t>modeling</w:t>
            </w:r>
            <w:proofErr w:type="spellEnd"/>
            <w:r w:rsidRPr="00CF5704">
              <w:rPr>
                <w:rFonts w:ascii="Times New Roman" w:hAnsi="Times New Roman" w:cs="Times New Roman"/>
              </w:rPr>
              <w:t>, environmental response analysis</w:t>
            </w:r>
          </w:p>
        </w:tc>
        <w:tc>
          <w:tcPr>
            <w:tcW w:w="0" w:type="auto"/>
            <w:vAlign w:val="center"/>
          </w:tcPr>
          <w:p w14:paraId="78721174" w14:textId="26E309B0"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Ma et al., 2020</w:t>
            </w:r>
          </w:p>
        </w:tc>
      </w:tr>
      <w:tr w:rsidR="00F023C5" w14:paraId="16183EB3" w14:textId="77777777" w:rsidTr="00F023C5">
        <w:trPr>
          <w:trHeight w:val="456"/>
          <w:jc w:val="center"/>
        </w:trPr>
        <w:tc>
          <w:tcPr>
            <w:tcW w:w="0" w:type="auto"/>
            <w:vAlign w:val="center"/>
          </w:tcPr>
          <w:p w14:paraId="6DEBBECD" w14:textId="6EF75D95"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Deep Neural Networks (DNN)</w:t>
            </w:r>
          </w:p>
        </w:tc>
        <w:tc>
          <w:tcPr>
            <w:tcW w:w="2890" w:type="dxa"/>
            <w:vAlign w:val="center"/>
          </w:tcPr>
          <w:p w14:paraId="0803AD5F" w14:textId="22CE0342"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Deep learning</w:t>
            </w:r>
          </w:p>
        </w:tc>
        <w:tc>
          <w:tcPr>
            <w:tcW w:w="3330" w:type="dxa"/>
            <w:vAlign w:val="center"/>
          </w:tcPr>
          <w:p w14:paraId="101EC266" w14:textId="545FC4A1"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Genomic and multi-omics data</w:t>
            </w:r>
          </w:p>
        </w:tc>
        <w:tc>
          <w:tcPr>
            <w:tcW w:w="4106" w:type="dxa"/>
            <w:vAlign w:val="center"/>
          </w:tcPr>
          <w:p w14:paraId="07146EF7" w14:textId="79074387"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 xml:space="preserve">Genomic prediction, complex trait </w:t>
            </w:r>
            <w:proofErr w:type="spellStart"/>
            <w:r w:rsidRPr="00CF5704">
              <w:rPr>
                <w:rFonts w:ascii="Times New Roman" w:hAnsi="Times New Roman" w:cs="Times New Roman"/>
              </w:rPr>
              <w:t>modeling</w:t>
            </w:r>
            <w:proofErr w:type="spellEnd"/>
          </w:p>
        </w:tc>
        <w:tc>
          <w:tcPr>
            <w:tcW w:w="0" w:type="auto"/>
            <w:vAlign w:val="center"/>
          </w:tcPr>
          <w:p w14:paraId="35F1BE24" w14:textId="26B69997"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Montesinos-López et al., 2018</w:t>
            </w:r>
          </w:p>
        </w:tc>
      </w:tr>
      <w:tr w:rsidR="00F023C5" w14:paraId="368D6660" w14:textId="77777777" w:rsidTr="00F023C5">
        <w:trPr>
          <w:trHeight w:val="342"/>
          <w:jc w:val="center"/>
        </w:trPr>
        <w:tc>
          <w:tcPr>
            <w:tcW w:w="0" w:type="auto"/>
            <w:vAlign w:val="center"/>
          </w:tcPr>
          <w:p w14:paraId="3B2A27C7" w14:textId="462EFFF6"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Convolutional Neural Networks (CNN)</w:t>
            </w:r>
          </w:p>
        </w:tc>
        <w:tc>
          <w:tcPr>
            <w:tcW w:w="2890" w:type="dxa"/>
            <w:vAlign w:val="center"/>
          </w:tcPr>
          <w:p w14:paraId="5B44D376" w14:textId="141E4C7F"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Deep learning (Image analysis)</w:t>
            </w:r>
          </w:p>
        </w:tc>
        <w:tc>
          <w:tcPr>
            <w:tcW w:w="3330" w:type="dxa"/>
            <w:vAlign w:val="center"/>
          </w:tcPr>
          <w:p w14:paraId="7A712B5B" w14:textId="69696C97"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Image data (RGB, hyperspectral, thermal)</w:t>
            </w:r>
          </w:p>
        </w:tc>
        <w:tc>
          <w:tcPr>
            <w:tcW w:w="4106" w:type="dxa"/>
            <w:vAlign w:val="center"/>
          </w:tcPr>
          <w:p w14:paraId="62994BED" w14:textId="0C77CF80"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Disease detection, phenotyping, biomass estimation</w:t>
            </w:r>
          </w:p>
        </w:tc>
        <w:tc>
          <w:tcPr>
            <w:tcW w:w="0" w:type="auto"/>
            <w:vAlign w:val="center"/>
          </w:tcPr>
          <w:p w14:paraId="2E02A554" w14:textId="6B601187"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Mohanty et al., 2016</w:t>
            </w:r>
          </w:p>
        </w:tc>
      </w:tr>
      <w:tr w:rsidR="00F023C5" w14:paraId="2D70C47B" w14:textId="77777777" w:rsidTr="00F023C5">
        <w:trPr>
          <w:trHeight w:val="56"/>
          <w:jc w:val="center"/>
        </w:trPr>
        <w:tc>
          <w:tcPr>
            <w:tcW w:w="0" w:type="auto"/>
            <w:vAlign w:val="center"/>
          </w:tcPr>
          <w:p w14:paraId="699D4910" w14:textId="5F8D5271"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Recurrent Neural Networks (RNN)</w:t>
            </w:r>
          </w:p>
        </w:tc>
        <w:tc>
          <w:tcPr>
            <w:tcW w:w="2890" w:type="dxa"/>
            <w:vAlign w:val="center"/>
          </w:tcPr>
          <w:p w14:paraId="5208E2FF" w14:textId="4BA09031"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Deep learning (Time-series analysis)</w:t>
            </w:r>
          </w:p>
        </w:tc>
        <w:tc>
          <w:tcPr>
            <w:tcW w:w="3330" w:type="dxa"/>
            <w:vAlign w:val="center"/>
          </w:tcPr>
          <w:p w14:paraId="39F937F7" w14:textId="69C88B27"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Temporal phenotypic and environmental data</w:t>
            </w:r>
          </w:p>
        </w:tc>
        <w:tc>
          <w:tcPr>
            <w:tcW w:w="4106" w:type="dxa"/>
            <w:vAlign w:val="center"/>
          </w:tcPr>
          <w:p w14:paraId="28E4C4B7" w14:textId="4D8F51D3"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 xml:space="preserve">Growth </w:t>
            </w:r>
            <w:proofErr w:type="spellStart"/>
            <w:r w:rsidRPr="00CF5704">
              <w:rPr>
                <w:rFonts w:ascii="Times New Roman" w:hAnsi="Times New Roman" w:cs="Times New Roman"/>
              </w:rPr>
              <w:t>modeling</w:t>
            </w:r>
            <w:proofErr w:type="spellEnd"/>
            <w:r w:rsidRPr="00CF5704">
              <w:rPr>
                <w:rFonts w:ascii="Times New Roman" w:hAnsi="Times New Roman" w:cs="Times New Roman"/>
              </w:rPr>
              <w:t>, stress progression analysis</w:t>
            </w:r>
          </w:p>
        </w:tc>
        <w:tc>
          <w:tcPr>
            <w:tcW w:w="0" w:type="auto"/>
            <w:vAlign w:val="center"/>
          </w:tcPr>
          <w:p w14:paraId="6B5B6CFB" w14:textId="0E42F2C2"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Ma et al., 2020</w:t>
            </w:r>
          </w:p>
        </w:tc>
      </w:tr>
      <w:tr w:rsidR="00F023C5" w14:paraId="7D4A47D1" w14:textId="77777777" w:rsidTr="00F023C5">
        <w:trPr>
          <w:trHeight w:val="56"/>
          <w:jc w:val="center"/>
        </w:trPr>
        <w:tc>
          <w:tcPr>
            <w:tcW w:w="0" w:type="auto"/>
            <w:vAlign w:val="center"/>
          </w:tcPr>
          <w:p w14:paraId="5A2E80B8" w14:textId="3967AD8E"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Gradient Boosting Machines (GBM)</w:t>
            </w:r>
          </w:p>
        </w:tc>
        <w:tc>
          <w:tcPr>
            <w:tcW w:w="2890" w:type="dxa"/>
            <w:vAlign w:val="center"/>
          </w:tcPr>
          <w:p w14:paraId="450CEB1C" w14:textId="5979F973"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Ensemble learning</w:t>
            </w:r>
          </w:p>
        </w:tc>
        <w:tc>
          <w:tcPr>
            <w:tcW w:w="3330" w:type="dxa"/>
            <w:vAlign w:val="center"/>
          </w:tcPr>
          <w:p w14:paraId="1BA469F7" w14:textId="37639AF4"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Genomic and environmental data</w:t>
            </w:r>
          </w:p>
        </w:tc>
        <w:tc>
          <w:tcPr>
            <w:tcW w:w="4106" w:type="dxa"/>
            <w:vAlign w:val="center"/>
          </w:tcPr>
          <w:p w14:paraId="0D81E593" w14:textId="033C44E2"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Genomic selection, yield prediction</w:t>
            </w:r>
          </w:p>
        </w:tc>
        <w:tc>
          <w:tcPr>
            <w:tcW w:w="0" w:type="auto"/>
            <w:vAlign w:val="center"/>
          </w:tcPr>
          <w:p w14:paraId="4B50FEC2" w14:textId="3A2B3518"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Crossa et al., 2017</w:t>
            </w:r>
          </w:p>
        </w:tc>
      </w:tr>
      <w:tr w:rsidR="00F023C5" w14:paraId="63ED05DA" w14:textId="77777777" w:rsidTr="00F023C5">
        <w:trPr>
          <w:trHeight w:val="56"/>
          <w:jc w:val="center"/>
        </w:trPr>
        <w:tc>
          <w:tcPr>
            <w:tcW w:w="0" w:type="auto"/>
            <w:vAlign w:val="center"/>
          </w:tcPr>
          <w:p w14:paraId="25B219FC" w14:textId="26A0ACE5"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K-means Clustering</w:t>
            </w:r>
          </w:p>
        </w:tc>
        <w:tc>
          <w:tcPr>
            <w:tcW w:w="2890" w:type="dxa"/>
            <w:vAlign w:val="center"/>
          </w:tcPr>
          <w:p w14:paraId="3C9B922B" w14:textId="7D158921"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Unsupervised learning</w:t>
            </w:r>
          </w:p>
        </w:tc>
        <w:tc>
          <w:tcPr>
            <w:tcW w:w="3330" w:type="dxa"/>
            <w:vAlign w:val="center"/>
          </w:tcPr>
          <w:p w14:paraId="3743493F" w14:textId="3E3AC32E"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Omics and phenotypic data</w:t>
            </w:r>
          </w:p>
        </w:tc>
        <w:tc>
          <w:tcPr>
            <w:tcW w:w="4106" w:type="dxa"/>
            <w:vAlign w:val="center"/>
          </w:tcPr>
          <w:p w14:paraId="2B5DD69F" w14:textId="6F5E8FDA"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Genotype grouping, diversity analysis</w:t>
            </w:r>
          </w:p>
        </w:tc>
        <w:tc>
          <w:tcPr>
            <w:tcW w:w="0" w:type="auto"/>
            <w:vAlign w:val="center"/>
          </w:tcPr>
          <w:p w14:paraId="49FF5858" w14:textId="19C19DBA"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Liakos et al., 2018</w:t>
            </w:r>
          </w:p>
        </w:tc>
      </w:tr>
      <w:tr w:rsidR="00F023C5" w14:paraId="36E8C1BC" w14:textId="77777777" w:rsidTr="00F023C5">
        <w:trPr>
          <w:trHeight w:val="682"/>
          <w:jc w:val="center"/>
        </w:trPr>
        <w:tc>
          <w:tcPr>
            <w:tcW w:w="0" w:type="auto"/>
            <w:vAlign w:val="center"/>
          </w:tcPr>
          <w:p w14:paraId="17066CE4" w14:textId="33CCA20B"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b/>
                <w:bCs/>
              </w:rPr>
              <w:t>Principal Component Analysis (PCA)</w:t>
            </w:r>
          </w:p>
        </w:tc>
        <w:tc>
          <w:tcPr>
            <w:tcW w:w="2890" w:type="dxa"/>
            <w:vAlign w:val="center"/>
          </w:tcPr>
          <w:p w14:paraId="6C8C217F" w14:textId="4C713FAF"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Unsupervised (Dimensionality reduction)</w:t>
            </w:r>
          </w:p>
        </w:tc>
        <w:tc>
          <w:tcPr>
            <w:tcW w:w="3330" w:type="dxa"/>
            <w:vAlign w:val="center"/>
          </w:tcPr>
          <w:p w14:paraId="56EDE797" w14:textId="2FA5058D"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Multi-omics datasets</w:t>
            </w:r>
          </w:p>
        </w:tc>
        <w:tc>
          <w:tcPr>
            <w:tcW w:w="4106" w:type="dxa"/>
            <w:vAlign w:val="center"/>
          </w:tcPr>
          <w:p w14:paraId="7FDA7FC4" w14:textId="68D2B80E"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Data reduction, pattern recognition, trait association</w:t>
            </w:r>
          </w:p>
        </w:tc>
        <w:tc>
          <w:tcPr>
            <w:tcW w:w="0" w:type="auto"/>
            <w:vAlign w:val="center"/>
          </w:tcPr>
          <w:p w14:paraId="7C648254" w14:textId="76EBD603" w:rsidR="00CF5704" w:rsidRDefault="00CF5704" w:rsidP="00F023C5">
            <w:pPr>
              <w:pStyle w:val="NoSpacing"/>
              <w:spacing w:line="276" w:lineRule="auto"/>
              <w:ind w:left="0"/>
              <w:jc w:val="center"/>
              <w:rPr>
                <w:rFonts w:ascii="Times New Roman" w:hAnsi="Times New Roman" w:cs="Times New Roman"/>
              </w:rPr>
            </w:pPr>
            <w:r w:rsidRPr="00CF5704">
              <w:rPr>
                <w:rFonts w:ascii="Times New Roman" w:hAnsi="Times New Roman" w:cs="Times New Roman"/>
              </w:rPr>
              <w:t>Misra &amp; Langefeld, 2021</w:t>
            </w:r>
          </w:p>
        </w:tc>
      </w:tr>
    </w:tbl>
    <w:p w14:paraId="22F71F12" w14:textId="77777777" w:rsidR="00F023C5" w:rsidRDefault="00F023C5" w:rsidP="00F82FC9">
      <w:pPr>
        <w:pStyle w:val="NoSpacing"/>
        <w:spacing w:line="276" w:lineRule="auto"/>
        <w:rPr>
          <w:rFonts w:ascii="Times New Roman" w:hAnsi="Times New Roman" w:cs="Times New Roman"/>
        </w:rPr>
        <w:sectPr w:rsidR="00F023C5" w:rsidSect="00F023C5">
          <w:pgSz w:w="16838" w:h="11906" w:orient="landscape"/>
          <w:pgMar w:top="1440" w:right="1440" w:bottom="1440" w:left="1440" w:header="708" w:footer="708" w:gutter="0"/>
          <w:cols w:space="708"/>
          <w:docGrid w:linePitch="360"/>
        </w:sectPr>
      </w:pPr>
    </w:p>
    <w:p w14:paraId="41751A7C"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lastRenderedPageBreak/>
        <w:t>4.4 AI in Genomic Selection</w:t>
      </w:r>
    </w:p>
    <w:p w14:paraId="4485DB0B"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Genomic selection (GS) has become a cornerstone of modern plant breeding, enabling the prediction of breeding values based on genome-wide marker information. Traditional GS models, such as genomic best linear unbiased prediction (GBLUP), assume linear relationships between markers and traits. However, many agronomic traits exhibit non-linear and epistatic interactions that are not fully captured by these models.</w:t>
      </w:r>
    </w:p>
    <w:p w14:paraId="5E310039"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AI-based approaches, particularly machine learning and deep learning models, have been increasingly applied to enhance genomic selection. Algorithms such as Random Forest, Gradient Boosting Machines, and deep neural networks can model complex, non-linear relationships between genotype and phenotype, thereby improving prediction accuracy.</w:t>
      </w:r>
    </w:p>
    <w:p w14:paraId="18E272A3"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AI-driven GS models also allow the incorporation of additional data layers, such as environmental variables and </w:t>
      </w:r>
      <w:proofErr w:type="spellStart"/>
      <w:r w:rsidRPr="004053EB">
        <w:rPr>
          <w:rFonts w:ascii="Times New Roman" w:hAnsi="Times New Roman" w:cs="Times New Roman"/>
        </w:rPr>
        <w:t>phenomic</w:t>
      </w:r>
      <w:proofErr w:type="spellEnd"/>
      <w:r w:rsidRPr="004053EB">
        <w:rPr>
          <w:rFonts w:ascii="Times New Roman" w:hAnsi="Times New Roman" w:cs="Times New Roman"/>
        </w:rPr>
        <w:t xml:space="preserve"> data, leading to more robust predictions under diverse conditions. This is particularly important for addressing genotype × environment interactions, which play a critical role in trait expression.</w:t>
      </w:r>
    </w:p>
    <w:p w14:paraId="42548838" w14:textId="62C5D7B4" w:rsid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By improving the accuracy of genomic estimated breeding values (GEBVs), AI-based genomic selection enables earlier and more reliable selection of superior genotypes, reducing breeding cycle duration and increasing genetic gain (Montesinos-López et al., 2018).</w:t>
      </w:r>
      <w:r w:rsidR="00CA1052" w:rsidRPr="00CA1052">
        <w:t xml:space="preserve"> </w:t>
      </w:r>
      <w:r w:rsidR="00CA1052" w:rsidRPr="00CA1052">
        <w:rPr>
          <w:rFonts w:ascii="Times New Roman" w:hAnsi="Times New Roman" w:cs="Times New Roman"/>
        </w:rPr>
        <w:t>The workflow of AI-assisted genomic selection, integrating genotypic and phenotypic data with machine learning models for predicting breeding values, is illustrated in Fig. 2</w:t>
      </w:r>
      <w:r w:rsidR="00CA1052">
        <w:rPr>
          <w:rFonts w:ascii="Times New Roman" w:hAnsi="Times New Roman" w:cs="Times New Roman"/>
        </w:rPr>
        <w:t>.</w:t>
      </w:r>
    </w:p>
    <w:p w14:paraId="6A90C0D7" w14:textId="77777777" w:rsidR="00CA1052" w:rsidRDefault="00CA1052" w:rsidP="00F82FC9">
      <w:pPr>
        <w:pStyle w:val="NoSpacing"/>
        <w:spacing w:line="276" w:lineRule="auto"/>
        <w:rPr>
          <w:rFonts w:ascii="Times New Roman" w:hAnsi="Times New Roman" w:cs="Times New Roman"/>
        </w:rPr>
      </w:pPr>
    </w:p>
    <w:p w14:paraId="2210CDDF" w14:textId="4258992B" w:rsidR="00CA1052" w:rsidRDefault="00CA1052" w:rsidP="00CA1052">
      <w:pPr>
        <w:pStyle w:val="NoSpacing"/>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429F1140" wp14:editId="6EC54E82">
            <wp:extent cx="5115308" cy="4785067"/>
            <wp:effectExtent l="19050" t="19050" r="28575" b="15875"/>
            <wp:docPr id="1539838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rotWithShape="1">
                    <a:blip r:embed="rId14">
                      <a:extLst>
                        <a:ext uri="{28A0092B-C50C-407E-A947-70E740481C1C}">
                          <a14:useLocalDpi xmlns:a14="http://schemas.microsoft.com/office/drawing/2010/main" val="0"/>
                        </a:ext>
                      </a:extLst>
                    </a:blip>
                    <a:srcRect b="8972"/>
                    <a:stretch>
                      <a:fillRect/>
                    </a:stretch>
                  </pic:blipFill>
                  <pic:spPr bwMode="auto">
                    <a:xfrm>
                      <a:off x="0" y="0"/>
                      <a:ext cx="5127598" cy="479656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F2E291C" w14:textId="00F5E1E1" w:rsidR="00CA1052" w:rsidRPr="004053EB" w:rsidRDefault="00CA1052" w:rsidP="00CA1052">
      <w:pPr>
        <w:pStyle w:val="NoSpacing"/>
        <w:spacing w:line="276" w:lineRule="auto"/>
        <w:jc w:val="center"/>
        <w:rPr>
          <w:rFonts w:ascii="Times New Roman" w:hAnsi="Times New Roman" w:cs="Times New Roman"/>
        </w:rPr>
      </w:pPr>
      <w:r w:rsidRPr="00CA1052">
        <w:rPr>
          <w:rFonts w:ascii="Times New Roman" w:hAnsi="Times New Roman" w:cs="Times New Roman"/>
          <w:b/>
          <w:bCs/>
        </w:rPr>
        <w:t>Fig. 2.</w:t>
      </w:r>
      <w:r w:rsidRPr="00CA1052">
        <w:rPr>
          <w:rFonts w:ascii="Times New Roman" w:hAnsi="Times New Roman" w:cs="Times New Roman"/>
        </w:rPr>
        <w:t xml:space="preserve"> Workflow of AI-assisted genomic selection in crop breeding.</w:t>
      </w:r>
    </w:p>
    <w:p w14:paraId="0C957875"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lastRenderedPageBreak/>
        <w:t>4.5 Integration of AI with Multi-Omics</w:t>
      </w:r>
    </w:p>
    <w:p w14:paraId="5D3AE25D"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integration of AI with multi-omics data represents a major advancement in crop improvement, enabling the simultaneous analysis of complex datasets across multiple biological layers. AI algorithms are particularly well-suited for handling the high dimensionality, heterogeneity, and noise associated with multi-omics data.</w:t>
      </w:r>
    </w:p>
    <w:p w14:paraId="370AFD07"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Multi-layer data fusion techniques combine information from genomics, transcriptomics, proteomics, metabolomics, and phenomics to construct comprehensive models of biological systems. Machine learning methods such as multi-view learning, deep neural networks, and ensemble models are used to integrate these datasets and identify key features associated with target traits.</w:t>
      </w:r>
    </w:p>
    <w:p w14:paraId="3B99B6F5"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AI-driven predictive </w:t>
      </w:r>
      <w:proofErr w:type="spellStart"/>
      <w:r w:rsidRPr="004053EB">
        <w:rPr>
          <w:rFonts w:ascii="Times New Roman" w:hAnsi="Times New Roman" w:cs="Times New Roman"/>
        </w:rPr>
        <w:t>modeling</w:t>
      </w:r>
      <w:proofErr w:type="spellEnd"/>
      <w:r w:rsidRPr="004053EB">
        <w:rPr>
          <w:rFonts w:ascii="Times New Roman" w:hAnsi="Times New Roman" w:cs="Times New Roman"/>
        </w:rPr>
        <w:t xml:space="preserve"> of complex traits leverages integrated multi-omics data to improve the accuracy of trait prediction and identify causal relationships. For example, combining genomic markers with gene expression and metabolite profiles can enhance the prediction of nutritional traits such as protein content, micronutrient accumulation, and bioactive compound synthesis.</w:t>
      </w:r>
    </w:p>
    <w:p w14:paraId="130C9E70"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Network-based deep learning models and graph-based approaches are increasingly being used to model interactions among genes, proteins, and metabolites, providing insights into regulatory networks and pathway dynamics. These integrative models facilitate the identification of candidate genes and biomarkers for targeted breeding.</w:t>
      </w:r>
    </w:p>
    <w:p w14:paraId="6626E276" w14:textId="77777777" w:rsidR="004053EB" w:rsidRPr="00F82FC9"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Overall, the convergence of AI and multi-omics is enabling a shift towards data-driven, predictive, and precision breeding, where decisions are guided by comprehensive models rather than empirical observations alone. This integrative approach holds immense potential for accelerating crop improvement and addressing global challenges related to food and nutritional security.</w:t>
      </w:r>
    </w:p>
    <w:p w14:paraId="1D88B166" w14:textId="77777777" w:rsidR="00F82FC9" w:rsidRPr="004053EB" w:rsidRDefault="00F82FC9" w:rsidP="00F82FC9">
      <w:pPr>
        <w:pStyle w:val="NoSpacing"/>
        <w:spacing w:line="276" w:lineRule="auto"/>
        <w:rPr>
          <w:rFonts w:ascii="Times New Roman" w:hAnsi="Times New Roman" w:cs="Times New Roman"/>
        </w:rPr>
      </w:pPr>
    </w:p>
    <w:p w14:paraId="152F24DC"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5. Applications in Crop Improvement for Nutritional Security</w:t>
      </w:r>
    </w:p>
    <w:p w14:paraId="4CA5D7F9"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convergence of multi-omics technologies and artificial intelligence (AI) has significantly expanded the scope of crop improvement, particularly in addressing nutritional security. These integrative approaches enable precise dissection of complex traits, facilitate predictive breeding, and accelerate the development of nutrient-dense, climate-resilient crop varieties. Applications span from biofortification of staple crops to optimization of yield stability under variable environments, offering sustainable solutions to global malnutrition and food insecurity.</w:t>
      </w:r>
    </w:p>
    <w:p w14:paraId="474625F9" w14:textId="77777777" w:rsidR="00F82FC9" w:rsidRPr="00F82FC9" w:rsidRDefault="00F82FC9" w:rsidP="00F82FC9">
      <w:pPr>
        <w:pStyle w:val="NoSpacing"/>
        <w:spacing w:line="276" w:lineRule="auto"/>
        <w:rPr>
          <w:rFonts w:ascii="Times New Roman" w:hAnsi="Times New Roman" w:cs="Times New Roman"/>
          <w:b/>
          <w:bCs/>
        </w:rPr>
      </w:pPr>
    </w:p>
    <w:p w14:paraId="7797CE18" w14:textId="200A5406"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5.1 Biofortification of Staple Crops</w:t>
      </w:r>
    </w:p>
    <w:p w14:paraId="15CA6B1A"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Biofortification, the process of enhancing the nutritional quality of crops through genetic improvement, has emerged as a cost-effective and sustainable strategy to combat micronutrient deficiencies. Multi-omics approaches have played a pivotal role in identifying genes, pathways, and regulatory networks associated with nutrient accumulation, while AI tools have enhanced the precision of trait prediction and selection.</w:t>
      </w:r>
    </w:p>
    <w:p w14:paraId="237BD11C"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Iron, zinc, and protein enhancement:</w:t>
      </w:r>
    </w:p>
    <w:p w14:paraId="117B8C01" w14:textId="6011E1A2"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Genomic and transcriptomic studies have identified key genes involved in micronutrient uptake, transport, and storage, such as </w:t>
      </w:r>
      <w:r w:rsidRPr="004053EB">
        <w:rPr>
          <w:rFonts w:ascii="Times New Roman" w:hAnsi="Times New Roman" w:cs="Times New Roman"/>
          <w:i/>
          <w:iCs/>
        </w:rPr>
        <w:t>ZIP</w:t>
      </w:r>
      <w:r w:rsidRPr="004053EB">
        <w:rPr>
          <w:rFonts w:ascii="Times New Roman" w:hAnsi="Times New Roman" w:cs="Times New Roman"/>
        </w:rPr>
        <w:t xml:space="preserve">, </w:t>
      </w:r>
      <w:r w:rsidRPr="004053EB">
        <w:rPr>
          <w:rFonts w:ascii="Times New Roman" w:hAnsi="Times New Roman" w:cs="Times New Roman"/>
          <w:i/>
          <w:iCs/>
        </w:rPr>
        <w:t>NRAMP</w:t>
      </w:r>
      <w:r w:rsidRPr="004053EB">
        <w:rPr>
          <w:rFonts w:ascii="Times New Roman" w:hAnsi="Times New Roman" w:cs="Times New Roman"/>
        </w:rPr>
        <w:t xml:space="preserve">, and </w:t>
      </w:r>
      <w:r w:rsidRPr="004053EB">
        <w:rPr>
          <w:rFonts w:ascii="Times New Roman" w:hAnsi="Times New Roman" w:cs="Times New Roman"/>
          <w:i/>
          <w:iCs/>
        </w:rPr>
        <w:t>NAS</w:t>
      </w:r>
      <w:r w:rsidRPr="004053EB">
        <w:rPr>
          <w:rFonts w:ascii="Times New Roman" w:hAnsi="Times New Roman" w:cs="Times New Roman"/>
        </w:rPr>
        <w:t xml:space="preserve"> gene families. Metabolomic profiling has further elucidated pathways influencing nutrient bioavailability. For instance, genome-wide association studies (GWAS) have identified loci associated with grain iron and zinc content in cereals and legumes, enabling marker-assisted breeding for micronutrient enrichment (Bouis and Saltzman, 2017).</w:t>
      </w:r>
    </w:p>
    <w:p w14:paraId="01ACAEA7"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Case studies in rice, wheat, and pulses:</w:t>
      </w:r>
    </w:p>
    <w:p w14:paraId="4BB6C7BF" w14:textId="58B4E042"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In rice, the development of biofortified varieties such as “Golden Rice” (enhanced with provitamin A) demonstrates the integration of genomics and metabolic engineering. Similarly, wheat breeding programs have successfully increased grain zinc and iron concentrations using marker-assisted </w:t>
      </w:r>
      <w:r w:rsidRPr="004053EB">
        <w:rPr>
          <w:rFonts w:ascii="Times New Roman" w:hAnsi="Times New Roman" w:cs="Times New Roman"/>
        </w:rPr>
        <w:lastRenderedPageBreak/>
        <w:t>selection and genomic selection approaches. In pulses, including lentil, chickpea, and mungbean, multi-omics studies have identified candidate genes associated with protein content and micronutrient accumulation, facilitating the development of nutritionally superior genotypes. The integration of AI models with omics data has further improved prediction accuracy for these traits, enabling efficient selection in breeding pipelines.</w:t>
      </w:r>
    </w:p>
    <w:p w14:paraId="3E19CBDE" w14:textId="623BFF42" w:rsidR="004053EB" w:rsidRPr="004053EB" w:rsidRDefault="004053EB" w:rsidP="00F82FC9">
      <w:pPr>
        <w:pStyle w:val="NoSpacing"/>
        <w:spacing w:line="276" w:lineRule="auto"/>
        <w:rPr>
          <w:rFonts w:ascii="Times New Roman" w:hAnsi="Times New Roman" w:cs="Times New Roman"/>
        </w:rPr>
      </w:pPr>
    </w:p>
    <w:p w14:paraId="7EAEE98C"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5.2 Yield Improvement and Stability</w:t>
      </w:r>
    </w:p>
    <w:p w14:paraId="1742A143"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Enhancing crop yield while maintaining stability across diverse environments remains a primary objective of plant breeding. Yield is a highly complex trait influenced by multiple genetic, physiological, and environmental factors, making it an ideal candidate for multi-omics and AI-based approaches.</w:t>
      </w:r>
    </w:p>
    <w:p w14:paraId="7E041555"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Multi-trait optimization:</w:t>
      </w:r>
    </w:p>
    <w:p w14:paraId="7231557D" w14:textId="7DB34A72"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Traditional breeding often focuses on individual traits, whereas modern approaches aim to simultaneously optimize multiple traits, including yield, nutritional quality, and stress tolerance. Multi-omics integration enables the identification of genomic regions and pathways influencing multiple traits, while machine learning models facilitate multi-trait prediction and selection.</w:t>
      </w:r>
    </w:p>
    <w:p w14:paraId="57A6CA1A"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AI-driven selection:</w:t>
      </w:r>
    </w:p>
    <w:p w14:paraId="69A9878E" w14:textId="34A4275B"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AI algorithms, such as Random Forest, Gradient Boosting, and deep neural networks, have been widely applied to predict yield performance based on genomic, </w:t>
      </w:r>
      <w:proofErr w:type="spellStart"/>
      <w:r w:rsidRPr="004053EB">
        <w:rPr>
          <w:rFonts w:ascii="Times New Roman" w:hAnsi="Times New Roman" w:cs="Times New Roman"/>
        </w:rPr>
        <w:t>phenomic</w:t>
      </w:r>
      <w:proofErr w:type="spellEnd"/>
      <w:r w:rsidRPr="004053EB">
        <w:rPr>
          <w:rFonts w:ascii="Times New Roman" w:hAnsi="Times New Roman" w:cs="Times New Roman"/>
        </w:rPr>
        <w:t>, and environmental data. These models capture complex non-linear interactions and genotype × environment (G×E) effects, improving selection accuracy compared to conventional statistical methods. AI-driven genomic selection models enable early identification of high-performing genotypes, thereby reducing breeding cycle duration and accelerating genetic gain (Crossa et al., 2017).</w:t>
      </w:r>
    </w:p>
    <w:p w14:paraId="27C24933" w14:textId="4B2EE2D3" w:rsidR="004053EB" w:rsidRPr="004053EB" w:rsidRDefault="004053EB" w:rsidP="00F82FC9">
      <w:pPr>
        <w:pStyle w:val="NoSpacing"/>
        <w:spacing w:line="276" w:lineRule="auto"/>
        <w:rPr>
          <w:rFonts w:ascii="Times New Roman" w:hAnsi="Times New Roman" w:cs="Times New Roman"/>
        </w:rPr>
      </w:pPr>
    </w:p>
    <w:p w14:paraId="637EF19B"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5.3 Stress Tolerance and Climate Resilience</w:t>
      </w:r>
    </w:p>
    <w:p w14:paraId="1807BD79"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Climate change poses significant challenges to global agriculture, necessitating the development of crop varieties that can withstand abiotic stresses such as drought, heat, and salinity. Multi-omics approaches provide comprehensive insights into stress-responsive mechanisms, while AI facilitates the integration and analysis of complex datasets.</w:t>
      </w:r>
    </w:p>
    <w:p w14:paraId="41FF7F64"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Drought, heat, and salinity tolerance:</w:t>
      </w:r>
    </w:p>
    <w:p w14:paraId="7BFC8F97" w14:textId="01C7059C"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Genomic studies have identified numerous QTLs and genes associated with stress tolerance, while transcriptomic analyses reveal stress-responsive gene expression patterns. Proteomics and metabolomics further elucidate adaptive mechanisms, such as osmolyte accumulation, antioxidant activity, and stress </w:t>
      </w:r>
      <w:proofErr w:type="spellStart"/>
      <w:r w:rsidRPr="004053EB">
        <w:rPr>
          <w:rFonts w:ascii="Times New Roman" w:hAnsi="Times New Roman" w:cs="Times New Roman"/>
        </w:rPr>
        <w:t>signaling</w:t>
      </w:r>
      <w:proofErr w:type="spellEnd"/>
      <w:r w:rsidRPr="004053EB">
        <w:rPr>
          <w:rFonts w:ascii="Times New Roman" w:hAnsi="Times New Roman" w:cs="Times New Roman"/>
        </w:rPr>
        <w:t xml:space="preserve"> pathways. For example, metabolomic profiling has identified key metabolites involved in drought tolerance, including proline and sugars, which contribute to osmotic adjustment.</w:t>
      </w:r>
    </w:p>
    <w:p w14:paraId="44DA69D4"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Omics-assisted stress breeding:</w:t>
      </w:r>
    </w:p>
    <w:p w14:paraId="231D7C62" w14:textId="0A1AB1A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integration of multi-omics data enables the identification of candidate genes and biomarkers for stress tolerance, which can be used in marker-assisted selection and genomic selection. AI models enhance the prediction of stress responses by incorporating environmental variables and phenotypic data. High-throughput phenotyping platforms, combined with deep learning, enable rapid screening of large populations for stress tolerance traits. These integrative approaches facilitate the development of climate-resilient crop varieties capable of maintaining productivity under adverse conditions.</w:t>
      </w:r>
    </w:p>
    <w:p w14:paraId="3D397E10" w14:textId="78DBCDBF" w:rsidR="004053EB" w:rsidRPr="004053EB" w:rsidRDefault="004053EB" w:rsidP="00F82FC9">
      <w:pPr>
        <w:pStyle w:val="NoSpacing"/>
        <w:spacing w:line="276" w:lineRule="auto"/>
        <w:rPr>
          <w:rFonts w:ascii="Times New Roman" w:hAnsi="Times New Roman" w:cs="Times New Roman"/>
        </w:rPr>
      </w:pPr>
    </w:p>
    <w:p w14:paraId="61A60A12"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5.4 Precision Breeding</w:t>
      </w:r>
    </w:p>
    <w:p w14:paraId="39DD41B6"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Precision breeding represents the next frontier in crop improvement, combining advanced molecular tools with data-driven approaches to achieve targeted genetic modifications. The </w:t>
      </w:r>
      <w:r w:rsidRPr="004053EB">
        <w:rPr>
          <w:rFonts w:ascii="Times New Roman" w:hAnsi="Times New Roman" w:cs="Times New Roman"/>
        </w:rPr>
        <w:lastRenderedPageBreak/>
        <w:t>integration of genome editing technologies, multi-omics data, and AI is revolutionizing the development of improved crop varieties.</w:t>
      </w:r>
    </w:p>
    <w:p w14:paraId="4B98213C"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CRISPR/Cas and omics integration:</w:t>
      </w:r>
    </w:p>
    <w:p w14:paraId="782EAF8A" w14:textId="263FCE58"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Genome editing tools such as CRISPR/Cas systems enable precise modification of target genes associated with desirable traits. Multi-omics data guide the identification of candidate genes and regulatory elements for editing, ensuring targeted and efficient interventions. For example, genes involved in nutrient metabolism, stress response, and yield components can be precisely edited to enhance crop performance.</w:t>
      </w:r>
    </w:p>
    <w:p w14:paraId="5E940AE4"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AI-assisted precision breeding:</w:t>
      </w:r>
    </w:p>
    <w:p w14:paraId="32114BD4" w14:textId="7072BBF2"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AI algorithms facilitate the identification of optimal gene targets, prediction of editing outcomes, and assessment of potential off-target effects. Machine learning models can </w:t>
      </w:r>
      <w:proofErr w:type="spellStart"/>
      <w:r w:rsidRPr="004053EB">
        <w:rPr>
          <w:rFonts w:ascii="Times New Roman" w:hAnsi="Times New Roman" w:cs="Times New Roman"/>
        </w:rPr>
        <w:t>analyze</w:t>
      </w:r>
      <w:proofErr w:type="spellEnd"/>
      <w:r w:rsidRPr="004053EB">
        <w:rPr>
          <w:rFonts w:ascii="Times New Roman" w:hAnsi="Times New Roman" w:cs="Times New Roman"/>
        </w:rPr>
        <w:t xml:space="preserve"> large-scale omics datasets to prioritize candidate genes for editing and predict their impact on phenotype. This integration reduces trial-and-error experimentation and accelerates the development of improved crop varieties.</w:t>
      </w:r>
    </w:p>
    <w:p w14:paraId="5C96BFE2"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synergy between CRISPR/Cas, multi-omics, and AI enables the design of crops with enhanced nutritional quality, improved yield, and increased resilience, thereby contributing to sustainable agriculture.</w:t>
      </w:r>
    </w:p>
    <w:p w14:paraId="1E4C1FF7" w14:textId="65CDD5A5" w:rsidR="004053EB" w:rsidRPr="004053EB" w:rsidRDefault="004053EB" w:rsidP="00F82FC9">
      <w:pPr>
        <w:pStyle w:val="NoSpacing"/>
        <w:spacing w:line="276" w:lineRule="auto"/>
        <w:rPr>
          <w:rFonts w:ascii="Times New Roman" w:hAnsi="Times New Roman" w:cs="Times New Roman"/>
        </w:rPr>
      </w:pPr>
    </w:p>
    <w:p w14:paraId="6972F88E"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5.5 Orphan Crops and Underutilized Species</w:t>
      </w:r>
    </w:p>
    <w:p w14:paraId="7AB657C5"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Orphan crops and underutilized species, such as millets, pulses, and indigenous legumes, hold immense potential for improving nutritional security, particularly in marginal and resource-poor environments. These crops are often rich in micronutrients, proteins, and bioactive compounds but have received limited research attention compared to major cereals.</w:t>
      </w:r>
    </w:p>
    <w:p w14:paraId="41BF1040"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Nutritional potential:</w:t>
      </w:r>
    </w:p>
    <w:p w14:paraId="405207E5" w14:textId="59DF47AE"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Many orphan crops exhibit superior nutritional profiles, including high protein content, essential amino acids, and micronutrients. For instance, millets are rich in iron and calcium, while pulses provide significant amounts of protein and dietary </w:t>
      </w:r>
      <w:proofErr w:type="spellStart"/>
      <w:r w:rsidRPr="004053EB">
        <w:rPr>
          <w:rFonts w:ascii="Times New Roman" w:hAnsi="Times New Roman" w:cs="Times New Roman"/>
        </w:rPr>
        <w:t>fiber</w:t>
      </w:r>
      <w:proofErr w:type="spellEnd"/>
      <w:r w:rsidRPr="004053EB">
        <w:rPr>
          <w:rFonts w:ascii="Times New Roman" w:hAnsi="Times New Roman" w:cs="Times New Roman"/>
        </w:rPr>
        <w:t>. Enhancing the productivity and nutritional quality of these crops can play a crucial role in addressing malnutrition.</w:t>
      </w:r>
    </w:p>
    <w:p w14:paraId="3577D505"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Role of omics and AI:</w:t>
      </w:r>
    </w:p>
    <w:p w14:paraId="2605A240" w14:textId="5133DF9B"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Recent advancements in omics technologies have enabled the generation of genomic and transcriptomic resources for several orphan crops, facilitating their genetic improvement. Multi-omics approaches help identify genes associated with yield, nutritional traits, and stress tolerance, while AI tools enable efficient data analysis and trait prediction.</w:t>
      </w:r>
    </w:p>
    <w:p w14:paraId="412E44B8"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AI-driven breeding strategies can accelerate the domestication and improvement of orphan crops by predicting desirable traits and optimizing selection processes. Furthermore, integrating omics data with phenotypic and environmental information supports the development of climate-resilient and nutritionally enhanced varieties suited to diverse agro-ecological conditions.</w:t>
      </w:r>
    </w:p>
    <w:p w14:paraId="270F2E06" w14:textId="5C001321" w:rsidR="004053EB" w:rsidRPr="00F82FC9" w:rsidRDefault="004053EB" w:rsidP="00F82FC9">
      <w:pPr>
        <w:pStyle w:val="NoSpacing"/>
        <w:spacing w:line="276" w:lineRule="auto"/>
        <w:rPr>
          <w:rFonts w:ascii="Times New Roman" w:hAnsi="Times New Roman" w:cs="Times New Roman"/>
        </w:rPr>
      </w:pPr>
    </w:p>
    <w:p w14:paraId="12958D03"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6. Case Studies and Success Stories in Multi-Omics and AI-Assisted Crop Improvement</w:t>
      </w:r>
    </w:p>
    <w:p w14:paraId="0E4F6364"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practical utility of integrating multi-omics approaches with artificial intelligence (AI) is increasingly evident through a growing number of case studies across major and minor crops. These studies demonstrate how data-driven and systems biology approaches can accelerate genetic gain, enhance nutritional quality, and improve resilience to environmental stresses. This section highlights key success stories that illustrate the application of AI-assisted genomic selection, multi-omics-based nutrient trait dissection, and their integration in pulse crops, which are central to sustainable nutritional security.</w:t>
      </w:r>
    </w:p>
    <w:p w14:paraId="16A4A8C1" w14:textId="57093E21" w:rsidR="004053EB" w:rsidRPr="004053EB" w:rsidRDefault="004053EB" w:rsidP="00F82FC9">
      <w:pPr>
        <w:pStyle w:val="NoSpacing"/>
        <w:spacing w:line="276" w:lineRule="auto"/>
        <w:rPr>
          <w:rFonts w:ascii="Times New Roman" w:hAnsi="Times New Roman" w:cs="Times New Roman"/>
        </w:rPr>
      </w:pPr>
    </w:p>
    <w:p w14:paraId="45EABB25"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6.1 AI-Assisted Genomic Selection in Major Crops</w:t>
      </w:r>
    </w:p>
    <w:p w14:paraId="591A5BC6"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lastRenderedPageBreak/>
        <w:t>Genomic selection (GS) has undergone a significant transformation with the incorporation of AI and machine learning techniques, enabling more accurate prediction of breeding values and improved selection efficiency. In major crops such as rice, wheat, and maize, AI-driven GS models have outperformed conventional statistical approaches by effectively capturing non-linear relationships and epistatic interactions among loci.</w:t>
      </w:r>
    </w:p>
    <w:p w14:paraId="633F92E5"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In rice, machine learning algorithms such as Random Forest and gradient boosting have been successfully applied to predict grain yield and quality traits using high-density SNP datasets. Similarly, in wheat, deep learning models have demonstrated improved prediction accuracy for complex traits such as grain protein content and yield stability under varying environmental conditions. These models integrate genomic and environmental data, thereby addressing genotype × environment (G×E) interactions more effectively.</w:t>
      </w:r>
    </w:p>
    <w:p w14:paraId="18F33E79"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In maize, the application of deep neural networks has enabled the integration of genomic, phenotypic, and environmental data for predicting hybrid performance. Studies have shown that AI-based GS models can significantly reduce prediction error and enhance selection intensity, ultimately accelerating breeding cycles and increasing genetic gain (Montesinos-López et al., 2018; Crossa et al., 2017).</w:t>
      </w:r>
    </w:p>
    <w:p w14:paraId="46B07548" w14:textId="31556058" w:rsidR="004053EB" w:rsidRPr="004053EB" w:rsidRDefault="004053EB" w:rsidP="00F82FC9">
      <w:pPr>
        <w:pStyle w:val="NoSpacing"/>
        <w:spacing w:line="276" w:lineRule="auto"/>
        <w:rPr>
          <w:rFonts w:ascii="Times New Roman" w:hAnsi="Times New Roman" w:cs="Times New Roman"/>
        </w:rPr>
      </w:pPr>
    </w:p>
    <w:p w14:paraId="7A903660"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6.2 Multi-Omics in Nutrient Trait Dissection</w:t>
      </w:r>
    </w:p>
    <w:p w14:paraId="0982FE4F"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Multi-omics approaches have been instrumental in </w:t>
      </w:r>
      <w:proofErr w:type="spellStart"/>
      <w:r w:rsidRPr="004053EB">
        <w:rPr>
          <w:rFonts w:ascii="Times New Roman" w:hAnsi="Times New Roman" w:cs="Times New Roman"/>
        </w:rPr>
        <w:t>unraveling</w:t>
      </w:r>
      <w:proofErr w:type="spellEnd"/>
      <w:r w:rsidRPr="004053EB">
        <w:rPr>
          <w:rFonts w:ascii="Times New Roman" w:hAnsi="Times New Roman" w:cs="Times New Roman"/>
        </w:rPr>
        <w:t xml:space="preserve"> the genetic and biochemical basis of nutrient-related traits in crops. By integrating genomics, transcriptomics, proteomics, and metabolomics, researchers can identify key genes, pathways, and regulatory networks involved in nutrient uptake, transport, and accumulation.</w:t>
      </w:r>
    </w:p>
    <w:p w14:paraId="0162D2E0"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In cereals such as rice and wheat, multi-omics studies have identified candidate genes associated with iron and zinc accumulation, including transporters, chelators, and storage proteins. Transcriptomic analyses have revealed differential expression of genes involved in micronutrient homeostasis, while metabolomic profiling has provided insights into pathways affecting nutrient bioavailability.</w:t>
      </w:r>
    </w:p>
    <w:p w14:paraId="47409B5D"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Proteomic studies have further validated the functional roles of these genes by identifying proteins involved in nutrient metabolism and stress responses. For instance, proteins associated with metal transport and sequestration have been linked to enhanced micronutrient accumulation in grains. The integration of these omics layers enables a comprehensive understanding of nutrient trait architecture and facilitates the development of biofortified crop varieties.</w:t>
      </w:r>
    </w:p>
    <w:p w14:paraId="14951D46"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Additionally, multi-omics approaches have been used to dissect complex traits such as protein content and amino acid composition, which are critical for improving the nutritional quality of staple crops. These integrative analyses support the identification of biomarkers and candidate genes for targeted breeding and genetic engineering.</w:t>
      </w:r>
    </w:p>
    <w:p w14:paraId="3790C73E" w14:textId="3A718DB0" w:rsidR="004053EB" w:rsidRPr="004053EB" w:rsidRDefault="004053EB" w:rsidP="00F82FC9">
      <w:pPr>
        <w:pStyle w:val="NoSpacing"/>
        <w:spacing w:line="276" w:lineRule="auto"/>
        <w:rPr>
          <w:rFonts w:ascii="Times New Roman" w:hAnsi="Times New Roman" w:cs="Times New Roman"/>
        </w:rPr>
      </w:pPr>
    </w:p>
    <w:p w14:paraId="483873EF"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6.3 Integration in Pulse Crops (Highly Relevant to GPB Research)</w:t>
      </w:r>
    </w:p>
    <w:p w14:paraId="38C46C92"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Pulse crops, including mungbean, lentil, and chickpea, are vital sources of plant-based protein, micronutrients, and dietary </w:t>
      </w:r>
      <w:proofErr w:type="spellStart"/>
      <w:r w:rsidRPr="004053EB">
        <w:rPr>
          <w:rFonts w:ascii="Times New Roman" w:hAnsi="Times New Roman" w:cs="Times New Roman"/>
        </w:rPr>
        <w:t>fiber</w:t>
      </w:r>
      <w:proofErr w:type="spellEnd"/>
      <w:r w:rsidRPr="004053EB">
        <w:rPr>
          <w:rFonts w:ascii="Times New Roman" w:hAnsi="Times New Roman" w:cs="Times New Roman"/>
        </w:rPr>
        <w:t>, particularly in developing countries. Despite their nutritional importance, genetic improvement in pulses has historically lagged behind that of major cereals. However, recent advances in multi-omics and AI are bridging this gap by enabling more precise and efficient breeding strategies.</w:t>
      </w:r>
    </w:p>
    <w:p w14:paraId="64B1D948"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Mungbean (Vigna radiata L.):</w:t>
      </w:r>
    </w:p>
    <w:p w14:paraId="6285E139" w14:textId="15E983CA"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In mungbean, genomic and transcriptomic studies have identified genes associated with seed protein content, micronutrient accumulation, and resistance to biotic stresses such as viral diseases. RNA-</w:t>
      </w:r>
      <w:proofErr w:type="spellStart"/>
      <w:r w:rsidRPr="004053EB">
        <w:rPr>
          <w:rFonts w:ascii="Times New Roman" w:hAnsi="Times New Roman" w:cs="Times New Roman"/>
        </w:rPr>
        <w:t>Seq</w:t>
      </w:r>
      <w:proofErr w:type="spellEnd"/>
      <w:r w:rsidRPr="004053EB">
        <w:rPr>
          <w:rFonts w:ascii="Times New Roman" w:hAnsi="Times New Roman" w:cs="Times New Roman"/>
        </w:rPr>
        <w:t xml:space="preserve"> analyses have revealed gene expression patterns linked to nutrient metabolism and stress responses, while GWAS has identified loci associated with yield and quality traits. Integration of </w:t>
      </w:r>
      <w:r w:rsidRPr="004053EB">
        <w:rPr>
          <w:rFonts w:ascii="Times New Roman" w:hAnsi="Times New Roman" w:cs="Times New Roman"/>
        </w:rPr>
        <w:lastRenderedPageBreak/>
        <w:t>these datasets with machine learning models has improved the prediction of complex traits, facilitating the selection of superior genotypes.</w:t>
      </w:r>
    </w:p>
    <w:p w14:paraId="0AEC21F4"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Lentil (Lens culinaris L.):</w:t>
      </w:r>
    </w:p>
    <w:p w14:paraId="451E2CC9" w14:textId="1FDF3641"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In lentil, multi-omics approaches have been applied to identify candidate genes controlling iron and zinc content, as well as protein composition. Genomic resources, including high-density linkage maps and SNP markers, have enabled QTL mapping for nutritional traits. Transcriptomic and metabolomic studies have further elucidated pathways involved in nutrient accumulation, supporting biofortification efforts.</w:t>
      </w:r>
    </w:p>
    <w:p w14:paraId="04D31F4D"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Chickpea (Cicer arietinum L.):</w:t>
      </w:r>
    </w:p>
    <w:p w14:paraId="31A8F622" w14:textId="32648099"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Chickpea has benefited from extensive genomic and transcriptomic research, leading to the identification of genes associated with seed quality, protein content, and stress tolerance. Multi-omics integration has facilitated the discovery of regulatory networks controlling nutrient traits, while AI-based genomic selection models have improved prediction accuracy for yield and nutritional parameters.</w:t>
      </w:r>
    </w:p>
    <w:p w14:paraId="1C1A0593" w14:textId="77777777" w:rsidR="00F82FC9" w:rsidRPr="00F82FC9"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Protein and micronutrient improvement:</w:t>
      </w:r>
    </w:p>
    <w:p w14:paraId="39F74B65" w14:textId="2D54868F"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Across pulse crops, the integration of multi-omics and AI has enabled the identification of key genetic determinants of protein content and micronutrient accumulation. These approaches support the development of biofortified pulse varieties with enhanced nutritional profiles, contributing to dietary diversification and food security.</w:t>
      </w:r>
    </w:p>
    <w:p w14:paraId="5F1441BF"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Furthermore, pulses exhibit strong genotype × environment interactions, particularly for nutritional traits. AI models that integrate omics and environmental data are increasingly being used to predict trait performance across diverse agro-ecological conditions, thereby enhancing breeding efficiency.</w:t>
      </w:r>
    </w:p>
    <w:p w14:paraId="0FCB43BA" w14:textId="440B8B5F" w:rsidR="003F7F22" w:rsidRPr="003F7F22" w:rsidRDefault="003F7F22" w:rsidP="00F82FC9">
      <w:pPr>
        <w:pStyle w:val="NoSpacing"/>
        <w:spacing w:line="276" w:lineRule="auto"/>
        <w:rPr>
          <w:rFonts w:ascii="Times New Roman" w:hAnsi="Times New Roman" w:cs="Times New Roman"/>
        </w:rPr>
      </w:pPr>
    </w:p>
    <w:p w14:paraId="166E3954"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7. Challenges and Limitations</w:t>
      </w:r>
    </w:p>
    <w:p w14:paraId="1D99FFBE"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Despite the transformative potential of integrating multi-omics and artificial intelligence (AI) in crop improvement, several technical, logistical, and socio-economic constraints limit their widespread adoption. These challenges arise from the inherent complexity of biological data, limitations in computational infrastructure, gaps in high-quality phenotypic data, and issues related to accessibility and governance. Addressing these bottlenecks is essential for translating advanced technologies into practical breeding outcomes, particularly in the context of developing countries and resource-limited systems.</w:t>
      </w:r>
    </w:p>
    <w:p w14:paraId="37F4E6A7" w14:textId="721C9576" w:rsidR="004053EB" w:rsidRPr="004053EB" w:rsidRDefault="004053EB" w:rsidP="00F82FC9">
      <w:pPr>
        <w:pStyle w:val="NoSpacing"/>
        <w:spacing w:line="276" w:lineRule="auto"/>
        <w:rPr>
          <w:rFonts w:ascii="Times New Roman" w:hAnsi="Times New Roman" w:cs="Times New Roman"/>
        </w:rPr>
      </w:pPr>
    </w:p>
    <w:p w14:paraId="49416B36"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7.1 Data Complexity and Integration Issues</w:t>
      </w:r>
    </w:p>
    <w:p w14:paraId="6DBAC896"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Heterogeneous Datasets</w:t>
      </w:r>
    </w:p>
    <w:p w14:paraId="31AE17C2"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Multi-omics datasets are inherently heterogeneous, differing in scale, structure, dimensionality, and noise levels. For instance, genomic data typically consist of discrete sequence variations, whereas transcriptomic, proteomic, and metabolomic datasets are continuous and highly dynamic. Additionally, </w:t>
      </w:r>
      <w:proofErr w:type="spellStart"/>
      <w:r w:rsidRPr="004053EB">
        <w:rPr>
          <w:rFonts w:ascii="Times New Roman" w:hAnsi="Times New Roman" w:cs="Times New Roman"/>
        </w:rPr>
        <w:t>phenomic</w:t>
      </w:r>
      <w:proofErr w:type="spellEnd"/>
      <w:r w:rsidRPr="004053EB">
        <w:rPr>
          <w:rFonts w:ascii="Times New Roman" w:hAnsi="Times New Roman" w:cs="Times New Roman"/>
        </w:rPr>
        <w:t xml:space="preserve"> data often involve high-dimensional image or sensor-based outputs, further complicating integration.</w:t>
      </w:r>
    </w:p>
    <w:p w14:paraId="7ED22B4A"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This heterogeneity poses significant challenges in data preprocessing, normalization, and harmonization. Differences in experimental design, sampling protocols, and analytical platforms introduce batch effects and biases, which can obscure true biological signals. Moreover, missing data and uneven sample sizes across omics layers hinder effective integration and reduce statistical power.</w:t>
      </w:r>
    </w:p>
    <w:p w14:paraId="5FD3B077"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Another critical limitation is the lack of standardized pipelines for multi-omics data integration. While several computational frameworks exist, there is no universally accepted methodology, leading to variability in results and reduced reproducibility. These challenges necessitate the </w:t>
      </w:r>
      <w:r w:rsidRPr="004053EB">
        <w:rPr>
          <w:rFonts w:ascii="Times New Roman" w:hAnsi="Times New Roman" w:cs="Times New Roman"/>
        </w:rPr>
        <w:lastRenderedPageBreak/>
        <w:t>development of robust data integration strategies and standardized workflows to ensure consistency and reliability in multi-omics analyses (Hasin et al., 2017; Misra and Langefeld, 2021).</w:t>
      </w:r>
    </w:p>
    <w:p w14:paraId="5725A55D" w14:textId="1C93EDF5" w:rsidR="004053EB" w:rsidRPr="004053EB" w:rsidRDefault="004053EB" w:rsidP="00F82FC9">
      <w:pPr>
        <w:pStyle w:val="NoSpacing"/>
        <w:spacing w:line="276" w:lineRule="auto"/>
        <w:rPr>
          <w:rFonts w:ascii="Times New Roman" w:hAnsi="Times New Roman" w:cs="Times New Roman"/>
        </w:rPr>
      </w:pPr>
    </w:p>
    <w:p w14:paraId="5A45BC59"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7.2 Computational Constraints</w:t>
      </w:r>
    </w:p>
    <w:p w14:paraId="40577AD3"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High Processing Requirements</w:t>
      </w:r>
    </w:p>
    <w:p w14:paraId="770FB7FB"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analysis of multi-omics datasets requires substantial computational resources due to their high volume and complexity. Tasks such as genome assembly, variant calling, transcriptome analysis, and multi-layer data integration involve intensive computations that demand high-performance computing (HPC) infrastructure.</w:t>
      </w:r>
    </w:p>
    <w:p w14:paraId="31121564"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AI and deep learning models further amplify these requirements, as training complex neural networks on large datasets necessitates powerful processors, including graphical processing units (GPUs) and tensor processing units (TPUs). Additionally, the storage and management of large-scale omics data present logistical challenges, particularly for institutions with limited infrastructure.</w:t>
      </w:r>
    </w:p>
    <w:p w14:paraId="1DCB64E3"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lack of computational expertise among plant breeders and biologists also limits the effective utilization of these technologies. Bridging this gap requires interdisciplinary training, user-friendly analytical tools, and the development of cloud-based platforms that can democratize access to advanced computational resources (Schatz et al., 2022).</w:t>
      </w:r>
    </w:p>
    <w:p w14:paraId="1EEA1DDA" w14:textId="174DBE8D" w:rsidR="004053EB" w:rsidRPr="004053EB" w:rsidRDefault="004053EB" w:rsidP="00F82FC9">
      <w:pPr>
        <w:pStyle w:val="NoSpacing"/>
        <w:spacing w:line="276" w:lineRule="auto"/>
        <w:rPr>
          <w:rFonts w:ascii="Times New Roman" w:hAnsi="Times New Roman" w:cs="Times New Roman"/>
        </w:rPr>
      </w:pPr>
    </w:p>
    <w:p w14:paraId="1687EF51"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7.3 Limited Phenotypic Data</w:t>
      </w:r>
    </w:p>
    <w:p w14:paraId="77F4B5F6"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Phenotyping Bottleneck</w:t>
      </w:r>
    </w:p>
    <w:p w14:paraId="01F59FC6"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One of the most significant constraints in modern plant breeding is the “phenotyping bottleneck,” which refers to the limited availability of accurate, high-throughput phenotypic data compared to the abundance of genomic information. While sequencing technologies have become increasingly accessible and cost-effective, phenotyping remains </w:t>
      </w:r>
      <w:proofErr w:type="spellStart"/>
      <w:r w:rsidRPr="004053EB">
        <w:rPr>
          <w:rFonts w:ascii="Times New Roman" w:hAnsi="Times New Roman" w:cs="Times New Roman"/>
        </w:rPr>
        <w:t>labor-intensive</w:t>
      </w:r>
      <w:proofErr w:type="spellEnd"/>
      <w:r w:rsidRPr="004053EB">
        <w:rPr>
          <w:rFonts w:ascii="Times New Roman" w:hAnsi="Times New Roman" w:cs="Times New Roman"/>
        </w:rPr>
        <w:t>, time-consuming, and often subject to environmental variability.</w:t>
      </w:r>
    </w:p>
    <w:p w14:paraId="46FF16B7"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Complex traits such as yield, nutritional quality, and stress tolerance require precise and repeated measurements across multiple environments and developmental stages. Traditional phenotyping methods are often inadequate for capturing such complexity, leading to incomplete or noisy datasets that limit the accuracy of predictive models.</w:t>
      </w:r>
    </w:p>
    <w:p w14:paraId="431755A1"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Although high-throughput phenotyping (HTP) platforms and imaging technologies have made significant progress, their adoption is still limited due to high costs and technical complexity. Furthermore, the integration of </w:t>
      </w:r>
      <w:proofErr w:type="spellStart"/>
      <w:r w:rsidRPr="004053EB">
        <w:rPr>
          <w:rFonts w:ascii="Times New Roman" w:hAnsi="Times New Roman" w:cs="Times New Roman"/>
        </w:rPr>
        <w:t>phenomic</w:t>
      </w:r>
      <w:proofErr w:type="spellEnd"/>
      <w:r w:rsidRPr="004053EB">
        <w:rPr>
          <w:rFonts w:ascii="Times New Roman" w:hAnsi="Times New Roman" w:cs="Times New Roman"/>
        </w:rPr>
        <w:t xml:space="preserve"> data with other omics layers remains challenging, highlighting the need for standardized phenotyping protocols and improved data interoperability (Fiorani and Schurr, 2013).</w:t>
      </w:r>
    </w:p>
    <w:p w14:paraId="713CE896" w14:textId="679697E3" w:rsidR="004053EB" w:rsidRPr="004053EB" w:rsidRDefault="004053EB" w:rsidP="00F82FC9">
      <w:pPr>
        <w:pStyle w:val="NoSpacing"/>
        <w:spacing w:line="276" w:lineRule="auto"/>
        <w:rPr>
          <w:rFonts w:ascii="Times New Roman" w:hAnsi="Times New Roman" w:cs="Times New Roman"/>
        </w:rPr>
      </w:pPr>
    </w:p>
    <w:p w14:paraId="48B3C04C"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7.4 Cost and Infrastructure Limitations</w:t>
      </w:r>
    </w:p>
    <w:p w14:paraId="32E4FC8D"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Accessibility in Developing Countries</w:t>
      </w:r>
    </w:p>
    <w:p w14:paraId="15B97801"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implementation of multi-omics and AI-driven approaches in crop improvement requires substantial investment in infrastructure, equipment, and skilled personnel. High-throughput sequencing platforms, mass spectrometry instruments, and advanced phenotyping systems are often expensive and require specialized maintenance.</w:t>
      </w:r>
    </w:p>
    <w:p w14:paraId="073D7C7C"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In many developing countries, where food and nutritional security challenges are most acute, limited financial resources and inadequate infrastructure restrict the adoption of these advanced technologies. Additionally, the lack of trained personnel in bioinformatics, data science, and computational biology further constrains their effective utilization.</w:t>
      </w:r>
    </w:p>
    <w:p w14:paraId="5CDD4469"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This disparity creates a technological divide, where resource-rich institutions benefit from cutting-edge innovations, while resource-limited regions struggle to access and implement these tools. </w:t>
      </w:r>
      <w:r w:rsidRPr="004053EB">
        <w:rPr>
          <w:rFonts w:ascii="Times New Roman" w:hAnsi="Times New Roman" w:cs="Times New Roman"/>
        </w:rPr>
        <w:lastRenderedPageBreak/>
        <w:t>Addressing this issue requires capacity-building initiatives, international collaborations, and the development of cost-effective and scalable technologies tailored to local conditions (Varshney et al., 2021).</w:t>
      </w:r>
    </w:p>
    <w:p w14:paraId="2F966628" w14:textId="2BC2B496" w:rsidR="004053EB" w:rsidRPr="004053EB" w:rsidRDefault="004053EB" w:rsidP="00F82FC9">
      <w:pPr>
        <w:pStyle w:val="NoSpacing"/>
        <w:spacing w:line="276" w:lineRule="auto"/>
        <w:rPr>
          <w:rFonts w:ascii="Times New Roman" w:hAnsi="Times New Roman" w:cs="Times New Roman"/>
        </w:rPr>
      </w:pPr>
    </w:p>
    <w:p w14:paraId="37D9E998"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7.5 Ethical and Data Sharing Concerns</w:t>
      </w:r>
    </w:p>
    <w:p w14:paraId="3DE3369F"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increasing reliance on large-scale data in plant breeding raises important ethical and governance issues related to data ownership, access, and sharing. Multi-omics datasets often involve contributions from multiple institutions and stakeholders, leading to complexities in data rights and intellectual property.</w:t>
      </w:r>
    </w:p>
    <w:p w14:paraId="50B359C3"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Limited data sharing due to proprietary restrictions or lack of standardized policies can hinder collaborative research and slow scientific progress. Although initiatives promoting open-access data and FAIR (Findable, Accessible, Interoperable, Reusable) principles have gained traction, their implementation remains inconsistent across regions and institutions.</w:t>
      </w:r>
    </w:p>
    <w:p w14:paraId="0B876C2E"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Additionally, the use of AI in decision-making raises concerns about transparency, interpretability, and bias. Many AI models, particularly deep learning systems, operate as “black boxes,” making it difficult to interpret how predictions are generated. This lack of transparency can limit trust and adoption among breeders and policymakers.</w:t>
      </w:r>
    </w:p>
    <w:p w14:paraId="654DC81F"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Ethical considerations also extend to the application of genome editing technologies, particularly in relation to regulatory frameworks and public acceptance. Ensuring responsible use of these technologies requires clear guidelines, stakeholder engagement, and alignment with socio-economic and environmental objectives.</w:t>
      </w:r>
    </w:p>
    <w:p w14:paraId="00E6BDB6" w14:textId="3ADA8721" w:rsidR="003F7F22" w:rsidRPr="003F7F22" w:rsidRDefault="003F7F22" w:rsidP="00F82FC9">
      <w:pPr>
        <w:pStyle w:val="NoSpacing"/>
        <w:spacing w:line="276" w:lineRule="auto"/>
        <w:rPr>
          <w:rFonts w:ascii="Times New Roman" w:hAnsi="Times New Roman" w:cs="Times New Roman"/>
          <w:b/>
          <w:bCs/>
        </w:rPr>
      </w:pPr>
    </w:p>
    <w:p w14:paraId="4F7455CE"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7. Challenges and Limitations</w:t>
      </w:r>
    </w:p>
    <w:p w14:paraId="3D0CB254"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Despite the transformative potential of integrating multi-omics and artificial intelligence (AI) in crop improvement, several technical, logistical, and socio-economic constraints limit their widespread adoption. These challenges arise from the inherent complexity of biological data, limitations in computational infrastructure, gaps in high-quality phenotypic data, and issues related to accessibility and governance. Addressing these bottlenecks is essential for translating advanced technologies into practical breeding outcomes, particularly in the context of developing countries and resource-limited systems.</w:t>
      </w:r>
    </w:p>
    <w:p w14:paraId="2B2208F9" w14:textId="29AB4D56" w:rsidR="004053EB" w:rsidRPr="004053EB" w:rsidRDefault="004053EB" w:rsidP="00F82FC9">
      <w:pPr>
        <w:pStyle w:val="NoSpacing"/>
        <w:spacing w:line="276" w:lineRule="auto"/>
        <w:rPr>
          <w:rFonts w:ascii="Times New Roman" w:hAnsi="Times New Roman" w:cs="Times New Roman"/>
        </w:rPr>
      </w:pPr>
    </w:p>
    <w:p w14:paraId="53BF04BC"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7.1 Data Complexity and Integration Issues</w:t>
      </w:r>
    </w:p>
    <w:p w14:paraId="622576B0"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Heterogeneous Datasets</w:t>
      </w:r>
    </w:p>
    <w:p w14:paraId="52472856"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Multi-omics datasets are inherently heterogeneous, differing in scale, structure, dimensionality, and noise levels. For instance, genomic data typically consist of discrete sequence variations, whereas transcriptomic, proteomic, and metabolomic datasets are continuous and highly dynamic. Additionally, </w:t>
      </w:r>
      <w:proofErr w:type="spellStart"/>
      <w:r w:rsidRPr="004053EB">
        <w:rPr>
          <w:rFonts w:ascii="Times New Roman" w:hAnsi="Times New Roman" w:cs="Times New Roman"/>
        </w:rPr>
        <w:t>phenomic</w:t>
      </w:r>
      <w:proofErr w:type="spellEnd"/>
      <w:r w:rsidRPr="004053EB">
        <w:rPr>
          <w:rFonts w:ascii="Times New Roman" w:hAnsi="Times New Roman" w:cs="Times New Roman"/>
        </w:rPr>
        <w:t xml:space="preserve"> data often involve high-dimensional image or sensor-based outputs, further complicating integration.</w:t>
      </w:r>
    </w:p>
    <w:p w14:paraId="0EE34263"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This heterogeneity poses significant challenges in data preprocessing, normalization, and harmonization. Differences in experimental design, sampling protocols, and analytical platforms introduce batch effects and biases, which can obscure true biological signals. Moreover, missing data and uneven sample sizes across omics layers hinder effective integration and reduce statistical power.</w:t>
      </w:r>
    </w:p>
    <w:p w14:paraId="3F768CF5"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Another critical limitation is the lack of standardized pipelines for multi-omics data integration. While several computational frameworks exist, there is no universally accepted methodology, leading to variability in results and reduced reproducibility. These challenges necessitate the development of robust data integration strategies and standardized workflows to ensure consistency and reliability in multi-omics analyses (Hasin et al., 2017; Misra and Langefeld, 2021).</w:t>
      </w:r>
    </w:p>
    <w:p w14:paraId="420A674C" w14:textId="308CEEA0" w:rsidR="004053EB" w:rsidRPr="004053EB" w:rsidRDefault="004053EB" w:rsidP="00F82FC9">
      <w:pPr>
        <w:pStyle w:val="NoSpacing"/>
        <w:spacing w:line="276" w:lineRule="auto"/>
        <w:rPr>
          <w:rFonts w:ascii="Times New Roman" w:hAnsi="Times New Roman" w:cs="Times New Roman"/>
        </w:rPr>
      </w:pPr>
    </w:p>
    <w:p w14:paraId="2429B5B6"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7.2 Computational Constraints</w:t>
      </w:r>
    </w:p>
    <w:p w14:paraId="6F2CDE8E"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High Processing Requirements</w:t>
      </w:r>
    </w:p>
    <w:p w14:paraId="2762ECD1"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analysis of multi-omics datasets requires substantial computational resources due to their high volume and complexity. Tasks such as genome assembly, variant calling, transcriptome analysis, and multi-layer data integration involve intensive computations that demand high-performance computing (HPC) infrastructure.</w:t>
      </w:r>
    </w:p>
    <w:p w14:paraId="1923D1E3"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AI and deep learning models further amplify these requirements, as training complex neural networks on large datasets necessitates powerful processors, including graphical processing units (GPUs) and tensor processing units (TPUs). Additionally, the storage and management of large-scale omics data present logistical challenges, particularly for institutions with limited infrastructure.</w:t>
      </w:r>
    </w:p>
    <w:p w14:paraId="0E37C1A4"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lack of computational expertise among plant breeders and biologists also limits the effective utilization of these technologies. Bridging this gap requires interdisciplinary training, user-friendly analytical tools, and the development of cloud-based platforms that can democratize access to advanced computational resources (Schatz et al., 2022).</w:t>
      </w:r>
    </w:p>
    <w:p w14:paraId="0C0C71B2" w14:textId="3C695920" w:rsidR="004053EB" w:rsidRPr="004053EB" w:rsidRDefault="004053EB" w:rsidP="00F82FC9">
      <w:pPr>
        <w:pStyle w:val="NoSpacing"/>
        <w:spacing w:line="276" w:lineRule="auto"/>
        <w:rPr>
          <w:rFonts w:ascii="Times New Roman" w:hAnsi="Times New Roman" w:cs="Times New Roman"/>
        </w:rPr>
      </w:pPr>
    </w:p>
    <w:p w14:paraId="54726738"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7.3 Limited Phenotypic Data</w:t>
      </w:r>
    </w:p>
    <w:p w14:paraId="43EEB9F7"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Phenotyping Bottleneck</w:t>
      </w:r>
    </w:p>
    <w:p w14:paraId="386124C7"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One of the most significant constraints in modern plant breeding is the “phenotyping bottleneck,” which refers to the limited availability of accurate, high-throughput phenotypic data compared to the abundance of genomic information. While sequencing technologies have become increasingly accessible and cost-effective, phenotyping remains </w:t>
      </w:r>
      <w:proofErr w:type="spellStart"/>
      <w:r w:rsidRPr="004053EB">
        <w:rPr>
          <w:rFonts w:ascii="Times New Roman" w:hAnsi="Times New Roman" w:cs="Times New Roman"/>
        </w:rPr>
        <w:t>labor-intensive</w:t>
      </w:r>
      <w:proofErr w:type="spellEnd"/>
      <w:r w:rsidRPr="004053EB">
        <w:rPr>
          <w:rFonts w:ascii="Times New Roman" w:hAnsi="Times New Roman" w:cs="Times New Roman"/>
        </w:rPr>
        <w:t>, time-consuming, and often subject to environmental variability.</w:t>
      </w:r>
    </w:p>
    <w:p w14:paraId="01CCBD4A"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Complex traits such as yield, nutritional quality, and stress tolerance require precise and repeated measurements across multiple environments and developmental stages. Traditional phenotyping methods are often inadequate for capturing such complexity, leading to incomplete or noisy datasets that limit the accuracy of predictive models.</w:t>
      </w:r>
    </w:p>
    <w:p w14:paraId="26866EF1"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Although high-throughput phenotyping (HTP) platforms and imaging technologies have made significant progress, their adoption is still limited due to high costs and technical complexity. Furthermore, the integration of </w:t>
      </w:r>
      <w:proofErr w:type="spellStart"/>
      <w:r w:rsidRPr="004053EB">
        <w:rPr>
          <w:rFonts w:ascii="Times New Roman" w:hAnsi="Times New Roman" w:cs="Times New Roman"/>
        </w:rPr>
        <w:t>phenomic</w:t>
      </w:r>
      <w:proofErr w:type="spellEnd"/>
      <w:r w:rsidRPr="004053EB">
        <w:rPr>
          <w:rFonts w:ascii="Times New Roman" w:hAnsi="Times New Roman" w:cs="Times New Roman"/>
        </w:rPr>
        <w:t xml:space="preserve"> data with other omics layers remains challenging, highlighting the need for standardized phenotyping protocols and improved data interoperability (Fiorani and Schurr, 2013).</w:t>
      </w:r>
    </w:p>
    <w:p w14:paraId="0E5AC9BB" w14:textId="735FC72F" w:rsidR="004053EB" w:rsidRPr="004053EB" w:rsidRDefault="004053EB" w:rsidP="00F82FC9">
      <w:pPr>
        <w:pStyle w:val="NoSpacing"/>
        <w:spacing w:line="276" w:lineRule="auto"/>
        <w:rPr>
          <w:rFonts w:ascii="Times New Roman" w:hAnsi="Times New Roman" w:cs="Times New Roman"/>
        </w:rPr>
      </w:pPr>
    </w:p>
    <w:p w14:paraId="4BF9BB90"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7.4 Cost and Infrastructure Limitations</w:t>
      </w:r>
    </w:p>
    <w:p w14:paraId="469D58BB"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Accessibility in Developing Countries</w:t>
      </w:r>
    </w:p>
    <w:p w14:paraId="1D61DA79"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implementation of multi-omics and AI-driven approaches in crop improvement requires substantial investment in infrastructure, equipment, and skilled personnel. High-throughput sequencing platforms, mass spectrometry instruments, and advanced phenotyping systems are often expensive and require specialized maintenance.</w:t>
      </w:r>
    </w:p>
    <w:p w14:paraId="4E0713F2"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In many developing countries, where food and nutritional security challenges are most acute, limited financial resources and inadequate infrastructure restrict the adoption of these advanced technologies. Additionally, the lack of trained personnel in bioinformatics, data science, and computational biology further constrains their effective utilization.</w:t>
      </w:r>
    </w:p>
    <w:p w14:paraId="00950967"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 xml:space="preserve">This disparity creates a technological divide, where resource-rich institutions benefit from cutting-edge innovations, while resource-limited regions struggle to access and implement these tools. Addressing this issue requires capacity-building initiatives, international collaborations, and the </w:t>
      </w:r>
      <w:r w:rsidRPr="004053EB">
        <w:rPr>
          <w:rFonts w:ascii="Times New Roman" w:hAnsi="Times New Roman" w:cs="Times New Roman"/>
        </w:rPr>
        <w:lastRenderedPageBreak/>
        <w:t>development of cost-effective and scalable technologies tailored to local conditions (Varshney et al., 2021).</w:t>
      </w:r>
    </w:p>
    <w:p w14:paraId="709669C4" w14:textId="45915467" w:rsidR="004053EB" w:rsidRPr="004053EB" w:rsidRDefault="004053EB" w:rsidP="00F82FC9">
      <w:pPr>
        <w:pStyle w:val="NoSpacing"/>
        <w:spacing w:line="276" w:lineRule="auto"/>
        <w:rPr>
          <w:rFonts w:ascii="Times New Roman" w:hAnsi="Times New Roman" w:cs="Times New Roman"/>
        </w:rPr>
      </w:pPr>
    </w:p>
    <w:p w14:paraId="55646AA1" w14:textId="77777777" w:rsidR="004053EB" w:rsidRPr="004053EB" w:rsidRDefault="004053EB" w:rsidP="00F82FC9">
      <w:pPr>
        <w:pStyle w:val="NoSpacing"/>
        <w:spacing w:line="276" w:lineRule="auto"/>
        <w:rPr>
          <w:rFonts w:ascii="Times New Roman" w:hAnsi="Times New Roman" w:cs="Times New Roman"/>
          <w:b/>
          <w:bCs/>
        </w:rPr>
      </w:pPr>
      <w:r w:rsidRPr="004053EB">
        <w:rPr>
          <w:rFonts w:ascii="Times New Roman" w:hAnsi="Times New Roman" w:cs="Times New Roman"/>
          <w:b/>
          <w:bCs/>
        </w:rPr>
        <w:t>7.5 Ethical and Data Sharing Concerns</w:t>
      </w:r>
    </w:p>
    <w:p w14:paraId="085B938F"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The increasing reliance on large-scale data in plant breeding raises important ethical and governance issues related to data ownership, access, and sharing. Multi-omics datasets often involve contributions from multiple institutions and stakeholders, leading to complexities in data rights and intellectual property.</w:t>
      </w:r>
    </w:p>
    <w:p w14:paraId="3C388C19"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Limited data sharing due to proprietary restrictions or lack of standardized policies can hinder collaborative research and slow scientific progress. Although initiatives promoting open-access data and FAIR (Findable, Accessible, Interoperable, Reusable) principles have gained traction, their implementation remains inconsistent across regions and institutions.</w:t>
      </w:r>
    </w:p>
    <w:p w14:paraId="606368EE" w14:textId="77777777" w:rsidR="004053EB" w:rsidRPr="004053EB" w:rsidRDefault="004053EB" w:rsidP="00F82FC9">
      <w:pPr>
        <w:pStyle w:val="NoSpacing"/>
        <w:spacing w:line="276" w:lineRule="auto"/>
        <w:rPr>
          <w:rFonts w:ascii="Times New Roman" w:hAnsi="Times New Roman" w:cs="Times New Roman"/>
        </w:rPr>
      </w:pPr>
      <w:r w:rsidRPr="004053EB">
        <w:rPr>
          <w:rFonts w:ascii="Times New Roman" w:hAnsi="Times New Roman" w:cs="Times New Roman"/>
        </w:rPr>
        <w:t>Additionally, the use of AI in decision-making raises concerns about transparency, interpretability, and bias. Many AI models, particularly deep learning systems, operate as “black boxes,” making it difficult to interpret how predictions are generated. This lack of transparency can limit trust and adoption among breeders and policymakers.</w:t>
      </w:r>
    </w:p>
    <w:p w14:paraId="52C6CFD0" w14:textId="77777777" w:rsidR="004A3020" w:rsidRDefault="004053EB" w:rsidP="004A3020">
      <w:pPr>
        <w:pStyle w:val="NoSpacing"/>
        <w:spacing w:line="276" w:lineRule="auto"/>
        <w:rPr>
          <w:rFonts w:ascii="Times New Roman" w:hAnsi="Times New Roman" w:cs="Times New Roman"/>
        </w:rPr>
      </w:pPr>
      <w:r w:rsidRPr="004053EB">
        <w:rPr>
          <w:rFonts w:ascii="Times New Roman" w:hAnsi="Times New Roman" w:cs="Times New Roman"/>
        </w:rPr>
        <w:t>Ethical considerations also extend to the application of genome editing technologies, particularly in relation to regulatory frameworks and public acceptance. Ensuring responsible use of these technologies requires clear guidelines, stakeholder engagement, and alignment with socio-economic and environmental objectives.</w:t>
      </w:r>
    </w:p>
    <w:p w14:paraId="374DE9E7" w14:textId="77777777" w:rsidR="004A3020" w:rsidRDefault="004A3020" w:rsidP="004A3020">
      <w:pPr>
        <w:pStyle w:val="NoSpacing"/>
        <w:spacing w:line="276" w:lineRule="auto"/>
        <w:rPr>
          <w:rFonts w:ascii="Times New Roman" w:hAnsi="Times New Roman" w:cs="Times New Roman"/>
        </w:rPr>
      </w:pPr>
    </w:p>
    <w:p w14:paraId="04356DD2" w14:textId="77777777" w:rsidR="004A3020" w:rsidRPr="004A3020" w:rsidRDefault="004A3020" w:rsidP="004A3020">
      <w:pPr>
        <w:pStyle w:val="NoSpacing"/>
        <w:spacing w:line="276" w:lineRule="auto"/>
        <w:rPr>
          <w:rFonts w:ascii="Times New Roman" w:hAnsi="Times New Roman" w:cs="Times New Roman"/>
          <w:b/>
          <w:bCs/>
        </w:rPr>
      </w:pPr>
      <w:r w:rsidRPr="004A3020">
        <w:rPr>
          <w:rFonts w:ascii="Times New Roman" w:hAnsi="Times New Roman" w:cs="Times New Roman"/>
          <w:b/>
          <w:bCs/>
        </w:rPr>
        <w:t xml:space="preserve">Disclaimer (Artificial Intelligence) </w:t>
      </w:r>
    </w:p>
    <w:p w14:paraId="0371C6DB" w14:textId="77777777" w:rsidR="004A3020" w:rsidRPr="004A3020" w:rsidRDefault="004A3020" w:rsidP="004A3020">
      <w:pPr>
        <w:pStyle w:val="NoSpacing"/>
        <w:spacing w:line="276" w:lineRule="auto"/>
        <w:rPr>
          <w:rFonts w:ascii="Times New Roman" w:hAnsi="Times New Roman" w:cs="Times New Roman"/>
        </w:rPr>
      </w:pPr>
      <w:r w:rsidRPr="004A3020">
        <w:rPr>
          <w:rFonts w:ascii="Times New Roman" w:hAnsi="Times New Roman" w:cs="Times New Roman"/>
        </w:rPr>
        <w:t xml:space="preserve">Author(s) hereby declare that (ChatGPT 5.2) used in grammar check and text-to-image generators during the writing or editing of this manuscript. </w:t>
      </w:r>
    </w:p>
    <w:p w14:paraId="29E9312B" w14:textId="77777777" w:rsidR="004A3020" w:rsidRPr="004A3020" w:rsidRDefault="004A3020" w:rsidP="004A3020">
      <w:pPr>
        <w:pStyle w:val="NoSpacing"/>
        <w:spacing w:line="276" w:lineRule="auto"/>
        <w:rPr>
          <w:rFonts w:ascii="Times New Roman" w:hAnsi="Times New Roman" w:cs="Times New Roman"/>
        </w:rPr>
      </w:pPr>
    </w:p>
    <w:p w14:paraId="1825E469" w14:textId="77777777" w:rsidR="004A3020" w:rsidRPr="004A3020" w:rsidRDefault="004A3020" w:rsidP="004A3020">
      <w:pPr>
        <w:pStyle w:val="NoSpacing"/>
        <w:spacing w:line="276" w:lineRule="auto"/>
        <w:rPr>
          <w:rFonts w:ascii="Times New Roman" w:hAnsi="Times New Roman" w:cs="Times New Roman"/>
        </w:rPr>
      </w:pPr>
      <w:r w:rsidRPr="004A3020">
        <w:rPr>
          <w:rFonts w:ascii="Times New Roman" w:hAnsi="Times New Roman" w:cs="Times New Roman"/>
          <w:b/>
          <w:bCs/>
        </w:rPr>
        <w:t xml:space="preserve">Competing Interests </w:t>
      </w:r>
    </w:p>
    <w:p w14:paraId="317E2586" w14:textId="6AC163FE" w:rsidR="004A3020" w:rsidRPr="004A3020" w:rsidRDefault="004A3020" w:rsidP="004A3020">
      <w:pPr>
        <w:pStyle w:val="NoSpacing"/>
        <w:spacing w:line="276" w:lineRule="auto"/>
        <w:rPr>
          <w:rFonts w:ascii="Times New Roman" w:hAnsi="Times New Roman" w:cs="Times New Roman"/>
        </w:rPr>
      </w:pPr>
      <w:r w:rsidRPr="004A3020">
        <w:rPr>
          <w:rFonts w:ascii="Times New Roman" w:hAnsi="Times New Roman" w:cs="Times New Roman"/>
        </w:rPr>
        <w:t>Authors have declared that no competing interests exist.</w:t>
      </w:r>
    </w:p>
    <w:p w14:paraId="3C81E8D5" w14:textId="77777777" w:rsidR="004A3020" w:rsidRDefault="004A3020" w:rsidP="00F82FC9">
      <w:pPr>
        <w:pStyle w:val="NoSpacing"/>
        <w:spacing w:line="276" w:lineRule="auto"/>
        <w:rPr>
          <w:rFonts w:ascii="Times New Roman" w:hAnsi="Times New Roman" w:cs="Times New Roman"/>
          <w:b/>
          <w:bCs/>
        </w:rPr>
      </w:pPr>
    </w:p>
    <w:p w14:paraId="4D7117D2" w14:textId="00B86185" w:rsidR="003F7F22" w:rsidRPr="003F7F22" w:rsidRDefault="003F7F22" w:rsidP="00F82FC9">
      <w:pPr>
        <w:pStyle w:val="NoSpacing"/>
        <w:spacing w:line="276" w:lineRule="auto"/>
        <w:rPr>
          <w:rFonts w:ascii="Times New Roman" w:hAnsi="Times New Roman" w:cs="Times New Roman"/>
          <w:b/>
          <w:bCs/>
        </w:rPr>
      </w:pPr>
      <w:r w:rsidRPr="003F7F22">
        <w:rPr>
          <w:rFonts w:ascii="Times New Roman" w:hAnsi="Times New Roman" w:cs="Times New Roman"/>
          <w:b/>
          <w:bCs/>
        </w:rPr>
        <w:t>References</w:t>
      </w:r>
    </w:p>
    <w:p w14:paraId="670F1752"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Bouis, H. E., &amp; Saltzman, A. (2017). Improving nutrition through biofortification: A review. </w:t>
      </w:r>
      <w:r w:rsidRPr="00F82FC9">
        <w:rPr>
          <w:rFonts w:ascii="Times New Roman" w:hAnsi="Times New Roman" w:cs="Times New Roman"/>
          <w:i/>
          <w:iCs/>
        </w:rPr>
        <w:t>Global Food Security, 12</w:t>
      </w:r>
      <w:r w:rsidRPr="00F82FC9">
        <w:rPr>
          <w:rFonts w:ascii="Times New Roman" w:hAnsi="Times New Roman" w:cs="Times New Roman"/>
        </w:rPr>
        <w:t xml:space="preserve">, 49–58. </w:t>
      </w:r>
      <w:hyperlink r:id="rId15" w:history="1">
        <w:r w:rsidRPr="00F82FC9">
          <w:rPr>
            <w:rStyle w:val="Hyperlink"/>
            <w:rFonts w:ascii="Times New Roman" w:hAnsi="Times New Roman" w:cs="Times New Roman"/>
          </w:rPr>
          <w:t>https://doi.org/10.1016/j.gfs.2017.01.009</w:t>
        </w:r>
      </w:hyperlink>
    </w:p>
    <w:p w14:paraId="48FE9841"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Conesa, A., &amp; Beck, S. (2019). Making multi-omics data accessible to researchers. </w:t>
      </w:r>
      <w:r w:rsidRPr="00F82FC9">
        <w:rPr>
          <w:rFonts w:ascii="Times New Roman" w:hAnsi="Times New Roman" w:cs="Times New Roman"/>
          <w:i/>
          <w:iCs/>
        </w:rPr>
        <w:t>Genome Biology, 20</w:t>
      </w:r>
      <w:r w:rsidRPr="00F82FC9">
        <w:rPr>
          <w:rFonts w:ascii="Times New Roman" w:hAnsi="Times New Roman" w:cs="Times New Roman"/>
        </w:rPr>
        <w:t xml:space="preserve">, 251. </w:t>
      </w:r>
      <w:hyperlink r:id="rId16" w:history="1">
        <w:r w:rsidRPr="00F82FC9">
          <w:rPr>
            <w:rStyle w:val="Hyperlink"/>
            <w:rFonts w:ascii="Times New Roman" w:hAnsi="Times New Roman" w:cs="Times New Roman"/>
          </w:rPr>
          <w:t>https://doi.org/10.1186/s13059-019-1864-6</w:t>
        </w:r>
      </w:hyperlink>
    </w:p>
    <w:p w14:paraId="6A23CBEE"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Crossa, J., Pérez-Rodríguez, P., Cuevas, J., Montesinos-López, O., Jarquín, D., de Los Campos, G., … Varshney, R. K. (2017). Genomic selection in plant breeding: Methods, models, and perspectives. </w:t>
      </w:r>
      <w:r w:rsidRPr="00F82FC9">
        <w:rPr>
          <w:rFonts w:ascii="Times New Roman" w:hAnsi="Times New Roman" w:cs="Times New Roman"/>
          <w:i/>
          <w:iCs/>
        </w:rPr>
        <w:t>Trends in Plant Science, 22</w:t>
      </w:r>
      <w:r w:rsidRPr="00F82FC9">
        <w:rPr>
          <w:rFonts w:ascii="Times New Roman" w:hAnsi="Times New Roman" w:cs="Times New Roman"/>
        </w:rPr>
        <w:t xml:space="preserve">(11), 961–975. </w:t>
      </w:r>
      <w:hyperlink r:id="rId17" w:history="1">
        <w:r w:rsidRPr="00F82FC9">
          <w:rPr>
            <w:rStyle w:val="Hyperlink"/>
            <w:rFonts w:ascii="Times New Roman" w:hAnsi="Times New Roman" w:cs="Times New Roman"/>
          </w:rPr>
          <w:t>https://doi.org/10.1016/j.tplants.2017.08.011</w:t>
        </w:r>
      </w:hyperlink>
    </w:p>
    <w:p w14:paraId="7A534CE3"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Dwivedi, S. L., </w:t>
      </w:r>
      <w:proofErr w:type="spellStart"/>
      <w:r w:rsidRPr="00F82FC9">
        <w:rPr>
          <w:rFonts w:ascii="Times New Roman" w:hAnsi="Times New Roman" w:cs="Times New Roman"/>
        </w:rPr>
        <w:t>Sahrawat</w:t>
      </w:r>
      <w:proofErr w:type="spellEnd"/>
      <w:r w:rsidRPr="00F82FC9">
        <w:rPr>
          <w:rFonts w:ascii="Times New Roman" w:hAnsi="Times New Roman" w:cs="Times New Roman"/>
        </w:rPr>
        <w:t xml:space="preserve">, K. L., Rai, K. N., Blair, M. W., Andersson, M. S., Pfeiffer, W., &amp; Ortiz, R. (2012). Nutritionally enhanced staple food crops. </w:t>
      </w:r>
      <w:r w:rsidRPr="00F82FC9">
        <w:rPr>
          <w:rFonts w:ascii="Times New Roman" w:hAnsi="Times New Roman" w:cs="Times New Roman"/>
          <w:i/>
          <w:iCs/>
        </w:rPr>
        <w:t>Plant Breeding Reviews, 36</w:t>
      </w:r>
      <w:r w:rsidRPr="00F82FC9">
        <w:rPr>
          <w:rFonts w:ascii="Times New Roman" w:hAnsi="Times New Roman" w:cs="Times New Roman"/>
        </w:rPr>
        <w:t xml:space="preserve">, 169–291. </w:t>
      </w:r>
      <w:hyperlink r:id="rId18" w:history="1">
        <w:r w:rsidRPr="00F82FC9">
          <w:rPr>
            <w:rStyle w:val="Hyperlink"/>
            <w:rFonts w:ascii="Times New Roman" w:hAnsi="Times New Roman" w:cs="Times New Roman"/>
          </w:rPr>
          <w:t>https://doi.org/10.1002/9781118358566.ch4</w:t>
        </w:r>
      </w:hyperlink>
    </w:p>
    <w:p w14:paraId="68B9A217" w14:textId="77777777" w:rsidR="004A3020" w:rsidRPr="004A3020" w:rsidRDefault="004A3020" w:rsidP="004A3020">
      <w:pPr>
        <w:pStyle w:val="NoSpacing"/>
        <w:spacing w:line="276" w:lineRule="auto"/>
        <w:ind w:left="1077" w:hanging="720"/>
        <w:rPr>
          <w:rFonts w:ascii="Times New Roman" w:hAnsi="Times New Roman" w:cs="Times New Roman"/>
        </w:rPr>
      </w:pPr>
      <w:r w:rsidRPr="004A3020">
        <w:rPr>
          <w:rFonts w:ascii="Times New Roman" w:hAnsi="Times New Roman" w:cs="Times New Roman"/>
        </w:rPr>
        <w:t xml:space="preserve">FAO. (2021). </w:t>
      </w:r>
      <w:r w:rsidRPr="004A3020">
        <w:rPr>
          <w:rFonts w:ascii="Times New Roman" w:hAnsi="Times New Roman" w:cs="Times New Roman"/>
          <w:i/>
          <w:iCs/>
        </w:rPr>
        <w:t>The state of food security and nutrition in the world 2021</w:t>
      </w:r>
      <w:r w:rsidRPr="004A3020">
        <w:rPr>
          <w:rFonts w:ascii="Times New Roman" w:hAnsi="Times New Roman" w:cs="Times New Roman"/>
        </w:rPr>
        <w:t xml:space="preserve">. Food and Agriculture Organization. </w:t>
      </w:r>
      <w:hyperlink r:id="rId19" w:history="1">
        <w:r w:rsidRPr="004A3020">
          <w:rPr>
            <w:rStyle w:val="Hyperlink"/>
            <w:rFonts w:ascii="Times New Roman" w:hAnsi="Times New Roman" w:cs="Times New Roman"/>
          </w:rPr>
          <w:t>https://doi.org/10.4060/cb4474en</w:t>
        </w:r>
      </w:hyperlink>
    </w:p>
    <w:p w14:paraId="348C2F7D"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Fiehn, O. (2002). Metabolomics—the link between genotypes and phenotypes. </w:t>
      </w:r>
      <w:r w:rsidRPr="00F82FC9">
        <w:rPr>
          <w:rFonts w:ascii="Times New Roman" w:hAnsi="Times New Roman" w:cs="Times New Roman"/>
          <w:i/>
          <w:iCs/>
        </w:rPr>
        <w:t>Plant Molecular Biology, 48</w:t>
      </w:r>
      <w:r w:rsidRPr="00F82FC9">
        <w:rPr>
          <w:rFonts w:ascii="Times New Roman" w:hAnsi="Times New Roman" w:cs="Times New Roman"/>
        </w:rPr>
        <w:t xml:space="preserve">, 155–171. </w:t>
      </w:r>
      <w:hyperlink r:id="rId20" w:history="1">
        <w:r w:rsidRPr="00F82FC9">
          <w:rPr>
            <w:rStyle w:val="Hyperlink"/>
            <w:rFonts w:ascii="Times New Roman" w:hAnsi="Times New Roman" w:cs="Times New Roman"/>
          </w:rPr>
          <w:t>https://doi.org/10.1023/A:1013713905833</w:t>
        </w:r>
      </w:hyperlink>
    </w:p>
    <w:p w14:paraId="01068DCE"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Fiorani, F., &amp; Schurr, U. (2013). Future scenarios for plant phenotyping. </w:t>
      </w:r>
      <w:r w:rsidRPr="00F82FC9">
        <w:rPr>
          <w:rFonts w:ascii="Times New Roman" w:hAnsi="Times New Roman" w:cs="Times New Roman"/>
          <w:i/>
          <w:iCs/>
        </w:rPr>
        <w:t>Annual Review of Plant Biology, 64</w:t>
      </w:r>
      <w:r w:rsidRPr="00F82FC9">
        <w:rPr>
          <w:rFonts w:ascii="Times New Roman" w:hAnsi="Times New Roman" w:cs="Times New Roman"/>
        </w:rPr>
        <w:t xml:space="preserve">, 267–291. </w:t>
      </w:r>
      <w:hyperlink r:id="rId21" w:history="1">
        <w:r w:rsidRPr="00F82FC9">
          <w:rPr>
            <w:rStyle w:val="Hyperlink"/>
            <w:rFonts w:ascii="Times New Roman" w:hAnsi="Times New Roman" w:cs="Times New Roman"/>
          </w:rPr>
          <w:t>https://doi.org/10.1146/annurev-arplant-050312-120137</w:t>
        </w:r>
      </w:hyperlink>
    </w:p>
    <w:p w14:paraId="737ABE92"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Hasin, Y., Seldin, M., &amp; Lusis, A. (2017). Multi-omics approaches to disease. </w:t>
      </w:r>
      <w:r w:rsidRPr="00F82FC9">
        <w:rPr>
          <w:rFonts w:ascii="Times New Roman" w:hAnsi="Times New Roman" w:cs="Times New Roman"/>
          <w:i/>
          <w:iCs/>
        </w:rPr>
        <w:t>Genome Biology, 18</w:t>
      </w:r>
      <w:r w:rsidRPr="00F82FC9">
        <w:rPr>
          <w:rFonts w:ascii="Times New Roman" w:hAnsi="Times New Roman" w:cs="Times New Roman"/>
        </w:rPr>
        <w:t xml:space="preserve">, 83. </w:t>
      </w:r>
      <w:hyperlink r:id="rId22" w:history="1">
        <w:r w:rsidRPr="00F82FC9">
          <w:rPr>
            <w:rStyle w:val="Hyperlink"/>
            <w:rFonts w:ascii="Times New Roman" w:hAnsi="Times New Roman" w:cs="Times New Roman"/>
          </w:rPr>
          <w:t>https://doi.org/10.1186/s13059-017-1215-1</w:t>
        </w:r>
      </w:hyperlink>
    </w:p>
    <w:p w14:paraId="46EDE3B9" w14:textId="77777777" w:rsidR="004A3020" w:rsidRPr="004A3020" w:rsidRDefault="004A3020" w:rsidP="004A3020">
      <w:pPr>
        <w:pStyle w:val="NoSpacing"/>
        <w:spacing w:line="276" w:lineRule="auto"/>
        <w:ind w:left="1077" w:hanging="720"/>
        <w:rPr>
          <w:rFonts w:ascii="Times New Roman" w:hAnsi="Times New Roman" w:cs="Times New Roman"/>
        </w:rPr>
      </w:pPr>
      <w:r w:rsidRPr="004A3020">
        <w:rPr>
          <w:rFonts w:ascii="Times New Roman" w:hAnsi="Times New Roman" w:cs="Times New Roman"/>
        </w:rPr>
        <w:lastRenderedPageBreak/>
        <w:t xml:space="preserve">Hickey, J. M., </w:t>
      </w:r>
      <w:proofErr w:type="spellStart"/>
      <w:r w:rsidRPr="004A3020">
        <w:rPr>
          <w:rFonts w:ascii="Times New Roman" w:hAnsi="Times New Roman" w:cs="Times New Roman"/>
        </w:rPr>
        <w:t>Chiurugwi</w:t>
      </w:r>
      <w:proofErr w:type="spellEnd"/>
      <w:r w:rsidRPr="004A3020">
        <w:rPr>
          <w:rFonts w:ascii="Times New Roman" w:hAnsi="Times New Roman" w:cs="Times New Roman"/>
        </w:rPr>
        <w:t xml:space="preserve">, T., Mackay, I., Powell, W., &amp; Eggen, A. (2019). Genomic prediction unifies animal and plant breeding programs to form platforms for biological discovery. </w:t>
      </w:r>
      <w:r w:rsidRPr="004A3020">
        <w:rPr>
          <w:rFonts w:ascii="Times New Roman" w:hAnsi="Times New Roman" w:cs="Times New Roman"/>
          <w:i/>
          <w:iCs/>
        </w:rPr>
        <w:t>Nature Genetics, 51</w:t>
      </w:r>
      <w:r w:rsidRPr="004A3020">
        <w:rPr>
          <w:rFonts w:ascii="Times New Roman" w:hAnsi="Times New Roman" w:cs="Times New Roman"/>
        </w:rPr>
        <w:t xml:space="preserve">, 1297–1303. </w:t>
      </w:r>
      <w:hyperlink r:id="rId23" w:history="1">
        <w:r w:rsidRPr="004A3020">
          <w:rPr>
            <w:rStyle w:val="Hyperlink"/>
            <w:rFonts w:ascii="Times New Roman" w:hAnsi="Times New Roman" w:cs="Times New Roman"/>
          </w:rPr>
          <w:t>https://doi.org/10.1038/s41588-019-0460-6</w:t>
        </w:r>
      </w:hyperlink>
    </w:p>
    <w:p w14:paraId="2F45F8D0" w14:textId="77777777" w:rsidR="004A3020" w:rsidRPr="00F82FC9" w:rsidRDefault="004A3020" w:rsidP="00F82FC9">
      <w:pPr>
        <w:pStyle w:val="NoSpacing"/>
        <w:spacing w:line="276" w:lineRule="auto"/>
        <w:ind w:left="1077" w:hanging="720"/>
        <w:rPr>
          <w:rFonts w:ascii="Times New Roman" w:hAnsi="Times New Roman" w:cs="Times New Roman"/>
        </w:rPr>
      </w:pPr>
      <w:proofErr w:type="spellStart"/>
      <w:r w:rsidRPr="00F82FC9">
        <w:rPr>
          <w:rFonts w:ascii="Times New Roman" w:hAnsi="Times New Roman" w:cs="Times New Roman"/>
        </w:rPr>
        <w:t>Jorrín</w:t>
      </w:r>
      <w:proofErr w:type="spellEnd"/>
      <w:r w:rsidRPr="00F82FC9">
        <w:rPr>
          <w:rFonts w:ascii="Times New Roman" w:hAnsi="Times New Roman" w:cs="Times New Roman"/>
        </w:rPr>
        <w:t xml:space="preserve">-Novo, J. V., Komatsu, S., Weckwerth, W., </w:t>
      </w:r>
      <w:proofErr w:type="spellStart"/>
      <w:r w:rsidRPr="00F82FC9">
        <w:rPr>
          <w:rFonts w:ascii="Times New Roman" w:hAnsi="Times New Roman" w:cs="Times New Roman"/>
        </w:rPr>
        <w:t>Wienkoop</w:t>
      </w:r>
      <w:proofErr w:type="spellEnd"/>
      <w:r w:rsidRPr="00F82FC9">
        <w:rPr>
          <w:rFonts w:ascii="Times New Roman" w:hAnsi="Times New Roman" w:cs="Times New Roman"/>
        </w:rPr>
        <w:t xml:space="preserve">, S., &amp; Selbig, J. (2015). Plant proteomics update (2012–2014): Achievements and challenges. </w:t>
      </w:r>
      <w:r w:rsidRPr="00F82FC9">
        <w:rPr>
          <w:rFonts w:ascii="Times New Roman" w:hAnsi="Times New Roman" w:cs="Times New Roman"/>
          <w:i/>
          <w:iCs/>
        </w:rPr>
        <w:t>Journal of Proteomics, 120</w:t>
      </w:r>
      <w:r w:rsidRPr="00F82FC9">
        <w:rPr>
          <w:rFonts w:ascii="Times New Roman" w:hAnsi="Times New Roman" w:cs="Times New Roman"/>
        </w:rPr>
        <w:t xml:space="preserve">, 3–17. </w:t>
      </w:r>
      <w:hyperlink r:id="rId24" w:history="1">
        <w:r w:rsidRPr="00F82FC9">
          <w:rPr>
            <w:rStyle w:val="Hyperlink"/>
            <w:rFonts w:ascii="Times New Roman" w:hAnsi="Times New Roman" w:cs="Times New Roman"/>
          </w:rPr>
          <w:t>https://doi.org/10.1016/j.jprot.2015.01.018</w:t>
        </w:r>
      </w:hyperlink>
    </w:p>
    <w:p w14:paraId="2A671DC7"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Karczewski, K. J., &amp; Snyder, M. P. (2018). Integrative omics for health and disease. </w:t>
      </w:r>
      <w:r w:rsidRPr="00F82FC9">
        <w:rPr>
          <w:rFonts w:ascii="Times New Roman" w:hAnsi="Times New Roman" w:cs="Times New Roman"/>
          <w:i/>
          <w:iCs/>
        </w:rPr>
        <w:t>Nature Reviews Genetics, 19</w:t>
      </w:r>
      <w:r w:rsidRPr="00F82FC9">
        <w:rPr>
          <w:rFonts w:ascii="Times New Roman" w:hAnsi="Times New Roman" w:cs="Times New Roman"/>
        </w:rPr>
        <w:t xml:space="preserve">(5), 299–310. </w:t>
      </w:r>
      <w:hyperlink r:id="rId25" w:history="1">
        <w:r w:rsidRPr="00F82FC9">
          <w:rPr>
            <w:rStyle w:val="Hyperlink"/>
            <w:rFonts w:ascii="Times New Roman" w:hAnsi="Times New Roman" w:cs="Times New Roman"/>
          </w:rPr>
          <w:t>https://doi.org/10.1038/nrg.2018.4</w:t>
        </w:r>
      </w:hyperlink>
    </w:p>
    <w:p w14:paraId="50EE2971"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Kremling, K. A. G., Chen, S. Y., Su, M. H., Lepak, N. K., Romay, M. C., Swarts, K. L., … Buckler, E. S. (2019). Dysregulation of expression correlates with rare-allele burden and fitness loss in maize. </w:t>
      </w:r>
      <w:r w:rsidRPr="00F82FC9">
        <w:rPr>
          <w:rFonts w:ascii="Times New Roman" w:hAnsi="Times New Roman" w:cs="Times New Roman"/>
          <w:i/>
          <w:iCs/>
        </w:rPr>
        <w:t>Nature Genetics, 51</w:t>
      </w:r>
      <w:r w:rsidRPr="00F82FC9">
        <w:rPr>
          <w:rFonts w:ascii="Times New Roman" w:hAnsi="Times New Roman" w:cs="Times New Roman"/>
        </w:rPr>
        <w:t xml:space="preserve">, 187–194. </w:t>
      </w:r>
      <w:hyperlink r:id="rId26" w:history="1">
        <w:r w:rsidRPr="00F82FC9">
          <w:rPr>
            <w:rStyle w:val="Hyperlink"/>
            <w:rFonts w:ascii="Times New Roman" w:hAnsi="Times New Roman" w:cs="Times New Roman"/>
          </w:rPr>
          <w:t>https://doi.org/10.1038/s41588-018-0288-3</w:t>
        </w:r>
      </w:hyperlink>
    </w:p>
    <w:p w14:paraId="5BB8BF32"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Kumar, S., Gupta, S., Chandra, S., &amp; Singh, B. B. (2021). How wide is the genetic base of pulse crops? A review of mungbean genomics. </w:t>
      </w:r>
      <w:r w:rsidRPr="00F82FC9">
        <w:rPr>
          <w:rFonts w:ascii="Times New Roman" w:hAnsi="Times New Roman" w:cs="Times New Roman"/>
          <w:i/>
          <w:iCs/>
        </w:rPr>
        <w:t>Frontiers in Plant Science, 12</w:t>
      </w:r>
      <w:r w:rsidRPr="00F82FC9">
        <w:rPr>
          <w:rFonts w:ascii="Times New Roman" w:hAnsi="Times New Roman" w:cs="Times New Roman"/>
        </w:rPr>
        <w:t xml:space="preserve">, 679032. </w:t>
      </w:r>
      <w:hyperlink r:id="rId27" w:history="1">
        <w:r w:rsidRPr="00F82FC9">
          <w:rPr>
            <w:rStyle w:val="Hyperlink"/>
            <w:rFonts w:ascii="Times New Roman" w:hAnsi="Times New Roman" w:cs="Times New Roman"/>
          </w:rPr>
          <w:t>https://doi.org/10.3389/fpls.2021.679032</w:t>
        </w:r>
      </w:hyperlink>
    </w:p>
    <w:p w14:paraId="598BD7A0"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Liakos, K. G., Busato, P., </w:t>
      </w:r>
      <w:proofErr w:type="spellStart"/>
      <w:r w:rsidRPr="00F82FC9">
        <w:rPr>
          <w:rFonts w:ascii="Times New Roman" w:hAnsi="Times New Roman" w:cs="Times New Roman"/>
        </w:rPr>
        <w:t>Moshou</w:t>
      </w:r>
      <w:proofErr w:type="spellEnd"/>
      <w:r w:rsidRPr="00F82FC9">
        <w:rPr>
          <w:rFonts w:ascii="Times New Roman" w:hAnsi="Times New Roman" w:cs="Times New Roman"/>
        </w:rPr>
        <w:t xml:space="preserve">, D., Pearson, S., &amp; </w:t>
      </w:r>
      <w:proofErr w:type="spellStart"/>
      <w:r w:rsidRPr="00F82FC9">
        <w:rPr>
          <w:rFonts w:ascii="Times New Roman" w:hAnsi="Times New Roman" w:cs="Times New Roman"/>
        </w:rPr>
        <w:t>Bochtis</w:t>
      </w:r>
      <w:proofErr w:type="spellEnd"/>
      <w:r w:rsidRPr="00F82FC9">
        <w:rPr>
          <w:rFonts w:ascii="Times New Roman" w:hAnsi="Times New Roman" w:cs="Times New Roman"/>
        </w:rPr>
        <w:t xml:space="preserve">, D. (2018). Machine learning in agriculture: A review. </w:t>
      </w:r>
      <w:r w:rsidRPr="00F82FC9">
        <w:rPr>
          <w:rFonts w:ascii="Times New Roman" w:hAnsi="Times New Roman" w:cs="Times New Roman"/>
          <w:i/>
          <w:iCs/>
        </w:rPr>
        <w:t>Sensors, 18</w:t>
      </w:r>
      <w:r w:rsidRPr="00F82FC9">
        <w:rPr>
          <w:rFonts w:ascii="Times New Roman" w:hAnsi="Times New Roman" w:cs="Times New Roman"/>
        </w:rPr>
        <w:t xml:space="preserve">(8), 2674. </w:t>
      </w:r>
      <w:hyperlink r:id="rId28" w:history="1">
        <w:r w:rsidRPr="00F82FC9">
          <w:rPr>
            <w:rStyle w:val="Hyperlink"/>
            <w:rFonts w:ascii="Times New Roman" w:hAnsi="Times New Roman" w:cs="Times New Roman"/>
          </w:rPr>
          <w:t>https://doi.org/10.3390/s18082674</w:t>
        </w:r>
      </w:hyperlink>
    </w:p>
    <w:p w14:paraId="64DBF5A1"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Ma, C., Zhang, H. H., Wang, X., &amp; others. (2020). Deep learning in plant science. </w:t>
      </w:r>
      <w:r w:rsidRPr="00F82FC9">
        <w:rPr>
          <w:rFonts w:ascii="Times New Roman" w:hAnsi="Times New Roman" w:cs="Times New Roman"/>
          <w:i/>
          <w:iCs/>
        </w:rPr>
        <w:t>Trends in Plant Science, 25</w:t>
      </w:r>
      <w:r w:rsidRPr="00F82FC9">
        <w:rPr>
          <w:rFonts w:ascii="Times New Roman" w:hAnsi="Times New Roman" w:cs="Times New Roman"/>
        </w:rPr>
        <w:t xml:space="preserve">(12), 1246–1260. </w:t>
      </w:r>
      <w:hyperlink r:id="rId29" w:history="1">
        <w:r w:rsidRPr="00F82FC9">
          <w:rPr>
            <w:rStyle w:val="Hyperlink"/>
            <w:rFonts w:ascii="Times New Roman" w:hAnsi="Times New Roman" w:cs="Times New Roman"/>
          </w:rPr>
          <w:t>https://doi.org/10.1016/j.tplants.2020.06.009</w:t>
        </w:r>
      </w:hyperlink>
    </w:p>
    <w:p w14:paraId="656B1FE4"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Misra, B. B., &amp; Langefeld, C. D. (2021). Integrative multi-omics approaches for understanding complex traits. </w:t>
      </w:r>
      <w:r w:rsidRPr="00F82FC9">
        <w:rPr>
          <w:rFonts w:ascii="Times New Roman" w:hAnsi="Times New Roman" w:cs="Times New Roman"/>
          <w:i/>
          <w:iCs/>
        </w:rPr>
        <w:t>Briefings in Bioinformatics, 22</w:t>
      </w:r>
      <w:r w:rsidRPr="00F82FC9">
        <w:rPr>
          <w:rFonts w:ascii="Times New Roman" w:hAnsi="Times New Roman" w:cs="Times New Roman"/>
        </w:rPr>
        <w:t xml:space="preserve">(1), 403–415. </w:t>
      </w:r>
      <w:hyperlink r:id="rId30" w:history="1">
        <w:r w:rsidRPr="00F82FC9">
          <w:rPr>
            <w:rStyle w:val="Hyperlink"/>
            <w:rFonts w:ascii="Times New Roman" w:hAnsi="Times New Roman" w:cs="Times New Roman"/>
          </w:rPr>
          <w:t>https://doi.org/10.1093/bib/bbz095</w:t>
        </w:r>
      </w:hyperlink>
    </w:p>
    <w:p w14:paraId="59B35813"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Mohanty, S. P., Hughes, D. P., &amp; </w:t>
      </w:r>
      <w:proofErr w:type="spellStart"/>
      <w:r w:rsidRPr="00F82FC9">
        <w:rPr>
          <w:rFonts w:ascii="Times New Roman" w:hAnsi="Times New Roman" w:cs="Times New Roman"/>
        </w:rPr>
        <w:t>Salathé</w:t>
      </w:r>
      <w:proofErr w:type="spellEnd"/>
      <w:r w:rsidRPr="00F82FC9">
        <w:rPr>
          <w:rFonts w:ascii="Times New Roman" w:hAnsi="Times New Roman" w:cs="Times New Roman"/>
        </w:rPr>
        <w:t xml:space="preserve">, M. (2016). Using deep learning for image-based plant disease detection. </w:t>
      </w:r>
      <w:r w:rsidRPr="00F82FC9">
        <w:rPr>
          <w:rFonts w:ascii="Times New Roman" w:hAnsi="Times New Roman" w:cs="Times New Roman"/>
          <w:i/>
          <w:iCs/>
        </w:rPr>
        <w:t>Frontiers in Plant Science, 7</w:t>
      </w:r>
      <w:r w:rsidRPr="00F82FC9">
        <w:rPr>
          <w:rFonts w:ascii="Times New Roman" w:hAnsi="Times New Roman" w:cs="Times New Roman"/>
        </w:rPr>
        <w:t xml:space="preserve">, 1419. </w:t>
      </w:r>
      <w:hyperlink r:id="rId31" w:history="1">
        <w:r w:rsidRPr="00F82FC9">
          <w:rPr>
            <w:rStyle w:val="Hyperlink"/>
            <w:rFonts w:ascii="Times New Roman" w:hAnsi="Times New Roman" w:cs="Times New Roman"/>
          </w:rPr>
          <w:t>https://doi.org/10.3389/fpls.2016.01419</w:t>
        </w:r>
      </w:hyperlink>
    </w:p>
    <w:p w14:paraId="5046C078"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Montesinos-López, O. A., Montesinos-López, A., Pérez-Rodríguez, P., Barrón-López, J. A., Martini, J. W., Fajardo-Flores, S. B., … Crossa, J. (2018). A review of deep learning applications for genomic prediction. </w:t>
      </w:r>
      <w:r w:rsidRPr="00F82FC9">
        <w:rPr>
          <w:rFonts w:ascii="Times New Roman" w:hAnsi="Times New Roman" w:cs="Times New Roman"/>
          <w:i/>
          <w:iCs/>
        </w:rPr>
        <w:t>G3: Genes, Genomes, Genetics, 8</w:t>
      </w:r>
      <w:r w:rsidRPr="00F82FC9">
        <w:rPr>
          <w:rFonts w:ascii="Times New Roman" w:hAnsi="Times New Roman" w:cs="Times New Roman"/>
        </w:rPr>
        <w:t xml:space="preserve">(12), 3817–3826. </w:t>
      </w:r>
      <w:hyperlink r:id="rId32" w:history="1">
        <w:r w:rsidRPr="00F82FC9">
          <w:rPr>
            <w:rStyle w:val="Hyperlink"/>
            <w:rFonts w:ascii="Times New Roman" w:hAnsi="Times New Roman" w:cs="Times New Roman"/>
          </w:rPr>
          <w:t>https://doi.org/10.1534/g3.118.200649</w:t>
        </w:r>
      </w:hyperlink>
    </w:p>
    <w:p w14:paraId="4552A731" w14:textId="77777777" w:rsidR="004A3020" w:rsidRPr="004A3020" w:rsidRDefault="004A3020" w:rsidP="004A3020">
      <w:pPr>
        <w:pStyle w:val="NoSpacing"/>
        <w:spacing w:line="276" w:lineRule="auto"/>
        <w:ind w:left="1077" w:hanging="720"/>
        <w:rPr>
          <w:rFonts w:ascii="Times New Roman" w:hAnsi="Times New Roman" w:cs="Times New Roman"/>
        </w:rPr>
      </w:pPr>
      <w:r w:rsidRPr="004A3020">
        <w:rPr>
          <w:rFonts w:ascii="Times New Roman" w:hAnsi="Times New Roman" w:cs="Times New Roman"/>
        </w:rPr>
        <w:t xml:space="preserve">Myers, S. S., </w:t>
      </w:r>
      <w:proofErr w:type="spellStart"/>
      <w:r w:rsidRPr="004A3020">
        <w:rPr>
          <w:rFonts w:ascii="Times New Roman" w:hAnsi="Times New Roman" w:cs="Times New Roman"/>
        </w:rPr>
        <w:t>Zanobetti</w:t>
      </w:r>
      <w:proofErr w:type="spellEnd"/>
      <w:r w:rsidRPr="004A3020">
        <w:rPr>
          <w:rFonts w:ascii="Times New Roman" w:hAnsi="Times New Roman" w:cs="Times New Roman"/>
        </w:rPr>
        <w:t xml:space="preserve">, A., </w:t>
      </w:r>
      <w:proofErr w:type="spellStart"/>
      <w:r w:rsidRPr="004A3020">
        <w:rPr>
          <w:rFonts w:ascii="Times New Roman" w:hAnsi="Times New Roman" w:cs="Times New Roman"/>
        </w:rPr>
        <w:t>Kloog</w:t>
      </w:r>
      <w:proofErr w:type="spellEnd"/>
      <w:r w:rsidRPr="004A3020">
        <w:rPr>
          <w:rFonts w:ascii="Times New Roman" w:hAnsi="Times New Roman" w:cs="Times New Roman"/>
        </w:rPr>
        <w:t xml:space="preserve">, I., </w:t>
      </w:r>
      <w:proofErr w:type="spellStart"/>
      <w:r w:rsidRPr="004A3020">
        <w:rPr>
          <w:rFonts w:ascii="Times New Roman" w:hAnsi="Times New Roman" w:cs="Times New Roman"/>
        </w:rPr>
        <w:t>Huybers</w:t>
      </w:r>
      <w:proofErr w:type="spellEnd"/>
      <w:r w:rsidRPr="004A3020">
        <w:rPr>
          <w:rFonts w:ascii="Times New Roman" w:hAnsi="Times New Roman" w:cs="Times New Roman"/>
        </w:rPr>
        <w:t xml:space="preserve">, P., Leakey, A. D. B., Bloom, A. J., … Usui, Y. (2014). Increasing CO₂ threatens human nutrition. </w:t>
      </w:r>
      <w:r w:rsidRPr="004A3020">
        <w:rPr>
          <w:rFonts w:ascii="Times New Roman" w:hAnsi="Times New Roman" w:cs="Times New Roman"/>
          <w:i/>
          <w:iCs/>
        </w:rPr>
        <w:t>Nature, 510</w:t>
      </w:r>
      <w:r w:rsidRPr="004A3020">
        <w:rPr>
          <w:rFonts w:ascii="Times New Roman" w:hAnsi="Times New Roman" w:cs="Times New Roman"/>
        </w:rPr>
        <w:t xml:space="preserve">, 139–142. </w:t>
      </w:r>
      <w:hyperlink r:id="rId33" w:history="1">
        <w:r w:rsidRPr="004A3020">
          <w:rPr>
            <w:rStyle w:val="Hyperlink"/>
            <w:rFonts w:ascii="Times New Roman" w:hAnsi="Times New Roman" w:cs="Times New Roman"/>
          </w:rPr>
          <w:t>https://doi.org/10.1038/nature13179</w:t>
        </w:r>
      </w:hyperlink>
    </w:p>
    <w:p w14:paraId="0EE4D659" w14:textId="77777777" w:rsidR="004A3020" w:rsidRPr="004A3020" w:rsidRDefault="004A3020" w:rsidP="004A3020">
      <w:pPr>
        <w:pStyle w:val="NoSpacing"/>
        <w:spacing w:line="276" w:lineRule="auto"/>
        <w:ind w:left="1077" w:hanging="720"/>
        <w:rPr>
          <w:rFonts w:ascii="Times New Roman" w:hAnsi="Times New Roman" w:cs="Times New Roman"/>
        </w:rPr>
      </w:pPr>
      <w:r w:rsidRPr="004A3020">
        <w:rPr>
          <w:rFonts w:ascii="Times New Roman" w:hAnsi="Times New Roman" w:cs="Times New Roman"/>
        </w:rPr>
        <w:t xml:space="preserve">Ritchie, H., &amp; Roser, M. (2020). Micronutrient deficiency. </w:t>
      </w:r>
      <w:r w:rsidRPr="004A3020">
        <w:rPr>
          <w:rFonts w:ascii="Times New Roman" w:hAnsi="Times New Roman" w:cs="Times New Roman"/>
          <w:i/>
          <w:iCs/>
        </w:rPr>
        <w:t>Our World in Data</w:t>
      </w:r>
      <w:r w:rsidRPr="004A3020">
        <w:rPr>
          <w:rFonts w:ascii="Times New Roman" w:hAnsi="Times New Roman" w:cs="Times New Roman"/>
        </w:rPr>
        <w:t xml:space="preserve">. </w:t>
      </w:r>
      <w:hyperlink r:id="rId34" w:history="1">
        <w:r w:rsidRPr="004A3020">
          <w:rPr>
            <w:rStyle w:val="Hyperlink"/>
            <w:rFonts w:ascii="Times New Roman" w:hAnsi="Times New Roman" w:cs="Times New Roman"/>
          </w:rPr>
          <w:t>https://doi.org/10.1787/888934018434</w:t>
        </w:r>
      </w:hyperlink>
    </w:p>
    <w:p w14:paraId="7BFFDC1C" w14:textId="77777777" w:rsidR="004A3020" w:rsidRPr="00F82FC9" w:rsidRDefault="004A3020" w:rsidP="00F82FC9">
      <w:pPr>
        <w:pStyle w:val="NoSpacing"/>
        <w:spacing w:line="276" w:lineRule="auto"/>
        <w:ind w:left="1077" w:hanging="720"/>
        <w:rPr>
          <w:rFonts w:ascii="Times New Roman" w:hAnsi="Times New Roman" w:cs="Times New Roman"/>
        </w:rPr>
      </w:pPr>
      <w:proofErr w:type="spellStart"/>
      <w:r w:rsidRPr="00F82FC9">
        <w:rPr>
          <w:rFonts w:ascii="Times New Roman" w:hAnsi="Times New Roman" w:cs="Times New Roman"/>
        </w:rPr>
        <w:t>Rohart</w:t>
      </w:r>
      <w:proofErr w:type="spellEnd"/>
      <w:r w:rsidRPr="00F82FC9">
        <w:rPr>
          <w:rFonts w:ascii="Times New Roman" w:hAnsi="Times New Roman" w:cs="Times New Roman"/>
        </w:rPr>
        <w:t xml:space="preserve">, F., Gautier, B., Singh, A., &amp; Lê Cao, K. A. (2017). </w:t>
      </w:r>
      <w:proofErr w:type="spellStart"/>
      <w:r w:rsidRPr="00F82FC9">
        <w:rPr>
          <w:rFonts w:ascii="Times New Roman" w:hAnsi="Times New Roman" w:cs="Times New Roman"/>
        </w:rPr>
        <w:t>mixOmics</w:t>
      </w:r>
      <w:proofErr w:type="spellEnd"/>
      <w:r w:rsidRPr="00F82FC9">
        <w:rPr>
          <w:rFonts w:ascii="Times New Roman" w:hAnsi="Times New Roman" w:cs="Times New Roman"/>
        </w:rPr>
        <w:t xml:space="preserve">: An R package for ‘omics feature selection and multiple data integration. </w:t>
      </w:r>
      <w:proofErr w:type="spellStart"/>
      <w:r w:rsidRPr="00F82FC9">
        <w:rPr>
          <w:rFonts w:ascii="Times New Roman" w:hAnsi="Times New Roman" w:cs="Times New Roman"/>
          <w:i/>
          <w:iCs/>
        </w:rPr>
        <w:t>PLoS</w:t>
      </w:r>
      <w:proofErr w:type="spellEnd"/>
      <w:r w:rsidRPr="00F82FC9">
        <w:rPr>
          <w:rFonts w:ascii="Times New Roman" w:hAnsi="Times New Roman" w:cs="Times New Roman"/>
          <w:i/>
          <w:iCs/>
        </w:rPr>
        <w:t xml:space="preserve"> Computational Biology, 13</w:t>
      </w:r>
      <w:r w:rsidRPr="00F82FC9">
        <w:rPr>
          <w:rFonts w:ascii="Times New Roman" w:hAnsi="Times New Roman" w:cs="Times New Roman"/>
        </w:rPr>
        <w:t xml:space="preserve">(11), e1005752. </w:t>
      </w:r>
      <w:hyperlink r:id="rId35" w:history="1">
        <w:r w:rsidRPr="00F82FC9">
          <w:rPr>
            <w:rStyle w:val="Hyperlink"/>
            <w:rFonts w:ascii="Times New Roman" w:hAnsi="Times New Roman" w:cs="Times New Roman"/>
          </w:rPr>
          <w:t>https://doi.org/10.1371/journal.pcbi.1005752</w:t>
        </w:r>
      </w:hyperlink>
    </w:p>
    <w:p w14:paraId="21AC1ED3"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Schatz, M. C., Langmead, B., &amp; Salzberg, S. L. (2022). Cloud computing and the DNA data race. </w:t>
      </w:r>
      <w:r w:rsidRPr="00F82FC9">
        <w:rPr>
          <w:rFonts w:ascii="Times New Roman" w:hAnsi="Times New Roman" w:cs="Times New Roman"/>
          <w:i/>
          <w:iCs/>
        </w:rPr>
        <w:t>Nature Biotechnology, 40</w:t>
      </w:r>
      <w:r w:rsidRPr="00F82FC9">
        <w:rPr>
          <w:rFonts w:ascii="Times New Roman" w:hAnsi="Times New Roman" w:cs="Times New Roman"/>
        </w:rPr>
        <w:t xml:space="preserve">, 123–132. </w:t>
      </w:r>
      <w:hyperlink r:id="rId36" w:history="1">
        <w:r w:rsidRPr="00F82FC9">
          <w:rPr>
            <w:rStyle w:val="Hyperlink"/>
            <w:rFonts w:ascii="Times New Roman" w:hAnsi="Times New Roman" w:cs="Times New Roman"/>
          </w:rPr>
          <w:t>https://doi.org/10.1038/s41587-021-01182-2</w:t>
        </w:r>
      </w:hyperlink>
    </w:p>
    <w:p w14:paraId="632759D8" w14:textId="77777777" w:rsidR="004A3020" w:rsidRPr="004A3020" w:rsidRDefault="004A3020" w:rsidP="004A3020">
      <w:pPr>
        <w:pStyle w:val="NoSpacing"/>
        <w:spacing w:line="276" w:lineRule="auto"/>
        <w:ind w:left="1077" w:hanging="720"/>
        <w:rPr>
          <w:rFonts w:ascii="Times New Roman" w:hAnsi="Times New Roman" w:cs="Times New Roman"/>
        </w:rPr>
      </w:pPr>
      <w:r w:rsidRPr="004A3020">
        <w:rPr>
          <w:rFonts w:ascii="Times New Roman" w:hAnsi="Times New Roman" w:cs="Times New Roman"/>
        </w:rPr>
        <w:t xml:space="preserve">Singh, A., </w:t>
      </w:r>
      <w:proofErr w:type="spellStart"/>
      <w:r w:rsidRPr="004A3020">
        <w:rPr>
          <w:rFonts w:ascii="Times New Roman" w:hAnsi="Times New Roman" w:cs="Times New Roman"/>
        </w:rPr>
        <w:t>Ganapathysubramanian</w:t>
      </w:r>
      <w:proofErr w:type="spellEnd"/>
      <w:r w:rsidRPr="004A3020">
        <w:rPr>
          <w:rFonts w:ascii="Times New Roman" w:hAnsi="Times New Roman" w:cs="Times New Roman"/>
        </w:rPr>
        <w:t xml:space="preserve">, B., Singh, A. K., &amp; Sarkar, S. (2020). Machine learning for high-throughput stress phenotyping in plants. </w:t>
      </w:r>
      <w:r w:rsidRPr="004A3020">
        <w:rPr>
          <w:rFonts w:ascii="Times New Roman" w:hAnsi="Times New Roman" w:cs="Times New Roman"/>
          <w:i/>
          <w:iCs/>
        </w:rPr>
        <w:t>Trends in Plant Science, 25</w:t>
      </w:r>
      <w:r w:rsidRPr="004A3020">
        <w:rPr>
          <w:rFonts w:ascii="Times New Roman" w:hAnsi="Times New Roman" w:cs="Times New Roman"/>
        </w:rPr>
        <w:t xml:space="preserve">(4), 341–350. </w:t>
      </w:r>
      <w:hyperlink r:id="rId37" w:history="1">
        <w:r w:rsidRPr="004A3020">
          <w:rPr>
            <w:rStyle w:val="Hyperlink"/>
            <w:rFonts w:ascii="Times New Roman" w:hAnsi="Times New Roman" w:cs="Times New Roman"/>
          </w:rPr>
          <w:t>https://doi.org/10.1016/j.tplants.2019.12.015</w:t>
        </w:r>
      </w:hyperlink>
    </w:p>
    <w:p w14:paraId="77AEA176" w14:textId="77777777" w:rsidR="004A3020" w:rsidRPr="00F82FC9" w:rsidRDefault="004A3020" w:rsidP="00F82FC9">
      <w:pPr>
        <w:pStyle w:val="NoSpacing"/>
        <w:spacing w:line="276" w:lineRule="auto"/>
        <w:ind w:left="1077" w:hanging="720"/>
        <w:rPr>
          <w:rFonts w:ascii="Times New Roman" w:hAnsi="Times New Roman" w:cs="Times New Roman"/>
        </w:rPr>
      </w:pPr>
      <w:proofErr w:type="spellStart"/>
      <w:r w:rsidRPr="00F82FC9">
        <w:rPr>
          <w:rFonts w:ascii="Times New Roman" w:hAnsi="Times New Roman" w:cs="Times New Roman"/>
        </w:rPr>
        <w:t>Thudi</w:t>
      </w:r>
      <w:proofErr w:type="spellEnd"/>
      <w:r w:rsidRPr="00F82FC9">
        <w:rPr>
          <w:rFonts w:ascii="Times New Roman" w:hAnsi="Times New Roman" w:cs="Times New Roman"/>
        </w:rPr>
        <w:t xml:space="preserve">, M., Khan, A. W., Kumar, V., Gaur, P. M., Katta, K., Garg, V., … Varshney, R. K. (2016). Whole genome re-sequencing reveals genome-wide variations among parental lines of chickpea mapping populations. </w:t>
      </w:r>
      <w:r w:rsidRPr="00F82FC9">
        <w:rPr>
          <w:rFonts w:ascii="Times New Roman" w:hAnsi="Times New Roman" w:cs="Times New Roman"/>
          <w:i/>
          <w:iCs/>
        </w:rPr>
        <w:t>Plant Biotechnology Journal, 14</w:t>
      </w:r>
      <w:r w:rsidRPr="00F82FC9">
        <w:rPr>
          <w:rFonts w:ascii="Times New Roman" w:hAnsi="Times New Roman" w:cs="Times New Roman"/>
        </w:rPr>
        <w:t xml:space="preserve">(1), 1–12. </w:t>
      </w:r>
      <w:hyperlink r:id="rId38" w:history="1">
        <w:r w:rsidRPr="00F82FC9">
          <w:rPr>
            <w:rStyle w:val="Hyperlink"/>
            <w:rFonts w:ascii="Times New Roman" w:hAnsi="Times New Roman" w:cs="Times New Roman"/>
          </w:rPr>
          <w:t>https://doi.org/10.1111/pbi.12462</w:t>
        </w:r>
      </w:hyperlink>
    </w:p>
    <w:p w14:paraId="01751E96" w14:textId="77777777" w:rsidR="004A3020" w:rsidRPr="004A3020" w:rsidRDefault="004A3020" w:rsidP="004A3020">
      <w:pPr>
        <w:pStyle w:val="NoSpacing"/>
        <w:spacing w:line="276" w:lineRule="auto"/>
        <w:ind w:left="1077" w:hanging="720"/>
        <w:rPr>
          <w:rFonts w:ascii="Times New Roman" w:hAnsi="Times New Roman" w:cs="Times New Roman"/>
        </w:rPr>
      </w:pPr>
      <w:r w:rsidRPr="004A3020">
        <w:rPr>
          <w:rFonts w:ascii="Times New Roman" w:hAnsi="Times New Roman" w:cs="Times New Roman"/>
        </w:rPr>
        <w:t xml:space="preserve">van Dijk, A. D. J., </w:t>
      </w:r>
      <w:proofErr w:type="spellStart"/>
      <w:r w:rsidRPr="004A3020">
        <w:rPr>
          <w:rFonts w:ascii="Times New Roman" w:hAnsi="Times New Roman" w:cs="Times New Roman"/>
        </w:rPr>
        <w:t>Kootstra</w:t>
      </w:r>
      <w:proofErr w:type="spellEnd"/>
      <w:r w:rsidRPr="004A3020">
        <w:rPr>
          <w:rFonts w:ascii="Times New Roman" w:hAnsi="Times New Roman" w:cs="Times New Roman"/>
        </w:rPr>
        <w:t xml:space="preserve">, G., Kruijer, W., &amp; de Ridder, D. (2021). Machine learning in plant science and plant breeding. </w:t>
      </w:r>
      <w:proofErr w:type="spellStart"/>
      <w:r w:rsidRPr="004A3020">
        <w:rPr>
          <w:rFonts w:ascii="Times New Roman" w:hAnsi="Times New Roman" w:cs="Times New Roman"/>
          <w:i/>
          <w:iCs/>
        </w:rPr>
        <w:t>iScience</w:t>
      </w:r>
      <w:proofErr w:type="spellEnd"/>
      <w:r w:rsidRPr="004A3020">
        <w:rPr>
          <w:rFonts w:ascii="Times New Roman" w:hAnsi="Times New Roman" w:cs="Times New Roman"/>
          <w:i/>
          <w:iCs/>
        </w:rPr>
        <w:t>, 24</w:t>
      </w:r>
      <w:r w:rsidRPr="004A3020">
        <w:rPr>
          <w:rFonts w:ascii="Times New Roman" w:hAnsi="Times New Roman" w:cs="Times New Roman"/>
        </w:rPr>
        <w:t xml:space="preserve">(1), 101890. </w:t>
      </w:r>
      <w:hyperlink r:id="rId39" w:history="1">
        <w:r w:rsidRPr="004A3020">
          <w:rPr>
            <w:rStyle w:val="Hyperlink"/>
            <w:rFonts w:ascii="Times New Roman" w:hAnsi="Times New Roman" w:cs="Times New Roman"/>
          </w:rPr>
          <w:t>https://doi.org/10.1016/j.isci.2020.101890</w:t>
        </w:r>
      </w:hyperlink>
    </w:p>
    <w:p w14:paraId="05231792"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lastRenderedPageBreak/>
        <w:t xml:space="preserve">Varshney, R. K., Bohra, A., Yu, J., Graner, A., Zhang, Q., &amp; Sorrells, M. E. (2019). Designing future crops: Genomics-assisted breeding comes of age. </w:t>
      </w:r>
      <w:r w:rsidRPr="00F82FC9">
        <w:rPr>
          <w:rFonts w:ascii="Times New Roman" w:hAnsi="Times New Roman" w:cs="Times New Roman"/>
          <w:i/>
          <w:iCs/>
        </w:rPr>
        <w:t>The Plant Genome, 12</w:t>
      </w:r>
      <w:r w:rsidRPr="00F82FC9">
        <w:rPr>
          <w:rFonts w:ascii="Times New Roman" w:hAnsi="Times New Roman" w:cs="Times New Roman"/>
        </w:rPr>
        <w:t xml:space="preserve">(3), 190028. </w:t>
      </w:r>
      <w:hyperlink r:id="rId40" w:history="1">
        <w:r w:rsidRPr="00F82FC9">
          <w:rPr>
            <w:rStyle w:val="Hyperlink"/>
            <w:rFonts w:ascii="Times New Roman" w:hAnsi="Times New Roman" w:cs="Times New Roman"/>
          </w:rPr>
          <w:t>https://doi.org/10.3835/plantgenome2019.05.0028</w:t>
        </w:r>
      </w:hyperlink>
    </w:p>
    <w:p w14:paraId="2E4BDC8F"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Varshney, R. K., Sinha, P., Singh, V. K., Kumar, A., Zhang, Q., &amp; Bennetzen, J. L. (2021). 5Gs for crop genetic improvement. </w:t>
      </w:r>
      <w:r w:rsidRPr="00F82FC9">
        <w:rPr>
          <w:rFonts w:ascii="Times New Roman" w:hAnsi="Times New Roman" w:cs="Times New Roman"/>
          <w:i/>
          <w:iCs/>
        </w:rPr>
        <w:t>Nature Reviews Genetics, 22</w:t>
      </w:r>
      <w:r w:rsidRPr="00F82FC9">
        <w:rPr>
          <w:rFonts w:ascii="Times New Roman" w:hAnsi="Times New Roman" w:cs="Times New Roman"/>
        </w:rPr>
        <w:t xml:space="preserve">, 309–325. </w:t>
      </w:r>
      <w:hyperlink r:id="rId41" w:history="1">
        <w:r w:rsidRPr="00F82FC9">
          <w:rPr>
            <w:rStyle w:val="Hyperlink"/>
            <w:rFonts w:ascii="Times New Roman" w:hAnsi="Times New Roman" w:cs="Times New Roman"/>
          </w:rPr>
          <w:t>https://doi.org/10.1038/s41576-020-00298-8</w:t>
        </w:r>
      </w:hyperlink>
    </w:p>
    <w:p w14:paraId="2F5938D8" w14:textId="77777777" w:rsidR="004A3020" w:rsidRPr="00F82FC9" w:rsidRDefault="004A3020" w:rsidP="00F82FC9">
      <w:pPr>
        <w:pStyle w:val="NoSpacing"/>
        <w:spacing w:line="276" w:lineRule="auto"/>
        <w:ind w:left="1077" w:hanging="720"/>
        <w:rPr>
          <w:rFonts w:ascii="Times New Roman" w:hAnsi="Times New Roman" w:cs="Times New Roman"/>
        </w:rPr>
      </w:pPr>
      <w:r w:rsidRPr="00F82FC9">
        <w:rPr>
          <w:rFonts w:ascii="Times New Roman" w:hAnsi="Times New Roman" w:cs="Times New Roman"/>
        </w:rPr>
        <w:t>Wang, Z., Gerstein, M., &amp; Snyder, M. (2009). RNA-</w:t>
      </w:r>
      <w:proofErr w:type="spellStart"/>
      <w:r w:rsidRPr="00F82FC9">
        <w:rPr>
          <w:rFonts w:ascii="Times New Roman" w:hAnsi="Times New Roman" w:cs="Times New Roman"/>
        </w:rPr>
        <w:t>Seq</w:t>
      </w:r>
      <w:proofErr w:type="spellEnd"/>
      <w:r w:rsidRPr="00F82FC9">
        <w:rPr>
          <w:rFonts w:ascii="Times New Roman" w:hAnsi="Times New Roman" w:cs="Times New Roman"/>
        </w:rPr>
        <w:t xml:space="preserve">: A revolutionary tool for transcriptomics. </w:t>
      </w:r>
      <w:r w:rsidRPr="00F82FC9">
        <w:rPr>
          <w:rFonts w:ascii="Times New Roman" w:hAnsi="Times New Roman" w:cs="Times New Roman"/>
          <w:i/>
          <w:iCs/>
        </w:rPr>
        <w:t>Nature Reviews Genetics, 10</w:t>
      </w:r>
      <w:r w:rsidRPr="00F82FC9">
        <w:rPr>
          <w:rFonts w:ascii="Times New Roman" w:hAnsi="Times New Roman" w:cs="Times New Roman"/>
        </w:rPr>
        <w:t xml:space="preserve">(1), 57–63. </w:t>
      </w:r>
      <w:hyperlink r:id="rId42" w:history="1">
        <w:r w:rsidRPr="00F82FC9">
          <w:rPr>
            <w:rStyle w:val="Hyperlink"/>
            <w:rFonts w:ascii="Times New Roman" w:hAnsi="Times New Roman" w:cs="Times New Roman"/>
          </w:rPr>
          <w:t>https://doi.org/10.1038/nrg2484</w:t>
        </w:r>
      </w:hyperlink>
    </w:p>
    <w:p w14:paraId="0CE67753" w14:textId="77777777" w:rsidR="004A3020" w:rsidRPr="004A3020" w:rsidRDefault="004A3020" w:rsidP="004A3020">
      <w:pPr>
        <w:pStyle w:val="NoSpacing"/>
        <w:spacing w:line="276" w:lineRule="auto"/>
        <w:ind w:left="1077" w:hanging="720"/>
        <w:rPr>
          <w:rFonts w:ascii="Times New Roman" w:hAnsi="Times New Roman" w:cs="Times New Roman"/>
        </w:rPr>
      </w:pPr>
      <w:r w:rsidRPr="004A3020">
        <w:rPr>
          <w:rFonts w:ascii="Times New Roman" w:hAnsi="Times New Roman" w:cs="Times New Roman"/>
        </w:rPr>
        <w:t xml:space="preserve">Weckwerth, W. (2019). Toward a unification of systems biology and multi-omics integration. </w:t>
      </w:r>
      <w:r w:rsidRPr="004A3020">
        <w:rPr>
          <w:rFonts w:ascii="Times New Roman" w:hAnsi="Times New Roman" w:cs="Times New Roman"/>
          <w:i/>
          <w:iCs/>
        </w:rPr>
        <w:t>Plant Physiology, 179</w:t>
      </w:r>
      <w:r w:rsidRPr="004A3020">
        <w:rPr>
          <w:rFonts w:ascii="Times New Roman" w:hAnsi="Times New Roman" w:cs="Times New Roman"/>
        </w:rPr>
        <w:t xml:space="preserve">(3), 1046–1055. </w:t>
      </w:r>
      <w:hyperlink r:id="rId43" w:history="1">
        <w:r w:rsidRPr="004A3020">
          <w:rPr>
            <w:rStyle w:val="Hyperlink"/>
            <w:rFonts w:ascii="Times New Roman" w:hAnsi="Times New Roman" w:cs="Times New Roman"/>
          </w:rPr>
          <w:t>https://doi.org/10.1104/pp.18.01168</w:t>
        </w:r>
      </w:hyperlink>
    </w:p>
    <w:p w14:paraId="007C5381" w14:textId="77777777" w:rsidR="004A3020" w:rsidRPr="004A3020" w:rsidRDefault="004A3020" w:rsidP="004A3020">
      <w:pPr>
        <w:pStyle w:val="NoSpacing"/>
        <w:spacing w:line="276" w:lineRule="auto"/>
        <w:ind w:left="1077" w:hanging="720"/>
        <w:rPr>
          <w:rFonts w:ascii="Times New Roman" w:hAnsi="Times New Roman" w:cs="Times New Roman"/>
        </w:rPr>
      </w:pPr>
      <w:r w:rsidRPr="004A3020">
        <w:rPr>
          <w:rFonts w:ascii="Times New Roman" w:hAnsi="Times New Roman" w:cs="Times New Roman"/>
        </w:rPr>
        <w:t xml:space="preserve">Yang, X., Guo, Y., Yan, J., Zhang, J., Song, T., Rocheford, T., &amp; Li, J. (2021). Major and minor QTL and epistasis contribute to fatty acid compositions and oil concentration in high-oil maize. </w:t>
      </w:r>
      <w:r w:rsidRPr="004A3020">
        <w:rPr>
          <w:rFonts w:ascii="Times New Roman" w:hAnsi="Times New Roman" w:cs="Times New Roman"/>
          <w:i/>
          <w:iCs/>
        </w:rPr>
        <w:t>Theoretical and Applied Genetics</w:t>
      </w:r>
      <w:r w:rsidRPr="004A3020">
        <w:rPr>
          <w:rFonts w:ascii="Times New Roman" w:hAnsi="Times New Roman" w:cs="Times New Roman"/>
        </w:rPr>
        <w:t xml:space="preserve">. </w:t>
      </w:r>
      <w:hyperlink r:id="rId44" w:history="1">
        <w:r w:rsidRPr="004A3020">
          <w:rPr>
            <w:rStyle w:val="Hyperlink"/>
            <w:rFonts w:ascii="Times New Roman" w:hAnsi="Times New Roman" w:cs="Times New Roman"/>
          </w:rPr>
          <w:t>https://doi.org/10.1007/s00122-021-03822-1</w:t>
        </w:r>
      </w:hyperlink>
    </w:p>
    <w:p w14:paraId="3C9C3B5E" w14:textId="77777777" w:rsidR="004A3020" w:rsidRDefault="004A3020" w:rsidP="004A3020">
      <w:pPr>
        <w:pStyle w:val="NoSpacing"/>
        <w:spacing w:line="276" w:lineRule="auto"/>
        <w:ind w:left="1077" w:hanging="720"/>
        <w:rPr>
          <w:rFonts w:ascii="Times New Roman" w:hAnsi="Times New Roman" w:cs="Times New Roman"/>
        </w:rPr>
      </w:pPr>
      <w:r w:rsidRPr="00F82FC9">
        <w:rPr>
          <w:rFonts w:ascii="Times New Roman" w:hAnsi="Times New Roman" w:cs="Times New Roman"/>
        </w:rPr>
        <w:t xml:space="preserve">Zhao, C., Liu, B., Piao, S., Wang, X., Lobell, D. B., Huang, Y., … Asseng, S. (2017). Temperature increase reduces global yields of major crops. </w:t>
      </w:r>
      <w:r w:rsidRPr="00F82FC9">
        <w:rPr>
          <w:rFonts w:ascii="Times New Roman" w:hAnsi="Times New Roman" w:cs="Times New Roman"/>
          <w:i/>
          <w:iCs/>
        </w:rPr>
        <w:t>Proceedings of the National Academy of Sciences, 114</w:t>
      </w:r>
      <w:r w:rsidRPr="00F82FC9">
        <w:rPr>
          <w:rFonts w:ascii="Times New Roman" w:hAnsi="Times New Roman" w:cs="Times New Roman"/>
        </w:rPr>
        <w:t xml:space="preserve">(35), 9326–9331. </w:t>
      </w:r>
      <w:hyperlink r:id="rId45" w:history="1">
        <w:r w:rsidRPr="00F82FC9">
          <w:rPr>
            <w:rStyle w:val="Hyperlink"/>
            <w:rFonts w:ascii="Times New Roman" w:hAnsi="Times New Roman" w:cs="Times New Roman"/>
          </w:rPr>
          <w:t>https://doi.org/10.1073/pnas.1701762114</w:t>
        </w:r>
      </w:hyperlink>
    </w:p>
    <w:p w14:paraId="40890199" w14:textId="77777777" w:rsidR="004A3020" w:rsidRPr="00F82FC9" w:rsidRDefault="004A3020" w:rsidP="00F82FC9">
      <w:pPr>
        <w:pStyle w:val="NoSpacing"/>
        <w:spacing w:line="276" w:lineRule="auto"/>
        <w:rPr>
          <w:rFonts w:ascii="Times New Roman" w:hAnsi="Times New Roman" w:cs="Times New Roman"/>
        </w:rPr>
      </w:pPr>
    </w:p>
    <w:sectPr w:rsidR="004A3020" w:rsidRPr="00F82FC9" w:rsidSect="002231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ECE9B" w14:textId="77777777" w:rsidR="00E5129B" w:rsidRDefault="00E5129B" w:rsidP="000E0E5E">
      <w:pPr>
        <w:spacing w:line="240" w:lineRule="auto"/>
      </w:pPr>
      <w:r>
        <w:separator/>
      </w:r>
    </w:p>
  </w:endnote>
  <w:endnote w:type="continuationSeparator" w:id="0">
    <w:p w14:paraId="7C167E2D" w14:textId="77777777" w:rsidR="00E5129B" w:rsidRDefault="00E5129B" w:rsidP="000E0E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4938C" w14:textId="77777777" w:rsidR="000E0E5E" w:rsidRDefault="000E0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A8199" w14:textId="77777777" w:rsidR="000E0E5E" w:rsidRDefault="000E0E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A449F" w14:textId="77777777" w:rsidR="000E0E5E" w:rsidRDefault="000E0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D34AB" w14:textId="77777777" w:rsidR="00E5129B" w:rsidRDefault="00E5129B" w:rsidP="000E0E5E">
      <w:pPr>
        <w:spacing w:line="240" w:lineRule="auto"/>
      </w:pPr>
      <w:r>
        <w:separator/>
      </w:r>
    </w:p>
  </w:footnote>
  <w:footnote w:type="continuationSeparator" w:id="0">
    <w:p w14:paraId="387F90C2" w14:textId="77777777" w:rsidR="00E5129B" w:rsidRDefault="00E5129B" w:rsidP="000E0E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1E41D" w14:textId="6B9E7C1C" w:rsidR="000E0E5E" w:rsidRDefault="000E0E5E">
    <w:pPr>
      <w:pStyle w:val="Header"/>
    </w:pPr>
    <w:r>
      <w:rPr>
        <w:noProof/>
      </w:rPr>
      <w:pict w14:anchorId="6F7B6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36235" o:spid="_x0000_s2050" type="#_x0000_t136" style="position:absolute;left:0;text-align:left;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BA8C" w14:textId="78E97553" w:rsidR="000E0E5E" w:rsidRDefault="000E0E5E">
    <w:pPr>
      <w:pStyle w:val="Header"/>
    </w:pPr>
    <w:r>
      <w:rPr>
        <w:noProof/>
      </w:rPr>
      <w:pict w14:anchorId="574E7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36236"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81A7C" w14:textId="03367646" w:rsidR="000E0E5E" w:rsidRDefault="000E0E5E">
    <w:pPr>
      <w:pStyle w:val="Header"/>
    </w:pPr>
    <w:r>
      <w:rPr>
        <w:noProof/>
      </w:rPr>
      <w:pict w14:anchorId="345A3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36234" o:spid="_x0000_s2049" type="#_x0000_t136" style="position:absolute;left:0;text-align:left;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8D7412"/>
    <w:multiLevelType w:val="multilevel"/>
    <w:tmpl w:val="5AB6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17D"/>
    <w:rsid w:val="000E0E5E"/>
    <w:rsid w:val="001F610D"/>
    <w:rsid w:val="00223189"/>
    <w:rsid w:val="002450B7"/>
    <w:rsid w:val="002C3A96"/>
    <w:rsid w:val="003D1AFF"/>
    <w:rsid w:val="003F7F22"/>
    <w:rsid w:val="004053EB"/>
    <w:rsid w:val="004A3020"/>
    <w:rsid w:val="005A1AAF"/>
    <w:rsid w:val="006F7D3B"/>
    <w:rsid w:val="00766DD7"/>
    <w:rsid w:val="008A43C7"/>
    <w:rsid w:val="00AA117D"/>
    <w:rsid w:val="00B43974"/>
    <w:rsid w:val="00C92993"/>
    <w:rsid w:val="00CA1052"/>
    <w:rsid w:val="00CF5704"/>
    <w:rsid w:val="00D42B14"/>
    <w:rsid w:val="00D43DAD"/>
    <w:rsid w:val="00E462AD"/>
    <w:rsid w:val="00E5129B"/>
    <w:rsid w:val="00F023C5"/>
    <w:rsid w:val="00F07749"/>
    <w:rsid w:val="00F34AD8"/>
    <w:rsid w:val="00F82F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F41B50"/>
  <w15:chartTrackingRefBased/>
  <w15:docId w15:val="{EC9C8A6A-28CE-41BC-B19B-7691826A1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1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11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11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11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11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117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117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117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117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1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11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11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11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11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11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11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11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117D"/>
    <w:rPr>
      <w:rFonts w:eastAsiaTheme="majorEastAsia" w:cstheme="majorBidi"/>
      <w:color w:val="272727" w:themeColor="text1" w:themeTint="D8"/>
    </w:rPr>
  </w:style>
  <w:style w:type="paragraph" w:styleId="Title">
    <w:name w:val="Title"/>
    <w:basedOn w:val="Normal"/>
    <w:next w:val="Normal"/>
    <w:link w:val="TitleChar"/>
    <w:uiPriority w:val="10"/>
    <w:qFormat/>
    <w:rsid w:val="00AA11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11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117D"/>
    <w:pPr>
      <w:numPr>
        <w:ilvl w:val="1"/>
      </w:numPr>
      <w:spacing w:after="160"/>
      <w:ind w:left="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11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117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A117D"/>
    <w:rPr>
      <w:i/>
      <w:iCs/>
      <w:color w:val="404040" w:themeColor="text1" w:themeTint="BF"/>
    </w:rPr>
  </w:style>
  <w:style w:type="paragraph" w:styleId="ListParagraph">
    <w:name w:val="List Paragraph"/>
    <w:basedOn w:val="Normal"/>
    <w:uiPriority w:val="34"/>
    <w:qFormat/>
    <w:rsid w:val="00AA117D"/>
    <w:pPr>
      <w:ind w:left="720"/>
      <w:contextualSpacing/>
    </w:pPr>
  </w:style>
  <w:style w:type="character" w:styleId="IntenseEmphasis">
    <w:name w:val="Intense Emphasis"/>
    <w:basedOn w:val="DefaultParagraphFont"/>
    <w:uiPriority w:val="21"/>
    <w:qFormat/>
    <w:rsid w:val="00AA117D"/>
    <w:rPr>
      <w:i/>
      <w:iCs/>
      <w:color w:val="2F5496" w:themeColor="accent1" w:themeShade="BF"/>
    </w:rPr>
  </w:style>
  <w:style w:type="paragraph" w:styleId="IntenseQuote">
    <w:name w:val="Intense Quote"/>
    <w:basedOn w:val="Normal"/>
    <w:next w:val="Normal"/>
    <w:link w:val="IntenseQuoteChar"/>
    <w:uiPriority w:val="30"/>
    <w:qFormat/>
    <w:rsid w:val="00AA11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117D"/>
    <w:rPr>
      <w:i/>
      <w:iCs/>
      <w:color w:val="2F5496" w:themeColor="accent1" w:themeShade="BF"/>
    </w:rPr>
  </w:style>
  <w:style w:type="character" w:styleId="IntenseReference">
    <w:name w:val="Intense Reference"/>
    <w:basedOn w:val="DefaultParagraphFont"/>
    <w:uiPriority w:val="32"/>
    <w:qFormat/>
    <w:rsid w:val="00AA117D"/>
    <w:rPr>
      <w:b/>
      <w:bCs/>
      <w:smallCaps/>
      <w:color w:val="2F5496" w:themeColor="accent1" w:themeShade="BF"/>
      <w:spacing w:val="5"/>
    </w:rPr>
  </w:style>
  <w:style w:type="paragraph" w:styleId="NoSpacing">
    <w:name w:val="No Spacing"/>
    <w:uiPriority w:val="1"/>
    <w:qFormat/>
    <w:rsid w:val="00223189"/>
    <w:pPr>
      <w:spacing w:line="240" w:lineRule="auto"/>
    </w:pPr>
  </w:style>
  <w:style w:type="character" w:styleId="Hyperlink">
    <w:name w:val="Hyperlink"/>
    <w:basedOn w:val="DefaultParagraphFont"/>
    <w:uiPriority w:val="99"/>
    <w:unhideWhenUsed/>
    <w:rsid w:val="00223189"/>
    <w:rPr>
      <w:color w:val="0563C1" w:themeColor="hyperlink"/>
      <w:u w:val="single"/>
    </w:rPr>
  </w:style>
  <w:style w:type="character" w:styleId="UnresolvedMention">
    <w:name w:val="Unresolved Mention"/>
    <w:basedOn w:val="DefaultParagraphFont"/>
    <w:uiPriority w:val="99"/>
    <w:semiHidden/>
    <w:unhideWhenUsed/>
    <w:rsid w:val="00223189"/>
    <w:rPr>
      <w:color w:val="605E5C"/>
      <w:shd w:val="clear" w:color="auto" w:fill="E1DFDD"/>
    </w:rPr>
  </w:style>
  <w:style w:type="table" w:styleId="TableGrid">
    <w:name w:val="Table Grid"/>
    <w:basedOn w:val="TableNormal"/>
    <w:uiPriority w:val="39"/>
    <w:rsid w:val="00CF57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3020"/>
    <w:pPr>
      <w:autoSpaceDE w:val="0"/>
      <w:autoSpaceDN w:val="0"/>
      <w:adjustRightInd w:val="0"/>
      <w:spacing w:line="240" w:lineRule="auto"/>
      <w:ind w:left="0"/>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0E0E5E"/>
    <w:pPr>
      <w:tabs>
        <w:tab w:val="center" w:pos="4680"/>
        <w:tab w:val="right" w:pos="9360"/>
      </w:tabs>
      <w:spacing w:line="240" w:lineRule="auto"/>
    </w:pPr>
  </w:style>
  <w:style w:type="character" w:customStyle="1" w:styleId="HeaderChar">
    <w:name w:val="Header Char"/>
    <w:basedOn w:val="DefaultParagraphFont"/>
    <w:link w:val="Header"/>
    <w:uiPriority w:val="99"/>
    <w:rsid w:val="000E0E5E"/>
  </w:style>
  <w:style w:type="paragraph" w:styleId="Footer">
    <w:name w:val="footer"/>
    <w:basedOn w:val="Normal"/>
    <w:link w:val="FooterChar"/>
    <w:uiPriority w:val="99"/>
    <w:unhideWhenUsed/>
    <w:rsid w:val="000E0E5E"/>
    <w:pPr>
      <w:tabs>
        <w:tab w:val="center" w:pos="4680"/>
        <w:tab w:val="right" w:pos="9360"/>
      </w:tabs>
      <w:spacing w:line="240" w:lineRule="auto"/>
    </w:pPr>
  </w:style>
  <w:style w:type="character" w:customStyle="1" w:styleId="FooterChar">
    <w:name w:val="Footer Char"/>
    <w:basedOn w:val="DefaultParagraphFont"/>
    <w:link w:val="Footer"/>
    <w:uiPriority w:val="99"/>
    <w:rsid w:val="000E0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02/9781118358566.ch4" TargetMode="External"/><Relationship Id="rId26" Type="http://schemas.openxmlformats.org/officeDocument/2006/relationships/hyperlink" Target="https://doi.org/10.1038/s41588-018-0288-3" TargetMode="External"/><Relationship Id="rId39" Type="http://schemas.openxmlformats.org/officeDocument/2006/relationships/hyperlink" Target="https://doi.org/10.1016/j.isci.2020.101890" TargetMode="External"/><Relationship Id="rId21" Type="http://schemas.openxmlformats.org/officeDocument/2006/relationships/hyperlink" Target="https://doi.org/10.1146/annurev-arplant-050312-120137" TargetMode="External"/><Relationship Id="rId34" Type="http://schemas.openxmlformats.org/officeDocument/2006/relationships/hyperlink" Target="https://doi.org/10.1787/888934018434" TargetMode="External"/><Relationship Id="rId42" Type="http://schemas.openxmlformats.org/officeDocument/2006/relationships/hyperlink" Target="https://doi.org/10.1038/nrg2484"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186/s13059-019-1864-6" TargetMode="External"/><Relationship Id="rId29" Type="http://schemas.openxmlformats.org/officeDocument/2006/relationships/hyperlink" Target="https://doi.org/10.1016/j.tplants.2020.06.0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i.org/10.1016/j.jprot.2015.01.018" TargetMode="External"/><Relationship Id="rId32" Type="http://schemas.openxmlformats.org/officeDocument/2006/relationships/hyperlink" Target="https://doi.org/10.1534/g3.118.200649" TargetMode="External"/><Relationship Id="rId37" Type="http://schemas.openxmlformats.org/officeDocument/2006/relationships/hyperlink" Target="https://doi.org/10.1016/j.tplants.2019.12.015" TargetMode="External"/><Relationship Id="rId40" Type="http://schemas.openxmlformats.org/officeDocument/2006/relationships/hyperlink" Target="https://doi.org/10.3835/plantgenome2019.05.0028" TargetMode="External"/><Relationship Id="rId45" Type="http://schemas.openxmlformats.org/officeDocument/2006/relationships/hyperlink" Target="https://doi.org/10.1073/pnas.1701762114" TargetMode="External"/><Relationship Id="rId5" Type="http://schemas.openxmlformats.org/officeDocument/2006/relationships/footnotes" Target="footnotes.xml"/><Relationship Id="rId15" Type="http://schemas.openxmlformats.org/officeDocument/2006/relationships/hyperlink" Target="https://doi.org/10.1016/j.gfs.2017.01.009" TargetMode="External"/><Relationship Id="rId23" Type="http://schemas.openxmlformats.org/officeDocument/2006/relationships/hyperlink" Target="https://doi.org/10.1038/s41588-019-0460-6" TargetMode="External"/><Relationship Id="rId28" Type="http://schemas.openxmlformats.org/officeDocument/2006/relationships/hyperlink" Target="https://doi.org/10.3390/s18082674" TargetMode="External"/><Relationship Id="rId36" Type="http://schemas.openxmlformats.org/officeDocument/2006/relationships/hyperlink" Target="https://doi.org/10.1038/s41587-021-01182-2" TargetMode="External"/><Relationship Id="rId10" Type="http://schemas.openxmlformats.org/officeDocument/2006/relationships/footer" Target="footer1.xml"/><Relationship Id="rId19" Type="http://schemas.openxmlformats.org/officeDocument/2006/relationships/hyperlink" Target="https://doi.org/10.4060/cb4474en" TargetMode="External"/><Relationship Id="rId31" Type="http://schemas.openxmlformats.org/officeDocument/2006/relationships/hyperlink" Target="https://doi.org/10.3389/fpls.2016.01419" TargetMode="External"/><Relationship Id="rId44" Type="http://schemas.openxmlformats.org/officeDocument/2006/relationships/hyperlink" Target="https://doi.org/10.1007/s00122-021-03822-1"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doi.org/10.1186/s13059-017-1215-1" TargetMode="External"/><Relationship Id="rId27" Type="http://schemas.openxmlformats.org/officeDocument/2006/relationships/hyperlink" Target="https://doi.org/10.3389/fpls.2021.679032" TargetMode="External"/><Relationship Id="rId30" Type="http://schemas.openxmlformats.org/officeDocument/2006/relationships/hyperlink" Target="https://doi.org/10.1093/bib/bbz095" TargetMode="External"/><Relationship Id="rId35" Type="http://schemas.openxmlformats.org/officeDocument/2006/relationships/hyperlink" Target="https://doi.org/10.1371/journal.pcbi.1005752" TargetMode="External"/><Relationship Id="rId43" Type="http://schemas.openxmlformats.org/officeDocument/2006/relationships/hyperlink" Target="https://doi.org/10.1104/pp.18.01168"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doi.org/10.1016/j.tplants.2017.08.011" TargetMode="External"/><Relationship Id="rId25" Type="http://schemas.openxmlformats.org/officeDocument/2006/relationships/hyperlink" Target="https://doi.org/10.1038/nrg.2018.4" TargetMode="External"/><Relationship Id="rId33" Type="http://schemas.openxmlformats.org/officeDocument/2006/relationships/hyperlink" Target="https://doi.org/10.1038/nature13179" TargetMode="External"/><Relationship Id="rId38" Type="http://schemas.openxmlformats.org/officeDocument/2006/relationships/hyperlink" Target="https://doi.org/10.1111/pbi.12462" TargetMode="External"/><Relationship Id="rId46" Type="http://schemas.openxmlformats.org/officeDocument/2006/relationships/fontTable" Target="fontTable.xml"/><Relationship Id="rId20" Type="http://schemas.openxmlformats.org/officeDocument/2006/relationships/hyperlink" Target="https://doi.org/10.1023/A:1013713905833" TargetMode="External"/><Relationship Id="rId41" Type="http://schemas.openxmlformats.org/officeDocument/2006/relationships/hyperlink" Target="https://doi.org/10.1038/s41576-020-0029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24</Pages>
  <Words>11474</Words>
  <Characters>65407</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SDI 1084</cp:lastModifiedBy>
  <cp:revision>13</cp:revision>
  <dcterms:created xsi:type="dcterms:W3CDTF">2026-03-28T05:58:00Z</dcterms:created>
  <dcterms:modified xsi:type="dcterms:W3CDTF">2026-03-30T12:56:00Z</dcterms:modified>
</cp:coreProperties>
</file>