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FFFBB1" w14:textId="77777777" w:rsidR="002C4025" w:rsidRPr="003C7672" w:rsidRDefault="002C4025" w:rsidP="002C4025">
      <w:pPr>
        <w:spacing w:after="0" w:line="240" w:lineRule="auto"/>
        <w:jc w:val="center"/>
        <w:rPr>
          <w:rFonts w:ascii="Times New Roman" w:hAnsi="Times New Roman" w:cs="Times New Roman"/>
          <w:b/>
          <w:bCs/>
          <w:i/>
          <w:iCs/>
          <w:color w:val="222222"/>
          <w:sz w:val="24"/>
          <w:szCs w:val="24"/>
          <w:u w:val="single"/>
          <w:shd w:val="clear" w:color="auto" w:fill="FFFFFF"/>
        </w:rPr>
      </w:pPr>
      <w:r w:rsidRPr="003C7672">
        <w:rPr>
          <w:rFonts w:ascii="Times New Roman" w:hAnsi="Times New Roman" w:cs="Times New Roman"/>
          <w:b/>
          <w:bCs/>
          <w:i/>
          <w:iCs/>
          <w:color w:val="222222"/>
          <w:sz w:val="24"/>
          <w:szCs w:val="24"/>
          <w:u w:val="single"/>
          <w:shd w:val="clear" w:color="auto" w:fill="FFFFFF"/>
        </w:rPr>
        <w:t>Original Research Article</w:t>
      </w:r>
    </w:p>
    <w:p w14:paraId="2570394A" w14:textId="77777777" w:rsidR="00595EE8" w:rsidRPr="003C7672" w:rsidRDefault="00595EE8" w:rsidP="00595EE8">
      <w:pPr>
        <w:spacing w:after="0" w:line="240" w:lineRule="auto"/>
        <w:jc w:val="center"/>
        <w:rPr>
          <w:rFonts w:ascii="Times New Roman" w:hAnsi="Times New Roman" w:cs="Times New Roman"/>
          <w:b/>
          <w:bCs/>
          <w:color w:val="222222"/>
          <w:sz w:val="24"/>
          <w:szCs w:val="24"/>
          <w:shd w:val="clear" w:color="auto" w:fill="FFFFFF"/>
        </w:rPr>
      </w:pPr>
      <w:r w:rsidRPr="003C7672">
        <w:rPr>
          <w:rFonts w:ascii="Times New Roman" w:hAnsi="Times New Roman" w:cs="Times New Roman"/>
          <w:b/>
          <w:bCs/>
          <w:color w:val="222222"/>
          <w:sz w:val="24"/>
          <w:szCs w:val="24"/>
          <w:shd w:val="clear" w:color="auto" w:fill="FFFFFF"/>
        </w:rPr>
        <w:t>MALARIA-SOIL TRANSMITTED HELMINTHS CO-INFECTION IN SCHOOL-AGED CHILDREN AND THE IMPACT OF SCHOOL-BASED ALBENDAZOLE MASS DRUG ADMINISTRATION</w:t>
      </w:r>
    </w:p>
    <w:p w14:paraId="5D52886C" w14:textId="77777777" w:rsidR="0053252E" w:rsidRPr="003C7672" w:rsidRDefault="0053252E" w:rsidP="00595EE8">
      <w:pPr>
        <w:spacing w:after="0" w:line="240" w:lineRule="auto"/>
        <w:jc w:val="center"/>
        <w:rPr>
          <w:rFonts w:ascii="Times New Roman" w:hAnsi="Times New Roman" w:cs="Times New Roman"/>
          <w:b/>
          <w:bCs/>
          <w:color w:val="222222"/>
          <w:sz w:val="24"/>
          <w:szCs w:val="24"/>
          <w:shd w:val="clear" w:color="auto" w:fill="FFFFFF"/>
        </w:rPr>
      </w:pPr>
    </w:p>
    <w:p w14:paraId="55C74518" w14:textId="77777777" w:rsidR="00CC7E64" w:rsidRPr="003C7672" w:rsidRDefault="00CC7E64" w:rsidP="0053252E">
      <w:pPr>
        <w:spacing w:after="0" w:line="240" w:lineRule="auto"/>
        <w:rPr>
          <w:rFonts w:ascii="Times New Roman" w:hAnsi="Times New Roman" w:cs="Times New Roman"/>
          <w:bCs/>
          <w:color w:val="222222"/>
          <w:sz w:val="24"/>
          <w:szCs w:val="24"/>
          <w:shd w:val="clear" w:color="auto" w:fill="FFFFFF"/>
        </w:rPr>
      </w:pPr>
      <w:bookmarkStart w:id="0" w:name="_GoBack"/>
      <w:bookmarkEnd w:id="0"/>
    </w:p>
    <w:p w14:paraId="33344265" w14:textId="77777777" w:rsidR="00220456" w:rsidRPr="003C7672" w:rsidRDefault="00220456" w:rsidP="0053252E">
      <w:pPr>
        <w:spacing w:after="0" w:line="240" w:lineRule="auto"/>
        <w:rPr>
          <w:rFonts w:ascii="Times New Roman" w:hAnsi="Times New Roman" w:cs="Times New Roman"/>
          <w:bCs/>
          <w:color w:val="222222"/>
          <w:sz w:val="24"/>
          <w:szCs w:val="24"/>
          <w:shd w:val="clear" w:color="auto" w:fill="FFFFFF"/>
        </w:rPr>
      </w:pPr>
    </w:p>
    <w:p w14:paraId="76E3E465" w14:textId="77777777" w:rsidR="00595EE8" w:rsidRPr="003C7672" w:rsidRDefault="00595EE8" w:rsidP="00595EE8">
      <w:pPr>
        <w:spacing w:after="0" w:line="240" w:lineRule="auto"/>
        <w:jc w:val="center"/>
        <w:rPr>
          <w:rFonts w:ascii="Times New Roman" w:hAnsi="Times New Roman" w:cs="Times New Roman"/>
          <w:sz w:val="24"/>
          <w:szCs w:val="24"/>
        </w:rPr>
      </w:pPr>
    </w:p>
    <w:p w14:paraId="1FBDF061" w14:textId="77777777" w:rsidR="00021F59" w:rsidRPr="003C7672" w:rsidRDefault="00021F59" w:rsidP="00021F59">
      <w:pPr>
        <w:pStyle w:val="NormalWeb"/>
        <w:spacing w:before="0" w:beforeAutospacing="0" w:after="0" w:afterAutospacing="0"/>
        <w:rPr>
          <w:b/>
          <w:bCs/>
        </w:rPr>
      </w:pPr>
      <w:r w:rsidRPr="003C7672">
        <w:rPr>
          <w:b/>
          <w:bCs/>
        </w:rPr>
        <w:t>Abstract</w:t>
      </w:r>
    </w:p>
    <w:p w14:paraId="54BB6C1D" w14:textId="77777777" w:rsidR="00021F59" w:rsidRPr="003C7672" w:rsidRDefault="00021F59" w:rsidP="00021F59">
      <w:pPr>
        <w:spacing w:after="0" w:line="240" w:lineRule="auto"/>
        <w:jc w:val="both"/>
        <w:rPr>
          <w:rFonts w:ascii="Times New Roman" w:hAnsi="Times New Roman" w:cs="Times New Roman"/>
          <w:sz w:val="24"/>
          <w:szCs w:val="24"/>
        </w:rPr>
      </w:pPr>
      <w:r w:rsidRPr="003C7672">
        <w:rPr>
          <w:rFonts w:ascii="Times New Roman" w:hAnsi="Times New Roman" w:cs="Times New Roman"/>
          <w:color w:val="1C1C1C"/>
          <w:sz w:val="24"/>
          <w:szCs w:val="24"/>
          <w:shd w:val="clear" w:color="auto" w:fill="FFFFFF"/>
        </w:rPr>
        <w:t xml:space="preserve">Malaria and Soil-Transmitted Helminth (STH) infections present a significant public health challenge in endemic regions, often occurring together and worsening health outcomes. This cross-sectional study examined the prevalence of co-infection among school-aged children in the Unwana Community, Ebonyi State, and showed the effects of school-based Albendazole Mass Drug Administration (MDA). A total of 249 pupils from three constituencies in the Unwana community, located in </w:t>
      </w:r>
      <w:proofErr w:type="spellStart"/>
      <w:r w:rsidRPr="003C7672">
        <w:rPr>
          <w:rFonts w:ascii="Times New Roman" w:hAnsi="Times New Roman" w:cs="Times New Roman"/>
          <w:color w:val="1C1C1C"/>
          <w:sz w:val="24"/>
          <w:szCs w:val="24"/>
          <w:shd w:val="clear" w:color="auto" w:fill="FFFFFF"/>
        </w:rPr>
        <w:t>Afikpo</w:t>
      </w:r>
      <w:proofErr w:type="spellEnd"/>
      <w:r w:rsidRPr="003C7672">
        <w:rPr>
          <w:rFonts w:ascii="Times New Roman" w:hAnsi="Times New Roman" w:cs="Times New Roman"/>
          <w:color w:val="1C1C1C"/>
          <w:sz w:val="24"/>
          <w:szCs w:val="24"/>
          <w:shd w:val="clear" w:color="auto" w:fill="FFFFFF"/>
        </w:rPr>
        <w:t xml:space="preserve"> North Local Government Area (LGA), Ebonyi State, were sampled between June and August 2025. Malaria was diagnosed using Rapid Diagnostic Tests (RDTs), while STH infections were identified in stool samples using standard techniques. Data on MDA receipt, socio-economic factors, and preventive measures were gathered through a questionnaire. Additionally, records from health centers regarding community MDA were collected. The overall prevalence of infections was 38.6% (n=96) for malaria, 36.5% (n=91) for STH, and 7.2% (n=18) for co-infection. The STHs identified included </w:t>
      </w:r>
      <w:r w:rsidRPr="003C7672">
        <w:rPr>
          <w:rFonts w:ascii="Times New Roman" w:hAnsi="Times New Roman" w:cs="Times New Roman"/>
          <w:i/>
          <w:color w:val="1C1C1C"/>
          <w:sz w:val="24"/>
          <w:szCs w:val="24"/>
          <w:shd w:val="clear" w:color="auto" w:fill="FFFFFF"/>
        </w:rPr>
        <w:t>Ascaris</w:t>
      </w:r>
      <w:r w:rsidRPr="003C7672">
        <w:rPr>
          <w:rFonts w:ascii="Times New Roman" w:hAnsi="Times New Roman" w:cs="Times New Roman"/>
          <w:color w:val="1C1C1C"/>
          <w:sz w:val="24"/>
          <w:szCs w:val="24"/>
          <w:shd w:val="clear" w:color="auto" w:fill="FFFFFF"/>
        </w:rPr>
        <w:t xml:space="preserve"> </w:t>
      </w:r>
      <w:r w:rsidRPr="003C7672">
        <w:rPr>
          <w:rFonts w:ascii="Times New Roman" w:hAnsi="Times New Roman" w:cs="Times New Roman"/>
          <w:i/>
          <w:color w:val="1C1C1C"/>
          <w:sz w:val="24"/>
          <w:szCs w:val="24"/>
          <w:shd w:val="clear" w:color="auto" w:fill="FFFFFF"/>
        </w:rPr>
        <w:t>lumbricoides</w:t>
      </w:r>
      <w:r w:rsidRPr="003C7672">
        <w:rPr>
          <w:rFonts w:ascii="Times New Roman" w:hAnsi="Times New Roman" w:cs="Times New Roman"/>
          <w:color w:val="1C1C1C"/>
          <w:sz w:val="24"/>
          <w:szCs w:val="24"/>
          <w:shd w:val="clear" w:color="auto" w:fill="FFFFFF"/>
        </w:rPr>
        <w:t xml:space="preserve">, </w:t>
      </w:r>
      <w:r w:rsidRPr="003C7672">
        <w:rPr>
          <w:rFonts w:ascii="Times New Roman" w:hAnsi="Times New Roman" w:cs="Times New Roman"/>
          <w:i/>
          <w:color w:val="1C1C1C"/>
          <w:sz w:val="24"/>
          <w:szCs w:val="24"/>
          <w:shd w:val="clear" w:color="auto" w:fill="FFFFFF"/>
        </w:rPr>
        <w:t>Trichuris</w:t>
      </w:r>
      <w:r w:rsidRPr="003C7672">
        <w:rPr>
          <w:rFonts w:ascii="Times New Roman" w:hAnsi="Times New Roman" w:cs="Times New Roman"/>
          <w:color w:val="1C1C1C"/>
          <w:sz w:val="24"/>
          <w:szCs w:val="24"/>
          <w:shd w:val="clear" w:color="auto" w:fill="FFFFFF"/>
        </w:rPr>
        <w:t xml:space="preserve"> </w:t>
      </w:r>
      <w:proofErr w:type="spellStart"/>
      <w:r w:rsidRPr="003C7672">
        <w:rPr>
          <w:rFonts w:ascii="Times New Roman" w:hAnsi="Times New Roman" w:cs="Times New Roman"/>
          <w:i/>
          <w:color w:val="1C1C1C"/>
          <w:sz w:val="24"/>
          <w:szCs w:val="24"/>
          <w:shd w:val="clear" w:color="auto" w:fill="FFFFFF"/>
        </w:rPr>
        <w:t>trichiura</w:t>
      </w:r>
      <w:proofErr w:type="spellEnd"/>
      <w:r w:rsidRPr="003C7672">
        <w:rPr>
          <w:rFonts w:ascii="Times New Roman" w:hAnsi="Times New Roman" w:cs="Times New Roman"/>
          <w:color w:val="1C1C1C"/>
          <w:sz w:val="24"/>
          <w:szCs w:val="24"/>
          <w:shd w:val="clear" w:color="auto" w:fill="FFFFFF"/>
        </w:rPr>
        <w:t xml:space="preserve">, and hookworm. </w:t>
      </w:r>
      <w:r w:rsidRPr="003C7672">
        <w:rPr>
          <w:rFonts w:ascii="Times New Roman" w:hAnsi="Times New Roman" w:cs="Times New Roman"/>
          <w:i/>
          <w:color w:val="1C1C1C"/>
          <w:sz w:val="24"/>
          <w:szCs w:val="24"/>
          <w:shd w:val="clear" w:color="auto" w:fill="FFFFFF"/>
        </w:rPr>
        <w:t>A. lumbricoides</w:t>
      </w:r>
      <w:r w:rsidRPr="003C7672">
        <w:rPr>
          <w:rFonts w:ascii="Times New Roman" w:hAnsi="Times New Roman" w:cs="Times New Roman"/>
          <w:color w:val="1C1C1C"/>
          <w:sz w:val="24"/>
          <w:szCs w:val="24"/>
          <w:shd w:val="clear" w:color="auto" w:fill="FFFFFF"/>
        </w:rPr>
        <w:t xml:space="preserve"> had the highest prevalence at 16.5% (n=41). Double STH infections included </w:t>
      </w:r>
      <w:r w:rsidRPr="003C7672">
        <w:rPr>
          <w:rFonts w:ascii="Times New Roman" w:hAnsi="Times New Roman" w:cs="Times New Roman"/>
          <w:i/>
          <w:color w:val="1C1C1C"/>
          <w:sz w:val="24"/>
          <w:szCs w:val="24"/>
          <w:shd w:val="clear" w:color="auto" w:fill="FFFFFF"/>
        </w:rPr>
        <w:t>Ascaris</w:t>
      </w:r>
      <w:r w:rsidRPr="003C7672">
        <w:rPr>
          <w:rFonts w:ascii="Times New Roman" w:hAnsi="Times New Roman" w:cs="Times New Roman"/>
          <w:color w:val="1C1C1C"/>
          <w:sz w:val="24"/>
          <w:szCs w:val="24"/>
          <w:shd w:val="clear" w:color="auto" w:fill="FFFFFF"/>
        </w:rPr>
        <w:t xml:space="preserve">-hookworm (2.4%, n=6), </w:t>
      </w:r>
      <w:r w:rsidRPr="003C7672">
        <w:rPr>
          <w:rFonts w:ascii="Times New Roman" w:hAnsi="Times New Roman" w:cs="Times New Roman"/>
          <w:i/>
          <w:color w:val="1C1C1C"/>
          <w:sz w:val="24"/>
          <w:szCs w:val="24"/>
          <w:shd w:val="clear" w:color="auto" w:fill="FFFFFF"/>
        </w:rPr>
        <w:t>Ascaris</w:t>
      </w:r>
      <w:r w:rsidRPr="003C7672">
        <w:rPr>
          <w:rFonts w:ascii="Times New Roman" w:hAnsi="Times New Roman" w:cs="Times New Roman"/>
          <w:color w:val="1C1C1C"/>
          <w:sz w:val="24"/>
          <w:szCs w:val="24"/>
          <w:shd w:val="clear" w:color="auto" w:fill="FFFFFF"/>
        </w:rPr>
        <w:t>-</w:t>
      </w:r>
      <w:r w:rsidRPr="003C7672">
        <w:rPr>
          <w:rFonts w:ascii="Times New Roman" w:hAnsi="Times New Roman" w:cs="Times New Roman"/>
          <w:i/>
          <w:color w:val="1C1C1C"/>
          <w:sz w:val="24"/>
          <w:szCs w:val="24"/>
          <w:shd w:val="clear" w:color="auto" w:fill="FFFFFF"/>
        </w:rPr>
        <w:t>Trichuris</w:t>
      </w:r>
      <w:r w:rsidRPr="003C7672">
        <w:rPr>
          <w:rFonts w:ascii="Times New Roman" w:hAnsi="Times New Roman" w:cs="Times New Roman"/>
          <w:color w:val="1C1C1C"/>
          <w:sz w:val="24"/>
          <w:szCs w:val="24"/>
          <w:shd w:val="clear" w:color="auto" w:fill="FFFFFF"/>
        </w:rPr>
        <w:t xml:space="preserve"> (2.8%, n=7), and </w:t>
      </w:r>
      <w:r w:rsidRPr="003C7672">
        <w:rPr>
          <w:rFonts w:ascii="Times New Roman" w:hAnsi="Times New Roman" w:cs="Times New Roman"/>
          <w:i/>
          <w:color w:val="1C1C1C"/>
          <w:sz w:val="24"/>
          <w:szCs w:val="24"/>
          <w:shd w:val="clear" w:color="auto" w:fill="FFFFFF"/>
        </w:rPr>
        <w:t>Trichuris</w:t>
      </w:r>
      <w:r w:rsidRPr="003C7672">
        <w:rPr>
          <w:rFonts w:ascii="Times New Roman" w:hAnsi="Times New Roman" w:cs="Times New Roman"/>
          <w:color w:val="1C1C1C"/>
          <w:sz w:val="24"/>
          <w:szCs w:val="24"/>
          <w:shd w:val="clear" w:color="auto" w:fill="FFFFFF"/>
        </w:rPr>
        <w:t>-hookworm (1.2%, n=3). Significant associations were found between malaria, STH infections, and demographic characteristics of the school children; however, there was no association between co-infection and the demographics of the children. Not receiving Albendazole in school was identified as the only significant factor influencing malaria-STH co-infection (AOR=3.760, p=0.042). Analysis of health center records revealed inconsistencies in community-level Albendazole MDA, with only the U.C.P.S 2 constituency receiving doses in 2021, 2022, and 2023. The rate of co-infection highlights a persistent dual public health challenge in the community. The finding that not receiving school-based Albendazole is a risk factor for malaria-STH co-infection suggests that school-based MDA may be a more effective strategy for controlling STH in school-aged children in Unwana.</w:t>
      </w:r>
    </w:p>
    <w:p w14:paraId="352F7B30" w14:textId="77777777" w:rsidR="00021F59" w:rsidRPr="003C7672" w:rsidRDefault="00021F59" w:rsidP="0034587C">
      <w:pPr>
        <w:spacing w:after="0" w:line="360" w:lineRule="auto"/>
        <w:jc w:val="both"/>
        <w:rPr>
          <w:rFonts w:ascii="Times New Roman" w:hAnsi="Times New Roman" w:cs="Times New Roman"/>
          <w:sz w:val="24"/>
          <w:szCs w:val="24"/>
        </w:rPr>
      </w:pPr>
    </w:p>
    <w:p w14:paraId="7995B46E" w14:textId="77777777" w:rsidR="00021F59" w:rsidRPr="003C7672" w:rsidRDefault="00021F59" w:rsidP="0034587C">
      <w:pPr>
        <w:spacing w:after="0" w:line="360" w:lineRule="auto"/>
        <w:jc w:val="both"/>
        <w:rPr>
          <w:rFonts w:ascii="Times New Roman" w:hAnsi="Times New Roman" w:cs="Times New Roman"/>
          <w:sz w:val="24"/>
          <w:szCs w:val="24"/>
        </w:rPr>
      </w:pPr>
    </w:p>
    <w:p w14:paraId="7F37D18C" w14:textId="77777777" w:rsidR="00021F59" w:rsidRPr="003C7672" w:rsidRDefault="00021F59" w:rsidP="0034587C">
      <w:pPr>
        <w:spacing w:after="0" w:line="360" w:lineRule="auto"/>
        <w:jc w:val="both"/>
        <w:rPr>
          <w:rFonts w:ascii="Times New Roman" w:hAnsi="Times New Roman" w:cs="Times New Roman"/>
          <w:sz w:val="24"/>
          <w:szCs w:val="24"/>
        </w:rPr>
      </w:pPr>
      <w:r w:rsidRPr="003C7672">
        <w:rPr>
          <w:rFonts w:ascii="Times New Roman" w:hAnsi="Times New Roman" w:cs="Times New Roman"/>
          <w:b/>
          <w:sz w:val="24"/>
          <w:szCs w:val="24"/>
        </w:rPr>
        <w:t>INTRODUCTION</w:t>
      </w:r>
    </w:p>
    <w:p w14:paraId="1B6EF627" w14:textId="77777777" w:rsidR="0034587C" w:rsidRPr="003C7672" w:rsidRDefault="0034587C" w:rsidP="0034587C">
      <w:pPr>
        <w:spacing w:after="0" w:line="360" w:lineRule="auto"/>
        <w:jc w:val="both"/>
        <w:rPr>
          <w:rFonts w:ascii="Times New Roman" w:hAnsi="Times New Roman" w:cs="Times New Roman"/>
          <w:sz w:val="24"/>
          <w:szCs w:val="24"/>
        </w:rPr>
      </w:pPr>
      <w:r w:rsidRPr="003C7672">
        <w:rPr>
          <w:rFonts w:ascii="Times New Roman" w:hAnsi="Times New Roman" w:cs="Times New Roman"/>
          <w:sz w:val="24"/>
          <w:szCs w:val="24"/>
        </w:rPr>
        <w:t xml:space="preserve">Malaria, caused by </w:t>
      </w:r>
      <w:r w:rsidRPr="003C7672">
        <w:rPr>
          <w:rFonts w:ascii="Times New Roman" w:hAnsi="Times New Roman" w:cs="Times New Roman"/>
          <w:i/>
          <w:sz w:val="24"/>
          <w:szCs w:val="24"/>
        </w:rPr>
        <w:t>Plasmodium falciparum</w:t>
      </w:r>
      <w:r w:rsidRPr="003C7672">
        <w:rPr>
          <w:rFonts w:ascii="Times New Roman" w:hAnsi="Times New Roman" w:cs="Times New Roman"/>
          <w:sz w:val="24"/>
          <w:szCs w:val="24"/>
        </w:rPr>
        <w:t xml:space="preserve">, remains a significant global health challenge, primarily affecting children and pregnant women in endemic countries of sub-Saharan Africa. According to various facts and statistics, Nigeria is one of the ten countries that account for 66% of malaria cases worldwide (MMV, 2025). In 2025, Nigeria faced a substantial malaria burden, reporting over 24 million cases in the first nine months, with cases peaking during the rainy season (BEACON, 2025). Additionally, Nigeria is one of three countries in the African Region that </w:t>
      </w:r>
      <w:r w:rsidRPr="003C7672">
        <w:rPr>
          <w:rFonts w:ascii="Times New Roman" w:hAnsi="Times New Roman" w:cs="Times New Roman"/>
          <w:sz w:val="24"/>
          <w:szCs w:val="24"/>
        </w:rPr>
        <w:lastRenderedPageBreak/>
        <w:t>contribute to half of all malaria-related deaths, accounting for 31.9% of mortality in the region (MMV, 2025).</w:t>
      </w:r>
    </w:p>
    <w:p w14:paraId="0AE5E740" w14:textId="77777777" w:rsidR="0034587C" w:rsidRPr="003C7672" w:rsidRDefault="0034587C" w:rsidP="0034587C">
      <w:pPr>
        <w:spacing w:after="0" w:line="360" w:lineRule="auto"/>
        <w:jc w:val="both"/>
        <w:rPr>
          <w:rFonts w:ascii="Times New Roman" w:hAnsi="Times New Roman" w:cs="Times New Roman"/>
          <w:sz w:val="24"/>
          <w:szCs w:val="24"/>
        </w:rPr>
      </w:pPr>
    </w:p>
    <w:p w14:paraId="30E534C1" w14:textId="77777777" w:rsidR="0034587C" w:rsidRPr="003C7672" w:rsidRDefault="0034587C" w:rsidP="0034587C">
      <w:pPr>
        <w:spacing w:after="0" w:line="360" w:lineRule="auto"/>
        <w:jc w:val="both"/>
        <w:rPr>
          <w:rFonts w:ascii="Times New Roman" w:hAnsi="Times New Roman" w:cs="Times New Roman"/>
          <w:sz w:val="24"/>
          <w:szCs w:val="24"/>
        </w:rPr>
      </w:pPr>
      <w:r w:rsidRPr="003C7672">
        <w:rPr>
          <w:rFonts w:ascii="Times New Roman" w:hAnsi="Times New Roman" w:cs="Times New Roman"/>
          <w:sz w:val="24"/>
          <w:szCs w:val="24"/>
        </w:rPr>
        <w:t xml:space="preserve">Soil-transmitted helminth infections, including </w:t>
      </w:r>
      <w:r w:rsidRPr="003C7672">
        <w:rPr>
          <w:rFonts w:ascii="Times New Roman" w:hAnsi="Times New Roman" w:cs="Times New Roman"/>
          <w:i/>
          <w:sz w:val="24"/>
          <w:szCs w:val="24"/>
        </w:rPr>
        <w:t>Ascaris lumbricoides</w:t>
      </w:r>
      <w:r w:rsidRPr="003C7672">
        <w:rPr>
          <w:rFonts w:ascii="Times New Roman" w:hAnsi="Times New Roman" w:cs="Times New Roman"/>
          <w:sz w:val="24"/>
          <w:szCs w:val="24"/>
        </w:rPr>
        <w:t xml:space="preserve">, </w:t>
      </w:r>
      <w:r w:rsidRPr="003C7672">
        <w:rPr>
          <w:rFonts w:ascii="Times New Roman" w:hAnsi="Times New Roman" w:cs="Times New Roman"/>
          <w:i/>
          <w:sz w:val="24"/>
          <w:szCs w:val="24"/>
        </w:rPr>
        <w:t xml:space="preserve">Trichuris </w:t>
      </w:r>
      <w:proofErr w:type="spellStart"/>
      <w:r w:rsidRPr="003C7672">
        <w:rPr>
          <w:rFonts w:ascii="Times New Roman" w:hAnsi="Times New Roman" w:cs="Times New Roman"/>
          <w:i/>
          <w:sz w:val="24"/>
          <w:szCs w:val="24"/>
        </w:rPr>
        <w:t>trichiura</w:t>
      </w:r>
      <w:proofErr w:type="spellEnd"/>
      <w:r w:rsidRPr="003C7672">
        <w:rPr>
          <w:rFonts w:ascii="Times New Roman" w:hAnsi="Times New Roman" w:cs="Times New Roman"/>
          <w:sz w:val="24"/>
          <w:szCs w:val="24"/>
        </w:rPr>
        <w:t xml:space="preserve">, </w:t>
      </w:r>
      <w:proofErr w:type="spellStart"/>
      <w:r w:rsidRPr="003C7672">
        <w:rPr>
          <w:rFonts w:ascii="Times New Roman" w:hAnsi="Times New Roman" w:cs="Times New Roman"/>
          <w:i/>
          <w:sz w:val="24"/>
          <w:szCs w:val="24"/>
        </w:rPr>
        <w:t>Ancylostoma</w:t>
      </w:r>
      <w:proofErr w:type="spellEnd"/>
      <w:r w:rsidRPr="003C7672">
        <w:rPr>
          <w:rFonts w:ascii="Times New Roman" w:hAnsi="Times New Roman" w:cs="Times New Roman"/>
          <w:sz w:val="24"/>
          <w:szCs w:val="24"/>
        </w:rPr>
        <w:t xml:space="preserve"> </w:t>
      </w:r>
      <w:r w:rsidRPr="003C7672">
        <w:rPr>
          <w:rFonts w:ascii="Times New Roman" w:hAnsi="Times New Roman" w:cs="Times New Roman"/>
          <w:i/>
          <w:sz w:val="24"/>
          <w:szCs w:val="24"/>
        </w:rPr>
        <w:t>duodenale</w:t>
      </w:r>
      <w:r w:rsidRPr="003C7672">
        <w:rPr>
          <w:rFonts w:ascii="Times New Roman" w:hAnsi="Times New Roman" w:cs="Times New Roman"/>
          <w:sz w:val="24"/>
          <w:szCs w:val="24"/>
        </w:rPr>
        <w:t xml:space="preserve">, and </w:t>
      </w:r>
      <w:proofErr w:type="spellStart"/>
      <w:r w:rsidRPr="003C7672">
        <w:rPr>
          <w:rFonts w:ascii="Times New Roman" w:hAnsi="Times New Roman" w:cs="Times New Roman"/>
          <w:i/>
          <w:sz w:val="24"/>
          <w:szCs w:val="24"/>
        </w:rPr>
        <w:t>Necator</w:t>
      </w:r>
      <w:proofErr w:type="spellEnd"/>
      <w:r w:rsidRPr="003C7672">
        <w:rPr>
          <w:rFonts w:ascii="Times New Roman" w:hAnsi="Times New Roman" w:cs="Times New Roman"/>
          <w:sz w:val="24"/>
          <w:szCs w:val="24"/>
        </w:rPr>
        <w:t xml:space="preserve"> </w:t>
      </w:r>
      <w:proofErr w:type="spellStart"/>
      <w:r w:rsidRPr="003C7672">
        <w:rPr>
          <w:rFonts w:ascii="Times New Roman" w:hAnsi="Times New Roman" w:cs="Times New Roman"/>
          <w:i/>
          <w:sz w:val="24"/>
          <w:szCs w:val="24"/>
        </w:rPr>
        <w:t>americanus</w:t>
      </w:r>
      <w:proofErr w:type="spellEnd"/>
      <w:r w:rsidRPr="003C7672">
        <w:rPr>
          <w:rFonts w:ascii="Times New Roman" w:hAnsi="Times New Roman" w:cs="Times New Roman"/>
          <w:sz w:val="24"/>
          <w:szCs w:val="24"/>
        </w:rPr>
        <w:t>, are endemic in Nigeria, with worm burdens ranging from 13.2% to 80.9% across the six geopolitical zones of the country (</w:t>
      </w:r>
      <w:proofErr w:type="spellStart"/>
      <w:r w:rsidRPr="003C7672">
        <w:rPr>
          <w:rFonts w:ascii="Times New Roman" w:hAnsi="Times New Roman" w:cs="Times New Roman"/>
          <w:sz w:val="24"/>
          <w:szCs w:val="24"/>
        </w:rPr>
        <w:t>Oyeyemi</w:t>
      </w:r>
      <w:proofErr w:type="spellEnd"/>
      <w:r w:rsidRPr="003C7672">
        <w:rPr>
          <w:rFonts w:ascii="Times New Roman" w:hAnsi="Times New Roman" w:cs="Times New Roman"/>
          <w:sz w:val="24"/>
          <w:szCs w:val="24"/>
        </w:rPr>
        <w:t xml:space="preserve"> &amp; </w:t>
      </w:r>
      <w:proofErr w:type="spellStart"/>
      <w:r w:rsidRPr="003C7672">
        <w:rPr>
          <w:rFonts w:ascii="Times New Roman" w:hAnsi="Times New Roman" w:cs="Times New Roman"/>
          <w:sz w:val="24"/>
          <w:szCs w:val="24"/>
        </w:rPr>
        <w:t>Okunlola</w:t>
      </w:r>
      <w:proofErr w:type="spellEnd"/>
      <w:r w:rsidRPr="003C7672">
        <w:rPr>
          <w:rFonts w:ascii="Times New Roman" w:hAnsi="Times New Roman" w:cs="Times New Roman"/>
          <w:sz w:val="24"/>
          <w:szCs w:val="24"/>
        </w:rPr>
        <w:t>, 2023; Sangare et al., 2025). While soil-transmitted helminth (STH) infections can affect individuals of any age, preschool-aged and school-aged children (SAC) are particularly vulnerable (</w:t>
      </w:r>
      <w:proofErr w:type="spellStart"/>
      <w:r w:rsidRPr="003C7672">
        <w:rPr>
          <w:rFonts w:ascii="Times New Roman" w:hAnsi="Times New Roman" w:cs="Times New Roman"/>
          <w:sz w:val="24"/>
          <w:szCs w:val="24"/>
        </w:rPr>
        <w:t>Usang</w:t>
      </w:r>
      <w:proofErr w:type="spellEnd"/>
      <w:r w:rsidRPr="003C7672">
        <w:rPr>
          <w:rFonts w:ascii="Times New Roman" w:hAnsi="Times New Roman" w:cs="Times New Roman"/>
          <w:sz w:val="24"/>
          <w:szCs w:val="24"/>
        </w:rPr>
        <w:t xml:space="preserve"> et al., 2025). In cases of single infections, symptoms for malaria and STH can vary significantly. Malaria may present with mild fever and chills, but can escalate to severe cases resulting in organ failure and death. On the other hand, mild STH infections may show no symptoms, but severe cases can lead to anemia, vitamin A deficiency, malnutrition, loss of appetite, and stunted growth (</w:t>
      </w:r>
      <w:proofErr w:type="spellStart"/>
      <w:r w:rsidRPr="003C7672">
        <w:rPr>
          <w:rFonts w:ascii="Times New Roman" w:hAnsi="Times New Roman" w:cs="Times New Roman"/>
          <w:sz w:val="24"/>
          <w:szCs w:val="24"/>
        </w:rPr>
        <w:t>Eshofonie</w:t>
      </w:r>
      <w:proofErr w:type="spellEnd"/>
      <w:r w:rsidRPr="003C7672">
        <w:rPr>
          <w:rFonts w:ascii="Times New Roman" w:hAnsi="Times New Roman" w:cs="Times New Roman"/>
          <w:sz w:val="24"/>
          <w:szCs w:val="24"/>
        </w:rPr>
        <w:t xml:space="preserve"> et al., 2025).</w:t>
      </w:r>
    </w:p>
    <w:p w14:paraId="642593EC" w14:textId="77777777" w:rsidR="0034587C" w:rsidRPr="003C7672" w:rsidRDefault="0034587C" w:rsidP="0034587C">
      <w:pPr>
        <w:spacing w:after="0" w:line="360" w:lineRule="auto"/>
        <w:jc w:val="both"/>
        <w:rPr>
          <w:rFonts w:ascii="Times New Roman" w:hAnsi="Times New Roman" w:cs="Times New Roman"/>
          <w:sz w:val="24"/>
          <w:szCs w:val="24"/>
        </w:rPr>
      </w:pPr>
    </w:p>
    <w:p w14:paraId="10A8AD56" w14:textId="77777777" w:rsidR="0034587C" w:rsidRPr="003C7672" w:rsidRDefault="0034587C" w:rsidP="0034587C">
      <w:pPr>
        <w:spacing w:after="0" w:line="360" w:lineRule="auto"/>
        <w:jc w:val="both"/>
        <w:rPr>
          <w:rFonts w:ascii="Times New Roman" w:hAnsi="Times New Roman" w:cs="Times New Roman"/>
          <w:sz w:val="24"/>
          <w:szCs w:val="24"/>
        </w:rPr>
      </w:pPr>
      <w:r w:rsidRPr="003C7672">
        <w:rPr>
          <w:rFonts w:ascii="Times New Roman" w:hAnsi="Times New Roman" w:cs="Times New Roman"/>
          <w:sz w:val="24"/>
          <w:szCs w:val="24"/>
        </w:rPr>
        <w:t xml:space="preserve">In many regions of the African continent, soil-transmitted helminths (STH)—specifically </w:t>
      </w:r>
      <w:r w:rsidRPr="003C7672">
        <w:rPr>
          <w:rFonts w:ascii="Times New Roman" w:hAnsi="Times New Roman" w:cs="Times New Roman"/>
          <w:i/>
          <w:sz w:val="24"/>
          <w:szCs w:val="24"/>
        </w:rPr>
        <w:t>A. lumbricoides</w:t>
      </w:r>
      <w:r w:rsidRPr="003C7672">
        <w:rPr>
          <w:rFonts w:ascii="Times New Roman" w:hAnsi="Times New Roman" w:cs="Times New Roman"/>
          <w:sz w:val="24"/>
          <w:szCs w:val="24"/>
        </w:rPr>
        <w:t xml:space="preserve">, </w:t>
      </w:r>
      <w:r w:rsidRPr="003C7672">
        <w:rPr>
          <w:rFonts w:ascii="Times New Roman" w:hAnsi="Times New Roman" w:cs="Times New Roman"/>
          <w:i/>
          <w:sz w:val="24"/>
          <w:szCs w:val="24"/>
        </w:rPr>
        <w:t xml:space="preserve">T. </w:t>
      </w:r>
      <w:proofErr w:type="spellStart"/>
      <w:r w:rsidRPr="003C7672">
        <w:rPr>
          <w:rFonts w:ascii="Times New Roman" w:hAnsi="Times New Roman" w:cs="Times New Roman"/>
          <w:i/>
          <w:sz w:val="24"/>
          <w:szCs w:val="24"/>
        </w:rPr>
        <w:t>trichiura</w:t>
      </w:r>
      <w:proofErr w:type="spellEnd"/>
      <w:r w:rsidRPr="003C7672">
        <w:rPr>
          <w:rFonts w:ascii="Times New Roman" w:hAnsi="Times New Roman" w:cs="Times New Roman"/>
          <w:sz w:val="24"/>
          <w:szCs w:val="24"/>
        </w:rPr>
        <w:t xml:space="preserve">, and hookworms—share the same geographic distribution as the malaria-causing parasite. While there has been significant research on the patterns and distribution of single infections of malaria and STH among vulnerable school-age children, there is still limited understanding of the associated patterns and risk factors for co-infections in African communities. Therefore, it is essential to define the spatial relationship between P. falciparum and various helminths to gain a better understanding of their interactions. Such co-infections can exacerbate health issues, such as anemia, and may lead to negative outcomes, including learning disabilities and higher dropout rates among children (Brooker et al., 2007; </w:t>
      </w:r>
      <w:proofErr w:type="spellStart"/>
      <w:r w:rsidRPr="003C7672">
        <w:rPr>
          <w:rFonts w:ascii="Times New Roman" w:hAnsi="Times New Roman" w:cs="Times New Roman"/>
          <w:sz w:val="24"/>
          <w:szCs w:val="24"/>
        </w:rPr>
        <w:t>Eshofonie</w:t>
      </w:r>
      <w:proofErr w:type="spellEnd"/>
      <w:r w:rsidRPr="003C7672">
        <w:rPr>
          <w:rFonts w:ascii="Times New Roman" w:hAnsi="Times New Roman" w:cs="Times New Roman"/>
          <w:sz w:val="24"/>
          <w:szCs w:val="24"/>
        </w:rPr>
        <w:t xml:space="preserve"> et al., 2025).</w:t>
      </w:r>
    </w:p>
    <w:p w14:paraId="320E8599" w14:textId="77777777" w:rsidR="0034587C" w:rsidRPr="003C7672" w:rsidRDefault="0034587C" w:rsidP="0034587C">
      <w:pPr>
        <w:spacing w:after="0" w:line="360" w:lineRule="auto"/>
        <w:jc w:val="both"/>
        <w:rPr>
          <w:rFonts w:ascii="Times New Roman" w:hAnsi="Times New Roman" w:cs="Times New Roman"/>
          <w:sz w:val="24"/>
          <w:szCs w:val="24"/>
        </w:rPr>
      </w:pPr>
      <w:r w:rsidRPr="003C7672">
        <w:rPr>
          <w:rFonts w:ascii="Times New Roman" w:hAnsi="Times New Roman" w:cs="Times New Roman"/>
          <w:sz w:val="24"/>
          <w:szCs w:val="24"/>
        </w:rPr>
        <w:t xml:space="preserve"> </w:t>
      </w:r>
    </w:p>
    <w:p w14:paraId="722811C0" w14:textId="77777777" w:rsidR="0034587C" w:rsidRPr="003C7672" w:rsidRDefault="0034587C" w:rsidP="0034587C">
      <w:pPr>
        <w:spacing w:after="0" w:line="360" w:lineRule="auto"/>
        <w:jc w:val="both"/>
        <w:rPr>
          <w:rFonts w:ascii="Times New Roman" w:hAnsi="Times New Roman" w:cs="Times New Roman"/>
          <w:sz w:val="24"/>
          <w:szCs w:val="24"/>
        </w:rPr>
      </w:pPr>
      <w:r w:rsidRPr="003C7672">
        <w:rPr>
          <w:rFonts w:ascii="Times New Roman" w:hAnsi="Times New Roman" w:cs="Times New Roman"/>
          <w:sz w:val="24"/>
          <w:szCs w:val="24"/>
        </w:rPr>
        <w:t>Early diagnosis and prompt treatment are crucial for controlling malaria among children. For soil-transmitted helminths (STH), community-based and school-based mass drug administration (MDA) are used to eliminate these infections (</w:t>
      </w:r>
      <w:proofErr w:type="spellStart"/>
      <w:r w:rsidRPr="003C7672">
        <w:rPr>
          <w:rFonts w:ascii="Times New Roman" w:hAnsi="Times New Roman" w:cs="Times New Roman"/>
          <w:sz w:val="24"/>
          <w:szCs w:val="24"/>
        </w:rPr>
        <w:t>Mogaji</w:t>
      </w:r>
      <w:proofErr w:type="spellEnd"/>
      <w:r w:rsidRPr="003C7672">
        <w:rPr>
          <w:rFonts w:ascii="Times New Roman" w:hAnsi="Times New Roman" w:cs="Times New Roman"/>
          <w:sz w:val="24"/>
          <w:szCs w:val="24"/>
        </w:rPr>
        <w:t xml:space="preserve"> et al., 2023). In Nigeria, albendazole is typically administered to at-risk children living in endemic areas through school-based MDA, owing to the relative ease of access to children in poor rural areas through schools and the cost-effectiveness of school-based deworming (Anderson et al., 2013). The albendazole mass drug administration (MDA) program in Ebonyi State is currently ongoing. A report from the Ezza North Local Government Area (LGA) indicates that 725,443 doses of albendazole were distributed </w:t>
      </w:r>
      <w:r w:rsidRPr="003C7672">
        <w:rPr>
          <w:rFonts w:ascii="Times New Roman" w:hAnsi="Times New Roman" w:cs="Times New Roman"/>
          <w:sz w:val="24"/>
          <w:szCs w:val="24"/>
        </w:rPr>
        <w:lastRenderedPageBreak/>
        <w:t xml:space="preserve">between 2014 and 2017, which coincides with the period when the MDA began in the region (Elom et al., 2020). The primary objective of the ongoing albendazole program is to reduce the burden of soil-transmitted helminths (STHs). However, it is also essential to understand how this program impacts the prevalence of malaria co-infection, as both STHs and malaria are common in the same areas. If the administration of albendazole is effectively reducing STHs, has there been a significant decrease in the prevalence of STH co-infection with malaria? This study examines the status of malaria and STH infections among school-age children in the </w:t>
      </w:r>
      <w:proofErr w:type="spellStart"/>
      <w:r w:rsidRPr="003C7672">
        <w:rPr>
          <w:rFonts w:ascii="Times New Roman" w:hAnsi="Times New Roman" w:cs="Times New Roman"/>
          <w:sz w:val="24"/>
          <w:szCs w:val="24"/>
        </w:rPr>
        <w:t>Uwanna</w:t>
      </w:r>
      <w:proofErr w:type="spellEnd"/>
      <w:r w:rsidRPr="003C7672">
        <w:rPr>
          <w:rFonts w:ascii="Times New Roman" w:hAnsi="Times New Roman" w:cs="Times New Roman"/>
          <w:sz w:val="24"/>
          <w:szCs w:val="24"/>
        </w:rPr>
        <w:t xml:space="preserve"> community and evaluates the impact of the school-based albendazole MDA.</w:t>
      </w:r>
    </w:p>
    <w:p w14:paraId="063DE46C" w14:textId="77777777" w:rsidR="00A45649" w:rsidRPr="003C7672" w:rsidRDefault="00021F59" w:rsidP="00021F59">
      <w:pPr>
        <w:spacing w:before="100" w:beforeAutospacing="1" w:after="100" w:afterAutospacing="1" w:line="240" w:lineRule="auto"/>
        <w:rPr>
          <w:rFonts w:ascii="Times New Roman" w:eastAsia="Times New Roman" w:hAnsi="Times New Roman" w:cs="Times New Roman"/>
          <w:b/>
          <w:sz w:val="24"/>
          <w:szCs w:val="24"/>
        </w:rPr>
      </w:pPr>
      <w:r w:rsidRPr="003C7672">
        <w:rPr>
          <w:rFonts w:ascii="Times New Roman" w:eastAsia="Times New Roman" w:hAnsi="Times New Roman" w:cs="Times New Roman"/>
          <w:b/>
          <w:sz w:val="24"/>
          <w:szCs w:val="24"/>
        </w:rPr>
        <w:t>METHODOLOGY</w:t>
      </w:r>
    </w:p>
    <w:p w14:paraId="0F70A57B" w14:textId="77777777" w:rsidR="00A45649" w:rsidRPr="003C7672" w:rsidRDefault="00A45649" w:rsidP="00021F59">
      <w:pPr>
        <w:spacing w:after="0" w:line="240" w:lineRule="auto"/>
        <w:rPr>
          <w:rFonts w:ascii="Times New Roman" w:eastAsia="Times New Roman" w:hAnsi="Times New Roman" w:cs="Times New Roman"/>
          <w:b/>
          <w:sz w:val="24"/>
          <w:szCs w:val="24"/>
        </w:rPr>
      </w:pPr>
      <w:r w:rsidRPr="003C7672">
        <w:rPr>
          <w:rFonts w:ascii="Times New Roman" w:eastAsia="Times New Roman" w:hAnsi="Times New Roman" w:cs="Times New Roman"/>
          <w:b/>
          <w:sz w:val="24"/>
          <w:szCs w:val="24"/>
        </w:rPr>
        <w:t>Description of Study Area</w:t>
      </w:r>
    </w:p>
    <w:p w14:paraId="6F891388" w14:textId="425F449D" w:rsidR="00A45649" w:rsidRPr="003C7672" w:rsidRDefault="0034587C" w:rsidP="00A45649">
      <w:pPr>
        <w:spacing w:after="0" w:line="360" w:lineRule="auto"/>
        <w:jc w:val="both"/>
        <w:rPr>
          <w:rFonts w:ascii="Times New Roman" w:hAnsi="Times New Roman" w:cs="Times New Roman"/>
          <w:color w:val="1C1C1C"/>
          <w:sz w:val="24"/>
          <w:szCs w:val="24"/>
          <w:shd w:val="clear" w:color="auto" w:fill="FFFFFF"/>
        </w:rPr>
      </w:pPr>
      <w:r w:rsidRPr="003C7672">
        <w:rPr>
          <w:rFonts w:ascii="Times New Roman" w:hAnsi="Times New Roman" w:cs="Times New Roman"/>
          <w:color w:val="1C1C1C"/>
          <w:sz w:val="24"/>
          <w:szCs w:val="24"/>
          <w:shd w:val="clear" w:color="auto" w:fill="FFFFFF"/>
        </w:rPr>
        <w:t xml:space="preserve">The study was conducted in the Unwana community, located in the </w:t>
      </w:r>
      <w:proofErr w:type="spellStart"/>
      <w:r w:rsidRPr="003C7672">
        <w:rPr>
          <w:rFonts w:ascii="Times New Roman" w:hAnsi="Times New Roman" w:cs="Times New Roman"/>
          <w:color w:val="1C1C1C"/>
          <w:sz w:val="24"/>
          <w:szCs w:val="24"/>
          <w:shd w:val="clear" w:color="auto" w:fill="FFFFFF"/>
        </w:rPr>
        <w:t>Afikpo</w:t>
      </w:r>
      <w:proofErr w:type="spellEnd"/>
      <w:r w:rsidRPr="003C7672">
        <w:rPr>
          <w:rFonts w:ascii="Times New Roman" w:hAnsi="Times New Roman" w:cs="Times New Roman"/>
          <w:color w:val="1C1C1C"/>
          <w:sz w:val="24"/>
          <w:szCs w:val="24"/>
          <w:shd w:val="clear" w:color="auto" w:fill="FFFFFF"/>
        </w:rPr>
        <w:t xml:space="preserve"> North Local Government Area of Ebonyi State, Nigeria. This community spans approximately 190 square kilometers and is situated at a latitude of 5.053° N and a longitude of 7.056° E. The vegetation in Unwana features a combination of open grassland and tropical rainforest. The main occupation of the residents is farming, as the climate supports the cultivation of crops such as rice, yams, and cassava. The Unwana community is divided into four constituencies: </w:t>
      </w:r>
      <w:proofErr w:type="spellStart"/>
      <w:r w:rsidRPr="003C7672">
        <w:rPr>
          <w:rFonts w:ascii="Times New Roman" w:hAnsi="Times New Roman" w:cs="Times New Roman"/>
          <w:color w:val="1C1C1C"/>
          <w:sz w:val="24"/>
          <w:szCs w:val="24"/>
          <w:shd w:val="clear" w:color="auto" w:fill="FFFFFF"/>
        </w:rPr>
        <w:t>Ndemyi</w:t>
      </w:r>
      <w:proofErr w:type="spellEnd"/>
      <w:r w:rsidRPr="003C7672">
        <w:rPr>
          <w:rFonts w:ascii="Times New Roman" w:hAnsi="Times New Roman" w:cs="Times New Roman"/>
          <w:color w:val="1C1C1C"/>
          <w:sz w:val="24"/>
          <w:szCs w:val="24"/>
          <w:shd w:val="clear" w:color="auto" w:fill="FFFFFF"/>
        </w:rPr>
        <w:t xml:space="preserve">, </w:t>
      </w:r>
      <w:proofErr w:type="spellStart"/>
      <w:r w:rsidRPr="003C7672">
        <w:rPr>
          <w:rFonts w:ascii="Times New Roman" w:hAnsi="Times New Roman" w:cs="Times New Roman"/>
          <w:color w:val="1C1C1C"/>
          <w:sz w:val="24"/>
          <w:szCs w:val="24"/>
          <w:shd w:val="clear" w:color="auto" w:fill="FFFFFF"/>
        </w:rPr>
        <w:t>Amagu</w:t>
      </w:r>
      <w:proofErr w:type="spellEnd"/>
      <w:r w:rsidRPr="003C7672">
        <w:rPr>
          <w:rFonts w:ascii="Times New Roman" w:hAnsi="Times New Roman" w:cs="Times New Roman"/>
          <w:color w:val="1C1C1C"/>
          <w:sz w:val="24"/>
          <w:szCs w:val="24"/>
          <w:shd w:val="clear" w:color="auto" w:fill="FFFFFF"/>
        </w:rPr>
        <w:t xml:space="preserve">, </w:t>
      </w:r>
      <w:proofErr w:type="spellStart"/>
      <w:r w:rsidRPr="003C7672">
        <w:rPr>
          <w:rFonts w:ascii="Times New Roman" w:hAnsi="Times New Roman" w:cs="Times New Roman"/>
          <w:color w:val="1C1C1C"/>
          <w:sz w:val="24"/>
          <w:szCs w:val="24"/>
          <w:shd w:val="clear" w:color="auto" w:fill="FFFFFF"/>
        </w:rPr>
        <w:t>Uhuetiti</w:t>
      </w:r>
      <w:proofErr w:type="spellEnd"/>
      <w:r w:rsidRPr="003C7672">
        <w:rPr>
          <w:rFonts w:ascii="Times New Roman" w:hAnsi="Times New Roman" w:cs="Times New Roman"/>
          <w:color w:val="1C1C1C"/>
          <w:sz w:val="24"/>
          <w:szCs w:val="24"/>
          <w:shd w:val="clear" w:color="auto" w:fill="FFFFFF"/>
        </w:rPr>
        <w:t xml:space="preserve">, and </w:t>
      </w:r>
      <w:proofErr w:type="spellStart"/>
      <w:r w:rsidRPr="003C7672">
        <w:rPr>
          <w:rFonts w:ascii="Times New Roman" w:hAnsi="Times New Roman" w:cs="Times New Roman"/>
          <w:color w:val="1C1C1C"/>
          <w:sz w:val="24"/>
          <w:szCs w:val="24"/>
          <w:shd w:val="clear" w:color="auto" w:fill="FFFFFF"/>
        </w:rPr>
        <w:t>Amaekwu</w:t>
      </w:r>
      <w:proofErr w:type="spellEnd"/>
      <w:r w:rsidRPr="003C7672">
        <w:rPr>
          <w:rFonts w:ascii="Times New Roman" w:hAnsi="Times New Roman" w:cs="Times New Roman"/>
          <w:color w:val="1C1C1C"/>
          <w:sz w:val="24"/>
          <w:szCs w:val="24"/>
          <w:shd w:val="clear" w:color="auto" w:fill="FFFFFF"/>
        </w:rPr>
        <w:t xml:space="preserve"> (</w:t>
      </w:r>
      <w:proofErr w:type="spellStart"/>
      <w:r w:rsidRPr="003C7672">
        <w:rPr>
          <w:rFonts w:ascii="Times New Roman" w:hAnsi="Times New Roman" w:cs="Times New Roman"/>
          <w:color w:val="1C1C1C"/>
          <w:sz w:val="24"/>
          <w:szCs w:val="24"/>
          <w:shd w:val="clear" w:color="auto" w:fill="FFFFFF"/>
        </w:rPr>
        <w:t>Ndukwe</w:t>
      </w:r>
      <w:proofErr w:type="spellEnd"/>
      <w:r w:rsidRPr="003C7672">
        <w:rPr>
          <w:rFonts w:ascii="Times New Roman" w:hAnsi="Times New Roman" w:cs="Times New Roman"/>
          <w:color w:val="1C1C1C"/>
          <w:sz w:val="24"/>
          <w:szCs w:val="24"/>
          <w:shd w:val="clear" w:color="auto" w:fill="FFFFFF"/>
        </w:rPr>
        <w:t xml:space="preserve"> et al., 2020). </w:t>
      </w:r>
      <w:r w:rsidR="00CB1591" w:rsidRPr="003C7672">
        <w:rPr>
          <w:rFonts w:ascii="Times New Roman" w:hAnsi="Times New Roman" w:cs="Times New Roman"/>
          <w:color w:val="1C1C1C"/>
          <w:sz w:val="24"/>
          <w:szCs w:val="24"/>
          <w:shd w:val="clear" w:color="auto" w:fill="FFFFFF"/>
        </w:rPr>
        <w:t>Map 1</w:t>
      </w:r>
      <w:r w:rsidRPr="003C7672">
        <w:rPr>
          <w:rFonts w:ascii="Times New Roman" w:hAnsi="Times New Roman" w:cs="Times New Roman"/>
          <w:color w:val="1C1C1C"/>
          <w:sz w:val="24"/>
          <w:szCs w:val="24"/>
          <w:shd w:val="clear" w:color="auto" w:fill="FFFFFF"/>
        </w:rPr>
        <w:t xml:space="preserve"> displays a map of </w:t>
      </w:r>
      <w:proofErr w:type="spellStart"/>
      <w:r w:rsidRPr="003C7672">
        <w:rPr>
          <w:rFonts w:ascii="Times New Roman" w:hAnsi="Times New Roman" w:cs="Times New Roman"/>
          <w:color w:val="1C1C1C"/>
          <w:sz w:val="24"/>
          <w:szCs w:val="24"/>
          <w:shd w:val="clear" w:color="auto" w:fill="FFFFFF"/>
        </w:rPr>
        <w:t>Afikpo</w:t>
      </w:r>
      <w:proofErr w:type="spellEnd"/>
      <w:r w:rsidRPr="003C7672">
        <w:rPr>
          <w:rFonts w:ascii="Times New Roman" w:hAnsi="Times New Roman" w:cs="Times New Roman"/>
          <w:color w:val="1C1C1C"/>
          <w:sz w:val="24"/>
          <w:szCs w:val="24"/>
          <w:shd w:val="clear" w:color="auto" w:fill="FFFFFF"/>
        </w:rPr>
        <w:t xml:space="preserve"> North LGA, highlighting the location of the Unwana community.</w:t>
      </w:r>
    </w:p>
    <w:p w14:paraId="78BF3CEB" w14:textId="77777777" w:rsidR="00A45649" w:rsidRPr="003C7672" w:rsidRDefault="00A45649" w:rsidP="00A45649">
      <w:pPr>
        <w:spacing w:after="0" w:line="360" w:lineRule="auto"/>
        <w:jc w:val="both"/>
        <w:rPr>
          <w:rFonts w:ascii="Times New Roman" w:hAnsi="Times New Roman" w:cs="Times New Roman"/>
          <w:color w:val="1C1C1C"/>
          <w:sz w:val="24"/>
          <w:szCs w:val="24"/>
          <w:shd w:val="clear" w:color="auto" w:fill="FFFFFF"/>
        </w:rPr>
      </w:pPr>
    </w:p>
    <w:p w14:paraId="5B90EE98" w14:textId="77777777" w:rsidR="00A45649" w:rsidRPr="003C7672" w:rsidRDefault="00A45649" w:rsidP="00A45649">
      <w:pPr>
        <w:spacing w:after="0" w:line="360" w:lineRule="auto"/>
        <w:jc w:val="both"/>
        <w:rPr>
          <w:rFonts w:ascii="Times New Roman" w:hAnsi="Times New Roman" w:cs="Times New Roman"/>
          <w:color w:val="1C1C1C"/>
          <w:sz w:val="24"/>
          <w:szCs w:val="24"/>
          <w:shd w:val="clear" w:color="auto" w:fill="FFFFFF"/>
        </w:rPr>
      </w:pPr>
    </w:p>
    <w:p w14:paraId="621E145C" w14:textId="77777777" w:rsidR="00A45649" w:rsidRPr="003C7672" w:rsidRDefault="00A45649" w:rsidP="00A45649">
      <w:pPr>
        <w:spacing w:after="0" w:line="360" w:lineRule="auto"/>
        <w:jc w:val="both"/>
        <w:rPr>
          <w:rFonts w:ascii="Times New Roman" w:hAnsi="Times New Roman" w:cs="Times New Roman"/>
          <w:color w:val="1C1C1C"/>
          <w:sz w:val="24"/>
          <w:szCs w:val="24"/>
          <w:shd w:val="clear" w:color="auto" w:fill="FFFFFF"/>
        </w:rPr>
      </w:pPr>
    </w:p>
    <w:p w14:paraId="36FFF0C7" w14:textId="77777777" w:rsidR="00A45649" w:rsidRPr="003C7672" w:rsidRDefault="00A45649" w:rsidP="00A45649">
      <w:pPr>
        <w:spacing w:after="0" w:line="360" w:lineRule="auto"/>
        <w:jc w:val="both"/>
        <w:rPr>
          <w:rFonts w:ascii="Times New Roman" w:hAnsi="Times New Roman" w:cs="Times New Roman"/>
          <w:color w:val="1C1C1C"/>
          <w:sz w:val="24"/>
          <w:szCs w:val="24"/>
          <w:shd w:val="clear" w:color="auto" w:fill="FFFFFF"/>
        </w:rPr>
      </w:pPr>
    </w:p>
    <w:p w14:paraId="13C4D697" w14:textId="77777777" w:rsidR="00A45649" w:rsidRPr="003C7672" w:rsidRDefault="00A45649" w:rsidP="00A45649">
      <w:pPr>
        <w:spacing w:after="0" w:line="360" w:lineRule="auto"/>
        <w:jc w:val="both"/>
        <w:rPr>
          <w:rFonts w:ascii="Times New Roman" w:hAnsi="Times New Roman" w:cs="Times New Roman"/>
          <w:color w:val="1C1C1C"/>
          <w:sz w:val="24"/>
          <w:szCs w:val="24"/>
          <w:shd w:val="clear" w:color="auto" w:fill="FFFFFF"/>
        </w:rPr>
      </w:pPr>
    </w:p>
    <w:p w14:paraId="01691F99" w14:textId="77777777" w:rsidR="00A45649" w:rsidRPr="003C7672" w:rsidRDefault="00A45649" w:rsidP="00A45649">
      <w:pPr>
        <w:spacing w:after="0" w:line="360" w:lineRule="auto"/>
        <w:jc w:val="both"/>
        <w:rPr>
          <w:rFonts w:ascii="Times New Roman" w:hAnsi="Times New Roman" w:cs="Times New Roman"/>
          <w:sz w:val="24"/>
          <w:szCs w:val="24"/>
        </w:rPr>
      </w:pPr>
    </w:p>
    <w:p w14:paraId="38EDE1A9" w14:textId="77777777" w:rsidR="00A45649" w:rsidRPr="003C7672" w:rsidRDefault="00A45649" w:rsidP="00A45649">
      <w:pPr>
        <w:spacing w:after="0" w:line="360" w:lineRule="auto"/>
        <w:jc w:val="both"/>
        <w:rPr>
          <w:rFonts w:ascii="Times New Roman" w:hAnsi="Times New Roman" w:cs="Times New Roman"/>
          <w:sz w:val="24"/>
          <w:szCs w:val="24"/>
        </w:rPr>
      </w:pPr>
    </w:p>
    <w:p w14:paraId="18F6E943" w14:textId="77777777" w:rsidR="00A45649" w:rsidRPr="003C7672" w:rsidRDefault="00A45649" w:rsidP="00A45649">
      <w:pPr>
        <w:spacing w:after="0" w:line="360" w:lineRule="auto"/>
        <w:jc w:val="both"/>
        <w:rPr>
          <w:rFonts w:ascii="Times New Roman" w:hAnsi="Times New Roman" w:cs="Times New Roman"/>
          <w:sz w:val="24"/>
          <w:szCs w:val="24"/>
        </w:rPr>
      </w:pPr>
    </w:p>
    <w:p w14:paraId="535F7E9D" w14:textId="77777777" w:rsidR="00A45649" w:rsidRPr="003C7672" w:rsidRDefault="00A45649" w:rsidP="00A45649">
      <w:pPr>
        <w:spacing w:after="0" w:line="360" w:lineRule="auto"/>
        <w:jc w:val="both"/>
        <w:rPr>
          <w:rFonts w:ascii="Times New Roman" w:hAnsi="Times New Roman" w:cs="Times New Roman"/>
          <w:sz w:val="24"/>
          <w:szCs w:val="24"/>
        </w:rPr>
      </w:pPr>
    </w:p>
    <w:p w14:paraId="11892D9F" w14:textId="77777777" w:rsidR="00A45649" w:rsidRPr="003C7672" w:rsidRDefault="00A45649" w:rsidP="00A45649">
      <w:pPr>
        <w:spacing w:after="0" w:line="360" w:lineRule="auto"/>
        <w:jc w:val="both"/>
        <w:rPr>
          <w:rFonts w:ascii="Times New Roman" w:hAnsi="Times New Roman" w:cs="Times New Roman"/>
          <w:sz w:val="24"/>
          <w:szCs w:val="24"/>
        </w:rPr>
      </w:pPr>
    </w:p>
    <w:p w14:paraId="56A7E568" w14:textId="77777777" w:rsidR="00A45649" w:rsidRPr="003C7672" w:rsidRDefault="00A45649" w:rsidP="00A45649">
      <w:pPr>
        <w:spacing w:after="0" w:line="360" w:lineRule="auto"/>
        <w:jc w:val="both"/>
        <w:rPr>
          <w:rFonts w:ascii="Times New Roman" w:hAnsi="Times New Roman" w:cs="Times New Roman"/>
          <w:sz w:val="24"/>
          <w:szCs w:val="24"/>
        </w:rPr>
      </w:pPr>
    </w:p>
    <w:p w14:paraId="0218ACEA" w14:textId="77777777" w:rsidR="00A45649" w:rsidRPr="003C7672" w:rsidRDefault="00A45649" w:rsidP="00A45649">
      <w:pPr>
        <w:spacing w:after="0" w:line="360" w:lineRule="auto"/>
        <w:rPr>
          <w:rFonts w:ascii="Times New Roman" w:eastAsia="Times New Roman" w:hAnsi="Times New Roman" w:cs="Times New Roman"/>
          <w:b/>
          <w:sz w:val="24"/>
          <w:szCs w:val="24"/>
        </w:rPr>
      </w:pPr>
      <w:r w:rsidRPr="003C7672">
        <w:rPr>
          <w:rFonts w:ascii="Times New Roman" w:eastAsia="Times New Roman" w:hAnsi="Times New Roman" w:cs="Times New Roman"/>
          <w:b/>
          <w:noProof/>
          <w:sz w:val="24"/>
          <w:szCs w:val="24"/>
        </w:rPr>
        <w:lastRenderedPageBreak/>
        <w:drawing>
          <wp:inline distT="0" distB="0" distL="0" distR="0" wp14:anchorId="41A1161B" wp14:editId="5BD9EC43">
            <wp:extent cx="5401945" cy="3017520"/>
            <wp:effectExtent l="0" t="0" r="8255" b="0"/>
            <wp:docPr id="9" name="Picture 9" descr="C:\Users\Profil1\Downloads\MAP OF AFIKPO NOR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rofil1\Downloads\MAP OF AFIKPO NORTH.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9726" cy="3021867"/>
                    </a:xfrm>
                    <a:prstGeom prst="rect">
                      <a:avLst/>
                    </a:prstGeom>
                    <a:noFill/>
                    <a:ln>
                      <a:noFill/>
                    </a:ln>
                  </pic:spPr>
                </pic:pic>
              </a:graphicData>
            </a:graphic>
          </wp:inline>
        </w:drawing>
      </w:r>
    </w:p>
    <w:p w14:paraId="07AE303A" w14:textId="5D25879B" w:rsidR="00A45649" w:rsidRPr="003C7672" w:rsidRDefault="00CB1591" w:rsidP="00A45649">
      <w:pPr>
        <w:spacing w:after="0"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b/>
          <w:sz w:val="24"/>
          <w:szCs w:val="24"/>
        </w:rPr>
        <w:t>Map</w:t>
      </w:r>
      <w:r w:rsidR="00A45649" w:rsidRPr="003C7672">
        <w:rPr>
          <w:rFonts w:ascii="Times New Roman" w:eastAsia="Times New Roman" w:hAnsi="Times New Roman" w:cs="Times New Roman"/>
          <w:b/>
          <w:sz w:val="24"/>
          <w:szCs w:val="24"/>
        </w:rPr>
        <w:t xml:space="preserve"> 1: </w:t>
      </w:r>
      <w:r w:rsidR="00A45649" w:rsidRPr="003C7672">
        <w:rPr>
          <w:rFonts w:ascii="Times New Roman" w:eastAsia="Times New Roman" w:hAnsi="Times New Roman" w:cs="Times New Roman"/>
          <w:sz w:val="24"/>
          <w:szCs w:val="24"/>
        </w:rPr>
        <w:t xml:space="preserve">Map of </w:t>
      </w:r>
      <w:proofErr w:type="spellStart"/>
      <w:r w:rsidR="00A45649" w:rsidRPr="003C7672">
        <w:rPr>
          <w:rFonts w:ascii="Times New Roman" w:eastAsia="Times New Roman" w:hAnsi="Times New Roman" w:cs="Times New Roman"/>
          <w:sz w:val="24"/>
          <w:szCs w:val="24"/>
        </w:rPr>
        <w:t>Afikpo</w:t>
      </w:r>
      <w:proofErr w:type="spellEnd"/>
      <w:r w:rsidR="00A45649" w:rsidRPr="003C7672">
        <w:rPr>
          <w:rFonts w:ascii="Times New Roman" w:eastAsia="Times New Roman" w:hAnsi="Times New Roman" w:cs="Times New Roman"/>
          <w:sz w:val="24"/>
          <w:szCs w:val="24"/>
        </w:rPr>
        <w:t xml:space="preserve"> North Local Government Area, Ebonyi State, depicting the Unwana Community. Modi</w:t>
      </w:r>
      <w:r w:rsidR="00752237" w:rsidRPr="003C7672">
        <w:rPr>
          <w:rFonts w:ascii="Times New Roman" w:eastAsia="Times New Roman" w:hAnsi="Times New Roman" w:cs="Times New Roman"/>
          <w:sz w:val="24"/>
          <w:szCs w:val="24"/>
        </w:rPr>
        <w:t xml:space="preserve">fied from </w:t>
      </w:r>
      <w:r w:rsidR="00752237" w:rsidRPr="003C7672">
        <w:rPr>
          <w:rFonts w:ascii="Times New Roman" w:eastAsia="Times New Roman" w:hAnsi="Times New Roman" w:cs="Times New Roman"/>
          <w:sz w:val="24"/>
          <w:szCs w:val="24"/>
        </w:rPr>
        <w:fldChar w:fldCharType="begin"/>
      </w:r>
      <w:r w:rsidR="00752237" w:rsidRPr="003C7672">
        <w:rPr>
          <w:rFonts w:ascii="Times New Roman" w:eastAsia="Times New Roman" w:hAnsi="Times New Roman" w:cs="Times New Roman"/>
          <w:sz w:val="24"/>
          <w:szCs w:val="24"/>
        </w:rPr>
        <w:instrText xml:space="preserve"> ADDIN ZOTERO_ITEM CSL_CITATION {"citationID":"qcleHg5F","properties":{"formattedCitation":"(Uneke &amp; Nwani, 2013)","plainCitation":"(Uneke &amp; Nwani, 2013)","noteIndex":0},"citationItems":[{"id":217,"uris":["http://zotero.org/users/18437197/items/4SD3CT9L"],"itemData":{"id":217,"type":"article-journal","abstract":"A total number of 4044 specimens, comprising 2342 females and 1702 males of Tilapia zilli were caught from midCross river basin. There were significantly more females than males with the sex ratio of 1:1.4 for T. zilli (χ2 =101.29, df = 1, P &amp;lt; 0.05). Statistical analysis revealed that there were significant differences in the M: F sex ratio ofT. zilli in all the four gonad maturation stages, immature stage, mature stage, ripe stage and spent stage.Gonadosomatic index ranged between 0.3 and 19.5 with a mean of 3.16 ± 0.46 for males and 7.44 ± 1.85 forfemales. Fecundity of T. zilli ranged from 628 to 3631 with a mean of 1583 ± 898 eggs. The fertility co-efficient forthe fish was 0.30 ± 0.08. The smallest sexually mature female of T. zilli was 11.0cm TL. VPA results for T. zilliindicated one peak of fishing mortality (F) (0.99yr-1). The peak of F occurred in the length class 13.0 to 14.0cm TL.Catch in number was 1210881 and population of survivors was 13019479.59. Recruitment to fishery was77075319.18. Reproduction of T. zilli population is successful and the population structure indicates a species thatis well adapted.","container-title":"Nigerian Journal of Fisheries","ISSN":"1597-443X","issue":"1_2","language":"en","license":"Copyright (c) 2025 Nigerian Journal of Fisheries","page":"642-652","source":"fisonjournal.org.ng","title":"REPRODUCTIVE DYNAMICS AND VIRTUAL POPULATION ANALYSIS (VPA) OF Tilapia zilli (PERCIFORMES: CICHLIDAE) IN A TROPICAL FLOOD RIVER BASIN","title-short":"REPRODUCTIVE DYNAMICS AND VIRTUAL POPULATION ANALYSIS (VPA) OF Tilapia zilli (PERCIFORMES","URL":"https://fisonjournal.org.ng/index.php/njf/article/view/228","volume":"10","author":[{"family":"Uneke","given":"B. I."},{"family":"Nwani","given":"C. D."}],"accessed":{"date-parts":[["2026",3,29]]},"issued":{"date-parts":[["2013",6,1]]}}}],"schema":"https://github.com/citation-style-language/schema/raw/master/csl-citation.json"} </w:instrText>
      </w:r>
      <w:r w:rsidR="00752237" w:rsidRPr="003C7672">
        <w:rPr>
          <w:rFonts w:ascii="Times New Roman" w:eastAsia="Times New Roman" w:hAnsi="Times New Roman" w:cs="Times New Roman"/>
          <w:sz w:val="24"/>
          <w:szCs w:val="24"/>
        </w:rPr>
        <w:fldChar w:fldCharType="separate"/>
      </w:r>
      <w:r w:rsidR="00752237" w:rsidRPr="003C7672">
        <w:rPr>
          <w:rFonts w:ascii="Times New Roman" w:hAnsi="Times New Roman" w:cs="Times New Roman"/>
          <w:sz w:val="24"/>
        </w:rPr>
        <w:t>(Uneke &amp; Nwani, 2013)</w:t>
      </w:r>
      <w:r w:rsidR="00752237" w:rsidRPr="003C7672">
        <w:rPr>
          <w:rFonts w:ascii="Times New Roman" w:eastAsia="Times New Roman" w:hAnsi="Times New Roman" w:cs="Times New Roman"/>
          <w:sz w:val="24"/>
          <w:szCs w:val="24"/>
        </w:rPr>
        <w:fldChar w:fldCharType="end"/>
      </w:r>
      <w:r w:rsidR="00A45649" w:rsidRPr="003C7672">
        <w:rPr>
          <w:rFonts w:ascii="Times New Roman" w:eastAsia="Times New Roman" w:hAnsi="Times New Roman" w:cs="Times New Roman"/>
          <w:sz w:val="24"/>
          <w:szCs w:val="24"/>
        </w:rPr>
        <w:t>.</w:t>
      </w:r>
    </w:p>
    <w:p w14:paraId="407CE2C9" w14:textId="77777777" w:rsidR="00A45649" w:rsidRPr="003C7672" w:rsidRDefault="00A45649" w:rsidP="00A45649">
      <w:pPr>
        <w:spacing w:before="100" w:beforeAutospacing="1" w:after="100" w:afterAutospacing="1" w:line="360" w:lineRule="auto"/>
        <w:jc w:val="both"/>
        <w:rPr>
          <w:rFonts w:ascii="Times New Roman" w:eastAsia="Times New Roman" w:hAnsi="Times New Roman" w:cs="Times New Roman"/>
          <w:sz w:val="24"/>
          <w:szCs w:val="24"/>
        </w:rPr>
      </w:pPr>
      <w:r w:rsidRPr="003C7672">
        <w:rPr>
          <w:rFonts w:ascii="Times New Roman" w:eastAsia="Times New Roman" w:hAnsi="Times New Roman" w:cs="Times New Roman"/>
          <w:b/>
          <w:sz w:val="24"/>
          <w:szCs w:val="24"/>
        </w:rPr>
        <w:t>Study Population and Sample Size Determination:</w:t>
      </w:r>
      <w:r w:rsidRPr="003C7672">
        <w:t xml:space="preserve"> </w:t>
      </w:r>
      <w:r w:rsidRPr="003C7672">
        <w:rPr>
          <w:rFonts w:ascii="Times New Roman" w:eastAsia="Times New Roman" w:hAnsi="Times New Roman" w:cs="Times New Roman"/>
          <w:sz w:val="24"/>
          <w:szCs w:val="24"/>
        </w:rPr>
        <w:t xml:space="preserve">The study population included primary school children aged 5 to 15 years who attended public primary schools in the </w:t>
      </w:r>
      <w:proofErr w:type="spellStart"/>
      <w:r w:rsidRPr="003C7672">
        <w:rPr>
          <w:rFonts w:ascii="Times New Roman" w:eastAsia="Times New Roman" w:hAnsi="Times New Roman" w:cs="Times New Roman"/>
          <w:sz w:val="24"/>
          <w:szCs w:val="24"/>
        </w:rPr>
        <w:t>Ndemyi</w:t>
      </w:r>
      <w:proofErr w:type="spellEnd"/>
      <w:r w:rsidR="004F20E9" w:rsidRPr="003C7672">
        <w:rPr>
          <w:rFonts w:ascii="Times New Roman" w:eastAsia="Times New Roman" w:hAnsi="Times New Roman" w:cs="Times New Roman"/>
          <w:sz w:val="24"/>
          <w:szCs w:val="24"/>
        </w:rPr>
        <w:t xml:space="preserve"> (Lady Olayinka </w:t>
      </w:r>
      <w:proofErr w:type="spellStart"/>
      <w:r w:rsidR="004F20E9" w:rsidRPr="003C7672">
        <w:rPr>
          <w:rFonts w:ascii="Times New Roman" w:eastAsia="Times New Roman" w:hAnsi="Times New Roman" w:cs="Times New Roman"/>
          <w:sz w:val="24"/>
          <w:szCs w:val="24"/>
        </w:rPr>
        <w:t>Ibiam</w:t>
      </w:r>
      <w:proofErr w:type="spellEnd"/>
      <w:r w:rsidR="004F20E9" w:rsidRPr="003C7672">
        <w:rPr>
          <w:rFonts w:ascii="Times New Roman" w:eastAsia="Times New Roman" w:hAnsi="Times New Roman" w:cs="Times New Roman"/>
          <w:sz w:val="24"/>
          <w:szCs w:val="24"/>
        </w:rPr>
        <w:t xml:space="preserve"> Memorial Primary School- </w:t>
      </w:r>
      <w:r w:rsidR="004F20E9" w:rsidRPr="003C7672">
        <w:rPr>
          <w:rFonts w:ascii="Times New Roman" w:hAnsi="Times New Roman" w:cs="Times New Roman"/>
          <w:sz w:val="24"/>
          <w:szCs w:val="24"/>
        </w:rPr>
        <w:t>L.O.I.M.P.S)</w:t>
      </w:r>
      <w:r w:rsidRPr="003C7672">
        <w:rPr>
          <w:rFonts w:ascii="Times New Roman" w:eastAsia="Times New Roman" w:hAnsi="Times New Roman" w:cs="Times New Roman"/>
          <w:sz w:val="24"/>
          <w:szCs w:val="24"/>
        </w:rPr>
        <w:t xml:space="preserve">, </w:t>
      </w:r>
      <w:proofErr w:type="spellStart"/>
      <w:r w:rsidRPr="003C7672">
        <w:rPr>
          <w:rFonts w:ascii="Times New Roman" w:eastAsia="Times New Roman" w:hAnsi="Times New Roman" w:cs="Times New Roman"/>
          <w:sz w:val="24"/>
          <w:szCs w:val="24"/>
        </w:rPr>
        <w:t>Amagu</w:t>
      </w:r>
      <w:proofErr w:type="spellEnd"/>
      <w:r w:rsidR="004F20E9" w:rsidRPr="003C7672">
        <w:rPr>
          <w:rFonts w:ascii="Times New Roman" w:eastAsia="Times New Roman" w:hAnsi="Times New Roman" w:cs="Times New Roman"/>
          <w:sz w:val="24"/>
          <w:szCs w:val="24"/>
        </w:rPr>
        <w:t xml:space="preserve"> (</w:t>
      </w:r>
      <w:proofErr w:type="spellStart"/>
      <w:r w:rsidR="004F20E9" w:rsidRPr="003C7672">
        <w:rPr>
          <w:rFonts w:ascii="Times New Roman" w:eastAsia="Times New Roman" w:hAnsi="Times New Roman" w:cs="Times New Roman"/>
          <w:sz w:val="24"/>
          <w:szCs w:val="24"/>
        </w:rPr>
        <w:t>Unwana</w:t>
      </w:r>
      <w:proofErr w:type="spellEnd"/>
      <w:r w:rsidR="004F20E9" w:rsidRPr="003C7672">
        <w:rPr>
          <w:rFonts w:ascii="Times New Roman" w:eastAsia="Times New Roman" w:hAnsi="Times New Roman" w:cs="Times New Roman"/>
          <w:sz w:val="24"/>
          <w:szCs w:val="24"/>
        </w:rPr>
        <w:t xml:space="preserve"> Community Primary School I- </w:t>
      </w:r>
      <w:r w:rsidR="004F20E9" w:rsidRPr="003C7672">
        <w:rPr>
          <w:rFonts w:ascii="Times New Roman" w:hAnsi="Times New Roman" w:cs="Times New Roman"/>
          <w:sz w:val="24"/>
          <w:szCs w:val="24"/>
        </w:rPr>
        <w:t>U.C.P.S1)</w:t>
      </w:r>
      <w:r w:rsidRPr="003C7672">
        <w:rPr>
          <w:rFonts w:ascii="Times New Roman" w:eastAsia="Times New Roman" w:hAnsi="Times New Roman" w:cs="Times New Roman"/>
          <w:sz w:val="24"/>
          <w:szCs w:val="24"/>
        </w:rPr>
        <w:t xml:space="preserve">, and </w:t>
      </w:r>
      <w:proofErr w:type="spellStart"/>
      <w:r w:rsidRPr="003C7672">
        <w:rPr>
          <w:rFonts w:ascii="Times New Roman" w:eastAsia="Times New Roman" w:hAnsi="Times New Roman" w:cs="Times New Roman"/>
          <w:sz w:val="24"/>
          <w:szCs w:val="24"/>
        </w:rPr>
        <w:t>Uhuetiti</w:t>
      </w:r>
      <w:proofErr w:type="spellEnd"/>
      <w:r w:rsidR="004F20E9" w:rsidRPr="003C7672">
        <w:rPr>
          <w:rFonts w:ascii="Times New Roman" w:eastAsia="Times New Roman" w:hAnsi="Times New Roman" w:cs="Times New Roman"/>
          <w:sz w:val="24"/>
          <w:szCs w:val="24"/>
        </w:rPr>
        <w:t xml:space="preserve"> (</w:t>
      </w:r>
      <w:proofErr w:type="spellStart"/>
      <w:r w:rsidR="004F20E9" w:rsidRPr="003C7672">
        <w:rPr>
          <w:rFonts w:ascii="Times New Roman" w:eastAsia="Times New Roman" w:hAnsi="Times New Roman" w:cs="Times New Roman"/>
          <w:sz w:val="24"/>
          <w:szCs w:val="24"/>
        </w:rPr>
        <w:t>Unwana</w:t>
      </w:r>
      <w:proofErr w:type="spellEnd"/>
      <w:r w:rsidR="004F20E9" w:rsidRPr="003C7672">
        <w:rPr>
          <w:rFonts w:ascii="Times New Roman" w:eastAsia="Times New Roman" w:hAnsi="Times New Roman" w:cs="Times New Roman"/>
          <w:sz w:val="24"/>
          <w:szCs w:val="24"/>
        </w:rPr>
        <w:t xml:space="preserve"> Community Primary School 2-U.C.P.S. 2)</w:t>
      </w:r>
      <w:r w:rsidRPr="003C7672">
        <w:rPr>
          <w:rFonts w:ascii="Times New Roman" w:eastAsia="Times New Roman" w:hAnsi="Times New Roman" w:cs="Times New Roman"/>
          <w:sz w:val="24"/>
          <w:szCs w:val="24"/>
        </w:rPr>
        <w:t xml:space="preserve"> constituencies of the Unwana Community, located in the </w:t>
      </w:r>
      <w:proofErr w:type="spellStart"/>
      <w:r w:rsidRPr="003C7672">
        <w:rPr>
          <w:rFonts w:ascii="Times New Roman" w:eastAsia="Times New Roman" w:hAnsi="Times New Roman" w:cs="Times New Roman"/>
          <w:sz w:val="24"/>
          <w:szCs w:val="24"/>
        </w:rPr>
        <w:t>Afikpo</w:t>
      </w:r>
      <w:proofErr w:type="spellEnd"/>
      <w:r w:rsidRPr="003C7672">
        <w:rPr>
          <w:rFonts w:ascii="Times New Roman" w:eastAsia="Times New Roman" w:hAnsi="Times New Roman" w:cs="Times New Roman"/>
          <w:sz w:val="24"/>
          <w:szCs w:val="24"/>
        </w:rPr>
        <w:t xml:space="preserve"> North Local Government Area (LGA) of Ebonyi State</w:t>
      </w:r>
      <w:r w:rsidRPr="003C7672">
        <w:rPr>
          <w:rFonts w:ascii="Times New Roman" w:eastAsia="Times New Roman" w:hAnsi="Times New Roman" w:cs="Times New Roman"/>
          <w:b/>
          <w:sz w:val="24"/>
          <w:szCs w:val="24"/>
        </w:rPr>
        <w:t>.</w:t>
      </w:r>
      <w:r w:rsidRPr="003C7672">
        <w:rPr>
          <w:rFonts w:ascii="Times New Roman" w:eastAsia="Times New Roman" w:hAnsi="Times New Roman" w:cs="Times New Roman"/>
          <w:sz w:val="24"/>
          <w:szCs w:val="24"/>
        </w:rPr>
        <w:t xml:space="preserve"> This age group was selected because the children are currently receiving mass drug administration (MDA) of albendazole in the Local Government Area (LGA) and are also at risk of malaria infection. Students who received albendazole in the past six months were excluded from the study. The sample size was determined as shown below:</w:t>
      </w:r>
    </w:p>
    <w:p w14:paraId="12150EF5" w14:textId="77777777" w:rsidR="00A45649" w:rsidRPr="003C7672" w:rsidRDefault="00A45649" w:rsidP="00A45649">
      <w:pPr>
        <w:spacing w:before="100" w:beforeAutospacing="1" w:after="100" w:afterAutospacing="1" w:line="360" w:lineRule="auto"/>
        <w:jc w:val="both"/>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 xml:space="preserve"> Using the formula </w:t>
      </w:r>
      <m:oMath>
        <m:r>
          <w:rPr>
            <w:rFonts w:ascii="Cambria Math" w:eastAsia="Times New Roman" w:hAnsi="Cambria Math" w:cs="Times New Roman"/>
            <w:sz w:val="24"/>
            <w:szCs w:val="24"/>
          </w:rPr>
          <m:t>n=</m:t>
        </m:r>
        <m:f>
          <m:fPr>
            <m:ctrlPr>
              <w:rPr>
                <w:rFonts w:ascii="Cambria Math" w:eastAsia="Times New Roman" w:hAnsi="Cambria Math" w:cs="Times New Roman"/>
                <w:i/>
                <w:sz w:val="24"/>
                <w:szCs w:val="24"/>
              </w:rPr>
            </m:ctrlPr>
          </m:fPr>
          <m:num>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Z</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1-P</m:t>
                </m:r>
              </m:e>
            </m:d>
          </m:num>
          <m:den>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2</m:t>
                </m:r>
              </m:sup>
            </m:sSup>
          </m:den>
        </m:f>
      </m:oMath>
    </w:p>
    <w:p w14:paraId="4CEB7E4E" w14:textId="77777777" w:rsidR="00A45649" w:rsidRPr="003C7672" w:rsidRDefault="00A45649" w:rsidP="00A45649">
      <w:pPr>
        <w:spacing w:before="100" w:beforeAutospacing="1" w:after="100" w:afterAutospacing="1"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Where:</w:t>
      </w:r>
    </w:p>
    <w:p w14:paraId="0159641C" w14:textId="77777777" w:rsidR="00A45649" w:rsidRPr="003C7672" w:rsidRDefault="00A45649" w:rsidP="00A45649">
      <w:pPr>
        <w:spacing w:before="100" w:beforeAutospacing="1" w:after="100" w:afterAutospacing="1"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 xml:space="preserve">n=Z </w:t>
      </w:r>
      <w:r w:rsidR="006E1609" w:rsidRPr="003C7672">
        <w:rPr>
          <w:rFonts w:ascii="Times New Roman" w:eastAsia="Times New Roman" w:hAnsi="Times New Roman" w:cs="Times New Roman"/>
          <w:sz w:val="24"/>
          <w:szCs w:val="24"/>
        </w:rPr>
        <w:t xml:space="preserve">is </w:t>
      </w:r>
      <w:r w:rsidRPr="003C7672">
        <w:rPr>
          <w:rFonts w:ascii="Times New Roman" w:eastAsia="Times New Roman" w:hAnsi="Times New Roman" w:cs="Times New Roman"/>
          <w:sz w:val="24"/>
          <w:szCs w:val="24"/>
        </w:rPr>
        <w:t>the score that corresponds to 1.96 for a 95% confidence interval.</w:t>
      </w:r>
    </w:p>
    <w:p w14:paraId="5D623D9E" w14:textId="77777777" w:rsidR="0080304D" w:rsidRPr="003C7672" w:rsidRDefault="006E1609" w:rsidP="00A45649">
      <w:pPr>
        <w:spacing w:before="100" w:beforeAutospacing="1" w:after="100" w:afterAutospacing="1"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P =</w:t>
      </w:r>
      <w:r w:rsidR="00A45649" w:rsidRPr="003C7672">
        <w:rPr>
          <w:rFonts w:ascii="Times New Roman" w:eastAsia="Times New Roman" w:hAnsi="Times New Roman" w:cs="Times New Roman"/>
          <w:sz w:val="24"/>
          <w:szCs w:val="24"/>
        </w:rPr>
        <w:t xml:space="preserve"> </w:t>
      </w:r>
      <w:r w:rsidR="0080304D" w:rsidRPr="003C7672">
        <w:rPr>
          <w:rFonts w:ascii="Times New Roman" w:eastAsia="Times New Roman" w:hAnsi="Times New Roman" w:cs="Times New Roman"/>
          <w:sz w:val="24"/>
          <w:szCs w:val="24"/>
        </w:rPr>
        <w:t xml:space="preserve">Estimated prevalence of malaria and STH co-infection is 9.49%, as reported by </w:t>
      </w:r>
      <w:proofErr w:type="spellStart"/>
      <w:r w:rsidR="0080304D" w:rsidRPr="003C7672">
        <w:rPr>
          <w:rFonts w:ascii="Times New Roman" w:eastAsia="Times New Roman" w:hAnsi="Times New Roman" w:cs="Times New Roman"/>
          <w:sz w:val="24"/>
          <w:szCs w:val="24"/>
        </w:rPr>
        <w:t>Nwakaogor</w:t>
      </w:r>
      <w:proofErr w:type="spellEnd"/>
      <w:r w:rsidR="0080304D" w:rsidRPr="003C7672">
        <w:rPr>
          <w:rFonts w:ascii="Times New Roman" w:eastAsia="Times New Roman" w:hAnsi="Times New Roman" w:cs="Times New Roman"/>
          <w:sz w:val="24"/>
          <w:szCs w:val="24"/>
        </w:rPr>
        <w:t xml:space="preserve"> et al. (2024).</w:t>
      </w:r>
    </w:p>
    <w:p w14:paraId="1CE2C020" w14:textId="77777777" w:rsidR="00A45649" w:rsidRPr="003C7672" w:rsidRDefault="006E1609" w:rsidP="00A45649">
      <w:pPr>
        <w:spacing w:before="100" w:beforeAutospacing="1" w:after="100" w:afterAutospacing="1"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lastRenderedPageBreak/>
        <w:t>e =</w:t>
      </w:r>
      <w:r w:rsidR="00A45649" w:rsidRPr="003C7672">
        <w:rPr>
          <w:rFonts w:ascii="Times New Roman" w:eastAsia="Times New Roman" w:hAnsi="Times New Roman" w:cs="Times New Roman"/>
          <w:sz w:val="24"/>
          <w:szCs w:val="24"/>
        </w:rPr>
        <w:t xml:space="preserve"> Margin error of 5%.</w:t>
      </w:r>
    </w:p>
    <w:p w14:paraId="41F155E1" w14:textId="77777777" w:rsidR="00A45649" w:rsidRPr="003C7672" w:rsidRDefault="00A45649" w:rsidP="00A45649">
      <w:pPr>
        <w:spacing w:before="100" w:beforeAutospacing="1" w:after="100" w:afterAutospacing="1"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 xml:space="preserve">Therefore </w:t>
      </w:r>
      <m:oMath>
        <m:r>
          <w:rPr>
            <w:rFonts w:ascii="Cambria Math" w:eastAsia="Times New Roman" w:hAnsi="Cambria Math" w:cs="Times New Roman"/>
            <w:sz w:val="24"/>
            <w:szCs w:val="24"/>
          </w:rPr>
          <m:t>n=</m:t>
        </m:r>
        <m:f>
          <m:fPr>
            <m:ctrlPr>
              <w:rPr>
                <w:rFonts w:ascii="Cambria Math" w:eastAsia="Times New Roman" w:hAnsi="Cambria Math" w:cs="Times New Roman"/>
                <w:i/>
                <w:sz w:val="24"/>
                <w:szCs w:val="24"/>
              </w:rPr>
            </m:ctrlPr>
          </m:fPr>
          <m:num>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Z</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1-P</m:t>
                </m:r>
              </m:e>
            </m:d>
          </m:num>
          <m:den>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2</m:t>
                </m:r>
              </m:sup>
            </m:sSup>
          </m:den>
        </m:f>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3.8416×0.0949×0.9051</m:t>
            </m:r>
          </m:num>
          <m:den>
            <m:r>
              <w:rPr>
                <w:rFonts w:ascii="Cambria Math" w:eastAsia="Times New Roman" w:hAnsi="Cambria Math" w:cs="Times New Roman"/>
                <w:sz w:val="24"/>
                <w:szCs w:val="24"/>
              </w:rPr>
              <m:t>0.0025</m:t>
            </m:r>
          </m:den>
        </m:f>
        <m:r>
          <w:rPr>
            <w:rFonts w:ascii="Cambria Math" w:eastAsia="Times New Roman" w:hAnsi="Cambria Math" w:cs="Times New Roman"/>
            <w:sz w:val="24"/>
            <w:szCs w:val="24"/>
          </w:rPr>
          <m:t>=131.988≈132</m:t>
        </m:r>
      </m:oMath>
    </w:p>
    <w:p w14:paraId="627872CD" w14:textId="77777777" w:rsidR="00A45649" w:rsidRPr="003C7672" w:rsidRDefault="00A45649" w:rsidP="003829DB">
      <w:pPr>
        <w:spacing w:before="100" w:beforeAutospacing="1" w:after="100" w:afterAutospacing="1" w:line="360" w:lineRule="auto"/>
        <w:jc w:val="both"/>
        <w:rPr>
          <w:rFonts w:ascii="Times New Roman" w:eastAsia="Times New Roman" w:hAnsi="Times New Roman" w:cs="Times New Roman"/>
          <w:sz w:val="24"/>
          <w:szCs w:val="24"/>
        </w:rPr>
      </w:pPr>
      <w:r w:rsidRPr="003C7672">
        <w:rPr>
          <w:rFonts w:ascii="Times New Roman" w:eastAsia="Times New Roman" w:hAnsi="Times New Roman" w:cs="Times New Roman"/>
          <w:b/>
          <w:sz w:val="24"/>
          <w:szCs w:val="24"/>
        </w:rPr>
        <w:t>Study design:</w:t>
      </w:r>
      <w:r w:rsidRPr="003C7672">
        <w:rPr>
          <w:rFonts w:ascii="Times New Roman" w:eastAsia="Times New Roman" w:hAnsi="Times New Roman" w:cs="Times New Roman"/>
          <w:sz w:val="24"/>
          <w:szCs w:val="24"/>
        </w:rPr>
        <w:t xml:space="preserve"> The study was a cross-sectional analysis conducted from June to August 2025. Three community schools in the Unwana constituencies were sampled, and children from grades 1 to 6 were randomly selected to participate. The students were categorized into two groups for statistical analysis:</w:t>
      </w:r>
      <w:r w:rsidRPr="003C7672">
        <w:t xml:space="preserve"> </w:t>
      </w:r>
      <w:r w:rsidRPr="003C7672">
        <w:rPr>
          <w:rFonts w:ascii="Times New Roman" w:eastAsia="Times New Roman" w:hAnsi="Times New Roman" w:cs="Times New Roman"/>
          <w:sz w:val="24"/>
          <w:szCs w:val="24"/>
        </w:rPr>
        <w:t xml:space="preserve">Junior Primary includes grades 1 to 3, while Senior Primary covers grades 4 to 6. </w:t>
      </w:r>
    </w:p>
    <w:p w14:paraId="41D9090D" w14:textId="77777777" w:rsidR="003829DB" w:rsidRPr="003C7672" w:rsidRDefault="00A45649" w:rsidP="003829DB">
      <w:pPr>
        <w:spacing w:before="100" w:beforeAutospacing="1" w:after="100" w:afterAutospacing="1" w:line="360" w:lineRule="auto"/>
        <w:jc w:val="both"/>
        <w:rPr>
          <w:rFonts w:ascii="Times New Roman" w:eastAsia="Times New Roman" w:hAnsi="Times New Roman" w:cs="Times New Roman"/>
          <w:b/>
          <w:sz w:val="24"/>
          <w:szCs w:val="24"/>
        </w:rPr>
      </w:pPr>
      <w:r w:rsidRPr="003C7672">
        <w:rPr>
          <w:rFonts w:ascii="Times New Roman" w:eastAsia="Times New Roman" w:hAnsi="Times New Roman" w:cs="Times New Roman"/>
          <w:b/>
          <w:sz w:val="24"/>
          <w:szCs w:val="24"/>
        </w:rPr>
        <w:t xml:space="preserve">Data </w:t>
      </w:r>
      <w:r w:rsidR="003829DB" w:rsidRPr="003C7672">
        <w:rPr>
          <w:rFonts w:ascii="Times New Roman" w:eastAsia="Times New Roman" w:hAnsi="Times New Roman" w:cs="Times New Roman"/>
          <w:b/>
          <w:sz w:val="24"/>
          <w:szCs w:val="24"/>
        </w:rPr>
        <w:t>Collection</w:t>
      </w:r>
    </w:p>
    <w:p w14:paraId="3E3D04C0" w14:textId="77777777" w:rsidR="00A45649" w:rsidRPr="003C7672" w:rsidRDefault="00A45649" w:rsidP="003829DB">
      <w:pPr>
        <w:spacing w:before="100" w:beforeAutospacing="1" w:after="100" w:afterAutospacing="1" w:line="360" w:lineRule="auto"/>
        <w:jc w:val="both"/>
        <w:rPr>
          <w:rFonts w:ascii="Times New Roman" w:eastAsia="Times New Roman" w:hAnsi="Times New Roman" w:cs="Times New Roman"/>
          <w:b/>
          <w:sz w:val="24"/>
          <w:szCs w:val="24"/>
        </w:rPr>
      </w:pPr>
      <w:r w:rsidRPr="003C7672">
        <w:rPr>
          <w:rFonts w:ascii="Times New Roman" w:eastAsia="Times New Roman" w:hAnsi="Times New Roman" w:cs="Times New Roman"/>
          <w:b/>
          <w:sz w:val="24"/>
          <w:szCs w:val="24"/>
        </w:rPr>
        <w:t>Rapid Diagnostic Test for Malaria Screening:</w:t>
      </w:r>
      <w:r w:rsidRPr="003C7672">
        <w:rPr>
          <w:rFonts w:ascii="Times New Roman" w:eastAsia="Times New Roman" w:hAnsi="Times New Roman" w:cs="Times New Roman"/>
          <w:sz w:val="24"/>
          <w:szCs w:val="24"/>
        </w:rPr>
        <w:t xml:space="preserve"> </w:t>
      </w:r>
      <w:r w:rsidR="0080304D" w:rsidRPr="003C7672">
        <w:rPr>
          <w:rFonts w:ascii="Times New Roman" w:eastAsia="Times New Roman" w:hAnsi="Times New Roman" w:cs="Times New Roman"/>
          <w:sz w:val="24"/>
          <w:szCs w:val="24"/>
        </w:rPr>
        <w:t xml:space="preserve">This procedure was conducted as outlined by </w:t>
      </w:r>
      <w:proofErr w:type="spellStart"/>
      <w:r w:rsidR="0080304D" w:rsidRPr="003C7672">
        <w:rPr>
          <w:rFonts w:ascii="Times New Roman" w:eastAsia="Times New Roman" w:hAnsi="Times New Roman" w:cs="Times New Roman"/>
          <w:sz w:val="24"/>
          <w:szCs w:val="24"/>
        </w:rPr>
        <w:t>Nwele</w:t>
      </w:r>
      <w:proofErr w:type="spellEnd"/>
      <w:r w:rsidR="0080304D" w:rsidRPr="003C7672">
        <w:rPr>
          <w:rFonts w:ascii="Times New Roman" w:eastAsia="Times New Roman" w:hAnsi="Times New Roman" w:cs="Times New Roman"/>
          <w:sz w:val="24"/>
          <w:szCs w:val="24"/>
        </w:rPr>
        <w:t xml:space="preserve"> et al. (2022) </w:t>
      </w:r>
      <w:r w:rsidRPr="003C7672">
        <w:rPr>
          <w:rFonts w:ascii="Times New Roman" w:eastAsia="Times New Roman" w:hAnsi="Times New Roman" w:cs="Times New Roman"/>
          <w:sz w:val="24"/>
          <w:szCs w:val="24"/>
        </w:rPr>
        <w:t xml:space="preserve">using the Rapid Diagnostic Test kit (RDT; SD </w:t>
      </w:r>
      <w:proofErr w:type="spellStart"/>
      <w:r w:rsidRPr="003C7672">
        <w:rPr>
          <w:rFonts w:ascii="Times New Roman" w:eastAsia="Times New Roman" w:hAnsi="Times New Roman" w:cs="Times New Roman"/>
          <w:sz w:val="24"/>
          <w:szCs w:val="24"/>
        </w:rPr>
        <w:t>Bioline</w:t>
      </w:r>
      <w:proofErr w:type="spellEnd"/>
      <w:r w:rsidRPr="003C7672">
        <w:rPr>
          <w:rFonts w:ascii="Times New Roman" w:eastAsia="Times New Roman" w:hAnsi="Times New Roman" w:cs="Times New Roman"/>
          <w:sz w:val="24"/>
          <w:szCs w:val="24"/>
        </w:rPr>
        <w:t xml:space="preserve"> Malaria AG P.F/PAN kit, Standard Diagnostics, Seoul, Korea). Initially, the participant's fingertip was cleaned and allowed to air dry. A sterile lancet was then used to prick the cleaned finger, and a drop of blood was collected using a capillary device. This drop of blood was placed in the lower well of the RDT (Rapid Diagnostic Test) kit. Next, two drops of buffer solution were added to the blood in the lower well. After waiting fifteen minutes, the results were interpreted according to the manufacturer's instructions and the guidelines provided by the World Health Organization.</w:t>
      </w:r>
    </w:p>
    <w:p w14:paraId="45EC0919" w14:textId="77777777" w:rsidR="00A45649" w:rsidRPr="003C7672" w:rsidRDefault="00A45649" w:rsidP="003829DB">
      <w:pPr>
        <w:spacing w:before="100" w:beforeAutospacing="1" w:after="100" w:afterAutospacing="1" w:line="360" w:lineRule="auto"/>
        <w:jc w:val="both"/>
        <w:rPr>
          <w:rFonts w:ascii="Times New Roman" w:hAnsi="Times New Roman" w:cs="Times New Roman"/>
          <w:color w:val="1C1C1C"/>
          <w:sz w:val="24"/>
          <w:szCs w:val="24"/>
          <w:shd w:val="clear" w:color="auto" w:fill="FFFFFF"/>
        </w:rPr>
      </w:pPr>
      <w:r w:rsidRPr="003C7672">
        <w:rPr>
          <w:rFonts w:ascii="Times New Roman" w:hAnsi="Times New Roman" w:cs="Times New Roman"/>
          <w:b/>
          <w:color w:val="1C1C1C"/>
          <w:sz w:val="24"/>
          <w:szCs w:val="24"/>
          <w:shd w:val="clear" w:color="auto" w:fill="FFFFFF"/>
        </w:rPr>
        <w:t>Collection of stool samples:</w:t>
      </w:r>
      <w:r w:rsidRPr="003C7672">
        <w:rPr>
          <w:rFonts w:ascii="Times New Roman" w:hAnsi="Times New Roman" w:cs="Times New Roman"/>
          <w:color w:val="1C1C1C"/>
          <w:sz w:val="24"/>
          <w:szCs w:val="24"/>
          <w:shd w:val="clear" w:color="auto" w:fill="FFFFFF"/>
        </w:rPr>
        <w:t xml:space="preserve"> Children were taught how to collect stool samples at home before being given universal containers for the collection process. The pupils were instructed to bring their stool specimens by 8:00 AM the following day. Upon their return, the sample bottles containing the specimens were labeled with identification numbers, sex, age, and grade level of pupil. They were then placed in a cold box with ice packs for immediate transportation to the Biology Laboratory of the Department of Biology at Alex Ekwueme Federal University, </w:t>
      </w:r>
      <w:proofErr w:type="spellStart"/>
      <w:r w:rsidRPr="003C7672">
        <w:rPr>
          <w:rFonts w:ascii="Times New Roman" w:hAnsi="Times New Roman" w:cs="Times New Roman"/>
          <w:color w:val="1C1C1C"/>
          <w:sz w:val="24"/>
          <w:szCs w:val="24"/>
          <w:shd w:val="clear" w:color="auto" w:fill="FFFFFF"/>
        </w:rPr>
        <w:t>Ndufu</w:t>
      </w:r>
      <w:proofErr w:type="spellEnd"/>
      <w:r w:rsidRPr="003C7672">
        <w:rPr>
          <w:rFonts w:ascii="Times New Roman" w:hAnsi="Times New Roman" w:cs="Times New Roman"/>
          <w:color w:val="1C1C1C"/>
          <w:sz w:val="24"/>
          <w:szCs w:val="24"/>
          <w:shd w:val="clear" w:color="auto" w:fill="FFFFFF"/>
        </w:rPr>
        <w:t xml:space="preserve">-Alike, </w:t>
      </w:r>
      <w:proofErr w:type="spellStart"/>
      <w:r w:rsidRPr="003C7672">
        <w:rPr>
          <w:rFonts w:ascii="Times New Roman" w:hAnsi="Times New Roman" w:cs="Times New Roman"/>
          <w:color w:val="1C1C1C"/>
          <w:sz w:val="24"/>
          <w:szCs w:val="24"/>
          <w:shd w:val="clear" w:color="auto" w:fill="FFFFFF"/>
        </w:rPr>
        <w:t>Ikwo</w:t>
      </w:r>
      <w:proofErr w:type="spellEnd"/>
      <w:r w:rsidRPr="003C7672">
        <w:rPr>
          <w:rFonts w:ascii="Times New Roman" w:hAnsi="Times New Roman" w:cs="Times New Roman"/>
          <w:color w:val="1C1C1C"/>
          <w:sz w:val="24"/>
          <w:szCs w:val="24"/>
          <w:shd w:val="clear" w:color="auto" w:fill="FFFFFF"/>
        </w:rPr>
        <w:t xml:space="preserve"> (AEFUNAI).</w:t>
      </w:r>
    </w:p>
    <w:p w14:paraId="0B25EBA3" w14:textId="77777777" w:rsidR="00A45649" w:rsidRPr="003C7672" w:rsidRDefault="00A45649" w:rsidP="003829DB">
      <w:pPr>
        <w:shd w:val="clear" w:color="auto" w:fill="FFFFFF"/>
        <w:spacing w:line="360" w:lineRule="auto"/>
        <w:jc w:val="both"/>
        <w:rPr>
          <w:rFonts w:ascii="Times New Roman" w:eastAsia="Times New Roman" w:hAnsi="Times New Roman" w:cs="Times New Roman"/>
          <w:color w:val="000000"/>
          <w:sz w:val="24"/>
          <w:szCs w:val="24"/>
        </w:rPr>
      </w:pPr>
      <w:r w:rsidRPr="003C7672">
        <w:rPr>
          <w:rFonts w:ascii="Times New Roman" w:hAnsi="Times New Roman" w:cs="Times New Roman"/>
          <w:b/>
          <w:color w:val="1C1C1C"/>
          <w:sz w:val="24"/>
          <w:szCs w:val="24"/>
          <w:shd w:val="clear" w:color="auto" w:fill="FFFFFF"/>
        </w:rPr>
        <w:t>Screening of stool samples for soil-transmitted helminthes:</w:t>
      </w:r>
      <w:r w:rsidRPr="003C7672">
        <w:rPr>
          <w:rFonts w:ascii="Times New Roman" w:hAnsi="Times New Roman" w:cs="Times New Roman"/>
          <w:color w:val="1C1C1C"/>
          <w:sz w:val="24"/>
          <w:szCs w:val="24"/>
          <w:shd w:val="clear" w:color="auto" w:fill="FFFFFF"/>
        </w:rPr>
        <w:t xml:space="preserve"> </w:t>
      </w:r>
      <w:r w:rsidR="004D3992" w:rsidRPr="003C7672">
        <w:rPr>
          <w:rFonts w:ascii="Times New Roman" w:hAnsi="Times New Roman" w:cs="Times New Roman"/>
          <w:color w:val="1C1C1C"/>
          <w:sz w:val="24"/>
          <w:szCs w:val="24"/>
          <w:shd w:val="clear" w:color="auto" w:fill="FFFFFF"/>
        </w:rPr>
        <w:t xml:space="preserve">The stool samples were analyzed using wet mount and formol-ether concentration techniques, as described by </w:t>
      </w:r>
      <w:proofErr w:type="spellStart"/>
      <w:r w:rsidR="004D3992" w:rsidRPr="003C7672">
        <w:rPr>
          <w:rFonts w:ascii="Times New Roman" w:hAnsi="Times New Roman" w:cs="Times New Roman"/>
          <w:color w:val="1C1C1C"/>
          <w:sz w:val="24"/>
          <w:szCs w:val="24"/>
          <w:shd w:val="clear" w:color="auto" w:fill="FFFFFF"/>
        </w:rPr>
        <w:t>Imakwu</w:t>
      </w:r>
      <w:proofErr w:type="spellEnd"/>
      <w:r w:rsidR="004D3992" w:rsidRPr="003C7672">
        <w:rPr>
          <w:rFonts w:ascii="Times New Roman" w:hAnsi="Times New Roman" w:cs="Times New Roman"/>
          <w:color w:val="1C1C1C"/>
          <w:sz w:val="24"/>
          <w:szCs w:val="24"/>
          <w:shd w:val="clear" w:color="auto" w:fill="FFFFFF"/>
        </w:rPr>
        <w:t xml:space="preserve"> et al. (2020).  </w:t>
      </w:r>
      <w:r w:rsidRPr="003C7672">
        <w:rPr>
          <w:rFonts w:ascii="Times New Roman" w:hAnsi="Times New Roman" w:cs="Times New Roman"/>
          <w:color w:val="1C1C1C"/>
          <w:sz w:val="24"/>
          <w:szCs w:val="24"/>
          <w:shd w:val="clear" w:color="auto" w:fill="FFFFFF"/>
        </w:rPr>
        <w:t>To prepare the wet mount, a drop of 8.5% physiological saline was placed at one end of a clean slide, while a drop of iodine was placed at the other end.</w:t>
      </w:r>
      <w:r w:rsidRPr="003C7672">
        <w:t xml:space="preserve"> </w:t>
      </w:r>
      <w:r w:rsidRPr="003C7672">
        <w:rPr>
          <w:rFonts w:ascii="Times New Roman" w:hAnsi="Times New Roman" w:cs="Times New Roman"/>
          <w:color w:val="1C1C1C"/>
          <w:sz w:val="24"/>
          <w:szCs w:val="24"/>
          <w:shd w:val="clear" w:color="auto" w:fill="FFFFFF"/>
        </w:rPr>
        <w:t xml:space="preserve">A small portion of the stool specimen was </w:t>
      </w:r>
      <w:r w:rsidRPr="003C7672">
        <w:rPr>
          <w:rFonts w:ascii="Times New Roman" w:hAnsi="Times New Roman" w:cs="Times New Roman"/>
          <w:color w:val="1C1C1C"/>
          <w:sz w:val="24"/>
          <w:szCs w:val="24"/>
          <w:shd w:val="clear" w:color="auto" w:fill="FFFFFF"/>
        </w:rPr>
        <w:lastRenderedPageBreak/>
        <w:t>mixed with saline using a syringe, while another portion was effectively combined with iodine solution.</w:t>
      </w:r>
      <w:r w:rsidRPr="003C7672">
        <w:t xml:space="preserve"> </w:t>
      </w:r>
      <w:r w:rsidRPr="003C7672">
        <w:rPr>
          <w:rFonts w:ascii="Times New Roman" w:hAnsi="Times New Roman" w:cs="Times New Roman"/>
          <w:color w:val="1C1C1C"/>
          <w:sz w:val="24"/>
          <w:szCs w:val="24"/>
          <w:shd w:val="clear" w:color="auto" w:fill="FFFFFF"/>
        </w:rPr>
        <w:t>Each sample was covered with a cover slip and examined under a microscope to check for intestinal parasites, larvae, ova, or cysts.</w:t>
      </w:r>
      <w:r w:rsidRPr="003C7672">
        <w:t xml:space="preserve"> </w:t>
      </w:r>
      <w:r w:rsidRPr="003C7672">
        <w:rPr>
          <w:rFonts w:ascii="Times New Roman" w:hAnsi="Times New Roman" w:cs="Times New Roman"/>
          <w:color w:val="1C1C1C"/>
          <w:sz w:val="24"/>
          <w:szCs w:val="24"/>
          <w:shd w:val="clear" w:color="auto" w:fill="FFFFFF"/>
        </w:rPr>
        <w:t>Observations were conducted using X10 and X40 objectives, with the condenser iris properly adjusted to achieve optimal contrast.</w:t>
      </w:r>
    </w:p>
    <w:p w14:paraId="48CD80BD" w14:textId="77777777" w:rsidR="00A45649" w:rsidRPr="003C7672" w:rsidRDefault="00A45649" w:rsidP="003829DB">
      <w:pPr>
        <w:spacing w:before="100" w:beforeAutospacing="1" w:after="100" w:afterAutospacing="1" w:line="360" w:lineRule="auto"/>
        <w:jc w:val="both"/>
        <w:rPr>
          <w:rFonts w:ascii="Times New Roman" w:hAnsi="Times New Roman" w:cs="Times New Roman"/>
          <w:color w:val="1C1C1C"/>
          <w:sz w:val="24"/>
          <w:szCs w:val="24"/>
          <w:shd w:val="clear" w:color="auto" w:fill="FFFFFF"/>
        </w:rPr>
      </w:pPr>
      <w:r w:rsidRPr="003C7672">
        <w:rPr>
          <w:rFonts w:ascii="Times New Roman" w:hAnsi="Times New Roman" w:cs="Times New Roman"/>
          <w:color w:val="1C1C1C"/>
          <w:sz w:val="24"/>
          <w:szCs w:val="24"/>
          <w:shd w:val="clear" w:color="auto" w:fill="FFFFFF"/>
        </w:rPr>
        <w:t>In the Formol-Ether Concentration Technique, one gram of each fecal specimen was emulsified in approximately 7 ml of 10% formalin saline using a centrifuge tube. The emulsified feces were strained through a sieve into a beaker. The suspension was labeled and placed into a glass centrifuge tube, to which approximately 3 ml of diethyl ether was added. The tube was stoppered and shaken vigorously for one minute, then centrifuged at 3,000 rpm for five minutes After centrifugation, the layer of fecal debris was gently detached from the side of the tube using an applicator stick.</w:t>
      </w:r>
      <w:r w:rsidRPr="003C7672">
        <w:rPr>
          <w:rFonts w:ascii="Times New Roman" w:hAnsi="Times New Roman" w:cs="Times New Roman"/>
          <w:sz w:val="24"/>
          <w:szCs w:val="24"/>
        </w:rPr>
        <w:t xml:space="preserve"> The sediment was effectively mixed, and a drop was placed on a clean glass slide. After covering it with a cover slip, we confidently examined it under the microscope using the 10x and 40x objectives.</w:t>
      </w:r>
    </w:p>
    <w:p w14:paraId="0ED0B92A" w14:textId="77777777" w:rsidR="00A45649" w:rsidRPr="003C7672" w:rsidRDefault="00A45649" w:rsidP="003829DB">
      <w:pPr>
        <w:spacing w:before="100" w:beforeAutospacing="1" w:after="100" w:afterAutospacing="1" w:line="360" w:lineRule="auto"/>
        <w:jc w:val="both"/>
        <w:rPr>
          <w:rFonts w:ascii="Times New Roman" w:hAnsi="Times New Roman" w:cs="Times New Roman"/>
          <w:color w:val="1C1C1C"/>
          <w:sz w:val="24"/>
          <w:szCs w:val="24"/>
          <w:shd w:val="clear" w:color="auto" w:fill="FFFFFF"/>
        </w:rPr>
      </w:pPr>
      <w:r w:rsidRPr="003C7672">
        <w:rPr>
          <w:rFonts w:ascii="Times New Roman" w:eastAsia="Times New Roman" w:hAnsi="Times New Roman" w:cs="Times New Roman"/>
          <w:b/>
          <w:sz w:val="24"/>
          <w:szCs w:val="24"/>
        </w:rPr>
        <w:t>Assessment of MDA History and Risk Factors</w:t>
      </w:r>
      <w:r w:rsidR="006E1609" w:rsidRPr="003C7672">
        <w:rPr>
          <w:rFonts w:ascii="Times New Roman" w:eastAsia="Times New Roman" w:hAnsi="Times New Roman" w:cs="Times New Roman"/>
          <w:b/>
          <w:sz w:val="24"/>
          <w:szCs w:val="24"/>
        </w:rPr>
        <w:t xml:space="preserve">: </w:t>
      </w:r>
      <w:r w:rsidRPr="003C7672">
        <w:rPr>
          <w:rFonts w:ascii="Times New Roman" w:eastAsia="Times New Roman" w:hAnsi="Times New Roman" w:cs="Times New Roman"/>
          <w:sz w:val="24"/>
          <w:szCs w:val="24"/>
        </w:rPr>
        <w:t>Data was collected through a semi-structured questionnaire that obtained information on the demographic characteristics of school children. The questionnaire also included inquiries about the history of albendazole collection in schools, the utilization of insecticide-treated nets, and environmental factors that could pose risks for both infections.</w:t>
      </w:r>
    </w:p>
    <w:p w14:paraId="785C4650" w14:textId="77777777" w:rsidR="00A45649" w:rsidRPr="003C7672" w:rsidRDefault="00A45649" w:rsidP="003829DB">
      <w:pPr>
        <w:spacing w:line="360" w:lineRule="auto"/>
        <w:jc w:val="both"/>
        <w:rPr>
          <w:rFonts w:ascii="Times New Roman" w:eastAsia="Times New Roman" w:hAnsi="Times New Roman" w:cs="Times New Roman"/>
          <w:color w:val="1C1C1C"/>
          <w:sz w:val="24"/>
          <w:szCs w:val="24"/>
        </w:rPr>
      </w:pPr>
      <w:r w:rsidRPr="003C7672">
        <w:rPr>
          <w:rFonts w:ascii="Times New Roman" w:hAnsi="Times New Roman" w:cs="Times New Roman"/>
          <w:b/>
          <w:color w:val="1C1C1C"/>
          <w:sz w:val="24"/>
          <w:szCs w:val="24"/>
          <w:shd w:val="clear" w:color="auto" w:fill="FFFFFF"/>
        </w:rPr>
        <w:t>Health Centre Records on Community Collection of Albendazole:</w:t>
      </w:r>
      <w:r w:rsidRPr="003C7672">
        <w:rPr>
          <w:rFonts w:ascii="Times New Roman" w:hAnsi="Times New Roman" w:cs="Times New Roman"/>
          <w:color w:val="1C1C1C"/>
          <w:sz w:val="24"/>
          <w:szCs w:val="24"/>
          <w:shd w:val="clear" w:color="auto" w:fill="FFFFFF"/>
        </w:rPr>
        <w:t xml:space="preserve"> </w:t>
      </w:r>
      <w:r w:rsidRPr="003C7672">
        <w:rPr>
          <w:rFonts w:ascii="Times New Roman" w:eastAsia="Times New Roman" w:hAnsi="Times New Roman" w:cs="Times New Roman"/>
          <w:color w:val="1C1C1C"/>
          <w:sz w:val="24"/>
          <w:szCs w:val="24"/>
        </w:rPr>
        <w:t xml:space="preserve">The Health </w:t>
      </w:r>
      <w:proofErr w:type="spellStart"/>
      <w:r w:rsidRPr="003C7672">
        <w:rPr>
          <w:rFonts w:ascii="Times New Roman" w:eastAsia="Times New Roman" w:hAnsi="Times New Roman" w:cs="Times New Roman"/>
          <w:color w:val="1C1C1C"/>
          <w:sz w:val="24"/>
          <w:szCs w:val="24"/>
        </w:rPr>
        <w:t>Centres</w:t>
      </w:r>
      <w:proofErr w:type="spellEnd"/>
      <w:r w:rsidRPr="003C7672">
        <w:rPr>
          <w:rFonts w:ascii="Times New Roman" w:eastAsia="Times New Roman" w:hAnsi="Times New Roman" w:cs="Times New Roman"/>
          <w:color w:val="1C1C1C"/>
          <w:sz w:val="24"/>
          <w:szCs w:val="24"/>
        </w:rPr>
        <w:t xml:space="preserve"> in the </w:t>
      </w:r>
      <w:proofErr w:type="spellStart"/>
      <w:r w:rsidRPr="003C7672">
        <w:rPr>
          <w:rFonts w:ascii="Times New Roman" w:eastAsia="Times New Roman" w:hAnsi="Times New Roman" w:cs="Times New Roman"/>
          <w:color w:val="1C1C1C"/>
          <w:sz w:val="24"/>
          <w:szCs w:val="24"/>
        </w:rPr>
        <w:t>Unwana</w:t>
      </w:r>
      <w:proofErr w:type="spellEnd"/>
      <w:r w:rsidRPr="003C7672">
        <w:rPr>
          <w:rFonts w:ascii="Times New Roman" w:eastAsia="Times New Roman" w:hAnsi="Times New Roman" w:cs="Times New Roman"/>
          <w:color w:val="1C1C1C"/>
          <w:sz w:val="24"/>
          <w:szCs w:val="24"/>
        </w:rPr>
        <w:t xml:space="preserve"> Community </w:t>
      </w:r>
      <w:r w:rsidR="006E1609" w:rsidRPr="003C7672">
        <w:rPr>
          <w:rFonts w:ascii="Times New Roman" w:eastAsia="Times New Roman" w:hAnsi="Times New Roman" w:cs="Times New Roman"/>
          <w:color w:val="1C1C1C"/>
          <w:sz w:val="24"/>
          <w:szCs w:val="24"/>
        </w:rPr>
        <w:t>were</w:t>
      </w:r>
      <w:r w:rsidRPr="003C7672">
        <w:rPr>
          <w:rFonts w:ascii="Times New Roman" w:eastAsia="Times New Roman" w:hAnsi="Times New Roman" w:cs="Times New Roman"/>
          <w:color w:val="1C1C1C"/>
          <w:sz w:val="24"/>
          <w:szCs w:val="24"/>
        </w:rPr>
        <w:t xml:space="preserve"> visited, and records of community participation in the reception of albendazole were obtained.</w:t>
      </w:r>
    </w:p>
    <w:p w14:paraId="070264E6" w14:textId="77777777" w:rsidR="00A45649" w:rsidRPr="003C7672" w:rsidRDefault="00A45649" w:rsidP="003829DB">
      <w:pPr>
        <w:spacing w:before="100" w:beforeAutospacing="1" w:after="100" w:afterAutospacing="1" w:line="360" w:lineRule="auto"/>
        <w:jc w:val="both"/>
        <w:rPr>
          <w:rFonts w:ascii="Times New Roman" w:hAnsi="Times New Roman" w:cs="Times New Roman"/>
          <w:color w:val="1C1C1C"/>
          <w:sz w:val="24"/>
          <w:szCs w:val="24"/>
          <w:shd w:val="clear" w:color="auto" w:fill="FFFFFF"/>
        </w:rPr>
      </w:pPr>
      <w:r w:rsidRPr="003C7672">
        <w:rPr>
          <w:rFonts w:ascii="Times New Roman" w:eastAsia="Times New Roman" w:hAnsi="Times New Roman" w:cs="Times New Roman"/>
          <w:b/>
          <w:sz w:val="24"/>
          <w:szCs w:val="24"/>
        </w:rPr>
        <w:t>Ethical Approval:</w:t>
      </w:r>
      <w:r w:rsidRPr="003C7672">
        <w:t xml:space="preserve"> </w:t>
      </w:r>
      <w:r w:rsidRPr="003C7672">
        <w:rPr>
          <w:rFonts w:ascii="Times New Roman" w:eastAsia="Times New Roman" w:hAnsi="Times New Roman" w:cs="Times New Roman"/>
          <w:sz w:val="24"/>
          <w:szCs w:val="24"/>
        </w:rPr>
        <w:t xml:space="preserve">Ethical permission was obtained from the Public Health Division of the </w:t>
      </w:r>
      <w:proofErr w:type="spellStart"/>
      <w:r w:rsidRPr="003C7672">
        <w:rPr>
          <w:rFonts w:ascii="Times New Roman" w:eastAsia="Times New Roman" w:hAnsi="Times New Roman" w:cs="Times New Roman"/>
          <w:sz w:val="24"/>
          <w:szCs w:val="24"/>
        </w:rPr>
        <w:t>Nkagbogu</w:t>
      </w:r>
      <w:proofErr w:type="spellEnd"/>
      <w:r w:rsidRPr="003C7672">
        <w:rPr>
          <w:rFonts w:ascii="Times New Roman" w:eastAsia="Times New Roman" w:hAnsi="Times New Roman" w:cs="Times New Roman"/>
          <w:sz w:val="24"/>
          <w:szCs w:val="24"/>
        </w:rPr>
        <w:t xml:space="preserve"> Health Centre in </w:t>
      </w:r>
      <w:proofErr w:type="spellStart"/>
      <w:r w:rsidRPr="003C7672">
        <w:rPr>
          <w:rFonts w:ascii="Times New Roman" w:eastAsia="Times New Roman" w:hAnsi="Times New Roman" w:cs="Times New Roman"/>
          <w:sz w:val="24"/>
          <w:szCs w:val="24"/>
        </w:rPr>
        <w:t>Unwana</w:t>
      </w:r>
      <w:proofErr w:type="spellEnd"/>
      <w:r w:rsidRPr="003C7672">
        <w:rPr>
          <w:rFonts w:ascii="Times New Roman" w:eastAsia="Times New Roman" w:hAnsi="Times New Roman" w:cs="Times New Roman"/>
          <w:sz w:val="24"/>
          <w:szCs w:val="24"/>
        </w:rPr>
        <w:t xml:space="preserve"> Community, </w:t>
      </w:r>
      <w:proofErr w:type="spellStart"/>
      <w:r w:rsidRPr="003C7672">
        <w:rPr>
          <w:rFonts w:ascii="Times New Roman" w:eastAsia="Times New Roman" w:hAnsi="Times New Roman" w:cs="Times New Roman"/>
          <w:sz w:val="24"/>
          <w:szCs w:val="24"/>
        </w:rPr>
        <w:t>Afikpo</w:t>
      </w:r>
      <w:proofErr w:type="spellEnd"/>
      <w:r w:rsidRPr="003C7672">
        <w:rPr>
          <w:rFonts w:ascii="Times New Roman" w:eastAsia="Times New Roman" w:hAnsi="Times New Roman" w:cs="Times New Roman"/>
          <w:sz w:val="24"/>
          <w:szCs w:val="24"/>
        </w:rPr>
        <w:t xml:space="preserve"> North LGA, Ebonyi State. Approval was also secured from the head teachers of three schools, along with consent from their respective Parent-Teacher Association (PTA) chairpersons, to collect samples from students. Informed consent was obtained from the parents of the schoolchildren </w:t>
      </w:r>
      <w:r w:rsidR="006E1609" w:rsidRPr="003C7672">
        <w:rPr>
          <w:rFonts w:ascii="Times New Roman" w:eastAsia="Times New Roman" w:hAnsi="Times New Roman" w:cs="Times New Roman"/>
          <w:sz w:val="24"/>
          <w:szCs w:val="24"/>
        </w:rPr>
        <w:t>before</w:t>
      </w:r>
      <w:r w:rsidRPr="003C7672">
        <w:rPr>
          <w:rFonts w:ascii="Times New Roman" w:eastAsia="Times New Roman" w:hAnsi="Times New Roman" w:cs="Times New Roman"/>
          <w:sz w:val="24"/>
          <w:szCs w:val="24"/>
        </w:rPr>
        <w:t xml:space="preserve"> the sample collection</w:t>
      </w:r>
      <w:r w:rsidRPr="003C7672">
        <w:rPr>
          <w:rFonts w:ascii="Times New Roman" w:eastAsia="Times New Roman" w:hAnsi="Times New Roman" w:cs="Times New Roman"/>
          <w:b/>
          <w:sz w:val="24"/>
          <w:szCs w:val="24"/>
        </w:rPr>
        <w:t>.</w:t>
      </w:r>
      <w:r w:rsidRPr="003C7672">
        <w:rPr>
          <w:rFonts w:ascii="Times New Roman" w:eastAsia="Times New Roman" w:hAnsi="Times New Roman" w:cs="Times New Roman"/>
          <w:sz w:val="24"/>
          <w:szCs w:val="24"/>
        </w:rPr>
        <w:t xml:space="preserve"> </w:t>
      </w:r>
    </w:p>
    <w:p w14:paraId="01E58C86" w14:textId="77777777" w:rsidR="00974DBE" w:rsidRPr="003C7672" w:rsidRDefault="00A45649" w:rsidP="003829DB">
      <w:pPr>
        <w:spacing w:line="360" w:lineRule="auto"/>
        <w:jc w:val="both"/>
        <w:rPr>
          <w:rFonts w:ascii="Times New Roman" w:eastAsia="Times New Roman" w:hAnsi="Times New Roman" w:cs="Times New Roman"/>
          <w:color w:val="1C1C1C"/>
          <w:sz w:val="24"/>
          <w:szCs w:val="24"/>
        </w:rPr>
      </w:pPr>
      <w:r w:rsidRPr="003C7672">
        <w:rPr>
          <w:rFonts w:ascii="Times New Roman" w:hAnsi="Times New Roman" w:cs="Times New Roman"/>
          <w:b/>
          <w:color w:val="1C1C1C"/>
          <w:sz w:val="24"/>
          <w:szCs w:val="24"/>
          <w:shd w:val="clear" w:color="auto" w:fill="FFFFFF"/>
        </w:rPr>
        <w:t>Statistical Analysis:</w:t>
      </w:r>
      <w:r w:rsidRPr="003C7672">
        <w:rPr>
          <w:rFonts w:ascii="Times New Roman" w:hAnsi="Times New Roman" w:cs="Times New Roman"/>
          <w:color w:val="1C1C1C"/>
          <w:sz w:val="24"/>
          <w:szCs w:val="24"/>
          <w:shd w:val="clear" w:color="auto" w:fill="FFFFFF"/>
        </w:rPr>
        <w:t xml:space="preserve"> </w:t>
      </w:r>
      <w:r w:rsidRPr="003C7672">
        <w:rPr>
          <w:rFonts w:ascii="Times New Roman" w:eastAsia="Times New Roman" w:hAnsi="Times New Roman" w:cs="Times New Roman"/>
          <w:color w:val="1C1C1C"/>
          <w:sz w:val="24"/>
          <w:szCs w:val="24"/>
        </w:rPr>
        <w:t xml:space="preserve">This analysis was conducted using IBM’s SPSS version 25.0. Descriptive statistics were employed to summarize the frequencies and percentages of the demographic data collected, as well as the environmental determinants of infection in the locality. The Chi-Square </w:t>
      </w:r>
      <w:r w:rsidRPr="003C7672">
        <w:rPr>
          <w:rFonts w:ascii="Times New Roman" w:eastAsia="Times New Roman" w:hAnsi="Times New Roman" w:cs="Times New Roman"/>
          <w:color w:val="1C1C1C"/>
          <w:sz w:val="24"/>
          <w:szCs w:val="24"/>
        </w:rPr>
        <w:lastRenderedPageBreak/>
        <w:t>Test was utilized to examine the association between the prevalence of malaria, soil-transmitted helminths (STH), and malaria-STH co-infection with the demographic characteristics of school children. Logistic regression was performed to identify the factors that increase the risk of school children contracting malaria, STH, and malaria-STH co-infection. The logistic regression results were presented as adjusted odds ratio, their 95% confidence interval and their level of significance. Records of community participation in albendazole mass drug administration (MDA) were analyzed from 2021 to 2023 and represented in bar charts. Results were dee</w:t>
      </w:r>
      <w:r w:rsidR="003829DB" w:rsidRPr="003C7672">
        <w:rPr>
          <w:rFonts w:ascii="Times New Roman" w:eastAsia="Times New Roman" w:hAnsi="Times New Roman" w:cs="Times New Roman"/>
          <w:color w:val="1C1C1C"/>
          <w:sz w:val="24"/>
          <w:szCs w:val="24"/>
        </w:rPr>
        <w:t>med significant at p &lt; 0.05.</w:t>
      </w:r>
    </w:p>
    <w:p w14:paraId="5E4C904C" w14:textId="77777777" w:rsidR="00A45649" w:rsidRPr="003C7672" w:rsidRDefault="00B64DB6" w:rsidP="00A45649">
      <w:pPr>
        <w:spacing w:after="0" w:line="360" w:lineRule="auto"/>
        <w:rPr>
          <w:rFonts w:ascii="Times New Roman" w:eastAsia="Times New Roman" w:hAnsi="Times New Roman" w:cs="Times New Roman"/>
          <w:b/>
          <w:sz w:val="24"/>
          <w:szCs w:val="24"/>
        </w:rPr>
      </w:pPr>
      <w:r w:rsidRPr="003C7672">
        <w:rPr>
          <w:rFonts w:ascii="Times New Roman" w:eastAsia="Times New Roman" w:hAnsi="Times New Roman" w:cs="Times New Roman"/>
          <w:b/>
          <w:sz w:val="24"/>
          <w:szCs w:val="24"/>
        </w:rPr>
        <w:t>RESULTS</w:t>
      </w:r>
    </w:p>
    <w:p w14:paraId="3A48A67A" w14:textId="77777777" w:rsidR="00BF2198" w:rsidRPr="003C7672" w:rsidRDefault="00A45649" w:rsidP="00BF2198">
      <w:pPr>
        <w:spacing w:after="0" w:line="360" w:lineRule="auto"/>
        <w:rPr>
          <w:rFonts w:ascii="Times New Roman" w:eastAsia="Times New Roman" w:hAnsi="Times New Roman" w:cs="Times New Roman"/>
          <w:b/>
          <w:sz w:val="24"/>
          <w:szCs w:val="24"/>
        </w:rPr>
      </w:pPr>
      <w:r w:rsidRPr="003C7672">
        <w:rPr>
          <w:rFonts w:ascii="Times New Roman" w:eastAsia="Times New Roman" w:hAnsi="Times New Roman" w:cs="Times New Roman"/>
          <w:b/>
          <w:bCs/>
          <w:sz w:val="24"/>
          <w:szCs w:val="24"/>
        </w:rPr>
        <w:t>Description of Study Population</w:t>
      </w:r>
    </w:p>
    <w:p w14:paraId="10277243" w14:textId="77777777" w:rsidR="00A45649" w:rsidRPr="003C7672" w:rsidRDefault="00A45649" w:rsidP="00014B73">
      <w:pPr>
        <w:spacing w:after="0" w:line="360" w:lineRule="auto"/>
        <w:jc w:val="both"/>
        <w:rPr>
          <w:rFonts w:ascii="Times New Roman" w:eastAsia="Times New Roman" w:hAnsi="Times New Roman" w:cs="Times New Roman"/>
          <w:b/>
          <w:sz w:val="24"/>
          <w:szCs w:val="24"/>
        </w:rPr>
      </w:pPr>
      <w:r w:rsidRPr="003C7672">
        <w:rPr>
          <w:rFonts w:ascii="Times New Roman" w:hAnsi="Times New Roman" w:cs="Times New Roman"/>
          <w:color w:val="1C1C1C"/>
          <w:sz w:val="24"/>
          <w:szCs w:val="24"/>
          <w:shd w:val="clear" w:color="auto" w:fill="FFFFFF"/>
        </w:rPr>
        <w:t xml:space="preserve">A total of 249 primary school pupils were sampled in </w:t>
      </w:r>
      <w:proofErr w:type="spellStart"/>
      <w:r w:rsidRPr="003C7672">
        <w:rPr>
          <w:rFonts w:ascii="Times New Roman" w:hAnsi="Times New Roman" w:cs="Times New Roman"/>
          <w:color w:val="1C1C1C"/>
          <w:sz w:val="24"/>
          <w:szCs w:val="24"/>
          <w:shd w:val="clear" w:color="auto" w:fill="FFFFFF"/>
        </w:rPr>
        <w:t>Unwana</w:t>
      </w:r>
      <w:proofErr w:type="spellEnd"/>
      <w:r w:rsidRPr="003C7672">
        <w:rPr>
          <w:rFonts w:ascii="Times New Roman" w:hAnsi="Times New Roman" w:cs="Times New Roman"/>
          <w:color w:val="1C1C1C"/>
          <w:sz w:val="24"/>
          <w:szCs w:val="24"/>
          <w:shd w:val="clear" w:color="auto" w:fill="FFFFFF"/>
        </w:rPr>
        <w:t xml:space="preserve">, </w:t>
      </w:r>
      <w:proofErr w:type="spellStart"/>
      <w:r w:rsidRPr="003C7672">
        <w:rPr>
          <w:rFonts w:ascii="Times New Roman" w:hAnsi="Times New Roman" w:cs="Times New Roman"/>
          <w:color w:val="1C1C1C"/>
          <w:sz w:val="24"/>
          <w:szCs w:val="24"/>
          <w:shd w:val="clear" w:color="auto" w:fill="FFFFFF"/>
        </w:rPr>
        <w:t>Afikpo</w:t>
      </w:r>
      <w:proofErr w:type="spellEnd"/>
      <w:r w:rsidRPr="003C7672">
        <w:rPr>
          <w:rFonts w:ascii="Times New Roman" w:hAnsi="Times New Roman" w:cs="Times New Roman"/>
          <w:color w:val="1C1C1C"/>
          <w:sz w:val="24"/>
          <w:szCs w:val="24"/>
          <w:shd w:val="clear" w:color="auto" w:fill="FFFFFF"/>
        </w:rPr>
        <w:t xml:space="preserve"> North LGA. Among them, 129 (51.8%) were male, and 120 (48.2%) were female. The pupils were divided into three age groups. Children aged 3–6 years accounted for 32 (12.9%) of the sample, while those aged 7–10 years made up the majority with 144 (57.8%). Pupils aged 11–15 years comprised 73 (29.3%). </w:t>
      </w:r>
      <w:r w:rsidRPr="003C7672">
        <w:rPr>
          <w:rFonts w:ascii="Times New Roman" w:eastAsia="Times New Roman" w:hAnsi="Times New Roman" w:cs="Times New Roman"/>
          <w:sz w:val="24"/>
          <w:szCs w:val="24"/>
        </w:rPr>
        <w:t xml:space="preserve">In terms of class levels, 115 pupils (46.2%) were in junior primary (classes 1–3), while 134 pupils (53.8%) were in senior primary (classes 4–6). Regarding school attendance, 119 pupils (47.8%) attended Lady Olayinka </w:t>
      </w:r>
      <w:proofErr w:type="spellStart"/>
      <w:r w:rsidRPr="003C7672">
        <w:rPr>
          <w:rFonts w:ascii="Times New Roman" w:eastAsia="Times New Roman" w:hAnsi="Times New Roman" w:cs="Times New Roman"/>
          <w:sz w:val="24"/>
          <w:szCs w:val="24"/>
        </w:rPr>
        <w:t>Ibiam</w:t>
      </w:r>
      <w:proofErr w:type="spellEnd"/>
      <w:r w:rsidRPr="003C7672">
        <w:rPr>
          <w:rFonts w:ascii="Times New Roman" w:eastAsia="Times New Roman" w:hAnsi="Times New Roman" w:cs="Times New Roman"/>
          <w:sz w:val="24"/>
          <w:szCs w:val="24"/>
        </w:rPr>
        <w:t xml:space="preserve"> Memorial Primary School (L.O.I.M.P.S), 74 pupils (29.7%) attended Unwana Community Primary School I (U.C.P.S. 1), and 56 pupils (22.5%) attended Unwana Community Primary School II (U.C.P.S. 2), as shown in Table 1.</w:t>
      </w:r>
    </w:p>
    <w:p w14:paraId="545722F2" w14:textId="77777777" w:rsidR="00A45649" w:rsidRPr="003C7672" w:rsidRDefault="00A45649" w:rsidP="00A45649">
      <w:pPr>
        <w:spacing w:before="100" w:beforeAutospacing="1" w:after="100" w:afterAutospacing="1" w:line="360" w:lineRule="auto"/>
        <w:jc w:val="both"/>
        <w:rPr>
          <w:rFonts w:ascii="Times New Roman" w:eastAsia="Times New Roman" w:hAnsi="Times New Roman" w:cs="Times New Roman"/>
          <w:sz w:val="24"/>
          <w:szCs w:val="24"/>
        </w:rPr>
      </w:pPr>
    </w:p>
    <w:p w14:paraId="2DE47701" w14:textId="77777777" w:rsidR="00A45649" w:rsidRPr="003C7672" w:rsidRDefault="00A45649" w:rsidP="00A45649">
      <w:pPr>
        <w:spacing w:before="100" w:beforeAutospacing="1" w:after="100" w:afterAutospacing="1" w:line="360" w:lineRule="auto"/>
        <w:jc w:val="both"/>
        <w:rPr>
          <w:rFonts w:ascii="Times New Roman" w:eastAsia="Times New Roman" w:hAnsi="Times New Roman" w:cs="Times New Roman"/>
          <w:sz w:val="24"/>
          <w:szCs w:val="24"/>
        </w:rPr>
      </w:pPr>
    </w:p>
    <w:p w14:paraId="30B63A14" w14:textId="77777777" w:rsidR="00A45649" w:rsidRPr="003C7672" w:rsidRDefault="00A45649" w:rsidP="00A45649">
      <w:pPr>
        <w:spacing w:before="100" w:beforeAutospacing="1" w:after="100" w:afterAutospacing="1" w:line="360" w:lineRule="auto"/>
        <w:jc w:val="both"/>
        <w:rPr>
          <w:rFonts w:ascii="Times New Roman" w:eastAsia="Times New Roman" w:hAnsi="Times New Roman" w:cs="Times New Roman"/>
          <w:sz w:val="24"/>
          <w:szCs w:val="24"/>
        </w:rPr>
      </w:pPr>
    </w:p>
    <w:p w14:paraId="59DEED80" w14:textId="77777777" w:rsidR="00A45649" w:rsidRPr="003C7672" w:rsidRDefault="00A45649" w:rsidP="00A45649">
      <w:pPr>
        <w:spacing w:before="100" w:beforeAutospacing="1" w:after="100" w:afterAutospacing="1" w:line="360" w:lineRule="auto"/>
        <w:jc w:val="both"/>
        <w:rPr>
          <w:rFonts w:ascii="Times New Roman" w:eastAsia="Times New Roman" w:hAnsi="Times New Roman" w:cs="Times New Roman"/>
          <w:sz w:val="24"/>
          <w:szCs w:val="24"/>
        </w:rPr>
      </w:pPr>
    </w:p>
    <w:p w14:paraId="584A3857" w14:textId="77777777" w:rsidR="00A45649" w:rsidRPr="003C7672" w:rsidRDefault="00A45649" w:rsidP="00A45649">
      <w:pPr>
        <w:spacing w:before="100" w:beforeAutospacing="1" w:after="100" w:afterAutospacing="1" w:line="360" w:lineRule="auto"/>
        <w:jc w:val="both"/>
        <w:rPr>
          <w:rFonts w:ascii="Times New Roman" w:eastAsia="Times New Roman" w:hAnsi="Times New Roman" w:cs="Times New Roman"/>
          <w:sz w:val="24"/>
          <w:szCs w:val="24"/>
        </w:rPr>
      </w:pPr>
    </w:p>
    <w:p w14:paraId="32605093" w14:textId="77777777" w:rsidR="00A45649" w:rsidRPr="003C7672" w:rsidRDefault="00A45649" w:rsidP="00A45649">
      <w:pPr>
        <w:spacing w:before="100" w:beforeAutospacing="1" w:after="100" w:afterAutospacing="1" w:line="360" w:lineRule="auto"/>
        <w:jc w:val="both"/>
        <w:rPr>
          <w:rFonts w:ascii="Times New Roman" w:eastAsia="Times New Roman" w:hAnsi="Times New Roman" w:cs="Times New Roman"/>
          <w:sz w:val="24"/>
          <w:szCs w:val="24"/>
        </w:rPr>
      </w:pPr>
    </w:p>
    <w:p w14:paraId="33FFF19E" w14:textId="77777777" w:rsidR="00A45649" w:rsidRPr="003C7672" w:rsidRDefault="00A45649" w:rsidP="00A45649">
      <w:pPr>
        <w:spacing w:before="100" w:beforeAutospacing="1" w:after="100" w:afterAutospacing="1" w:line="360" w:lineRule="auto"/>
        <w:jc w:val="both"/>
        <w:rPr>
          <w:rFonts w:ascii="Times New Roman" w:eastAsia="Times New Roman" w:hAnsi="Times New Roman" w:cs="Times New Roman"/>
          <w:sz w:val="24"/>
          <w:szCs w:val="24"/>
        </w:rPr>
      </w:pPr>
    </w:p>
    <w:p w14:paraId="7CE5088C" w14:textId="77777777" w:rsidR="00A45649" w:rsidRPr="003C7672" w:rsidRDefault="00A45649" w:rsidP="00A45649">
      <w:pPr>
        <w:spacing w:before="100" w:beforeAutospacing="1" w:after="100" w:afterAutospacing="1"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lastRenderedPageBreak/>
        <w:t>Table 1: Demographic Characteristics of School Children</w:t>
      </w:r>
    </w:p>
    <w:tbl>
      <w:tblPr>
        <w:tblStyle w:val="TableGrid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A45649" w:rsidRPr="003C7672" w14:paraId="732AD596" w14:textId="77777777" w:rsidTr="0095638F">
        <w:tc>
          <w:tcPr>
            <w:tcW w:w="3116" w:type="dxa"/>
            <w:tcBorders>
              <w:top w:val="single" w:sz="4" w:space="0" w:color="auto"/>
              <w:bottom w:val="single" w:sz="4" w:space="0" w:color="auto"/>
            </w:tcBorders>
          </w:tcPr>
          <w:p w14:paraId="7985CE01" w14:textId="77777777" w:rsidR="00A45649" w:rsidRPr="003C7672" w:rsidRDefault="00A45649" w:rsidP="0095638F">
            <w:pPr>
              <w:spacing w:line="360" w:lineRule="auto"/>
              <w:rPr>
                <w:rFonts w:ascii="Times New Roman" w:hAnsi="Times New Roman" w:cs="Times New Roman"/>
                <w:sz w:val="24"/>
                <w:szCs w:val="24"/>
              </w:rPr>
            </w:pPr>
            <w:r w:rsidRPr="003C7672">
              <w:rPr>
                <w:rFonts w:ascii="Times New Roman" w:hAnsi="Times New Roman" w:cs="Times New Roman"/>
                <w:sz w:val="24"/>
                <w:szCs w:val="24"/>
              </w:rPr>
              <w:t>Description of school children</w:t>
            </w:r>
          </w:p>
        </w:tc>
        <w:tc>
          <w:tcPr>
            <w:tcW w:w="3117" w:type="dxa"/>
            <w:tcBorders>
              <w:top w:val="single" w:sz="4" w:space="0" w:color="auto"/>
              <w:bottom w:val="single" w:sz="4" w:space="0" w:color="auto"/>
            </w:tcBorders>
          </w:tcPr>
          <w:p w14:paraId="1D3CF2FA" w14:textId="77777777" w:rsidR="00A45649" w:rsidRPr="003C7672" w:rsidRDefault="00A45649" w:rsidP="0095638F">
            <w:pPr>
              <w:spacing w:line="360" w:lineRule="auto"/>
              <w:rPr>
                <w:rFonts w:ascii="Times New Roman" w:hAnsi="Times New Roman" w:cs="Times New Roman"/>
                <w:sz w:val="24"/>
                <w:szCs w:val="24"/>
              </w:rPr>
            </w:pPr>
            <w:r w:rsidRPr="003C7672">
              <w:rPr>
                <w:rFonts w:ascii="Times New Roman" w:hAnsi="Times New Roman" w:cs="Times New Roman"/>
                <w:sz w:val="24"/>
                <w:szCs w:val="24"/>
              </w:rPr>
              <w:t>Number sampled</w:t>
            </w:r>
          </w:p>
        </w:tc>
        <w:tc>
          <w:tcPr>
            <w:tcW w:w="3117" w:type="dxa"/>
            <w:tcBorders>
              <w:top w:val="single" w:sz="4" w:space="0" w:color="auto"/>
              <w:bottom w:val="single" w:sz="4" w:space="0" w:color="auto"/>
            </w:tcBorders>
          </w:tcPr>
          <w:p w14:paraId="464228FA" w14:textId="77777777" w:rsidR="00A45649" w:rsidRPr="003C7672" w:rsidRDefault="00A45649" w:rsidP="0095638F">
            <w:pPr>
              <w:spacing w:line="360" w:lineRule="auto"/>
              <w:rPr>
                <w:rFonts w:ascii="Times New Roman" w:hAnsi="Times New Roman" w:cs="Times New Roman"/>
                <w:sz w:val="24"/>
                <w:szCs w:val="24"/>
              </w:rPr>
            </w:pPr>
            <w:r w:rsidRPr="003C7672">
              <w:rPr>
                <w:rFonts w:ascii="Times New Roman" w:hAnsi="Times New Roman" w:cs="Times New Roman"/>
                <w:sz w:val="24"/>
                <w:szCs w:val="24"/>
              </w:rPr>
              <w:t>Percent (%)</w:t>
            </w:r>
          </w:p>
        </w:tc>
      </w:tr>
      <w:tr w:rsidR="00A45649" w:rsidRPr="003C7672" w14:paraId="039F1B70" w14:textId="77777777" w:rsidTr="0095638F">
        <w:tc>
          <w:tcPr>
            <w:tcW w:w="3116" w:type="dxa"/>
            <w:tcBorders>
              <w:top w:val="single" w:sz="4" w:space="0" w:color="auto"/>
              <w:bottom w:val="nil"/>
            </w:tcBorders>
          </w:tcPr>
          <w:p w14:paraId="4D50C25E" w14:textId="77777777" w:rsidR="00A45649" w:rsidRPr="003C7672" w:rsidRDefault="00A45649" w:rsidP="0095638F">
            <w:pPr>
              <w:spacing w:line="360" w:lineRule="auto"/>
              <w:rPr>
                <w:rFonts w:ascii="Times New Roman" w:hAnsi="Times New Roman" w:cs="Times New Roman"/>
                <w:b/>
                <w:sz w:val="24"/>
                <w:szCs w:val="24"/>
              </w:rPr>
            </w:pPr>
            <w:r w:rsidRPr="003C7672">
              <w:rPr>
                <w:rFonts w:ascii="Times New Roman" w:hAnsi="Times New Roman" w:cs="Times New Roman"/>
                <w:b/>
                <w:sz w:val="24"/>
                <w:szCs w:val="24"/>
              </w:rPr>
              <w:t xml:space="preserve">Total </w:t>
            </w:r>
          </w:p>
        </w:tc>
        <w:tc>
          <w:tcPr>
            <w:tcW w:w="3117" w:type="dxa"/>
            <w:tcBorders>
              <w:top w:val="single" w:sz="4" w:space="0" w:color="auto"/>
              <w:bottom w:val="nil"/>
            </w:tcBorders>
          </w:tcPr>
          <w:p w14:paraId="2E3D7920" w14:textId="77777777" w:rsidR="00A45649" w:rsidRPr="003C7672" w:rsidRDefault="00A45649" w:rsidP="0095638F">
            <w:pPr>
              <w:spacing w:line="360" w:lineRule="auto"/>
              <w:rPr>
                <w:rFonts w:ascii="Times New Roman" w:hAnsi="Times New Roman" w:cs="Times New Roman"/>
                <w:sz w:val="24"/>
                <w:szCs w:val="24"/>
              </w:rPr>
            </w:pPr>
            <w:r w:rsidRPr="003C7672">
              <w:rPr>
                <w:rFonts w:ascii="Times New Roman" w:hAnsi="Times New Roman" w:cs="Times New Roman"/>
                <w:sz w:val="24"/>
                <w:szCs w:val="24"/>
              </w:rPr>
              <w:t>249</w:t>
            </w:r>
          </w:p>
        </w:tc>
        <w:tc>
          <w:tcPr>
            <w:tcW w:w="3117" w:type="dxa"/>
            <w:tcBorders>
              <w:top w:val="single" w:sz="4" w:space="0" w:color="auto"/>
              <w:bottom w:val="nil"/>
            </w:tcBorders>
          </w:tcPr>
          <w:p w14:paraId="075C8676" w14:textId="77777777" w:rsidR="00A45649" w:rsidRPr="003C7672" w:rsidRDefault="00A45649" w:rsidP="0095638F">
            <w:pPr>
              <w:spacing w:line="360" w:lineRule="auto"/>
              <w:rPr>
                <w:rFonts w:ascii="Times New Roman" w:hAnsi="Times New Roman" w:cs="Times New Roman"/>
                <w:sz w:val="24"/>
                <w:szCs w:val="24"/>
              </w:rPr>
            </w:pPr>
            <w:r w:rsidRPr="003C7672">
              <w:rPr>
                <w:rFonts w:ascii="Times New Roman" w:hAnsi="Times New Roman" w:cs="Times New Roman"/>
                <w:sz w:val="24"/>
                <w:szCs w:val="24"/>
              </w:rPr>
              <w:t>100</w:t>
            </w:r>
          </w:p>
        </w:tc>
      </w:tr>
      <w:tr w:rsidR="00A45649" w:rsidRPr="003C7672" w14:paraId="60C09127" w14:textId="77777777" w:rsidTr="0095638F">
        <w:tc>
          <w:tcPr>
            <w:tcW w:w="3116" w:type="dxa"/>
            <w:tcBorders>
              <w:top w:val="nil"/>
            </w:tcBorders>
          </w:tcPr>
          <w:p w14:paraId="09EC3E81" w14:textId="77777777" w:rsidR="00A45649" w:rsidRPr="003C7672" w:rsidRDefault="00A45649" w:rsidP="0095638F">
            <w:pPr>
              <w:spacing w:line="360" w:lineRule="auto"/>
              <w:rPr>
                <w:rFonts w:ascii="Times New Roman" w:hAnsi="Times New Roman" w:cs="Times New Roman"/>
                <w:b/>
                <w:sz w:val="24"/>
                <w:szCs w:val="24"/>
              </w:rPr>
            </w:pPr>
            <w:r w:rsidRPr="003C7672">
              <w:rPr>
                <w:rFonts w:ascii="Times New Roman" w:hAnsi="Times New Roman" w:cs="Times New Roman"/>
                <w:b/>
                <w:sz w:val="24"/>
                <w:szCs w:val="24"/>
              </w:rPr>
              <w:t>Gender</w:t>
            </w:r>
          </w:p>
        </w:tc>
        <w:tc>
          <w:tcPr>
            <w:tcW w:w="3117" w:type="dxa"/>
            <w:tcBorders>
              <w:top w:val="nil"/>
            </w:tcBorders>
          </w:tcPr>
          <w:p w14:paraId="472691C9" w14:textId="77777777" w:rsidR="00A45649" w:rsidRPr="003C7672" w:rsidRDefault="00A45649" w:rsidP="0095638F">
            <w:pPr>
              <w:spacing w:line="360" w:lineRule="auto"/>
              <w:rPr>
                <w:rFonts w:ascii="Times New Roman" w:hAnsi="Times New Roman" w:cs="Times New Roman"/>
                <w:sz w:val="24"/>
                <w:szCs w:val="24"/>
              </w:rPr>
            </w:pPr>
          </w:p>
        </w:tc>
        <w:tc>
          <w:tcPr>
            <w:tcW w:w="3117" w:type="dxa"/>
            <w:tcBorders>
              <w:top w:val="nil"/>
            </w:tcBorders>
          </w:tcPr>
          <w:p w14:paraId="2DB3AB54" w14:textId="77777777" w:rsidR="00A45649" w:rsidRPr="003C7672" w:rsidRDefault="00A45649" w:rsidP="0095638F">
            <w:pPr>
              <w:spacing w:line="360" w:lineRule="auto"/>
              <w:rPr>
                <w:rFonts w:ascii="Times New Roman" w:hAnsi="Times New Roman" w:cs="Times New Roman"/>
                <w:sz w:val="24"/>
                <w:szCs w:val="24"/>
              </w:rPr>
            </w:pPr>
          </w:p>
        </w:tc>
      </w:tr>
      <w:tr w:rsidR="00A45649" w:rsidRPr="003C7672" w14:paraId="572B25D8" w14:textId="77777777" w:rsidTr="0095638F">
        <w:tc>
          <w:tcPr>
            <w:tcW w:w="3116" w:type="dxa"/>
          </w:tcPr>
          <w:p w14:paraId="568D64A0" w14:textId="77777777" w:rsidR="00A45649" w:rsidRPr="003C7672" w:rsidRDefault="00A45649" w:rsidP="0095638F">
            <w:pPr>
              <w:spacing w:line="360" w:lineRule="auto"/>
              <w:rPr>
                <w:rFonts w:ascii="Times New Roman" w:hAnsi="Times New Roman" w:cs="Times New Roman"/>
                <w:sz w:val="24"/>
                <w:szCs w:val="24"/>
              </w:rPr>
            </w:pPr>
            <w:r w:rsidRPr="003C7672">
              <w:rPr>
                <w:rFonts w:ascii="Times New Roman" w:hAnsi="Times New Roman" w:cs="Times New Roman"/>
                <w:sz w:val="24"/>
                <w:szCs w:val="24"/>
              </w:rPr>
              <w:t>Male</w:t>
            </w:r>
          </w:p>
        </w:tc>
        <w:tc>
          <w:tcPr>
            <w:tcW w:w="3117" w:type="dxa"/>
          </w:tcPr>
          <w:p w14:paraId="095A37B4" w14:textId="77777777" w:rsidR="00A45649" w:rsidRPr="003C7672" w:rsidRDefault="00A45649" w:rsidP="0095638F">
            <w:pPr>
              <w:spacing w:line="360" w:lineRule="auto"/>
              <w:rPr>
                <w:rFonts w:ascii="Times New Roman" w:hAnsi="Times New Roman" w:cs="Times New Roman"/>
                <w:sz w:val="24"/>
                <w:szCs w:val="24"/>
              </w:rPr>
            </w:pPr>
            <w:r w:rsidRPr="003C7672">
              <w:rPr>
                <w:rFonts w:ascii="Times New Roman" w:hAnsi="Times New Roman" w:cs="Times New Roman"/>
                <w:sz w:val="24"/>
                <w:szCs w:val="24"/>
              </w:rPr>
              <w:t>129</w:t>
            </w:r>
          </w:p>
        </w:tc>
        <w:tc>
          <w:tcPr>
            <w:tcW w:w="3117" w:type="dxa"/>
          </w:tcPr>
          <w:p w14:paraId="6517A53E" w14:textId="77777777" w:rsidR="00A45649" w:rsidRPr="003C7672" w:rsidRDefault="00A45649" w:rsidP="0095638F">
            <w:pPr>
              <w:spacing w:line="360" w:lineRule="auto"/>
              <w:rPr>
                <w:rFonts w:ascii="Times New Roman" w:hAnsi="Times New Roman" w:cs="Times New Roman"/>
                <w:sz w:val="24"/>
                <w:szCs w:val="24"/>
              </w:rPr>
            </w:pPr>
            <w:r w:rsidRPr="003C7672">
              <w:rPr>
                <w:rFonts w:ascii="Times New Roman" w:hAnsi="Times New Roman" w:cs="Times New Roman"/>
                <w:sz w:val="24"/>
                <w:szCs w:val="24"/>
              </w:rPr>
              <w:t>51.8</w:t>
            </w:r>
          </w:p>
        </w:tc>
      </w:tr>
      <w:tr w:rsidR="00A45649" w:rsidRPr="003C7672" w14:paraId="64723FCD" w14:textId="77777777" w:rsidTr="0095638F">
        <w:tc>
          <w:tcPr>
            <w:tcW w:w="3116" w:type="dxa"/>
          </w:tcPr>
          <w:p w14:paraId="2D57C602" w14:textId="77777777" w:rsidR="00A45649" w:rsidRPr="003C7672" w:rsidRDefault="00A45649" w:rsidP="0095638F">
            <w:pPr>
              <w:spacing w:line="360" w:lineRule="auto"/>
              <w:rPr>
                <w:rFonts w:ascii="Times New Roman" w:hAnsi="Times New Roman" w:cs="Times New Roman"/>
                <w:sz w:val="24"/>
                <w:szCs w:val="24"/>
              </w:rPr>
            </w:pPr>
            <w:r w:rsidRPr="003C7672">
              <w:rPr>
                <w:rFonts w:ascii="Times New Roman" w:hAnsi="Times New Roman" w:cs="Times New Roman"/>
                <w:sz w:val="24"/>
                <w:szCs w:val="24"/>
              </w:rPr>
              <w:t>Female</w:t>
            </w:r>
          </w:p>
        </w:tc>
        <w:tc>
          <w:tcPr>
            <w:tcW w:w="3117" w:type="dxa"/>
          </w:tcPr>
          <w:p w14:paraId="1B53FBD8" w14:textId="77777777" w:rsidR="00A45649" w:rsidRPr="003C7672" w:rsidRDefault="00A45649" w:rsidP="0095638F">
            <w:pPr>
              <w:spacing w:line="360" w:lineRule="auto"/>
              <w:rPr>
                <w:rFonts w:ascii="Times New Roman" w:hAnsi="Times New Roman" w:cs="Times New Roman"/>
                <w:sz w:val="24"/>
                <w:szCs w:val="24"/>
              </w:rPr>
            </w:pPr>
            <w:r w:rsidRPr="003C7672">
              <w:rPr>
                <w:rFonts w:ascii="Times New Roman" w:hAnsi="Times New Roman" w:cs="Times New Roman"/>
                <w:sz w:val="24"/>
                <w:szCs w:val="24"/>
              </w:rPr>
              <w:t>120</w:t>
            </w:r>
          </w:p>
        </w:tc>
        <w:tc>
          <w:tcPr>
            <w:tcW w:w="3117" w:type="dxa"/>
          </w:tcPr>
          <w:p w14:paraId="7FF13B06" w14:textId="77777777" w:rsidR="00A45649" w:rsidRPr="003C7672" w:rsidRDefault="00A45649" w:rsidP="0095638F">
            <w:pPr>
              <w:spacing w:line="360" w:lineRule="auto"/>
              <w:rPr>
                <w:rFonts w:ascii="Times New Roman" w:hAnsi="Times New Roman" w:cs="Times New Roman"/>
                <w:sz w:val="24"/>
                <w:szCs w:val="24"/>
              </w:rPr>
            </w:pPr>
            <w:r w:rsidRPr="003C7672">
              <w:rPr>
                <w:rFonts w:ascii="Times New Roman" w:hAnsi="Times New Roman" w:cs="Times New Roman"/>
                <w:sz w:val="24"/>
                <w:szCs w:val="24"/>
              </w:rPr>
              <w:t>48.2</w:t>
            </w:r>
          </w:p>
        </w:tc>
      </w:tr>
      <w:tr w:rsidR="00A45649" w:rsidRPr="003C7672" w14:paraId="3DA077A3" w14:textId="77777777" w:rsidTr="0095638F">
        <w:tc>
          <w:tcPr>
            <w:tcW w:w="3116" w:type="dxa"/>
          </w:tcPr>
          <w:p w14:paraId="0E068799" w14:textId="77777777" w:rsidR="00A45649" w:rsidRPr="003C7672" w:rsidRDefault="00A45649" w:rsidP="0095638F">
            <w:pPr>
              <w:spacing w:line="360" w:lineRule="auto"/>
              <w:rPr>
                <w:rFonts w:ascii="Times New Roman" w:hAnsi="Times New Roman" w:cs="Times New Roman"/>
                <w:sz w:val="24"/>
                <w:szCs w:val="24"/>
              </w:rPr>
            </w:pPr>
            <w:r w:rsidRPr="003C7672">
              <w:rPr>
                <w:rFonts w:ascii="Times New Roman" w:hAnsi="Times New Roman" w:cs="Times New Roman"/>
                <w:b/>
                <w:sz w:val="24"/>
                <w:szCs w:val="24"/>
              </w:rPr>
              <w:t>Age group (Years</w:t>
            </w:r>
            <w:r w:rsidRPr="003C7672">
              <w:rPr>
                <w:rFonts w:ascii="Times New Roman" w:hAnsi="Times New Roman" w:cs="Times New Roman"/>
                <w:sz w:val="24"/>
                <w:szCs w:val="24"/>
              </w:rPr>
              <w:t>)</w:t>
            </w:r>
          </w:p>
        </w:tc>
        <w:tc>
          <w:tcPr>
            <w:tcW w:w="3117" w:type="dxa"/>
          </w:tcPr>
          <w:p w14:paraId="2B8CB02E" w14:textId="77777777" w:rsidR="00A45649" w:rsidRPr="003C7672" w:rsidRDefault="00A45649" w:rsidP="0095638F">
            <w:pPr>
              <w:spacing w:line="360" w:lineRule="auto"/>
              <w:rPr>
                <w:rFonts w:ascii="Times New Roman" w:hAnsi="Times New Roman" w:cs="Times New Roman"/>
                <w:sz w:val="24"/>
                <w:szCs w:val="24"/>
              </w:rPr>
            </w:pPr>
          </w:p>
        </w:tc>
        <w:tc>
          <w:tcPr>
            <w:tcW w:w="3117" w:type="dxa"/>
          </w:tcPr>
          <w:p w14:paraId="4F4FA602" w14:textId="77777777" w:rsidR="00A45649" w:rsidRPr="003C7672" w:rsidRDefault="00A45649" w:rsidP="0095638F">
            <w:pPr>
              <w:spacing w:line="360" w:lineRule="auto"/>
              <w:rPr>
                <w:rFonts w:ascii="Times New Roman" w:hAnsi="Times New Roman" w:cs="Times New Roman"/>
                <w:sz w:val="24"/>
                <w:szCs w:val="24"/>
              </w:rPr>
            </w:pPr>
          </w:p>
        </w:tc>
      </w:tr>
      <w:tr w:rsidR="00A45649" w:rsidRPr="003C7672" w14:paraId="019C4E36" w14:textId="77777777" w:rsidTr="0095638F">
        <w:tc>
          <w:tcPr>
            <w:tcW w:w="3116" w:type="dxa"/>
          </w:tcPr>
          <w:p w14:paraId="501A8B0B" w14:textId="77777777" w:rsidR="00A45649" w:rsidRPr="003C7672" w:rsidRDefault="00A45649" w:rsidP="0095638F">
            <w:pPr>
              <w:spacing w:line="360" w:lineRule="auto"/>
              <w:rPr>
                <w:rFonts w:ascii="Times New Roman" w:hAnsi="Times New Roman" w:cs="Times New Roman"/>
                <w:sz w:val="24"/>
                <w:szCs w:val="24"/>
              </w:rPr>
            </w:pPr>
            <w:r w:rsidRPr="003C7672">
              <w:rPr>
                <w:rFonts w:ascii="Times New Roman" w:hAnsi="Times New Roman" w:cs="Times New Roman"/>
                <w:sz w:val="24"/>
                <w:szCs w:val="24"/>
              </w:rPr>
              <w:t>3-6</w:t>
            </w:r>
          </w:p>
        </w:tc>
        <w:tc>
          <w:tcPr>
            <w:tcW w:w="3117" w:type="dxa"/>
          </w:tcPr>
          <w:p w14:paraId="2555153E" w14:textId="77777777" w:rsidR="00A45649" w:rsidRPr="003C7672" w:rsidRDefault="00A45649" w:rsidP="0095638F">
            <w:pPr>
              <w:spacing w:line="360" w:lineRule="auto"/>
              <w:rPr>
                <w:rFonts w:ascii="Times New Roman" w:hAnsi="Times New Roman" w:cs="Times New Roman"/>
                <w:sz w:val="24"/>
                <w:szCs w:val="24"/>
              </w:rPr>
            </w:pPr>
            <w:r w:rsidRPr="003C7672">
              <w:rPr>
                <w:rFonts w:ascii="Times New Roman" w:hAnsi="Times New Roman" w:cs="Times New Roman"/>
                <w:sz w:val="24"/>
                <w:szCs w:val="24"/>
              </w:rPr>
              <w:t>32</w:t>
            </w:r>
          </w:p>
        </w:tc>
        <w:tc>
          <w:tcPr>
            <w:tcW w:w="3117" w:type="dxa"/>
          </w:tcPr>
          <w:p w14:paraId="4C1CA2BF" w14:textId="77777777" w:rsidR="00A45649" w:rsidRPr="003C7672" w:rsidRDefault="00A45649" w:rsidP="0095638F">
            <w:pPr>
              <w:spacing w:line="360" w:lineRule="auto"/>
              <w:rPr>
                <w:rFonts w:ascii="Times New Roman" w:hAnsi="Times New Roman" w:cs="Times New Roman"/>
                <w:sz w:val="24"/>
                <w:szCs w:val="24"/>
              </w:rPr>
            </w:pPr>
            <w:r w:rsidRPr="003C7672">
              <w:rPr>
                <w:rFonts w:ascii="Times New Roman" w:hAnsi="Times New Roman" w:cs="Times New Roman"/>
                <w:sz w:val="24"/>
                <w:szCs w:val="24"/>
              </w:rPr>
              <w:t>12.9</w:t>
            </w:r>
          </w:p>
        </w:tc>
      </w:tr>
      <w:tr w:rsidR="00A45649" w:rsidRPr="003C7672" w14:paraId="1050058B" w14:textId="77777777" w:rsidTr="0095638F">
        <w:tc>
          <w:tcPr>
            <w:tcW w:w="3116" w:type="dxa"/>
          </w:tcPr>
          <w:p w14:paraId="64711268" w14:textId="77777777" w:rsidR="00A45649" w:rsidRPr="003C7672" w:rsidRDefault="00A45649" w:rsidP="0095638F">
            <w:pPr>
              <w:spacing w:line="360" w:lineRule="auto"/>
              <w:rPr>
                <w:rFonts w:ascii="Times New Roman" w:hAnsi="Times New Roman" w:cs="Times New Roman"/>
                <w:sz w:val="24"/>
                <w:szCs w:val="24"/>
              </w:rPr>
            </w:pPr>
            <w:r w:rsidRPr="003C7672">
              <w:rPr>
                <w:rFonts w:ascii="Times New Roman" w:hAnsi="Times New Roman" w:cs="Times New Roman"/>
                <w:sz w:val="24"/>
                <w:szCs w:val="24"/>
              </w:rPr>
              <w:t>7-10</w:t>
            </w:r>
          </w:p>
        </w:tc>
        <w:tc>
          <w:tcPr>
            <w:tcW w:w="3117" w:type="dxa"/>
          </w:tcPr>
          <w:p w14:paraId="60DC00BD" w14:textId="77777777" w:rsidR="00A45649" w:rsidRPr="003C7672" w:rsidRDefault="00A45649" w:rsidP="0095638F">
            <w:pPr>
              <w:spacing w:line="360" w:lineRule="auto"/>
              <w:rPr>
                <w:rFonts w:ascii="Times New Roman" w:hAnsi="Times New Roman" w:cs="Times New Roman"/>
                <w:sz w:val="24"/>
                <w:szCs w:val="24"/>
              </w:rPr>
            </w:pPr>
            <w:r w:rsidRPr="003C7672">
              <w:rPr>
                <w:rFonts w:ascii="Times New Roman" w:hAnsi="Times New Roman" w:cs="Times New Roman"/>
                <w:sz w:val="24"/>
                <w:szCs w:val="24"/>
              </w:rPr>
              <w:t>144</w:t>
            </w:r>
          </w:p>
        </w:tc>
        <w:tc>
          <w:tcPr>
            <w:tcW w:w="3117" w:type="dxa"/>
          </w:tcPr>
          <w:p w14:paraId="7315399C" w14:textId="77777777" w:rsidR="00A45649" w:rsidRPr="003C7672" w:rsidRDefault="00A45649" w:rsidP="0095638F">
            <w:pPr>
              <w:spacing w:line="360" w:lineRule="auto"/>
              <w:rPr>
                <w:rFonts w:ascii="Times New Roman" w:hAnsi="Times New Roman" w:cs="Times New Roman"/>
                <w:sz w:val="24"/>
                <w:szCs w:val="24"/>
              </w:rPr>
            </w:pPr>
            <w:r w:rsidRPr="003C7672">
              <w:rPr>
                <w:rFonts w:ascii="Times New Roman" w:hAnsi="Times New Roman" w:cs="Times New Roman"/>
                <w:sz w:val="24"/>
                <w:szCs w:val="24"/>
              </w:rPr>
              <w:t>57.8</w:t>
            </w:r>
          </w:p>
        </w:tc>
      </w:tr>
      <w:tr w:rsidR="00A45649" w:rsidRPr="003C7672" w14:paraId="34D83456" w14:textId="77777777" w:rsidTr="0095638F">
        <w:tc>
          <w:tcPr>
            <w:tcW w:w="3116" w:type="dxa"/>
          </w:tcPr>
          <w:p w14:paraId="68F16050" w14:textId="77777777" w:rsidR="00A45649" w:rsidRPr="003C7672" w:rsidRDefault="00A45649" w:rsidP="0095638F">
            <w:pPr>
              <w:spacing w:line="360" w:lineRule="auto"/>
              <w:rPr>
                <w:rFonts w:ascii="Times New Roman" w:hAnsi="Times New Roman" w:cs="Times New Roman"/>
                <w:sz w:val="24"/>
                <w:szCs w:val="24"/>
              </w:rPr>
            </w:pPr>
            <w:r w:rsidRPr="003C7672">
              <w:rPr>
                <w:rFonts w:ascii="Times New Roman" w:hAnsi="Times New Roman" w:cs="Times New Roman"/>
                <w:sz w:val="24"/>
                <w:szCs w:val="24"/>
              </w:rPr>
              <w:t>11-15</w:t>
            </w:r>
          </w:p>
        </w:tc>
        <w:tc>
          <w:tcPr>
            <w:tcW w:w="3117" w:type="dxa"/>
          </w:tcPr>
          <w:p w14:paraId="0F08CD75" w14:textId="77777777" w:rsidR="00A45649" w:rsidRPr="003C7672" w:rsidRDefault="00A45649" w:rsidP="0095638F">
            <w:pPr>
              <w:spacing w:line="360" w:lineRule="auto"/>
              <w:rPr>
                <w:rFonts w:ascii="Times New Roman" w:hAnsi="Times New Roman" w:cs="Times New Roman"/>
                <w:sz w:val="24"/>
                <w:szCs w:val="24"/>
              </w:rPr>
            </w:pPr>
            <w:r w:rsidRPr="003C7672">
              <w:rPr>
                <w:rFonts w:ascii="Times New Roman" w:hAnsi="Times New Roman" w:cs="Times New Roman"/>
                <w:sz w:val="24"/>
                <w:szCs w:val="24"/>
              </w:rPr>
              <w:t>73</w:t>
            </w:r>
          </w:p>
        </w:tc>
        <w:tc>
          <w:tcPr>
            <w:tcW w:w="3117" w:type="dxa"/>
          </w:tcPr>
          <w:p w14:paraId="5FBEC6A9" w14:textId="77777777" w:rsidR="00A45649" w:rsidRPr="003C7672" w:rsidRDefault="00A45649" w:rsidP="0095638F">
            <w:pPr>
              <w:spacing w:line="360" w:lineRule="auto"/>
              <w:rPr>
                <w:rFonts w:ascii="Times New Roman" w:hAnsi="Times New Roman" w:cs="Times New Roman"/>
                <w:sz w:val="24"/>
                <w:szCs w:val="24"/>
              </w:rPr>
            </w:pPr>
            <w:r w:rsidRPr="003C7672">
              <w:rPr>
                <w:rFonts w:ascii="Times New Roman" w:hAnsi="Times New Roman" w:cs="Times New Roman"/>
                <w:sz w:val="24"/>
                <w:szCs w:val="24"/>
              </w:rPr>
              <w:t>29.3</w:t>
            </w:r>
          </w:p>
        </w:tc>
      </w:tr>
      <w:tr w:rsidR="00A45649" w:rsidRPr="003C7672" w14:paraId="09B1834D" w14:textId="77777777" w:rsidTr="0095638F">
        <w:tc>
          <w:tcPr>
            <w:tcW w:w="3116" w:type="dxa"/>
          </w:tcPr>
          <w:p w14:paraId="655C9325" w14:textId="77777777" w:rsidR="00A45649" w:rsidRPr="003C7672" w:rsidRDefault="00A45649" w:rsidP="0095638F">
            <w:pPr>
              <w:spacing w:line="360" w:lineRule="auto"/>
              <w:rPr>
                <w:rFonts w:ascii="Times New Roman" w:hAnsi="Times New Roman" w:cs="Times New Roman"/>
                <w:b/>
                <w:sz w:val="24"/>
                <w:szCs w:val="24"/>
              </w:rPr>
            </w:pPr>
            <w:r w:rsidRPr="003C7672">
              <w:rPr>
                <w:rFonts w:ascii="Times New Roman" w:hAnsi="Times New Roman" w:cs="Times New Roman"/>
                <w:b/>
                <w:sz w:val="24"/>
                <w:szCs w:val="24"/>
              </w:rPr>
              <w:t>Class grade</w:t>
            </w:r>
          </w:p>
        </w:tc>
        <w:tc>
          <w:tcPr>
            <w:tcW w:w="3117" w:type="dxa"/>
          </w:tcPr>
          <w:p w14:paraId="2B85CC5B" w14:textId="77777777" w:rsidR="00A45649" w:rsidRPr="003C7672" w:rsidRDefault="00A45649" w:rsidP="0095638F">
            <w:pPr>
              <w:spacing w:line="360" w:lineRule="auto"/>
              <w:rPr>
                <w:rFonts w:ascii="Times New Roman" w:hAnsi="Times New Roman" w:cs="Times New Roman"/>
                <w:sz w:val="24"/>
                <w:szCs w:val="24"/>
              </w:rPr>
            </w:pPr>
          </w:p>
        </w:tc>
        <w:tc>
          <w:tcPr>
            <w:tcW w:w="3117" w:type="dxa"/>
          </w:tcPr>
          <w:p w14:paraId="46FD97B3" w14:textId="77777777" w:rsidR="00A45649" w:rsidRPr="003C7672" w:rsidRDefault="00A45649" w:rsidP="0095638F">
            <w:pPr>
              <w:spacing w:line="360" w:lineRule="auto"/>
              <w:rPr>
                <w:rFonts w:ascii="Times New Roman" w:hAnsi="Times New Roman" w:cs="Times New Roman"/>
                <w:sz w:val="24"/>
                <w:szCs w:val="24"/>
              </w:rPr>
            </w:pPr>
          </w:p>
        </w:tc>
      </w:tr>
      <w:tr w:rsidR="00A45649" w:rsidRPr="003C7672" w14:paraId="1E5B3B82" w14:textId="77777777" w:rsidTr="0095638F">
        <w:tc>
          <w:tcPr>
            <w:tcW w:w="3116" w:type="dxa"/>
          </w:tcPr>
          <w:p w14:paraId="7A06C935" w14:textId="77777777" w:rsidR="00A45649" w:rsidRPr="003C7672" w:rsidRDefault="00A45649" w:rsidP="0095638F">
            <w:pPr>
              <w:spacing w:line="360" w:lineRule="auto"/>
              <w:rPr>
                <w:rFonts w:ascii="Times New Roman" w:hAnsi="Times New Roman" w:cs="Times New Roman"/>
                <w:sz w:val="24"/>
                <w:szCs w:val="24"/>
              </w:rPr>
            </w:pPr>
            <w:r w:rsidRPr="003C7672">
              <w:rPr>
                <w:rFonts w:ascii="Times New Roman" w:hAnsi="Times New Roman" w:cs="Times New Roman"/>
                <w:sz w:val="24"/>
                <w:szCs w:val="24"/>
              </w:rPr>
              <w:t>Jnr</w:t>
            </w:r>
            <w:r w:rsidR="006E1609" w:rsidRPr="003C7672">
              <w:rPr>
                <w:rFonts w:ascii="Times New Roman" w:hAnsi="Times New Roman" w:cs="Times New Roman"/>
                <w:sz w:val="24"/>
                <w:szCs w:val="24"/>
              </w:rPr>
              <w:t>,</w:t>
            </w:r>
            <w:r w:rsidRPr="003C7672">
              <w:rPr>
                <w:rFonts w:ascii="Times New Roman" w:hAnsi="Times New Roman" w:cs="Times New Roman"/>
                <w:sz w:val="24"/>
                <w:szCs w:val="24"/>
              </w:rPr>
              <w:t xml:space="preserve"> Primary (1-3)</w:t>
            </w:r>
          </w:p>
        </w:tc>
        <w:tc>
          <w:tcPr>
            <w:tcW w:w="3117" w:type="dxa"/>
          </w:tcPr>
          <w:p w14:paraId="7161E4D8" w14:textId="77777777" w:rsidR="00A45649" w:rsidRPr="003C7672" w:rsidRDefault="00A45649" w:rsidP="0095638F">
            <w:pPr>
              <w:spacing w:line="360" w:lineRule="auto"/>
              <w:rPr>
                <w:rFonts w:ascii="Times New Roman" w:hAnsi="Times New Roman" w:cs="Times New Roman"/>
                <w:sz w:val="24"/>
                <w:szCs w:val="24"/>
              </w:rPr>
            </w:pPr>
            <w:r w:rsidRPr="003C7672">
              <w:rPr>
                <w:rFonts w:ascii="Times New Roman" w:hAnsi="Times New Roman" w:cs="Times New Roman"/>
                <w:sz w:val="24"/>
                <w:szCs w:val="24"/>
              </w:rPr>
              <w:t>115</w:t>
            </w:r>
          </w:p>
        </w:tc>
        <w:tc>
          <w:tcPr>
            <w:tcW w:w="3117" w:type="dxa"/>
          </w:tcPr>
          <w:p w14:paraId="53953691" w14:textId="77777777" w:rsidR="00A45649" w:rsidRPr="003C7672" w:rsidRDefault="00A45649" w:rsidP="0095638F">
            <w:pPr>
              <w:spacing w:line="360" w:lineRule="auto"/>
              <w:rPr>
                <w:rFonts w:ascii="Times New Roman" w:hAnsi="Times New Roman" w:cs="Times New Roman"/>
                <w:sz w:val="24"/>
                <w:szCs w:val="24"/>
              </w:rPr>
            </w:pPr>
            <w:r w:rsidRPr="003C7672">
              <w:rPr>
                <w:rFonts w:ascii="Times New Roman" w:hAnsi="Times New Roman" w:cs="Times New Roman"/>
                <w:sz w:val="24"/>
                <w:szCs w:val="24"/>
              </w:rPr>
              <w:t>46.2</w:t>
            </w:r>
          </w:p>
        </w:tc>
      </w:tr>
      <w:tr w:rsidR="00A45649" w:rsidRPr="003C7672" w14:paraId="28009CBF" w14:textId="77777777" w:rsidTr="0095638F">
        <w:tc>
          <w:tcPr>
            <w:tcW w:w="3116" w:type="dxa"/>
          </w:tcPr>
          <w:p w14:paraId="2D06B41B" w14:textId="77777777" w:rsidR="00A45649" w:rsidRPr="003C7672" w:rsidRDefault="00A45649" w:rsidP="0095638F">
            <w:pPr>
              <w:spacing w:line="360" w:lineRule="auto"/>
              <w:rPr>
                <w:rFonts w:ascii="Times New Roman" w:hAnsi="Times New Roman" w:cs="Times New Roman"/>
                <w:sz w:val="24"/>
                <w:szCs w:val="24"/>
              </w:rPr>
            </w:pPr>
            <w:r w:rsidRPr="003C7672">
              <w:rPr>
                <w:rFonts w:ascii="Times New Roman" w:hAnsi="Times New Roman" w:cs="Times New Roman"/>
                <w:sz w:val="24"/>
                <w:szCs w:val="24"/>
              </w:rPr>
              <w:t>Senior primary (4-6)</w:t>
            </w:r>
          </w:p>
        </w:tc>
        <w:tc>
          <w:tcPr>
            <w:tcW w:w="3117" w:type="dxa"/>
          </w:tcPr>
          <w:p w14:paraId="75384D64" w14:textId="77777777" w:rsidR="00A45649" w:rsidRPr="003C7672" w:rsidRDefault="00A45649" w:rsidP="0095638F">
            <w:pPr>
              <w:spacing w:line="360" w:lineRule="auto"/>
              <w:rPr>
                <w:rFonts w:ascii="Times New Roman" w:hAnsi="Times New Roman" w:cs="Times New Roman"/>
                <w:sz w:val="24"/>
                <w:szCs w:val="24"/>
              </w:rPr>
            </w:pPr>
            <w:r w:rsidRPr="003C7672">
              <w:rPr>
                <w:rFonts w:ascii="Times New Roman" w:hAnsi="Times New Roman" w:cs="Times New Roman"/>
                <w:sz w:val="24"/>
                <w:szCs w:val="24"/>
              </w:rPr>
              <w:t>134</w:t>
            </w:r>
          </w:p>
        </w:tc>
        <w:tc>
          <w:tcPr>
            <w:tcW w:w="3117" w:type="dxa"/>
          </w:tcPr>
          <w:p w14:paraId="0BFDF084" w14:textId="77777777" w:rsidR="00A45649" w:rsidRPr="003C7672" w:rsidRDefault="00A45649" w:rsidP="0095638F">
            <w:pPr>
              <w:spacing w:line="360" w:lineRule="auto"/>
              <w:rPr>
                <w:rFonts w:ascii="Times New Roman" w:hAnsi="Times New Roman" w:cs="Times New Roman"/>
                <w:sz w:val="24"/>
                <w:szCs w:val="24"/>
              </w:rPr>
            </w:pPr>
            <w:r w:rsidRPr="003C7672">
              <w:rPr>
                <w:rFonts w:ascii="Times New Roman" w:hAnsi="Times New Roman" w:cs="Times New Roman"/>
                <w:sz w:val="24"/>
                <w:szCs w:val="24"/>
              </w:rPr>
              <w:t>53.8</w:t>
            </w:r>
          </w:p>
        </w:tc>
      </w:tr>
      <w:tr w:rsidR="00A45649" w:rsidRPr="003C7672" w14:paraId="6F74A12D" w14:textId="77777777" w:rsidTr="0095638F">
        <w:tc>
          <w:tcPr>
            <w:tcW w:w="3116" w:type="dxa"/>
          </w:tcPr>
          <w:p w14:paraId="3A8A05FB" w14:textId="77777777" w:rsidR="00A45649" w:rsidRPr="003C7672" w:rsidRDefault="00A45649" w:rsidP="0095638F">
            <w:pPr>
              <w:spacing w:line="360" w:lineRule="auto"/>
              <w:rPr>
                <w:rFonts w:ascii="Times New Roman" w:hAnsi="Times New Roman" w:cs="Times New Roman"/>
                <w:b/>
                <w:sz w:val="24"/>
                <w:szCs w:val="24"/>
              </w:rPr>
            </w:pPr>
            <w:r w:rsidRPr="003C7672">
              <w:rPr>
                <w:rFonts w:ascii="Times New Roman" w:hAnsi="Times New Roman" w:cs="Times New Roman"/>
                <w:b/>
                <w:sz w:val="24"/>
                <w:szCs w:val="24"/>
              </w:rPr>
              <w:t>School attended</w:t>
            </w:r>
            <w:r w:rsidR="00974DBE" w:rsidRPr="003C7672">
              <w:rPr>
                <w:rFonts w:ascii="Times New Roman" w:hAnsi="Times New Roman" w:cs="Times New Roman"/>
                <w:b/>
                <w:sz w:val="24"/>
                <w:szCs w:val="24"/>
              </w:rPr>
              <w:t xml:space="preserve"> (Constituency)</w:t>
            </w:r>
          </w:p>
        </w:tc>
        <w:tc>
          <w:tcPr>
            <w:tcW w:w="3117" w:type="dxa"/>
          </w:tcPr>
          <w:p w14:paraId="5C1449AB" w14:textId="77777777" w:rsidR="00A45649" w:rsidRPr="003C7672" w:rsidRDefault="00A45649" w:rsidP="0095638F">
            <w:pPr>
              <w:spacing w:line="360" w:lineRule="auto"/>
              <w:rPr>
                <w:rFonts w:ascii="Times New Roman" w:hAnsi="Times New Roman" w:cs="Times New Roman"/>
                <w:sz w:val="24"/>
                <w:szCs w:val="24"/>
              </w:rPr>
            </w:pPr>
          </w:p>
        </w:tc>
        <w:tc>
          <w:tcPr>
            <w:tcW w:w="3117" w:type="dxa"/>
          </w:tcPr>
          <w:p w14:paraId="115B1D02" w14:textId="77777777" w:rsidR="00A45649" w:rsidRPr="003C7672" w:rsidRDefault="00A45649" w:rsidP="0095638F">
            <w:pPr>
              <w:spacing w:line="360" w:lineRule="auto"/>
              <w:rPr>
                <w:rFonts w:ascii="Times New Roman" w:hAnsi="Times New Roman" w:cs="Times New Roman"/>
                <w:sz w:val="24"/>
                <w:szCs w:val="24"/>
              </w:rPr>
            </w:pPr>
          </w:p>
        </w:tc>
      </w:tr>
      <w:tr w:rsidR="00A45649" w:rsidRPr="003C7672" w14:paraId="47C64803" w14:textId="77777777" w:rsidTr="0095638F">
        <w:tc>
          <w:tcPr>
            <w:tcW w:w="3116" w:type="dxa"/>
          </w:tcPr>
          <w:p w14:paraId="6858382D" w14:textId="77777777" w:rsidR="00A45649" w:rsidRPr="003C7672" w:rsidRDefault="00A45649" w:rsidP="0095638F">
            <w:pPr>
              <w:spacing w:line="360" w:lineRule="auto"/>
              <w:rPr>
                <w:rFonts w:ascii="Times New Roman" w:hAnsi="Times New Roman" w:cs="Times New Roman"/>
                <w:sz w:val="24"/>
                <w:szCs w:val="24"/>
              </w:rPr>
            </w:pPr>
            <w:r w:rsidRPr="003C7672">
              <w:rPr>
                <w:rFonts w:ascii="Times New Roman" w:hAnsi="Times New Roman" w:cs="Times New Roman"/>
                <w:sz w:val="24"/>
                <w:szCs w:val="24"/>
              </w:rPr>
              <w:t>L.O.I.M.P.S</w:t>
            </w:r>
            <w:r w:rsidR="004F20E9" w:rsidRPr="003C7672">
              <w:rPr>
                <w:rFonts w:ascii="Times New Roman" w:hAnsi="Times New Roman" w:cs="Times New Roman"/>
                <w:sz w:val="24"/>
                <w:szCs w:val="24"/>
              </w:rPr>
              <w:t xml:space="preserve"> </w:t>
            </w:r>
            <w:r w:rsidR="00974DBE" w:rsidRPr="003C7672">
              <w:rPr>
                <w:rFonts w:ascii="Times New Roman" w:hAnsi="Times New Roman" w:cs="Times New Roman"/>
                <w:sz w:val="24"/>
                <w:szCs w:val="24"/>
              </w:rPr>
              <w:t>(</w:t>
            </w:r>
            <w:proofErr w:type="spellStart"/>
            <w:r w:rsidR="00974DBE" w:rsidRPr="003C7672">
              <w:rPr>
                <w:rFonts w:ascii="Times New Roman" w:hAnsi="Times New Roman" w:cs="Times New Roman"/>
                <w:sz w:val="24"/>
                <w:szCs w:val="24"/>
              </w:rPr>
              <w:t>Ndemyi</w:t>
            </w:r>
            <w:proofErr w:type="spellEnd"/>
            <w:r w:rsidR="00974DBE" w:rsidRPr="003C7672">
              <w:rPr>
                <w:rFonts w:ascii="Times New Roman" w:hAnsi="Times New Roman" w:cs="Times New Roman"/>
                <w:sz w:val="24"/>
                <w:szCs w:val="24"/>
              </w:rPr>
              <w:t>)</w:t>
            </w:r>
          </w:p>
        </w:tc>
        <w:tc>
          <w:tcPr>
            <w:tcW w:w="3117" w:type="dxa"/>
          </w:tcPr>
          <w:p w14:paraId="1B7007DE" w14:textId="77777777" w:rsidR="00A45649" w:rsidRPr="003C7672" w:rsidRDefault="00A45649" w:rsidP="0095638F">
            <w:pPr>
              <w:spacing w:line="360" w:lineRule="auto"/>
              <w:rPr>
                <w:rFonts w:ascii="Times New Roman" w:hAnsi="Times New Roman" w:cs="Times New Roman"/>
                <w:sz w:val="24"/>
                <w:szCs w:val="24"/>
              </w:rPr>
            </w:pPr>
            <w:r w:rsidRPr="003C7672">
              <w:rPr>
                <w:rFonts w:ascii="Times New Roman" w:hAnsi="Times New Roman" w:cs="Times New Roman"/>
                <w:sz w:val="24"/>
                <w:szCs w:val="24"/>
              </w:rPr>
              <w:t>119</w:t>
            </w:r>
          </w:p>
        </w:tc>
        <w:tc>
          <w:tcPr>
            <w:tcW w:w="3117" w:type="dxa"/>
          </w:tcPr>
          <w:p w14:paraId="33EA8A3E" w14:textId="77777777" w:rsidR="00A45649" w:rsidRPr="003C7672" w:rsidRDefault="00A45649" w:rsidP="0095638F">
            <w:pPr>
              <w:spacing w:line="360" w:lineRule="auto"/>
              <w:rPr>
                <w:rFonts w:ascii="Times New Roman" w:hAnsi="Times New Roman" w:cs="Times New Roman"/>
                <w:sz w:val="24"/>
                <w:szCs w:val="24"/>
              </w:rPr>
            </w:pPr>
            <w:r w:rsidRPr="003C7672">
              <w:rPr>
                <w:rFonts w:ascii="Times New Roman" w:hAnsi="Times New Roman" w:cs="Times New Roman"/>
                <w:sz w:val="24"/>
                <w:szCs w:val="24"/>
              </w:rPr>
              <w:t>47.8</w:t>
            </w:r>
          </w:p>
        </w:tc>
      </w:tr>
      <w:tr w:rsidR="00A45649" w:rsidRPr="003C7672" w14:paraId="4375ADBE" w14:textId="77777777" w:rsidTr="0095638F">
        <w:tc>
          <w:tcPr>
            <w:tcW w:w="3116" w:type="dxa"/>
          </w:tcPr>
          <w:p w14:paraId="1CC56C9D" w14:textId="77777777" w:rsidR="00A45649" w:rsidRPr="003C7672" w:rsidRDefault="00A45649" w:rsidP="0095638F">
            <w:pPr>
              <w:spacing w:line="360" w:lineRule="auto"/>
              <w:rPr>
                <w:rFonts w:ascii="Times New Roman" w:hAnsi="Times New Roman" w:cs="Times New Roman"/>
                <w:sz w:val="24"/>
                <w:szCs w:val="24"/>
              </w:rPr>
            </w:pPr>
            <w:r w:rsidRPr="003C7672">
              <w:rPr>
                <w:rFonts w:ascii="Times New Roman" w:hAnsi="Times New Roman" w:cs="Times New Roman"/>
                <w:sz w:val="24"/>
                <w:szCs w:val="24"/>
              </w:rPr>
              <w:t>U.C.P.S.1</w:t>
            </w:r>
            <w:r w:rsidR="00974DBE" w:rsidRPr="003C7672">
              <w:rPr>
                <w:rFonts w:ascii="Times New Roman" w:hAnsi="Times New Roman" w:cs="Times New Roman"/>
                <w:sz w:val="24"/>
                <w:szCs w:val="24"/>
              </w:rPr>
              <w:t xml:space="preserve"> (</w:t>
            </w:r>
            <w:proofErr w:type="spellStart"/>
            <w:r w:rsidR="00974DBE" w:rsidRPr="003C7672">
              <w:rPr>
                <w:rFonts w:ascii="Times New Roman" w:hAnsi="Times New Roman" w:cs="Times New Roman"/>
                <w:sz w:val="24"/>
                <w:szCs w:val="24"/>
              </w:rPr>
              <w:t>Amagu</w:t>
            </w:r>
            <w:proofErr w:type="spellEnd"/>
            <w:r w:rsidR="00974DBE" w:rsidRPr="003C7672">
              <w:rPr>
                <w:rFonts w:ascii="Times New Roman" w:hAnsi="Times New Roman" w:cs="Times New Roman"/>
                <w:sz w:val="24"/>
                <w:szCs w:val="24"/>
              </w:rPr>
              <w:t>)</w:t>
            </w:r>
          </w:p>
        </w:tc>
        <w:tc>
          <w:tcPr>
            <w:tcW w:w="3117" w:type="dxa"/>
          </w:tcPr>
          <w:p w14:paraId="5CE48E7D" w14:textId="77777777" w:rsidR="00A45649" w:rsidRPr="003C7672" w:rsidRDefault="00A45649" w:rsidP="0095638F">
            <w:pPr>
              <w:spacing w:line="360" w:lineRule="auto"/>
              <w:rPr>
                <w:rFonts w:ascii="Times New Roman" w:hAnsi="Times New Roman" w:cs="Times New Roman"/>
                <w:sz w:val="24"/>
                <w:szCs w:val="24"/>
              </w:rPr>
            </w:pPr>
            <w:r w:rsidRPr="003C7672">
              <w:rPr>
                <w:rFonts w:ascii="Times New Roman" w:hAnsi="Times New Roman" w:cs="Times New Roman"/>
                <w:sz w:val="24"/>
                <w:szCs w:val="24"/>
              </w:rPr>
              <w:t>74</w:t>
            </w:r>
          </w:p>
        </w:tc>
        <w:tc>
          <w:tcPr>
            <w:tcW w:w="3117" w:type="dxa"/>
          </w:tcPr>
          <w:p w14:paraId="473B27E1" w14:textId="77777777" w:rsidR="00A45649" w:rsidRPr="003C7672" w:rsidRDefault="00A45649" w:rsidP="0095638F">
            <w:pPr>
              <w:spacing w:line="360" w:lineRule="auto"/>
              <w:rPr>
                <w:rFonts w:ascii="Times New Roman" w:hAnsi="Times New Roman" w:cs="Times New Roman"/>
                <w:sz w:val="24"/>
                <w:szCs w:val="24"/>
              </w:rPr>
            </w:pPr>
            <w:r w:rsidRPr="003C7672">
              <w:rPr>
                <w:rFonts w:ascii="Times New Roman" w:hAnsi="Times New Roman" w:cs="Times New Roman"/>
                <w:sz w:val="24"/>
                <w:szCs w:val="24"/>
              </w:rPr>
              <w:t>29.7</w:t>
            </w:r>
          </w:p>
        </w:tc>
      </w:tr>
      <w:tr w:rsidR="00A45649" w:rsidRPr="003C7672" w14:paraId="2E6C3C77" w14:textId="77777777" w:rsidTr="0095638F">
        <w:tc>
          <w:tcPr>
            <w:tcW w:w="3116" w:type="dxa"/>
          </w:tcPr>
          <w:p w14:paraId="1497250C" w14:textId="77777777" w:rsidR="00A45649" w:rsidRPr="003C7672" w:rsidRDefault="00A45649" w:rsidP="0095638F">
            <w:pPr>
              <w:spacing w:line="360" w:lineRule="auto"/>
              <w:rPr>
                <w:rFonts w:ascii="Times New Roman" w:hAnsi="Times New Roman" w:cs="Times New Roman"/>
                <w:sz w:val="24"/>
                <w:szCs w:val="24"/>
              </w:rPr>
            </w:pPr>
            <w:r w:rsidRPr="003C7672">
              <w:rPr>
                <w:rFonts w:ascii="Times New Roman" w:hAnsi="Times New Roman" w:cs="Times New Roman"/>
                <w:sz w:val="24"/>
                <w:szCs w:val="24"/>
              </w:rPr>
              <w:t>U.C.P.S 2</w:t>
            </w:r>
            <w:r w:rsidR="00974DBE" w:rsidRPr="003C7672">
              <w:rPr>
                <w:rFonts w:ascii="Times New Roman" w:hAnsi="Times New Roman" w:cs="Times New Roman"/>
                <w:sz w:val="24"/>
                <w:szCs w:val="24"/>
              </w:rPr>
              <w:t xml:space="preserve"> (</w:t>
            </w:r>
            <w:proofErr w:type="spellStart"/>
            <w:r w:rsidR="00974DBE" w:rsidRPr="003C7672">
              <w:rPr>
                <w:rFonts w:ascii="Times New Roman" w:hAnsi="Times New Roman" w:cs="Times New Roman"/>
                <w:sz w:val="24"/>
                <w:szCs w:val="24"/>
              </w:rPr>
              <w:t>Uhuetiti</w:t>
            </w:r>
            <w:proofErr w:type="spellEnd"/>
            <w:r w:rsidR="00974DBE" w:rsidRPr="003C7672">
              <w:rPr>
                <w:rFonts w:ascii="Times New Roman" w:hAnsi="Times New Roman" w:cs="Times New Roman"/>
                <w:sz w:val="24"/>
                <w:szCs w:val="24"/>
              </w:rPr>
              <w:t>)</w:t>
            </w:r>
          </w:p>
        </w:tc>
        <w:tc>
          <w:tcPr>
            <w:tcW w:w="3117" w:type="dxa"/>
          </w:tcPr>
          <w:p w14:paraId="0574FABB" w14:textId="77777777" w:rsidR="00A45649" w:rsidRPr="003C7672" w:rsidRDefault="00A45649" w:rsidP="0095638F">
            <w:pPr>
              <w:spacing w:line="360" w:lineRule="auto"/>
              <w:rPr>
                <w:rFonts w:ascii="Times New Roman" w:hAnsi="Times New Roman" w:cs="Times New Roman"/>
                <w:sz w:val="24"/>
                <w:szCs w:val="24"/>
              </w:rPr>
            </w:pPr>
            <w:r w:rsidRPr="003C7672">
              <w:rPr>
                <w:rFonts w:ascii="Times New Roman" w:hAnsi="Times New Roman" w:cs="Times New Roman"/>
                <w:sz w:val="24"/>
                <w:szCs w:val="24"/>
              </w:rPr>
              <w:t>56</w:t>
            </w:r>
          </w:p>
        </w:tc>
        <w:tc>
          <w:tcPr>
            <w:tcW w:w="3117" w:type="dxa"/>
          </w:tcPr>
          <w:p w14:paraId="73C38257" w14:textId="77777777" w:rsidR="00A45649" w:rsidRPr="003C7672" w:rsidRDefault="00A45649" w:rsidP="0095638F">
            <w:pPr>
              <w:spacing w:line="360" w:lineRule="auto"/>
              <w:rPr>
                <w:rFonts w:ascii="Times New Roman" w:hAnsi="Times New Roman" w:cs="Times New Roman"/>
                <w:sz w:val="24"/>
                <w:szCs w:val="24"/>
              </w:rPr>
            </w:pPr>
            <w:r w:rsidRPr="003C7672">
              <w:rPr>
                <w:rFonts w:ascii="Times New Roman" w:hAnsi="Times New Roman" w:cs="Times New Roman"/>
                <w:sz w:val="24"/>
                <w:szCs w:val="24"/>
              </w:rPr>
              <w:t>22.5</w:t>
            </w:r>
          </w:p>
        </w:tc>
      </w:tr>
    </w:tbl>
    <w:p w14:paraId="09587AA0" w14:textId="77777777" w:rsidR="00A45649" w:rsidRPr="003C7672" w:rsidRDefault="00A45649" w:rsidP="00A45649">
      <w:pPr>
        <w:spacing w:before="100" w:beforeAutospacing="1" w:after="100" w:afterAutospacing="1" w:line="360" w:lineRule="auto"/>
        <w:outlineLvl w:val="1"/>
        <w:rPr>
          <w:rFonts w:ascii="Times New Roman" w:eastAsia="Times New Roman" w:hAnsi="Times New Roman" w:cs="Times New Roman"/>
          <w:b/>
          <w:bCs/>
          <w:sz w:val="24"/>
          <w:szCs w:val="24"/>
        </w:rPr>
      </w:pPr>
    </w:p>
    <w:p w14:paraId="2264F3FD" w14:textId="77777777" w:rsidR="00A45649" w:rsidRPr="003C7672" w:rsidRDefault="00A45649" w:rsidP="00A45649">
      <w:pPr>
        <w:spacing w:before="100" w:beforeAutospacing="1" w:after="100" w:afterAutospacing="1" w:line="360" w:lineRule="auto"/>
        <w:outlineLvl w:val="1"/>
        <w:rPr>
          <w:rFonts w:ascii="Times New Roman" w:eastAsia="Times New Roman" w:hAnsi="Times New Roman" w:cs="Times New Roman"/>
          <w:b/>
          <w:bCs/>
          <w:sz w:val="24"/>
          <w:szCs w:val="24"/>
        </w:rPr>
      </w:pPr>
    </w:p>
    <w:p w14:paraId="15F0FCAA" w14:textId="77777777" w:rsidR="00A45649" w:rsidRPr="003C7672" w:rsidRDefault="00A45649" w:rsidP="00A45649">
      <w:pPr>
        <w:spacing w:before="100" w:beforeAutospacing="1" w:after="100" w:afterAutospacing="1" w:line="360" w:lineRule="auto"/>
        <w:outlineLvl w:val="1"/>
        <w:rPr>
          <w:rFonts w:ascii="Times New Roman" w:eastAsia="Times New Roman" w:hAnsi="Times New Roman" w:cs="Times New Roman"/>
          <w:b/>
          <w:bCs/>
          <w:sz w:val="24"/>
          <w:szCs w:val="24"/>
        </w:rPr>
      </w:pPr>
    </w:p>
    <w:p w14:paraId="5919D1BC" w14:textId="77777777" w:rsidR="00A45649" w:rsidRPr="003C7672" w:rsidRDefault="00A45649" w:rsidP="00A45649">
      <w:pPr>
        <w:spacing w:before="100" w:beforeAutospacing="1" w:after="100" w:afterAutospacing="1" w:line="360" w:lineRule="auto"/>
        <w:outlineLvl w:val="1"/>
        <w:rPr>
          <w:rFonts w:ascii="Times New Roman" w:eastAsia="Times New Roman" w:hAnsi="Times New Roman" w:cs="Times New Roman"/>
          <w:b/>
          <w:bCs/>
          <w:sz w:val="24"/>
          <w:szCs w:val="24"/>
        </w:rPr>
      </w:pPr>
    </w:p>
    <w:p w14:paraId="4E8FFA2E" w14:textId="77777777" w:rsidR="00A45649" w:rsidRPr="003C7672" w:rsidRDefault="00A45649" w:rsidP="00A45649"/>
    <w:p w14:paraId="047D8B3C" w14:textId="77777777" w:rsidR="00A45649" w:rsidRPr="003C7672" w:rsidRDefault="00A45649" w:rsidP="00A45649"/>
    <w:p w14:paraId="5F532C13" w14:textId="77777777" w:rsidR="00A45649" w:rsidRPr="003C7672" w:rsidRDefault="00A45649" w:rsidP="00A45649">
      <w:pPr>
        <w:spacing w:before="100" w:beforeAutospacing="1" w:after="100" w:afterAutospacing="1" w:line="360" w:lineRule="auto"/>
        <w:outlineLvl w:val="1"/>
        <w:rPr>
          <w:rFonts w:ascii="Times New Roman" w:eastAsia="Times New Roman" w:hAnsi="Times New Roman" w:cs="Times New Roman"/>
          <w:b/>
          <w:bCs/>
          <w:sz w:val="24"/>
          <w:szCs w:val="24"/>
        </w:rPr>
      </w:pPr>
    </w:p>
    <w:p w14:paraId="14CEC659" w14:textId="77777777" w:rsidR="00A45649" w:rsidRPr="003C7672" w:rsidRDefault="00A45649" w:rsidP="00A45649">
      <w:pPr>
        <w:spacing w:before="100" w:beforeAutospacing="1" w:after="100" w:afterAutospacing="1" w:line="360" w:lineRule="auto"/>
        <w:outlineLvl w:val="1"/>
        <w:rPr>
          <w:rFonts w:ascii="Times New Roman" w:eastAsia="Times New Roman" w:hAnsi="Times New Roman" w:cs="Times New Roman"/>
          <w:b/>
          <w:bCs/>
          <w:sz w:val="24"/>
          <w:szCs w:val="24"/>
        </w:rPr>
      </w:pPr>
    </w:p>
    <w:p w14:paraId="5B9BF7F5" w14:textId="77777777" w:rsidR="00A45649" w:rsidRPr="003C7672" w:rsidRDefault="00A45649" w:rsidP="00F50B23">
      <w:pPr>
        <w:spacing w:after="0" w:line="240" w:lineRule="auto"/>
        <w:outlineLvl w:val="1"/>
        <w:rPr>
          <w:rFonts w:ascii="Times New Roman" w:eastAsia="Times New Roman" w:hAnsi="Times New Roman" w:cs="Times New Roman"/>
          <w:b/>
          <w:bCs/>
          <w:sz w:val="24"/>
          <w:szCs w:val="24"/>
        </w:rPr>
      </w:pPr>
      <w:r w:rsidRPr="003C7672">
        <w:rPr>
          <w:rFonts w:ascii="Times New Roman" w:eastAsia="Times New Roman" w:hAnsi="Times New Roman" w:cs="Times New Roman"/>
          <w:b/>
          <w:bCs/>
          <w:sz w:val="24"/>
          <w:szCs w:val="24"/>
        </w:rPr>
        <w:lastRenderedPageBreak/>
        <w:t>Overall Prevalence of Malaria, Soil-transmitted Helminths (STH) and malaria-STH Co-infection</w:t>
      </w:r>
    </w:p>
    <w:p w14:paraId="0984519E" w14:textId="77777777" w:rsidR="00A45649" w:rsidRPr="003C7672" w:rsidRDefault="00A45649" w:rsidP="00F50B23">
      <w:pPr>
        <w:spacing w:after="0" w:line="360" w:lineRule="auto"/>
        <w:jc w:val="both"/>
        <w:rPr>
          <w:rFonts w:ascii="Times New Roman" w:eastAsia="Times New Roman" w:hAnsi="Times New Roman" w:cs="Times New Roman"/>
          <w:sz w:val="24"/>
          <w:szCs w:val="24"/>
        </w:rPr>
      </w:pPr>
      <w:r w:rsidRPr="003C7672">
        <w:rPr>
          <w:rFonts w:ascii="Times New Roman" w:hAnsi="Times New Roman" w:cs="Times New Roman"/>
          <w:color w:val="1C1C1C"/>
          <w:sz w:val="24"/>
          <w:szCs w:val="24"/>
          <w:shd w:val="clear" w:color="auto" w:fill="FFFFFF"/>
        </w:rPr>
        <w:t>Among a sample of 249 pupils, 96 (38.6%) tested positive for malaria, and 91 (36.5%) tested positive for soil-transmitted helminth (STH) infection. Co-infection of malaria and STH was observed in 18 pupils (7.2%), while 231 (92.8%) were negative for both i</w:t>
      </w:r>
      <w:r w:rsidR="003E0CEA" w:rsidRPr="003C7672">
        <w:rPr>
          <w:rFonts w:ascii="Times New Roman" w:hAnsi="Times New Roman" w:cs="Times New Roman"/>
          <w:color w:val="1C1C1C"/>
          <w:sz w:val="24"/>
          <w:szCs w:val="24"/>
          <w:shd w:val="clear" w:color="auto" w:fill="FFFFFF"/>
        </w:rPr>
        <w:t>nfections (Figure 1</w:t>
      </w:r>
      <w:r w:rsidRPr="003C7672">
        <w:rPr>
          <w:rFonts w:ascii="Times New Roman" w:hAnsi="Times New Roman" w:cs="Times New Roman"/>
          <w:color w:val="1C1C1C"/>
          <w:sz w:val="24"/>
          <w:szCs w:val="24"/>
          <w:shd w:val="clear" w:color="auto" w:fill="FFFFFF"/>
        </w:rPr>
        <w:t>).</w:t>
      </w:r>
    </w:p>
    <w:p w14:paraId="343BC52F" w14:textId="77777777" w:rsidR="00A45649" w:rsidRPr="003C7672" w:rsidRDefault="00A45649" w:rsidP="00A45649">
      <w:pPr>
        <w:spacing w:before="100" w:beforeAutospacing="1" w:after="100" w:afterAutospacing="1" w:line="360" w:lineRule="auto"/>
        <w:rPr>
          <w:rFonts w:ascii="Times New Roman" w:eastAsia="Times New Roman" w:hAnsi="Times New Roman" w:cs="Times New Roman"/>
          <w:sz w:val="24"/>
          <w:szCs w:val="24"/>
        </w:rPr>
      </w:pPr>
      <w:r w:rsidRPr="003C7672">
        <w:rPr>
          <w:rFonts w:ascii="Times New Roman" w:hAnsi="Times New Roman" w:cs="Times New Roman"/>
          <w:noProof/>
          <w:sz w:val="24"/>
          <w:szCs w:val="24"/>
        </w:rPr>
        <w:drawing>
          <wp:inline distT="0" distB="0" distL="0" distR="0" wp14:anchorId="5249BA1A" wp14:editId="717569A2">
            <wp:extent cx="6351270" cy="3009417"/>
            <wp:effectExtent l="0" t="0" r="11430" b="63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4086B0C" w14:textId="77777777" w:rsidR="00A45649" w:rsidRPr="003C7672" w:rsidRDefault="003E0CEA" w:rsidP="005A1D8E">
      <w:pPr>
        <w:spacing w:before="100" w:beforeAutospacing="1" w:after="100" w:afterAutospacing="1"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Figure 1</w:t>
      </w:r>
      <w:r w:rsidR="00A45649" w:rsidRPr="003C7672">
        <w:rPr>
          <w:rFonts w:ascii="Times New Roman" w:eastAsia="Times New Roman" w:hAnsi="Times New Roman" w:cs="Times New Roman"/>
          <w:sz w:val="24"/>
          <w:szCs w:val="24"/>
        </w:rPr>
        <w:t>: Overall prevalence of malaria, soil-transmitted helminths, and malaria-STH co-infection among primary school children in the Unwana Community.</w:t>
      </w:r>
    </w:p>
    <w:p w14:paraId="01FF9670" w14:textId="77777777" w:rsidR="00A45649" w:rsidRPr="003C7672" w:rsidRDefault="00A45649" w:rsidP="00F50B23">
      <w:pPr>
        <w:spacing w:after="0" w:line="360" w:lineRule="auto"/>
        <w:outlineLvl w:val="1"/>
        <w:rPr>
          <w:rFonts w:ascii="Times New Roman" w:eastAsia="Times New Roman" w:hAnsi="Times New Roman" w:cs="Times New Roman"/>
          <w:b/>
          <w:bCs/>
          <w:sz w:val="24"/>
          <w:szCs w:val="24"/>
        </w:rPr>
      </w:pPr>
      <w:r w:rsidRPr="003C7672">
        <w:rPr>
          <w:rFonts w:ascii="Times New Roman" w:eastAsia="Times New Roman" w:hAnsi="Times New Roman" w:cs="Times New Roman"/>
          <w:b/>
          <w:bCs/>
          <w:sz w:val="24"/>
          <w:szCs w:val="24"/>
        </w:rPr>
        <w:t>Prevalence of Single and Double Infections Caused by Soil-Transmitted Helminths</w:t>
      </w:r>
    </w:p>
    <w:p w14:paraId="453AE987" w14:textId="77777777" w:rsidR="00A45649" w:rsidRPr="003C7672" w:rsidRDefault="00A45649" w:rsidP="00F50B23">
      <w:pPr>
        <w:spacing w:after="0" w:line="360" w:lineRule="auto"/>
        <w:jc w:val="both"/>
        <w:rPr>
          <w:rFonts w:ascii="Times New Roman" w:hAnsi="Times New Roman" w:cs="Times New Roman"/>
          <w:sz w:val="24"/>
          <w:szCs w:val="24"/>
        </w:rPr>
      </w:pPr>
      <w:r w:rsidRPr="003C7672">
        <w:rPr>
          <w:rFonts w:ascii="Times New Roman" w:hAnsi="Times New Roman" w:cs="Times New Roman"/>
          <w:color w:val="1C1C1C"/>
          <w:sz w:val="24"/>
          <w:szCs w:val="24"/>
          <w:shd w:val="clear" w:color="auto" w:fill="FFFFFF"/>
        </w:rPr>
        <w:t xml:space="preserve">Out of the total number of individuals infected with soil-transmitted helminths (STH), which accounted for 36.5% (n=91), the specific infections were as follows: 41 individuals (16.5%) tested positive for single infections of </w:t>
      </w:r>
      <w:r w:rsidRPr="003C7672">
        <w:rPr>
          <w:rFonts w:ascii="Times New Roman" w:hAnsi="Times New Roman" w:cs="Times New Roman"/>
          <w:i/>
          <w:color w:val="1C1C1C"/>
          <w:sz w:val="24"/>
          <w:szCs w:val="24"/>
          <w:shd w:val="clear" w:color="auto" w:fill="FFFFFF"/>
        </w:rPr>
        <w:t>Ascaris lumbricoides</w:t>
      </w:r>
      <w:r w:rsidRPr="003C7672">
        <w:rPr>
          <w:rFonts w:ascii="Times New Roman" w:hAnsi="Times New Roman" w:cs="Times New Roman"/>
          <w:color w:val="1C1C1C"/>
          <w:sz w:val="24"/>
          <w:szCs w:val="24"/>
          <w:shd w:val="clear" w:color="auto" w:fill="FFFFFF"/>
        </w:rPr>
        <w:t xml:space="preserve">, 14 individuals (5.6%) had single infections of </w:t>
      </w:r>
      <w:r w:rsidRPr="003C7672">
        <w:rPr>
          <w:rFonts w:ascii="Times New Roman" w:hAnsi="Times New Roman" w:cs="Times New Roman"/>
          <w:i/>
          <w:color w:val="1C1C1C"/>
          <w:sz w:val="24"/>
          <w:szCs w:val="24"/>
          <w:shd w:val="clear" w:color="auto" w:fill="FFFFFF"/>
        </w:rPr>
        <w:t xml:space="preserve">Trichuris </w:t>
      </w:r>
      <w:proofErr w:type="spellStart"/>
      <w:r w:rsidRPr="003C7672">
        <w:rPr>
          <w:rFonts w:ascii="Times New Roman" w:hAnsi="Times New Roman" w:cs="Times New Roman"/>
          <w:i/>
          <w:color w:val="1C1C1C"/>
          <w:sz w:val="24"/>
          <w:szCs w:val="24"/>
          <w:shd w:val="clear" w:color="auto" w:fill="FFFFFF"/>
        </w:rPr>
        <w:t>trichiura</w:t>
      </w:r>
      <w:proofErr w:type="spellEnd"/>
      <w:r w:rsidRPr="003C7672">
        <w:rPr>
          <w:rFonts w:ascii="Times New Roman" w:hAnsi="Times New Roman" w:cs="Times New Roman"/>
          <w:color w:val="1C1C1C"/>
          <w:sz w:val="24"/>
          <w:szCs w:val="24"/>
          <w:shd w:val="clear" w:color="auto" w:fill="FFFFFF"/>
        </w:rPr>
        <w:t>, and 19 individuals (7.6%) were infected with hookworm (</w:t>
      </w:r>
      <w:r w:rsidR="003E0CEA" w:rsidRPr="003C7672">
        <w:rPr>
          <w:rFonts w:ascii="Times New Roman" w:hAnsi="Times New Roman" w:cs="Times New Roman"/>
          <w:color w:val="1C1C1C"/>
          <w:sz w:val="24"/>
          <w:szCs w:val="24"/>
          <w:shd w:val="clear" w:color="auto" w:fill="FFFFFF"/>
        </w:rPr>
        <w:t>Figure 2</w:t>
      </w:r>
      <w:r w:rsidRPr="003C7672">
        <w:rPr>
          <w:rFonts w:ascii="Times New Roman" w:hAnsi="Times New Roman" w:cs="Times New Roman"/>
          <w:color w:val="1C1C1C"/>
          <w:sz w:val="24"/>
          <w:szCs w:val="24"/>
          <w:shd w:val="clear" w:color="auto" w:fill="FFFFFF"/>
        </w:rPr>
        <w:t xml:space="preserve">). Additionally, double infections of STH were observed in 7 individuals (2.85%) who had both </w:t>
      </w:r>
      <w:r w:rsidR="00ED0DF7" w:rsidRPr="003C7672">
        <w:rPr>
          <w:rFonts w:ascii="Times New Roman" w:hAnsi="Times New Roman" w:cs="Times New Roman"/>
          <w:i/>
          <w:color w:val="1C1C1C"/>
          <w:sz w:val="24"/>
          <w:szCs w:val="24"/>
          <w:shd w:val="clear" w:color="auto" w:fill="FFFFFF"/>
        </w:rPr>
        <w:t>A. lumbricoides</w:t>
      </w:r>
      <w:r w:rsidRPr="003C7672">
        <w:rPr>
          <w:rFonts w:ascii="Times New Roman" w:hAnsi="Times New Roman" w:cs="Times New Roman"/>
          <w:color w:val="1C1C1C"/>
          <w:sz w:val="24"/>
          <w:szCs w:val="24"/>
          <w:shd w:val="clear" w:color="auto" w:fill="FFFFFF"/>
        </w:rPr>
        <w:t xml:space="preserve"> and </w:t>
      </w:r>
      <w:r w:rsidR="00ED0DF7" w:rsidRPr="003C7672">
        <w:rPr>
          <w:rFonts w:ascii="Times New Roman" w:hAnsi="Times New Roman" w:cs="Times New Roman"/>
          <w:i/>
          <w:color w:val="1C1C1C"/>
          <w:sz w:val="24"/>
          <w:szCs w:val="24"/>
          <w:shd w:val="clear" w:color="auto" w:fill="FFFFFF"/>
        </w:rPr>
        <w:t xml:space="preserve">T. </w:t>
      </w:r>
      <w:proofErr w:type="spellStart"/>
      <w:r w:rsidR="00ED0DF7" w:rsidRPr="003C7672">
        <w:rPr>
          <w:rFonts w:ascii="Times New Roman" w:hAnsi="Times New Roman" w:cs="Times New Roman"/>
          <w:i/>
          <w:color w:val="1C1C1C"/>
          <w:sz w:val="24"/>
          <w:szCs w:val="24"/>
          <w:shd w:val="clear" w:color="auto" w:fill="FFFFFF"/>
        </w:rPr>
        <w:t>trichiura</w:t>
      </w:r>
      <w:proofErr w:type="spellEnd"/>
      <w:r w:rsidRPr="003C7672">
        <w:rPr>
          <w:rFonts w:ascii="Times New Roman" w:hAnsi="Times New Roman" w:cs="Times New Roman"/>
          <w:color w:val="1C1C1C"/>
          <w:sz w:val="24"/>
          <w:szCs w:val="24"/>
          <w:shd w:val="clear" w:color="auto" w:fill="FFFFFF"/>
        </w:rPr>
        <w:t xml:space="preserve">, 3 individuals (1.2%) with </w:t>
      </w:r>
      <w:r w:rsidR="00ED0DF7" w:rsidRPr="003C7672">
        <w:rPr>
          <w:rFonts w:ascii="Times New Roman" w:hAnsi="Times New Roman" w:cs="Times New Roman"/>
          <w:i/>
          <w:color w:val="1C1C1C"/>
          <w:sz w:val="24"/>
          <w:szCs w:val="24"/>
          <w:shd w:val="clear" w:color="auto" w:fill="FFFFFF"/>
        </w:rPr>
        <w:t xml:space="preserve">T. </w:t>
      </w:r>
      <w:proofErr w:type="spellStart"/>
      <w:r w:rsidR="00ED0DF7" w:rsidRPr="003C7672">
        <w:rPr>
          <w:rFonts w:ascii="Times New Roman" w:hAnsi="Times New Roman" w:cs="Times New Roman"/>
          <w:i/>
          <w:color w:val="1C1C1C"/>
          <w:sz w:val="24"/>
          <w:szCs w:val="24"/>
          <w:shd w:val="clear" w:color="auto" w:fill="FFFFFF"/>
        </w:rPr>
        <w:t>trichiura</w:t>
      </w:r>
      <w:proofErr w:type="spellEnd"/>
      <w:r w:rsidR="00ED0DF7" w:rsidRPr="003C7672">
        <w:rPr>
          <w:rFonts w:ascii="Times New Roman" w:hAnsi="Times New Roman" w:cs="Times New Roman"/>
          <w:i/>
          <w:color w:val="1C1C1C"/>
          <w:sz w:val="24"/>
          <w:szCs w:val="24"/>
          <w:shd w:val="clear" w:color="auto" w:fill="FFFFFF"/>
        </w:rPr>
        <w:t xml:space="preserve"> </w:t>
      </w:r>
      <w:r w:rsidRPr="003C7672">
        <w:rPr>
          <w:rFonts w:ascii="Times New Roman" w:hAnsi="Times New Roman" w:cs="Times New Roman"/>
          <w:color w:val="1C1C1C"/>
          <w:sz w:val="24"/>
          <w:szCs w:val="24"/>
          <w:shd w:val="clear" w:color="auto" w:fill="FFFFFF"/>
        </w:rPr>
        <w:t xml:space="preserve">and hookworm, and 6 individuals (2.4%) who had both </w:t>
      </w:r>
      <w:r w:rsidR="00B151AC" w:rsidRPr="003C7672">
        <w:rPr>
          <w:rFonts w:ascii="Times New Roman" w:hAnsi="Times New Roman" w:cs="Times New Roman"/>
          <w:i/>
          <w:color w:val="1C1C1C"/>
          <w:sz w:val="24"/>
          <w:szCs w:val="24"/>
          <w:shd w:val="clear" w:color="auto" w:fill="FFFFFF"/>
        </w:rPr>
        <w:t xml:space="preserve">A. lumbricoides </w:t>
      </w:r>
      <w:r w:rsidRPr="003C7672">
        <w:rPr>
          <w:rFonts w:ascii="Times New Roman" w:hAnsi="Times New Roman" w:cs="Times New Roman"/>
          <w:color w:val="1C1C1C"/>
          <w:sz w:val="24"/>
          <w:szCs w:val="24"/>
          <w:shd w:val="clear" w:color="auto" w:fill="FFFFFF"/>
        </w:rPr>
        <w:t>a</w:t>
      </w:r>
      <w:r w:rsidR="003E0CEA" w:rsidRPr="003C7672">
        <w:rPr>
          <w:rFonts w:ascii="Times New Roman" w:hAnsi="Times New Roman" w:cs="Times New Roman"/>
          <w:color w:val="1C1C1C"/>
          <w:sz w:val="24"/>
          <w:szCs w:val="24"/>
          <w:shd w:val="clear" w:color="auto" w:fill="FFFFFF"/>
        </w:rPr>
        <w:t>nd hookworm infections (Figure 3</w:t>
      </w:r>
      <w:r w:rsidRPr="003C7672">
        <w:rPr>
          <w:rFonts w:ascii="Times New Roman" w:hAnsi="Times New Roman" w:cs="Times New Roman"/>
          <w:color w:val="1C1C1C"/>
          <w:sz w:val="24"/>
          <w:szCs w:val="24"/>
          <w:shd w:val="clear" w:color="auto" w:fill="FFFFFF"/>
        </w:rPr>
        <w:t>).</w:t>
      </w:r>
    </w:p>
    <w:p w14:paraId="001DCBA6" w14:textId="77777777" w:rsidR="00A45649" w:rsidRPr="003C7672" w:rsidRDefault="00A45649" w:rsidP="00A45649">
      <w:pPr>
        <w:spacing w:line="360" w:lineRule="auto"/>
        <w:rPr>
          <w:rFonts w:ascii="Times New Roman" w:hAnsi="Times New Roman" w:cs="Times New Roman"/>
          <w:sz w:val="24"/>
          <w:szCs w:val="24"/>
        </w:rPr>
      </w:pPr>
    </w:p>
    <w:p w14:paraId="121A3D21" w14:textId="77777777" w:rsidR="00A45649" w:rsidRPr="003C7672" w:rsidRDefault="00A45649" w:rsidP="00A45649">
      <w:pPr>
        <w:spacing w:line="360" w:lineRule="auto"/>
        <w:rPr>
          <w:rFonts w:ascii="Times New Roman" w:hAnsi="Times New Roman" w:cs="Times New Roman"/>
          <w:sz w:val="24"/>
          <w:szCs w:val="24"/>
        </w:rPr>
      </w:pPr>
      <w:r w:rsidRPr="003C7672">
        <w:rPr>
          <w:rFonts w:ascii="Times New Roman" w:hAnsi="Times New Roman" w:cs="Times New Roman"/>
          <w:noProof/>
          <w:sz w:val="24"/>
          <w:szCs w:val="24"/>
        </w:rPr>
        <w:lastRenderedPageBreak/>
        <w:drawing>
          <wp:inline distT="0" distB="0" distL="0" distR="0" wp14:anchorId="40626529" wp14:editId="19CFB2BC">
            <wp:extent cx="5943600" cy="1402715"/>
            <wp:effectExtent l="0" t="0" r="0" b="698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3A7D9B5" w14:textId="77777777" w:rsidR="00A45649" w:rsidRPr="003C7672" w:rsidRDefault="003E0CEA" w:rsidP="00A45649">
      <w:pPr>
        <w:tabs>
          <w:tab w:val="left" w:pos="5375"/>
        </w:tabs>
        <w:spacing w:line="360" w:lineRule="auto"/>
        <w:contextualSpacing/>
        <w:rPr>
          <w:rFonts w:ascii="Times New Roman" w:hAnsi="Times New Roman" w:cs="Times New Roman"/>
          <w:sz w:val="24"/>
          <w:szCs w:val="24"/>
        </w:rPr>
      </w:pPr>
      <w:r w:rsidRPr="003C7672">
        <w:rPr>
          <w:rFonts w:ascii="Times New Roman" w:hAnsi="Times New Roman" w:cs="Times New Roman"/>
          <w:sz w:val="24"/>
          <w:szCs w:val="24"/>
        </w:rPr>
        <w:t>Figure 2</w:t>
      </w:r>
      <w:r w:rsidR="00A45649" w:rsidRPr="003C7672">
        <w:rPr>
          <w:rFonts w:ascii="Times New Roman" w:hAnsi="Times New Roman" w:cs="Times New Roman"/>
          <w:sz w:val="24"/>
          <w:szCs w:val="24"/>
        </w:rPr>
        <w:t>: Prevalence of Single Soil-Transmitted Helminth Infections among School Children in the Unwana Community</w:t>
      </w:r>
    </w:p>
    <w:p w14:paraId="2957B7DF" w14:textId="77777777" w:rsidR="00A45649" w:rsidRPr="003C7672" w:rsidRDefault="00A45649" w:rsidP="00A45649">
      <w:pPr>
        <w:tabs>
          <w:tab w:val="left" w:pos="5375"/>
        </w:tabs>
        <w:spacing w:line="360" w:lineRule="auto"/>
        <w:contextualSpacing/>
        <w:rPr>
          <w:rFonts w:ascii="Times New Roman" w:hAnsi="Times New Roman" w:cs="Times New Roman"/>
          <w:sz w:val="24"/>
          <w:szCs w:val="24"/>
        </w:rPr>
      </w:pPr>
    </w:p>
    <w:p w14:paraId="2535BE1C" w14:textId="77777777" w:rsidR="00A45649" w:rsidRPr="003C7672" w:rsidRDefault="00A45649" w:rsidP="00A45649">
      <w:pPr>
        <w:tabs>
          <w:tab w:val="left" w:pos="5375"/>
        </w:tabs>
        <w:spacing w:line="360" w:lineRule="auto"/>
        <w:contextualSpacing/>
        <w:rPr>
          <w:rFonts w:ascii="Times New Roman" w:hAnsi="Times New Roman" w:cs="Times New Roman"/>
          <w:sz w:val="24"/>
          <w:szCs w:val="24"/>
        </w:rPr>
      </w:pPr>
      <w:r w:rsidRPr="003C7672">
        <w:rPr>
          <w:rFonts w:ascii="Times New Roman" w:hAnsi="Times New Roman" w:cs="Times New Roman"/>
          <w:noProof/>
          <w:sz w:val="24"/>
          <w:szCs w:val="24"/>
        </w:rPr>
        <w:drawing>
          <wp:inline distT="0" distB="0" distL="0" distR="0" wp14:anchorId="50088BCC" wp14:editId="72E7DF1B">
            <wp:extent cx="4572000" cy="21717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9CB0AE5" w14:textId="77777777" w:rsidR="00A45649" w:rsidRPr="003C7672" w:rsidRDefault="00A45649" w:rsidP="00F50B23">
      <w:pPr>
        <w:spacing w:line="360" w:lineRule="auto"/>
        <w:rPr>
          <w:rFonts w:ascii="Times New Roman" w:hAnsi="Times New Roman" w:cs="Times New Roman"/>
          <w:sz w:val="24"/>
          <w:szCs w:val="24"/>
        </w:rPr>
      </w:pPr>
      <w:r w:rsidRPr="003C7672">
        <w:rPr>
          <w:rFonts w:ascii="Times New Roman" w:hAnsi="Times New Roman" w:cs="Times New Roman"/>
          <w:sz w:val="24"/>
          <w:szCs w:val="24"/>
        </w:rPr>
        <w:t>Figure</w:t>
      </w:r>
      <w:r w:rsidR="003E0CEA" w:rsidRPr="003C7672">
        <w:rPr>
          <w:rFonts w:ascii="Times New Roman" w:hAnsi="Times New Roman" w:cs="Times New Roman"/>
          <w:sz w:val="24"/>
          <w:szCs w:val="24"/>
        </w:rPr>
        <w:t xml:space="preserve"> 3</w:t>
      </w:r>
      <w:r w:rsidRPr="003C7672">
        <w:rPr>
          <w:rFonts w:ascii="Times New Roman" w:hAnsi="Times New Roman" w:cs="Times New Roman"/>
          <w:sz w:val="24"/>
          <w:szCs w:val="24"/>
        </w:rPr>
        <w:t>: Prevalence of double Soil-Transmitted Helminth infections among School Children in Unwana Community</w:t>
      </w:r>
    </w:p>
    <w:p w14:paraId="1D6DBB0D" w14:textId="77777777" w:rsidR="003E0CEA" w:rsidRPr="003C7672" w:rsidRDefault="003E0CEA" w:rsidP="00F50B23">
      <w:pPr>
        <w:spacing w:after="0" w:line="240" w:lineRule="auto"/>
        <w:rPr>
          <w:rFonts w:ascii="Times New Roman" w:hAnsi="Times New Roman" w:cs="Times New Roman"/>
          <w:b/>
          <w:sz w:val="24"/>
          <w:szCs w:val="24"/>
        </w:rPr>
      </w:pPr>
    </w:p>
    <w:p w14:paraId="15AD9C9F" w14:textId="77777777" w:rsidR="003E0CEA" w:rsidRPr="003C7672" w:rsidRDefault="003E0CEA" w:rsidP="00F50B23">
      <w:pPr>
        <w:spacing w:after="0" w:line="240" w:lineRule="auto"/>
        <w:rPr>
          <w:rFonts w:ascii="Times New Roman" w:hAnsi="Times New Roman" w:cs="Times New Roman"/>
          <w:b/>
          <w:sz w:val="24"/>
          <w:szCs w:val="24"/>
        </w:rPr>
      </w:pPr>
    </w:p>
    <w:p w14:paraId="405E2A65" w14:textId="77777777" w:rsidR="00A45649" w:rsidRPr="003C7672" w:rsidRDefault="00A45649" w:rsidP="00F50B23">
      <w:pPr>
        <w:spacing w:after="0" w:line="240" w:lineRule="auto"/>
        <w:rPr>
          <w:rFonts w:ascii="Times New Roman" w:hAnsi="Times New Roman" w:cs="Times New Roman"/>
          <w:b/>
          <w:sz w:val="24"/>
          <w:szCs w:val="24"/>
        </w:rPr>
      </w:pPr>
      <w:r w:rsidRPr="003C7672">
        <w:rPr>
          <w:rFonts w:ascii="Times New Roman" w:hAnsi="Times New Roman" w:cs="Times New Roman"/>
          <w:b/>
          <w:sz w:val="24"/>
          <w:szCs w:val="24"/>
        </w:rPr>
        <w:t xml:space="preserve">Prevalence of Malaria, Soil- </w:t>
      </w:r>
      <w:proofErr w:type="spellStart"/>
      <w:r w:rsidRPr="003C7672">
        <w:rPr>
          <w:rFonts w:ascii="Times New Roman" w:hAnsi="Times New Roman" w:cs="Times New Roman"/>
          <w:b/>
          <w:sz w:val="24"/>
          <w:szCs w:val="24"/>
        </w:rPr>
        <w:t>Transimitted</w:t>
      </w:r>
      <w:proofErr w:type="spellEnd"/>
      <w:r w:rsidRPr="003C7672">
        <w:rPr>
          <w:rFonts w:ascii="Times New Roman" w:hAnsi="Times New Roman" w:cs="Times New Roman"/>
          <w:b/>
          <w:sz w:val="24"/>
          <w:szCs w:val="24"/>
        </w:rPr>
        <w:t xml:space="preserve"> Helminths STH, and Co-infection in Relation to Demographics.</w:t>
      </w:r>
    </w:p>
    <w:p w14:paraId="778D4C17" w14:textId="77777777" w:rsidR="00A45649" w:rsidRPr="003C7672" w:rsidRDefault="00A45649" w:rsidP="00F50B23">
      <w:pPr>
        <w:spacing w:after="0" w:line="360" w:lineRule="auto"/>
        <w:jc w:val="both"/>
        <w:rPr>
          <w:rFonts w:ascii="Times New Roman" w:eastAsia="Times New Roman" w:hAnsi="Times New Roman" w:cs="Times New Roman"/>
          <w:color w:val="1C1C1C"/>
          <w:sz w:val="24"/>
          <w:szCs w:val="24"/>
        </w:rPr>
      </w:pPr>
      <w:r w:rsidRPr="003C7672">
        <w:rPr>
          <w:rFonts w:ascii="Times New Roman" w:eastAsia="Times New Roman" w:hAnsi="Times New Roman" w:cs="Times New Roman"/>
          <w:color w:val="1C1C1C"/>
          <w:sz w:val="24"/>
          <w:szCs w:val="24"/>
        </w:rPr>
        <w:t>Overall, malaria prevalence was higher among females (44.2%) than among males (33.3%), although the difference was not statistically significa</w:t>
      </w:r>
      <w:r w:rsidR="00F91DE1" w:rsidRPr="003C7672">
        <w:rPr>
          <w:rFonts w:ascii="Times New Roman" w:eastAsia="Times New Roman" w:hAnsi="Times New Roman" w:cs="Times New Roman"/>
          <w:color w:val="1C1C1C"/>
          <w:sz w:val="24"/>
          <w:szCs w:val="24"/>
        </w:rPr>
        <w:t>nt (</w:t>
      </w:r>
      <w:r w:rsidR="00F91DE1" w:rsidRPr="003C7672">
        <w:rPr>
          <w:rFonts w:ascii="Times New Roman" w:eastAsia="Times New Roman" w:hAnsi="Times New Roman" w:cs="Times New Roman"/>
          <w:i/>
          <w:color w:val="1C1C1C"/>
          <w:sz w:val="24"/>
          <w:szCs w:val="24"/>
        </w:rPr>
        <w:t>P&gt;</w:t>
      </w:r>
      <w:r w:rsidR="00F91DE1" w:rsidRPr="003C7672">
        <w:rPr>
          <w:rFonts w:ascii="Times New Roman" w:eastAsia="Times New Roman" w:hAnsi="Times New Roman" w:cs="Times New Roman"/>
          <w:color w:val="1C1C1C"/>
          <w:sz w:val="24"/>
          <w:szCs w:val="24"/>
        </w:rPr>
        <w:t>0</w:t>
      </w:r>
      <w:r w:rsidRPr="003C7672">
        <w:rPr>
          <w:rFonts w:ascii="Times New Roman" w:eastAsia="Times New Roman" w:hAnsi="Times New Roman" w:cs="Times New Roman"/>
          <w:color w:val="1C1C1C"/>
          <w:sz w:val="24"/>
          <w:szCs w:val="24"/>
        </w:rPr>
        <w:t>.05). Pupils aged 3–6 years and those aged 7–10 years demonstrated higher malaria prevalence rates (43.8% each) than their counterparts aged 11–15 years (26.0%), sho</w:t>
      </w:r>
      <w:r w:rsidR="00F91DE1" w:rsidRPr="003C7672">
        <w:rPr>
          <w:rFonts w:ascii="Times New Roman" w:eastAsia="Times New Roman" w:hAnsi="Times New Roman" w:cs="Times New Roman"/>
          <w:color w:val="1C1C1C"/>
          <w:sz w:val="24"/>
          <w:szCs w:val="24"/>
        </w:rPr>
        <w:t>wing a significant difference (</w:t>
      </w:r>
      <w:r w:rsidR="00F91DE1" w:rsidRPr="003C7672">
        <w:rPr>
          <w:rFonts w:ascii="Times New Roman" w:eastAsia="Times New Roman" w:hAnsi="Times New Roman" w:cs="Times New Roman"/>
          <w:i/>
          <w:color w:val="1C1C1C"/>
          <w:sz w:val="24"/>
          <w:szCs w:val="24"/>
        </w:rPr>
        <w:t>P</w:t>
      </w:r>
      <w:r w:rsidR="00F91DE1" w:rsidRPr="003C7672">
        <w:rPr>
          <w:rFonts w:ascii="Times New Roman" w:eastAsia="Times New Roman" w:hAnsi="Times New Roman" w:cs="Times New Roman"/>
          <w:color w:val="1C1C1C"/>
          <w:sz w:val="24"/>
          <w:szCs w:val="24"/>
        </w:rPr>
        <w:t>&lt;0</w:t>
      </w:r>
      <w:r w:rsidRPr="003C7672">
        <w:rPr>
          <w:rFonts w:ascii="Times New Roman" w:eastAsia="Times New Roman" w:hAnsi="Times New Roman" w:cs="Times New Roman"/>
          <w:color w:val="1C1C1C"/>
          <w:sz w:val="24"/>
          <w:szCs w:val="24"/>
        </w:rPr>
        <w:t>.05). Among different school classes, junior primary pupils exhibited a notably higher prevalence (47.0%) compared to senior primary pupils (31.3%) (</w:t>
      </w:r>
      <w:r w:rsidR="00F91DE1" w:rsidRPr="003C7672">
        <w:rPr>
          <w:rFonts w:ascii="Times New Roman" w:eastAsia="Times New Roman" w:hAnsi="Times New Roman" w:cs="Times New Roman"/>
          <w:i/>
          <w:color w:val="1C1C1C"/>
          <w:sz w:val="24"/>
          <w:szCs w:val="24"/>
        </w:rPr>
        <w:t>P</w:t>
      </w:r>
      <w:r w:rsidRPr="003C7672">
        <w:rPr>
          <w:rFonts w:ascii="Times New Roman" w:eastAsia="Times New Roman" w:hAnsi="Times New Roman" w:cs="Times New Roman"/>
          <w:color w:val="1C1C1C"/>
          <w:sz w:val="24"/>
          <w:szCs w:val="24"/>
        </w:rPr>
        <w:t>&lt;0.05). Across the schools, prevalence rates were similar: L.O.I.M.P.S reported 40.3%, U.C.P.S 1 had 36.5%, and U.C.P.S 2 recorded 37.5%, with no significant difference observed (</w:t>
      </w:r>
      <w:r w:rsidR="00F91DE1" w:rsidRPr="003C7672">
        <w:rPr>
          <w:rFonts w:ascii="Times New Roman" w:eastAsia="Times New Roman" w:hAnsi="Times New Roman" w:cs="Times New Roman"/>
          <w:i/>
          <w:color w:val="1C1C1C"/>
          <w:sz w:val="24"/>
          <w:szCs w:val="24"/>
        </w:rPr>
        <w:t>P</w:t>
      </w:r>
      <w:r w:rsidRPr="003C7672">
        <w:rPr>
          <w:rFonts w:ascii="Times New Roman" w:eastAsia="Times New Roman" w:hAnsi="Times New Roman" w:cs="Times New Roman"/>
          <w:color w:val="1C1C1C"/>
          <w:sz w:val="24"/>
          <w:szCs w:val="24"/>
        </w:rPr>
        <w:t>&gt;0.05).</w:t>
      </w:r>
    </w:p>
    <w:p w14:paraId="02AD01AD" w14:textId="77777777" w:rsidR="00A45649" w:rsidRPr="003C7672" w:rsidRDefault="00A45649" w:rsidP="00A45649">
      <w:pPr>
        <w:spacing w:before="100" w:beforeAutospacing="1" w:after="100" w:afterAutospacing="1" w:line="360" w:lineRule="auto"/>
        <w:jc w:val="both"/>
        <w:rPr>
          <w:rFonts w:ascii="Times New Roman" w:hAnsi="Times New Roman" w:cs="Times New Roman"/>
          <w:color w:val="1C1C1C"/>
          <w:sz w:val="24"/>
          <w:szCs w:val="24"/>
          <w:shd w:val="clear" w:color="auto" w:fill="FFFFFF"/>
        </w:rPr>
      </w:pPr>
      <w:r w:rsidRPr="003C7672">
        <w:rPr>
          <w:rFonts w:ascii="Times New Roman" w:hAnsi="Times New Roman" w:cs="Times New Roman"/>
          <w:color w:val="1C1C1C"/>
          <w:sz w:val="24"/>
          <w:szCs w:val="24"/>
          <w:shd w:val="clear" w:color="auto" w:fill="FFFFFF"/>
        </w:rPr>
        <w:lastRenderedPageBreak/>
        <w:t>The prevalence of Soil-Transmitted Helminths (STH) infections was observed to be 37.2% in males and 35.8% in females, with no statistically significant difference (</w:t>
      </w:r>
      <w:r w:rsidR="00F91DE1" w:rsidRPr="003C7672">
        <w:rPr>
          <w:rFonts w:ascii="Times New Roman" w:hAnsi="Times New Roman" w:cs="Times New Roman"/>
          <w:i/>
          <w:color w:val="1C1C1C"/>
          <w:sz w:val="24"/>
          <w:szCs w:val="24"/>
          <w:shd w:val="clear" w:color="auto" w:fill="FFFFFF"/>
        </w:rPr>
        <w:t>P</w:t>
      </w:r>
      <w:r w:rsidRPr="003C7672">
        <w:rPr>
          <w:rFonts w:ascii="Times New Roman" w:hAnsi="Times New Roman" w:cs="Times New Roman"/>
          <w:color w:val="1C1C1C"/>
          <w:sz w:val="24"/>
          <w:szCs w:val="24"/>
          <w:shd w:val="clear" w:color="auto" w:fill="FFFFFF"/>
        </w:rPr>
        <w:t xml:space="preserve">&gt;0.05). Among different age groups, pupils aged 7–10 years exhibited the highest STH prevalence at 41.7%, followed by those aged 11–15 years at 32.9%, and 3–6 years at 21.9%. However, these differences were </w:t>
      </w:r>
      <w:r w:rsidR="00F91DE1" w:rsidRPr="003C7672">
        <w:rPr>
          <w:rFonts w:ascii="Times New Roman" w:hAnsi="Times New Roman" w:cs="Times New Roman"/>
          <w:color w:val="1C1C1C"/>
          <w:sz w:val="24"/>
          <w:szCs w:val="24"/>
          <w:shd w:val="clear" w:color="auto" w:fill="FFFFFF"/>
        </w:rPr>
        <w:t>not statistically significant (</w:t>
      </w:r>
      <w:r w:rsidR="00F91DE1" w:rsidRPr="003C7672">
        <w:rPr>
          <w:rFonts w:ascii="Times New Roman" w:hAnsi="Times New Roman" w:cs="Times New Roman"/>
          <w:i/>
          <w:color w:val="1C1C1C"/>
          <w:sz w:val="24"/>
          <w:szCs w:val="24"/>
          <w:shd w:val="clear" w:color="auto" w:fill="FFFFFF"/>
        </w:rPr>
        <w:t>P</w:t>
      </w:r>
      <w:r w:rsidRPr="003C7672">
        <w:rPr>
          <w:rFonts w:ascii="Times New Roman" w:hAnsi="Times New Roman" w:cs="Times New Roman"/>
          <w:color w:val="1C1C1C"/>
          <w:sz w:val="24"/>
          <w:szCs w:val="24"/>
          <w:shd w:val="clear" w:color="auto" w:fill="FFFFFF"/>
        </w:rPr>
        <w:t xml:space="preserve">&gt;0.05). Senior primary pupils showed a slightly higher prevalence (39.6%) compared to junior primary pupils (33.0%), although this difference was also </w:t>
      </w:r>
      <w:r w:rsidR="00F91DE1" w:rsidRPr="003C7672">
        <w:rPr>
          <w:rFonts w:ascii="Times New Roman" w:hAnsi="Times New Roman" w:cs="Times New Roman"/>
          <w:color w:val="1C1C1C"/>
          <w:sz w:val="24"/>
          <w:szCs w:val="24"/>
          <w:shd w:val="clear" w:color="auto" w:fill="FFFFFF"/>
        </w:rPr>
        <w:t>not statistically significant (</w:t>
      </w:r>
      <w:r w:rsidR="00F91DE1" w:rsidRPr="003C7672">
        <w:rPr>
          <w:rFonts w:ascii="Times New Roman" w:hAnsi="Times New Roman" w:cs="Times New Roman"/>
          <w:i/>
          <w:color w:val="1C1C1C"/>
          <w:sz w:val="24"/>
          <w:szCs w:val="24"/>
          <w:shd w:val="clear" w:color="auto" w:fill="FFFFFF"/>
        </w:rPr>
        <w:t>P</w:t>
      </w:r>
      <w:r w:rsidRPr="003C7672">
        <w:rPr>
          <w:rFonts w:ascii="Times New Roman" w:hAnsi="Times New Roman" w:cs="Times New Roman"/>
          <w:color w:val="1C1C1C"/>
          <w:sz w:val="24"/>
          <w:szCs w:val="24"/>
          <w:shd w:val="clear" w:color="auto" w:fill="FFFFFF"/>
        </w:rPr>
        <w:t xml:space="preserve">&gt;0.05). In terms of school-specific prevalence, there were </w:t>
      </w:r>
      <w:r w:rsidR="00F91DE1" w:rsidRPr="003C7672">
        <w:rPr>
          <w:rFonts w:ascii="Times New Roman" w:hAnsi="Times New Roman" w:cs="Times New Roman"/>
          <w:color w:val="1C1C1C"/>
          <w:sz w:val="24"/>
          <w:szCs w:val="24"/>
          <w:shd w:val="clear" w:color="auto" w:fill="FFFFFF"/>
        </w:rPr>
        <w:t>significant differences noted (</w:t>
      </w:r>
      <w:r w:rsidR="00F91DE1" w:rsidRPr="003C7672">
        <w:rPr>
          <w:rFonts w:ascii="Times New Roman" w:hAnsi="Times New Roman" w:cs="Times New Roman"/>
          <w:i/>
          <w:color w:val="1C1C1C"/>
          <w:sz w:val="24"/>
          <w:szCs w:val="24"/>
          <w:shd w:val="clear" w:color="auto" w:fill="FFFFFF"/>
        </w:rPr>
        <w:t>P</w:t>
      </w:r>
      <w:r w:rsidRPr="003C7672">
        <w:rPr>
          <w:rFonts w:ascii="Times New Roman" w:hAnsi="Times New Roman" w:cs="Times New Roman"/>
          <w:color w:val="1C1C1C"/>
          <w:sz w:val="24"/>
          <w:szCs w:val="24"/>
          <w:shd w:val="clear" w:color="auto" w:fill="FFFFFF"/>
        </w:rPr>
        <w:t>&lt;0.05): L.O.I.M.P.S recorded 26.9%, U.C.P.S 1 had 39.2%, and U.C.P.S 2 demonstrated the highest rate at 53.6%.</w:t>
      </w:r>
    </w:p>
    <w:p w14:paraId="4225EBF1" w14:textId="77777777" w:rsidR="00F50B23" w:rsidRPr="003C7672" w:rsidRDefault="00A45649" w:rsidP="00A45649">
      <w:pPr>
        <w:spacing w:before="100" w:beforeAutospacing="1" w:after="100" w:afterAutospacing="1" w:line="360" w:lineRule="auto"/>
        <w:jc w:val="both"/>
        <w:rPr>
          <w:rFonts w:ascii="Times New Roman" w:hAnsi="Times New Roman" w:cs="Times New Roman"/>
          <w:color w:val="1C1C1C"/>
          <w:sz w:val="24"/>
          <w:szCs w:val="24"/>
          <w:shd w:val="clear" w:color="auto" w:fill="FFFFFF"/>
        </w:rPr>
      </w:pPr>
      <w:r w:rsidRPr="003C7672">
        <w:rPr>
          <w:rFonts w:ascii="Times New Roman" w:hAnsi="Times New Roman" w:cs="Times New Roman"/>
          <w:color w:val="1C1C1C"/>
          <w:sz w:val="24"/>
          <w:szCs w:val="24"/>
          <w:shd w:val="clear" w:color="auto" w:fill="FFFFFF"/>
        </w:rPr>
        <w:t>Malaria and Soil-Transmitted Helminthiasis (STH) co-infection rates were recorded at 6.2% in males and 8.3% in females, with no statist</w:t>
      </w:r>
      <w:r w:rsidR="00F91DE1" w:rsidRPr="003C7672">
        <w:rPr>
          <w:rFonts w:ascii="Times New Roman" w:hAnsi="Times New Roman" w:cs="Times New Roman"/>
          <w:color w:val="1C1C1C"/>
          <w:sz w:val="24"/>
          <w:szCs w:val="24"/>
          <w:shd w:val="clear" w:color="auto" w:fill="FFFFFF"/>
        </w:rPr>
        <w:t>ically significant difference (</w:t>
      </w:r>
      <w:r w:rsidR="00F91DE1" w:rsidRPr="003C7672">
        <w:rPr>
          <w:rFonts w:ascii="Times New Roman" w:hAnsi="Times New Roman" w:cs="Times New Roman"/>
          <w:i/>
          <w:color w:val="1C1C1C"/>
          <w:sz w:val="24"/>
          <w:szCs w:val="24"/>
          <w:shd w:val="clear" w:color="auto" w:fill="FFFFFF"/>
        </w:rPr>
        <w:t>P</w:t>
      </w:r>
      <w:r w:rsidRPr="003C7672">
        <w:rPr>
          <w:rFonts w:ascii="Times New Roman" w:hAnsi="Times New Roman" w:cs="Times New Roman"/>
          <w:color w:val="1C1C1C"/>
          <w:sz w:val="24"/>
          <w:szCs w:val="24"/>
          <w:shd w:val="clear" w:color="auto" w:fill="FFFFFF"/>
        </w:rPr>
        <w:t>&gt;0.05). By age group, the highest co-infection prevalence was observed in children aged 7–10 years at 9.0%, followed by those aged 11–15 years at 5.5%, and 3–6 years at 3.1%, all showi</w:t>
      </w:r>
      <w:r w:rsidR="00F91DE1" w:rsidRPr="003C7672">
        <w:rPr>
          <w:rFonts w:ascii="Times New Roman" w:hAnsi="Times New Roman" w:cs="Times New Roman"/>
          <w:color w:val="1C1C1C"/>
          <w:sz w:val="24"/>
          <w:szCs w:val="24"/>
          <w:shd w:val="clear" w:color="auto" w:fill="FFFFFF"/>
        </w:rPr>
        <w:t>ng no significant differences (</w:t>
      </w:r>
      <w:r w:rsidR="00F91DE1" w:rsidRPr="003C7672">
        <w:rPr>
          <w:rFonts w:ascii="Times New Roman" w:hAnsi="Times New Roman" w:cs="Times New Roman"/>
          <w:i/>
          <w:color w:val="1C1C1C"/>
          <w:sz w:val="24"/>
          <w:szCs w:val="24"/>
          <w:shd w:val="clear" w:color="auto" w:fill="FFFFFF"/>
        </w:rPr>
        <w:t>P</w:t>
      </w:r>
      <w:r w:rsidRPr="003C7672">
        <w:rPr>
          <w:rFonts w:ascii="Times New Roman" w:hAnsi="Times New Roman" w:cs="Times New Roman"/>
          <w:color w:val="1C1C1C"/>
          <w:sz w:val="24"/>
          <w:szCs w:val="24"/>
          <w:shd w:val="clear" w:color="auto" w:fill="FFFFFF"/>
        </w:rPr>
        <w:t>&gt;0.05). Among school classes, senior primary students had a slightly higher co-infection rate of 8.2% compared to junior primary students at 6.1%, but this d</w:t>
      </w:r>
      <w:r w:rsidR="00F91DE1" w:rsidRPr="003C7672">
        <w:rPr>
          <w:rFonts w:ascii="Times New Roman" w:hAnsi="Times New Roman" w:cs="Times New Roman"/>
          <w:color w:val="1C1C1C"/>
          <w:sz w:val="24"/>
          <w:szCs w:val="24"/>
          <w:shd w:val="clear" w:color="auto" w:fill="FFFFFF"/>
        </w:rPr>
        <w:t>ifference was not significant (</w:t>
      </w:r>
      <w:r w:rsidR="00F91DE1" w:rsidRPr="003C7672">
        <w:rPr>
          <w:rFonts w:ascii="Times New Roman" w:hAnsi="Times New Roman" w:cs="Times New Roman"/>
          <w:i/>
          <w:color w:val="1C1C1C"/>
          <w:sz w:val="24"/>
          <w:szCs w:val="24"/>
          <w:shd w:val="clear" w:color="auto" w:fill="FFFFFF"/>
        </w:rPr>
        <w:t>P</w:t>
      </w:r>
      <w:r w:rsidRPr="003C7672">
        <w:rPr>
          <w:rFonts w:ascii="Times New Roman" w:hAnsi="Times New Roman" w:cs="Times New Roman"/>
          <w:color w:val="1C1C1C"/>
          <w:sz w:val="24"/>
          <w:szCs w:val="24"/>
          <w:shd w:val="clear" w:color="auto" w:fill="FFFFFF"/>
        </w:rPr>
        <w:t xml:space="preserve">&gt;0.05). Across various schools, co-infection prevalence was observed as follows: L.O.I.M.P.S at 5.9%, U.C.P.S 1 at 8.1%, and U.C.P.S 2 at 8.9%, with no </w:t>
      </w:r>
      <w:r w:rsidR="00F91DE1" w:rsidRPr="003C7672">
        <w:rPr>
          <w:rFonts w:ascii="Times New Roman" w:hAnsi="Times New Roman" w:cs="Times New Roman"/>
          <w:color w:val="1C1C1C"/>
          <w:sz w:val="24"/>
          <w:szCs w:val="24"/>
          <w:shd w:val="clear" w:color="auto" w:fill="FFFFFF"/>
        </w:rPr>
        <w:t>significant differences noted (</w:t>
      </w:r>
      <w:r w:rsidR="00F91DE1" w:rsidRPr="003C7672">
        <w:rPr>
          <w:rFonts w:ascii="Times New Roman" w:hAnsi="Times New Roman" w:cs="Times New Roman"/>
          <w:i/>
          <w:color w:val="1C1C1C"/>
          <w:sz w:val="24"/>
          <w:szCs w:val="24"/>
          <w:shd w:val="clear" w:color="auto" w:fill="FFFFFF"/>
        </w:rPr>
        <w:t>P</w:t>
      </w:r>
      <w:r w:rsidRPr="003C7672">
        <w:rPr>
          <w:rFonts w:ascii="Times New Roman" w:hAnsi="Times New Roman" w:cs="Times New Roman"/>
          <w:color w:val="1C1C1C"/>
          <w:sz w:val="24"/>
          <w:szCs w:val="24"/>
          <w:shd w:val="clear" w:color="auto" w:fill="FFFFFF"/>
        </w:rPr>
        <w:t>&gt;0.05).</w:t>
      </w:r>
    </w:p>
    <w:p w14:paraId="43D948D5" w14:textId="77777777" w:rsidR="00A45649" w:rsidRPr="003C7672" w:rsidRDefault="003E0CEA" w:rsidP="00F50B23">
      <w:pPr>
        <w:spacing w:after="0"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Table 2</w:t>
      </w:r>
      <w:r w:rsidR="00A45649" w:rsidRPr="003C7672">
        <w:rPr>
          <w:rFonts w:ascii="Times New Roman" w:eastAsia="Times New Roman" w:hAnsi="Times New Roman" w:cs="Times New Roman"/>
          <w:sz w:val="24"/>
          <w:szCs w:val="24"/>
        </w:rPr>
        <w:t>: Prevalence of malaria, STH, and co-infection in relation to demographics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A45649" w:rsidRPr="003C7672" w14:paraId="71CF3393" w14:textId="77777777" w:rsidTr="0095638F">
        <w:tc>
          <w:tcPr>
            <w:tcW w:w="1870" w:type="dxa"/>
            <w:tcBorders>
              <w:top w:val="single" w:sz="4" w:space="0" w:color="auto"/>
              <w:bottom w:val="single" w:sz="4" w:space="0" w:color="auto"/>
            </w:tcBorders>
          </w:tcPr>
          <w:p w14:paraId="01CBDA6A" w14:textId="77777777" w:rsidR="00A45649" w:rsidRPr="003C7672" w:rsidRDefault="00A45649" w:rsidP="00F50B23">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Demography of pupils</w:t>
            </w:r>
          </w:p>
        </w:tc>
        <w:tc>
          <w:tcPr>
            <w:tcW w:w="1870" w:type="dxa"/>
            <w:tcBorders>
              <w:top w:val="single" w:sz="4" w:space="0" w:color="auto"/>
              <w:bottom w:val="single" w:sz="4" w:space="0" w:color="auto"/>
            </w:tcBorders>
          </w:tcPr>
          <w:p w14:paraId="0486CF7B" w14:textId="77777777" w:rsidR="00A45649" w:rsidRPr="003C7672" w:rsidRDefault="00A45649" w:rsidP="00F50B23">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Number sampled</w:t>
            </w:r>
          </w:p>
        </w:tc>
        <w:tc>
          <w:tcPr>
            <w:tcW w:w="1870" w:type="dxa"/>
            <w:tcBorders>
              <w:top w:val="single" w:sz="4" w:space="0" w:color="auto"/>
              <w:bottom w:val="single" w:sz="4" w:space="0" w:color="auto"/>
            </w:tcBorders>
          </w:tcPr>
          <w:p w14:paraId="42D2534A" w14:textId="77777777" w:rsidR="00A45649" w:rsidRPr="003C7672" w:rsidRDefault="00A45649" w:rsidP="00F50B23">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Malaria n (%)</w:t>
            </w:r>
          </w:p>
        </w:tc>
        <w:tc>
          <w:tcPr>
            <w:tcW w:w="1870" w:type="dxa"/>
            <w:tcBorders>
              <w:top w:val="single" w:sz="4" w:space="0" w:color="auto"/>
              <w:bottom w:val="single" w:sz="4" w:space="0" w:color="auto"/>
            </w:tcBorders>
          </w:tcPr>
          <w:p w14:paraId="19D211CC" w14:textId="77777777" w:rsidR="00A45649" w:rsidRPr="003C7672" w:rsidRDefault="00A45649" w:rsidP="00F50B23">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STH n (%)</w:t>
            </w:r>
          </w:p>
        </w:tc>
        <w:tc>
          <w:tcPr>
            <w:tcW w:w="1870" w:type="dxa"/>
            <w:tcBorders>
              <w:top w:val="single" w:sz="4" w:space="0" w:color="auto"/>
              <w:bottom w:val="single" w:sz="4" w:space="0" w:color="auto"/>
            </w:tcBorders>
          </w:tcPr>
          <w:p w14:paraId="2B017416" w14:textId="77777777" w:rsidR="00A45649" w:rsidRPr="003C7672" w:rsidRDefault="00A45649" w:rsidP="00F50B23">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 xml:space="preserve">Co-infection </w:t>
            </w:r>
            <w:proofErr w:type="gramStart"/>
            <w:r w:rsidRPr="003C7672">
              <w:rPr>
                <w:rFonts w:ascii="Times New Roman" w:eastAsia="Times New Roman" w:hAnsi="Times New Roman" w:cs="Times New Roman"/>
                <w:sz w:val="24"/>
                <w:szCs w:val="24"/>
              </w:rPr>
              <w:t>n(</w:t>
            </w:r>
            <w:proofErr w:type="gramEnd"/>
            <w:r w:rsidRPr="003C7672">
              <w:rPr>
                <w:rFonts w:ascii="Times New Roman" w:eastAsia="Times New Roman" w:hAnsi="Times New Roman" w:cs="Times New Roman"/>
                <w:sz w:val="24"/>
                <w:szCs w:val="24"/>
              </w:rPr>
              <w:t>%)</w:t>
            </w:r>
          </w:p>
        </w:tc>
      </w:tr>
      <w:tr w:rsidR="00A45649" w:rsidRPr="003C7672" w14:paraId="0845378C" w14:textId="77777777" w:rsidTr="0095638F">
        <w:tc>
          <w:tcPr>
            <w:tcW w:w="1870" w:type="dxa"/>
            <w:tcBorders>
              <w:top w:val="single" w:sz="4" w:space="0" w:color="auto"/>
            </w:tcBorders>
          </w:tcPr>
          <w:p w14:paraId="34FA8876" w14:textId="77777777" w:rsidR="00A45649" w:rsidRPr="003C7672" w:rsidRDefault="00A45649" w:rsidP="0095638F">
            <w:pPr>
              <w:spacing w:line="360" w:lineRule="auto"/>
              <w:rPr>
                <w:rFonts w:ascii="Times New Roman" w:eastAsia="Times New Roman" w:hAnsi="Times New Roman" w:cs="Times New Roman"/>
                <w:b/>
                <w:sz w:val="24"/>
                <w:szCs w:val="24"/>
              </w:rPr>
            </w:pPr>
            <w:r w:rsidRPr="003C7672">
              <w:rPr>
                <w:rFonts w:ascii="Times New Roman" w:eastAsia="Times New Roman" w:hAnsi="Times New Roman" w:cs="Times New Roman"/>
                <w:b/>
                <w:sz w:val="24"/>
                <w:szCs w:val="24"/>
              </w:rPr>
              <w:t>Gender</w:t>
            </w:r>
          </w:p>
        </w:tc>
        <w:tc>
          <w:tcPr>
            <w:tcW w:w="1870" w:type="dxa"/>
            <w:tcBorders>
              <w:top w:val="single" w:sz="4" w:space="0" w:color="auto"/>
            </w:tcBorders>
          </w:tcPr>
          <w:p w14:paraId="0A51ECAA" w14:textId="77777777" w:rsidR="00A45649" w:rsidRPr="003C7672" w:rsidRDefault="00A45649" w:rsidP="0095638F">
            <w:pPr>
              <w:spacing w:line="360" w:lineRule="auto"/>
              <w:rPr>
                <w:rFonts w:ascii="Times New Roman" w:eastAsia="Times New Roman" w:hAnsi="Times New Roman" w:cs="Times New Roman"/>
                <w:sz w:val="24"/>
                <w:szCs w:val="24"/>
              </w:rPr>
            </w:pPr>
          </w:p>
        </w:tc>
        <w:tc>
          <w:tcPr>
            <w:tcW w:w="1870" w:type="dxa"/>
            <w:tcBorders>
              <w:top w:val="single" w:sz="4" w:space="0" w:color="auto"/>
            </w:tcBorders>
          </w:tcPr>
          <w:p w14:paraId="03F0E86A" w14:textId="77777777" w:rsidR="00A45649" w:rsidRPr="003C7672" w:rsidRDefault="00A45649" w:rsidP="0095638F">
            <w:pPr>
              <w:spacing w:line="360" w:lineRule="auto"/>
              <w:rPr>
                <w:rFonts w:ascii="Times New Roman" w:eastAsia="Times New Roman" w:hAnsi="Times New Roman" w:cs="Times New Roman"/>
                <w:sz w:val="24"/>
                <w:szCs w:val="24"/>
              </w:rPr>
            </w:pPr>
          </w:p>
        </w:tc>
        <w:tc>
          <w:tcPr>
            <w:tcW w:w="1870" w:type="dxa"/>
            <w:tcBorders>
              <w:top w:val="single" w:sz="4" w:space="0" w:color="auto"/>
            </w:tcBorders>
          </w:tcPr>
          <w:p w14:paraId="4C10D5E4" w14:textId="77777777" w:rsidR="00A45649" w:rsidRPr="003C7672" w:rsidRDefault="00A45649" w:rsidP="0095638F">
            <w:pPr>
              <w:spacing w:line="360" w:lineRule="auto"/>
              <w:rPr>
                <w:rFonts w:ascii="Times New Roman" w:eastAsia="Times New Roman" w:hAnsi="Times New Roman" w:cs="Times New Roman"/>
                <w:sz w:val="24"/>
                <w:szCs w:val="24"/>
              </w:rPr>
            </w:pPr>
          </w:p>
        </w:tc>
        <w:tc>
          <w:tcPr>
            <w:tcW w:w="1870" w:type="dxa"/>
            <w:tcBorders>
              <w:top w:val="single" w:sz="4" w:space="0" w:color="auto"/>
            </w:tcBorders>
          </w:tcPr>
          <w:p w14:paraId="3CEA6C30" w14:textId="77777777" w:rsidR="00A45649" w:rsidRPr="003C7672" w:rsidRDefault="00A45649" w:rsidP="0095638F">
            <w:pPr>
              <w:spacing w:line="360" w:lineRule="auto"/>
              <w:rPr>
                <w:rFonts w:ascii="Times New Roman" w:eastAsia="Times New Roman" w:hAnsi="Times New Roman" w:cs="Times New Roman"/>
                <w:sz w:val="24"/>
                <w:szCs w:val="24"/>
              </w:rPr>
            </w:pPr>
          </w:p>
        </w:tc>
      </w:tr>
      <w:tr w:rsidR="00A45649" w:rsidRPr="003C7672" w14:paraId="6960ED9D" w14:textId="77777777" w:rsidTr="0095638F">
        <w:tc>
          <w:tcPr>
            <w:tcW w:w="1870" w:type="dxa"/>
          </w:tcPr>
          <w:p w14:paraId="62709B9F"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Male</w:t>
            </w:r>
          </w:p>
        </w:tc>
        <w:tc>
          <w:tcPr>
            <w:tcW w:w="1870" w:type="dxa"/>
          </w:tcPr>
          <w:p w14:paraId="150F1195"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129</w:t>
            </w:r>
          </w:p>
        </w:tc>
        <w:tc>
          <w:tcPr>
            <w:tcW w:w="1870" w:type="dxa"/>
          </w:tcPr>
          <w:p w14:paraId="7E224D67"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43(33.3)</w:t>
            </w:r>
          </w:p>
        </w:tc>
        <w:tc>
          <w:tcPr>
            <w:tcW w:w="1870" w:type="dxa"/>
          </w:tcPr>
          <w:p w14:paraId="0500652D"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48(37.2)</w:t>
            </w:r>
          </w:p>
        </w:tc>
        <w:tc>
          <w:tcPr>
            <w:tcW w:w="1870" w:type="dxa"/>
          </w:tcPr>
          <w:p w14:paraId="7B363374"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8(6.2)</w:t>
            </w:r>
          </w:p>
        </w:tc>
      </w:tr>
      <w:tr w:rsidR="00A45649" w:rsidRPr="003C7672" w14:paraId="647E8488" w14:textId="77777777" w:rsidTr="0095638F">
        <w:tc>
          <w:tcPr>
            <w:tcW w:w="1870" w:type="dxa"/>
          </w:tcPr>
          <w:p w14:paraId="46887F45"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Female</w:t>
            </w:r>
          </w:p>
        </w:tc>
        <w:tc>
          <w:tcPr>
            <w:tcW w:w="1870" w:type="dxa"/>
          </w:tcPr>
          <w:p w14:paraId="7D874EBB"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120</w:t>
            </w:r>
          </w:p>
        </w:tc>
        <w:tc>
          <w:tcPr>
            <w:tcW w:w="1870" w:type="dxa"/>
          </w:tcPr>
          <w:p w14:paraId="4AE465E0"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53(44.2)</w:t>
            </w:r>
          </w:p>
        </w:tc>
        <w:tc>
          <w:tcPr>
            <w:tcW w:w="1870" w:type="dxa"/>
          </w:tcPr>
          <w:p w14:paraId="37252BA6"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43(35.8)</w:t>
            </w:r>
          </w:p>
        </w:tc>
        <w:tc>
          <w:tcPr>
            <w:tcW w:w="1870" w:type="dxa"/>
          </w:tcPr>
          <w:p w14:paraId="28086103"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10(8.3)</w:t>
            </w:r>
          </w:p>
        </w:tc>
      </w:tr>
      <w:tr w:rsidR="00A45649" w:rsidRPr="003C7672" w14:paraId="7F0FD55D" w14:textId="77777777" w:rsidTr="0095638F">
        <w:tc>
          <w:tcPr>
            <w:tcW w:w="1870" w:type="dxa"/>
          </w:tcPr>
          <w:p w14:paraId="64AF4A71"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P value</w:t>
            </w:r>
          </w:p>
        </w:tc>
        <w:tc>
          <w:tcPr>
            <w:tcW w:w="1870" w:type="dxa"/>
          </w:tcPr>
          <w:p w14:paraId="33C7C69D" w14:textId="77777777" w:rsidR="00A45649" w:rsidRPr="003C7672" w:rsidRDefault="00A45649" w:rsidP="0095638F">
            <w:pPr>
              <w:spacing w:line="360" w:lineRule="auto"/>
              <w:rPr>
                <w:rFonts w:ascii="Times New Roman" w:eastAsia="Times New Roman" w:hAnsi="Times New Roman" w:cs="Times New Roman"/>
                <w:sz w:val="24"/>
                <w:szCs w:val="24"/>
              </w:rPr>
            </w:pPr>
          </w:p>
        </w:tc>
        <w:tc>
          <w:tcPr>
            <w:tcW w:w="1870" w:type="dxa"/>
          </w:tcPr>
          <w:p w14:paraId="121B4EA7"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0.091</w:t>
            </w:r>
          </w:p>
        </w:tc>
        <w:tc>
          <w:tcPr>
            <w:tcW w:w="1870" w:type="dxa"/>
          </w:tcPr>
          <w:p w14:paraId="3CA5196F"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0.895</w:t>
            </w:r>
          </w:p>
        </w:tc>
        <w:tc>
          <w:tcPr>
            <w:tcW w:w="1870" w:type="dxa"/>
          </w:tcPr>
          <w:p w14:paraId="24CD9D14"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0.627</w:t>
            </w:r>
          </w:p>
        </w:tc>
      </w:tr>
      <w:tr w:rsidR="00A45649" w:rsidRPr="003C7672" w14:paraId="3C5572A0" w14:textId="77777777" w:rsidTr="0095638F">
        <w:tc>
          <w:tcPr>
            <w:tcW w:w="1870" w:type="dxa"/>
          </w:tcPr>
          <w:p w14:paraId="1D794D78" w14:textId="77777777" w:rsidR="00A45649" w:rsidRPr="003C7672" w:rsidRDefault="00A45649" w:rsidP="0095638F">
            <w:pPr>
              <w:spacing w:line="360" w:lineRule="auto"/>
              <w:rPr>
                <w:rFonts w:ascii="Times New Roman" w:eastAsia="Times New Roman" w:hAnsi="Times New Roman" w:cs="Times New Roman"/>
                <w:b/>
                <w:sz w:val="24"/>
                <w:szCs w:val="24"/>
              </w:rPr>
            </w:pPr>
            <w:r w:rsidRPr="003C7672">
              <w:rPr>
                <w:rFonts w:ascii="Times New Roman" w:eastAsia="Times New Roman" w:hAnsi="Times New Roman" w:cs="Times New Roman"/>
                <w:b/>
                <w:sz w:val="24"/>
                <w:szCs w:val="24"/>
              </w:rPr>
              <w:t>Age grade(years)</w:t>
            </w:r>
          </w:p>
        </w:tc>
        <w:tc>
          <w:tcPr>
            <w:tcW w:w="1870" w:type="dxa"/>
          </w:tcPr>
          <w:p w14:paraId="519DB1A9" w14:textId="77777777" w:rsidR="00A45649" w:rsidRPr="003C7672" w:rsidRDefault="00A45649" w:rsidP="0095638F">
            <w:pPr>
              <w:spacing w:line="360" w:lineRule="auto"/>
              <w:rPr>
                <w:rFonts w:ascii="Times New Roman" w:eastAsia="Times New Roman" w:hAnsi="Times New Roman" w:cs="Times New Roman"/>
                <w:sz w:val="24"/>
                <w:szCs w:val="24"/>
              </w:rPr>
            </w:pPr>
          </w:p>
        </w:tc>
        <w:tc>
          <w:tcPr>
            <w:tcW w:w="1870" w:type="dxa"/>
          </w:tcPr>
          <w:p w14:paraId="29B57BA9" w14:textId="77777777" w:rsidR="00A45649" w:rsidRPr="003C7672" w:rsidRDefault="00A45649" w:rsidP="0095638F">
            <w:pPr>
              <w:spacing w:line="360" w:lineRule="auto"/>
              <w:rPr>
                <w:rFonts w:ascii="Times New Roman" w:eastAsia="Times New Roman" w:hAnsi="Times New Roman" w:cs="Times New Roman"/>
                <w:sz w:val="24"/>
                <w:szCs w:val="24"/>
              </w:rPr>
            </w:pPr>
          </w:p>
        </w:tc>
        <w:tc>
          <w:tcPr>
            <w:tcW w:w="1870" w:type="dxa"/>
          </w:tcPr>
          <w:p w14:paraId="3255BF03" w14:textId="77777777" w:rsidR="00A45649" w:rsidRPr="003C7672" w:rsidRDefault="00A45649" w:rsidP="0095638F">
            <w:pPr>
              <w:spacing w:line="360" w:lineRule="auto"/>
              <w:rPr>
                <w:rFonts w:ascii="Times New Roman" w:eastAsia="Times New Roman" w:hAnsi="Times New Roman" w:cs="Times New Roman"/>
                <w:sz w:val="24"/>
                <w:szCs w:val="24"/>
              </w:rPr>
            </w:pPr>
          </w:p>
        </w:tc>
        <w:tc>
          <w:tcPr>
            <w:tcW w:w="1870" w:type="dxa"/>
          </w:tcPr>
          <w:p w14:paraId="1E8DADE8" w14:textId="77777777" w:rsidR="00A45649" w:rsidRPr="003C7672" w:rsidRDefault="00A45649" w:rsidP="0095638F">
            <w:pPr>
              <w:spacing w:line="360" w:lineRule="auto"/>
              <w:rPr>
                <w:rFonts w:ascii="Times New Roman" w:eastAsia="Times New Roman" w:hAnsi="Times New Roman" w:cs="Times New Roman"/>
                <w:sz w:val="24"/>
                <w:szCs w:val="24"/>
              </w:rPr>
            </w:pPr>
          </w:p>
        </w:tc>
      </w:tr>
      <w:tr w:rsidR="00A45649" w:rsidRPr="003C7672" w14:paraId="3F32D101" w14:textId="77777777" w:rsidTr="0095638F">
        <w:tc>
          <w:tcPr>
            <w:tcW w:w="1870" w:type="dxa"/>
          </w:tcPr>
          <w:p w14:paraId="351B39B2"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3-6</w:t>
            </w:r>
          </w:p>
        </w:tc>
        <w:tc>
          <w:tcPr>
            <w:tcW w:w="1870" w:type="dxa"/>
          </w:tcPr>
          <w:p w14:paraId="708125C5"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32</w:t>
            </w:r>
          </w:p>
        </w:tc>
        <w:tc>
          <w:tcPr>
            <w:tcW w:w="1870" w:type="dxa"/>
          </w:tcPr>
          <w:p w14:paraId="2592FB0B"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14(43.8)</w:t>
            </w:r>
          </w:p>
        </w:tc>
        <w:tc>
          <w:tcPr>
            <w:tcW w:w="1870" w:type="dxa"/>
          </w:tcPr>
          <w:p w14:paraId="12B58DDF"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7(21.9)</w:t>
            </w:r>
          </w:p>
        </w:tc>
        <w:tc>
          <w:tcPr>
            <w:tcW w:w="1870" w:type="dxa"/>
          </w:tcPr>
          <w:p w14:paraId="5A105251"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1(3.1)</w:t>
            </w:r>
          </w:p>
        </w:tc>
      </w:tr>
      <w:tr w:rsidR="00A45649" w:rsidRPr="003C7672" w14:paraId="2D1A25E6" w14:textId="77777777" w:rsidTr="0095638F">
        <w:tc>
          <w:tcPr>
            <w:tcW w:w="1870" w:type="dxa"/>
          </w:tcPr>
          <w:p w14:paraId="1B88FC91"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7-10</w:t>
            </w:r>
          </w:p>
        </w:tc>
        <w:tc>
          <w:tcPr>
            <w:tcW w:w="1870" w:type="dxa"/>
          </w:tcPr>
          <w:p w14:paraId="714DFB0C"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 xml:space="preserve">144 </w:t>
            </w:r>
          </w:p>
        </w:tc>
        <w:tc>
          <w:tcPr>
            <w:tcW w:w="1870" w:type="dxa"/>
          </w:tcPr>
          <w:p w14:paraId="57A4FA49"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63(43.8)</w:t>
            </w:r>
          </w:p>
        </w:tc>
        <w:tc>
          <w:tcPr>
            <w:tcW w:w="1870" w:type="dxa"/>
          </w:tcPr>
          <w:p w14:paraId="6F22B755"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60(41.7)</w:t>
            </w:r>
          </w:p>
        </w:tc>
        <w:tc>
          <w:tcPr>
            <w:tcW w:w="1870" w:type="dxa"/>
          </w:tcPr>
          <w:p w14:paraId="21E0188A"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13(9.0)</w:t>
            </w:r>
          </w:p>
        </w:tc>
      </w:tr>
      <w:tr w:rsidR="00A45649" w:rsidRPr="003C7672" w14:paraId="3F8561D0" w14:textId="77777777" w:rsidTr="0095638F">
        <w:tc>
          <w:tcPr>
            <w:tcW w:w="1870" w:type="dxa"/>
          </w:tcPr>
          <w:p w14:paraId="5F2CB222"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11-15</w:t>
            </w:r>
          </w:p>
        </w:tc>
        <w:tc>
          <w:tcPr>
            <w:tcW w:w="1870" w:type="dxa"/>
          </w:tcPr>
          <w:p w14:paraId="50BAAA6D"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73</w:t>
            </w:r>
          </w:p>
        </w:tc>
        <w:tc>
          <w:tcPr>
            <w:tcW w:w="1870" w:type="dxa"/>
          </w:tcPr>
          <w:p w14:paraId="2428FCE7"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19(26.0)</w:t>
            </w:r>
          </w:p>
        </w:tc>
        <w:tc>
          <w:tcPr>
            <w:tcW w:w="1870" w:type="dxa"/>
          </w:tcPr>
          <w:p w14:paraId="537AF392"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24(32.9)</w:t>
            </w:r>
          </w:p>
        </w:tc>
        <w:tc>
          <w:tcPr>
            <w:tcW w:w="1870" w:type="dxa"/>
          </w:tcPr>
          <w:p w14:paraId="2EDF1716"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4(5.5)</w:t>
            </w:r>
          </w:p>
        </w:tc>
      </w:tr>
      <w:tr w:rsidR="00A45649" w:rsidRPr="003C7672" w14:paraId="7AF03D60" w14:textId="77777777" w:rsidTr="0095638F">
        <w:tc>
          <w:tcPr>
            <w:tcW w:w="1870" w:type="dxa"/>
          </w:tcPr>
          <w:p w14:paraId="7B063297"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P value</w:t>
            </w:r>
          </w:p>
        </w:tc>
        <w:tc>
          <w:tcPr>
            <w:tcW w:w="1870" w:type="dxa"/>
          </w:tcPr>
          <w:p w14:paraId="37CFB661" w14:textId="77777777" w:rsidR="00A45649" w:rsidRPr="003C7672" w:rsidRDefault="00A45649" w:rsidP="0095638F">
            <w:pPr>
              <w:spacing w:line="360" w:lineRule="auto"/>
              <w:rPr>
                <w:rFonts w:ascii="Times New Roman" w:eastAsia="Times New Roman" w:hAnsi="Times New Roman" w:cs="Times New Roman"/>
                <w:sz w:val="24"/>
                <w:szCs w:val="24"/>
              </w:rPr>
            </w:pPr>
          </w:p>
        </w:tc>
        <w:tc>
          <w:tcPr>
            <w:tcW w:w="1870" w:type="dxa"/>
          </w:tcPr>
          <w:p w14:paraId="369473E4"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0.033**</w:t>
            </w:r>
          </w:p>
        </w:tc>
        <w:tc>
          <w:tcPr>
            <w:tcW w:w="1870" w:type="dxa"/>
          </w:tcPr>
          <w:p w14:paraId="782EC4B2"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0.081</w:t>
            </w:r>
          </w:p>
        </w:tc>
        <w:tc>
          <w:tcPr>
            <w:tcW w:w="1870" w:type="dxa"/>
          </w:tcPr>
          <w:p w14:paraId="353CDCD2"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0.400</w:t>
            </w:r>
          </w:p>
        </w:tc>
      </w:tr>
      <w:tr w:rsidR="00A45649" w:rsidRPr="003C7672" w14:paraId="15AC2205" w14:textId="77777777" w:rsidTr="0095638F">
        <w:tc>
          <w:tcPr>
            <w:tcW w:w="1870" w:type="dxa"/>
          </w:tcPr>
          <w:p w14:paraId="6D6F8AF3" w14:textId="77777777" w:rsidR="00A45649" w:rsidRPr="003C7672" w:rsidRDefault="00A45649" w:rsidP="0095638F">
            <w:pPr>
              <w:spacing w:line="360" w:lineRule="auto"/>
              <w:rPr>
                <w:rFonts w:ascii="Times New Roman" w:eastAsia="Times New Roman" w:hAnsi="Times New Roman" w:cs="Times New Roman"/>
                <w:b/>
                <w:sz w:val="24"/>
                <w:szCs w:val="24"/>
              </w:rPr>
            </w:pPr>
            <w:r w:rsidRPr="003C7672">
              <w:rPr>
                <w:rFonts w:ascii="Times New Roman" w:eastAsia="Times New Roman" w:hAnsi="Times New Roman" w:cs="Times New Roman"/>
                <w:b/>
                <w:sz w:val="24"/>
                <w:szCs w:val="24"/>
              </w:rPr>
              <w:lastRenderedPageBreak/>
              <w:t>Child’s class</w:t>
            </w:r>
          </w:p>
        </w:tc>
        <w:tc>
          <w:tcPr>
            <w:tcW w:w="1870" w:type="dxa"/>
          </w:tcPr>
          <w:p w14:paraId="6B328EE0" w14:textId="77777777" w:rsidR="00A45649" w:rsidRPr="003C7672" w:rsidRDefault="00A45649" w:rsidP="0095638F">
            <w:pPr>
              <w:spacing w:line="360" w:lineRule="auto"/>
              <w:rPr>
                <w:rFonts w:ascii="Times New Roman" w:eastAsia="Times New Roman" w:hAnsi="Times New Roman" w:cs="Times New Roman"/>
                <w:sz w:val="24"/>
                <w:szCs w:val="24"/>
              </w:rPr>
            </w:pPr>
          </w:p>
        </w:tc>
        <w:tc>
          <w:tcPr>
            <w:tcW w:w="1870" w:type="dxa"/>
          </w:tcPr>
          <w:p w14:paraId="0DA0184C" w14:textId="77777777" w:rsidR="00A45649" w:rsidRPr="003C7672" w:rsidRDefault="00A45649" w:rsidP="0095638F">
            <w:pPr>
              <w:spacing w:line="360" w:lineRule="auto"/>
              <w:rPr>
                <w:rFonts w:ascii="Times New Roman" w:eastAsia="Times New Roman" w:hAnsi="Times New Roman" w:cs="Times New Roman"/>
                <w:sz w:val="24"/>
                <w:szCs w:val="24"/>
              </w:rPr>
            </w:pPr>
          </w:p>
        </w:tc>
        <w:tc>
          <w:tcPr>
            <w:tcW w:w="1870" w:type="dxa"/>
          </w:tcPr>
          <w:p w14:paraId="51D0C4E5" w14:textId="77777777" w:rsidR="00A45649" w:rsidRPr="003C7672" w:rsidRDefault="00A45649" w:rsidP="0095638F">
            <w:pPr>
              <w:spacing w:line="360" w:lineRule="auto"/>
              <w:rPr>
                <w:rFonts w:ascii="Times New Roman" w:eastAsia="Times New Roman" w:hAnsi="Times New Roman" w:cs="Times New Roman"/>
                <w:sz w:val="24"/>
                <w:szCs w:val="24"/>
              </w:rPr>
            </w:pPr>
          </w:p>
        </w:tc>
        <w:tc>
          <w:tcPr>
            <w:tcW w:w="1870" w:type="dxa"/>
          </w:tcPr>
          <w:p w14:paraId="511E6240" w14:textId="77777777" w:rsidR="00A45649" w:rsidRPr="003C7672" w:rsidRDefault="00A45649" w:rsidP="0095638F">
            <w:pPr>
              <w:spacing w:line="360" w:lineRule="auto"/>
              <w:rPr>
                <w:rFonts w:ascii="Times New Roman" w:eastAsia="Times New Roman" w:hAnsi="Times New Roman" w:cs="Times New Roman"/>
                <w:sz w:val="24"/>
                <w:szCs w:val="24"/>
              </w:rPr>
            </w:pPr>
          </w:p>
        </w:tc>
      </w:tr>
      <w:tr w:rsidR="00A45649" w:rsidRPr="003C7672" w14:paraId="48637CC1" w14:textId="77777777" w:rsidTr="0095638F">
        <w:tc>
          <w:tcPr>
            <w:tcW w:w="1870" w:type="dxa"/>
          </w:tcPr>
          <w:p w14:paraId="07A1DB75"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Junior primary</w:t>
            </w:r>
          </w:p>
        </w:tc>
        <w:tc>
          <w:tcPr>
            <w:tcW w:w="1870" w:type="dxa"/>
          </w:tcPr>
          <w:p w14:paraId="676CCF79"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115</w:t>
            </w:r>
          </w:p>
        </w:tc>
        <w:tc>
          <w:tcPr>
            <w:tcW w:w="1870" w:type="dxa"/>
          </w:tcPr>
          <w:p w14:paraId="54604918"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54(47.0)</w:t>
            </w:r>
          </w:p>
        </w:tc>
        <w:tc>
          <w:tcPr>
            <w:tcW w:w="1870" w:type="dxa"/>
          </w:tcPr>
          <w:p w14:paraId="0CE10C64"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38(33.0)</w:t>
            </w:r>
          </w:p>
        </w:tc>
        <w:tc>
          <w:tcPr>
            <w:tcW w:w="1870" w:type="dxa"/>
          </w:tcPr>
          <w:p w14:paraId="30A516AB"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7(6.1)</w:t>
            </w:r>
          </w:p>
        </w:tc>
      </w:tr>
      <w:tr w:rsidR="00A45649" w:rsidRPr="003C7672" w14:paraId="2EFFA94E" w14:textId="77777777" w:rsidTr="0095638F">
        <w:tc>
          <w:tcPr>
            <w:tcW w:w="1870" w:type="dxa"/>
          </w:tcPr>
          <w:p w14:paraId="2BB5E1C4"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Senior primary</w:t>
            </w:r>
          </w:p>
        </w:tc>
        <w:tc>
          <w:tcPr>
            <w:tcW w:w="1870" w:type="dxa"/>
          </w:tcPr>
          <w:p w14:paraId="7BA2D405"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134</w:t>
            </w:r>
          </w:p>
        </w:tc>
        <w:tc>
          <w:tcPr>
            <w:tcW w:w="1870" w:type="dxa"/>
          </w:tcPr>
          <w:p w14:paraId="30ACD062"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42(31.3)</w:t>
            </w:r>
          </w:p>
        </w:tc>
        <w:tc>
          <w:tcPr>
            <w:tcW w:w="1870" w:type="dxa"/>
          </w:tcPr>
          <w:p w14:paraId="70C31026"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53(39.6)</w:t>
            </w:r>
          </w:p>
        </w:tc>
        <w:tc>
          <w:tcPr>
            <w:tcW w:w="1870" w:type="dxa"/>
          </w:tcPr>
          <w:p w14:paraId="064F65C3"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11(8.2)</w:t>
            </w:r>
          </w:p>
        </w:tc>
      </w:tr>
      <w:tr w:rsidR="00A45649" w:rsidRPr="003C7672" w14:paraId="26AB2DBE" w14:textId="77777777" w:rsidTr="0095638F">
        <w:tc>
          <w:tcPr>
            <w:tcW w:w="1870" w:type="dxa"/>
          </w:tcPr>
          <w:p w14:paraId="210EE968"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P value</w:t>
            </w:r>
          </w:p>
        </w:tc>
        <w:tc>
          <w:tcPr>
            <w:tcW w:w="1870" w:type="dxa"/>
          </w:tcPr>
          <w:p w14:paraId="541D0CFA" w14:textId="77777777" w:rsidR="00A45649" w:rsidRPr="003C7672" w:rsidRDefault="00A45649" w:rsidP="0095638F">
            <w:pPr>
              <w:spacing w:line="360" w:lineRule="auto"/>
              <w:rPr>
                <w:rFonts w:ascii="Times New Roman" w:eastAsia="Times New Roman" w:hAnsi="Times New Roman" w:cs="Times New Roman"/>
                <w:sz w:val="24"/>
                <w:szCs w:val="24"/>
              </w:rPr>
            </w:pPr>
          </w:p>
        </w:tc>
        <w:tc>
          <w:tcPr>
            <w:tcW w:w="1870" w:type="dxa"/>
          </w:tcPr>
          <w:p w14:paraId="7987B69F"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0.013**</w:t>
            </w:r>
          </w:p>
        </w:tc>
        <w:tc>
          <w:tcPr>
            <w:tcW w:w="1870" w:type="dxa"/>
          </w:tcPr>
          <w:p w14:paraId="6675EFDD"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0.295</w:t>
            </w:r>
          </w:p>
        </w:tc>
        <w:tc>
          <w:tcPr>
            <w:tcW w:w="1870" w:type="dxa"/>
          </w:tcPr>
          <w:p w14:paraId="557FE619"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0.627</w:t>
            </w:r>
          </w:p>
        </w:tc>
      </w:tr>
      <w:tr w:rsidR="00A45649" w:rsidRPr="003C7672" w14:paraId="0B25E35A" w14:textId="77777777" w:rsidTr="0095638F">
        <w:tc>
          <w:tcPr>
            <w:tcW w:w="1870" w:type="dxa"/>
          </w:tcPr>
          <w:p w14:paraId="100691A4" w14:textId="77777777" w:rsidR="00A45649" w:rsidRPr="003C7672" w:rsidRDefault="00A45649" w:rsidP="0095638F">
            <w:pPr>
              <w:spacing w:line="360" w:lineRule="auto"/>
              <w:rPr>
                <w:rFonts w:ascii="Times New Roman" w:eastAsia="Times New Roman" w:hAnsi="Times New Roman" w:cs="Times New Roman"/>
                <w:b/>
                <w:sz w:val="24"/>
                <w:szCs w:val="24"/>
              </w:rPr>
            </w:pPr>
            <w:r w:rsidRPr="003C7672">
              <w:rPr>
                <w:rFonts w:ascii="Times New Roman" w:eastAsia="Times New Roman" w:hAnsi="Times New Roman" w:cs="Times New Roman"/>
                <w:b/>
                <w:sz w:val="24"/>
                <w:szCs w:val="24"/>
              </w:rPr>
              <w:t>Schools</w:t>
            </w:r>
          </w:p>
        </w:tc>
        <w:tc>
          <w:tcPr>
            <w:tcW w:w="1870" w:type="dxa"/>
          </w:tcPr>
          <w:p w14:paraId="670DFC38" w14:textId="77777777" w:rsidR="00A45649" w:rsidRPr="003C7672" w:rsidRDefault="00A45649" w:rsidP="0095638F">
            <w:pPr>
              <w:spacing w:line="360" w:lineRule="auto"/>
              <w:rPr>
                <w:rFonts w:ascii="Times New Roman" w:eastAsia="Times New Roman" w:hAnsi="Times New Roman" w:cs="Times New Roman"/>
                <w:sz w:val="24"/>
                <w:szCs w:val="24"/>
              </w:rPr>
            </w:pPr>
          </w:p>
        </w:tc>
        <w:tc>
          <w:tcPr>
            <w:tcW w:w="1870" w:type="dxa"/>
          </w:tcPr>
          <w:p w14:paraId="1E91E0AA" w14:textId="77777777" w:rsidR="00A45649" w:rsidRPr="003C7672" w:rsidRDefault="00A45649" w:rsidP="0095638F">
            <w:pPr>
              <w:spacing w:line="360" w:lineRule="auto"/>
              <w:rPr>
                <w:rFonts w:ascii="Times New Roman" w:eastAsia="Times New Roman" w:hAnsi="Times New Roman" w:cs="Times New Roman"/>
                <w:sz w:val="24"/>
                <w:szCs w:val="24"/>
              </w:rPr>
            </w:pPr>
          </w:p>
        </w:tc>
        <w:tc>
          <w:tcPr>
            <w:tcW w:w="1870" w:type="dxa"/>
          </w:tcPr>
          <w:p w14:paraId="5D6497F2" w14:textId="77777777" w:rsidR="00A45649" w:rsidRPr="003C7672" w:rsidRDefault="00A45649" w:rsidP="0095638F">
            <w:pPr>
              <w:spacing w:line="360" w:lineRule="auto"/>
              <w:rPr>
                <w:rFonts w:ascii="Times New Roman" w:eastAsia="Times New Roman" w:hAnsi="Times New Roman" w:cs="Times New Roman"/>
                <w:sz w:val="24"/>
                <w:szCs w:val="24"/>
              </w:rPr>
            </w:pPr>
          </w:p>
        </w:tc>
        <w:tc>
          <w:tcPr>
            <w:tcW w:w="1870" w:type="dxa"/>
          </w:tcPr>
          <w:p w14:paraId="772615F9" w14:textId="77777777" w:rsidR="00A45649" w:rsidRPr="003C7672" w:rsidRDefault="00A45649" w:rsidP="0095638F">
            <w:pPr>
              <w:spacing w:line="360" w:lineRule="auto"/>
              <w:rPr>
                <w:rFonts w:ascii="Times New Roman" w:eastAsia="Times New Roman" w:hAnsi="Times New Roman" w:cs="Times New Roman"/>
                <w:sz w:val="24"/>
                <w:szCs w:val="24"/>
              </w:rPr>
            </w:pPr>
          </w:p>
        </w:tc>
      </w:tr>
      <w:tr w:rsidR="00A45649" w:rsidRPr="003C7672" w14:paraId="6978FE23" w14:textId="77777777" w:rsidTr="0095638F">
        <w:tc>
          <w:tcPr>
            <w:tcW w:w="1870" w:type="dxa"/>
          </w:tcPr>
          <w:p w14:paraId="478FAAC4"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L.O.I.M.</w:t>
            </w:r>
            <w:proofErr w:type="gramStart"/>
            <w:r w:rsidRPr="003C7672">
              <w:rPr>
                <w:rFonts w:ascii="Times New Roman" w:eastAsia="Times New Roman" w:hAnsi="Times New Roman" w:cs="Times New Roman"/>
                <w:sz w:val="24"/>
                <w:szCs w:val="24"/>
              </w:rPr>
              <w:t>P.S</w:t>
            </w:r>
            <w:proofErr w:type="gramEnd"/>
          </w:p>
        </w:tc>
        <w:tc>
          <w:tcPr>
            <w:tcW w:w="1870" w:type="dxa"/>
          </w:tcPr>
          <w:p w14:paraId="6D970E72"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119</w:t>
            </w:r>
          </w:p>
        </w:tc>
        <w:tc>
          <w:tcPr>
            <w:tcW w:w="1870" w:type="dxa"/>
          </w:tcPr>
          <w:p w14:paraId="5712252C"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48(40.3)</w:t>
            </w:r>
          </w:p>
        </w:tc>
        <w:tc>
          <w:tcPr>
            <w:tcW w:w="1870" w:type="dxa"/>
          </w:tcPr>
          <w:p w14:paraId="6E28E944"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32(26.9)</w:t>
            </w:r>
          </w:p>
        </w:tc>
        <w:tc>
          <w:tcPr>
            <w:tcW w:w="1870" w:type="dxa"/>
          </w:tcPr>
          <w:p w14:paraId="3289BF34"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7(5.9)</w:t>
            </w:r>
          </w:p>
        </w:tc>
      </w:tr>
      <w:tr w:rsidR="00A45649" w:rsidRPr="003C7672" w14:paraId="4CB685AF" w14:textId="77777777" w:rsidTr="0095638F">
        <w:tc>
          <w:tcPr>
            <w:tcW w:w="1870" w:type="dxa"/>
          </w:tcPr>
          <w:p w14:paraId="61BA7328"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U.C.P.S 1</w:t>
            </w:r>
          </w:p>
        </w:tc>
        <w:tc>
          <w:tcPr>
            <w:tcW w:w="1870" w:type="dxa"/>
          </w:tcPr>
          <w:p w14:paraId="48E0BBB1"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74</w:t>
            </w:r>
          </w:p>
        </w:tc>
        <w:tc>
          <w:tcPr>
            <w:tcW w:w="1870" w:type="dxa"/>
          </w:tcPr>
          <w:p w14:paraId="708D604C"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27(36.5)</w:t>
            </w:r>
          </w:p>
        </w:tc>
        <w:tc>
          <w:tcPr>
            <w:tcW w:w="1870" w:type="dxa"/>
          </w:tcPr>
          <w:p w14:paraId="7AB42C22"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29(39.2)</w:t>
            </w:r>
          </w:p>
        </w:tc>
        <w:tc>
          <w:tcPr>
            <w:tcW w:w="1870" w:type="dxa"/>
          </w:tcPr>
          <w:p w14:paraId="6D0DFD2C"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6(8.1)</w:t>
            </w:r>
          </w:p>
        </w:tc>
      </w:tr>
      <w:tr w:rsidR="00A45649" w:rsidRPr="003C7672" w14:paraId="60165BFF" w14:textId="77777777" w:rsidTr="0095638F">
        <w:tc>
          <w:tcPr>
            <w:tcW w:w="1870" w:type="dxa"/>
          </w:tcPr>
          <w:p w14:paraId="1133586E"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U.C.P.S 2</w:t>
            </w:r>
          </w:p>
        </w:tc>
        <w:tc>
          <w:tcPr>
            <w:tcW w:w="1870" w:type="dxa"/>
          </w:tcPr>
          <w:p w14:paraId="79D41CDE"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56</w:t>
            </w:r>
          </w:p>
        </w:tc>
        <w:tc>
          <w:tcPr>
            <w:tcW w:w="1870" w:type="dxa"/>
          </w:tcPr>
          <w:p w14:paraId="59647798"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2</w:t>
            </w:r>
            <w:r w:rsidR="00901F21" w:rsidRPr="003C7672">
              <w:rPr>
                <w:rFonts w:ascii="Times New Roman" w:eastAsia="Times New Roman" w:hAnsi="Times New Roman" w:cs="Times New Roman"/>
                <w:sz w:val="24"/>
                <w:szCs w:val="24"/>
              </w:rPr>
              <w:t>1</w:t>
            </w:r>
            <w:r w:rsidRPr="003C7672">
              <w:rPr>
                <w:rFonts w:ascii="Times New Roman" w:eastAsia="Times New Roman" w:hAnsi="Times New Roman" w:cs="Times New Roman"/>
                <w:sz w:val="24"/>
                <w:szCs w:val="24"/>
              </w:rPr>
              <w:t>(37.5)</w:t>
            </w:r>
          </w:p>
        </w:tc>
        <w:tc>
          <w:tcPr>
            <w:tcW w:w="1870" w:type="dxa"/>
          </w:tcPr>
          <w:p w14:paraId="7E4CE14D"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30(53.6)</w:t>
            </w:r>
          </w:p>
        </w:tc>
        <w:tc>
          <w:tcPr>
            <w:tcW w:w="1870" w:type="dxa"/>
          </w:tcPr>
          <w:p w14:paraId="666C3411"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5(8.9)</w:t>
            </w:r>
          </w:p>
        </w:tc>
      </w:tr>
      <w:tr w:rsidR="00A45649" w:rsidRPr="003C7672" w14:paraId="31ABA7B5" w14:textId="77777777" w:rsidTr="0095638F">
        <w:tc>
          <w:tcPr>
            <w:tcW w:w="1870" w:type="dxa"/>
          </w:tcPr>
          <w:p w14:paraId="54D42E16"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P value</w:t>
            </w:r>
          </w:p>
        </w:tc>
        <w:tc>
          <w:tcPr>
            <w:tcW w:w="1870" w:type="dxa"/>
          </w:tcPr>
          <w:p w14:paraId="6AF8E3C5" w14:textId="77777777" w:rsidR="00A45649" w:rsidRPr="003C7672" w:rsidRDefault="00A45649" w:rsidP="0095638F">
            <w:pPr>
              <w:spacing w:line="360" w:lineRule="auto"/>
              <w:rPr>
                <w:rFonts w:ascii="Times New Roman" w:eastAsia="Times New Roman" w:hAnsi="Times New Roman" w:cs="Times New Roman"/>
                <w:sz w:val="24"/>
                <w:szCs w:val="24"/>
              </w:rPr>
            </w:pPr>
          </w:p>
        </w:tc>
        <w:tc>
          <w:tcPr>
            <w:tcW w:w="1870" w:type="dxa"/>
          </w:tcPr>
          <w:p w14:paraId="6946FE57"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0.852</w:t>
            </w:r>
          </w:p>
        </w:tc>
        <w:tc>
          <w:tcPr>
            <w:tcW w:w="1870" w:type="dxa"/>
          </w:tcPr>
          <w:p w14:paraId="63984085"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0.002**</w:t>
            </w:r>
          </w:p>
        </w:tc>
        <w:tc>
          <w:tcPr>
            <w:tcW w:w="1870" w:type="dxa"/>
          </w:tcPr>
          <w:p w14:paraId="62F02440"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0.723</w:t>
            </w:r>
          </w:p>
        </w:tc>
      </w:tr>
    </w:tbl>
    <w:p w14:paraId="214D9948" w14:textId="77777777" w:rsidR="00A45649" w:rsidRPr="003C7672" w:rsidRDefault="00A45649" w:rsidP="00F91DE1">
      <w:pPr>
        <w:spacing w:line="360" w:lineRule="auto"/>
        <w:rPr>
          <w:rFonts w:ascii="Times New Roman" w:hAnsi="Times New Roman" w:cs="Times New Roman"/>
          <w:sz w:val="24"/>
          <w:szCs w:val="24"/>
        </w:rPr>
      </w:pPr>
      <w:r w:rsidRPr="003C7672">
        <w:rPr>
          <w:rFonts w:ascii="Times New Roman" w:hAnsi="Times New Roman" w:cs="Times New Roman"/>
          <w:sz w:val="24"/>
          <w:szCs w:val="24"/>
        </w:rPr>
        <w:t>**Significant association between p</w:t>
      </w:r>
      <w:r w:rsidRPr="003C7672">
        <w:rPr>
          <w:rFonts w:ascii="Times New Roman" w:eastAsia="Times New Roman" w:hAnsi="Times New Roman" w:cs="Times New Roman"/>
          <w:sz w:val="24"/>
          <w:szCs w:val="24"/>
        </w:rPr>
        <w:t xml:space="preserve">revalence of malaria, STH, and co-infection and demographic variable </w:t>
      </w:r>
    </w:p>
    <w:p w14:paraId="38FE206B" w14:textId="77777777" w:rsidR="00A45649" w:rsidRPr="003C7672" w:rsidRDefault="00A45649" w:rsidP="00F50B23">
      <w:pPr>
        <w:spacing w:after="0" w:line="360" w:lineRule="auto"/>
        <w:rPr>
          <w:rFonts w:ascii="Times New Roman" w:hAnsi="Times New Roman" w:cs="Times New Roman"/>
          <w:sz w:val="24"/>
          <w:szCs w:val="24"/>
        </w:rPr>
      </w:pPr>
      <w:r w:rsidRPr="003C7672">
        <w:rPr>
          <w:rFonts w:ascii="Times New Roman" w:hAnsi="Times New Roman" w:cs="Times New Roman"/>
          <w:b/>
          <w:sz w:val="24"/>
          <w:szCs w:val="24"/>
        </w:rPr>
        <w:t>Factors affecting Malaria-STH co-infection prevalence among primary school children in the community</w:t>
      </w:r>
    </w:p>
    <w:p w14:paraId="082E8ABB" w14:textId="77777777" w:rsidR="00A45649" w:rsidRPr="003C7672" w:rsidRDefault="00A45649" w:rsidP="00F50B23">
      <w:pPr>
        <w:spacing w:after="0" w:line="360" w:lineRule="auto"/>
        <w:jc w:val="both"/>
        <w:rPr>
          <w:rFonts w:ascii="Times New Roman" w:hAnsi="Times New Roman" w:cs="Times New Roman"/>
          <w:sz w:val="24"/>
          <w:szCs w:val="24"/>
        </w:rPr>
      </w:pPr>
      <w:r w:rsidRPr="003C7672">
        <w:rPr>
          <w:rFonts w:ascii="Times New Roman" w:hAnsi="Times New Roman" w:cs="Times New Roman"/>
          <w:color w:val="1C1C1C"/>
          <w:sz w:val="24"/>
          <w:szCs w:val="24"/>
          <w:shd w:val="clear" w:color="auto" w:fill="FFFFFF"/>
        </w:rPr>
        <w:t xml:space="preserve">The adjusted odds ratio (AOR) of factors affecting the prevalence of the co-infection among primary school pupils indicated that not taking albendazole (AOR=3.760, 95% CI=1.047-13.502, </w:t>
      </w:r>
      <w:r w:rsidRPr="003C7672">
        <w:rPr>
          <w:rFonts w:ascii="Times New Roman" w:hAnsi="Times New Roman" w:cs="Times New Roman"/>
          <w:i/>
          <w:color w:val="1C1C1C"/>
          <w:sz w:val="24"/>
          <w:szCs w:val="24"/>
          <w:shd w:val="clear" w:color="auto" w:fill="FFFFFF"/>
        </w:rPr>
        <w:t>P</w:t>
      </w:r>
      <w:r w:rsidRPr="003C7672">
        <w:rPr>
          <w:rFonts w:ascii="Times New Roman" w:hAnsi="Times New Roman" w:cs="Times New Roman"/>
          <w:color w:val="1C1C1C"/>
          <w:sz w:val="24"/>
          <w:szCs w:val="24"/>
          <w:shd w:val="clear" w:color="auto" w:fill="FFFFFF"/>
        </w:rPr>
        <w:t>=0.042) was the only significant factor influencing malaria and soil-transmitted helminth (STH) co-infection preva</w:t>
      </w:r>
      <w:r w:rsidR="003E0CEA" w:rsidRPr="003C7672">
        <w:rPr>
          <w:rFonts w:ascii="Times New Roman" w:hAnsi="Times New Roman" w:cs="Times New Roman"/>
          <w:color w:val="1C1C1C"/>
          <w:sz w:val="24"/>
          <w:szCs w:val="24"/>
          <w:shd w:val="clear" w:color="auto" w:fill="FFFFFF"/>
        </w:rPr>
        <w:t>lence in the study area (Table 3</w:t>
      </w:r>
      <w:r w:rsidRPr="003C7672">
        <w:rPr>
          <w:rFonts w:ascii="Times New Roman" w:hAnsi="Times New Roman" w:cs="Times New Roman"/>
          <w:color w:val="1C1C1C"/>
          <w:sz w:val="24"/>
          <w:szCs w:val="24"/>
          <w:shd w:val="clear" w:color="auto" w:fill="FFFFFF"/>
        </w:rPr>
        <w:t>).</w:t>
      </w:r>
    </w:p>
    <w:p w14:paraId="7C8CE3F3" w14:textId="77777777" w:rsidR="00A45649" w:rsidRPr="003C7672" w:rsidRDefault="00F50B23" w:rsidP="00F50B23">
      <w:pPr>
        <w:spacing w:after="0" w:line="240" w:lineRule="auto"/>
        <w:rPr>
          <w:rFonts w:ascii="Times New Roman" w:hAnsi="Times New Roman" w:cs="Times New Roman"/>
          <w:sz w:val="24"/>
          <w:szCs w:val="24"/>
        </w:rPr>
      </w:pPr>
      <w:r w:rsidRPr="003C7672">
        <w:rPr>
          <w:rFonts w:ascii="Times New Roman" w:hAnsi="Times New Roman" w:cs="Times New Roman"/>
          <w:sz w:val="24"/>
          <w:szCs w:val="24"/>
        </w:rPr>
        <w:t>T</w:t>
      </w:r>
      <w:r w:rsidR="003E0CEA" w:rsidRPr="003C7672">
        <w:rPr>
          <w:rFonts w:ascii="Times New Roman" w:hAnsi="Times New Roman" w:cs="Times New Roman"/>
          <w:sz w:val="24"/>
          <w:szCs w:val="24"/>
        </w:rPr>
        <w:t>able 3</w:t>
      </w:r>
      <w:r w:rsidR="00A45649" w:rsidRPr="003C7672">
        <w:rPr>
          <w:rFonts w:ascii="Times New Roman" w:hAnsi="Times New Roman" w:cs="Times New Roman"/>
          <w:sz w:val="24"/>
          <w:szCs w:val="24"/>
        </w:rPr>
        <w:t xml:space="preserve">: Factors affecting prevalence of malaria-STH co-infection among the primary school pupils </w:t>
      </w:r>
    </w:p>
    <w:tbl>
      <w:tblPr>
        <w:tblStyle w:val="TableGrid3"/>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8"/>
        <w:gridCol w:w="2338"/>
        <w:gridCol w:w="2337"/>
        <w:gridCol w:w="2337"/>
      </w:tblGrid>
      <w:tr w:rsidR="00A45649" w:rsidRPr="003C7672" w14:paraId="24D1BC4A" w14:textId="77777777" w:rsidTr="0095638F">
        <w:tc>
          <w:tcPr>
            <w:tcW w:w="2338" w:type="dxa"/>
            <w:tcBorders>
              <w:top w:val="single" w:sz="4" w:space="0" w:color="auto"/>
              <w:bottom w:val="single" w:sz="4" w:space="0" w:color="auto"/>
            </w:tcBorders>
          </w:tcPr>
          <w:p w14:paraId="4411CE13" w14:textId="77777777" w:rsidR="00A45649" w:rsidRPr="003C7672" w:rsidRDefault="00A45649" w:rsidP="00F50B23">
            <w:pPr>
              <w:rPr>
                <w:rFonts w:ascii="Times New Roman" w:hAnsi="Times New Roman" w:cs="Times New Roman"/>
                <w:sz w:val="24"/>
                <w:szCs w:val="24"/>
              </w:rPr>
            </w:pPr>
            <w:r w:rsidRPr="003C7672">
              <w:rPr>
                <w:rFonts w:ascii="Times New Roman" w:hAnsi="Times New Roman" w:cs="Times New Roman"/>
                <w:sz w:val="24"/>
                <w:szCs w:val="24"/>
              </w:rPr>
              <w:t xml:space="preserve">Factors </w:t>
            </w:r>
          </w:p>
        </w:tc>
        <w:tc>
          <w:tcPr>
            <w:tcW w:w="2338" w:type="dxa"/>
            <w:tcBorders>
              <w:top w:val="single" w:sz="4" w:space="0" w:color="auto"/>
              <w:bottom w:val="single" w:sz="4" w:space="0" w:color="auto"/>
            </w:tcBorders>
          </w:tcPr>
          <w:p w14:paraId="7A1B7ED9" w14:textId="77777777" w:rsidR="00A45649" w:rsidRPr="003C7672" w:rsidRDefault="00A45649" w:rsidP="00F50B23">
            <w:pPr>
              <w:rPr>
                <w:rFonts w:ascii="Times New Roman" w:hAnsi="Times New Roman" w:cs="Times New Roman"/>
                <w:sz w:val="24"/>
                <w:szCs w:val="24"/>
              </w:rPr>
            </w:pPr>
            <w:r w:rsidRPr="003C7672">
              <w:rPr>
                <w:rFonts w:ascii="Times New Roman" w:hAnsi="Times New Roman" w:cs="Times New Roman"/>
                <w:sz w:val="24"/>
                <w:szCs w:val="24"/>
              </w:rPr>
              <w:t>AOR</w:t>
            </w:r>
          </w:p>
        </w:tc>
        <w:tc>
          <w:tcPr>
            <w:tcW w:w="2337" w:type="dxa"/>
            <w:tcBorders>
              <w:top w:val="single" w:sz="4" w:space="0" w:color="auto"/>
              <w:bottom w:val="single" w:sz="4" w:space="0" w:color="auto"/>
            </w:tcBorders>
          </w:tcPr>
          <w:p w14:paraId="0BDE43C5" w14:textId="77777777" w:rsidR="00A45649" w:rsidRPr="003C7672" w:rsidRDefault="00A45649" w:rsidP="00F50B23">
            <w:pPr>
              <w:rPr>
                <w:rFonts w:ascii="Times New Roman" w:hAnsi="Times New Roman" w:cs="Times New Roman"/>
                <w:sz w:val="24"/>
                <w:szCs w:val="24"/>
              </w:rPr>
            </w:pPr>
            <w:r w:rsidRPr="003C7672">
              <w:rPr>
                <w:rFonts w:ascii="Times New Roman" w:hAnsi="Times New Roman" w:cs="Times New Roman"/>
                <w:sz w:val="24"/>
                <w:szCs w:val="24"/>
              </w:rPr>
              <w:t>95% CI</w:t>
            </w:r>
          </w:p>
        </w:tc>
        <w:tc>
          <w:tcPr>
            <w:tcW w:w="2337" w:type="dxa"/>
            <w:tcBorders>
              <w:top w:val="single" w:sz="4" w:space="0" w:color="auto"/>
              <w:bottom w:val="single" w:sz="4" w:space="0" w:color="auto"/>
            </w:tcBorders>
          </w:tcPr>
          <w:p w14:paraId="68DA96A2" w14:textId="77777777" w:rsidR="00A45649" w:rsidRPr="003C7672" w:rsidRDefault="00A45649" w:rsidP="00F50B23">
            <w:pPr>
              <w:rPr>
                <w:rFonts w:ascii="Times New Roman" w:hAnsi="Times New Roman" w:cs="Times New Roman"/>
                <w:sz w:val="24"/>
                <w:szCs w:val="24"/>
              </w:rPr>
            </w:pPr>
            <w:r w:rsidRPr="003C7672">
              <w:rPr>
                <w:rFonts w:ascii="Times New Roman" w:hAnsi="Times New Roman" w:cs="Times New Roman"/>
                <w:sz w:val="24"/>
                <w:szCs w:val="24"/>
              </w:rPr>
              <w:t>P value</w:t>
            </w:r>
          </w:p>
        </w:tc>
      </w:tr>
      <w:tr w:rsidR="00A45649" w:rsidRPr="003C7672" w14:paraId="670D2DE8" w14:textId="77777777" w:rsidTr="0095638F">
        <w:tc>
          <w:tcPr>
            <w:tcW w:w="2338" w:type="dxa"/>
            <w:tcBorders>
              <w:top w:val="single" w:sz="4" w:space="0" w:color="auto"/>
            </w:tcBorders>
          </w:tcPr>
          <w:p w14:paraId="1D312AE4"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b/>
                <w:sz w:val="24"/>
                <w:szCs w:val="24"/>
              </w:rPr>
              <w:t>Gender</w:t>
            </w:r>
          </w:p>
        </w:tc>
        <w:tc>
          <w:tcPr>
            <w:tcW w:w="2338" w:type="dxa"/>
            <w:tcBorders>
              <w:top w:val="single" w:sz="4" w:space="0" w:color="auto"/>
            </w:tcBorders>
          </w:tcPr>
          <w:p w14:paraId="024735AA" w14:textId="77777777" w:rsidR="00A45649" w:rsidRPr="003C7672" w:rsidRDefault="00A45649" w:rsidP="0095638F">
            <w:pPr>
              <w:rPr>
                <w:rFonts w:ascii="Times New Roman" w:hAnsi="Times New Roman" w:cs="Times New Roman"/>
                <w:sz w:val="24"/>
                <w:szCs w:val="24"/>
              </w:rPr>
            </w:pPr>
          </w:p>
        </w:tc>
        <w:tc>
          <w:tcPr>
            <w:tcW w:w="2337" w:type="dxa"/>
            <w:tcBorders>
              <w:top w:val="single" w:sz="4" w:space="0" w:color="auto"/>
            </w:tcBorders>
          </w:tcPr>
          <w:p w14:paraId="00E25D27" w14:textId="77777777" w:rsidR="00A45649" w:rsidRPr="003C7672" w:rsidRDefault="00A45649" w:rsidP="0095638F">
            <w:pPr>
              <w:rPr>
                <w:rFonts w:ascii="Times New Roman" w:hAnsi="Times New Roman" w:cs="Times New Roman"/>
                <w:sz w:val="24"/>
                <w:szCs w:val="24"/>
              </w:rPr>
            </w:pPr>
          </w:p>
        </w:tc>
        <w:tc>
          <w:tcPr>
            <w:tcW w:w="2337" w:type="dxa"/>
            <w:tcBorders>
              <w:top w:val="single" w:sz="4" w:space="0" w:color="auto"/>
            </w:tcBorders>
          </w:tcPr>
          <w:p w14:paraId="071C62F6" w14:textId="77777777" w:rsidR="00A45649" w:rsidRPr="003C7672" w:rsidRDefault="00A45649" w:rsidP="0095638F">
            <w:pPr>
              <w:rPr>
                <w:rFonts w:ascii="Times New Roman" w:hAnsi="Times New Roman" w:cs="Times New Roman"/>
                <w:sz w:val="24"/>
                <w:szCs w:val="24"/>
              </w:rPr>
            </w:pPr>
          </w:p>
        </w:tc>
      </w:tr>
      <w:tr w:rsidR="00A45649" w:rsidRPr="003C7672" w14:paraId="02799055" w14:textId="77777777" w:rsidTr="0095638F">
        <w:tc>
          <w:tcPr>
            <w:tcW w:w="2338" w:type="dxa"/>
          </w:tcPr>
          <w:p w14:paraId="7FA71359"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Male</w:t>
            </w:r>
          </w:p>
        </w:tc>
        <w:tc>
          <w:tcPr>
            <w:tcW w:w="2338" w:type="dxa"/>
          </w:tcPr>
          <w:p w14:paraId="479E293B"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Reference</w:t>
            </w:r>
          </w:p>
        </w:tc>
        <w:tc>
          <w:tcPr>
            <w:tcW w:w="2337" w:type="dxa"/>
          </w:tcPr>
          <w:p w14:paraId="19A0857E" w14:textId="77777777" w:rsidR="00A45649" w:rsidRPr="003C7672" w:rsidRDefault="00A45649" w:rsidP="0095638F">
            <w:pPr>
              <w:rPr>
                <w:rFonts w:ascii="Times New Roman" w:hAnsi="Times New Roman" w:cs="Times New Roman"/>
                <w:sz w:val="24"/>
                <w:szCs w:val="24"/>
              </w:rPr>
            </w:pPr>
          </w:p>
        </w:tc>
        <w:tc>
          <w:tcPr>
            <w:tcW w:w="2337" w:type="dxa"/>
          </w:tcPr>
          <w:p w14:paraId="3E2DEA12" w14:textId="77777777" w:rsidR="00A45649" w:rsidRPr="003C7672" w:rsidRDefault="00A45649" w:rsidP="0095638F">
            <w:pPr>
              <w:rPr>
                <w:rFonts w:ascii="Times New Roman" w:hAnsi="Times New Roman" w:cs="Times New Roman"/>
                <w:sz w:val="24"/>
                <w:szCs w:val="24"/>
              </w:rPr>
            </w:pPr>
          </w:p>
        </w:tc>
      </w:tr>
      <w:tr w:rsidR="00A45649" w:rsidRPr="003C7672" w14:paraId="5E6BE79E" w14:textId="77777777" w:rsidTr="0095638F">
        <w:tc>
          <w:tcPr>
            <w:tcW w:w="2338" w:type="dxa"/>
          </w:tcPr>
          <w:p w14:paraId="0CA2AD8D"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Female</w:t>
            </w:r>
          </w:p>
        </w:tc>
        <w:tc>
          <w:tcPr>
            <w:tcW w:w="2338" w:type="dxa"/>
          </w:tcPr>
          <w:p w14:paraId="57E8B531"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0.781</w:t>
            </w:r>
          </w:p>
        </w:tc>
        <w:tc>
          <w:tcPr>
            <w:tcW w:w="2337" w:type="dxa"/>
          </w:tcPr>
          <w:p w14:paraId="157C07C3"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0.275-2.216</w:t>
            </w:r>
          </w:p>
        </w:tc>
        <w:tc>
          <w:tcPr>
            <w:tcW w:w="2337" w:type="dxa"/>
          </w:tcPr>
          <w:p w14:paraId="52428EC4"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0.642</w:t>
            </w:r>
          </w:p>
        </w:tc>
      </w:tr>
      <w:tr w:rsidR="00A45649" w:rsidRPr="003C7672" w14:paraId="28FCD965" w14:textId="77777777" w:rsidTr="0095638F">
        <w:tc>
          <w:tcPr>
            <w:tcW w:w="2338" w:type="dxa"/>
          </w:tcPr>
          <w:p w14:paraId="6CA1803F" w14:textId="77777777" w:rsidR="00A45649" w:rsidRPr="003C7672" w:rsidRDefault="00A45649" w:rsidP="0095638F">
            <w:pPr>
              <w:rPr>
                <w:rFonts w:ascii="Times New Roman" w:hAnsi="Times New Roman" w:cs="Times New Roman"/>
                <w:b/>
                <w:sz w:val="24"/>
                <w:szCs w:val="24"/>
              </w:rPr>
            </w:pPr>
            <w:r w:rsidRPr="003C7672">
              <w:rPr>
                <w:rFonts w:ascii="Times New Roman" w:hAnsi="Times New Roman" w:cs="Times New Roman"/>
                <w:b/>
                <w:sz w:val="24"/>
                <w:szCs w:val="24"/>
              </w:rPr>
              <w:t>Age group</w:t>
            </w:r>
          </w:p>
        </w:tc>
        <w:tc>
          <w:tcPr>
            <w:tcW w:w="2338" w:type="dxa"/>
          </w:tcPr>
          <w:p w14:paraId="0AC1E7A7" w14:textId="77777777" w:rsidR="00A45649" w:rsidRPr="003C7672" w:rsidRDefault="00A45649" w:rsidP="0095638F">
            <w:pPr>
              <w:rPr>
                <w:rFonts w:ascii="Times New Roman" w:hAnsi="Times New Roman" w:cs="Times New Roman"/>
                <w:sz w:val="24"/>
                <w:szCs w:val="24"/>
              </w:rPr>
            </w:pPr>
          </w:p>
        </w:tc>
        <w:tc>
          <w:tcPr>
            <w:tcW w:w="2337" w:type="dxa"/>
          </w:tcPr>
          <w:p w14:paraId="4BE0A166" w14:textId="77777777" w:rsidR="00A45649" w:rsidRPr="003C7672" w:rsidRDefault="00A45649" w:rsidP="0095638F">
            <w:pPr>
              <w:rPr>
                <w:rFonts w:ascii="Times New Roman" w:hAnsi="Times New Roman" w:cs="Times New Roman"/>
                <w:sz w:val="24"/>
                <w:szCs w:val="24"/>
              </w:rPr>
            </w:pPr>
          </w:p>
        </w:tc>
        <w:tc>
          <w:tcPr>
            <w:tcW w:w="2337" w:type="dxa"/>
          </w:tcPr>
          <w:p w14:paraId="039C9495" w14:textId="77777777" w:rsidR="00A45649" w:rsidRPr="003C7672" w:rsidRDefault="00A45649" w:rsidP="0095638F">
            <w:pPr>
              <w:rPr>
                <w:rFonts w:ascii="Times New Roman" w:hAnsi="Times New Roman" w:cs="Times New Roman"/>
                <w:sz w:val="24"/>
                <w:szCs w:val="24"/>
              </w:rPr>
            </w:pPr>
          </w:p>
        </w:tc>
      </w:tr>
      <w:tr w:rsidR="00A45649" w:rsidRPr="003C7672" w14:paraId="3CC45E49" w14:textId="77777777" w:rsidTr="0095638F">
        <w:tc>
          <w:tcPr>
            <w:tcW w:w="2338" w:type="dxa"/>
          </w:tcPr>
          <w:p w14:paraId="072CB330"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3-6</w:t>
            </w:r>
          </w:p>
        </w:tc>
        <w:tc>
          <w:tcPr>
            <w:tcW w:w="2338" w:type="dxa"/>
          </w:tcPr>
          <w:p w14:paraId="58E2F474"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1.082</w:t>
            </w:r>
          </w:p>
        </w:tc>
        <w:tc>
          <w:tcPr>
            <w:tcW w:w="2337" w:type="dxa"/>
          </w:tcPr>
          <w:p w14:paraId="15C8F2F0"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0.080-14.626</w:t>
            </w:r>
          </w:p>
        </w:tc>
        <w:tc>
          <w:tcPr>
            <w:tcW w:w="2337" w:type="dxa"/>
          </w:tcPr>
          <w:p w14:paraId="591CB123"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0.953</w:t>
            </w:r>
          </w:p>
        </w:tc>
      </w:tr>
      <w:tr w:rsidR="00A45649" w:rsidRPr="003C7672" w14:paraId="7F86E78A" w14:textId="77777777" w:rsidTr="0095638F">
        <w:tc>
          <w:tcPr>
            <w:tcW w:w="2338" w:type="dxa"/>
          </w:tcPr>
          <w:p w14:paraId="5461F6CD"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7-10</w:t>
            </w:r>
          </w:p>
        </w:tc>
        <w:tc>
          <w:tcPr>
            <w:tcW w:w="2338" w:type="dxa"/>
          </w:tcPr>
          <w:p w14:paraId="4D45FFF9"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0.436</w:t>
            </w:r>
          </w:p>
        </w:tc>
        <w:tc>
          <w:tcPr>
            <w:tcW w:w="2337" w:type="dxa"/>
          </w:tcPr>
          <w:p w14:paraId="1179C3B5"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0.112-1.695</w:t>
            </w:r>
          </w:p>
        </w:tc>
        <w:tc>
          <w:tcPr>
            <w:tcW w:w="2337" w:type="dxa"/>
          </w:tcPr>
          <w:p w14:paraId="0755BED7"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0.231</w:t>
            </w:r>
          </w:p>
        </w:tc>
      </w:tr>
      <w:tr w:rsidR="00A45649" w:rsidRPr="003C7672" w14:paraId="17B86C60" w14:textId="77777777" w:rsidTr="0095638F">
        <w:tc>
          <w:tcPr>
            <w:tcW w:w="2338" w:type="dxa"/>
          </w:tcPr>
          <w:p w14:paraId="756D8421"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11-15</w:t>
            </w:r>
          </w:p>
        </w:tc>
        <w:tc>
          <w:tcPr>
            <w:tcW w:w="2338" w:type="dxa"/>
          </w:tcPr>
          <w:p w14:paraId="0572CE84"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Reference</w:t>
            </w:r>
          </w:p>
        </w:tc>
        <w:tc>
          <w:tcPr>
            <w:tcW w:w="2337" w:type="dxa"/>
          </w:tcPr>
          <w:p w14:paraId="2069606B" w14:textId="77777777" w:rsidR="00A45649" w:rsidRPr="003C7672" w:rsidRDefault="00A45649" w:rsidP="0095638F">
            <w:pPr>
              <w:rPr>
                <w:rFonts w:ascii="Times New Roman" w:hAnsi="Times New Roman" w:cs="Times New Roman"/>
                <w:sz w:val="24"/>
                <w:szCs w:val="24"/>
              </w:rPr>
            </w:pPr>
          </w:p>
        </w:tc>
        <w:tc>
          <w:tcPr>
            <w:tcW w:w="2337" w:type="dxa"/>
          </w:tcPr>
          <w:p w14:paraId="05A4A0C6" w14:textId="77777777" w:rsidR="00A45649" w:rsidRPr="003C7672" w:rsidRDefault="00A45649" w:rsidP="0095638F">
            <w:pPr>
              <w:rPr>
                <w:rFonts w:ascii="Times New Roman" w:hAnsi="Times New Roman" w:cs="Times New Roman"/>
                <w:sz w:val="24"/>
                <w:szCs w:val="24"/>
              </w:rPr>
            </w:pPr>
          </w:p>
        </w:tc>
      </w:tr>
      <w:tr w:rsidR="00A45649" w:rsidRPr="003C7672" w14:paraId="7BF3E60C" w14:textId="77777777" w:rsidTr="0095638F">
        <w:tc>
          <w:tcPr>
            <w:tcW w:w="2338" w:type="dxa"/>
          </w:tcPr>
          <w:p w14:paraId="19226B4E" w14:textId="77777777" w:rsidR="00A45649" w:rsidRPr="003C7672" w:rsidRDefault="00A45649" w:rsidP="0095638F">
            <w:pPr>
              <w:rPr>
                <w:rFonts w:ascii="Times New Roman" w:hAnsi="Times New Roman" w:cs="Times New Roman"/>
                <w:b/>
                <w:sz w:val="24"/>
                <w:szCs w:val="24"/>
              </w:rPr>
            </w:pPr>
            <w:r w:rsidRPr="003C7672">
              <w:rPr>
                <w:rFonts w:ascii="Times New Roman" w:hAnsi="Times New Roman" w:cs="Times New Roman"/>
                <w:b/>
                <w:sz w:val="24"/>
                <w:szCs w:val="24"/>
              </w:rPr>
              <w:t>Grade group</w:t>
            </w:r>
          </w:p>
        </w:tc>
        <w:tc>
          <w:tcPr>
            <w:tcW w:w="2338" w:type="dxa"/>
          </w:tcPr>
          <w:p w14:paraId="587B4D4D" w14:textId="77777777" w:rsidR="00A45649" w:rsidRPr="003C7672" w:rsidRDefault="00A45649" w:rsidP="0095638F">
            <w:pPr>
              <w:rPr>
                <w:rFonts w:ascii="Times New Roman" w:hAnsi="Times New Roman" w:cs="Times New Roman"/>
                <w:sz w:val="24"/>
                <w:szCs w:val="24"/>
              </w:rPr>
            </w:pPr>
          </w:p>
        </w:tc>
        <w:tc>
          <w:tcPr>
            <w:tcW w:w="2337" w:type="dxa"/>
          </w:tcPr>
          <w:p w14:paraId="0D516522" w14:textId="77777777" w:rsidR="00A45649" w:rsidRPr="003C7672" w:rsidRDefault="00A45649" w:rsidP="0095638F">
            <w:pPr>
              <w:rPr>
                <w:rFonts w:ascii="Times New Roman" w:hAnsi="Times New Roman" w:cs="Times New Roman"/>
                <w:sz w:val="24"/>
                <w:szCs w:val="24"/>
              </w:rPr>
            </w:pPr>
          </w:p>
        </w:tc>
        <w:tc>
          <w:tcPr>
            <w:tcW w:w="2337" w:type="dxa"/>
          </w:tcPr>
          <w:p w14:paraId="06A17AE2" w14:textId="77777777" w:rsidR="00A45649" w:rsidRPr="003C7672" w:rsidRDefault="00A45649" w:rsidP="0095638F">
            <w:pPr>
              <w:rPr>
                <w:rFonts w:ascii="Times New Roman" w:hAnsi="Times New Roman" w:cs="Times New Roman"/>
                <w:sz w:val="24"/>
                <w:szCs w:val="24"/>
              </w:rPr>
            </w:pPr>
          </w:p>
        </w:tc>
      </w:tr>
      <w:tr w:rsidR="00A45649" w:rsidRPr="003C7672" w14:paraId="54594522" w14:textId="77777777" w:rsidTr="0095638F">
        <w:tc>
          <w:tcPr>
            <w:tcW w:w="2338" w:type="dxa"/>
          </w:tcPr>
          <w:p w14:paraId="56CD522B"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Junior primary</w:t>
            </w:r>
          </w:p>
        </w:tc>
        <w:tc>
          <w:tcPr>
            <w:tcW w:w="2338" w:type="dxa"/>
          </w:tcPr>
          <w:p w14:paraId="1DD6268C"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1.730</w:t>
            </w:r>
          </w:p>
        </w:tc>
        <w:tc>
          <w:tcPr>
            <w:tcW w:w="2337" w:type="dxa"/>
          </w:tcPr>
          <w:p w14:paraId="3B91840E"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0.500-5.991</w:t>
            </w:r>
          </w:p>
        </w:tc>
        <w:tc>
          <w:tcPr>
            <w:tcW w:w="2337" w:type="dxa"/>
          </w:tcPr>
          <w:p w14:paraId="5883D398"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0.387</w:t>
            </w:r>
          </w:p>
        </w:tc>
      </w:tr>
      <w:tr w:rsidR="00A45649" w:rsidRPr="003C7672" w14:paraId="23195153" w14:textId="77777777" w:rsidTr="0095638F">
        <w:tc>
          <w:tcPr>
            <w:tcW w:w="2338" w:type="dxa"/>
          </w:tcPr>
          <w:p w14:paraId="7FBE1E29"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Senior primary</w:t>
            </w:r>
          </w:p>
        </w:tc>
        <w:tc>
          <w:tcPr>
            <w:tcW w:w="2338" w:type="dxa"/>
          </w:tcPr>
          <w:p w14:paraId="3B9811EA"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Reference</w:t>
            </w:r>
          </w:p>
        </w:tc>
        <w:tc>
          <w:tcPr>
            <w:tcW w:w="2337" w:type="dxa"/>
          </w:tcPr>
          <w:p w14:paraId="53F42422" w14:textId="77777777" w:rsidR="00A45649" w:rsidRPr="003C7672" w:rsidRDefault="00A45649" w:rsidP="0095638F">
            <w:pPr>
              <w:rPr>
                <w:rFonts w:ascii="Times New Roman" w:hAnsi="Times New Roman" w:cs="Times New Roman"/>
                <w:sz w:val="24"/>
                <w:szCs w:val="24"/>
              </w:rPr>
            </w:pPr>
          </w:p>
        </w:tc>
        <w:tc>
          <w:tcPr>
            <w:tcW w:w="2337" w:type="dxa"/>
          </w:tcPr>
          <w:p w14:paraId="581B1C4B" w14:textId="77777777" w:rsidR="00A45649" w:rsidRPr="003C7672" w:rsidRDefault="00A45649" w:rsidP="0095638F">
            <w:pPr>
              <w:rPr>
                <w:rFonts w:ascii="Times New Roman" w:hAnsi="Times New Roman" w:cs="Times New Roman"/>
                <w:sz w:val="24"/>
                <w:szCs w:val="24"/>
              </w:rPr>
            </w:pPr>
          </w:p>
        </w:tc>
      </w:tr>
      <w:tr w:rsidR="00A45649" w:rsidRPr="003C7672" w14:paraId="53DCE098" w14:textId="77777777" w:rsidTr="0095638F">
        <w:tc>
          <w:tcPr>
            <w:tcW w:w="2338" w:type="dxa"/>
            <w:tcBorders>
              <w:bottom w:val="nil"/>
            </w:tcBorders>
          </w:tcPr>
          <w:p w14:paraId="1D519C18" w14:textId="77777777" w:rsidR="00A45649" w:rsidRPr="003C7672" w:rsidRDefault="00A45649" w:rsidP="0095638F">
            <w:pPr>
              <w:rPr>
                <w:rFonts w:ascii="Times New Roman" w:hAnsi="Times New Roman" w:cs="Times New Roman"/>
                <w:b/>
                <w:sz w:val="24"/>
                <w:szCs w:val="24"/>
              </w:rPr>
            </w:pPr>
            <w:r w:rsidRPr="003C7672">
              <w:rPr>
                <w:rFonts w:ascii="Times New Roman" w:hAnsi="Times New Roman" w:cs="Times New Roman"/>
                <w:b/>
                <w:sz w:val="24"/>
                <w:szCs w:val="24"/>
              </w:rPr>
              <w:t>Name of school</w:t>
            </w:r>
          </w:p>
        </w:tc>
        <w:tc>
          <w:tcPr>
            <w:tcW w:w="2338" w:type="dxa"/>
            <w:tcBorders>
              <w:bottom w:val="nil"/>
            </w:tcBorders>
          </w:tcPr>
          <w:p w14:paraId="5EDE0E5F" w14:textId="77777777" w:rsidR="00A45649" w:rsidRPr="003C7672" w:rsidRDefault="00A45649" w:rsidP="0095638F">
            <w:pPr>
              <w:rPr>
                <w:rFonts w:ascii="Times New Roman" w:hAnsi="Times New Roman" w:cs="Times New Roman"/>
                <w:sz w:val="24"/>
                <w:szCs w:val="24"/>
              </w:rPr>
            </w:pPr>
          </w:p>
        </w:tc>
        <w:tc>
          <w:tcPr>
            <w:tcW w:w="2337" w:type="dxa"/>
            <w:tcBorders>
              <w:bottom w:val="nil"/>
            </w:tcBorders>
          </w:tcPr>
          <w:p w14:paraId="07DA418F" w14:textId="77777777" w:rsidR="00A45649" w:rsidRPr="003C7672" w:rsidRDefault="00A45649" w:rsidP="0095638F">
            <w:pPr>
              <w:rPr>
                <w:rFonts w:ascii="Times New Roman" w:hAnsi="Times New Roman" w:cs="Times New Roman"/>
                <w:sz w:val="24"/>
                <w:szCs w:val="24"/>
              </w:rPr>
            </w:pPr>
          </w:p>
        </w:tc>
        <w:tc>
          <w:tcPr>
            <w:tcW w:w="2337" w:type="dxa"/>
            <w:tcBorders>
              <w:bottom w:val="nil"/>
            </w:tcBorders>
          </w:tcPr>
          <w:p w14:paraId="5B11C5C4" w14:textId="77777777" w:rsidR="00A45649" w:rsidRPr="003C7672" w:rsidRDefault="00A45649" w:rsidP="0095638F">
            <w:pPr>
              <w:rPr>
                <w:rFonts w:ascii="Times New Roman" w:hAnsi="Times New Roman" w:cs="Times New Roman"/>
                <w:sz w:val="24"/>
                <w:szCs w:val="24"/>
              </w:rPr>
            </w:pPr>
          </w:p>
        </w:tc>
      </w:tr>
      <w:tr w:rsidR="00A45649" w:rsidRPr="003C7672" w14:paraId="63D9C006" w14:textId="77777777" w:rsidTr="0095638F">
        <w:tc>
          <w:tcPr>
            <w:tcW w:w="2338" w:type="dxa"/>
            <w:tcBorders>
              <w:top w:val="nil"/>
              <w:bottom w:val="nil"/>
            </w:tcBorders>
          </w:tcPr>
          <w:p w14:paraId="5BA112BD"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L.O.I.M.</w:t>
            </w:r>
            <w:proofErr w:type="gramStart"/>
            <w:r w:rsidRPr="003C7672">
              <w:rPr>
                <w:rFonts w:ascii="Times New Roman" w:hAnsi="Times New Roman" w:cs="Times New Roman"/>
                <w:sz w:val="24"/>
                <w:szCs w:val="24"/>
              </w:rPr>
              <w:t>P.S</w:t>
            </w:r>
            <w:proofErr w:type="gramEnd"/>
          </w:p>
        </w:tc>
        <w:tc>
          <w:tcPr>
            <w:tcW w:w="2338" w:type="dxa"/>
            <w:tcBorders>
              <w:top w:val="nil"/>
              <w:bottom w:val="nil"/>
            </w:tcBorders>
          </w:tcPr>
          <w:p w14:paraId="4D58CF9A"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Reference</w:t>
            </w:r>
          </w:p>
        </w:tc>
        <w:tc>
          <w:tcPr>
            <w:tcW w:w="2337" w:type="dxa"/>
            <w:tcBorders>
              <w:top w:val="nil"/>
              <w:bottom w:val="nil"/>
            </w:tcBorders>
          </w:tcPr>
          <w:p w14:paraId="632112D9" w14:textId="77777777" w:rsidR="00A45649" w:rsidRPr="003C7672" w:rsidRDefault="00A45649" w:rsidP="0095638F">
            <w:pPr>
              <w:rPr>
                <w:rFonts w:ascii="Times New Roman" w:hAnsi="Times New Roman" w:cs="Times New Roman"/>
                <w:sz w:val="24"/>
                <w:szCs w:val="24"/>
              </w:rPr>
            </w:pPr>
          </w:p>
        </w:tc>
        <w:tc>
          <w:tcPr>
            <w:tcW w:w="2337" w:type="dxa"/>
            <w:tcBorders>
              <w:top w:val="nil"/>
              <w:bottom w:val="nil"/>
            </w:tcBorders>
          </w:tcPr>
          <w:p w14:paraId="06DCE8C0" w14:textId="77777777" w:rsidR="00A45649" w:rsidRPr="003C7672" w:rsidRDefault="00A45649" w:rsidP="0095638F">
            <w:pPr>
              <w:rPr>
                <w:rFonts w:ascii="Times New Roman" w:hAnsi="Times New Roman" w:cs="Times New Roman"/>
                <w:sz w:val="24"/>
                <w:szCs w:val="24"/>
              </w:rPr>
            </w:pPr>
          </w:p>
        </w:tc>
      </w:tr>
      <w:tr w:rsidR="00A45649" w:rsidRPr="003C7672" w14:paraId="40E24132" w14:textId="77777777" w:rsidTr="0095638F">
        <w:tc>
          <w:tcPr>
            <w:tcW w:w="2338" w:type="dxa"/>
            <w:tcBorders>
              <w:top w:val="nil"/>
              <w:bottom w:val="nil"/>
            </w:tcBorders>
          </w:tcPr>
          <w:p w14:paraId="33A8A1D0"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U.C.P.S. 1</w:t>
            </w:r>
          </w:p>
        </w:tc>
        <w:tc>
          <w:tcPr>
            <w:tcW w:w="2338" w:type="dxa"/>
            <w:tcBorders>
              <w:top w:val="nil"/>
              <w:bottom w:val="nil"/>
            </w:tcBorders>
          </w:tcPr>
          <w:p w14:paraId="67547729"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0.902</w:t>
            </w:r>
          </w:p>
        </w:tc>
        <w:tc>
          <w:tcPr>
            <w:tcW w:w="2337" w:type="dxa"/>
            <w:tcBorders>
              <w:top w:val="nil"/>
              <w:bottom w:val="nil"/>
            </w:tcBorders>
          </w:tcPr>
          <w:p w14:paraId="2E6C4E7D"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0.246-3.307</w:t>
            </w:r>
          </w:p>
        </w:tc>
        <w:tc>
          <w:tcPr>
            <w:tcW w:w="2337" w:type="dxa"/>
            <w:tcBorders>
              <w:top w:val="nil"/>
              <w:bottom w:val="nil"/>
            </w:tcBorders>
          </w:tcPr>
          <w:p w14:paraId="0C0BEF26"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0.877</w:t>
            </w:r>
          </w:p>
        </w:tc>
      </w:tr>
      <w:tr w:rsidR="00A45649" w:rsidRPr="003C7672" w14:paraId="409AE966" w14:textId="77777777" w:rsidTr="0095638F">
        <w:tc>
          <w:tcPr>
            <w:tcW w:w="2338" w:type="dxa"/>
            <w:tcBorders>
              <w:top w:val="nil"/>
            </w:tcBorders>
          </w:tcPr>
          <w:p w14:paraId="42EC0470"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U.C.P.S 2</w:t>
            </w:r>
          </w:p>
        </w:tc>
        <w:tc>
          <w:tcPr>
            <w:tcW w:w="2338" w:type="dxa"/>
            <w:tcBorders>
              <w:top w:val="nil"/>
            </w:tcBorders>
          </w:tcPr>
          <w:p w14:paraId="73731E64"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1.051</w:t>
            </w:r>
          </w:p>
        </w:tc>
        <w:tc>
          <w:tcPr>
            <w:tcW w:w="2337" w:type="dxa"/>
            <w:tcBorders>
              <w:top w:val="nil"/>
            </w:tcBorders>
          </w:tcPr>
          <w:p w14:paraId="2261DD23"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0.266-4.143</w:t>
            </w:r>
          </w:p>
        </w:tc>
        <w:tc>
          <w:tcPr>
            <w:tcW w:w="2337" w:type="dxa"/>
            <w:tcBorders>
              <w:top w:val="nil"/>
            </w:tcBorders>
          </w:tcPr>
          <w:p w14:paraId="1F6D5677"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0.944</w:t>
            </w:r>
          </w:p>
        </w:tc>
      </w:tr>
      <w:tr w:rsidR="00A45649" w:rsidRPr="003C7672" w14:paraId="4B8BD841" w14:textId="77777777" w:rsidTr="0095638F">
        <w:tc>
          <w:tcPr>
            <w:tcW w:w="2338" w:type="dxa"/>
          </w:tcPr>
          <w:p w14:paraId="11F8C38D" w14:textId="77777777" w:rsidR="00A45649" w:rsidRPr="003C7672" w:rsidRDefault="00A45649" w:rsidP="0095638F">
            <w:pPr>
              <w:rPr>
                <w:rFonts w:ascii="Times New Roman" w:hAnsi="Times New Roman" w:cs="Times New Roman"/>
                <w:b/>
                <w:sz w:val="24"/>
                <w:szCs w:val="24"/>
              </w:rPr>
            </w:pPr>
            <w:r w:rsidRPr="003C7672">
              <w:rPr>
                <w:rFonts w:ascii="Times New Roman" w:hAnsi="Times New Roman" w:cs="Times New Roman"/>
                <w:b/>
                <w:sz w:val="24"/>
                <w:szCs w:val="24"/>
              </w:rPr>
              <w:t>Sources of drinking water</w:t>
            </w:r>
          </w:p>
        </w:tc>
        <w:tc>
          <w:tcPr>
            <w:tcW w:w="2338" w:type="dxa"/>
          </w:tcPr>
          <w:p w14:paraId="0F72B55E" w14:textId="77777777" w:rsidR="00A45649" w:rsidRPr="003C7672" w:rsidRDefault="00A45649" w:rsidP="0095638F">
            <w:pPr>
              <w:rPr>
                <w:rFonts w:ascii="Times New Roman" w:hAnsi="Times New Roman" w:cs="Times New Roman"/>
                <w:sz w:val="24"/>
                <w:szCs w:val="24"/>
              </w:rPr>
            </w:pPr>
          </w:p>
        </w:tc>
        <w:tc>
          <w:tcPr>
            <w:tcW w:w="2337" w:type="dxa"/>
          </w:tcPr>
          <w:p w14:paraId="3EA49304" w14:textId="77777777" w:rsidR="00A45649" w:rsidRPr="003C7672" w:rsidRDefault="00A45649" w:rsidP="0095638F">
            <w:pPr>
              <w:rPr>
                <w:rFonts w:ascii="Times New Roman" w:hAnsi="Times New Roman" w:cs="Times New Roman"/>
                <w:sz w:val="24"/>
                <w:szCs w:val="24"/>
              </w:rPr>
            </w:pPr>
          </w:p>
        </w:tc>
        <w:tc>
          <w:tcPr>
            <w:tcW w:w="2337" w:type="dxa"/>
          </w:tcPr>
          <w:p w14:paraId="4AA8DF50" w14:textId="77777777" w:rsidR="00A45649" w:rsidRPr="003C7672" w:rsidRDefault="00A45649" w:rsidP="0095638F">
            <w:pPr>
              <w:rPr>
                <w:rFonts w:ascii="Times New Roman" w:hAnsi="Times New Roman" w:cs="Times New Roman"/>
                <w:sz w:val="24"/>
                <w:szCs w:val="24"/>
              </w:rPr>
            </w:pPr>
          </w:p>
        </w:tc>
      </w:tr>
      <w:tr w:rsidR="00A45649" w:rsidRPr="003C7672" w14:paraId="0B12AAED" w14:textId="77777777" w:rsidTr="0095638F">
        <w:tc>
          <w:tcPr>
            <w:tcW w:w="2338" w:type="dxa"/>
          </w:tcPr>
          <w:p w14:paraId="4EF4076F"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Stream</w:t>
            </w:r>
          </w:p>
        </w:tc>
        <w:tc>
          <w:tcPr>
            <w:tcW w:w="2338" w:type="dxa"/>
          </w:tcPr>
          <w:p w14:paraId="02CE14A8"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1.146</w:t>
            </w:r>
          </w:p>
        </w:tc>
        <w:tc>
          <w:tcPr>
            <w:tcW w:w="2337" w:type="dxa"/>
          </w:tcPr>
          <w:p w14:paraId="36FB10A7"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0.421-3.120</w:t>
            </w:r>
          </w:p>
        </w:tc>
        <w:tc>
          <w:tcPr>
            <w:tcW w:w="2337" w:type="dxa"/>
          </w:tcPr>
          <w:p w14:paraId="58BAA32C"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0.790</w:t>
            </w:r>
          </w:p>
        </w:tc>
      </w:tr>
      <w:tr w:rsidR="00A45649" w:rsidRPr="003C7672" w14:paraId="0F3685BA" w14:textId="77777777" w:rsidTr="0095638F">
        <w:tc>
          <w:tcPr>
            <w:tcW w:w="2338" w:type="dxa"/>
          </w:tcPr>
          <w:p w14:paraId="6633F4B3"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Borehole</w:t>
            </w:r>
          </w:p>
        </w:tc>
        <w:tc>
          <w:tcPr>
            <w:tcW w:w="2338" w:type="dxa"/>
          </w:tcPr>
          <w:p w14:paraId="723F767A"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Reference</w:t>
            </w:r>
          </w:p>
        </w:tc>
        <w:tc>
          <w:tcPr>
            <w:tcW w:w="2337" w:type="dxa"/>
          </w:tcPr>
          <w:p w14:paraId="07B12567" w14:textId="77777777" w:rsidR="00A45649" w:rsidRPr="003C7672" w:rsidRDefault="00A45649" w:rsidP="0095638F">
            <w:pPr>
              <w:rPr>
                <w:rFonts w:ascii="Times New Roman" w:hAnsi="Times New Roman" w:cs="Times New Roman"/>
                <w:sz w:val="24"/>
                <w:szCs w:val="24"/>
              </w:rPr>
            </w:pPr>
          </w:p>
        </w:tc>
        <w:tc>
          <w:tcPr>
            <w:tcW w:w="2337" w:type="dxa"/>
          </w:tcPr>
          <w:p w14:paraId="31F4964B" w14:textId="77777777" w:rsidR="00A45649" w:rsidRPr="003C7672" w:rsidRDefault="00A45649" w:rsidP="0095638F">
            <w:pPr>
              <w:rPr>
                <w:rFonts w:ascii="Times New Roman" w:hAnsi="Times New Roman" w:cs="Times New Roman"/>
                <w:sz w:val="24"/>
                <w:szCs w:val="24"/>
              </w:rPr>
            </w:pPr>
          </w:p>
        </w:tc>
      </w:tr>
      <w:tr w:rsidR="00A45649" w:rsidRPr="003C7672" w14:paraId="79736E6B" w14:textId="77777777" w:rsidTr="0095638F">
        <w:tc>
          <w:tcPr>
            <w:tcW w:w="2338" w:type="dxa"/>
          </w:tcPr>
          <w:p w14:paraId="39B4F92D" w14:textId="77777777" w:rsidR="00A45649" w:rsidRPr="003C7672" w:rsidRDefault="00A45649" w:rsidP="0095638F">
            <w:pPr>
              <w:rPr>
                <w:rFonts w:ascii="Times New Roman" w:hAnsi="Times New Roman" w:cs="Times New Roman"/>
                <w:b/>
                <w:sz w:val="24"/>
                <w:szCs w:val="24"/>
              </w:rPr>
            </w:pPr>
            <w:r w:rsidRPr="003C7672">
              <w:rPr>
                <w:rFonts w:ascii="Times New Roman" w:hAnsi="Times New Roman" w:cs="Times New Roman"/>
                <w:b/>
                <w:sz w:val="24"/>
                <w:szCs w:val="24"/>
              </w:rPr>
              <w:lastRenderedPageBreak/>
              <w:t>Drainage</w:t>
            </w:r>
          </w:p>
        </w:tc>
        <w:tc>
          <w:tcPr>
            <w:tcW w:w="2338" w:type="dxa"/>
          </w:tcPr>
          <w:p w14:paraId="6EC80D8F" w14:textId="77777777" w:rsidR="00A45649" w:rsidRPr="003C7672" w:rsidRDefault="00A45649" w:rsidP="0095638F">
            <w:pPr>
              <w:rPr>
                <w:rFonts w:ascii="Times New Roman" w:hAnsi="Times New Roman" w:cs="Times New Roman"/>
                <w:sz w:val="24"/>
                <w:szCs w:val="24"/>
              </w:rPr>
            </w:pPr>
          </w:p>
        </w:tc>
        <w:tc>
          <w:tcPr>
            <w:tcW w:w="2337" w:type="dxa"/>
          </w:tcPr>
          <w:p w14:paraId="0BBD1B77" w14:textId="77777777" w:rsidR="00A45649" w:rsidRPr="003C7672" w:rsidRDefault="00A45649" w:rsidP="0095638F">
            <w:pPr>
              <w:rPr>
                <w:rFonts w:ascii="Times New Roman" w:hAnsi="Times New Roman" w:cs="Times New Roman"/>
                <w:sz w:val="24"/>
                <w:szCs w:val="24"/>
              </w:rPr>
            </w:pPr>
          </w:p>
        </w:tc>
        <w:tc>
          <w:tcPr>
            <w:tcW w:w="2337" w:type="dxa"/>
          </w:tcPr>
          <w:p w14:paraId="70D36916" w14:textId="77777777" w:rsidR="00A45649" w:rsidRPr="003C7672" w:rsidRDefault="00A45649" w:rsidP="0095638F">
            <w:pPr>
              <w:rPr>
                <w:rFonts w:ascii="Times New Roman" w:hAnsi="Times New Roman" w:cs="Times New Roman"/>
                <w:sz w:val="24"/>
                <w:szCs w:val="24"/>
              </w:rPr>
            </w:pPr>
          </w:p>
        </w:tc>
      </w:tr>
      <w:tr w:rsidR="00A45649" w:rsidRPr="003C7672" w14:paraId="501ECBC5" w14:textId="77777777" w:rsidTr="0095638F">
        <w:tc>
          <w:tcPr>
            <w:tcW w:w="2338" w:type="dxa"/>
          </w:tcPr>
          <w:p w14:paraId="5C6001C5"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Yes</w:t>
            </w:r>
          </w:p>
        </w:tc>
        <w:tc>
          <w:tcPr>
            <w:tcW w:w="2338" w:type="dxa"/>
          </w:tcPr>
          <w:p w14:paraId="6A30C8FE"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Reference</w:t>
            </w:r>
          </w:p>
        </w:tc>
        <w:tc>
          <w:tcPr>
            <w:tcW w:w="2337" w:type="dxa"/>
          </w:tcPr>
          <w:p w14:paraId="6C9B9DB9" w14:textId="77777777" w:rsidR="00A45649" w:rsidRPr="003C7672" w:rsidRDefault="00A45649" w:rsidP="0095638F">
            <w:pPr>
              <w:rPr>
                <w:rFonts w:ascii="Times New Roman" w:hAnsi="Times New Roman" w:cs="Times New Roman"/>
                <w:sz w:val="24"/>
                <w:szCs w:val="24"/>
              </w:rPr>
            </w:pPr>
          </w:p>
        </w:tc>
        <w:tc>
          <w:tcPr>
            <w:tcW w:w="2337" w:type="dxa"/>
          </w:tcPr>
          <w:p w14:paraId="28FEC02A" w14:textId="77777777" w:rsidR="00A45649" w:rsidRPr="003C7672" w:rsidRDefault="00A45649" w:rsidP="0095638F">
            <w:pPr>
              <w:rPr>
                <w:rFonts w:ascii="Times New Roman" w:hAnsi="Times New Roman" w:cs="Times New Roman"/>
                <w:sz w:val="24"/>
                <w:szCs w:val="24"/>
              </w:rPr>
            </w:pPr>
          </w:p>
        </w:tc>
      </w:tr>
      <w:tr w:rsidR="00A45649" w:rsidRPr="003C7672" w14:paraId="332E12C6" w14:textId="77777777" w:rsidTr="0095638F">
        <w:tc>
          <w:tcPr>
            <w:tcW w:w="2338" w:type="dxa"/>
          </w:tcPr>
          <w:p w14:paraId="487C2D77"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No</w:t>
            </w:r>
          </w:p>
        </w:tc>
        <w:tc>
          <w:tcPr>
            <w:tcW w:w="2338" w:type="dxa"/>
          </w:tcPr>
          <w:p w14:paraId="5EE91375"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0.996</w:t>
            </w:r>
          </w:p>
        </w:tc>
        <w:tc>
          <w:tcPr>
            <w:tcW w:w="2337" w:type="dxa"/>
          </w:tcPr>
          <w:p w14:paraId="2E9C588E"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0.350-2.832</w:t>
            </w:r>
          </w:p>
        </w:tc>
        <w:tc>
          <w:tcPr>
            <w:tcW w:w="2337" w:type="dxa"/>
          </w:tcPr>
          <w:p w14:paraId="3EFE0C63"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0.994</w:t>
            </w:r>
          </w:p>
        </w:tc>
      </w:tr>
      <w:tr w:rsidR="00A45649" w:rsidRPr="003C7672" w14:paraId="30D27904" w14:textId="77777777" w:rsidTr="0095638F">
        <w:tc>
          <w:tcPr>
            <w:tcW w:w="2338" w:type="dxa"/>
          </w:tcPr>
          <w:p w14:paraId="0993037C" w14:textId="77777777" w:rsidR="00A45649" w:rsidRPr="003C7672" w:rsidRDefault="00A45649" w:rsidP="0095638F">
            <w:pPr>
              <w:rPr>
                <w:rFonts w:ascii="Times New Roman" w:hAnsi="Times New Roman" w:cs="Times New Roman"/>
                <w:b/>
                <w:sz w:val="24"/>
                <w:szCs w:val="24"/>
              </w:rPr>
            </w:pPr>
            <w:r w:rsidRPr="003C7672">
              <w:rPr>
                <w:rFonts w:ascii="Times New Roman" w:hAnsi="Times New Roman" w:cs="Times New Roman"/>
                <w:b/>
                <w:sz w:val="24"/>
                <w:szCs w:val="24"/>
              </w:rPr>
              <w:t>ITN</w:t>
            </w:r>
          </w:p>
        </w:tc>
        <w:tc>
          <w:tcPr>
            <w:tcW w:w="2338" w:type="dxa"/>
          </w:tcPr>
          <w:p w14:paraId="67F95F72" w14:textId="77777777" w:rsidR="00A45649" w:rsidRPr="003C7672" w:rsidRDefault="00A45649" w:rsidP="0095638F">
            <w:pPr>
              <w:rPr>
                <w:rFonts w:ascii="Times New Roman" w:hAnsi="Times New Roman" w:cs="Times New Roman"/>
                <w:sz w:val="24"/>
                <w:szCs w:val="24"/>
              </w:rPr>
            </w:pPr>
          </w:p>
        </w:tc>
        <w:tc>
          <w:tcPr>
            <w:tcW w:w="2337" w:type="dxa"/>
          </w:tcPr>
          <w:p w14:paraId="64CF897B" w14:textId="77777777" w:rsidR="00A45649" w:rsidRPr="003C7672" w:rsidRDefault="00A45649" w:rsidP="0095638F">
            <w:pPr>
              <w:rPr>
                <w:rFonts w:ascii="Times New Roman" w:hAnsi="Times New Roman" w:cs="Times New Roman"/>
                <w:sz w:val="24"/>
                <w:szCs w:val="24"/>
              </w:rPr>
            </w:pPr>
          </w:p>
        </w:tc>
        <w:tc>
          <w:tcPr>
            <w:tcW w:w="2337" w:type="dxa"/>
          </w:tcPr>
          <w:p w14:paraId="08DA1133" w14:textId="77777777" w:rsidR="00A45649" w:rsidRPr="003C7672" w:rsidRDefault="00A45649" w:rsidP="0095638F">
            <w:pPr>
              <w:rPr>
                <w:rFonts w:ascii="Times New Roman" w:hAnsi="Times New Roman" w:cs="Times New Roman"/>
                <w:sz w:val="24"/>
                <w:szCs w:val="24"/>
              </w:rPr>
            </w:pPr>
          </w:p>
        </w:tc>
      </w:tr>
      <w:tr w:rsidR="00A45649" w:rsidRPr="003C7672" w14:paraId="11B201E7" w14:textId="77777777" w:rsidTr="0095638F">
        <w:tc>
          <w:tcPr>
            <w:tcW w:w="2338" w:type="dxa"/>
          </w:tcPr>
          <w:p w14:paraId="15795DBB"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Yes</w:t>
            </w:r>
          </w:p>
        </w:tc>
        <w:tc>
          <w:tcPr>
            <w:tcW w:w="2338" w:type="dxa"/>
          </w:tcPr>
          <w:p w14:paraId="6C0D8927"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Reference</w:t>
            </w:r>
          </w:p>
        </w:tc>
        <w:tc>
          <w:tcPr>
            <w:tcW w:w="2337" w:type="dxa"/>
          </w:tcPr>
          <w:p w14:paraId="5E537C2D" w14:textId="77777777" w:rsidR="00A45649" w:rsidRPr="003C7672" w:rsidRDefault="00A45649" w:rsidP="0095638F">
            <w:pPr>
              <w:rPr>
                <w:rFonts w:ascii="Times New Roman" w:hAnsi="Times New Roman" w:cs="Times New Roman"/>
                <w:sz w:val="24"/>
                <w:szCs w:val="24"/>
              </w:rPr>
            </w:pPr>
          </w:p>
        </w:tc>
        <w:tc>
          <w:tcPr>
            <w:tcW w:w="2337" w:type="dxa"/>
          </w:tcPr>
          <w:p w14:paraId="43CFB07A" w14:textId="77777777" w:rsidR="00A45649" w:rsidRPr="003C7672" w:rsidRDefault="00A45649" w:rsidP="0095638F">
            <w:pPr>
              <w:rPr>
                <w:rFonts w:ascii="Times New Roman" w:hAnsi="Times New Roman" w:cs="Times New Roman"/>
                <w:sz w:val="24"/>
                <w:szCs w:val="24"/>
              </w:rPr>
            </w:pPr>
          </w:p>
        </w:tc>
      </w:tr>
      <w:tr w:rsidR="00A45649" w:rsidRPr="003C7672" w14:paraId="66BC2A43" w14:textId="77777777" w:rsidTr="0095638F">
        <w:tc>
          <w:tcPr>
            <w:tcW w:w="2338" w:type="dxa"/>
          </w:tcPr>
          <w:p w14:paraId="74FFBCA1"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No</w:t>
            </w:r>
          </w:p>
        </w:tc>
        <w:tc>
          <w:tcPr>
            <w:tcW w:w="2338" w:type="dxa"/>
          </w:tcPr>
          <w:p w14:paraId="11F451CB"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0.739</w:t>
            </w:r>
          </w:p>
        </w:tc>
        <w:tc>
          <w:tcPr>
            <w:tcW w:w="2337" w:type="dxa"/>
          </w:tcPr>
          <w:p w14:paraId="64F2A266"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0.251-2.175</w:t>
            </w:r>
          </w:p>
        </w:tc>
        <w:tc>
          <w:tcPr>
            <w:tcW w:w="2337" w:type="dxa"/>
          </w:tcPr>
          <w:p w14:paraId="4B4D1219"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0.582</w:t>
            </w:r>
          </w:p>
        </w:tc>
      </w:tr>
      <w:tr w:rsidR="00A45649" w:rsidRPr="003C7672" w14:paraId="02BB3666" w14:textId="77777777" w:rsidTr="0095638F">
        <w:tc>
          <w:tcPr>
            <w:tcW w:w="2338" w:type="dxa"/>
          </w:tcPr>
          <w:p w14:paraId="5BAE3CBB" w14:textId="77777777" w:rsidR="00A45649" w:rsidRPr="003C7672" w:rsidRDefault="00A45649" w:rsidP="0095638F">
            <w:pPr>
              <w:rPr>
                <w:rFonts w:ascii="Times New Roman" w:hAnsi="Times New Roman" w:cs="Times New Roman"/>
                <w:b/>
                <w:sz w:val="24"/>
                <w:szCs w:val="24"/>
              </w:rPr>
            </w:pPr>
            <w:r w:rsidRPr="003C7672">
              <w:rPr>
                <w:rFonts w:ascii="Times New Roman" w:hAnsi="Times New Roman" w:cs="Times New Roman"/>
                <w:b/>
                <w:sz w:val="24"/>
                <w:szCs w:val="24"/>
              </w:rPr>
              <w:t>Did you receive albendazole in school?</w:t>
            </w:r>
          </w:p>
        </w:tc>
        <w:tc>
          <w:tcPr>
            <w:tcW w:w="2338" w:type="dxa"/>
          </w:tcPr>
          <w:p w14:paraId="465CBD75" w14:textId="77777777" w:rsidR="00A45649" w:rsidRPr="003C7672" w:rsidRDefault="00A45649" w:rsidP="0095638F">
            <w:pPr>
              <w:rPr>
                <w:rFonts w:ascii="Times New Roman" w:hAnsi="Times New Roman" w:cs="Times New Roman"/>
                <w:sz w:val="24"/>
                <w:szCs w:val="24"/>
              </w:rPr>
            </w:pPr>
          </w:p>
        </w:tc>
        <w:tc>
          <w:tcPr>
            <w:tcW w:w="2337" w:type="dxa"/>
          </w:tcPr>
          <w:p w14:paraId="6EDCFE14" w14:textId="77777777" w:rsidR="00A45649" w:rsidRPr="003C7672" w:rsidRDefault="00A45649" w:rsidP="0095638F">
            <w:pPr>
              <w:rPr>
                <w:rFonts w:ascii="Times New Roman" w:hAnsi="Times New Roman" w:cs="Times New Roman"/>
                <w:sz w:val="24"/>
                <w:szCs w:val="24"/>
              </w:rPr>
            </w:pPr>
          </w:p>
        </w:tc>
        <w:tc>
          <w:tcPr>
            <w:tcW w:w="2337" w:type="dxa"/>
          </w:tcPr>
          <w:p w14:paraId="2F0C3788" w14:textId="77777777" w:rsidR="00A45649" w:rsidRPr="003C7672" w:rsidRDefault="00A45649" w:rsidP="0095638F">
            <w:pPr>
              <w:rPr>
                <w:rFonts w:ascii="Times New Roman" w:hAnsi="Times New Roman" w:cs="Times New Roman"/>
                <w:sz w:val="24"/>
                <w:szCs w:val="24"/>
              </w:rPr>
            </w:pPr>
          </w:p>
        </w:tc>
      </w:tr>
      <w:tr w:rsidR="00A45649" w:rsidRPr="003C7672" w14:paraId="0D92F394" w14:textId="77777777" w:rsidTr="0095638F">
        <w:tc>
          <w:tcPr>
            <w:tcW w:w="2338" w:type="dxa"/>
          </w:tcPr>
          <w:p w14:paraId="6322A04C"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Yes</w:t>
            </w:r>
          </w:p>
        </w:tc>
        <w:tc>
          <w:tcPr>
            <w:tcW w:w="2338" w:type="dxa"/>
          </w:tcPr>
          <w:p w14:paraId="426C7B1F"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3.287</w:t>
            </w:r>
          </w:p>
        </w:tc>
        <w:tc>
          <w:tcPr>
            <w:tcW w:w="2337" w:type="dxa"/>
          </w:tcPr>
          <w:p w14:paraId="56BC3A3D"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0.991-10.903</w:t>
            </w:r>
          </w:p>
        </w:tc>
        <w:tc>
          <w:tcPr>
            <w:tcW w:w="2337" w:type="dxa"/>
          </w:tcPr>
          <w:p w14:paraId="0E13182B"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0.052</w:t>
            </w:r>
          </w:p>
        </w:tc>
      </w:tr>
      <w:tr w:rsidR="00A45649" w:rsidRPr="003C7672" w14:paraId="40856915" w14:textId="77777777" w:rsidTr="0095638F">
        <w:tc>
          <w:tcPr>
            <w:tcW w:w="2338" w:type="dxa"/>
          </w:tcPr>
          <w:p w14:paraId="599732F4"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No</w:t>
            </w:r>
          </w:p>
        </w:tc>
        <w:tc>
          <w:tcPr>
            <w:tcW w:w="2338" w:type="dxa"/>
          </w:tcPr>
          <w:p w14:paraId="188AB1B4"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3.760</w:t>
            </w:r>
          </w:p>
        </w:tc>
        <w:tc>
          <w:tcPr>
            <w:tcW w:w="2337" w:type="dxa"/>
          </w:tcPr>
          <w:p w14:paraId="1BD011EC"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1.047-13.502</w:t>
            </w:r>
          </w:p>
        </w:tc>
        <w:tc>
          <w:tcPr>
            <w:tcW w:w="2337" w:type="dxa"/>
          </w:tcPr>
          <w:p w14:paraId="184C41CF"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0.042**</w:t>
            </w:r>
          </w:p>
        </w:tc>
      </w:tr>
      <w:tr w:rsidR="00A45649" w:rsidRPr="003C7672" w14:paraId="6BC302EE" w14:textId="77777777" w:rsidTr="0095638F">
        <w:tc>
          <w:tcPr>
            <w:tcW w:w="2338" w:type="dxa"/>
          </w:tcPr>
          <w:p w14:paraId="591D1E06"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 xml:space="preserve">Don’t know </w:t>
            </w:r>
          </w:p>
        </w:tc>
        <w:tc>
          <w:tcPr>
            <w:tcW w:w="2338" w:type="dxa"/>
          </w:tcPr>
          <w:p w14:paraId="4D15AC63"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Reference</w:t>
            </w:r>
          </w:p>
        </w:tc>
        <w:tc>
          <w:tcPr>
            <w:tcW w:w="2337" w:type="dxa"/>
          </w:tcPr>
          <w:p w14:paraId="5383347F" w14:textId="77777777" w:rsidR="00A45649" w:rsidRPr="003C7672" w:rsidRDefault="00A45649" w:rsidP="0095638F">
            <w:pPr>
              <w:rPr>
                <w:rFonts w:ascii="Times New Roman" w:hAnsi="Times New Roman" w:cs="Times New Roman"/>
                <w:sz w:val="24"/>
                <w:szCs w:val="24"/>
              </w:rPr>
            </w:pPr>
          </w:p>
        </w:tc>
        <w:tc>
          <w:tcPr>
            <w:tcW w:w="2337" w:type="dxa"/>
          </w:tcPr>
          <w:p w14:paraId="6B81C081" w14:textId="77777777" w:rsidR="00A45649" w:rsidRPr="003C7672" w:rsidRDefault="00A45649" w:rsidP="0095638F">
            <w:pPr>
              <w:rPr>
                <w:rFonts w:ascii="Times New Roman" w:hAnsi="Times New Roman" w:cs="Times New Roman"/>
                <w:sz w:val="24"/>
                <w:szCs w:val="24"/>
              </w:rPr>
            </w:pPr>
          </w:p>
        </w:tc>
      </w:tr>
    </w:tbl>
    <w:p w14:paraId="33545E38" w14:textId="77777777" w:rsidR="00A45649" w:rsidRPr="003C7672" w:rsidRDefault="00A45649" w:rsidP="00A45649">
      <w:pPr>
        <w:spacing w:after="0" w:line="240" w:lineRule="auto"/>
        <w:outlineLvl w:val="2"/>
        <w:rPr>
          <w:rFonts w:ascii="Times New Roman" w:eastAsia="Times New Roman" w:hAnsi="Times New Roman" w:cs="Times New Roman"/>
          <w:b/>
          <w:bCs/>
          <w:sz w:val="24"/>
          <w:szCs w:val="24"/>
        </w:rPr>
      </w:pPr>
      <w:r w:rsidRPr="003C7672">
        <w:rPr>
          <w:rFonts w:ascii="Times New Roman" w:eastAsia="Times New Roman" w:hAnsi="Times New Roman" w:cs="Times New Roman"/>
          <w:bCs/>
          <w:sz w:val="24"/>
          <w:szCs w:val="24"/>
        </w:rPr>
        <w:t>**</w:t>
      </w:r>
      <w:r w:rsidRPr="003C7672">
        <w:rPr>
          <w:rFonts w:ascii="Times New Roman" w:eastAsia="Times New Roman" w:hAnsi="Times New Roman" w:cs="Times New Roman"/>
          <w:b/>
          <w:bCs/>
          <w:sz w:val="24"/>
          <w:szCs w:val="24"/>
        </w:rPr>
        <w:t>Significant factor contributing to malaria-STH co-infection among school children in Unwana community</w:t>
      </w:r>
    </w:p>
    <w:p w14:paraId="46AF6AA0" w14:textId="77777777" w:rsidR="006E3820" w:rsidRPr="003C7672" w:rsidRDefault="006E3820" w:rsidP="00F50B23">
      <w:pPr>
        <w:spacing w:before="100" w:beforeAutospacing="1" w:after="100" w:afterAutospacing="1" w:line="360" w:lineRule="auto"/>
        <w:contextualSpacing/>
        <w:outlineLvl w:val="2"/>
        <w:rPr>
          <w:rFonts w:ascii="Times New Roman" w:eastAsia="Times New Roman" w:hAnsi="Times New Roman" w:cs="Times New Roman"/>
          <w:b/>
          <w:bCs/>
          <w:sz w:val="24"/>
          <w:szCs w:val="24"/>
        </w:rPr>
      </w:pPr>
    </w:p>
    <w:p w14:paraId="529A65A0" w14:textId="77777777" w:rsidR="006E3820" w:rsidRPr="003C7672" w:rsidRDefault="006E3820" w:rsidP="00F50B23">
      <w:pPr>
        <w:spacing w:before="100" w:beforeAutospacing="1" w:after="100" w:afterAutospacing="1" w:line="360" w:lineRule="auto"/>
        <w:contextualSpacing/>
        <w:outlineLvl w:val="2"/>
        <w:rPr>
          <w:rFonts w:ascii="Times New Roman" w:eastAsia="Times New Roman" w:hAnsi="Times New Roman" w:cs="Times New Roman"/>
          <w:b/>
          <w:bCs/>
          <w:sz w:val="24"/>
          <w:szCs w:val="24"/>
        </w:rPr>
      </w:pPr>
    </w:p>
    <w:p w14:paraId="08397B60" w14:textId="77777777" w:rsidR="006E3820" w:rsidRPr="003C7672" w:rsidRDefault="006E3820" w:rsidP="00F50B23">
      <w:pPr>
        <w:spacing w:before="100" w:beforeAutospacing="1" w:after="100" w:afterAutospacing="1" w:line="360" w:lineRule="auto"/>
        <w:contextualSpacing/>
        <w:outlineLvl w:val="2"/>
        <w:rPr>
          <w:rFonts w:ascii="Times New Roman" w:eastAsia="Times New Roman" w:hAnsi="Times New Roman" w:cs="Times New Roman"/>
          <w:b/>
          <w:bCs/>
          <w:sz w:val="24"/>
          <w:szCs w:val="24"/>
        </w:rPr>
      </w:pPr>
    </w:p>
    <w:p w14:paraId="203ED9F5" w14:textId="77777777" w:rsidR="00A45649" w:rsidRPr="003C7672" w:rsidRDefault="00A45649" w:rsidP="00F50B23">
      <w:pPr>
        <w:spacing w:before="100" w:beforeAutospacing="1" w:after="100" w:afterAutospacing="1" w:line="360" w:lineRule="auto"/>
        <w:contextualSpacing/>
        <w:outlineLvl w:val="2"/>
        <w:rPr>
          <w:rFonts w:ascii="Times New Roman" w:eastAsia="Times New Roman" w:hAnsi="Times New Roman" w:cs="Times New Roman"/>
          <w:b/>
          <w:bCs/>
          <w:sz w:val="24"/>
          <w:szCs w:val="24"/>
        </w:rPr>
      </w:pPr>
      <w:r w:rsidRPr="003C7672">
        <w:rPr>
          <w:rFonts w:ascii="Times New Roman" w:eastAsia="Times New Roman" w:hAnsi="Times New Roman" w:cs="Times New Roman"/>
          <w:b/>
          <w:bCs/>
          <w:sz w:val="24"/>
          <w:szCs w:val="24"/>
        </w:rPr>
        <w:t>Community Record of Albendazole Mass Drug Administration (MDA)</w:t>
      </w:r>
    </w:p>
    <w:p w14:paraId="263C5BCE" w14:textId="77777777" w:rsidR="00A45649" w:rsidRPr="003C7672" w:rsidRDefault="00A45649" w:rsidP="00A45649">
      <w:pPr>
        <w:spacing w:before="100" w:beforeAutospacing="1" w:after="100" w:afterAutospacing="1" w:line="360" w:lineRule="auto"/>
        <w:jc w:val="both"/>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 xml:space="preserve">Records of albendazole distribution across the three study constituencies showed variations in timing, frequency, and age-group participation. In </w:t>
      </w:r>
      <w:proofErr w:type="spellStart"/>
      <w:r w:rsidRPr="003C7672">
        <w:rPr>
          <w:rFonts w:ascii="Times New Roman" w:eastAsia="Times New Roman" w:hAnsi="Times New Roman" w:cs="Times New Roman"/>
          <w:sz w:val="24"/>
          <w:szCs w:val="24"/>
        </w:rPr>
        <w:t>Ndemyi</w:t>
      </w:r>
      <w:proofErr w:type="spellEnd"/>
      <w:r w:rsidR="006E3820" w:rsidRPr="003C7672">
        <w:rPr>
          <w:rFonts w:ascii="Times New Roman" w:eastAsia="Times New Roman" w:hAnsi="Times New Roman" w:cs="Times New Roman"/>
          <w:sz w:val="24"/>
          <w:szCs w:val="24"/>
        </w:rPr>
        <w:t>,</w:t>
      </w:r>
      <w:r w:rsidRPr="003C7672">
        <w:rPr>
          <w:rFonts w:ascii="Times New Roman" w:eastAsia="Times New Roman" w:hAnsi="Times New Roman" w:cs="Times New Roman"/>
          <w:sz w:val="24"/>
          <w:szCs w:val="24"/>
        </w:rPr>
        <w:t xml:space="preserve"> where </w:t>
      </w:r>
      <w:r w:rsidRPr="003C7672">
        <w:rPr>
          <w:rFonts w:ascii="Times New Roman" w:eastAsia="Times New Roman" w:hAnsi="Times New Roman" w:cs="Times New Roman"/>
          <w:bCs/>
          <w:sz w:val="24"/>
          <w:szCs w:val="24"/>
        </w:rPr>
        <w:t xml:space="preserve">L.O.I.M.P.S is located, health </w:t>
      </w:r>
      <w:proofErr w:type="spellStart"/>
      <w:r w:rsidRPr="003C7672">
        <w:rPr>
          <w:rFonts w:ascii="Times New Roman" w:eastAsia="Times New Roman" w:hAnsi="Times New Roman" w:cs="Times New Roman"/>
          <w:bCs/>
          <w:sz w:val="24"/>
          <w:szCs w:val="24"/>
        </w:rPr>
        <w:t>centre</w:t>
      </w:r>
      <w:proofErr w:type="spellEnd"/>
      <w:r w:rsidRPr="003C7672">
        <w:rPr>
          <w:rFonts w:ascii="Times New Roman" w:eastAsia="Times New Roman" w:hAnsi="Times New Roman" w:cs="Times New Roman"/>
          <w:bCs/>
          <w:sz w:val="24"/>
          <w:szCs w:val="24"/>
        </w:rPr>
        <w:t xml:space="preserve"> records showed that community reception of a</w:t>
      </w:r>
      <w:r w:rsidRPr="003C7672">
        <w:rPr>
          <w:rFonts w:ascii="Times New Roman" w:eastAsia="Times New Roman" w:hAnsi="Times New Roman" w:cs="Times New Roman"/>
          <w:sz w:val="24"/>
          <w:szCs w:val="24"/>
        </w:rPr>
        <w:t xml:space="preserve">lbendazole MDA was in </w:t>
      </w:r>
      <w:r w:rsidRPr="003C7672">
        <w:rPr>
          <w:rFonts w:ascii="Times New Roman" w:eastAsia="Times New Roman" w:hAnsi="Times New Roman" w:cs="Times New Roman"/>
          <w:bCs/>
          <w:sz w:val="24"/>
          <w:szCs w:val="24"/>
        </w:rPr>
        <w:t>2021</w:t>
      </w:r>
      <w:r w:rsidRPr="003C7672">
        <w:rPr>
          <w:rFonts w:ascii="Times New Roman" w:eastAsia="Times New Roman" w:hAnsi="Times New Roman" w:cs="Times New Roman"/>
          <w:sz w:val="24"/>
          <w:szCs w:val="24"/>
        </w:rPr>
        <w:t xml:space="preserve">, specifically in </w:t>
      </w:r>
      <w:r w:rsidRPr="003C7672">
        <w:rPr>
          <w:rFonts w:ascii="Times New Roman" w:eastAsia="Times New Roman" w:hAnsi="Times New Roman" w:cs="Times New Roman"/>
          <w:bCs/>
          <w:sz w:val="24"/>
          <w:szCs w:val="24"/>
        </w:rPr>
        <w:t>January, March, and April</w:t>
      </w:r>
      <w:r w:rsidRPr="003C7672">
        <w:rPr>
          <w:rFonts w:ascii="Times New Roman" w:eastAsia="Times New Roman" w:hAnsi="Times New Roman" w:cs="Times New Roman"/>
          <w:sz w:val="24"/>
          <w:szCs w:val="24"/>
        </w:rPr>
        <w:t xml:space="preserve">. The </w:t>
      </w:r>
      <w:r w:rsidRPr="003C7672">
        <w:rPr>
          <w:rFonts w:ascii="Times New Roman" w:eastAsia="Times New Roman" w:hAnsi="Times New Roman" w:cs="Times New Roman"/>
          <w:bCs/>
          <w:sz w:val="24"/>
          <w:szCs w:val="24"/>
        </w:rPr>
        <w:t>12–23 months</w:t>
      </w:r>
      <w:r w:rsidRPr="003C7672">
        <w:rPr>
          <w:rFonts w:ascii="Times New Roman" w:eastAsia="Times New Roman" w:hAnsi="Times New Roman" w:cs="Times New Roman"/>
          <w:sz w:val="24"/>
          <w:szCs w:val="24"/>
        </w:rPr>
        <w:t xml:space="preserve"> age group received the highest number of dos</w:t>
      </w:r>
      <w:r w:rsidR="005E2C50" w:rsidRPr="003C7672">
        <w:rPr>
          <w:rFonts w:ascii="Times New Roman" w:eastAsia="Times New Roman" w:hAnsi="Times New Roman" w:cs="Times New Roman"/>
          <w:sz w:val="24"/>
          <w:szCs w:val="24"/>
        </w:rPr>
        <w:t>es during these months (Figure 4</w:t>
      </w:r>
      <w:r w:rsidRPr="003C7672">
        <w:rPr>
          <w:rFonts w:ascii="Times New Roman" w:eastAsia="Times New Roman" w:hAnsi="Times New Roman" w:cs="Times New Roman"/>
          <w:sz w:val="24"/>
          <w:szCs w:val="24"/>
        </w:rPr>
        <w:t>).</w:t>
      </w:r>
      <w:r w:rsidR="00F50B23" w:rsidRPr="003C7672">
        <w:rPr>
          <w:rFonts w:ascii="Times New Roman" w:eastAsia="Times New Roman" w:hAnsi="Times New Roman" w:cs="Times New Roman"/>
          <w:sz w:val="24"/>
          <w:szCs w:val="24"/>
        </w:rPr>
        <w:t xml:space="preserve"> </w:t>
      </w:r>
      <w:r w:rsidRPr="003C7672">
        <w:rPr>
          <w:rFonts w:ascii="Times New Roman" w:eastAsia="Times New Roman" w:hAnsi="Times New Roman" w:cs="Times New Roman"/>
          <w:bCs/>
          <w:sz w:val="24"/>
          <w:szCs w:val="24"/>
        </w:rPr>
        <w:t xml:space="preserve">In </w:t>
      </w:r>
      <w:proofErr w:type="spellStart"/>
      <w:r w:rsidRPr="003C7672">
        <w:rPr>
          <w:rFonts w:ascii="Times New Roman" w:eastAsia="Times New Roman" w:hAnsi="Times New Roman" w:cs="Times New Roman"/>
          <w:bCs/>
          <w:sz w:val="24"/>
          <w:szCs w:val="24"/>
        </w:rPr>
        <w:t>Amagu</w:t>
      </w:r>
      <w:proofErr w:type="spellEnd"/>
      <w:r w:rsidR="006E3820" w:rsidRPr="003C7672">
        <w:rPr>
          <w:rFonts w:ascii="Times New Roman" w:eastAsia="Times New Roman" w:hAnsi="Times New Roman" w:cs="Times New Roman"/>
          <w:bCs/>
          <w:sz w:val="24"/>
          <w:szCs w:val="24"/>
        </w:rPr>
        <w:t>,</w:t>
      </w:r>
      <w:r w:rsidRPr="003C7672">
        <w:rPr>
          <w:rFonts w:ascii="Times New Roman" w:eastAsia="Times New Roman" w:hAnsi="Times New Roman" w:cs="Times New Roman"/>
          <w:bCs/>
          <w:sz w:val="24"/>
          <w:szCs w:val="24"/>
        </w:rPr>
        <w:t xml:space="preserve"> where the U.C.P. S 1 is situated, community d</w:t>
      </w:r>
      <w:r w:rsidRPr="003C7672">
        <w:rPr>
          <w:rFonts w:ascii="Times New Roman" w:eastAsia="Times New Roman" w:hAnsi="Times New Roman" w:cs="Times New Roman"/>
          <w:sz w:val="24"/>
          <w:szCs w:val="24"/>
        </w:rPr>
        <w:t xml:space="preserve">istribution also occurred in </w:t>
      </w:r>
      <w:r w:rsidRPr="003C7672">
        <w:rPr>
          <w:rFonts w:ascii="Times New Roman" w:eastAsia="Times New Roman" w:hAnsi="Times New Roman" w:cs="Times New Roman"/>
          <w:bCs/>
          <w:sz w:val="24"/>
          <w:szCs w:val="24"/>
        </w:rPr>
        <w:t>2021</w:t>
      </w:r>
      <w:r w:rsidRPr="003C7672">
        <w:rPr>
          <w:rFonts w:ascii="Times New Roman" w:eastAsia="Times New Roman" w:hAnsi="Times New Roman" w:cs="Times New Roman"/>
          <w:sz w:val="24"/>
          <w:szCs w:val="24"/>
        </w:rPr>
        <w:t xml:space="preserve">, with the </w:t>
      </w:r>
      <w:r w:rsidRPr="003C7672">
        <w:rPr>
          <w:rFonts w:ascii="Times New Roman" w:eastAsia="Times New Roman" w:hAnsi="Times New Roman" w:cs="Times New Roman"/>
          <w:bCs/>
          <w:sz w:val="24"/>
          <w:szCs w:val="24"/>
        </w:rPr>
        <w:t>24–59 months</w:t>
      </w:r>
      <w:r w:rsidRPr="003C7672">
        <w:rPr>
          <w:rFonts w:ascii="Times New Roman" w:eastAsia="Times New Roman" w:hAnsi="Times New Roman" w:cs="Times New Roman"/>
          <w:sz w:val="24"/>
          <w:szCs w:val="24"/>
        </w:rPr>
        <w:t xml:space="preserve"> age group receiving more albendazole than the younger group. The </w:t>
      </w:r>
      <w:r w:rsidRPr="003C7672">
        <w:rPr>
          <w:rFonts w:ascii="Times New Roman" w:eastAsia="Times New Roman" w:hAnsi="Times New Roman" w:cs="Times New Roman"/>
          <w:bCs/>
          <w:sz w:val="24"/>
          <w:szCs w:val="24"/>
        </w:rPr>
        <w:t>peak distribution</w:t>
      </w:r>
      <w:r w:rsidRPr="003C7672">
        <w:rPr>
          <w:rFonts w:ascii="Times New Roman" w:eastAsia="Times New Roman" w:hAnsi="Times New Roman" w:cs="Times New Roman"/>
          <w:sz w:val="24"/>
          <w:szCs w:val="24"/>
        </w:rPr>
        <w:t xml:space="preserve"> was recorded in </w:t>
      </w:r>
      <w:r w:rsidRPr="003C7672">
        <w:rPr>
          <w:rFonts w:ascii="Times New Roman" w:eastAsia="Times New Roman" w:hAnsi="Times New Roman" w:cs="Times New Roman"/>
          <w:bCs/>
          <w:sz w:val="24"/>
          <w:szCs w:val="24"/>
        </w:rPr>
        <w:t>May 2021</w:t>
      </w:r>
      <w:r w:rsidR="005E2C50" w:rsidRPr="003C7672">
        <w:rPr>
          <w:rFonts w:ascii="Times New Roman" w:eastAsia="Times New Roman" w:hAnsi="Times New Roman" w:cs="Times New Roman"/>
          <w:bCs/>
          <w:sz w:val="24"/>
          <w:szCs w:val="24"/>
        </w:rPr>
        <w:t>, as shown in Figure 5</w:t>
      </w:r>
      <w:r w:rsidRPr="003C7672">
        <w:rPr>
          <w:rFonts w:ascii="Times New Roman" w:eastAsia="Times New Roman" w:hAnsi="Times New Roman" w:cs="Times New Roman"/>
          <w:bCs/>
          <w:sz w:val="24"/>
          <w:szCs w:val="24"/>
        </w:rPr>
        <w:t>.</w:t>
      </w:r>
      <w:r w:rsidR="006E3820" w:rsidRPr="003C7672">
        <w:rPr>
          <w:rFonts w:ascii="Times New Roman" w:eastAsia="Times New Roman" w:hAnsi="Times New Roman" w:cs="Times New Roman"/>
          <w:sz w:val="24"/>
          <w:szCs w:val="24"/>
        </w:rPr>
        <w:t xml:space="preserve"> </w:t>
      </w:r>
      <w:r w:rsidRPr="003C7672">
        <w:rPr>
          <w:rFonts w:ascii="Times New Roman" w:eastAsia="Times New Roman" w:hAnsi="Times New Roman" w:cs="Times New Roman"/>
          <w:bCs/>
          <w:sz w:val="24"/>
          <w:szCs w:val="24"/>
        </w:rPr>
        <w:t xml:space="preserve">In </w:t>
      </w:r>
      <w:proofErr w:type="spellStart"/>
      <w:r w:rsidRPr="003C7672">
        <w:rPr>
          <w:rFonts w:ascii="Times New Roman" w:eastAsia="Times New Roman" w:hAnsi="Times New Roman" w:cs="Times New Roman"/>
          <w:bCs/>
          <w:sz w:val="24"/>
          <w:szCs w:val="24"/>
        </w:rPr>
        <w:t>Uhuetiti</w:t>
      </w:r>
      <w:proofErr w:type="spellEnd"/>
      <w:r w:rsidRPr="003C7672">
        <w:rPr>
          <w:rFonts w:ascii="Times New Roman" w:eastAsia="Times New Roman" w:hAnsi="Times New Roman" w:cs="Times New Roman"/>
          <w:bCs/>
          <w:sz w:val="24"/>
          <w:szCs w:val="24"/>
        </w:rPr>
        <w:t xml:space="preserve"> constituency</w:t>
      </w:r>
      <w:r w:rsidR="006E3820" w:rsidRPr="003C7672">
        <w:rPr>
          <w:rFonts w:ascii="Times New Roman" w:eastAsia="Times New Roman" w:hAnsi="Times New Roman" w:cs="Times New Roman"/>
          <w:bCs/>
          <w:sz w:val="24"/>
          <w:szCs w:val="24"/>
        </w:rPr>
        <w:t>,</w:t>
      </w:r>
      <w:r w:rsidRPr="003C7672">
        <w:rPr>
          <w:rFonts w:ascii="Times New Roman" w:eastAsia="Times New Roman" w:hAnsi="Times New Roman" w:cs="Times New Roman"/>
          <w:bCs/>
          <w:sz w:val="24"/>
          <w:szCs w:val="24"/>
        </w:rPr>
        <w:t xml:space="preserve"> where U.C.P. S 2 is located, community a</w:t>
      </w:r>
      <w:r w:rsidRPr="003C7672">
        <w:rPr>
          <w:rFonts w:ascii="Times New Roman" w:eastAsia="Times New Roman" w:hAnsi="Times New Roman" w:cs="Times New Roman"/>
          <w:sz w:val="24"/>
          <w:szCs w:val="24"/>
        </w:rPr>
        <w:t xml:space="preserve">lbendazole MDA took place over three years from the health </w:t>
      </w:r>
      <w:proofErr w:type="spellStart"/>
      <w:r w:rsidRPr="003C7672">
        <w:rPr>
          <w:rFonts w:ascii="Times New Roman" w:eastAsia="Times New Roman" w:hAnsi="Times New Roman" w:cs="Times New Roman"/>
          <w:sz w:val="24"/>
          <w:szCs w:val="24"/>
        </w:rPr>
        <w:t>centre</w:t>
      </w:r>
      <w:proofErr w:type="spellEnd"/>
      <w:r w:rsidRPr="003C7672">
        <w:rPr>
          <w:rFonts w:ascii="Times New Roman" w:eastAsia="Times New Roman" w:hAnsi="Times New Roman" w:cs="Times New Roman"/>
          <w:sz w:val="24"/>
          <w:szCs w:val="24"/>
        </w:rPr>
        <w:t xml:space="preserve"> records—</w:t>
      </w:r>
      <w:r w:rsidRPr="003C7672">
        <w:rPr>
          <w:rFonts w:ascii="Times New Roman" w:eastAsia="Times New Roman" w:hAnsi="Times New Roman" w:cs="Times New Roman"/>
          <w:bCs/>
          <w:sz w:val="24"/>
          <w:szCs w:val="24"/>
        </w:rPr>
        <w:t>2021 (January, February, March, April, June)</w:t>
      </w:r>
      <w:r w:rsidRPr="003C7672">
        <w:rPr>
          <w:rFonts w:ascii="Times New Roman" w:eastAsia="Times New Roman" w:hAnsi="Times New Roman" w:cs="Times New Roman"/>
          <w:sz w:val="24"/>
          <w:szCs w:val="24"/>
        </w:rPr>
        <w:t xml:space="preserve">, </w:t>
      </w:r>
      <w:r w:rsidRPr="003C7672">
        <w:rPr>
          <w:rFonts w:ascii="Times New Roman" w:eastAsia="Times New Roman" w:hAnsi="Times New Roman" w:cs="Times New Roman"/>
          <w:bCs/>
          <w:sz w:val="24"/>
          <w:szCs w:val="24"/>
        </w:rPr>
        <w:t>2022 (March)</w:t>
      </w:r>
      <w:r w:rsidRPr="003C7672">
        <w:rPr>
          <w:rFonts w:ascii="Times New Roman" w:eastAsia="Times New Roman" w:hAnsi="Times New Roman" w:cs="Times New Roman"/>
          <w:sz w:val="24"/>
          <w:szCs w:val="24"/>
        </w:rPr>
        <w:t xml:space="preserve">, and </w:t>
      </w:r>
      <w:r w:rsidRPr="003C7672">
        <w:rPr>
          <w:rFonts w:ascii="Times New Roman" w:eastAsia="Times New Roman" w:hAnsi="Times New Roman" w:cs="Times New Roman"/>
          <w:bCs/>
          <w:sz w:val="24"/>
          <w:szCs w:val="24"/>
        </w:rPr>
        <w:t>2023 (March)</w:t>
      </w:r>
      <w:r w:rsidRPr="003C7672">
        <w:rPr>
          <w:rFonts w:ascii="Times New Roman" w:eastAsia="Times New Roman" w:hAnsi="Times New Roman" w:cs="Times New Roman"/>
          <w:sz w:val="24"/>
          <w:szCs w:val="24"/>
        </w:rPr>
        <w:t xml:space="preserve">. With children aged </w:t>
      </w:r>
      <w:r w:rsidRPr="003C7672">
        <w:rPr>
          <w:rFonts w:ascii="Times New Roman" w:eastAsia="Times New Roman" w:hAnsi="Times New Roman" w:cs="Times New Roman"/>
          <w:bCs/>
          <w:sz w:val="24"/>
          <w:szCs w:val="24"/>
        </w:rPr>
        <w:t>12–23 months</w:t>
      </w:r>
      <w:r w:rsidRPr="003C7672">
        <w:rPr>
          <w:rFonts w:ascii="Times New Roman" w:eastAsia="Times New Roman" w:hAnsi="Times New Roman" w:cs="Times New Roman"/>
          <w:sz w:val="24"/>
          <w:szCs w:val="24"/>
        </w:rPr>
        <w:t>, who r</w:t>
      </w:r>
      <w:r w:rsidR="005E2C50" w:rsidRPr="003C7672">
        <w:rPr>
          <w:rFonts w:ascii="Times New Roman" w:eastAsia="Times New Roman" w:hAnsi="Times New Roman" w:cs="Times New Roman"/>
          <w:sz w:val="24"/>
          <w:szCs w:val="24"/>
        </w:rPr>
        <w:t>eceived the most doses (Figure 6</w:t>
      </w:r>
      <w:r w:rsidRPr="003C7672">
        <w:rPr>
          <w:rFonts w:ascii="Times New Roman" w:eastAsia="Times New Roman" w:hAnsi="Times New Roman" w:cs="Times New Roman"/>
          <w:sz w:val="24"/>
          <w:szCs w:val="24"/>
        </w:rPr>
        <w:t>).</w:t>
      </w:r>
    </w:p>
    <w:p w14:paraId="749AB278" w14:textId="77777777" w:rsidR="006E3820" w:rsidRPr="003C7672" w:rsidRDefault="00A45649" w:rsidP="00A45649">
      <w:pPr>
        <w:spacing w:line="360" w:lineRule="auto"/>
        <w:rPr>
          <w:rFonts w:ascii="Times New Roman" w:hAnsi="Times New Roman" w:cs="Times New Roman"/>
          <w:sz w:val="24"/>
          <w:szCs w:val="24"/>
        </w:rPr>
      </w:pPr>
      <w:r w:rsidRPr="003C7672">
        <w:rPr>
          <w:rFonts w:ascii="Times New Roman" w:hAnsi="Times New Roman" w:cs="Times New Roman"/>
          <w:noProof/>
          <w:sz w:val="24"/>
          <w:szCs w:val="24"/>
        </w:rPr>
        <w:lastRenderedPageBreak/>
        <w:drawing>
          <wp:inline distT="0" distB="0" distL="0" distR="0" wp14:anchorId="44671262" wp14:editId="413911F1">
            <wp:extent cx="4540250" cy="2672080"/>
            <wp:effectExtent l="0" t="0" r="12700" b="1397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DBD8E1E" w14:textId="77777777" w:rsidR="00A45649" w:rsidRPr="003C7672" w:rsidRDefault="003E0CEA" w:rsidP="00A45649">
      <w:pPr>
        <w:spacing w:line="360" w:lineRule="auto"/>
        <w:rPr>
          <w:rFonts w:ascii="Times New Roman" w:hAnsi="Times New Roman" w:cs="Times New Roman"/>
          <w:sz w:val="24"/>
          <w:szCs w:val="24"/>
        </w:rPr>
      </w:pPr>
      <w:r w:rsidRPr="003C7672">
        <w:rPr>
          <w:rFonts w:ascii="Times New Roman" w:hAnsi="Times New Roman" w:cs="Times New Roman"/>
          <w:sz w:val="24"/>
          <w:szCs w:val="24"/>
        </w:rPr>
        <w:t>Figure 4</w:t>
      </w:r>
      <w:r w:rsidR="00A45649" w:rsidRPr="003C7672">
        <w:rPr>
          <w:rFonts w:ascii="Times New Roman" w:hAnsi="Times New Roman" w:cs="Times New Roman"/>
          <w:sz w:val="24"/>
          <w:szCs w:val="24"/>
        </w:rPr>
        <w:t xml:space="preserve">: Community albendazole MDA record of </w:t>
      </w:r>
      <w:proofErr w:type="spellStart"/>
      <w:r w:rsidR="00A45649" w:rsidRPr="003C7672">
        <w:rPr>
          <w:rFonts w:ascii="Times New Roman" w:hAnsi="Times New Roman" w:cs="Times New Roman"/>
          <w:sz w:val="24"/>
          <w:szCs w:val="24"/>
        </w:rPr>
        <w:t>Ndemyi</w:t>
      </w:r>
      <w:proofErr w:type="spellEnd"/>
      <w:r w:rsidR="00A45649" w:rsidRPr="003C7672">
        <w:rPr>
          <w:rFonts w:ascii="Times New Roman" w:hAnsi="Times New Roman" w:cs="Times New Roman"/>
          <w:sz w:val="24"/>
          <w:szCs w:val="24"/>
        </w:rPr>
        <w:t xml:space="preserve"> constituency where L.O.I.M.P.S is located</w:t>
      </w:r>
    </w:p>
    <w:p w14:paraId="1C01FDBA" w14:textId="77777777" w:rsidR="00A45649" w:rsidRPr="003C7672" w:rsidRDefault="00A45649" w:rsidP="00A45649">
      <w:pPr>
        <w:spacing w:line="360" w:lineRule="auto"/>
        <w:rPr>
          <w:rFonts w:ascii="Times New Roman" w:hAnsi="Times New Roman" w:cs="Times New Roman"/>
          <w:sz w:val="24"/>
          <w:szCs w:val="24"/>
        </w:rPr>
      </w:pPr>
    </w:p>
    <w:p w14:paraId="136F808B" w14:textId="77777777" w:rsidR="00A45649" w:rsidRPr="003C7672" w:rsidRDefault="00A45649" w:rsidP="00A45649">
      <w:pPr>
        <w:spacing w:line="360" w:lineRule="auto"/>
        <w:rPr>
          <w:rFonts w:ascii="Times New Roman" w:hAnsi="Times New Roman" w:cs="Times New Roman"/>
          <w:sz w:val="24"/>
          <w:szCs w:val="24"/>
        </w:rPr>
      </w:pPr>
    </w:p>
    <w:p w14:paraId="37A32246" w14:textId="77777777" w:rsidR="00A45649" w:rsidRPr="003C7672" w:rsidRDefault="00A45649" w:rsidP="00A45649">
      <w:pPr>
        <w:spacing w:line="360" w:lineRule="auto"/>
        <w:rPr>
          <w:rFonts w:ascii="Times New Roman" w:hAnsi="Times New Roman" w:cs="Times New Roman"/>
          <w:sz w:val="24"/>
          <w:szCs w:val="24"/>
        </w:rPr>
      </w:pPr>
    </w:p>
    <w:p w14:paraId="08669FBD" w14:textId="77777777" w:rsidR="00A45649" w:rsidRPr="003C7672" w:rsidRDefault="00A45649" w:rsidP="00A45649">
      <w:pPr>
        <w:spacing w:line="360" w:lineRule="auto"/>
        <w:rPr>
          <w:rFonts w:ascii="Times New Roman" w:hAnsi="Times New Roman" w:cs="Times New Roman"/>
          <w:sz w:val="24"/>
          <w:szCs w:val="24"/>
        </w:rPr>
      </w:pPr>
    </w:p>
    <w:p w14:paraId="640AD400" w14:textId="77777777" w:rsidR="00A45649" w:rsidRPr="003C7672" w:rsidRDefault="00A45649" w:rsidP="00A45649">
      <w:pPr>
        <w:spacing w:line="360" w:lineRule="auto"/>
        <w:rPr>
          <w:rFonts w:ascii="Times New Roman" w:hAnsi="Times New Roman" w:cs="Times New Roman"/>
          <w:sz w:val="24"/>
          <w:szCs w:val="24"/>
        </w:rPr>
      </w:pPr>
    </w:p>
    <w:p w14:paraId="0E73E2A3" w14:textId="77777777" w:rsidR="00A45649" w:rsidRPr="003C7672" w:rsidRDefault="00A45649" w:rsidP="00A45649">
      <w:pPr>
        <w:spacing w:line="360" w:lineRule="auto"/>
        <w:rPr>
          <w:rFonts w:ascii="Times New Roman" w:hAnsi="Times New Roman" w:cs="Times New Roman"/>
          <w:sz w:val="24"/>
          <w:szCs w:val="24"/>
        </w:rPr>
      </w:pPr>
      <w:r w:rsidRPr="003C7672">
        <w:rPr>
          <w:rFonts w:ascii="Times New Roman" w:hAnsi="Times New Roman" w:cs="Times New Roman"/>
          <w:noProof/>
          <w:sz w:val="24"/>
          <w:szCs w:val="24"/>
        </w:rPr>
        <w:drawing>
          <wp:inline distT="0" distB="0" distL="0" distR="0" wp14:anchorId="45722A4F" wp14:editId="47CDF7C8">
            <wp:extent cx="4171950" cy="2349500"/>
            <wp:effectExtent l="0" t="0" r="0" b="1270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ECA4A81" w14:textId="77777777" w:rsidR="00A45649" w:rsidRPr="003C7672" w:rsidRDefault="00A45649" w:rsidP="00A45649">
      <w:pPr>
        <w:spacing w:line="360" w:lineRule="auto"/>
        <w:rPr>
          <w:rFonts w:ascii="Times New Roman" w:hAnsi="Times New Roman" w:cs="Times New Roman"/>
          <w:sz w:val="24"/>
          <w:szCs w:val="24"/>
        </w:rPr>
      </w:pPr>
      <w:r w:rsidRPr="003C7672">
        <w:rPr>
          <w:rFonts w:ascii="Times New Roman" w:hAnsi="Times New Roman" w:cs="Times New Roman"/>
          <w:sz w:val="24"/>
          <w:szCs w:val="24"/>
        </w:rPr>
        <w:t xml:space="preserve"> </w:t>
      </w:r>
      <w:r w:rsidR="003E0CEA" w:rsidRPr="003C7672">
        <w:rPr>
          <w:rFonts w:ascii="Times New Roman" w:hAnsi="Times New Roman" w:cs="Times New Roman"/>
          <w:sz w:val="24"/>
          <w:szCs w:val="24"/>
        </w:rPr>
        <w:t>Figure 5</w:t>
      </w:r>
      <w:r w:rsidRPr="003C7672">
        <w:rPr>
          <w:rFonts w:ascii="Times New Roman" w:hAnsi="Times New Roman" w:cs="Times New Roman"/>
          <w:sz w:val="24"/>
          <w:szCs w:val="24"/>
        </w:rPr>
        <w:t xml:space="preserve">: Community albendazole MDA record of </w:t>
      </w:r>
      <w:proofErr w:type="spellStart"/>
      <w:r w:rsidRPr="003C7672">
        <w:rPr>
          <w:rFonts w:ascii="Times New Roman" w:hAnsi="Times New Roman" w:cs="Times New Roman"/>
          <w:sz w:val="24"/>
          <w:szCs w:val="24"/>
        </w:rPr>
        <w:t>Amagu</w:t>
      </w:r>
      <w:proofErr w:type="spellEnd"/>
      <w:r w:rsidRPr="003C7672">
        <w:rPr>
          <w:rFonts w:ascii="Times New Roman" w:hAnsi="Times New Roman" w:cs="Times New Roman"/>
          <w:sz w:val="24"/>
          <w:szCs w:val="24"/>
        </w:rPr>
        <w:t xml:space="preserve"> constitu</w:t>
      </w:r>
      <w:r w:rsidR="006E3820" w:rsidRPr="003C7672">
        <w:rPr>
          <w:rFonts w:ascii="Times New Roman" w:hAnsi="Times New Roman" w:cs="Times New Roman"/>
          <w:sz w:val="24"/>
          <w:szCs w:val="24"/>
        </w:rPr>
        <w:t>ency where U.C.P.S.1 is located</w:t>
      </w:r>
    </w:p>
    <w:p w14:paraId="0198EEB0" w14:textId="77777777" w:rsidR="00A45649" w:rsidRPr="003C7672" w:rsidRDefault="00A45649" w:rsidP="00A45649">
      <w:pPr>
        <w:spacing w:line="360" w:lineRule="auto"/>
        <w:rPr>
          <w:rFonts w:ascii="Times New Roman" w:hAnsi="Times New Roman" w:cs="Times New Roman"/>
          <w:sz w:val="24"/>
          <w:szCs w:val="24"/>
        </w:rPr>
      </w:pPr>
    </w:p>
    <w:p w14:paraId="630995C6" w14:textId="77777777" w:rsidR="00A45649" w:rsidRPr="003C7672" w:rsidRDefault="00A45649" w:rsidP="00A45649">
      <w:pPr>
        <w:spacing w:line="360" w:lineRule="auto"/>
        <w:rPr>
          <w:rFonts w:ascii="Times New Roman" w:hAnsi="Times New Roman" w:cs="Times New Roman"/>
          <w:sz w:val="24"/>
          <w:szCs w:val="24"/>
        </w:rPr>
      </w:pPr>
      <w:r w:rsidRPr="003C7672">
        <w:rPr>
          <w:rFonts w:ascii="Times New Roman" w:hAnsi="Times New Roman" w:cs="Times New Roman"/>
          <w:noProof/>
          <w:sz w:val="24"/>
          <w:szCs w:val="24"/>
        </w:rPr>
        <w:drawing>
          <wp:inline distT="0" distB="0" distL="0" distR="0" wp14:anchorId="43A7A0C0" wp14:editId="10CED193">
            <wp:extent cx="4184650" cy="1981200"/>
            <wp:effectExtent l="0" t="0" r="635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1C3C3D9" w14:textId="77777777" w:rsidR="00A45649" w:rsidRPr="003C7672" w:rsidRDefault="003E0CEA" w:rsidP="005302EB">
      <w:pPr>
        <w:spacing w:line="360" w:lineRule="auto"/>
        <w:rPr>
          <w:rFonts w:ascii="Times New Roman" w:hAnsi="Times New Roman" w:cs="Times New Roman"/>
          <w:sz w:val="24"/>
          <w:szCs w:val="24"/>
        </w:rPr>
      </w:pPr>
      <w:r w:rsidRPr="003C7672">
        <w:rPr>
          <w:rFonts w:ascii="Times New Roman" w:hAnsi="Times New Roman" w:cs="Times New Roman"/>
          <w:sz w:val="24"/>
          <w:szCs w:val="24"/>
        </w:rPr>
        <w:t>Figure 6</w:t>
      </w:r>
      <w:r w:rsidR="00A45649" w:rsidRPr="003C7672">
        <w:rPr>
          <w:rFonts w:ascii="Times New Roman" w:hAnsi="Times New Roman" w:cs="Times New Roman"/>
          <w:sz w:val="24"/>
          <w:szCs w:val="24"/>
        </w:rPr>
        <w:t xml:space="preserve">: Community albendazole MDA record of </w:t>
      </w:r>
      <w:proofErr w:type="spellStart"/>
      <w:r w:rsidR="00A45649" w:rsidRPr="003C7672">
        <w:rPr>
          <w:rFonts w:ascii="Times New Roman" w:hAnsi="Times New Roman" w:cs="Times New Roman"/>
          <w:sz w:val="24"/>
          <w:szCs w:val="24"/>
        </w:rPr>
        <w:t>Uhuetiti</w:t>
      </w:r>
      <w:proofErr w:type="spellEnd"/>
      <w:r w:rsidR="00A45649" w:rsidRPr="003C7672">
        <w:rPr>
          <w:rFonts w:ascii="Times New Roman" w:hAnsi="Times New Roman" w:cs="Times New Roman"/>
          <w:sz w:val="24"/>
          <w:szCs w:val="24"/>
        </w:rPr>
        <w:t xml:space="preserve"> constitu</w:t>
      </w:r>
      <w:r w:rsidR="005302EB" w:rsidRPr="003C7672">
        <w:rPr>
          <w:rFonts w:ascii="Times New Roman" w:hAnsi="Times New Roman" w:cs="Times New Roman"/>
          <w:sz w:val="24"/>
          <w:szCs w:val="24"/>
        </w:rPr>
        <w:t>ency where U.C.P.S.2 is located</w:t>
      </w:r>
    </w:p>
    <w:p w14:paraId="4E3CFE86" w14:textId="77777777" w:rsidR="00A45649" w:rsidRPr="003C7672" w:rsidRDefault="00A45649" w:rsidP="00A45649">
      <w:pPr>
        <w:autoSpaceDE w:val="0"/>
        <w:autoSpaceDN w:val="0"/>
        <w:adjustRightInd w:val="0"/>
        <w:spacing w:after="0" w:line="240" w:lineRule="auto"/>
        <w:rPr>
          <w:rFonts w:ascii="AdvOTf0129623" w:hAnsi="AdvOTf0129623" w:cs="AdvOTf0129623"/>
          <w:sz w:val="18"/>
          <w:szCs w:val="18"/>
        </w:rPr>
      </w:pPr>
    </w:p>
    <w:p w14:paraId="14FD3858" w14:textId="77777777" w:rsidR="00A45649" w:rsidRPr="003C7672" w:rsidRDefault="00A45649" w:rsidP="00A45649">
      <w:pPr>
        <w:autoSpaceDE w:val="0"/>
        <w:autoSpaceDN w:val="0"/>
        <w:adjustRightInd w:val="0"/>
        <w:spacing w:after="0" w:line="240" w:lineRule="auto"/>
        <w:rPr>
          <w:rFonts w:ascii="AdvOTf0129623" w:hAnsi="AdvOTf0129623" w:cs="AdvOTf0129623"/>
          <w:sz w:val="18"/>
          <w:szCs w:val="18"/>
        </w:rPr>
      </w:pPr>
    </w:p>
    <w:p w14:paraId="51675465" w14:textId="77777777" w:rsidR="00A45649" w:rsidRPr="003C7672" w:rsidRDefault="008A55F1" w:rsidP="00A45649">
      <w:pPr>
        <w:autoSpaceDE w:val="0"/>
        <w:autoSpaceDN w:val="0"/>
        <w:adjustRightInd w:val="0"/>
        <w:spacing w:after="0" w:line="240" w:lineRule="auto"/>
        <w:rPr>
          <w:rFonts w:ascii="Times New Roman" w:hAnsi="Times New Roman" w:cs="Times New Roman"/>
          <w:b/>
          <w:sz w:val="24"/>
          <w:szCs w:val="24"/>
        </w:rPr>
      </w:pPr>
      <w:r w:rsidRPr="003C7672">
        <w:rPr>
          <w:rFonts w:ascii="Times New Roman" w:hAnsi="Times New Roman" w:cs="Times New Roman"/>
          <w:b/>
          <w:sz w:val="24"/>
          <w:szCs w:val="24"/>
        </w:rPr>
        <w:t>DISCUSSION</w:t>
      </w:r>
    </w:p>
    <w:p w14:paraId="041D8B06" w14:textId="77777777" w:rsidR="00B151AC" w:rsidRPr="003C7672" w:rsidRDefault="00B151AC" w:rsidP="006E1609">
      <w:pPr>
        <w:autoSpaceDE w:val="0"/>
        <w:autoSpaceDN w:val="0"/>
        <w:adjustRightInd w:val="0"/>
        <w:spacing w:after="0" w:line="360" w:lineRule="auto"/>
        <w:jc w:val="both"/>
        <w:rPr>
          <w:rFonts w:ascii="Times New Roman" w:hAnsi="Times New Roman" w:cs="Times New Roman"/>
          <w:sz w:val="24"/>
          <w:szCs w:val="24"/>
        </w:rPr>
      </w:pPr>
      <w:r w:rsidRPr="003C7672">
        <w:rPr>
          <w:rFonts w:ascii="Times New Roman" w:hAnsi="Times New Roman" w:cs="Times New Roman"/>
          <w:color w:val="1C1C1C"/>
          <w:sz w:val="24"/>
          <w:szCs w:val="24"/>
          <w:shd w:val="clear" w:color="auto" w:fill="FFFFFF"/>
        </w:rPr>
        <w:t xml:space="preserve">The findings from the study indicated that the prevalence of single infections of malaria and soil-transmitted helminths (STH) in the </w:t>
      </w:r>
      <w:proofErr w:type="spellStart"/>
      <w:r w:rsidRPr="003C7672">
        <w:rPr>
          <w:rFonts w:ascii="Times New Roman" w:hAnsi="Times New Roman" w:cs="Times New Roman"/>
          <w:color w:val="1C1C1C"/>
          <w:sz w:val="24"/>
          <w:szCs w:val="24"/>
          <w:shd w:val="clear" w:color="auto" w:fill="FFFFFF"/>
        </w:rPr>
        <w:t>Uwana</w:t>
      </w:r>
      <w:proofErr w:type="spellEnd"/>
      <w:r w:rsidRPr="003C7672">
        <w:rPr>
          <w:rFonts w:ascii="Times New Roman" w:hAnsi="Times New Roman" w:cs="Times New Roman"/>
          <w:color w:val="1C1C1C"/>
          <w:sz w:val="24"/>
          <w:szCs w:val="24"/>
          <w:shd w:val="clear" w:color="auto" w:fill="FFFFFF"/>
        </w:rPr>
        <w:t xml:space="preserve"> community is moderate, exceeding 35%. The rate of coinfection with both malaria and STH was observed to be 7.2%. The specific soil-transmitted helminths identified included </w:t>
      </w:r>
      <w:r w:rsidRPr="003C7672">
        <w:rPr>
          <w:rFonts w:ascii="Times New Roman" w:hAnsi="Times New Roman" w:cs="Times New Roman"/>
          <w:i/>
          <w:color w:val="1C1C1C"/>
          <w:sz w:val="24"/>
          <w:szCs w:val="24"/>
          <w:shd w:val="clear" w:color="auto" w:fill="FFFFFF"/>
        </w:rPr>
        <w:t>A. lumbricoides</w:t>
      </w:r>
      <w:r w:rsidRPr="003C7672">
        <w:rPr>
          <w:rFonts w:ascii="Times New Roman" w:hAnsi="Times New Roman" w:cs="Times New Roman"/>
          <w:color w:val="1C1C1C"/>
          <w:sz w:val="24"/>
          <w:szCs w:val="24"/>
          <w:shd w:val="clear" w:color="auto" w:fill="FFFFFF"/>
        </w:rPr>
        <w:t xml:space="preserve">, hookworm, and </w:t>
      </w:r>
      <w:r w:rsidRPr="003C7672">
        <w:rPr>
          <w:rFonts w:ascii="Times New Roman" w:hAnsi="Times New Roman" w:cs="Times New Roman"/>
          <w:i/>
          <w:color w:val="1C1C1C"/>
          <w:sz w:val="24"/>
          <w:szCs w:val="24"/>
          <w:shd w:val="clear" w:color="auto" w:fill="FFFFFF"/>
        </w:rPr>
        <w:t xml:space="preserve">T. </w:t>
      </w:r>
      <w:proofErr w:type="spellStart"/>
      <w:r w:rsidRPr="003C7672">
        <w:rPr>
          <w:rFonts w:ascii="Times New Roman" w:hAnsi="Times New Roman" w:cs="Times New Roman"/>
          <w:i/>
          <w:color w:val="1C1C1C"/>
          <w:sz w:val="24"/>
          <w:szCs w:val="24"/>
          <w:shd w:val="clear" w:color="auto" w:fill="FFFFFF"/>
        </w:rPr>
        <w:t>trichiura</w:t>
      </w:r>
      <w:proofErr w:type="spellEnd"/>
      <w:r w:rsidRPr="003C7672">
        <w:rPr>
          <w:rFonts w:ascii="Times New Roman" w:hAnsi="Times New Roman" w:cs="Times New Roman"/>
          <w:color w:val="1C1C1C"/>
          <w:sz w:val="24"/>
          <w:szCs w:val="24"/>
          <w:shd w:val="clear" w:color="auto" w:fill="FFFFFF"/>
        </w:rPr>
        <w:t xml:space="preserve">. Additionally, double STH infections were recorded, including combinations of </w:t>
      </w:r>
      <w:r w:rsidRPr="003C7672">
        <w:rPr>
          <w:rFonts w:ascii="Times New Roman" w:hAnsi="Times New Roman" w:cs="Times New Roman"/>
          <w:i/>
          <w:color w:val="1C1C1C"/>
          <w:sz w:val="24"/>
          <w:szCs w:val="24"/>
          <w:shd w:val="clear" w:color="auto" w:fill="FFFFFF"/>
        </w:rPr>
        <w:t>Ascaris</w:t>
      </w:r>
      <w:r w:rsidRPr="003C7672">
        <w:rPr>
          <w:rFonts w:ascii="Times New Roman" w:hAnsi="Times New Roman" w:cs="Times New Roman"/>
          <w:color w:val="1C1C1C"/>
          <w:sz w:val="24"/>
          <w:szCs w:val="24"/>
          <w:shd w:val="clear" w:color="auto" w:fill="FFFFFF"/>
        </w:rPr>
        <w:t>-</w:t>
      </w:r>
      <w:r w:rsidRPr="003C7672">
        <w:rPr>
          <w:rFonts w:ascii="Times New Roman" w:hAnsi="Times New Roman" w:cs="Times New Roman"/>
          <w:i/>
          <w:color w:val="1C1C1C"/>
          <w:sz w:val="24"/>
          <w:szCs w:val="24"/>
          <w:shd w:val="clear" w:color="auto" w:fill="FFFFFF"/>
        </w:rPr>
        <w:t>Trichuris</w:t>
      </w:r>
      <w:r w:rsidRPr="003C7672">
        <w:rPr>
          <w:rFonts w:ascii="Times New Roman" w:hAnsi="Times New Roman" w:cs="Times New Roman"/>
          <w:color w:val="1C1C1C"/>
          <w:sz w:val="24"/>
          <w:szCs w:val="24"/>
          <w:shd w:val="clear" w:color="auto" w:fill="FFFFFF"/>
        </w:rPr>
        <w:t xml:space="preserve">, </w:t>
      </w:r>
      <w:r w:rsidRPr="003C7672">
        <w:rPr>
          <w:rFonts w:ascii="Times New Roman" w:hAnsi="Times New Roman" w:cs="Times New Roman"/>
          <w:i/>
          <w:color w:val="1C1C1C"/>
          <w:sz w:val="24"/>
          <w:szCs w:val="24"/>
          <w:shd w:val="clear" w:color="auto" w:fill="FFFFFF"/>
        </w:rPr>
        <w:t>Trichuris</w:t>
      </w:r>
      <w:r w:rsidRPr="003C7672">
        <w:rPr>
          <w:rFonts w:ascii="Times New Roman" w:hAnsi="Times New Roman" w:cs="Times New Roman"/>
          <w:color w:val="1C1C1C"/>
          <w:sz w:val="24"/>
          <w:szCs w:val="24"/>
          <w:shd w:val="clear" w:color="auto" w:fill="FFFFFF"/>
        </w:rPr>
        <w:t xml:space="preserve">-Hookworm, and </w:t>
      </w:r>
      <w:r w:rsidRPr="003C7672">
        <w:rPr>
          <w:rFonts w:ascii="Times New Roman" w:hAnsi="Times New Roman" w:cs="Times New Roman"/>
          <w:i/>
          <w:color w:val="1C1C1C"/>
          <w:sz w:val="24"/>
          <w:szCs w:val="24"/>
          <w:shd w:val="clear" w:color="auto" w:fill="FFFFFF"/>
        </w:rPr>
        <w:t>Ascaris</w:t>
      </w:r>
      <w:r w:rsidRPr="003C7672">
        <w:rPr>
          <w:rFonts w:ascii="Times New Roman" w:hAnsi="Times New Roman" w:cs="Times New Roman"/>
          <w:color w:val="1C1C1C"/>
          <w:sz w:val="24"/>
          <w:szCs w:val="24"/>
          <w:shd w:val="clear" w:color="auto" w:fill="FFFFFF"/>
        </w:rPr>
        <w:t xml:space="preserve">-Hookworm. There was a significant association between age and the class of pupils regarding malaria infection. Younger children and those in junior primary classes exhibited a higher prevalence of malaria compared to older children and those in senior primary classes. The prevalence of STH was significantly associated with the school attended by primary school children. Notably, children attending UCPS2 School, where albendazole was not distributed, had a higher prevalence of STH than those attending other schools in the </w:t>
      </w:r>
      <w:proofErr w:type="spellStart"/>
      <w:r w:rsidRPr="003C7672">
        <w:rPr>
          <w:rFonts w:ascii="Times New Roman" w:hAnsi="Times New Roman" w:cs="Times New Roman"/>
          <w:color w:val="1C1C1C"/>
          <w:sz w:val="24"/>
          <w:szCs w:val="24"/>
          <w:shd w:val="clear" w:color="auto" w:fill="FFFFFF"/>
        </w:rPr>
        <w:t>Uwana</w:t>
      </w:r>
      <w:proofErr w:type="spellEnd"/>
      <w:r w:rsidRPr="003C7672">
        <w:rPr>
          <w:rFonts w:ascii="Times New Roman" w:hAnsi="Times New Roman" w:cs="Times New Roman"/>
          <w:color w:val="1C1C1C"/>
          <w:sz w:val="24"/>
          <w:szCs w:val="24"/>
          <w:shd w:val="clear" w:color="auto" w:fill="FFFFFF"/>
        </w:rPr>
        <w:t xml:space="preserve"> community. No notable association was found between the demographic characteristics of schoolchildren and the coinfection of malaria and STH. The only significant risk factor for the coinfection of malaria and STH in </w:t>
      </w:r>
      <w:proofErr w:type="spellStart"/>
      <w:r w:rsidRPr="003C7672">
        <w:rPr>
          <w:rFonts w:ascii="Times New Roman" w:hAnsi="Times New Roman" w:cs="Times New Roman"/>
          <w:color w:val="1C1C1C"/>
          <w:sz w:val="24"/>
          <w:szCs w:val="24"/>
          <w:shd w:val="clear" w:color="auto" w:fill="FFFFFF"/>
        </w:rPr>
        <w:t>Uwana</w:t>
      </w:r>
      <w:proofErr w:type="spellEnd"/>
      <w:r w:rsidRPr="003C7672">
        <w:rPr>
          <w:rFonts w:ascii="Times New Roman" w:hAnsi="Times New Roman" w:cs="Times New Roman"/>
          <w:color w:val="1C1C1C"/>
          <w:sz w:val="24"/>
          <w:szCs w:val="24"/>
          <w:shd w:val="clear" w:color="auto" w:fill="FFFFFF"/>
        </w:rPr>
        <w:t xml:space="preserve"> was the lack of access to albendazole at school. Community health records from the three constituencies revealed that in two communities, albendazole was administered only in 2021, whereas in the community where UCPS2 is located, mass drug administration (MDA) of albendazole was conducted in 2021, 2022, and 2023.</w:t>
      </w:r>
    </w:p>
    <w:p w14:paraId="7C6B20F8" w14:textId="77777777" w:rsidR="003829DB" w:rsidRPr="003C7672" w:rsidRDefault="003829DB" w:rsidP="003829DB">
      <w:pPr>
        <w:autoSpaceDE w:val="0"/>
        <w:autoSpaceDN w:val="0"/>
        <w:adjustRightInd w:val="0"/>
        <w:spacing w:after="0" w:line="360" w:lineRule="auto"/>
        <w:jc w:val="both"/>
        <w:rPr>
          <w:rFonts w:ascii="Times New Roman" w:hAnsi="Times New Roman" w:cs="Times New Roman"/>
          <w:sz w:val="24"/>
          <w:szCs w:val="24"/>
        </w:rPr>
      </w:pPr>
      <w:r w:rsidRPr="003C7672">
        <w:rPr>
          <w:rFonts w:ascii="Times New Roman" w:hAnsi="Times New Roman" w:cs="Times New Roman"/>
          <w:sz w:val="24"/>
          <w:szCs w:val="24"/>
        </w:rPr>
        <w:lastRenderedPageBreak/>
        <w:t>The prevalence rates of over 30% for both malaria and soil-transmitted helminths (STH) in this study highlight a co-endemic public health issue in the area. This suggests that various factors, including environmental conditions, socio-economic circumstances, and behavior—such as inadequate sanitation and a lack of clean water—are contributing to the simultaneous transmission of both parasites (</w:t>
      </w:r>
      <w:proofErr w:type="spellStart"/>
      <w:r w:rsidRPr="003C7672">
        <w:rPr>
          <w:rFonts w:ascii="Times New Roman" w:hAnsi="Times New Roman" w:cs="Times New Roman"/>
          <w:sz w:val="24"/>
          <w:szCs w:val="24"/>
        </w:rPr>
        <w:t>Duguma</w:t>
      </w:r>
      <w:proofErr w:type="spellEnd"/>
      <w:r w:rsidRPr="003C7672">
        <w:rPr>
          <w:rFonts w:ascii="Times New Roman" w:hAnsi="Times New Roman" w:cs="Times New Roman"/>
          <w:sz w:val="24"/>
          <w:szCs w:val="24"/>
        </w:rPr>
        <w:t xml:space="preserve"> et al., 2025). This finding contradicts the report by (</w:t>
      </w:r>
      <w:proofErr w:type="spellStart"/>
      <w:r w:rsidRPr="003C7672">
        <w:rPr>
          <w:rFonts w:ascii="Times New Roman" w:hAnsi="Times New Roman" w:cs="Times New Roman"/>
          <w:sz w:val="24"/>
          <w:szCs w:val="24"/>
        </w:rPr>
        <w:t>Nwakaogor</w:t>
      </w:r>
      <w:proofErr w:type="spellEnd"/>
      <w:r w:rsidRPr="003C7672">
        <w:rPr>
          <w:rFonts w:ascii="Times New Roman" w:hAnsi="Times New Roman" w:cs="Times New Roman"/>
          <w:sz w:val="24"/>
          <w:szCs w:val="24"/>
        </w:rPr>
        <w:t xml:space="preserve"> et al., 2024), which documented a prevalence of 38.23% for malaria and 17.44% for STH in a malaria-STH co-infection study among school children under 15 years old in </w:t>
      </w:r>
      <w:proofErr w:type="spellStart"/>
      <w:r w:rsidRPr="003C7672">
        <w:rPr>
          <w:rFonts w:ascii="Times New Roman" w:hAnsi="Times New Roman" w:cs="Times New Roman"/>
          <w:sz w:val="24"/>
          <w:szCs w:val="24"/>
        </w:rPr>
        <w:t>Awka</w:t>
      </w:r>
      <w:proofErr w:type="spellEnd"/>
      <w:r w:rsidRPr="003C7672">
        <w:rPr>
          <w:rFonts w:ascii="Times New Roman" w:hAnsi="Times New Roman" w:cs="Times New Roman"/>
          <w:sz w:val="24"/>
          <w:szCs w:val="24"/>
        </w:rPr>
        <w:t xml:space="preserve"> North LGA, Anambra State.</w:t>
      </w:r>
    </w:p>
    <w:p w14:paraId="34DCC859" w14:textId="77777777" w:rsidR="003829DB" w:rsidRPr="003C7672" w:rsidRDefault="003829DB" w:rsidP="003829DB">
      <w:pPr>
        <w:autoSpaceDE w:val="0"/>
        <w:autoSpaceDN w:val="0"/>
        <w:adjustRightInd w:val="0"/>
        <w:spacing w:after="0" w:line="360" w:lineRule="auto"/>
        <w:jc w:val="both"/>
        <w:rPr>
          <w:rFonts w:ascii="Times New Roman" w:hAnsi="Times New Roman" w:cs="Times New Roman"/>
          <w:sz w:val="24"/>
          <w:szCs w:val="24"/>
        </w:rPr>
      </w:pPr>
    </w:p>
    <w:p w14:paraId="14FEDAB9" w14:textId="77777777" w:rsidR="003829DB" w:rsidRPr="003C7672" w:rsidRDefault="003829DB" w:rsidP="003829DB">
      <w:pPr>
        <w:autoSpaceDE w:val="0"/>
        <w:autoSpaceDN w:val="0"/>
        <w:adjustRightInd w:val="0"/>
        <w:spacing w:after="0" w:line="360" w:lineRule="auto"/>
        <w:jc w:val="both"/>
        <w:rPr>
          <w:rFonts w:ascii="Times New Roman" w:hAnsi="Times New Roman" w:cs="Times New Roman"/>
          <w:sz w:val="24"/>
          <w:szCs w:val="24"/>
        </w:rPr>
      </w:pPr>
      <w:r w:rsidRPr="003C7672">
        <w:rPr>
          <w:rFonts w:ascii="Times New Roman" w:hAnsi="Times New Roman" w:cs="Times New Roman"/>
          <w:sz w:val="24"/>
          <w:szCs w:val="24"/>
        </w:rPr>
        <w:t>The 7.2% prevalence of malaria and soil-transmitted helminths (STH) co-infection in this study indicates a moderate risk of both infection within this community. This finding suggests that there is a group of primary school children in Unwana who are at an increased risk of severe anemia, malnutrition, and impaired cognitive and physical development due to the co-infection of malaria and STH (</w:t>
      </w:r>
      <w:proofErr w:type="spellStart"/>
      <w:r w:rsidRPr="003C7672">
        <w:rPr>
          <w:rFonts w:ascii="Times New Roman" w:hAnsi="Times New Roman" w:cs="Times New Roman"/>
          <w:sz w:val="24"/>
          <w:szCs w:val="24"/>
        </w:rPr>
        <w:t>Ngasala</w:t>
      </w:r>
      <w:proofErr w:type="spellEnd"/>
      <w:r w:rsidRPr="003C7672">
        <w:rPr>
          <w:rFonts w:ascii="Times New Roman" w:hAnsi="Times New Roman" w:cs="Times New Roman"/>
          <w:sz w:val="24"/>
          <w:szCs w:val="24"/>
        </w:rPr>
        <w:t xml:space="preserve"> et al., 2019). The 7.2% prevalence recorded in this study is lower than the 9.4% prevalence reported among under-15 school children in</w:t>
      </w:r>
      <w:r w:rsidR="009D14E8" w:rsidRPr="003C7672">
        <w:rPr>
          <w:rFonts w:ascii="Times New Roman" w:hAnsi="Times New Roman" w:cs="Times New Roman"/>
          <w:sz w:val="24"/>
          <w:szCs w:val="24"/>
        </w:rPr>
        <w:t xml:space="preserve"> </w:t>
      </w:r>
      <w:proofErr w:type="spellStart"/>
      <w:r w:rsidR="009D14E8" w:rsidRPr="003C7672">
        <w:rPr>
          <w:rFonts w:ascii="Times New Roman" w:hAnsi="Times New Roman" w:cs="Times New Roman"/>
          <w:sz w:val="24"/>
          <w:szCs w:val="24"/>
        </w:rPr>
        <w:t>Awka</w:t>
      </w:r>
      <w:proofErr w:type="spellEnd"/>
      <w:r w:rsidR="009D14E8" w:rsidRPr="003C7672">
        <w:rPr>
          <w:rFonts w:ascii="Times New Roman" w:hAnsi="Times New Roman" w:cs="Times New Roman"/>
          <w:sz w:val="24"/>
          <w:szCs w:val="24"/>
        </w:rPr>
        <w:t xml:space="preserve"> North LGA, Anambra State, </w:t>
      </w:r>
      <w:proofErr w:type="spellStart"/>
      <w:r w:rsidR="009D14E8" w:rsidRPr="003C7672">
        <w:rPr>
          <w:rFonts w:ascii="Times New Roman" w:hAnsi="Times New Roman" w:cs="Times New Roman"/>
          <w:sz w:val="24"/>
          <w:szCs w:val="24"/>
        </w:rPr>
        <w:t>Nwakaogor</w:t>
      </w:r>
      <w:proofErr w:type="spellEnd"/>
      <w:r w:rsidR="009D14E8" w:rsidRPr="003C7672">
        <w:rPr>
          <w:rFonts w:ascii="Times New Roman" w:hAnsi="Times New Roman" w:cs="Times New Roman"/>
          <w:sz w:val="24"/>
          <w:szCs w:val="24"/>
        </w:rPr>
        <w:t xml:space="preserve"> et al. (</w:t>
      </w:r>
      <w:r w:rsidRPr="003C7672">
        <w:rPr>
          <w:rFonts w:ascii="Times New Roman" w:hAnsi="Times New Roman" w:cs="Times New Roman"/>
          <w:sz w:val="24"/>
          <w:szCs w:val="24"/>
        </w:rPr>
        <w:t>2024). However, it is higher than the 1.07% prevalence found among children in Sokoto Metropolis (Mohammed et al., 2023).</w:t>
      </w:r>
    </w:p>
    <w:p w14:paraId="10199D43" w14:textId="77777777" w:rsidR="009D14E8" w:rsidRPr="003C7672" w:rsidRDefault="009D14E8" w:rsidP="003829DB">
      <w:pPr>
        <w:autoSpaceDE w:val="0"/>
        <w:autoSpaceDN w:val="0"/>
        <w:adjustRightInd w:val="0"/>
        <w:spacing w:after="0" w:line="360" w:lineRule="auto"/>
        <w:jc w:val="both"/>
        <w:rPr>
          <w:rFonts w:ascii="Times New Roman" w:hAnsi="Times New Roman" w:cs="Times New Roman"/>
          <w:sz w:val="24"/>
          <w:szCs w:val="24"/>
        </w:rPr>
      </w:pPr>
    </w:p>
    <w:p w14:paraId="41B2D3B4" w14:textId="77777777" w:rsidR="003829DB" w:rsidRPr="003C7672" w:rsidRDefault="003829DB" w:rsidP="003829DB">
      <w:pPr>
        <w:autoSpaceDE w:val="0"/>
        <w:autoSpaceDN w:val="0"/>
        <w:adjustRightInd w:val="0"/>
        <w:spacing w:after="0" w:line="360" w:lineRule="auto"/>
        <w:jc w:val="both"/>
        <w:rPr>
          <w:rFonts w:ascii="Times New Roman" w:hAnsi="Times New Roman" w:cs="Times New Roman"/>
          <w:sz w:val="24"/>
          <w:szCs w:val="24"/>
        </w:rPr>
      </w:pPr>
      <w:r w:rsidRPr="003C7672">
        <w:rPr>
          <w:rFonts w:ascii="Times New Roman" w:hAnsi="Times New Roman" w:cs="Times New Roman"/>
          <w:sz w:val="24"/>
          <w:szCs w:val="24"/>
        </w:rPr>
        <w:t>The highlights from the STH recovered indicate a significant lack of access to clean water, poor sewage management, and inadequate handwashing practices, all of which contribute to the fecal-oral transmission of infections. Ineffective sewage management may have resulted in soil contamination, leading to hookworm infections in children who walk barefoot (</w:t>
      </w:r>
      <w:proofErr w:type="spellStart"/>
      <w:r w:rsidRPr="003C7672">
        <w:rPr>
          <w:rFonts w:ascii="Times New Roman" w:hAnsi="Times New Roman" w:cs="Times New Roman"/>
          <w:sz w:val="24"/>
          <w:szCs w:val="24"/>
        </w:rPr>
        <w:t>Imalele</w:t>
      </w:r>
      <w:proofErr w:type="spellEnd"/>
      <w:r w:rsidRPr="003C7672">
        <w:rPr>
          <w:rFonts w:ascii="Times New Roman" w:hAnsi="Times New Roman" w:cs="Times New Roman"/>
          <w:sz w:val="24"/>
          <w:szCs w:val="24"/>
        </w:rPr>
        <w:t xml:space="preserve"> et al., 2023). In a study conducted in Kwara State, the STHs identified included </w:t>
      </w:r>
      <w:r w:rsidRPr="003C7672">
        <w:rPr>
          <w:rFonts w:ascii="Times New Roman" w:hAnsi="Times New Roman" w:cs="Times New Roman"/>
          <w:i/>
          <w:sz w:val="24"/>
          <w:szCs w:val="24"/>
        </w:rPr>
        <w:t>Ascaris</w:t>
      </w:r>
      <w:r w:rsidRPr="003C7672">
        <w:rPr>
          <w:rFonts w:ascii="Times New Roman" w:hAnsi="Times New Roman" w:cs="Times New Roman"/>
          <w:sz w:val="24"/>
          <w:szCs w:val="24"/>
        </w:rPr>
        <w:t xml:space="preserve">, Hookworm, and </w:t>
      </w:r>
      <w:r w:rsidRPr="003C7672">
        <w:rPr>
          <w:rFonts w:ascii="Times New Roman" w:hAnsi="Times New Roman" w:cs="Times New Roman"/>
          <w:i/>
          <w:sz w:val="24"/>
          <w:szCs w:val="24"/>
        </w:rPr>
        <w:t>Trichuris</w:t>
      </w:r>
      <w:r w:rsidRPr="003C7672">
        <w:rPr>
          <w:rFonts w:ascii="Times New Roman" w:hAnsi="Times New Roman" w:cs="Times New Roman"/>
          <w:sz w:val="24"/>
          <w:szCs w:val="24"/>
        </w:rPr>
        <w:t xml:space="preserve"> (Amaechi et al., 2016). The occurrence of double infections, such as </w:t>
      </w:r>
      <w:r w:rsidRPr="003C7672">
        <w:rPr>
          <w:rFonts w:ascii="Times New Roman" w:hAnsi="Times New Roman" w:cs="Times New Roman"/>
          <w:i/>
          <w:sz w:val="24"/>
          <w:szCs w:val="24"/>
        </w:rPr>
        <w:t>Ascaris</w:t>
      </w:r>
      <w:r w:rsidRPr="003C7672">
        <w:rPr>
          <w:rFonts w:ascii="Times New Roman" w:hAnsi="Times New Roman" w:cs="Times New Roman"/>
          <w:sz w:val="24"/>
          <w:szCs w:val="24"/>
        </w:rPr>
        <w:t>-</w:t>
      </w:r>
      <w:r w:rsidRPr="003C7672">
        <w:rPr>
          <w:rFonts w:ascii="Times New Roman" w:hAnsi="Times New Roman" w:cs="Times New Roman"/>
          <w:i/>
          <w:sz w:val="24"/>
          <w:szCs w:val="24"/>
        </w:rPr>
        <w:t>Trichuris</w:t>
      </w:r>
      <w:r w:rsidRPr="003C7672">
        <w:rPr>
          <w:rFonts w:ascii="Times New Roman" w:hAnsi="Times New Roman" w:cs="Times New Roman"/>
          <w:sz w:val="24"/>
          <w:szCs w:val="24"/>
        </w:rPr>
        <w:t xml:space="preserve">, </w:t>
      </w:r>
      <w:r w:rsidRPr="003C7672">
        <w:rPr>
          <w:rFonts w:ascii="Times New Roman" w:hAnsi="Times New Roman" w:cs="Times New Roman"/>
          <w:i/>
          <w:sz w:val="24"/>
          <w:szCs w:val="24"/>
        </w:rPr>
        <w:t>Trichuris</w:t>
      </w:r>
      <w:r w:rsidRPr="003C7672">
        <w:rPr>
          <w:rFonts w:ascii="Times New Roman" w:hAnsi="Times New Roman" w:cs="Times New Roman"/>
          <w:sz w:val="24"/>
          <w:szCs w:val="24"/>
        </w:rPr>
        <w:t xml:space="preserve">-Hookworm, and </w:t>
      </w:r>
      <w:r w:rsidRPr="003C7672">
        <w:rPr>
          <w:rFonts w:ascii="Times New Roman" w:hAnsi="Times New Roman" w:cs="Times New Roman"/>
          <w:i/>
          <w:sz w:val="24"/>
          <w:szCs w:val="24"/>
        </w:rPr>
        <w:t>Ascaris</w:t>
      </w:r>
      <w:r w:rsidRPr="003C7672">
        <w:rPr>
          <w:rFonts w:ascii="Times New Roman" w:hAnsi="Times New Roman" w:cs="Times New Roman"/>
          <w:sz w:val="24"/>
          <w:szCs w:val="24"/>
        </w:rPr>
        <w:t xml:space="preserve">-Hookworm, highlights shared transmission routes, where eggs from human feces contaminate the soil. This situation suggests significant environmental risk factors, including the prevalence of walking barefoot and a lack of clean water and hygiene (WHO, 2023). The prevalence of double STH infections found in this study was lower than the 14.04% reported for </w:t>
      </w:r>
      <w:r w:rsidRPr="003C7672">
        <w:rPr>
          <w:rFonts w:ascii="Times New Roman" w:hAnsi="Times New Roman" w:cs="Times New Roman"/>
          <w:i/>
          <w:sz w:val="24"/>
          <w:szCs w:val="24"/>
        </w:rPr>
        <w:t>Ascaris</w:t>
      </w:r>
      <w:r w:rsidRPr="003C7672">
        <w:rPr>
          <w:rFonts w:ascii="Times New Roman" w:hAnsi="Times New Roman" w:cs="Times New Roman"/>
          <w:sz w:val="24"/>
          <w:szCs w:val="24"/>
        </w:rPr>
        <w:t xml:space="preserve">-Hookworm co-infections and the 7.3% noted for </w:t>
      </w:r>
      <w:r w:rsidRPr="003C7672">
        <w:rPr>
          <w:rFonts w:ascii="Times New Roman" w:hAnsi="Times New Roman" w:cs="Times New Roman"/>
          <w:i/>
          <w:sz w:val="24"/>
          <w:szCs w:val="24"/>
        </w:rPr>
        <w:t>Ascaris</w:t>
      </w:r>
      <w:r w:rsidRPr="003C7672">
        <w:rPr>
          <w:rFonts w:ascii="Times New Roman" w:hAnsi="Times New Roman" w:cs="Times New Roman"/>
          <w:sz w:val="24"/>
          <w:szCs w:val="24"/>
        </w:rPr>
        <w:t>-Trichuris coinfections by Dada-Adegbola et al.</w:t>
      </w:r>
      <w:r w:rsidR="009D14E8" w:rsidRPr="003C7672">
        <w:rPr>
          <w:rFonts w:ascii="Times New Roman" w:hAnsi="Times New Roman" w:cs="Times New Roman"/>
          <w:sz w:val="24"/>
          <w:szCs w:val="24"/>
        </w:rPr>
        <w:t xml:space="preserve"> (</w:t>
      </w:r>
      <w:r w:rsidRPr="003C7672">
        <w:rPr>
          <w:rFonts w:ascii="Times New Roman" w:hAnsi="Times New Roman" w:cs="Times New Roman"/>
          <w:sz w:val="24"/>
          <w:szCs w:val="24"/>
        </w:rPr>
        <w:t xml:space="preserve">2013), as well as the 28.8% reported for </w:t>
      </w:r>
      <w:r w:rsidRPr="003C7672">
        <w:rPr>
          <w:rFonts w:ascii="Times New Roman" w:hAnsi="Times New Roman" w:cs="Times New Roman"/>
          <w:i/>
          <w:sz w:val="24"/>
          <w:szCs w:val="24"/>
        </w:rPr>
        <w:t>Ascaris</w:t>
      </w:r>
      <w:r w:rsidRPr="003C7672">
        <w:rPr>
          <w:rFonts w:ascii="Times New Roman" w:hAnsi="Times New Roman" w:cs="Times New Roman"/>
          <w:sz w:val="24"/>
          <w:szCs w:val="24"/>
        </w:rPr>
        <w:t>-Trichuris co-infections by Mulu et al.</w:t>
      </w:r>
      <w:r w:rsidR="009D14E8" w:rsidRPr="003C7672">
        <w:rPr>
          <w:rFonts w:ascii="Times New Roman" w:hAnsi="Times New Roman" w:cs="Times New Roman"/>
          <w:sz w:val="24"/>
          <w:szCs w:val="24"/>
        </w:rPr>
        <w:t xml:space="preserve"> (2013).</w:t>
      </w:r>
    </w:p>
    <w:p w14:paraId="04707B5C" w14:textId="77777777" w:rsidR="003829DB" w:rsidRPr="003C7672" w:rsidRDefault="003829DB" w:rsidP="003829DB">
      <w:pPr>
        <w:autoSpaceDE w:val="0"/>
        <w:autoSpaceDN w:val="0"/>
        <w:adjustRightInd w:val="0"/>
        <w:spacing w:after="0" w:line="360" w:lineRule="auto"/>
        <w:jc w:val="both"/>
        <w:rPr>
          <w:rFonts w:ascii="Times New Roman" w:hAnsi="Times New Roman" w:cs="Times New Roman"/>
          <w:sz w:val="24"/>
          <w:szCs w:val="24"/>
        </w:rPr>
      </w:pPr>
      <w:r w:rsidRPr="003C7672">
        <w:rPr>
          <w:rFonts w:ascii="Times New Roman" w:hAnsi="Times New Roman" w:cs="Times New Roman"/>
          <w:sz w:val="24"/>
          <w:szCs w:val="24"/>
        </w:rPr>
        <w:lastRenderedPageBreak/>
        <w:t xml:space="preserve">The significant association between single malaria infections and younger age groups confirms that younger children are more vulnerable to malaria because they have not yet developed the clinical immunity that older children acquire through repeated exposure. This makes them more susceptible to infection (WHO, 2018). This finding aligns with the report from </w:t>
      </w:r>
      <w:proofErr w:type="spellStart"/>
      <w:r w:rsidRPr="003C7672">
        <w:rPr>
          <w:rFonts w:ascii="Times New Roman" w:hAnsi="Times New Roman" w:cs="Times New Roman"/>
          <w:sz w:val="24"/>
          <w:szCs w:val="24"/>
        </w:rPr>
        <w:t>Njua-Yafi</w:t>
      </w:r>
      <w:proofErr w:type="spellEnd"/>
      <w:r w:rsidRPr="003C7672">
        <w:rPr>
          <w:rFonts w:ascii="Times New Roman" w:hAnsi="Times New Roman" w:cs="Times New Roman"/>
          <w:sz w:val="24"/>
          <w:szCs w:val="24"/>
        </w:rPr>
        <w:t xml:space="preserve"> et al.</w:t>
      </w:r>
      <w:r w:rsidR="009D14E8" w:rsidRPr="003C7672">
        <w:rPr>
          <w:rFonts w:ascii="Times New Roman" w:hAnsi="Times New Roman" w:cs="Times New Roman"/>
          <w:sz w:val="24"/>
          <w:szCs w:val="24"/>
        </w:rPr>
        <w:t xml:space="preserve"> (</w:t>
      </w:r>
      <w:r w:rsidRPr="003C7672">
        <w:rPr>
          <w:rFonts w:ascii="Times New Roman" w:hAnsi="Times New Roman" w:cs="Times New Roman"/>
          <w:sz w:val="24"/>
          <w:szCs w:val="24"/>
        </w:rPr>
        <w:t>2016), which indicated that younger children experienced more malaria attacks than older children. The observed association between the high prevalence of soil-transmitted helminths (STH) and the UCPS2 primary school, where albendazole was not frequently distributed to students, suggests that school-based mass drug administration (MDA) is a crucial strategy for reducing parasite burden. Schools that skip anthelmintic distribution, such as albendazole, are likely to experience higher prevalence and intensity of STH infections. Interestingly, these results contrast with findings from a trial conducted in Vietnam, which showed that community-based interventions were more effective than school-based interventions for controlling hookworm infections (Dyer et al., 2023). However, another study conducted in Zimbabwe demonstrated that a school-based deworming program, along with prompt malaria treatment, was effective in reducing co-infections of malaria and helminths in primary school children (Midzi et al., 2011).</w:t>
      </w:r>
    </w:p>
    <w:p w14:paraId="6A39192A" w14:textId="77777777" w:rsidR="009D14E8" w:rsidRPr="003C7672" w:rsidRDefault="003829DB" w:rsidP="003829DB">
      <w:pPr>
        <w:autoSpaceDE w:val="0"/>
        <w:autoSpaceDN w:val="0"/>
        <w:adjustRightInd w:val="0"/>
        <w:spacing w:after="0" w:line="360" w:lineRule="auto"/>
        <w:jc w:val="both"/>
        <w:rPr>
          <w:rFonts w:ascii="Times New Roman" w:hAnsi="Times New Roman" w:cs="Times New Roman"/>
          <w:sz w:val="24"/>
          <w:szCs w:val="24"/>
        </w:rPr>
      </w:pPr>
      <w:r w:rsidRPr="003C7672">
        <w:rPr>
          <w:rFonts w:ascii="Times New Roman" w:hAnsi="Times New Roman" w:cs="Times New Roman"/>
          <w:sz w:val="24"/>
          <w:szCs w:val="24"/>
        </w:rPr>
        <w:t xml:space="preserve">The lack of a significant association between the demographic characteristics of study participants and malaria-soil-transmitted helminth (STH) co-infection suggests that factors such as environmental and behavioral influences may be stronger predictors of co-infection than demographic factors. This finding contrasts with previous research on malaria-STH co-infection, which identified certain demographic characteristics, such as sex and age, as significant predictors of co-infection (Afolabi et al., 2021; </w:t>
      </w:r>
      <w:proofErr w:type="spellStart"/>
      <w:r w:rsidRPr="003C7672">
        <w:rPr>
          <w:rFonts w:ascii="Times New Roman" w:hAnsi="Times New Roman" w:cs="Times New Roman"/>
          <w:sz w:val="24"/>
          <w:szCs w:val="24"/>
        </w:rPr>
        <w:t>Meñe</w:t>
      </w:r>
      <w:proofErr w:type="spellEnd"/>
      <w:r w:rsidRPr="003C7672">
        <w:rPr>
          <w:rFonts w:ascii="Times New Roman" w:hAnsi="Times New Roman" w:cs="Times New Roman"/>
          <w:sz w:val="24"/>
          <w:szCs w:val="24"/>
        </w:rPr>
        <w:t xml:space="preserve"> et al., 2023).</w:t>
      </w:r>
    </w:p>
    <w:p w14:paraId="2B87488F" w14:textId="77777777" w:rsidR="003829DB" w:rsidRPr="003C7672" w:rsidRDefault="003829DB" w:rsidP="003829DB">
      <w:pPr>
        <w:autoSpaceDE w:val="0"/>
        <w:autoSpaceDN w:val="0"/>
        <w:adjustRightInd w:val="0"/>
        <w:spacing w:after="0" w:line="360" w:lineRule="auto"/>
        <w:jc w:val="both"/>
        <w:rPr>
          <w:rFonts w:ascii="Times New Roman" w:hAnsi="Times New Roman" w:cs="Times New Roman"/>
          <w:sz w:val="24"/>
          <w:szCs w:val="24"/>
        </w:rPr>
      </w:pPr>
      <w:r w:rsidRPr="003C7672">
        <w:rPr>
          <w:rFonts w:ascii="Times New Roman" w:hAnsi="Times New Roman" w:cs="Times New Roman"/>
          <w:sz w:val="24"/>
          <w:szCs w:val="24"/>
        </w:rPr>
        <w:t xml:space="preserve">Students in the </w:t>
      </w:r>
      <w:proofErr w:type="spellStart"/>
      <w:r w:rsidRPr="003C7672">
        <w:rPr>
          <w:rFonts w:ascii="Times New Roman" w:hAnsi="Times New Roman" w:cs="Times New Roman"/>
          <w:sz w:val="24"/>
          <w:szCs w:val="24"/>
        </w:rPr>
        <w:t>Uwana</w:t>
      </w:r>
      <w:proofErr w:type="spellEnd"/>
      <w:r w:rsidRPr="003C7672">
        <w:rPr>
          <w:rFonts w:ascii="Times New Roman" w:hAnsi="Times New Roman" w:cs="Times New Roman"/>
          <w:sz w:val="24"/>
          <w:szCs w:val="24"/>
        </w:rPr>
        <w:t xml:space="preserve"> community who are missing doses of albendazole in school indicate a high prevalence of soil-transmitted helminths (STHs). A similar study conducted in Zimbabwe by Midzi et al.</w:t>
      </w:r>
      <w:r w:rsidR="009D14E8" w:rsidRPr="003C7672">
        <w:rPr>
          <w:rFonts w:ascii="Times New Roman" w:hAnsi="Times New Roman" w:cs="Times New Roman"/>
          <w:sz w:val="24"/>
          <w:szCs w:val="24"/>
        </w:rPr>
        <w:t xml:space="preserve"> (</w:t>
      </w:r>
      <w:r w:rsidRPr="003C7672">
        <w:rPr>
          <w:rFonts w:ascii="Times New Roman" w:hAnsi="Times New Roman" w:cs="Times New Roman"/>
          <w:sz w:val="24"/>
          <w:szCs w:val="24"/>
        </w:rPr>
        <w:t xml:space="preserve">2011) showed that the lack of anti-helminthic treatment between the 12-month and 33-month follow-up surveys of a school-based albendazole and praziquantel program led to a significant increase in co-infection rates of STHs and schistosomes. Specifically, the rates rose from 3.3% at the 12-month follow-up to 10.7%, which was slightly above the baseline level of 10.3%. This suggests that the discontinuation of school-based interventions may be a risk factor for ongoing malaria-STH co-infection. Records from the community health center indicate that in the </w:t>
      </w:r>
      <w:proofErr w:type="spellStart"/>
      <w:r w:rsidRPr="003C7672">
        <w:rPr>
          <w:rFonts w:ascii="Times New Roman" w:hAnsi="Times New Roman" w:cs="Times New Roman"/>
          <w:sz w:val="24"/>
          <w:szCs w:val="24"/>
        </w:rPr>
        <w:t>Uhuetiti</w:t>
      </w:r>
      <w:proofErr w:type="spellEnd"/>
      <w:r w:rsidRPr="003C7672">
        <w:rPr>
          <w:rFonts w:ascii="Times New Roman" w:hAnsi="Times New Roman" w:cs="Times New Roman"/>
          <w:sz w:val="24"/>
          <w:szCs w:val="24"/>
        </w:rPr>
        <w:t xml:space="preserve"> constituency, where UCPS2 is located, community members preferred receiving albendazole as a community-based program due to its availability at the health center in 2021, 2022, and 2023. However, the overall community-based reception of albendazole in </w:t>
      </w:r>
      <w:proofErr w:type="spellStart"/>
      <w:r w:rsidRPr="003C7672">
        <w:rPr>
          <w:rFonts w:ascii="Times New Roman" w:hAnsi="Times New Roman" w:cs="Times New Roman"/>
          <w:sz w:val="24"/>
          <w:szCs w:val="24"/>
        </w:rPr>
        <w:t>Uhuetiti</w:t>
      </w:r>
      <w:proofErr w:type="spellEnd"/>
      <w:r w:rsidRPr="003C7672">
        <w:rPr>
          <w:rFonts w:ascii="Times New Roman" w:hAnsi="Times New Roman" w:cs="Times New Roman"/>
          <w:sz w:val="24"/>
          <w:szCs w:val="24"/>
        </w:rPr>
        <w:t xml:space="preserve"> was poor. Major </w:t>
      </w:r>
      <w:r w:rsidRPr="003C7672">
        <w:rPr>
          <w:rFonts w:ascii="Times New Roman" w:hAnsi="Times New Roman" w:cs="Times New Roman"/>
          <w:sz w:val="24"/>
          <w:szCs w:val="24"/>
        </w:rPr>
        <w:lastRenderedPageBreak/>
        <w:t>factors contributing to the inadequate uptake of mass drug administration (MDA) in community-based interventions include a lack of education about albendazole and widespread concerns regarding the adverse effects of MDA medications (Forson et al</w:t>
      </w:r>
      <w:r w:rsidR="009D14E8" w:rsidRPr="003C7672">
        <w:rPr>
          <w:rFonts w:ascii="Times New Roman" w:hAnsi="Times New Roman" w:cs="Times New Roman"/>
          <w:sz w:val="24"/>
          <w:szCs w:val="24"/>
        </w:rPr>
        <w:t>., 2024; Sangare et al., 2025).</w:t>
      </w:r>
    </w:p>
    <w:p w14:paraId="7FF769CA" w14:textId="77777777" w:rsidR="009D14E8" w:rsidRPr="003C7672" w:rsidRDefault="009D14E8" w:rsidP="003829DB">
      <w:pPr>
        <w:autoSpaceDE w:val="0"/>
        <w:autoSpaceDN w:val="0"/>
        <w:adjustRightInd w:val="0"/>
        <w:spacing w:after="0" w:line="360" w:lineRule="auto"/>
        <w:jc w:val="both"/>
        <w:rPr>
          <w:rFonts w:ascii="Times New Roman" w:hAnsi="Times New Roman" w:cs="Times New Roman"/>
          <w:sz w:val="24"/>
          <w:szCs w:val="24"/>
        </w:rPr>
      </w:pPr>
    </w:p>
    <w:p w14:paraId="51A27466" w14:textId="43CE3525" w:rsidR="003829DB" w:rsidRPr="003C7672" w:rsidRDefault="00D00496" w:rsidP="003829DB">
      <w:pPr>
        <w:autoSpaceDE w:val="0"/>
        <w:autoSpaceDN w:val="0"/>
        <w:adjustRightInd w:val="0"/>
        <w:spacing w:after="0" w:line="360" w:lineRule="auto"/>
        <w:jc w:val="both"/>
        <w:rPr>
          <w:rFonts w:ascii="Times New Roman" w:hAnsi="Times New Roman" w:cs="Times New Roman"/>
          <w:sz w:val="24"/>
          <w:szCs w:val="24"/>
        </w:rPr>
      </w:pPr>
      <w:proofErr w:type="gramStart"/>
      <w:r w:rsidRPr="003C7672">
        <w:rPr>
          <w:rFonts w:ascii="Times New Roman" w:hAnsi="Times New Roman" w:cs="Times New Roman"/>
          <w:sz w:val="24"/>
          <w:szCs w:val="24"/>
        </w:rPr>
        <w:t>C</w:t>
      </w:r>
      <w:r w:rsidR="003829DB" w:rsidRPr="003C7672">
        <w:rPr>
          <w:rFonts w:ascii="Times New Roman" w:hAnsi="Times New Roman" w:cs="Times New Roman"/>
          <w:sz w:val="24"/>
          <w:szCs w:val="24"/>
        </w:rPr>
        <w:t>onclusion</w:t>
      </w:r>
      <w:r w:rsidRPr="003C7672">
        <w:rPr>
          <w:rFonts w:ascii="Times New Roman" w:hAnsi="Times New Roman" w:cs="Times New Roman"/>
          <w:sz w:val="24"/>
          <w:szCs w:val="24"/>
        </w:rPr>
        <w:t xml:space="preserve"> :</w:t>
      </w:r>
      <w:proofErr w:type="gramEnd"/>
      <w:r w:rsidRPr="003C7672">
        <w:rPr>
          <w:rFonts w:ascii="Times New Roman" w:hAnsi="Times New Roman" w:cs="Times New Roman"/>
          <w:sz w:val="24"/>
          <w:szCs w:val="24"/>
        </w:rPr>
        <w:t xml:space="preserve"> </w:t>
      </w:r>
      <w:r w:rsidR="003829DB" w:rsidRPr="003C7672">
        <w:rPr>
          <w:rFonts w:ascii="Times New Roman" w:hAnsi="Times New Roman" w:cs="Times New Roman"/>
          <w:sz w:val="24"/>
          <w:szCs w:val="24"/>
        </w:rPr>
        <w:t xml:space="preserve"> the high prevalence of malaria and soil-transmitted helminth coinfection in the Unwana community is largely driven by a significant occurrence of soil-transmitted helminths, which is linked to missing albendazole treatment in schools. Therefore, implementing a school-based mass drug administration (MDA) program is more effective as an intervention than a community-based ap</w:t>
      </w:r>
      <w:r w:rsidR="00FE3E66" w:rsidRPr="003C7672">
        <w:rPr>
          <w:rFonts w:ascii="Times New Roman" w:hAnsi="Times New Roman" w:cs="Times New Roman"/>
          <w:sz w:val="24"/>
          <w:szCs w:val="24"/>
        </w:rPr>
        <w:t>proach in the Unwana community.</w:t>
      </w:r>
    </w:p>
    <w:p w14:paraId="2BDAE988" w14:textId="77777777" w:rsidR="001572D1" w:rsidRPr="003C7672" w:rsidRDefault="001572D1" w:rsidP="001572D1">
      <w:pPr>
        <w:jc w:val="both"/>
        <w:outlineLvl w:val="0"/>
        <w:rPr>
          <w:rFonts w:ascii="Arial" w:hAnsi="Arial" w:cs="Arial"/>
        </w:rPr>
      </w:pPr>
      <w:r w:rsidRPr="003C7672">
        <w:rPr>
          <w:rFonts w:ascii="Arial" w:hAnsi="Arial" w:cs="Arial"/>
          <w:b/>
          <w:bCs/>
        </w:rPr>
        <w:t>COMPETING INTERESTS DISCLAIMER:</w:t>
      </w:r>
    </w:p>
    <w:p w14:paraId="083DCF9D" w14:textId="77777777" w:rsidR="001572D1" w:rsidRPr="003C7672" w:rsidRDefault="001572D1" w:rsidP="001572D1">
      <w:r w:rsidRPr="003C7672">
        <w:t>Authors have declared that they have no known competing financial interests OR non-financial interests OR personal relationships that could have appeared to influence the work reported in this paper.</w:t>
      </w:r>
    </w:p>
    <w:p w14:paraId="3FDA5EE0" w14:textId="77777777" w:rsidR="00F91DE1" w:rsidRPr="003C7672" w:rsidRDefault="00F91DE1" w:rsidP="006E1609">
      <w:pPr>
        <w:spacing w:after="0" w:line="360" w:lineRule="auto"/>
        <w:jc w:val="both"/>
        <w:rPr>
          <w:rFonts w:ascii="Times New Roman" w:hAnsi="Times New Roman" w:cs="Times New Roman"/>
          <w:color w:val="1C1C1C"/>
          <w:sz w:val="24"/>
          <w:szCs w:val="24"/>
          <w:shd w:val="clear" w:color="auto" w:fill="FFFFFF"/>
        </w:rPr>
      </w:pPr>
    </w:p>
    <w:p w14:paraId="377682E7" w14:textId="77777777" w:rsidR="00FE3E66" w:rsidRPr="003C7672" w:rsidRDefault="00FE3E66" w:rsidP="006E1609">
      <w:pPr>
        <w:spacing w:after="0" w:line="360" w:lineRule="auto"/>
        <w:jc w:val="both"/>
        <w:rPr>
          <w:rFonts w:ascii="Times New Roman" w:hAnsi="Times New Roman" w:cs="Times New Roman"/>
          <w:sz w:val="24"/>
          <w:szCs w:val="24"/>
        </w:rPr>
      </w:pPr>
    </w:p>
    <w:p w14:paraId="5888B55A" w14:textId="77777777" w:rsidR="00E9057A" w:rsidRPr="003C7672" w:rsidRDefault="00187C93" w:rsidP="006E1609">
      <w:pPr>
        <w:spacing w:after="0" w:line="360" w:lineRule="auto"/>
        <w:jc w:val="both"/>
        <w:rPr>
          <w:rFonts w:ascii="Times New Roman" w:hAnsi="Times New Roman" w:cs="Times New Roman"/>
          <w:sz w:val="24"/>
          <w:szCs w:val="24"/>
        </w:rPr>
      </w:pPr>
      <w:r w:rsidRPr="003C7672">
        <w:rPr>
          <w:rFonts w:ascii="Times New Roman" w:hAnsi="Times New Roman" w:cs="Times New Roman"/>
          <w:b/>
          <w:sz w:val="24"/>
          <w:szCs w:val="24"/>
        </w:rPr>
        <w:t>REFERENCES</w:t>
      </w:r>
    </w:p>
    <w:p w14:paraId="0FA22AF2" w14:textId="77777777" w:rsidR="00187C93" w:rsidRPr="003C7672" w:rsidRDefault="00187C93" w:rsidP="00187C93">
      <w:pPr>
        <w:pStyle w:val="ListParagraph"/>
        <w:numPr>
          <w:ilvl w:val="0"/>
          <w:numId w:val="2"/>
        </w:numPr>
        <w:jc w:val="both"/>
        <w:rPr>
          <w:rFonts w:ascii="Times New Roman" w:hAnsi="Times New Roman" w:cs="Times New Roman"/>
          <w:sz w:val="24"/>
          <w:szCs w:val="24"/>
        </w:rPr>
      </w:pPr>
      <w:r w:rsidRPr="003C7672">
        <w:rPr>
          <w:rFonts w:ascii="Times New Roman" w:hAnsi="Times New Roman" w:cs="Times New Roman"/>
          <w:sz w:val="24"/>
          <w:szCs w:val="24"/>
        </w:rPr>
        <w:t xml:space="preserve">MMV. (2025). Malaria facts &amp; statistics 2025. Medicines for Malaria Venture. </w:t>
      </w:r>
      <w:hyperlink r:id="rId14" w:history="1">
        <w:r w:rsidRPr="003C7672">
          <w:rPr>
            <w:rStyle w:val="Hyperlink"/>
            <w:rFonts w:ascii="Times New Roman" w:hAnsi="Times New Roman" w:cs="Times New Roman"/>
            <w:sz w:val="24"/>
            <w:szCs w:val="24"/>
          </w:rPr>
          <w:t>https://www.mmv.org/malaria/about-malaria/malaria-facts-statistics-2025</w:t>
        </w:r>
      </w:hyperlink>
    </w:p>
    <w:p w14:paraId="5B5632F2" w14:textId="77777777" w:rsidR="00187C93" w:rsidRPr="003C7672" w:rsidRDefault="00187C93" w:rsidP="00187C93">
      <w:pPr>
        <w:pStyle w:val="ListParagraph"/>
        <w:numPr>
          <w:ilvl w:val="0"/>
          <w:numId w:val="2"/>
        </w:numPr>
        <w:jc w:val="both"/>
        <w:rPr>
          <w:rFonts w:ascii="Times New Roman" w:hAnsi="Times New Roman" w:cs="Times New Roman"/>
          <w:sz w:val="24"/>
          <w:szCs w:val="24"/>
        </w:rPr>
      </w:pPr>
      <w:r w:rsidRPr="003C7672">
        <w:rPr>
          <w:rFonts w:ascii="Times New Roman" w:hAnsi="Times New Roman" w:cs="Times New Roman"/>
          <w:sz w:val="24"/>
          <w:szCs w:val="24"/>
        </w:rPr>
        <w:t>BEACON. (2025). BEACON. Malaria, Nigeria. https://beaconbio.org/en/report/?reportid=49d5fef2-0098-460d-971a-3079b6ff5560&amp;eventid=6345032e-d68c-4068-80b5-b3aed91f64eb</w:t>
      </w:r>
    </w:p>
    <w:p w14:paraId="14ED4E20" w14:textId="77777777" w:rsidR="00187C93" w:rsidRPr="003C7672" w:rsidRDefault="00187C93" w:rsidP="00187C93">
      <w:pPr>
        <w:pStyle w:val="ListParagraph"/>
        <w:numPr>
          <w:ilvl w:val="0"/>
          <w:numId w:val="2"/>
        </w:numPr>
        <w:jc w:val="both"/>
        <w:rPr>
          <w:rFonts w:ascii="Times New Roman" w:hAnsi="Times New Roman" w:cs="Times New Roman"/>
          <w:sz w:val="24"/>
          <w:szCs w:val="24"/>
        </w:rPr>
      </w:pPr>
      <w:r w:rsidRPr="003C7672">
        <w:rPr>
          <w:rFonts w:ascii="Times New Roman" w:hAnsi="Times New Roman" w:cs="Times New Roman"/>
          <w:sz w:val="24"/>
          <w:szCs w:val="24"/>
        </w:rPr>
        <w:t xml:space="preserve">Oyeyemi, O. T., &amp; </w:t>
      </w:r>
      <w:proofErr w:type="spellStart"/>
      <w:r w:rsidRPr="003C7672">
        <w:rPr>
          <w:rFonts w:ascii="Times New Roman" w:hAnsi="Times New Roman" w:cs="Times New Roman"/>
          <w:sz w:val="24"/>
          <w:szCs w:val="24"/>
        </w:rPr>
        <w:t>Okunlola</w:t>
      </w:r>
      <w:proofErr w:type="spellEnd"/>
      <w:r w:rsidRPr="003C7672">
        <w:rPr>
          <w:rFonts w:ascii="Times New Roman" w:hAnsi="Times New Roman" w:cs="Times New Roman"/>
          <w:sz w:val="24"/>
          <w:szCs w:val="24"/>
        </w:rPr>
        <w:t xml:space="preserve">, O. A. (2023). Soil-transmitted helminthiasis (STH) endemicity and performance of preventive chemotherapy intervention </w:t>
      </w:r>
      <w:proofErr w:type="spellStart"/>
      <w:r w:rsidRPr="003C7672">
        <w:rPr>
          <w:rFonts w:ascii="Times New Roman" w:hAnsi="Times New Roman" w:cs="Times New Roman"/>
          <w:sz w:val="24"/>
          <w:szCs w:val="24"/>
        </w:rPr>
        <w:t>programme</w:t>
      </w:r>
      <w:proofErr w:type="spellEnd"/>
      <w:r w:rsidRPr="003C7672">
        <w:rPr>
          <w:rFonts w:ascii="Times New Roman" w:hAnsi="Times New Roman" w:cs="Times New Roman"/>
          <w:sz w:val="24"/>
          <w:szCs w:val="24"/>
        </w:rPr>
        <w:t xml:space="preserve"> in Nigeria (in year 2021). </w:t>
      </w:r>
      <w:r w:rsidRPr="003C7672">
        <w:rPr>
          <w:rFonts w:ascii="Times New Roman" w:hAnsi="Times New Roman" w:cs="Times New Roman"/>
          <w:i/>
          <w:sz w:val="24"/>
          <w:szCs w:val="24"/>
        </w:rPr>
        <w:t>Scientific Reports</w:t>
      </w:r>
      <w:r w:rsidRPr="003C7672">
        <w:rPr>
          <w:rFonts w:ascii="Times New Roman" w:hAnsi="Times New Roman" w:cs="Times New Roman"/>
          <w:sz w:val="24"/>
          <w:szCs w:val="24"/>
        </w:rPr>
        <w:t xml:space="preserve">, 13(1), 10155. </w:t>
      </w:r>
      <w:hyperlink r:id="rId15" w:history="1">
        <w:r w:rsidRPr="003C7672">
          <w:rPr>
            <w:rStyle w:val="Hyperlink"/>
            <w:rFonts w:ascii="Times New Roman" w:hAnsi="Times New Roman" w:cs="Times New Roman"/>
            <w:sz w:val="24"/>
            <w:szCs w:val="24"/>
          </w:rPr>
          <w:t>https://doi.org/10.1038/s41598-023-37402-8</w:t>
        </w:r>
      </w:hyperlink>
    </w:p>
    <w:p w14:paraId="6EDADDCA" w14:textId="77777777" w:rsidR="00187C93" w:rsidRPr="003C7672" w:rsidRDefault="00187C93" w:rsidP="00187C93">
      <w:pPr>
        <w:pStyle w:val="ListParagraph"/>
        <w:numPr>
          <w:ilvl w:val="0"/>
          <w:numId w:val="2"/>
        </w:numPr>
        <w:jc w:val="both"/>
        <w:rPr>
          <w:rFonts w:ascii="Times New Roman" w:hAnsi="Times New Roman" w:cs="Times New Roman"/>
          <w:sz w:val="24"/>
          <w:szCs w:val="24"/>
        </w:rPr>
      </w:pPr>
      <w:r w:rsidRPr="003C7672">
        <w:rPr>
          <w:rFonts w:ascii="Times New Roman" w:hAnsi="Times New Roman" w:cs="Times New Roman"/>
          <w:sz w:val="24"/>
          <w:szCs w:val="24"/>
        </w:rPr>
        <w:t xml:space="preserve">Sangare, M., Coulibaly, Y. I., Diabate, A. F., Dolo, H., </w:t>
      </w:r>
      <w:proofErr w:type="spellStart"/>
      <w:r w:rsidRPr="003C7672">
        <w:rPr>
          <w:rFonts w:ascii="Times New Roman" w:hAnsi="Times New Roman" w:cs="Times New Roman"/>
          <w:sz w:val="24"/>
          <w:szCs w:val="24"/>
        </w:rPr>
        <w:t>Koureichi</w:t>
      </w:r>
      <w:proofErr w:type="spellEnd"/>
      <w:r w:rsidRPr="003C7672">
        <w:rPr>
          <w:rFonts w:ascii="Times New Roman" w:hAnsi="Times New Roman" w:cs="Times New Roman"/>
          <w:sz w:val="24"/>
          <w:szCs w:val="24"/>
        </w:rPr>
        <w:t xml:space="preserve">, M. M., Diarra, D., Duguay, C., Stephens, M., Diakité, M., Kulkarni, M. A., </w:t>
      </w:r>
      <w:proofErr w:type="spellStart"/>
      <w:r w:rsidRPr="003C7672">
        <w:rPr>
          <w:rFonts w:ascii="Times New Roman" w:hAnsi="Times New Roman" w:cs="Times New Roman"/>
          <w:sz w:val="24"/>
          <w:szCs w:val="24"/>
        </w:rPr>
        <w:t>Nutman</w:t>
      </w:r>
      <w:proofErr w:type="spellEnd"/>
      <w:r w:rsidRPr="003C7672">
        <w:rPr>
          <w:rFonts w:ascii="Times New Roman" w:hAnsi="Times New Roman" w:cs="Times New Roman"/>
          <w:sz w:val="24"/>
          <w:szCs w:val="24"/>
        </w:rPr>
        <w:t xml:space="preserve">, T. B., &amp; </w:t>
      </w:r>
      <w:proofErr w:type="spellStart"/>
      <w:r w:rsidRPr="003C7672">
        <w:rPr>
          <w:rFonts w:ascii="Times New Roman" w:hAnsi="Times New Roman" w:cs="Times New Roman"/>
          <w:sz w:val="24"/>
          <w:szCs w:val="24"/>
        </w:rPr>
        <w:t>Krentel</w:t>
      </w:r>
      <w:proofErr w:type="spellEnd"/>
      <w:r w:rsidRPr="003C7672">
        <w:rPr>
          <w:rFonts w:ascii="Times New Roman" w:hAnsi="Times New Roman" w:cs="Times New Roman"/>
          <w:sz w:val="24"/>
          <w:szCs w:val="24"/>
        </w:rPr>
        <w:t xml:space="preserve">, A. (2025). Factors associated with low coverage in mass drug administration for schistosomiasis in mobile populations in Mali: A cross-sectional study. </w:t>
      </w:r>
      <w:r w:rsidRPr="003C7672">
        <w:rPr>
          <w:rFonts w:ascii="Times New Roman" w:hAnsi="Times New Roman" w:cs="Times New Roman"/>
          <w:i/>
          <w:sz w:val="24"/>
          <w:szCs w:val="24"/>
        </w:rPr>
        <w:t>BMC Infectious Diseases</w:t>
      </w:r>
      <w:r w:rsidRPr="003C7672">
        <w:rPr>
          <w:rFonts w:ascii="Times New Roman" w:hAnsi="Times New Roman" w:cs="Times New Roman"/>
          <w:sz w:val="24"/>
          <w:szCs w:val="24"/>
        </w:rPr>
        <w:t>, 25, 1240. https://doi.org/10.1186/s12879-025-11626-7</w:t>
      </w:r>
    </w:p>
    <w:p w14:paraId="5D7B891D" w14:textId="77777777" w:rsidR="00187C93" w:rsidRPr="003C7672" w:rsidRDefault="00187C93" w:rsidP="00187C93">
      <w:pPr>
        <w:pStyle w:val="ListParagraph"/>
        <w:numPr>
          <w:ilvl w:val="0"/>
          <w:numId w:val="2"/>
        </w:numPr>
        <w:jc w:val="both"/>
        <w:rPr>
          <w:rFonts w:ascii="Times New Roman" w:hAnsi="Times New Roman" w:cs="Times New Roman"/>
          <w:sz w:val="24"/>
          <w:szCs w:val="24"/>
        </w:rPr>
      </w:pPr>
      <w:r w:rsidRPr="003C7672">
        <w:rPr>
          <w:rFonts w:ascii="Times New Roman" w:hAnsi="Times New Roman" w:cs="Times New Roman"/>
          <w:sz w:val="24"/>
          <w:szCs w:val="24"/>
          <w:lang w:val="de-DE"/>
        </w:rPr>
        <w:t xml:space="preserve">Usang, A. U., Imalele, E. E., Effanga, E. O., Ukoha, U. K., &amp; Eleng, I. E. (2025). </w:t>
      </w:r>
      <w:r w:rsidRPr="003C7672">
        <w:rPr>
          <w:rFonts w:ascii="Times New Roman" w:hAnsi="Times New Roman" w:cs="Times New Roman"/>
          <w:sz w:val="24"/>
          <w:szCs w:val="24"/>
        </w:rPr>
        <w:t xml:space="preserve">Soil-transmitted helminth infections and nutritional indices among children (5-9 years) and adolescents (10-12 years) in Calabar, Nigeria. </w:t>
      </w:r>
      <w:r w:rsidRPr="003C7672">
        <w:rPr>
          <w:rFonts w:ascii="Times New Roman" w:hAnsi="Times New Roman" w:cs="Times New Roman"/>
          <w:i/>
          <w:sz w:val="24"/>
          <w:szCs w:val="24"/>
        </w:rPr>
        <w:t>BMC Public Health</w:t>
      </w:r>
      <w:r w:rsidRPr="003C7672">
        <w:rPr>
          <w:rFonts w:ascii="Times New Roman" w:hAnsi="Times New Roman" w:cs="Times New Roman"/>
          <w:sz w:val="24"/>
          <w:szCs w:val="24"/>
        </w:rPr>
        <w:t>, 25(1), 1. https://doi.org/10.1186/s12889-024-21210-4</w:t>
      </w:r>
    </w:p>
    <w:p w14:paraId="67480BC1" w14:textId="77777777" w:rsidR="00187C93" w:rsidRPr="003C7672" w:rsidRDefault="00187C93" w:rsidP="00187C93">
      <w:pPr>
        <w:pStyle w:val="ListParagraph"/>
        <w:numPr>
          <w:ilvl w:val="0"/>
          <w:numId w:val="2"/>
        </w:numPr>
        <w:jc w:val="both"/>
        <w:rPr>
          <w:rFonts w:ascii="Times New Roman" w:hAnsi="Times New Roman" w:cs="Times New Roman"/>
          <w:sz w:val="24"/>
          <w:szCs w:val="24"/>
        </w:rPr>
      </w:pPr>
      <w:proofErr w:type="spellStart"/>
      <w:r w:rsidRPr="003C7672">
        <w:rPr>
          <w:rFonts w:ascii="Times New Roman" w:hAnsi="Times New Roman" w:cs="Times New Roman"/>
          <w:sz w:val="24"/>
          <w:szCs w:val="24"/>
        </w:rPr>
        <w:t>Eshofonie</w:t>
      </w:r>
      <w:proofErr w:type="spellEnd"/>
      <w:r w:rsidRPr="003C7672">
        <w:rPr>
          <w:rFonts w:ascii="Times New Roman" w:hAnsi="Times New Roman" w:cs="Times New Roman"/>
          <w:sz w:val="24"/>
          <w:szCs w:val="24"/>
        </w:rPr>
        <w:t xml:space="preserve">, F., Johnson, O., &amp; </w:t>
      </w:r>
      <w:proofErr w:type="spellStart"/>
      <w:r w:rsidRPr="003C7672">
        <w:rPr>
          <w:rFonts w:ascii="Times New Roman" w:hAnsi="Times New Roman" w:cs="Times New Roman"/>
          <w:sz w:val="24"/>
          <w:szCs w:val="24"/>
        </w:rPr>
        <w:t>Gayawan</w:t>
      </w:r>
      <w:proofErr w:type="spellEnd"/>
      <w:r w:rsidRPr="003C7672">
        <w:rPr>
          <w:rFonts w:ascii="Times New Roman" w:hAnsi="Times New Roman" w:cs="Times New Roman"/>
          <w:sz w:val="24"/>
          <w:szCs w:val="24"/>
        </w:rPr>
        <w:t xml:space="preserve">, E. (2025). Co-morbidity of malaria and soil-transmitted helminths in Nigeria: A joint Bayesian modelling approach. </w:t>
      </w:r>
      <w:r w:rsidRPr="003C7672">
        <w:rPr>
          <w:rFonts w:ascii="Times New Roman" w:hAnsi="Times New Roman" w:cs="Times New Roman"/>
          <w:i/>
          <w:sz w:val="24"/>
          <w:szCs w:val="24"/>
        </w:rPr>
        <w:t>Infectious Diseases of Poverty</w:t>
      </w:r>
      <w:r w:rsidRPr="003C7672">
        <w:rPr>
          <w:rFonts w:ascii="Times New Roman" w:hAnsi="Times New Roman" w:cs="Times New Roman"/>
          <w:sz w:val="24"/>
          <w:szCs w:val="24"/>
        </w:rPr>
        <w:t>, 14(1), 28. https://doi.org/10.1186/s40249-025-01276-x</w:t>
      </w:r>
    </w:p>
    <w:p w14:paraId="51F7CC5F" w14:textId="77777777" w:rsidR="00187C93" w:rsidRPr="003C7672" w:rsidRDefault="00187C93" w:rsidP="00187C93">
      <w:pPr>
        <w:pStyle w:val="ListParagraph"/>
        <w:numPr>
          <w:ilvl w:val="0"/>
          <w:numId w:val="2"/>
        </w:numPr>
        <w:jc w:val="both"/>
        <w:rPr>
          <w:rFonts w:ascii="Times New Roman" w:hAnsi="Times New Roman" w:cs="Times New Roman"/>
          <w:sz w:val="24"/>
          <w:szCs w:val="24"/>
        </w:rPr>
      </w:pPr>
      <w:r w:rsidRPr="003C7672">
        <w:rPr>
          <w:rFonts w:ascii="Times New Roman" w:hAnsi="Times New Roman" w:cs="Times New Roman"/>
          <w:sz w:val="24"/>
          <w:szCs w:val="24"/>
        </w:rPr>
        <w:t xml:space="preserve">Brooker, S., </w:t>
      </w:r>
      <w:proofErr w:type="spellStart"/>
      <w:r w:rsidRPr="003C7672">
        <w:rPr>
          <w:rFonts w:ascii="Times New Roman" w:hAnsi="Times New Roman" w:cs="Times New Roman"/>
          <w:sz w:val="24"/>
          <w:szCs w:val="24"/>
        </w:rPr>
        <w:t>Akhwale</w:t>
      </w:r>
      <w:proofErr w:type="spellEnd"/>
      <w:r w:rsidRPr="003C7672">
        <w:rPr>
          <w:rFonts w:ascii="Times New Roman" w:hAnsi="Times New Roman" w:cs="Times New Roman"/>
          <w:sz w:val="24"/>
          <w:szCs w:val="24"/>
        </w:rPr>
        <w:t xml:space="preserve">, W., Pullan, R., </w:t>
      </w:r>
      <w:proofErr w:type="spellStart"/>
      <w:r w:rsidRPr="003C7672">
        <w:rPr>
          <w:rFonts w:ascii="Times New Roman" w:hAnsi="Times New Roman" w:cs="Times New Roman"/>
          <w:sz w:val="24"/>
          <w:szCs w:val="24"/>
        </w:rPr>
        <w:t>Estambale</w:t>
      </w:r>
      <w:proofErr w:type="spellEnd"/>
      <w:r w:rsidRPr="003C7672">
        <w:rPr>
          <w:rFonts w:ascii="Times New Roman" w:hAnsi="Times New Roman" w:cs="Times New Roman"/>
          <w:sz w:val="24"/>
          <w:szCs w:val="24"/>
        </w:rPr>
        <w:t xml:space="preserve">, B., Clarke, S. E., Snow, R. W., &amp; Hotez, P. J. (2007). Epidemiology of Plasmodium-helminth co-infection in Africa: populations at risk, potential impact on anemia and prospects for combining control. </w:t>
      </w:r>
      <w:r w:rsidRPr="003C7672">
        <w:rPr>
          <w:rFonts w:ascii="Times New Roman" w:hAnsi="Times New Roman" w:cs="Times New Roman"/>
          <w:i/>
          <w:sz w:val="24"/>
          <w:szCs w:val="24"/>
        </w:rPr>
        <w:t xml:space="preserve">The American </w:t>
      </w:r>
      <w:r w:rsidRPr="003C7672">
        <w:rPr>
          <w:rFonts w:ascii="Times New Roman" w:hAnsi="Times New Roman" w:cs="Times New Roman"/>
          <w:i/>
          <w:sz w:val="24"/>
          <w:szCs w:val="24"/>
        </w:rPr>
        <w:lastRenderedPageBreak/>
        <w:t>Journal of Tropical Medicine and Hygiene</w:t>
      </w:r>
      <w:r w:rsidRPr="003C7672">
        <w:rPr>
          <w:rFonts w:ascii="Times New Roman" w:hAnsi="Times New Roman" w:cs="Times New Roman"/>
          <w:sz w:val="24"/>
          <w:szCs w:val="24"/>
        </w:rPr>
        <w:t>, 77(6 Suppl), 88–98. https://pmc.ncbi.nlm.nih.gov/articles/PMC2637949/</w:t>
      </w:r>
    </w:p>
    <w:p w14:paraId="2A682983" w14:textId="77777777" w:rsidR="00187C93" w:rsidRPr="003C7672" w:rsidRDefault="00187C93" w:rsidP="00187C93">
      <w:pPr>
        <w:pStyle w:val="ListParagraph"/>
        <w:numPr>
          <w:ilvl w:val="0"/>
          <w:numId w:val="2"/>
        </w:numPr>
        <w:jc w:val="both"/>
        <w:rPr>
          <w:rFonts w:ascii="Times New Roman" w:hAnsi="Times New Roman" w:cs="Times New Roman"/>
          <w:sz w:val="24"/>
          <w:szCs w:val="24"/>
        </w:rPr>
      </w:pPr>
      <w:proofErr w:type="spellStart"/>
      <w:r w:rsidRPr="003C7672">
        <w:rPr>
          <w:rFonts w:ascii="Times New Roman" w:hAnsi="Times New Roman" w:cs="Times New Roman"/>
          <w:sz w:val="24"/>
          <w:szCs w:val="24"/>
        </w:rPr>
        <w:t>Mogaji</w:t>
      </w:r>
      <w:proofErr w:type="spellEnd"/>
      <w:r w:rsidRPr="003C7672">
        <w:rPr>
          <w:rFonts w:ascii="Times New Roman" w:hAnsi="Times New Roman" w:cs="Times New Roman"/>
          <w:sz w:val="24"/>
          <w:szCs w:val="24"/>
        </w:rPr>
        <w:t xml:space="preserve">, H. O., Okoh, H. I., Lawal, A. M., Ojo, K. H., Marcus, A. J., Aaron, N. O., Adeleye, D. R., </w:t>
      </w:r>
      <w:proofErr w:type="spellStart"/>
      <w:r w:rsidRPr="003C7672">
        <w:rPr>
          <w:rFonts w:ascii="Times New Roman" w:hAnsi="Times New Roman" w:cs="Times New Roman"/>
          <w:sz w:val="24"/>
          <w:szCs w:val="24"/>
        </w:rPr>
        <w:t>Olamiju</w:t>
      </w:r>
      <w:proofErr w:type="spellEnd"/>
      <w:r w:rsidRPr="003C7672">
        <w:rPr>
          <w:rFonts w:ascii="Times New Roman" w:hAnsi="Times New Roman" w:cs="Times New Roman"/>
          <w:sz w:val="24"/>
          <w:szCs w:val="24"/>
        </w:rPr>
        <w:t xml:space="preserve">, F. O., &amp; Ekpo, U. F. (2023). A Post-Lockdown Assessment of Albendazole Treatment Coverage in Mass Drug Administration Campaigns Implemented Before and During COVID-19 Pandemic in Ekiti, Southwest Nigeria. </w:t>
      </w:r>
      <w:r w:rsidRPr="003C7672">
        <w:rPr>
          <w:rFonts w:ascii="Times New Roman" w:hAnsi="Times New Roman" w:cs="Times New Roman"/>
          <w:i/>
          <w:sz w:val="24"/>
          <w:szCs w:val="24"/>
        </w:rPr>
        <w:t>International Journal of Public Health</w:t>
      </w:r>
      <w:r w:rsidRPr="003C7672">
        <w:rPr>
          <w:rFonts w:ascii="Times New Roman" w:hAnsi="Times New Roman" w:cs="Times New Roman"/>
          <w:sz w:val="24"/>
          <w:szCs w:val="24"/>
        </w:rPr>
        <w:t>, 68, 1605510. https://doi.org/10.3389/ijph.2023.1605510</w:t>
      </w:r>
    </w:p>
    <w:p w14:paraId="790D47A0" w14:textId="77777777" w:rsidR="00187C93" w:rsidRPr="003C7672" w:rsidRDefault="00187C93" w:rsidP="00187C93">
      <w:pPr>
        <w:pStyle w:val="ListParagraph"/>
        <w:numPr>
          <w:ilvl w:val="0"/>
          <w:numId w:val="2"/>
        </w:numPr>
        <w:jc w:val="both"/>
        <w:rPr>
          <w:rFonts w:ascii="Times New Roman" w:hAnsi="Times New Roman" w:cs="Times New Roman"/>
          <w:sz w:val="24"/>
          <w:szCs w:val="24"/>
        </w:rPr>
      </w:pPr>
      <w:r w:rsidRPr="003C7672">
        <w:rPr>
          <w:rFonts w:ascii="Times New Roman" w:hAnsi="Times New Roman" w:cs="Times New Roman"/>
          <w:sz w:val="24"/>
          <w:szCs w:val="24"/>
        </w:rPr>
        <w:t xml:space="preserve">Anderson, R. M., Truscott, J. E., Pullan, R. L., Brooker, S. J., &amp; Hollingsworth, T. D. (2013). How Effective Is School-Based Deworming for the Community-Wide Control of Soil-Transmitted Helminths? </w:t>
      </w:r>
      <w:proofErr w:type="spellStart"/>
      <w:r w:rsidRPr="003C7672">
        <w:rPr>
          <w:rFonts w:ascii="Times New Roman" w:hAnsi="Times New Roman" w:cs="Times New Roman"/>
          <w:i/>
          <w:sz w:val="24"/>
          <w:szCs w:val="24"/>
        </w:rPr>
        <w:t>PLoS</w:t>
      </w:r>
      <w:proofErr w:type="spellEnd"/>
      <w:r w:rsidRPr="003C7672">
        <w:rPr>
          <w:rFonts w:ascii="Times New Roman" w:hAnsi="Times New Roman" w:cs="Times New Roman"/>
          <w:i/>
          <w:sz w:val="24"/>
          <w:szCs w:val="24"/>
        </w:rPr>
        <w:t xml:space="preserve"> Neglected Tropical Diseases</w:t>
      </w:r>
      <w:r w:rsidRPr="003C7672">
        <w:rPr>
          <w:rFonts w:ascii="Times New Roman" w:hAnsi="Times New Roman" w:cs="Times New Roman"/>
          <w:sz w:val="24"/>
          <w:szCs w:val="24"/>
        </w:rPr>
        <w:t xml:space="preserve">, 7(2), e2027. </w:t>
      </w:r>
      <w:hyperlink r:id="rId16" w:history="1">
        <w:r w:rsidRPr="003C7672">
          <w:rPr>
            <w:rStyle w:val="Hyperlink"/>
            <w:rFonts w:ascii="Times New Roman" w:hAnsi="Times New Roman" w:cs="Times New Roman"/>
            <w:sz w:val="24"/>
            <w:szCs w:val="24"/>
          </w:rPr>
          <w:t>https://doi.org/10.1371/journal.pntd.0002027</w:t>
        </w:r>
      </w:hyperlink>
    </w:p>
    <w:p w14:paraId="0D81B871" w14:textId="77777777" w:rsidR="00187C93" w:rsidRPr="003C7672" w:rsidRDefault="00187C93" w:rsidP="00187C93">
      <w:pPr>
        <w:pStyle w:val="ListParagraph"/>
        <w:numPr>
          <w:ilvl w:val="0"/>
          <w:numId w:val="2"/>
        </w:numPr>
        <w:spacing w:after="0" w:line="240" w:lineRule="auto"/>
        <w:ind w:left="714" w:hanging="357"/>
        <w:jc w:val="both"/>
        <w:rPr>
          <w:rFonts w:ascii="Times New Roman" w:hAnsi="Times New Roman" w:cs="Times New Roman"/>
          <w:sz w:val="24"/>
          <w:szCs w:val="24"/>
        </w:rPr>
      </w:pPr>
      <w:r w:rsidRPr="003C7672">
        <w:rPr>
          <w:rFonts w:ascii="Times New Roman" w:hAnsi="Times New Roman" w:cs="Times New Roman"/>
          <w:sz w:val="24"/>
          <w:szCs w:val="24"/>
          <w:lang w:val="de-DE"/>
        </w:rPr>
        <w:t xml:space="preserve">Elom, M. O., Usanga, V. U., Uhuo, C. A., Nwiboko, U. J., &amp; Egwu, S. N. (2020). </w:t>
      </w:r>
      <w:r w:rsidRPr="003C7672">
        <w:rPr>
          <w:rFonts w:ascii="Times New Roman" w:hAnsi="Times New Roman" w:cs="Times New Roman"/>
          <w:sz w:val="24"/>
          <w:szCs w:val="24"/>
        </w:rPr>
        <w:t xml:space="preserve">Status of urogenital schistosomiasis and soil-transmitted helminthiasis co-infection among pupils in a rural setting of Ebonyi State, Nigeria. </w:t>
      </w:r>
      <w:r w:rsidRPr="003C7672">
        <w:rPr>
          <w:rFonts w:ascii="Times New Roman" w:hAnsi="Times New Roman" w:cs="Times New Roman"/>
          <w:i/>
          <w:iCs/>
          <w:sz w:val="24"/>
          <w:szCs w:val="24"/>
        </w:rPr>
        <w:t>Nigerian Journal of Parasitology</w:t>
      </w:r>
      <w:r w:rsidRPr="003C7672">
        <w:rPr>
          <w:rFonts w:ascii="Times New Roman" w:hAnsi="Times New Roman" w:cs="Times New Roman"/>
          <w:sz w:val="24"/>
          <w:szCs w:val="24"/>
        </w:rPr>
        <w:t xml:space="preserve">, </w:t>
      </w:r>
      <w:r w:rsidRPr="003C7672">
        <w:rPr>
          <w:rFonts w:ascii="Times New Roman" w:hAnsi="Times New Roman" w:cs="Times New Roman"/>
          <w:i/>
          <w:iCs/>
          <w:sz w:val="24"/>
          <w:szCs w:val="24"/>
        </w:rPr>
        <w:t>41</w:t>
      </w:r>
      <w:r w:rsidRPr="003C7672">
        <w:rPr>
          <w:rFonts w:ascii="Times New Roman" w:hAnsi="Times New Roman" w:cs="Times New Roman"/>
          <w:sz w:val="24"/>
          <w:szCs w:val="24"/>
        </w:rPr>
        <w:t xml:space="preserve">(1), 68–74. </w:t>
      </w:r>
      <w:hyperlink r:id="rId17" w:history="1">
        <w:r w:rsidRPr="003C7672">
          <w:rPr>
            <w:rStyle w:val="Hyperlink"/>
            <w:rFonts w:ascii="Times New Roman" w:hAnsi="Times New Roman" w:cs="Times New Roman"/>
            <w:sz w:val="24"/>
            <w:szCs w:val="24"/>
          </w:rPr>
          <w:t>https://doi.org/10.4314/njpar.v41i1.11</w:t>
        </w:r>
      </w:hyperlink>
    </w:p>
    <w:p w14:paraId="448D8F82" w14:textId="77777777" w:rsidR="00187C93" w:rsidRPr="003C7672" w:rsidRDefault="00187C93" w:rsidP="00187C93">
      <w:pPr>
        <w:pStyle w:val="ListParagraph"/>
        <w:numPr>
          <w:ilvl w:val="0"/>
          <w:numId w:val="2"/>
        </w:numPr>
        <w:jc w:val="both"/>
        <w:rPr>
          <w:rFonts w:ascii="Times New Roman" w:hAnsi="Times New Roman" w:cs="Times New Roman"/>
          <w:sz w:val="24"/>
          <w:szCs w:val="24"/>
        </w:rPr>
      </w:pPr>
      <w:r w:rsidRPr="003C7672">
        <w:rPr>
          <w:rFonts w:ascii="Times New Roman" w:hAnsi="Times New Roman" w:cs="Times New Roman"/>
          <w:sz w:val="24"/>
          <w:szCs w:val="24"/>
          <w:lang w:val="de-DE"/>
        </w:rPr>
        <w:t xml:space="preserve">Ndukwe, M. K., Igara, C. E., &amp; Idara, A. E. (2020). </w:t>
      </w:r>
      <w:r w:rsidRPr="003C7672">
        <w:rPr>
          <w:rFonts w:ascii="Times New Roman" w:hAnsi="Times New Roman" w:cs="Times New Roman"/>
          <w:sz w:val="24"/>
          <w:szCs w:val="24"/>
        </w:rPr>
        <w:t xml:space="preserve">Assessment of Toxic and Essential Trace Metals in Unwana Borehole Water in </w:t>
      </w:r>
      <w:proofErr w:type="spellStart"/>
      <w:r w:rsidRPr="003C7672">
        <w:rPr>
          <w:rFonts w:ascii="Times New Roman" w:hAnsi="Times New Roman" w:cs="Times New Roman"/>
          <w:sz w:val="24"/>
          <w:szCs w:val="24"/>
        </w:rPr>
        <w:t>Afikpo</w:t>
      </w:r>
      <w:proofErr w:type="spellEnd"/>
      <w:r w:rsidRPr="003C7672">
        <w:rPr>
          <w:rFonts w:ascii="Times New Roman" w:hAnsi="Times New Roman" w:cs="Times New Roman"/>
          <w:sz w:val="24"/>
          <w:szCs w:val="24"/>
        </w:rPr>
        <w:t xml:space="preserve"> North, Ebonyi State. </w:t>
      </w:r>
      <w:r w:rsidRPr="003C7672">
        <w:rPr>
          <w:rFonts w:ascii="Times New Roman" w:hAnsi="Times New Roman" w:cs="Times New Roman"/>
          <w:i/>
          <w:sz w:val="24"/>
          <w:szCs w:val="24"/>
        </w:rPr>
        <w:t>Asian Journal of Physical and Chemical Sciences</w:t>
      </w:r>
      <w:r w:rsidRPr="003C7672">
        <w:rPr>
          <w:rFonts w:ascii="Times New Roman" w:hAnsi="Times New Roman" w:cs="Times New Roman"/>
          <w:sz w:val="24"/>
          <w:szCs w:val="24"/>
        </w:rPr>
        <w:t>, 19–24. https://doi.org/10.9734/ajopacs/2020/v8i330118</w:t>
      </w:r>
    </w:p>
    <w:p w14:paraId="05C73A82" w14:textId="77777777" w:rsidR="00187C93" w:rsidRPr="003C7672" w:rsidRDefault="00187C93" w:rsidP="00187C93">
      <w:pPr>
        <w:pStyle w:val="ListParagraph"/>
        <w:numPr>
          <w:ilvl w:val="0"/>
          <w:numId w:val="2"/>
        </w:numPr>
        <w:jc w:val="both"/>
        <w:rPr>
          <w:rFonts w:ascii="Times New Roman" w:hAnsi="Times New Roman" w:cs="Times New Roman"/>
          <w:sz w:val="24"/>
          <w:szCs w:val="24"/>
        </w:rPr>
      </w:pPr>
      <w:proofErr w:type="spellStart"/>
      <w:r w:rsidRPr="003C7672">
        <w:rPr>
          <w:rFonts w:ascii="Times New Roman" w:hAnsi="Times New Roman" w:cs="Times New Roman"/>
          <w:sz w:val="24"/>
          <w:szCs w:val="24"/>
        </w:rPr>
        <w:t>Uneke</w:t>
      </w:r>
      <w:proofErr w:type="spellEnd"/>
      <w:r w:rsidRPr="003C7672">
        <w:rPr>
          <w:rFonts w:ascii="Times New Roman" w:hAnsi="Times New Roman" w:cs="Times New Roman"/>
          <w:sz w:val="24"/>
          <w:szCs w:val="24"/>
        </w:rPr>
        <w:t>, B. I., &amp; Nwani, C. D. (2013). Reproductive dynamics and virtual population analysis (</w:t>
      </w:r>
      <w:proofErr w:type="spellStart"/>
      <w:r w:rsidRPr="003C7672">
        <w:rPr>
          <w:rFonts w:ascii="Times New Roman" w:hAnsi="Times New Roman" w:cs="Times New Roman"/>
          <w:sz w:val="24"/>
          <w:szCs w:val="24"/>
        </w:rPr>
        <w:t>vpa</w:t>
      </w:r>
      <w:proofErr w:type="spellEnd"/>
      <w:r w:rsidRPr="003C7672">
        <w:rPr>
          <w:rFonts w:ascii="Times New Roman" w:hAnsi="Times New Roman" w:cs="Times New Roman"/>
          <w:sz w:val="24"/>
          <w:szCs w:val="24"/>
        </w:rPr>
        <w:t xml:space="preserve">) of </w:t>
      </w:r>
      <w:r w:rsidRPr="003C7672">
        <w:rPr>
          <w:rFonts w:ascii="Times New Roman" w:hAnsi="Times New Roman" w:cs="Times New Roman"/>
          <w:i/>
          <w:sz w:val="24"/>
          <w:szCs w:val="24"/>
        </w:rPr>
        <w:t>Tilapia</w:t>
      </w:r>
      <w:r w:rsidRPr="003C7672">
        <w:rPr>
          <w:rFonts w:ascii="Times New Roman" w:hAnsi="Times New Roman" w:cs="Times New Roman"/>
          <w:sz w:val="24"/>
          <w:szCs w:val="24"/>
        </w:rPr>
        <w:t xml:space="preserve"> </w:t>
      </w:r>
      <w:proofErr w:type="spellStart"/>
      <w:r w:rsidRPr="003C7672">
        <w:rPr>
          <w:rFonts w:ascii="Times New Roman" w:hAnsi="Times New Roman" w:cs="Times New Roman"/>
          <w:i/>
          <w:sz w:val="24"/>
          <w:szCs w:val="24"/>
        </w:rPr>
        <w:t>zilli</w:t>
      </w:r>
      <w:proofErr w:type="spellEnd"/>
      <w:r w:rsidRPr="003C7672">
        <w:rPr>
          <w:rFonts w:ascii="Times New Roman" w:hAnsi="Times New Roman" w:cs="Times New Roman"/>
          <w:sz w:val="24"/>
          <w:szCs w:val="24"/>
        </w:rPr>
        <w:t xml:space="preserve"> (PERCIFORMES: CICHLIDAE) in a tropical flood river basin. </w:t>
      </w:r>
      <w:r w:rsidRPr="003C7672">
        <w:rPr>
          <w:rFonts w:ascii="Times New Roman" w:hAnsi="Times New Roman" w:cs="Times New Roman"/>
          <w:i/>
          <w:sz w:val="24"/>
          <w:szCs w:val="24"/>
        </w:rPr>
        <w:t>Nigerian Journal of Fisheries</w:t>
      </w:r>
      <w:r w:rsidRPr="003C7672">
        <w:rPr>
          <w:rFonts w:ascii="Times New Roman" w:hAnsi="Times New Roman" w:cs="Times New Roman"/>
          <w:sz w:val="24"/>
          <w:szCs w:val="24"/>
        </w:rPr>
        <w:t>, 10(1_2), 642–652. https://fisonjournal.org.ng/index.php/njf/article/view/228</w:t>
      </w:r>
    </w:p>
    <w:p w14:paraId="471C3D41" w14:textId="77777777" w:rsidR="00187C93" w:rsidRPr="003C7672" w:rsidRDefault="00187C93" w:rsidP="00187C93">
      <w:pPr>
        <w:pStyle w:val="ListParagraph"/>
        <w:numPr>
          <w:ilvl w:val="0"/>
          <w:numId w:val="2"/>
        </w:numPr>
        <w:jc w:val="both"/>
        <w:rPr>
          <w:rFonts w:ascii="Times New Roman" w:hAnsi="Times New Roman" w:cs="Times New Roman"/>
          <w:sz w:val="24"/>
          <w:szCs w:val="24"/>
        </w:rPr>
      </w:pPr>
      <w:r w:rsidRPr="003C7672">
        <w:rPr>
          <w:rFonts w:ascii="Times New Roman" w:hAnsi="Times New Roman" w:cs="Times New Roman"/>
          <w:sz w:val="24"/>
          <w:szCs w:val="24"/>
          <w:lang w:val="de-DE"/>
        </w:rPr>
        <w:t xml:space="preserve">Nwakaogor, G. U., Ikpeze, O. O., &amp; Ngenegbo, U. C. (2024). </w:t>
      </w:r>
      <w:r w:rsidRPr="003C7672">
        <w:rPr>
          <w:rFonts w:ascii="Times New Roman" w:hAnsi="Times New Roman" w:cs="Times New Roman"/>
          <w:sz w:val="24"/>
          <w:szCs w:val="24"/>
        </w:rPr>
        <w:t xml:space="preserve">Prevalence of Malaria and Intestinal Helminth Co-Infections Among Children of Age Under 15 Years in </w:t>
      </w:r>
      <w:proofErr w:type="spellStart"/>
      <w:r w:rsidRPr="003C7672">
        <w:rPr>
          <w:rFonts w:ascii="Times New Roman" w:hAnsi="Times New Roman" w:cs="Times New Roman"/>
          <w:sz w:val="24"/>
          <w:szCs w:val="24"/>
        </w:rPr>
        <w:t>Isuaniocha</w:t>
      </w:r>
      <w:proofErr w:type="spellEnd"/>
      <w:r w:rsidRPr="003C7672">
        <w:rPr>
          <w:rFonts w:ascii="Times New Roman" w:hAnsi="Times New Roman" w:cs="Times New Roman"/>
          <w:sz w:val="24"/>
          <w:szCs w:val="24"/>
        </w:rPr>
        <w:t xml:space="preserve"> Community </w:t>
      </w:r>
      <w:proofErr w:type="spellStart"/>
      <w:r w:rsidRPr="003C7672">
        <w:rPr>
          <w:rFonts w:ascii="Times New Roman" w:hAnsi="Times New Roman" w:cs="Times New Roman"/>
          <w:sz w:val="24"/>
          <w:szCs w:val="24"/>
        </w:rPr>
        <w:t>Awka</w:t>
      </w:r>
      <w:proofErr w:type="spellEnd"/>
      <w:r w:rsidRPr="003C7672">
        <w:rPr>
          <w:rFonts w:ascii="Times New Roman" w:hAnsi="Times New Roman" w:cs="Times New Roman"/>
          <w:sz w:val="24"/>
          <w:szCs w:val="24"/>
        </w:rPr>
        <w:t xml:space="preserve"> North LGA Anambra State Nigeria. </w:t>
      </w:r>
      <w:r w:rsidRPr="003C7672">
        <w:rPr>
          <w:rFonts w:ascii="Times New Roman" w:hAnsi="Times New Roman" w:cs="Times New Roman"/>
          <w:i/>
          <w:sz w:val="24"/>
          <w:szCs w:val="24"/>
        </w:rPr>
        <w:t>South Asian Journal of Parasitology</w:t>
      </w:r>
      <w:r w:rsidRPr="003C7672">
        <w:rPr>
          <w:rFonts w:ascii="Times New Roman" w:hAnsi="Times New Roman" w:cs="Times New Roman"/>
          <w:sz w:val="24"/>
          <w:szCs w:val="24"/>
        </w:rPr>
        <w:t>, 7(2), 72–85. https://journalsajp.com/index.php/SAJP/article/view/173</w:t>
      </w:r>
    </w:p>
    <w:p w14:paraId="2166D103" w14:textId="77777777" w:rsidR="00187C93" w:rsidRPr="003C7672" w:rsidRDefault="00187C93" w:rsidP="00187C93">
      <w:pPr>
        <w:pStyle w:val="ListParagraph"/>
        <w:numPr>
          <w:ilvl w:val="0"/>
          <w:numId w:val="2"/>
        </w:numPr>
        <w:jc w:val="both"/>
        <w:rPr>
          <w:rFonts w:ascii="Times New Roman" w:hAnsi="Times New Roman" w:cs="Times New Roman"/>
          <w:sz w:val="24"/>
          <w:szCs w:val="24"/>
        </w:rPr>
      </w:pPr>
      <w:proofErr w:type="spellStart"/>
      <w:r w:rsidRPr="003C7672">
        <w:rPr>
          <w:rFonts w:ascii="Times New Roman" w:hAnsi="Times New Roman" w:cs="Times New Roman"/>
          <w:sz w:val="24"/>
          <w:szCs w:val="24"/>
        </w:rPr>
        <w:t>Nwele</w:t>
      </w:r>
      <w:proofErr w:type="spellEnd"/>
      <w:r w:rsidRPr="003C7672">
        <w:rPr>
          <w:rFonts w:ascii="Times New Roman" w:hAnsi="Times New Roman" w:cs="Times New Roman"/>
          <w:sz w:val="24"/>
          <w:szCs w:val="24"/>
        </w:rPr>
        <w:t xml:space="preserve">, D. E., </w:t>
      </w:r>
      <w:proofErr w:type="spellStart"/>
      <w:r w:rsidRPr="003C7672">
        <w:rPr>
          <w:rFonts w:ascii="Times New Roman" w:hAnsi="Times New Roman" w:cs="Times New Roman"/>
          <w:sz w:val="24"/>
          <w:szCs w:val="24"/>
        </w:rPr>
        <w:t>Onyali</w:t>
      </w:r>
      <w:proofErr w:type="spellEnd"/>
      <w:r w:rsidRPr="003C7672">
        <w:rPr>
          <w:rFonts w:ascii="Times New Roman" w:hAnsi="Times New Roman" w:cs="Times New Roman"/>
          <w:sz w:val="24"/>
          <w:szCs w:val="24"/>
        </w:rPr>
        <w:t xml:space="preserve">, I. O., </w:t>
      </w:r>
      <w:proofErr w:type="spellStart"/>
      <w:r w:rsidRPr="003C7672">
        <w:rPr>
          <w:rFonts w:ascii="Times New Roman" w:hAnsi="Times New Roman" w:cs="Times New Roman"/>
          <w:sz w:val="24"/>
          <w:szCs w:val="24"/>
        </w:rPr>
        <w:t>Iwueze</w:t>
      </w:r>
      <w:proofErr w:type="spellEnd"/>
      <w:r w:rsidRPr="003C7672">
        <w:rPr>
          <w:rFonts w:ascii="Times New Roman" w:hAnsi="Times New Roman" w:cs="Times New Roman"/>
          <w:sz w:val="24"/>
          <w:szCs w:val="24"/>
        </w:rPr>
        <w:t xml:space="preserve">, M. O., Elom, M. O., &amp; </w:t>
      </w:r>
      <w:proofErr w:type="spellStart"/>
      <w:r w:rsidRPr="003C7672">
        <w:rPr>
          <w:rFonts w:ascii="Times New Roman" w:hAnsi="Times New Roman" w:cs="Times New Roman"/>
          <w:sz w:val="24"/>
          <w:szCs w:val="24"/>
        </w:rPr>
        <w:t>Uguru</w:t>
      </w:r>
      <w:proofErr w:type="spellEnd"/>
      <w:r w:rsidRPr="003C7672">
        <w:rPr>
          <w:rFonts w:ascii="Times New Roman" w:hAnsi="Times New Roman" w:cs="Times New Roman"/>
          <w:sz w:val="24"/>
          <w:szCs w:val="24"/>
        </w:rPr>
        <w:t xml:space="preserve">, O. E. S. (2022). Malaria Endemicity in the Rural Communities of Ebonyi State, Nigeria. </w:t>
      </w:r>
      <w:r w:rsidRPr="003C7672">
        <w:rPr>
          <w:rFonts w:ascii="Times New Roman" w:hAnsi="Times New Roman" w:cs="Times New Roman"/>
          <w:i/>
          <w:sz w:val="24"/>
          <w:szCs w:val="24"/>
        </w:rPr>
        <w:t>Parasites, Hosts and Diseases</w:t>
      </w:r>
      <w:r w:rsidRPr="003C7672">
        <w:rPr>
          <w:rFonts w:ascii="Times New Roman" w:hAnsi="Times New Roman" w:cs="Times New Roman"/>
          <w:sz w:val="24"/>
          <w:szCs w:val="24"/>
        </w:rPr>
        <w:t xml:space="preserve">, 60(3), 173–179. </w:t>
      </w:r>
      <w:hyperlink r:id="rId18" w:history="1">
        <w:r w:rsidR="004D3992" w:rsidRPr="003C7672">
          <w:rPr>
            <w:rStyle w:val="Hyperlink"/>
            <w:rFonts w:ascii="Times New Roman" w:hAnsi="Times New Roman" w:cs="Times New Roman"/>
            <w:sz w:val="24"/>
            <w:szCs w:val="24"/>
          </w:rPr>
          <w:t>https://doi.org/10.3347/kjp.2022.60.3.173</w:t>
        </w:r>
      </w:hyperlink>
      <w:r w:rsidR="004D3992" w:rsidRPr="003C7672">
        <w:rPr>
          <w:rFonts w:ascii="Times New Roman" w:hAnsi="Times New Roman" w:cs="Times New Roman"/>
          <w:sz w:val="24"/>
          <w:szCs w:val="24"/>
        </w:rPr>
        <w:t>.</w:t>
      </w:r>
    </w:p>
    <w:p w14:paraId="006D373C" w14:textId="77777777" w:rsidR="004D3992" w:rsidRPr="003C7672" w:rsidRDefault="004D3992" w:rsidP="004D3992">
      <w:pPr>
        <w:pStyle w:val="ListParagraph"/>
        <w:numPr>
          <w:ilvl w:val="0"/>
          <w:numId w:val="2"/>
        </w:numPr>
        <w:jc w:val="both"/>
        <w:rPr>
          <w:rFonts w:ascii="Times New Roman" w:hAnsi="Times New Roman" w:cs="Times New Roman"/>
          <w:sz w:val="24"/>
          <w:szCs w:val="24"/>
        </w:rPr>
      </w:pPr>
      <w:proofErr w:type="spellStart"/>
      <w:r w:rsidRPr="003C7672">
        <w:rPr>
          <w:rFonts w:ascii="Times New Roman" w:hAnsi="Times New Roman" w:cs="Times New Roman"/>
          <w:sz w:val="24"/>
          <w:szCs w:val="24"/>
        </w:rPr>
        <w:t>Imakwu</w:t>
      </w:r>
      <w:proofErr w:type="spellEnd"/>
      <w:r w:rsidRPr="003C7672">
        <w:rPr>
          <w:rFonts w:ascii="Times New Roman" w:hAnsi="Times New Roman" w:cs="Times New Roman"/>
          <w:sz w:val="24"/>
          <w:szCs w:val="24"/>
        </w:rPr>
        <w:t xml:space="preserve">, C. A., </w:t>
      </w:r>
      <w:proofErr w:type="spellStart"/>
      <w:r w:rsidRPr="003C7672">
        <w:rPr>
          <w:rFonts w:ascii="Times New Roman" w:hAnsi="Times New Roman" w:cs="Times New Roman"/>
          <w:sz w:val="24"/>
          <w:szCs w:val="24"/>
        </w:rPr>
        <w:t>Ozougwu</w:t>
      </w:r>
      <w:proofErr w:type="spellEnd"/>
      <w:r w:rsidRPr="003C7672">
        <w:rPr>
          <w:rFonts w:ascii="Times New Roman" w:hAnsi="Times New Roman" w:cs="Times New Roman"/>
          <w:sz w:val="24"/>
          <w:szCs w:val="24"/>
        </w:rPr>
        <w:t xml:space="preserve">, J. C., Eyo, J. E., Okeke, O. P., Amana, G. U., </w:t>
      </w:r>
      <w:proofErr w:type="spellStart"/>
      <w:r w:rsidRPr="003C7672">
        <w:rPr>
          <w:rFonts w:ascii="Times New Roman" w:hAnsi="Times New Roman" w:cs="Times New Roman"/>
          <w:sz w:val="24"/>
          <w:szCs w:val="24"/>
        </w:rPr>
        <w:t>Eziuzor</w:t>
      </w:r>
      <w:proofErr w:type="spellEnd"/>
      <w:r w:rsidRPr="003C7672">
        <w:rPr>
          <w:rFonts w:ascii="Times New Roman" w:hAnsi="Times New Roman" w:cs="Times New Roman"/>
          <w:sz w:val="24"/>
          <w:szCs w:val="24"/>
        </w:rPr>
        <w:t xml:space="preserve">, S. C., </w:t>
      </w:r>
      <w:proofErr w:type="spellStart"/>
      <w:r w:rsidRPr="003C7672">
        <w:rPr>
          <w:rFonts w:ascii="Times New Roman" w:hAnsi="Times New Roman" w:cs="Times New Roman"/>
          <w:sz w:val="24"/>
          <w:szCs w:val="24"/>
        </w:rPr>
        <w:t>Ekeleme</w:t>
      </w:r>
      <w:proofErr w:type="spellEnd"/>
      <w:r w:rsidRPr="003C7672">
        <w:rPr>
          <w:rFonts w:ascii="Times New Roman" w:hAnsi="Times New Roman" w:cs="Times New Roman"/>
          <w:sz w:val="24"/>
          <w:szCs w:val="24"/>
        </w:rPr>
        <w:t xml:space="preserve">, J. E., &amp; </w:t>
      </w:r>
      <w:proofErr w:type="spellStart"/>
      <w:r w:rsidRPr="003C7672">
        <w:rPr>
          <w:rFonts w:ascii="Times New Roman" w:hAnsi="Times New Roman" w:cs="Times New Roman"/>
          <w:sz w:val="24"/>
          <w:szCs w:val="24"/>
        </w:rPr>
        <w:t>Aniekwe</w:t>
      </w:r>
      <w:proofErr w:type="spellEnd"/>
      <w:r w:rsidRPr="003C7672">
        <w:rPr>
          <w:rFonts w:ascii="Times New Roman" w:hAnsi="Times New Roman" w:cs="Times New Roman"/>
          <w:sz w:val="24"/>
          <w:szCs w:val="24"/>
        </w:rPr>
        <w:t>, M. I. (2020). Prevalence and Intensity of Intestinal Helminths among Pregnant Women Attending Antenatal Clinic in Ebonyi State Nigeria. Asian Journal of Pregnancy and Childbirth, 3(1), 141–153. https://doi.org/10.9734/ajpcb/2020/v3i134.</w:t>
      </w:r>
    </w:p>
    <w:p w14:paraId="78ECB5C9" w14:textId="77777777" w:rsidR="00187C93" w:rsidRPr="003C7672" w:rsidRDefault="00187C93" w:rsidP="00187C93">
      <w:pPr>
        <w:pStyle w:val="ListParagraph"/>
        <w:numPr>
          <w:ilvl w:val="0"/>
          <w:numId w:val="2"/>
        </w:numPr>
        <w:jc w:val="both"/>
        <w:rPr>
          <w:rFonts w:ascii="Times New Roman" w:hAnsi="Times New Roman" w:cs="Times New Roman"/>
          <w:sz w:val="24"/>
          <w:szCs w:val="24"/>
        </w:rPr>
      </w:pPr>
      <w:r w:rsidRPr="003C7672">
        <w:rPr>
          <w:rFonts w:ascii="Times New Roman" w:hAnsi="Times New Roman" w:cs="Times New Roman"/>
          <w:sz w:val="24"/>
          <w:szCs w:val="24"/>
        </w:rPr>
        <w:t xml:space="preserve">Duguma, T., Assefa, S., Tesfaye, T., &amp; Alemayehu, B. (2025). Malaria and Soil-Transmitted Helminth Co-Infection and Its Association </w:t>
      </w:r>
      <w:proofErr w:type="gramStart"/>
      <w:r w:rsidRPr="003C7672">
        <w:rPr>
          <w:rFonts w:ascii="Times New Roman" w:hAnsi="Times New Roman" w:cs="Times New Roman"/>
          <w:sz w:val="24"/>
          <w:szCs w:val="24"/>
        </w:rPr>
        <w:t>With</w:t>
      </w:r>
      <w:proofErr w:type="gramEnd"/>
      <w:r w:rsidRPr="003C7672">
        <w:rPr>
          <w:rFonts w:ascii="Times New Roman" w:hAnsi="Times New Roman" w:cs="Times New Roman"/>
          <w:sz w:val="24"/>
          <w:szCs w:val="24"/>
        </w:rPr>
        <w:t xml:space="preserve"> Anemia Among Pregnant Women Visiting Mizan–Tepi University Teaching Hospital, Southwest Ethiopia. </w:t>
      </w:r>
      <w:r w:rsidRPr="003C7672">
        <w:rPr>
          <w:rFonts w:ascii="Times New Roman" w:hAnsi="Times New Roman" w:cs="Times New Roman"/>
          <w:i/>
          <w:sz w:val="24"/>
          <w:szCs w:val="24"/>
        </w:rPr>
        <w:t>The Canadian Journal of Infectious Diseases &amp; Medical Microbiology</w:t>
      </w:r>
      <w:r w:rsidRPr="003C7672">
        <w:rPr>
          <w:rFonts w:ascii="Times New Roman" w:hAnsi="Times New Roman" w:cs="Times New Roman"/>
          <w:sz w:val="24"/>
          <w:szCs w:val="24"/>
        </w:rPr>
        <w:t>, 2025, 3997614. https://doi.org/10.1155/cjid/3997614</w:t>
      </w:r>
    </w:p>
    <w:p w14:paraId="2C06DAAE" w14:textId="77777777" w:rsidR="00187C93" w:rsidRPr="003C7672" w:rsidRDefault="00187C93" w:rsidP="00187C93">
      <w:pPr>
        <w:pStyle w:val="ListParagraph"/>
        <w:numPr>
          <w:ilvl w:val="0"/>
          <w:numId w:val="2"/>
        </w:numPr>
        <w:jc w:val="both"/>
        <w:rPr>
          <w:rFonts w:ascii="Times New Roman" w:hAnsi="Times New Roman" w:cs="Times New Roman"/>
          <w:sz w:val="24"/>
          <w:szCs w:val="24"/>
        </w:rPr>
      </w:pPr>
      <w:proofErr w:type="spellStart"/>
      <w:r w:rsidRPr="003C7672">
        <w:rPr>
          <w:rFonts w:ascii="Times New Roman" w:hAnsi="Times New Roman" w:cs="Times New Roman"/>
          <w:sz w:val="24"/>
          <w:szCs w:val="24"/>
        </w:rPr>
        <w:t>Ngasala</w:t>
      </w:r>
      <w:proofErr w:type="spellEnd"/>
      <w:r w:rsidRPr="003C7672">
        <w:rPr>
          <w:rFonts w:ascii="Times New Roman" w:hAnsi="Times New Roman" w:cs="Times New Roman"/>
          <w:sz w:val="24"/>
          <w:szCs w:val="24"/>
        </w:rPr>
        <w:t xml:space="preserve">, B., Matata, F., </w:t>
      </w:r>
      <w:proofErr w:type="spellStart"/>
      <w:r w:rsidRPr="003C7672">
        <w:rPr>
          <w:rFonts w:ascii="Times New Roman" w:hAnsi="Times New Roman" w:cs="Times New Roman"/>
          <w:sz w:val="24"/>
          <w:szCs w:val="24"/>
        </w:rPr>
        <w:t>Mwaiswelo</w:t>
      </w:r>
      <w:proofErr w:type="spellEnd"/>
      <w:r w:rsidRPr="003C7672">
        <w:rPr>
          <w:rFonts w:ascii="Times New Roman" w:hAnsi="Times New Roman" w:cs="Times New Roman"/>
          <w:sz w:val="24"/>
          <w:szCs w:val="24"/>
        </w:rPr>
        <w:t xml:space="preserve">, R., &amp; </w:t>
      </w:r>
      <w:proofErr w:type="spellStart"/>
      <w:r w:rsidRPr="003C7672">
        <w:rPr>
          <w:rFonts w:ascii="Times New Roman" w:hAnsi="Times New Roman" w:cs="Times New Roman"/>
          <w:sz w:val="24"/>
          <w:szCs w:val="24"/>
        </w:rPr>
        <w:t>Mmbando</w:t>
      </w:r>
      <w:proofErr w:type="spellEnd"/>
      <w:r w:rsidRPr="003C7672">
        <w:rPr>
          <w:rFonts w:ascii="Times New Roman" w:hAnsi="Times New Roman" w:cs="Times New Roman"/>
          <w:sz w:val="24"/>
          <w:szCs w:val="24"/>
        </w:rPr>
        <w:t xml:space="preserve">, B. P. (2019). Anemia among Schoolchildren with Malaria and Soil-Transmitted Helminth Coinfections after Repeated Rounds of Mass Drug Administration in </w:t>
      </w:r>
      <w:proofErr w:type="spellStart"/>
      <w:r w:rsidRPr="003C7672">
        <w:rPr>
          <w:rFonts w:ascii="Times New Roman" w:hAnsi="Times New Roman" w:cs="Times New Roman"/>
          <w:sz w:val="24"/>
          <w:szCs w:val="24"/>
        </w:rPr>
        <w:t>Muheza</w:t>
      </w:r>
      <w:proofErr w:type="spellEnd"/>
      <w:r w:rsidRPr="003C7672">
        <w:rPr>
          <w:rFonts w:ascii="Times New Roman" w:hAnsi="Times New Roman" w:cs="Times New Roman"/>
          <w:sz w:val="24"/>
          <w:szCs w:val="24"/>
        </w:rPr>
        <w:t xml:space="preserve"> District, Tanzania. </w:t>
      </w:r>
      <w:r w:rsidRPr="003C7672">
        <w:rPr>
          <w:rFonts w:ascii="Times New Roman" w:hAnsi="Times New Roman" w:cs="Times New Roman"/>
          <w:i/>
          <w:sz w:val="24"/>
          <w:szCs w:val="24"/>
        </w:rPr>
        <w:t>The American Journal of Tropical Medicine and Hygiene</w:t>
      </w:r>
      <w:r w:rsidRPr="003C7672">
        <w:rPr>
          <w:rFonts w:ascii="Times New Roman" w:hAnsi="Times New Roman" w:cs="Times New Roman"/>
          <w:sz w:val="24"/>
          <w:szCs w:val="24"/>
        </w:rPr>
        <w:t>, 101(5), 1148–1155. https://doi.org/10.4269/ajtmh.19-0362</w:t>
      </w:r>
    </w:p>
    <w:p w14:paraId="1E001191" w14:textId="77777777" w:rsidR="00187C93" w:rsidRPr="003C7672" w:rsidRDefault="00187C93" w:rsidP="00187C93">
      <w:pPr>
        <w:pStyle w:val="ListParagraph"/>
        <w:numPr>
          <w:ilvl w:val="0"/>
          <w:numId w:val="2"/>
        </w:numPr>
        <w:jc w:val="both"/>
        <w:rPr>
          <w:rFonts w:ascii="Times New Roman" w:hAnsi="Times New Roman" w:cs="Times New Roman"/>
          <w:sz w:val="24"/>
          <w:szCs w:val="24"/>
        </w:rPr>
      </w:pPr>
      <w:r w:rsidRPr="003C7672">
        <w:rPr>
          <w:rFonts w:ascii="Times New Roman" w:hAnsi="Times New Roman" w:cs="Times New Roman"/>
          <w:sz w:val="24"/>
          <w:szCs w:val="24"/>
        </w:rPr>
        <w:lastRenderedPageBreak/>
        <w:t xml:space="preserve">Mohammed, K., </w:t>
      </w:r>
      <w:proofErr w:type="spellStart"/>
      <w:r w:rsidRPr="003C7672">
        <w:rPr>
          <w:rFonts w:ascii="Times New Roman" w:hAnsi="Times New Roman" w:cs="Times New Roman"/>
          <w:sz w:val="24"/>
          <w:szCs w:val="24"/>
        </w:rPr>
        <w:t>Iduh</w:t>
      </w:r>
      <w:proofErr w:type="spellEnd"/>
      <w:r w:rsidRPr="003C7672">
        <w:rPr>
          <w:rFonts w:ascii="Times New Roman" w:hAnsi="Times New Roman" w:cs="Times New Roman"/>
          <w:sz w:val="24"/>
          <w:szCs w:val="24"/>
        </w:rPr>
        <w:t xml:space="preserve">, M. U., &amp; Muhammed, S. (2023). Epidemiology of Malaria Parasite and Intestinal Helminths among Children Attending Specialist Hospital and Maryam Abacha Women and Children Hospital in Sokoto Metropolis. </w:t>
      </w:r>
      <w:r w:rsidRPr="003C7672">
        <w:rPr>
          <w:rFonts w:ascii="Times New Roman" w:hAnsi="Times New Roman" w:cs="Times New Roman"/>
          <w:i/>
          <w:sz w:val="24"/>
          <w:szCs w:val="24"/>
        </w:rPr>
        <w:t>South Asian Journal of Research in Microbiology</w:t>
      </w:r>
      <w:r w:rsidRPr="003C7672">
        <w:rPr>
          <w:rFonts w:ascii="Times New Roman" w:hAnsi="Times New Roman" w:cs="Times New Roman"/>
          <w:sz w:val="24"/>
          <w:szCs w:val="24"/>
        </w:rPr>
        <w:t>, 15(2), 12–19. https://doi.org/10.9734/sajrm/2023/v15i2282</w:t>
      </w:r>
    </w:p>
    <w:p w14:paraId="03AE9EAD" w14:textId="77777777" w:rsidR="00187C93" w:rsidRPr="003C7672" w:rsidRDefault="00187C93" w:rsidP="00187C93">
      <w:pPr>
        <w:pStyle w:val="ListParagraph"/>
        <w:numPr>
          <w:ilvl w:val="0"/>
          <w:numId w:val="2"/>
        </w:numPr>
        <w:jc w:val="both"/>
        <w:rPr>
          <w:rFonts w:ascii="Times New Roman" w:hAnsi="Times New Roman" w:cs="Times New Roman"/>
          <w:sz w:val="24"/>
          <w:szCs w:val="24"/>
        </w:rPr>
      </w:pPr>
      <w:r w:rsidRPr="003C7672">
        <w:rPr>
          <w:rFonts w:ascii="Times New Roman" w:hAnsi="Times New Roman" w:cs="Times New Roman"/>
          <w:sz w:val="24"/>
          <w:szCs w:val="24"/>
          <w:lang w:val="de-DE"/>
        </w:rPr>
        <w:t xml:space="preserve">Imalele, E. E., Offiong Effanga, E., &amp; Ukam Usang, A. (2023). </w:t>
      </w:r>
      <w:r w:rsidRPr="003C7672">
        <w:rPr>
          <w:rFonts w:ascii="Times New Roman" w:hAnsi="Times New Roman" w:cs="Times New Roman"/>
          <w:sz w:val="24"/>
          <w:szCs w:val="24"/>
        </w:rPr>
        <w:t xml:space="preserve">Environmental contamination by soil-transmitted helminths ova and subsequent infection in school-age children in Calabar, Nigeria. </w:t>
      </w:r>
      <w:r w:rsidRPr="003C7672">
        <w:rPr>
          <w:rFonts w:ascii="Times New Roman" w:hAnsi="Times New Roman" w:cs="Times New Roman"/>
          <w:i/>
          <w:sz w:val="24"/>
          <w:szCs w:val="24"/>
        </w:rPr>
        <w:t>Scientific African</w:t>
      </w:r>
      <w:r w:rsidRPr="003C7672">
        <w:rPr>
          <w:rFonts w:ascii="Times New Roman" w:hAnsi="Times New Roman" w:cs="Times New Roman"/>
          <w:sz w:val="24"/>
          <w:szCs w:val="24"/>
        </w:rPr>
        <w:t>, 19, e01580. https://doi.org/10.1016/j.sciaf.2023.e01580</w:t>
      </w:r>
    </w:p>
    <w:p w14:paraId="5D0A12C3" w14:textId="77777777" w:rsidR="00187C93" w:rsidRPr="003C7672" w:rsidRDefault="00187C93" w:rsidP="00187C93">
      <w:pPr>
        <w:pStyle w:val="ListParagraph"/>
        <w:numPr>
          <w:ilvl w:val="0"/>
          <w:numId w:val="2"/>
        </w:numPr>
        <w:jc w:val="both"/>
        <w:rPr>
          <w:rFonts w:ascii="Times New Roman" w:hAnsi="Times New Roman" w:cs="Times New Roman"/>
          <w:sz w:val="24"/>
          <w:szCs w:val="24"/>
        </w:rPr>
      </w:pPr>
      <w:r w:rsidRPr="003C7672">
        <w:rPr>
          <w:rFonts w:ascii="Times New Roman" w:hAnsi="Times New Roman" w:cs="Times New Roman"/>
          <w:sz w:val="24"/>
          <w:szCs w:val="24"/>
        </w:rPr>
        <w:t xml:space="preserve">Amaechi, E. C., Nwadike, C. C., Musa, A. L., </w:t>
      </w:r>
      <w:proofErr w:type="spellStart"/>
      <w:r w:rsidRPr="003C7672">
        <w:rPr>
          <w:rFonts w:ascii="Times New Roman" w:hAnsi="Times New Roman" w:cs="Times New Roman"/>
          <w:sz w:val="24"/>
          <w:szCs w:val="24"/>
        </w:rPr>
        <w:t>Ohaeri</w:t>
      </w:r>
      <w:proofErr w:type="spellEnd"/>
      <w:r w:rsidRPr="003C7672">
        <w:rPr>
          <w:rFonts w:ascii="Times New Roman" w:hAnsi="Times New Roman" w:cs="Times New Roman"/>
          <w:sz w:val="24"/>
          <w:szCs w:val="24"/>
        </w:rPr>
        <w:t xml:space="preserve">, C. C., Ukpai, O. M., &amp; Ejike, B. U. (2016). Malaria and soil-transmitted </w:t>
      </w:r>
      <w:proofErr w:type="spellStart"/>
      <w:r w:rsidRPr="003C7672">
        <w:rPr>
          <w:rFonts w:ascii="Times New Roman" w:hAnsi="Times New Roman" w:cs="Times New Roman"/>
          <w:sz w:val="24"/>
          <w:szCs w:val="24"/>
        </w:rPr>
        <w:t>helminthes</w:t>
      </w:r>
      <w:proofErr w:type="spellEnd"/>
      <w:r w:rsidRPr="003C7672">
        <w:rPr>
          <w:rFonts w:ascii="Times New Roman" w:hAnsi="Times New Roman" w:cs="Times New Roman"/>
          <w:sz w:val="24"/>
          <w:szCs w:val="24"/>
        </w:rPr>
        <w:t xml:space="preserve"> coinfection in a rural community of Kwara State, North Central Nigeria. </w:t>
      </w:r>
      <w:r w:rsidRPr="003C7672">
        <w:rPr>
          <w:rFonts w:ascii="Times New Roman" w:hAnsi="Times New Roman" w:cs="Times New Roman"/>
          <w:i/>
          <w:sz w:val="24"/>
          <w:szCs w:val="24"/>
        </w:rPr>
        <w:t>Brazilian Journal of Biological Sciences</w:t>
      </w:r>
      <w:r w:rsidRPr="003C7672">
        <w:rPr>
          <w:rFonts w:ascii="Times New Roman" w:hAnsi="Times New Roman" w:cs="Times New Roman"/>
          <w:sz w:val="24"/>
          <w:szCs w:val="24"/>
        </w:rPr>
        <w:t>, 3(6), e234–e234. https://doi.org/10.21472/bjbs.030609</w:t>
      </w:r>
    </w:p>
    <w:p w14:paraId="667E9A5B" w14:textId="77777777" w:rsidR="00187C93" w:rsidRPr="003C7672" w:rsidRDefault="00187C93" w:rsidP="00187C93">
      <w:pPr>
        <w:pStyle w:val="ListParagraph"/>
        <w:numPr>
          <w:ilvl w:val="0"/>
          <w:numId w:val="2"/>
        </w:numPr>
        <w:jc w:val="both"/>
        <w:rPr>
          <w:rFonts w:ascii="Times New Roman" w:hAnsi="Times New Roman" w:cs="Times New Roman"/>
          <w:sz w:val="24"/>
          <w:szCs w:val="24"/>
        </w:rPr>
      </w:pPr>
      <w:r w:rsidRPr="003C7672">
        <w:rPr>
          <w:rFonts w:ascii="Times New Roman" w:hAnsi="Times New Roman" w:cs="Times New Roman"/>
          <w:sz w:val="24"/>
          <w:szCs w:val="24"/>
        </w:rPr>
        <w:t xml:space="preserve">WHO. (2023). Helminth control in school-age children: A guide for managers of control </w:t>
      </w:r>
      <w:proofErr w:type="spellStart"/>
      <w:r w:rsidRPr="003C7672">
        <w:rPr>
          <w:rFonts w:ascii="Times New Roman" w:hAnsi="Times New Roman" w:cs="Times New Roman"/>
          <w:sz w:val="24"/>
          <w:szCs w:val="24"/>
        </w:rPr>
        <w:t>programmes</w:t>
      </w:r>
      <w:proofErr w:type="spellEnd"/>
      <w:r w:rsidRPr="003C7672">
        <w:rPr>
          <w:rFonts w:ascii="Times New Roman" w:hAnsi="Times New Roman" w:cs="Times New Roman"/>
          <w:sz w:val="24"/>
          <w:szCs w:val="24"/>
        </w:rPr>
        <w:t>. First edition. https://www.who.int/publications/i/item/9789241548267</w:t>
      </w:r>
    </w:p>
    <w:p w14:paraId="21F474E5" w14:textId="77777777" w:rsidR="00187C93" w:rsidRPr="003C7672" w:rsidRDefault="00187C93" w:rsidP="00187C93">
      <w:pPr>
        <w:pStyle w:val="ListParagraph"/>
        <w:numPr>
          <w:ilvl w:val="0"/>
          <w:numId w:val="2"/>
        </w:numPr>
        <w:jc w:val="both"/>
        <w:rPr>
          <w:rFonts w:ascii="Times New Roman" w:hAnsi="Times New Roman" w:cs="Times New Roman"/>
          <w:sz w:val="24"/>
          <w:szCs w:val="24"/>
        </w:rPr>
      </w:pPr>
      <w:r w:rsidRPr="003C7672">
        <w:rPr>
          <w:rFonts w:ascii="Times New Roman" w:hAnsi="Times New Roman" w:cs="Times New Roman"/>
          <w:sz w:val="24"/>
          <w:szCs w:val="24"/>
        </w:rPr>
        <w:t xml:space="preserve">Dada-Adegbola, H. O., Oluwatoba, O. A., &amp; Falade, C. O. (2013). Asymptomatic malaria and intestinal helminth co-infection among children in a rural community in Southwest Nigeria. </w:t>
      </w:r>
      <w:proofErr w:type="spellStart"/>
      <w:r w:rsidRPr="003C7672">
        <w:rPr>
          <w:rFonts w:ascii="Times New Roman" w:hAnsi="Times New Roman" w:cs="Times New Roman"/>
          <w:i/>
          <w:sz w:val="24"/>
          <w:szCs w:val="24"/>
        </w:rPr>
        <w:t>MalariaWorld</w:t>
      </w:r>
      <w:proofErr w:type="spellEnd"/>
      <w:r w:rsidRPr="003C7672">
        <w:rPr>
          <w:rFonts w:ascii="Times New Roman" w:hAnsi="Times New Roman" w:cs="Times New Roman"/>
          <w:i/>
          <w:sz w:val="24"/>
          <w:szCs w:val="24"/>
        </w:rPr>
        <w:t xml:space="preserve"> Journal</w:t>
      </w:r>
      <w:r w:rsidRPr="003C7672">
        <w:rPr>
          <w:rFonts w:ascii="Times New Roman" w:hAnsi="Times New Roman" w:cs="Times New Roman"/>
          <w:sz w:val="24"/>
          <w:szCs w:val="24"/>
        </w:rPr>
        <w:t>, 4, 18. https://doi.org/10.5281/zenodo.10928310</w:t>
      </w:r>
    </w:p>
    <w:p w14:paraId="3A3534E2" w14:textId="77777777" w:rsidR="00187C93" w:rsidRPr="003C7672" w:rsidRDefault="00187C93" w:rsidP="00187C93">
      <w:pPr>
        <w:pStyle w:val="ListParagraph"/>
        <w:numPr>
          <w:ilvl w:val="0"/>
          <w:numId w:val="2"/>
        </w:numPr>
        <w:jc w:val="both"/>
        <w:rPr>
          <w:rFonts w:ascii="Times New Roman" w:hAnsi="Times New Roman" w:cs="Times New Roman"/>
          <w:sz w:val="24"/>
          <w:szCs w:val="24"/>
        </w:rPr>
      </w:pPr>
      <w:r w:rsidRPr="003C7672">
        <w:rPr>
          <w:rFonts w:ascii="Times New Roman" w:hAnsi="Times New Roman" w:cs="Times New Roman"/>
          <w:sz w:val="24"/>
          <w:szCs w:val="24"/>
          <w:lang w:val="de-DE"/>
        </w:rPr>
        <w:t xml:space="preserve">Mulu, A., Legesse, M., Erko, B., Belyhun, Y., Nugussie, D., Shimelis, T., Kassu, A., Elias, D., &amp; Moges, B. (2013). </w:t>
      </w:r>
      <w:r w:rsidRPr="003C7672">
        <w:rPr>
          <w:rFonts w:ascii="Times New Roman" w:hAnsi="Times New Roman" w:cs="Times New Roman"/>
          <w:sz w:val="24"/>
          <w:szCs w:val="24"/>
        </w:rPr>
        <w:t xml:space="preserve">Epidemiological and clinical correlates of malaria-helminth co-infections in southern Ethiopia. </w:t>
      </w:r>
      <w:r w:rsidRPr="003C7672">
        <w:rPr>
          <w:rFonts w:ascii="Times New Roman" w:hAnsi="Times New Roman" w:cs="Times New Roman"/>
          <w:i/>
          <w:sz w:val="24"/>
          <w:szCs w:val="24"/>
        </w:rPr>
        <w:t>Malaria Journal</w:t>
      </w:r>
      <w:r w:rsidRPr="003C7672">
        <w:rPr>
          <w:rFonts w:ascii="Times New Roman" w:hAnsi="Times New Roman" w:cs="Times New Roman"/>
          <w:sz w:val="24"/>
          <w:szCs w:val="24"/>
        </w:rPr>
        <w:t>, 12(1), 227. https://doi.org/10.1186/1475-2875-12-227</w:t>
      </w:r>
    </w:p>
    <w:p w14:paraId="263A84B7" w14:textId="77777777" w:rsidR="00187C93" w:rsidRPr="003C7672" w:rsidRDefault="00187C93" w:rsidP="00187C93">
      <w:pPr>
        <w:pStyle w:val="ListParagraph"/>
        <w:numPr>
          <w:ilvl w:val="0"/>
          <w:numId w:val="2"/>
        </w:numPr>
        <w:jc w:val="both"/>
        <w:rPr>
          <w:rFonts w:ascii="Times New Roman" w:hAnsi="Times New Roman" w:cs="Times New Roman"/>
          <w:sz w:val="24"/>
          <w:szCs w:val="24"/>
        </w:rPr>
      </w:pPr>
      <w:r w:rsidRPr="003C7672">
        <w:rPr>
          <w:rFonts w:ascii="Times New Roman" w:hAnsi="Times New Roman" w:cs="Times New Roman"/>
          <w:sz w:val="24"/>
          <w:szCs w:val="24"/>
        </w:rPr>
        <w:t>WHO. (2018). Children and malaria: Treating and protecting the most vulnerable. Medicines for Malaria Venture. https://www.mmv.org/newsroom/news-resources-search/children-and-malaria-treating-and-protecting-most-vulnerable</w:t>
      </w:r>
    </w:p>
    <w:p w14:paraId="2E022651" w14:textId="77777777" w:rsidR="00187C93" w:rsidRPr="003C7672" w:rsidRDefault="00187C93" w:rsidP="00187C93">
      <w:pPr>
        <w:pStyle w:val="ListParagraph"/>
        <w:numPr>
          <w:ilvl w:val="0"/>
          <w:numId w:val="2"/>
        </w:numPr>
        <w:jc w:val="both"/>
        <w:rPr>
          <w:rFonts w:ascii="Times New Roman" w:hAnsi="Times New Roman" w:cs="Times New Roman"/>
          <w:sz w:val="24"/>
          <w:szCs w:val="24"/>
        </w:rPr>
      </w:pPr>
      <w:r w:rsidRPr="003C7672">
        <w:rPr>
          <w:rFonts w:ascii="Times New Roman" w:hAnsi="Times New Roman" w:cs="Times New Roman"/>
          <w:sz w:val="24"/>
          <w:szCs w:val="24"/>
        </w:rPr>
        <w:t xml:space="preserve">Njua-Yafi, C., </w:t>
      </w:r>
      <w:proofErr w:type="spellStart"/>
      <w:r w:rsidRPr="003C7672">
        <w:rPr>
          <w:rFonts w:ascii="Times New Roman" w:hAnsi="Times New Roman" w:cs="Times New Roman"/>
          <w:sz w:val="24"/>
          <w:szCs w:val="24"/>
        </w:rPr>
        <w:t>Achidi</w:t>
      </w:r>
      <w:proofErr w:type="spellEnd"/>
      <w:r w:rsidRPr="003C7672">
        <w:rPr>
          <w:rFonts w:ascii="Times New Roman" w:hAnsi="Times New Roman" w:cs="Times New Roman"/>
          <w:sz w:val="24"/>
          <w:szCs w:val="24"/>
        </w:rPr>
        <w:t xml:space="preserve">, E. A., </w:t>
      </w:r>
      <w:proofErr w:type="spellStart"/>
      <w:r w:rsidRPr="003C7672">
        <w:rPr>
          <w:rFonts w:ascii="Times New Roman" w:hAnsi="Times New Roman" w:cs="Times New Roman"/>
          <w:sz w:val="24"/>
          <w:szCs w:val="24"/>
        </w:rPr>
        <w:t>Anchang-Kimbi</w:t>
      </w:r>
      <w:proofErr w:type="spellEnd"/>
      <w:r w:rsidRPr="003C7672">
        <w:rPr>
          <w:rFonts w:ascii="Times New Roman" w:hAnsi="Times New Roman" w:cs="Times New Roman"/>
          <w:sz w:val="24"/>
          <w:szCs w:val="24"/>
        </w:rPr>
        <w:t xml:space="preserve">, J. K., </w:t>
      </w:r>
      <w:proofErr w:type="spellStart"/>
      <w:r w:rsidRPr="003C7672">
        <w:rPr>
          <w:rFonts w:ascii="Times New Roman" w:hAnsi="Times New Roman" w:cs="Times New Roman"/>
          <w:sz w:val="24"/>
          <w:szCs w:val="24"/>
        </w:rPr>
        <w:t>Apinjoh</w:t>
      </w:r>
      <w:proofErr w:type="spellEnd"/>
      <w:r w:rsidRPr="003C7672">
        <w:rPr>
          <w:rFonts w:ascii="Times New Roman" w:hAnsi="Times New Roman" w:cs="Times New Roman"/>
          <w:sz w:val="24"/>
          <w:szCs w:val="24"/>
        </w:rPr>
        <w:t xml:space="preserve">, T. O., </w:t>
      </w:r>
      <w:proofErr w:type="spellStart"/>
      <w:r w:rsidRPr="003C7672">
        <w:rPr>
          <w:rFonts w:ascii="Times New Roman" w:hAnsi="Times New Roman" w:cs="Times New Roman"/>
          <w:sz w:val="24"/>
          <w:szCs w:val="24"/>
        </w:rPr>
        <w:t>Mugri</w:t>
      </w:r>
      <w:proofErr w:type="spellEnd"/>
      <w:r w:rsidRPr="003C7672">
        <w:rPr>
          <w:rFonts w:ascii="Times New Roman" w:hAnsi="Times New Roman" w:cs="Times New Roman"/>
          <w:sz w:val="24"/>
          <w:szCs w:val="24"/>
        </w:rPr>
        <w:t xml:space="preserve">, R. N., Chi, H. F., Tata, R. B., </w:t>
      </w:r>
      <w:proofErr w:type="spellStart"/>
      <w:r w:rsidRPr="003C7672">
        <w:rPr>
          <w:rFonts w:ascii="Times New Roman" w:hAnsi="Times New Roman" w:cs="Times New Roman"/>
          <w:sz w:val="24"/>
          <w:szCs w:val="24"/>
        </w:rPr>
        <w:t>Njumkeng</w:t>
      </w:r>
      <w:proofErr w:type="spellEnd"/>
      <w:r w:rsidRPr="003C7672">
        <w:rPr>
          <w:rFonts w:ascii="Times New Roman" w:hAnsi="Times New Roman" w:cs="Times New Roman"/>
          <w:sz w:val="24"/>
          <w:szCs w:val="24"/>
        </w:rPr>
        <w:t xml:space="preserve">, C., </w:t>
      </w:r>
      <w:proofErr w:type="spellStart"/>
      <w:r w:rsidRPr="003C7672">
        <w:rPr>
          <w:rFonts w:ascii="Times New Roman" w:hAnsi="Times New Roman" w:cs="Times New Roman"/>
          <w:sz w:val="24"/>
          <w:szCs w:val="24"/>
        </w:rPr>
        <w:t>Nkock</w:t>
      </w:r>
      <w:proofErr w:type="spellEnd"/>
      <w:r w:rsidRPr="003C7672">
        <w:rPr>
          <w:rFonts w:ascii="Times New Roman" w:hAnsi="Times New Roman" w:cs="Times New Roman"/>
          <w:sz w:val="24"/>
          <w:szCs w:val="24"/>
        </w:rPr>
        <w:t xml:space="preserve">, E. N., &amp; </w:t>
      </w:r>
      <w:proofErr w:type="spellStart"/>
      <w:r w:rsidRPr="003C7672">
        <w:rPr>
          <w:rFonts w:ascii="Times New Roman" w:hAnsi="Times New Roman" w:cs="Times New Roman"/>
          <w:sz w:val="24"/>
          <w:szCs w:val="24"/>
        </w:rPr>
        <w:t>Nkuo-Akenji</w:t>
      </w:r>
      <w:proofErr w:type="spellEnd"/>
      <w:r w:rsidRPr="003C7672">
        <w:rPr>
          <w:rFonts w:ascii="Times New Roman" w:hAnsi="Times New Roman" w:cs="Times New Roman"/>
          <w:sz w:val="24"/>
          <w:szCs w:val="24"/>
        </w:rPr>
        <w:t xml:space="preserve">, T. (2016). Malaria, helminths, co-infection and </w:t>
      </w:r>
      <w:proofErr w:type="spellStart"/>
      <w:r w:rsidRPr="003C7672">
        <w:rPr>
          <w:rFonts w:ascii="Times New Roman" w:hAnsi="Times New Roman" w:cs="Times New Roman"/>
          <w:sz w:val="24"/>
          <w:szCs w:val="24"/>
        </w:rPr>
        <w:t>anaemia</w:t>
      </w:r>
      <w:proofErr w:type="spellEnd"/>
      <w:r w:rsidRPr="003C7672">
        <w:rPr>
          <w:rFonts w:ascii="Times New Roman" w:hAnsi="Times New Roman" w:cs="Times New Roman"/>
          <w:sz w:val="24"/>
          <w:szCs w:val="24"/>
        </w:rPr>
        <w:t xml:space="preserve"> in a cohort of children from </w:t>
      </w:r>
      <w:proofErr w:type="spellStart"/>
      <w:r w:rsidRPr="003C7672">
        <w:rPr>
          <w:rFonts w:ascii="Times New Roman" w:hAnsi="Times New Roman" w:cs="Times New Roman"/>
          <w:sz w:val="24"/>
          <w:szCs w:val="24"/>
        </w:rPr>
        <w:t>Mutengene</w:t>
      </w:r>
      <w:proofErr w:type="spellEnd"/>
      <w:r w:rsidRPr="003C7672">
        <w:rPr>
          <w:rFonts w:ascii="Times New Roman" w:hAnsi="Times New Roman" w:cs="Times New Roman"/>
          <w:sz w:val="24"/>
          <w:szCs w:val="24"/>
        </w:rPr>
        <w:t xml:space="preserve">, south western Cameroon. </w:t>
      </w:r>
      <w:r w:rsidRPr="003C7672">
        <w:rPr>
          <w:rFonts w:ascii="Times New Roman" w:hAnsi="Times New Roman" w:cs="Times New Roman"/>
          <w:i/>
          <w:sz w:val="24"/>
          <w:szCs w:val="24"/>
        </w:rPr>
        <w:t>Malaria</w:t>
      </w:r>
      <w:r w:rsidRPr="003C7672">
        <w:rPr>
          <w:rFonts w:ascii="Times New Roman" w:hAnsi="Times New Roman" w:cs="Times New Roman"/>
          <w:sz w:val="24"/>
          <w:szCs w:val="24"/>
        </w:rPr>
        <w:t xml:space="preserve"> </w:t>
      </w:r>
      <w:r w:rsidRPr="003C7672">
        <w:rPr>
          <w:rFonts w:ascii="Times New Roman" w:hAnsi="Times New Roman" w:cs="Times New Roman"/>
          <w:i/>
          <w:sz w:val="24"/>
          <w:szCs w:val="24"/>
        </w:rPr>
        <w:t>Journal</w:t>
      </w:r>
      <w:r w:rsidRPr="003C7672">
        <w:rPr>
          <w:rFonts w:ascii="Times New Roman" w:hAnsi="Times New Roman" w:cs="Times New Roman"/>
          <w:sz w:val="24"/>
          <w:szCs w:val="24"/>
        </w:rPr>
        <w:t>, 15(1), 69. https://doi.org/10.1186/s12936-016-1111-2</w:t>
      </w:r>
    </w:p>
    <w:p w14:paraId="2384AFFE" w14:textId="77777777" w:rsidR="00187C93" w:rsidRPr="003C7672" w:rsidRDefault="00187C93" w:rsidP="00187C93">
      <w:pPr>
        <w:pStyle w:val="ListParagraph"/>
        <w:numPr>
          <w:ilvl w:val="0"/>
          <w:numId w:val="2"/>
        </w:numPr>
        <w:jc w:val="both"/>
        <w:rPr>
          <w:rFonts w:ascii="Times New Roman" w:hAnsi="Times New Roman" w:cs="Times New Roman"/>
          <w:sz w:val="24"/>
          <w:szCs w:val="24"/>
        </w:rPr>
      </w:pPr>
      <w:r w:rsidRPr="003C7672">
        <w:rPr>
          <w:rFonts w:ascii="Times New Roman" w:hAnsi="Times New Roman" w:cs="Times New Roman"/>
          <w:sz w:val="24"/>
          <w:szCs w:val="24"/>
        </w:rPr>
        <w:t xml:space="preserve">Dyer, C. E. F., Ng-Nguyen, D., Clarke, N. E., Hii, S. F., Nguyen, H. Q., Nguyen, V.-A. T., Nguyen, T. V., Nguyen, T. V., Ngo, T. T., Herath, H. M. P. D., Wand, H., </w:t>
      </w:r>
      <w:proofErr w:type="spellStart"/>
      <w:r w:rsidRPr="003C7672">
        <w:rPr>
          <w:rFonts w:ascii="Times New Roman" w:hAnsi="Times New Roman" w:cs="Times New Roman"/>
          <w:sz w:val="24"/>
          <w:szCs w:val="24"/>
        </w:rPr>
        <w:t>Coffeng</w:t>
      </w:r>
      <w:proofErr w:type="spellEnd"/>
      <w:r w:rsidRPr="003C7672">
        <w:rPr>
          <w:rFonts w:ascii="Times New Roman" w:hAnsi="Times New Roman" w:cs="Times New Roman"/>
          <w:sz w:val="24"/>
          <w:szCs w:val="24"/>
        </w:rPr>
        <w:t xml:space="preserve">, L. E., Marshall, J. C., Gray, D. J., Anderson, R. M., Clements, A. C. A., Kaldor, J. M., Traub, R. J., &amp; Vaz Nery, S. (2023). Community-wide versus school-based targeted deworming for soil-transmitted helminth control in school-aged children in Vietnam: The </w:t>
      </w:r>
      <w:proofErr w:type="spellStart"/>
      <w:r w:rsidRPr="003C7672">
        <w:rPr>
          <w:rFonts w:ascii="Times New Roman" w:hAnsi="Times New Roman" w:cs="Times New Roman"/>
          <w:sz w:val="24"/>
          <w:szCs w:val="24"/>
        </w:rPr>
        <w:t>CoDe</w:t>
      </w:r>
      <w:proofErr w:type="spellEnd"/>
      <w:r w:rsidRPr="003C7672">
        <w:rPr>
          <w:rFonts w:ascii="Times New Roman" w:hAnsi="Times New Roman" w:cs="Times New Roman"/>
          <w:sz w:val="24"/>
          <w:szCs w:val="24"/>
        </w:rPr>
        <w:t>-STH cluster-</w:t>
      </w:r>
      <w:proofErr w:type="spellStart"/>
      <w:r w:rsidRPr="003C7672">
        <w:rPr>
          <w:rFonts w:ascii="Times New Roman" w:hAnsi="Times New Roman" w:cs="Times New Roman"/>
          <w:sz w:val="24"/>
          <w:szCs w:val="24"/>
        </w:rPr>
        <w:t>randomised</w:t>
      </w:r>
      <w:proofErr w:type="spellEnd"/>
      <w:r w:rsidRPr="003C7672">
        <w:rPr>
          <w:rFonts w:ascii="Times New Roman" w:hAnsi="Times New Roman" w:cs="Times New Roman"/>
          <w:sz w:val="24"/>
          <w:szCs w:val="24"/>
        </w:rPr>
        <w:t xml:space="preserve"> controlled trial. </w:t>
      </w:r>
      <w:r w:rsidRPr="003C7672">
        <w:rPr>
          <w:rFonts w:ascii="Times New Roman" w:hAnsi="Times New Roman" w:cs="Times New Roman"/>
          <w:i/>
          <w:sz w:val="24"/>
          <w:szCs w:val="24"/>
        </w:rPr>
        <w:t>The Lancet Regional Health: Western Pacific</w:t>
      </w:r>
      <w:r w:rsidRPr="003C7672">
        <w:rPr>
          <w:rFonts w:ascii="Times New Roman" w:hAnsi="Times New Roman" w:cs="Times New Roman"/>
          <w:sz w:val="24"/>
          <w:szCs w:val="24"/>
        </w:rPr>
        <w:t>, 41, 100920. https://doi.org/10.1016/j.lanwpc.2023.100920</w:t>
      </w:r>
    </w:p>
    <w:p w14:paraId="34607073" w14:textId="77777777" w:rsidR="00187C93" w:rsidRPr="003C7672" w:rsidRDefault="00187C93" w:rsidP="00187C93">
      <w:pPr>
        <w:pStyle w:val="ListParagraph"/>
        <w:numPr>
          <w:ilvl w:val="0"/>
          <w:numId w:val="2"/>
        </w:numPr>
        <w:jc w:val="both"/>
        <w:rPr>
          <w:rFonts w:ascii="Times New Roman" w:hAnsi="Times New Roman" w:cs="Times New Roman"/>
          <w:sz w:val="24"/>
          <w:szCs w:val="24"/>
        </w:rPr>
      </w:pPr>
      <w:r w:rsidRPr="003C7672">
        <w:rPr>
          <w:rFonts w:ascii="Times New Roman" w:hAnsi="Times New Roman" w:cs="Times New Roman"/>
          <w:sz w:val="24"/>
          <w:szCs w:val="24"/>
        </w:rPr>
        <w:t xml:space="preserve">Midzi, N., </w:t>
      </w:r>
      <w:proofErr w:type="spellStart"/>
      <w:r w:rsidRPr="003C7672">
        <w:rPr>
          <w:rFonts w:ascii="Times New Roman" w:hAnsi="Times New Roman" w:cs="Times New Roman"/>
          <w:sz w:val="24"/>
          <w:szCs w:val="24"/>
        </w:rPr>
        <w:t>Mtapuri-Zinyowera</w:t>
      </w:r>
      <w:proofErr w:type="spellEnd"/>
      <w:r w:rsidRPr="003C7672">
        <w:rPr>
          <w:rFonts w:ascii="Times New Roman" w:hAnsi="Times New Roman" w:cs="Times New Roman"/>
          <w:sz w:val="24"/>
          <w:szCs w:val="24"/>
        </w:rPr>
        <w:t xml:space="preserve">, S., </w:t>
      </w:r>
      <w:proofErr w:type="spellStart"/>
      <w:r w:rsidRPr="003C7672">
        <w:rPr>
          <w:rFonts w:ascii="Times New Roman" w:hAnsi="Times New Roman" w:cs="Times New Roman"/>
          <w:sz w:val="24"/>
          <w:szCs w:val="24"/>
        </w:rPr>
        <w:t>Sangweme</w:t>
      </w:r>
      <w:proofErr w:type="spellEnd"/>
      <w:r w:rsidRPr="003C7672">
        <w:rPr>
          <w:rFonts w:ascii="Times New Roman" w:hAnsi="Times New Roman" w:cs="Times New Roman"/>
          <w:sz w:val="24"/>
          <w:szCs w:val="24"/>
        </w:rPr>
        <w:t xml:space="preserve">, D., Paul, N. H., </w:t>
      </w:r>
      <w:proofErr w:type="spellStart"/>
      <w:r w:rsidRPr="003C7672">
        <w:rPr>
          <w:rFonts w:ascii="Times New Roman" w:hAnsi="Times New Roman" w:cs="Times New Roman"/>
          <w:sz w:val="24"/>
          <w:szCs w:val="24"/>
        </w:rPr>
        <w:t>Makware</w:t>
      </w:r>
      <w:proofErr w:type="spellEnd"/>
      <w:r w:rsidRPr="003C7672">
        <w:rPr>
          <w:rFonts w:ascii="Times New Roman" w:hAnsi="Times New Roman" w:cs="Times New Roman"/>
          <w:sz w:val="24"/>
          <w:szCs w:val="24"/>
        </w:rPr>
        <w:t xml:space="preserve">, G., </w:t>
      </w:r>
      <w:proofErr w:type="spellStart"/>
      <w:r w:rsidRPr="003C7672">
        <w:rPr>
          <w:rFonts w:ascii="Times New Roman" w:hAnsi="Times New Roman" w:cs="Times New Roman"/>
          <w:sz w:val="24"/>
          <w:szCs w:val="24"/>
        </w:rPr>
        <w:t>Mapingure</w:t>
      </w:r>
      <w:proofErr w:type="spellEnd"/>
      <w:r w:rsidRPr="003C7672">
        <w:rPr>
          <w:rFonts w:ascii="Times New Roman" w:hAnsi="Times New Roman" w:cs="Times New Roman"/>
          <w:sz w:val="24"/>
          <w:szCs w:val="24"/>
        </w:rPr>
        <w:t xml:space="preserve">, M. P., Brouwer, K. C., </w:t>
      </w:r>
      <w:proofErr w:type="spellStart"/>
      <w:r w:rsidRPr="003C7672">
        <w:rPr>
          <w:rFonts w:ascii="Times New Roman" w:hAnsi="Times New Roman" w:cs="Times New Roman"/>
          <w:sz w:val="24"/>
          <w:szCs w:val="24"/>
        </w:rPr>
        <w:t>Mudzori</w:t>
      </w:r>
      <w:proofErr w:type="spellEnd"/>
      <w:r w:rsidRPr="003C7672">
        <w:rPr>
          <w:rFonts w:ascii="Times New Roman" w:hAnsi="Times New Roman" w:cs="Times New Roman"/>
          <w:sz w:val="24"/>
          <w:szCs w:val="24"/>
        </w:rPr>
        <w:t xml:space="preserve">, J., </w:t>
      </w:r>
      <w:proofErr w:type="spellStart"/>
      <w:r w:rsidRPr="003C7672">
        <w:rPr>
          <w:rFonts w:ascii="Times New Roman" w:hAnsi="Times New Roman" w:cs="Times New Roman"/>
          <w:sz w:val="24"/>
          <w:szCs w:val="24"/>
        </w:rPr>
        <w:t>Hlerema</w:t>
      </w:r>
      <w:proofErr w:type="spellEnd"/>
      <w:r w:rsidRPr="003C7672">
        <w:rPr>
          <w:rFonts w:ascii="Times New Roman" w:hAnsi="Times New Roman" w:cs="Times New Roman"/>
          <w:sz w:val="24"/>
          <w:szCs w:val="24"/>
        </w:rPr>
        <w:t xml:space="preserve">, G., </w:t>
      </w:r>
      <w:proofErr w:type="spellStart"/>
      <w:r w:rsidRPr="003C7672">
        <w:rPr>
          <w:rFonts w:ascii="Times New Roman" w:hAnsi="Times New Roman" w:cs="Times New Roman"/>
          <w:sz w:val="24"/>
          <w:szCs w:val="24"/>
        </w:rPr>
        <w:t>Chadukura</w:t>
      </w:r>
      <w:proofErr w:type="spellEnd"/>
      <w:r w:rsidRPr="003C7672">
        <w:rPr>
          <w:rFonts w:ascii="Times New Roman" w:hAnsi="Times New Roman" w:cs="Times New Roman"/>
          <w:sz w:val="24"/>
          <w:szCs w:val="24"/>
        </w:rPr>
        <w:t xml:space="preserve">, V., Mutapi, F., Kumar, N., &amp; </w:t>
      </w:r>
      <w:proofErr w:type="spellStart"/>
      <w:r w:rsidRPr="003C7672">
        <w:rPr>
          <w:rFonts w:ascii="Times New Roman" w:hAnsi="Times New Roman" w:cs="Times New Roman"/>
          <w:sz w:val="24"/>
          <w:szCs w:val="24"/>
        </w:rPr>
        <w:t>Mduluza</w:t>
      </w:r>
      <w:proofErr w:type="spellEnd"/>
      <w:r w:rsidRPr="003C7672">
        <w:rPr>
          <w:rFonts w:ascii="Times New Roman" w:hAnsi="Times New Roman" w:cs="Times New Roman"/>
          <w:sz w:val="24"/>
          <w:szCs w:val="24"/>
        </w:rPr>
        <w:t>, T. (2011). Efficacy of integrated school based de-worming and prompt malaria treatment on helminths -</w:t>
      </w:r>
      <w:r w:rsidRPr="003C7672">
        <w:rPr>
          <w:rFonts w:ascii="Times New Roman" w:hAnsi="Times New Roman" w:cs="Times New Roman"/>
          <w:i/>
          <w:sz w:val="24"/>
          <w:szCs w:val="24"/>
        </w:rPr>
        <w:t>Plasmodium</w:t>
      </w:r>
      <w:r w:rsidRPr="003C7672">
        <w:rPr>
          <w:rFonts w:ascii="Times New Roman" w:hAnsi="Times New Roman" w:cs="Times New Roman"/>
          <w:sz w:val="24"/>
          <w:szCs w:val="24"/>
        </w:rPr>
        <w:t xml:space="preserve"> falciparum co-infections: A 33 months follow up study. </w:t>
      </w:r>
      <w:r w:rsidRPr="003C7672">
        <w:rPr>
          <w:rFonts w:ascii="Times New Roman" w:hAnsi="Times New Roman" w:cs="Times New Roman"/>
          <w:i/>
          <w:sz w:val="24"/>
          <w:szCs w:val="24"/>
        </w:rPr>
        <w:t>BMC International Health and Human</w:t>
      </w:r>
      <w:r w:rsidRPr="003C7672">
        <w:rPr>
          <w:rFonts w:ascii="Times New Roman" w:hAnsi="Times New Roman" w:cs="Times New Roman"/>
          <w:sz w:val="24"/>
          <w:szCs w:val="24"/>
        </w:rPr>
        <w:t xml:space="preserve"> </w:t>
      </w:r>
      <w:r w:rsidRPr="003C7672">
        <w:rPr>
          <w:rFonts w:ascii="Times New Roman" w:hAnsi="Times New Roman" w:cs="Times New Roman"/>
          <w:i/>
          <w:sz w:val="24"/>
          <w:szCs w:val="24"/>
        </w:rPr>
        <w:t>Rights</w:t>
      </w:r>
      <w:r w:rsidRPr="003C7672">
        <w:rPr>
          <w:rFonts w:ascii="Times New Roman" w:hAnsi="Times New Roman" w:cs="Times New Roman"/>
          <w:sz w:val="24"/>
          <w:szCs w:val="24"/>
        </w:rPr>
        <w:t>, 11, 9. https://doi.org/10.1186/1472-698X-11-9</w:t>
      </w:r>
    </w:p>
    <w:p w14:paraId="72C6C90F" w14:textId="77777777" w:rsidR="00187C93" w:rsidRPr="003C7672" w:rsidRDefault="00187C93" w:rsidP="00187C93">
      <w:pPr>
        <w:pStyle w:val="ListParagraph"/>
        <w:numPr>
          <w:ilvl w:val="0"/>
          <w:numId w:val="2"/>
        </w:numPr>
        <w:jc w:val="both"/>
        <w:rPr>
          <w:rFonts w:ascii="Times New Roman" w:hAnsi="Times New Roman" w:cs="Times New Roman"/>
          <w:sz w:val="24"/>
          <w:szCs w:val="24"/>
        </w:rPr>
      </w:pPr>
      <w:r w:rsidRPr="003C7672">
        <w:rPr>
          <w:rFonts w:ascii="Times New Roman" w:hAnsi="Times New Roman" w:cs="Times New Roman"/>
          <w:sz w:val="24"/>
          <w:szCs w:val="24"/>
        </w:rPr>
        <w:t xml:space="preserve">Afolabi, M. O., Ale, B. M., </w:t>
      </w:r>
      <w:proofErr w:type="spellStart"/>
      <w:r w:rsidRPr="003C7672">
        <w:rPr>
          <w:rFonts w:ascii="Times New Roman" w:hAnsi="Times New Roman" w:cs="Times New Roman"/>
          <w:sz w:val="24"/>
          <w:szCs w:val="24"/>
        </w:rPr>
        <w:t>Dabira</w:t>
      </w:r>
      <w:proofErr w:type="spellEnd"/>
      <w:r w:rsidRPr="003C7672">
        <w:rPr>
          <w:rFonts w:ascii="Times New Roman" w:hAnsi="Times New Roman" w:cs="Times New Roman"/>
          <w:sz w:val="24"/>
          <w:szCs w:val="24"/>
        </w:rPr>
        <w:t xml:space="preserve">, E. D., </w:t>
      </w:r>
      <w:proofErr w:type="spellStart"/>
      <w:r w:rsidRPr="003C7672">
        <w:rPr>
          <w:rFonts w:ascii="Times New Roman" w:hAnsi="Times New Roman" w:cs="Times New Roman"/>
          <w:sz w:val="24"/>
          <w:szCs w:val="24"/>
        </w:rPr>
        <w:t>Agbla</w:t>
      </w:r>
      <w:proofErr w:type="spellEnd"/>
      <w:r w:rsidRPr="003C7672">
        <w:rPr>
          <w:rFonts w:ascii="Times New Roman" w:hAnsi="Times New Roman" w:cs="Times New Roman"/>
          <w:sz w:val="24"/>
          <w:szCs w:val="24"/>
        </w:rPr>
        <w:t xml:space="preserve">, S. C., </w:t>
      </w:r>
      <w:proofErr w:type="spellStart"/>
      <w:r w:rsidRPr="003C7672">
        <w:rPr>
          <w:rFonts w:ascii="Times New Roman" w:hAnsi="Times New Roman" w:cs="Times New Roman"/>
          <w:sz w:val="24"/>
          <w:szCs w:val="24"/>
        </w:rPr>
        <w:t>Bustinduy</w:t>
      </w:r>
      <w:proofErr w:type="spellEnd"/>
      <w:r w:rsidRPr="003C7672">
        <w:rPr>
          <w:rFonts w:ascii="Times New Roman" w:hAnsi="Times New Roman" w:cs="Times New Roman"/>
          <w:sz w:val="24"/>
          <w:szCs w:val="24"/>
        </w:rPr>
        <w:t xml:space="preserve">, A. L., Ndiaye, J. L. A., &amp; Greenwood, B. (2021). Malaria and helminth co-infections in children living in endemic </w:t>
      </w:r>
      <w:r w:rsidRPr="003C7672">
        <w:rPr>
          <w:rFonts w:ascii="Times New Roman" w:hAnsi="Times New Roman" w:cs="Times New Roman"/>
          <w:sz w:val="24"/>
          <w:szCs w:val="24"/>
        </w:rPr>
        <w:lastRenderedPageBreak/>
        <w:t xml:space="preserve">countries: A systematic review with meta-analysis. </w:t>
      </w:r>
      <w:r w:rsidRPr="003C7672">
        <w:rPr>
          <w:rFonts w:ascii="Times New Roman" w:hAnsi="Times New Roman" w:cs="Times New Roman"/>
          <w:i/>
          <w:sz w:val="24"/>
          <w:szCs w:val="24"/>
        </w:rPr>
        <w:t>PLOS Neglected Tropical Diseases</w:t>
      </w:r>
      <w:r w:rsidRPr="003C7672">
        <w:rPr>
          <w:rFonts w:ascii="Times New Roman" w:hAnsi="Times New Roman" w:cs="Times New Roman"/>
          <w:sz w:val="24"/>
          <w:szCs w:val="24"/>
        </w:rPr>
        <w:t>, 15(2), e0009138. https://doi.org/10.1371/journal.pntd.0009138</w:t>
      </w:r>
    </w:p>
    <w:p w14:paraId="4F1C4A1F" w14:textId="77777777" w:rsidR="00187C93" w:rsidRPr="003C7672" w:rsidRDefault="00187C93" w:rsidP="00187C93">
      <w:pPr>
        <w:pStyle w:val="ListParagraph"/>
        <w:numPr>
          <w:ilvl w:val="0"/>
          <w:numId w:val="2"/>
        </w:numPr>
        <w:jc w:val="both"/>
        <w:rPr>
          <w:rFonts w:ascii="Times New Roman" w:hAnsi="Times New Roman" w:cs="Times New Roman"/>
          <w:sz w:val="24"/>
          <w:szCs w:val="24"/>
        </w:rPr>
      </w:pPr>
      <w:proofErr w:type="spellStart"/>
      <w:r w:rsidRPr="003C7672">
        <w:rPr>
          <w:rFonts w:ascii="Times New Roman" w:hAnsi="Times New Roman" w:cs="Times New Roman"/>
          <w:sz w:val="24"/>
          <w:szCs w:val="24"/>
        </w:rPr>
        <w:t>Meñe</w:t>
      </w:r>
      <w:proofErr w:type="spellEnd"/>
      <w:r w:rsidRPr="003C7672">
        <w:rPr>
          <w:rFonts w:ascii="Times New Roman" w:hAnsi="Times New Roman" w:cs="Times New Roman"/>
          <w:sz w:val="24"/>
          <w:szCs w:val="24"/>
        </w:rPr>
        <w:t xml:space="preserve">, G. R., </w:t>
      </w:r>
      <w:proofErr w:type="spellStart"/>
      <w:r w:rsidRPr="003C7672">
        <w:rPr>
          <w:rFonts w:ascii="Times New Roman" w:hAnsi="Times New Roman" w:cs="Times New Roman"/>
          <w:sz w:val="24"/>
          <w:szCs w:val="24"/>
        </w:rPr>
        <w:t>Mpina</w:t>
      </w:r>
      <w:proofErr w:type="spellEnd"/>
      <w:r w:rsidRPr="003C7672">
        <w:rPr>
          <w:rFonts w:ascii="Times New Roman" w:hAnsi="Times New Roman" w:cs="Times New Roman"/>
          <w:sz w:val="24"/>
          <w:szCs w:val="24"/>
        </w:rPr>
        <w:t xml:space="preserve">, M. G., Lopelo, A., </w:t>
      </w:r>
      <w:proofErr w:type="spellStart"/>
      <w:r w:rsidRPr="003C7672">
        <w:rPr>
          <w:rFonts w:ascii="Times New Roman" w:hAnsi="Times New Roman" w:cs="Times New Roman"/>
          <w:sz w:val="24"/>
          <w:szCs w:val="24"/>
        </w:rPr>
        <w:t>Nyakarungu</w:t>
      </w:r>
      <w:proofErr w:type="spellEnd"/>
      <w:r w:rsidRPr="003C7672">
        <w:rPr>
          <w:rFonts w:ascii="Times New Roman" w:hAnsi="Times New Roman" w:cs="Times New Roman"/>
          <w:sz w:val="24"/>
          <w:szCs w:val="24"/>
        </w:rPr>
        <w:t xml:space="preserve">, E. L., </w:t>
      </w:r>
      <w:proofErr w:type="spellStart"/>
      <w:r w:rsidRPr="003C7672">
        <w:rPr>
          <w:rFonts w:ascii="Times New Roman" w:hAnsi="Times New Roman" w:cs="Times New Roman"/>
          <w:sz w:val="24"/>
          <w:szCs w:val="24"/>
        </w:rPr>
        <w:t>Bijeri</w:t>
      </w:r>
      <w:proofErr w:type="spellEnd"/>
      <w:r w:rsidRPr="003C7672">
        <w:rPr>
          <w:rFonts w:ascii="Times New Roman" w:hAnsi="Times New Roman" w:cs="Times New Roman"/>
          <w:sz w:val="24"/>
          <w:szCs w:val="24"/>
        </w:rPr>
        <w:t xml:space="preserve">, J. R., Elo, A. M. E., Ondo, F. A., Garcia, G. A., Phiri, W. P., Ali, A. M., Agobé, J. C. D., </w:t>
      </w:r>
      <w:proofErr w:type="spellStart"/>
      <w:r w:rsidRPr="003C7672">
        <w:rPr>
          <w:rFonts w:ascii="Times New Roman" w:hAnsi="Times New Roman" w:cs="Times New Roman"/>
          <w:sz w:val="24"/>
          <w:szCs w:val="24"/>
        </w:rPr>
        <w:t>Adegnika</w:t>
      </w:r>
      <w:proofErr w:type="spellEnd"/>
      <w:r w:rsidRPr="003C7672">
        <w:rPr>
          <w:rFonts w:ascii="Times New Roman" w:hAnsi="Times New Roman" w:cs="Times New Roman"/>
          <w:sz w:val="24"/>
          <w:szCs w:val="24"/>
        </w:rPr>
        <w:t xml:space="preserve">, A. A., &amp; Abdulla, S. M. (2023). Effects of Age, Gender and Soil-Transmitted Helminth Infection on Prevalence of Plasmodium Infection among Population Living in Bata District, Equatorial Guinea. </w:t>
      </w:r>
      <w:r w:rsidRPr="003C7672">
        <w:rPr>
          <w:rFonts w:ascii="Times New Roman" w:hAnsi="Times New Roman" w:cs="Times New Roman"/>
          <w:i/>
          <w:sz w:val="24"/>
          <w:szCs w:val="24"/>
        </w:rPr>
        <w:t>Tropical Medicine and Infectious Disease</w:t>
      </w:r>
      <w:r w:rsidRPr="003C7672">
        <w:rPr>
          <w:rFonts w:ascii="Times New Roman" w:hAnsi="Times New Roman" w:cs="Times New Roman"/>
          <w:sz w:val="24"/>
          <w:szCs w:val="24"/>
        </w:rPr>
        <w:t>, 8(3), 149. https://doi.org/10.3390/tropicalmed8030149</w:t>
      </w:r>
    </w:p>
    <w:p w14:paraId="0B5462E7" w14:textId="77777777" w:rsidR="00187C93" w:rsidRPr="003C7672" w:rsidRDefault="00187C93" w:rsidP="00187C93">
      <w:pPr>
        <w:pStyle w:val="ListParagraph"/>
        <w:numPr>
          <w:ilvl w:val="0"/>
          <w:numId w:val="2"/>
        </w:numPr>
        <w:jc w:val="both"/>
        <w:rPr>
          <w:rFonts w:ascii="Times New Roman" w:hAnsi="Times New Roman" w:cs="Times New Roman"/>
          <w:sz w:val="24"/>
          <w:szCs w:val="24"/>
        </w:rPr>
      </w:pPr>
      <w:r w:rsidRPr="003C7672">
        <w:rPr>
          <w:rFonts w:ascii="Times New Roman" w:hAnsi="Times New Roman" w:cs="Times New Roman"/>
          <w:sz w:val="24"/>
          <w:szCs w:val="24"/>
        </w:rPr>
        <w:t xml:space="preserve">Forson, A. O., Ayeh-Kumi, P. F., Mohammed, A. R., </w:t>
      </w:r>
      <w:proofErr w:type="spellStart"/>
      <w:r w:rsidRPr="003C7672">
        <w:rPr>
          <w:rFonts w:ascii="Times New Roman" w:hAnsi="Times New Roman" w:cs="Times New Roman"/>
          <w:sz w:val="24"/>
          <w:szCs w:val="24"/>
        </w:rPr>
        <w:t>Sraku</w:t>
      </w:r>
      <w:proofErr w:type="spellEnd"/>
      <w:r w:rsidRPr="003C7672">
        <w:rPr>
          <w:rFonts w:ascii="Times New Roman" w:hAnsi="Times New Roman" w:cs="Times New Roman"/>
          <w:sz w:val="24"/>
          <w:szCs w:val="24"/>
        </w:rPr>
        <w:t xml:space="preserve">, I. K., Myers-Hansen, G. A., &amp; </w:t>
      </w:r>
      <w:proofErr w:type="spellStart"/>
      <w:r w:rsidRPr="003C7672">
        <w:rPr>
          <w:rFonts w:ascii="Times New Roman" w:hAnsi="Times New Roman" w:cs="Times New Roman"/>
          <w:sz w:val="24"/>
          <w:szCs w:val="24"/>
        </w:rPr>
        <w:t>Afrane</w:t>
      </w:r>
      <w:proofErr w:type="spellEnd"/>
      <w:r w:rsidRPr="003C7672">
        <w:rPr>
          <w:rFonts w:ascii="Times New Roman" w:hAnsi="Times New Roman" w:cs="Times New Roman"/>
          <w:sz w:val="24"/>
          <w:szCs w:val="24"/>
        </w:rPr>
        <w:t xml:space="preserve">, Y. A. (2024). Knowledge, Perceptions, Challenges and opportunities in achieving sustainable coverage of mass drug administration towards the control and elimination of Schistosomiasis and Soil Transmitted Helminths in hard-to-reach communities of Ghana. </w:t>
      </w:r>
      <w:r w:rsidRPr="003C7672">
        <w:rPr>
          <w:rFonts w:ascii="Times New Roman" w:hAnsi="Times New Roman" w:cs="Times New Roman"/>
          <w:i/>
          <w:sz w:val="24"/>
          <w:szCs w:val="24"/>
        </w:rPr>
        <w:t>PLOS Neglected Tropical Diseases</w:t>
      </w:r>
      <w:r w:rsidRPr="003C7672">
        <w:rPr>
          <w:rFonts w:ascii="Times New Roman" w:hAnsi="Times New Roman" w:cs="Times New Roman"/>
          <w:sz w:val="24"/>
          <w:szCs w:val="24"/>
        </w:rPr>
        <w:t>, 18(11), e0012664. https://doi.org/10.1371/journal.pntd.0012664</w:t>
      </w:r>
    </w:p>
    <w:p w14:paraId="3F62F104" w14:textId="77777777" w:rsidR="00187C93" w:rsidRPr="00AF6D53" w:rsidRDefault="00187C93" w:rsidP="00187C93">
      <w:pPr>
        <w:ind w:left="360"/>
        <w:jc w:val="both"/>
        <w:rPr>
          <w:rFonts w:ascii="Times New Roman" w:hAnsi="Times New Roman" w:cs="Times New Roman"/>
          <w:sz w:val="24"/>
          <w:szCs w:val="24"/>
        </w:rPr>
      </w:pPr>
    </w:p>
    <w:p w14:paraId="51C4E9AA" w14:textId="77777777" w:rsidR="00187C93" w:rsidRDefault="00187C93" w:rsidP="006E1609">
      <w:pPr>
        <w:spacing w:after="0" w:line="360" w:lineRule="auto"/>
        <w:jc w:val="both"/>
        <w:rPr>
          <w:rFonts w:ascii="Times New Roman" w:hAnsi="Times New Roman" w:cs="Times New Roman"/>
          <w:sz w:val="24"/>
          <w:szCs w:val="24"/>
        </w:rPr>
      </w:pPr>
    </w:p>
    <w:sectPr w:rsidR="00187C93">
      <w:headerReference w:type="even" r:id="rId19"/>
      <w:headerReference w:type="default" r:id="rId20"/>
      <w:footerReference w:type="even" r:id="rId21"/>
      <w:footerReference w:type="default" r:id="rId22"/>
      <w:headerReference w:type="first" r:id="rId23"/>
      <w:footerReference w:type="first" r:id="rId24"/>
      <w:pgSz w:w="12240" w:h="15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A1A12" w14:textId="77777777" w:rsidR="0049389C" w:rsidRDefault="0049389C" w:rsidP="00E9057A">
      <w:pPr>
        <w:spacing w:after="0" w:line="240" w:lineRule="auto"/>
      </w:pPr>
      <w:r>
        <w:separator/>
      </w:r>
    </w:p>
  </w:endnote>
  <w:endnote w:type="continuationSeparator" w:id="0">
    <w:p w14:paraId="20492AAF" w14:textId="77777777" w:rsidR="0049389C" w:rsidRDefault="0049389C" w:rsidP="00E90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dvOTf0129623">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7BBEC" w14:textId="77777777" w:rsidR="001E5A26" w:rsidRDefault="001E5A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A97A2" w14:textId="77777777" w:rsidR="001E5A26" w:rsidRDefault="001E5A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AD33C" w14:textId="77777777" w:rsidR="001E5A26" w:rsidRDefault="001E5A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C174C" w14:textId="77777777" w:rsidR="0049389C" w:rsidRDefault="0049389C" w:rsidP="00E9057A">
      <w:pPr>
        <w:spacing w:after="0" w:line="240" w:lineRule="auto"/>
      </w:pPr>
      <w:r>
        <w:separator/>
      </w:r>
    </w:p>
  </w:footnote>
  <w:footnote w:type="continuationSeparator" w:id="0">
    <w:p w14:paraId="3378FF0A" w14:textId="77777777" w:rsidR="0049389C" w:rsidRDefault="0049389C" w:rsidP="00E905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C6AC7" w14:textId="2370CA67" w:rsidR="001E5A26" w:rsidRDefault="001E5A26">
    <w:pPr>
      <w:pStyle w:val="Header"/>
    </w:pPr>
    <w:r>
      <w:rPr>
        <w:noProof/>
      </w:rPr>
      <w:pict w14:anchorId="7B2A5E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992188" o:spid="_x0000_s2050" type="#_x0000_t136" style="position:absolute;margin-left:0;margin-top:0;width:557.8pt;height:105.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942AF" w14:textId="1FE73A42" w:rsidR="001E5A26" w:rsidRDefault="001E5A26">
    <w:pPr>
      <w:pStyle w:val="Header"/>
    </w:pPr>
    <w:r>
      <w:rPr>
        <w:noProof/>
      </w:rPr>
      <w:pict w14:anchorId="71DBFF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992189" o:spid="_x0000_s2051" type="#_x0000_t136" style="position:absolute;margin-left:0;margin-top:0;width:557.8pt;height:105.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AD6B1" w14:textId="135EECAE" w:rsidR="001E5A26" w:rsidRDefault="001E5A26">
    <w:pPr>
      <w:pStyle w:val="Header"/>
    </w:pPr>
    <w:r>
      <w:rPr>
        <w:noProof/>
      </w:rPr>
      <w:pict w14:anchorId="046AE1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992187" o:spid="_x0000_s2049" type="#_x0000_t136" style="position:absolute;margin-left:0;margin-top:0;width:557.8pt;height:105.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162955"/>
    <w:multiLevelType w:val="hybridMultilevel"/>
    <w:tmpl w:val="79507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195232"/>
    <w:multiLevelType w:val="multilevel"/>
    <w:tmpl w:val="306286FC"/>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649"/>
    <w:rsid w:val="00014B73"/>
    <w:rsid w:val="00021F59"/>
    <w:rsid w:val="0003316F"/>
    <w:rsid w:val="00100A61"/>
    <w:rsid w:val="00122AD0"/>
    <w:rsid w:val="0013514B"/>
    <w:rsid w:val="001572D1"/>
    <w:rsid w:val="00187C93"/>
    <w:rsid w:val="001A0CF9"/>
    <w:rsid w:val="001C6876"/>
    <w:rsid w:val="001E5A26"/>
    <w:rsid w:val="0021745C"/>
    <w:rsid w:val="00220456"/>
    <w:rsid w:val="00260FB2"/>
    <w:rsid w:val="002B4DC2"/>
    <w:rsid w:val="002C4025"/>
    <w:rsid w:val="00324337"/>
    <w:rsid w:val="00340BDB"/>
    <w:rsid w:val="0034587C"/>
    <w:rsid w:val="0035020E"/>
    <w:rsid w:val="003829DB"/>
    <w:rsid w:val="003A764E"/>
    <w:rsid w:val="003C7672"/>
    <w:rsid w:val="003E0CEA"/>
    <w:rsid w:val="0040149B"/>
    <w:rsid w:val="004110D8"/>
    <w:rsid w:val="004238A2"/>
    <w:rsid w:val="00444A39"/>
    <w:rsid w:val="00447BEB"/>
    <w:rsid w:val="0049389C"/>
    <w:rsid w:val="004D3992"/>
    <w:rsid w:val="004F20E9"/>
    <w:rsid w:val="0052057E"/>
    <w:rsid w:val="005302EB"/>
    <w:rsid w:val="0053252E"/>
    <w:rsid w:val="00556AE5"/>
    <w:rsid w:val="005764FF"/>
    <w:rsid w:val="00595EE8"/>
    <w:rsid w:val="005A1D8E"/>
    <w:rsid w:val="005D0D89"/>
    <w:rsid w:val="005D465F"/>
    <w:rsid w:val="005E2C50"/>
    <w:rsid w:val="005F0CED"/>
    <w:rsid w:val="0061257B"/>
    <w:rsid w:val="0061598C"/>
    <w:rsid w:val="006416EB"/>
    <w:rsid w:val="006E1609"/>
    <w:rsid w:val="006E3820"/>
    <w:rsid w:val="00700A57"/>
    <w:rsid w:val="00705C7F"/>
    <w:rsid w:val="007230F0"/>
    <w:rsid w:val="00730DC2"/>
    <w:rsid w:val="00752237"/>
    <w:rsid w:val="00776228"/>
    <w:rsid w:val="007971F6"/>
    <w:rsid w:val="007C431B"/>
    <w:rsid w:val="007E1CAA"/>
    <w:rsid w:val="0080304D"/>
    <w:rsid w:val="0080755E"/>
    <w:rsid w:val="008950FD"/>
    <w:rsid w:val="008A55F1"/>
    <w:rsid w:val="008B28DF"/>
    <w:rsid w:val="008D0560"/>
    <w:rsid w:val="00901F21"/>
    <w:rsid w:val="0095638F"/>
    <w:rsid w:val="0096714E"/>
    <w:rsid w:val="00974DBE"/>
    <w:rsid w:val="009A09C4"/>
    <w:rsid w:val="009B2B70"/>
    <w:rsid w:val="009D0826"/>
    <w:rsid w:val="009D14E8"/>
    <w:rsid w:val="00A04561"/>
    <w:rsid w:val="00A45649"/>
    <w:rsid w:val="00AF077F"/>
    <w:rsid w:val="00AF6D53"/>
    <w:rsid w:val="00AF7CC3"/>
    <w:rsid w:val="00B151AC"/>
    <w:rsid w:val="00B21F0A"/>
    <w:rsid w:val="00B22B33"/>
    <w:rsid w:val="00B61E90"/>
    <w:rsid w:val="00B64DB6"/>
    <w:rsid w:val="00B673ED"/>
    <w:rsid w:val="00B82FC6"/>
    <w:rsid w:val="00BF2198"/>
    <w:rsid w:val="00C048AD"/>
    <w:rsid w:val="00C33786"/>
    <w:rsid w:val="00C91FE3"/>
    <w:rsid w:val="00C93D8E"/>
    <w:rsid w:val="00CB1591"/>
    <w:rsid w:val="00CC7E64"/>
    <w:rsid w:val="00CE3D88"/>
    <w:rsid w:val="00D00496"/>
    <w:rsid w:val="00D54BB4"/>
    <w:rsid w:val="00E26117"/>
    <w:rsid w:val="00E40899"/>
    <w:rsid w:val="00E47EB1"/>
    <w:rsid w:val="00E65FE0"/>
    <w:rsid w:val="00E67AE6"/>
    <w:rsid w:val="00E9057A"/>
    <w:rsid w:val="00EB223A"/>
    <w:rsid w:val="00EB6357"/>
    <w:rsid w:val="00ED0DF7"/>
    <w:rsid w:val="00EE4A49"/>
    <w:rsid w:val="00F00CC2"/>
    <w:rsid w:val="00F25E70"/>
    <w:rsid w:val="00F50B23"/>
    <w:rsid w:val="00F80630"/>
    <w:rsid w:val="00F91DE1"/>
    <w:rsid w:val="00FA03F8"/>
    <w:rsid w:val="00FE0F86"/>
    <w:rsid w:val="00FE3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9CA232"/>
  <w15:chartTrackingRefBased/>
  <w15:docId w15:val="{0C3F3541-2E5B-4F6D-AE25-1B9112282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56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56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456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456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456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0CF9"/>
    <w:rPr>
      <w:color w:val="0000FF"/>
      <w:u w:val="single"/>
    </w:rPr>
  </w:style>
  <w:style w:type="paragraph" w:styleId="Bibliography">
    <w:name w:val="Bibliography"/>
    <w:basedOn w:val="Normal"/>
    <w:next w:val="Normal"/>
    <w:uiPriority w:val="37"/>
    <w:unhideWhenUsed/>
    <w:rsid w:val="00700A57"/>
  </w:style>
  <w:style w:type="paragraph" w:styleId="Header">
    <w:name w:val="header"/>
    <w:basedOn w:val="Normal"/>
    <w:link w:val="HeaderChar"/>
    <w:uiPriority w:val="99"/>
    <w:unhideWhenUsed/>
    <w:rsid w:val="00E9057A"/>
    <w:pPr>
      <w:tabs>
        <w:tab w:val="center" w:pos="4703"/>
        <w:tab w:val="right" w:pos="9406"/>
      </w:tabs>
      <w:spacing w:after="0" w:line="240" w:lineRule="auto"/>
    </w:pPr>
  </w:style>
  <w:style w:type="character" w:customStyle="1" w:styleId="HeaderChar">
    <w:name w:val="Header Char"/>
    <w:basedOn w:val="DefaultParagraphFont"/>
    <w:link w:val="Header"/>
    <w:uiPriority w:val="99"/>
    <w:rsid w:val="00E9057A"/>
  </w:style>
  <w:style w:type="paragraph" w:styleId="Footer">
    <w:name w:val="footer"/>
    <w:basedOn w:val="Normal"/>
    <w:link w:val="FooterChar"/>
    <w:uiPriority w:val="99"/>
    <w:unhideWhenUsed/>
    <w:rsid w:val="00E9057A"/>
    <w:pPr>
      <w:tabs>
        <w:tab w:val="center" w:pos="4703"/>
        <w:tab w:val="right" w:pos="9406"/>
      </w:tabs>
      <w:spacing w:after="0" w:line="240" w:lineRule="auto"/>
    </w:pPr>
  </w:style>
  <w:style w:type="character" w:customStyle="1" w:styleId="FooterChar">
    <w:name w:val="Footer Char"/>
    <w:basedOn w:val="DefaultParagraphFont"/>
    <w:link w:val="Footer"/>
    <w:uiPriority w:val="99"/>
    <w:rsid w:val="00E9057A"/>
  </w:style>
  <w:style w:type="paragraph" w:styleId="ListParagraph">
    <w:name w:val="List Paragraph"/>
    <w:basedOn w:val="Normal"/>
    <w:uiPriority w:val="34"/>
    <w:qFormat/>
    <w:rsid w:val="00187C93"/>
    <w:pPr>
      <w:ind w:left="720"/>
      <w:contextualSpacing/>
    </w:pPr>
  </w:style>
  <w:style w:type="paragraph" w:styleId="NormalWeb">
    <w:name w:val="Normal (Web)"/>
    <w:basedOn w:val="Normal"/>
    <w:uiPriority w:val="99"/>
    <w:unhideWhenUsed/>
    <w:rsid w:val="00021F5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356426">
      <w:bodyDiv w:val="1"/>
      <w:marLeft w:val="0"/>
      <w:marRight w:val="0"/>
      <w:marTop w:val="0"/>
      <w:marBottom w:val="0"/>
      <w:divBdr>
        <w:top w:val="none" w:sz="0" w:space="0" w:color="auto"/>
        <w:left w:val="none" w:sz="0" w:space="0" w:color="auto"/>
        <w:bottom w:val="none" w:sz="0" w:space="0" w:color="auto"/>
        <w:right w:val="none" w:sz="0" w:space="0" w:color="auto"/>
      </w:divBdr>
      <w:divsChild>
        <w:div w:id="1830754180">
          <w:marLeft w:val="0"/>
          <w:marRight w:val="0"/>
          <w:marTop w:val="0"/>
          <w:marBottom w:val="0"/>
          <w:divBdr>
            <w:top w:val="none" w:sz="0" w:space="0" w:color="auto"/>
            <w:left w:val="none" w:sz="0" w:space="0" w:color="auto"/>
            <w:bottom w:val="none" w:sz="0" w:space="0" w:color="auto"/>
            <w:right w:val="none" w:sz="0" w:space="0" w:color="auto"/>
          </w:divBdr>
          <w:divsChild>
            <w:div w:id="195002016">
              <w:marLeft w:val="0"/>
              <w:marRight w:val="0"/>
              <w:marTop w:val="0"/>
              <w:marBottom w:val="0"/>
              <w:divBdr>
                <w:top w:val="none" w:sz="0" w:space="0" w:color="auto"/>
                <w:left w:val="none" w:sz="0" w:space="0" w:color="auto"/>
                <w:bottom w:val="none" w:sz="0" w:space="0" w:color="auto"/>
                <w:right w:val="none" w:sz="0" w:space="0" w:color="auto"/>
              </w:divBdr>
              <w:divsChild>
                <w:div w:id="86005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786374">
      <w:bodyDiv w:val="1"/>
      <w:marLeft w:val="0"/>
      <w:marRight w:val="0"/>
      <w:marTop w:val="0"/>
      <w:marBottom w:val="0"/>
      <w:divBdr>
        <w:top w:val="none" w:sz="0" w:space="0" w:color="auto"/>
        <w:left w:val="none" w:sz="0" w:space="0" w:color="auto"/>
        <w:bottom w:val="none" w:sz="0" w:space="0" w:color="auto"/>
        <w:right w:val="none" w:sz="0" w:space="0" w:color="auto"/>
      </w:divBdr>
      <w:divsChild>
        <w:div w:id="1887526751">
          <w:marLeft w:val="0"/>
          <w:marRight w:val="0"/>
          <w:marTop w:val="0"/>
          <w:marBottom w:val="0"/>
          <w:divBdr>
            <w:top w:val="none" w:sz="0" w:space="0" w:color="auto"/>
            <w:left w:val="none" w:sz="0" w:space="0" w:color="auto"/>
            <w:bottom w:val="none" w:sz="0" w:space="0" w:color="auto"/>
            <w:right w:val="none" w:sz="0" w:space="0" w:color="auto"/>
          </w:divBdr>
          <w:divsChild>
            <w:div w:id="896356864">
              <w:marLeft w:val="0"/>
              <w:marRight w:val="0"/>
              <w:marTop w:val="0"/>
              <w:marBottom w:val="0"/>
              <w:divBdr>
                <w:top w:val="none" w:sz="0" w:space="0" w:color="auto"/>
                <w:left w:val="none" w:sz="0" w:space="0" w:color="auto"/>
                <w:bottom w:val="none" w:sz="0" w:space="0" w:color="auto"/>
                <w:right w:val="none" w:sz="0" w:space="0" w:color="auto"/>
              </w:divBdr>
              <w:divsChild>
                <w:div w:id="160133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yperlink" Target="https://doi.org/10.3347/kjp.2022.60.3.173"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chart" Target="charts/chart5.xml"/><Relationship Id="rId17" Type="http://schemas.openxmlformats.org/officeDocument/2006/relationships/hyperlink" Target="https://doi.org/10.4314/njpar.v41i1.1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371/journal.pntd.0002027"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38/s41598-023-37402-8" TargetMode="External"/><Relationship Id="rId23" Type="http://schemas.openxmlformats.org/officeDocument/2006/relationships/header" Target="header3.xml"/><Relationship Id="rId10" Type="http://schemas.openxmlformats.org/officeDocument/2006/relationships/chart" Target="charts/chart3.xm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www.mmv.org/malaria/about-malaria/malaria-facts-statistics-2025" TargetMode="Externa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1.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2.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3.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Sheet3!$A$2</c:f>
              <c:strCache>
                <c:ptCount val="1"/>
                <c:pt idx="0">
                  <c:v>Positive</c:v>
                </c:pt>
              </c:strCache>
            </c:strRef>
          </c:tx>
          <c:spPr>
            <a:solidFill>
              <a:srgbClr val="5B9BD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Sheet3!$B$1:$D$1</c:f>
              <c:strCache>
                <c:ptCount val="3"/>
                <c:pt idx="0">
                  <c:v>Malaria</c:v>
                </c:pt>
                <c:pt idx="1">
                  <c:v>STH</c:v>
                </c:pt>
                <c:pt idx="2">
                  <c:v>Coinfection</c:v>
                </c:pt>
              </c:strCache>
            </c:strRef>
          </c:cat>
          <c:val>
            <c:numRef>
              <c:f>Sheet3!$B$2:$D$2</c:f>
              <c:numCache>
                <c:formatCode>General</c:formatCode>
                <c:ptCount val="3"/>
                <c:pt idx="0">
                  <c:v>38.6</c:v>
                </c:pt>
                <c:pt idx="1">
                  <c:v>36.5</c:v>
                </c:pt>
                <c:pt idx="2">
                  <c:v>7.2</c:v>
                </c:pt>
              </c:numCache>
            </c:numRef>
          </c:val>
          <c:extLst>
            <c:ext xmlns:c16="http://schemas.microsoft.com/office/drawing/2014/chart" uri="{C3380CC4-5D6E-409C-BE32-E72D297353CC}">
              <c16:uniqueId val="{00000000-BA5C-4A4E-AEEE-57F561520D66}"/>
            </c:ext>
          </c:extLst>
        </c:ser>
        <c:ser>
          <c:idx val="1"/>
          <c:order val="1"/>
          <c:tx>
            <c:strRef>
              <c:f>Sheet3!$A$3</c:f>
              <c:strCache>
                <c:ptCount val="1"/>
                <c:pt idx="0">
                  <c:v>Negative</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Sheet3!$B$1:$D$1</c:f>
              <c:strCache>
                <c:ptCount val="3"/>
                <c:pt idx="0">
                  <c:v>Malaria</c:v>
                </c:pt>
                <c:pt idx="1">
                  <c:v>STH</c:v>
                </c:pt>
                <c:pt idx="2">
                  <c:v>Coinfection</c:v>
                </c:pt>
              </c:strCache>
            </c:strRef>
          </c:cat>
          <c:val>
            <c:numRef>
              <c:f>Sheet3!$B$3:$D$3</c:f>
              <c:numCache>
                <c:formatCode>General</c:formatCode>
                <c:ptCount val="3"/>
                <c:pt idx="0">
                  <c:v>61.4</c:v>
                </c:pt>
                <c:pt idx="1">
                  <c:v>63.5</c:v>
                </c:pt>
                <c:pt idx="2">
                  <c:v>92.8</c:v>
                </c:pt>
              </c:numCache>
            </c:numRef>
          </c:val>
          <c:extLst>
            <c:ext xmlns:c16="http://schemas.microsoft.com/office/drawing/2014/chart" uri="{C3380CC4-5D6E-409C-BE32-E72D297353CC}">
              <c16:uniqueId val="{00000001-BA5C-4A4E-AEEE-57F561520D66}"/>
            </c:ext>
          </c:extLst>
        </c:ser>
        <c:dLbls>
          <c:dLblPos val="outEnd"/>
          <c:showLegendKey val="0"/>
          <c:showVal val="1"/>
          <c:showCatName val="0"/>
          <c:showSerName val="0"/>
          <c:showPercent val="0"/>
          <c:showBubbleSize val="0"/>
        </c:dLbls>
        <c:gapWidth val="219"/>
        <c:overlap val="-27"/>
        <c:axId val="357448840"/>
        <c:axId val="357448448"/>
      </c:barChart>
      <c:catAx>
        <c:axId val="357448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7448448"/>
        <c:crosses val="autoZero"/>
        <c:auto val="1"/>
        <c:lblAlgn val="ctr"/>
        <c:lblOffset val="100"/>
        <c:noMultiLvlLbl val="0"/>
      </c:catAx>
      <c:valAx>
        <c:axId val="35744844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Prevalence of malaria, STH,</a:t>
                </a:r>
                <a:r>
                  <a:rPr lang="en-US" baseline="0"/>
                  <a:t> and malaria-STH </a:t>
                </a:r>
                <a:r>
                  <a:rPr lang="en-US"/>
                  <a:t>coinfection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74488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274177266303252"/>
          <c:y val="2.6074149940846759E-2"/>
          <c:w val="0.7158186957399556"/>
          <c:h val="0.65788773913446419"/>
        </c:manualLayout>
      </c:layout>
      <c:barChart>
        <c:barDir val="col"/>
        <c:grouping val="clustered"/>
        <c:varyColors val="0"/>
        <c:ser>
          <c:idx val="0"/>
          <c:order val="0"/>
          <c:tx>
            <c:strRef>
              <c:f>Sheet2!$A$2</c:f>
              <c:strCache>
                <c:ptCount val="1"/>
                <c:pt idx="0">
                  <c:v>POSITIVE</c:v>
                </c:pt>
              </c:strCache>
            </c:strRef>
          </c:tx>
          <c:spPr>
            <a:solidFill>
              <a:schemeClr val="tx1"/>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Sheet2!$B$1:$D$1</c:f>
              <c:strCache>
                <c:ptCount val="3"/>
                <c:pt idx="0">
                  <c:v>A. lumbricoides</c:v>
                </c:pt>
                <c:pt idx="1">
                  <c:v>T. trichiura</c:v>
                </c:pt>
                <c:pt idx="2">
                  <c:v>Hookworm</c:v>
                </c:pt>
              </c:strCache>
            </c:strRef>
          </c:cat>
          <c:val>
            <c:numRef>
              <c:f>Sheet2!$B$2:$D$2</c:f>
              <c:numCache>
                <c:formatCode>General</c:formatCode>
                <c:ptCount val="3"/>
                <c:pt idx="0">
                  <c:v>16.5</c:v>
                </c:pt>
                <c:pt idx="1">
                  <c:v>5.6</c:v>
                </c:pt>
                <c:pt idx="2">
                  <c:v>7.6</c:v>
                </c:pt>
              </c:numCache>
            </c:numRef>
          </c:val>
          <c:extLst>
            <c:ext xmlns:c16="http://schemas.microsoft.com/office/drawing/2014/chart" uri="{C3380CC4-5D6E-409C-BE32-E72D297353CC}">
              <c16:uniqueId val="{00000000-0FE4-0C41-AA80-E66105ED73B8}"/>
            </c:ext>
          </c:extLst>
        </c:ser>
        <c:ser>
          <c:idx val="1"/>
          <c:order val="1"/>
          <c:tx>
            <c:strRef>
              <c:f>Sheet2!$A$3</c:f>
              <c:strCache>
                <c:ptCount val="1"/>
                <c:pt idx="0">
                  <c:v>NEGATIVE</c:v>
                </c:pt>
              </c:strCache>
            </c:strRef>
          </c:tx>
          <c:spPr>
            <a:no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Sheet2!$B$1:$D$1</c:f>
              <c:strCache>
                <c:ptCount val="3"/>
                <c:pt idx="0">
                  <c:v>A. lumbricoides</c:v>
                </c:pt>
                <c:pt idx="1">
                  <c:v>T. trichiura</c:v>
                </c:pt>
                <c:pt idx="2">
                  <c:v>Hookworm</c:v>
                </c:pt>
              </c:strCache>
            </c:strRef>
          </c:cat>
          <c:val>
            <c:numRef>
              <c:f>Sheet2!$B$3:$D$3</c:f>
              <c:numCache>
                <c:formatCode>General</c:formatCode>
                <c:ptCount val="3"/>
                <c:pt idx="0">
                  <c:v>18.5</c:v>
                </c:pt>
                <c:pt idx="1">
                  <c:v>94.4</c:v>
                </c:pt>
                <c:pt idx="2">
                  <c:v>92.4</c:v>
                </c:pt>
              </c:numCache>
            </c:numRef>
          </c:val>
          <c:extLst>
            <c:ext xmlns:c16="http://schemas.microsoft.com/office/drawing/2014/chart" uri="{C3380CC4-5D6E-409C-BE32-E72D297353CC}">
              <c16:uniqueId val="{00000001-0FE4-0C41-AA80-E66105ED73B8}"/>
            </c:ext>
          </c:extLst>
        </c:ser>
        <c:dLbls>
          <c:dLblPos val="outEnd"/>
          <c:showLegendKey val="0"/>
          <c:showVal val="1"/>
          <c:showCatName val="0"/>
          <c:showSerName val="0"/>
          <c:showPercent val="0"/>
          <c:showBubbleSize val="0"/>
        </c:dLbls>
        <c:gapWidth val="219"/>
        <c:overlap val="-27"/>
        <c:axId val="357447272"/>
        <c:axId val="357447664"/>
      </c:barChart>
      <c:catAx>
        <c:axId val="3574472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Soil_transitted</a:t>
                </a:r>
                <a:r>
                  <a:rPr lang="en-US" baseline="0"/>
                  <a:t> helmiths infection status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7447664"/>
        <c:crosses val="autoZero"/>
        <c:auto val="1"/>
        <c:lblAlgn val="ctr"/>
        <c:lblOffset val="100"/>
        <c:noMultiLvlLbl val="0"/>
      </c:catAx>
      <c:valAx>
        <c:axId val="35744766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Prevalence</a:t>
                </a:r>
                <a:r>
                  <a:rPr lang="en-US" baseline="0"/>
                  <a:t> of single STH infection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744727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303864829396326"/>
          <c:y val="6.4327485380116955E-2"/>
          <c:w val="0.73905796150481184"/>
          <c:h val="0.6662375097849611"/>
        </c:manualLayout>
      </c:layout>
      <c:barChart>
        <c:barDir val="col"/>
        <c:grouping val="clustered"/>
        <c:varyColors val="0"/>
        <c:ser>
          <c:idx val="0"/>
          <c:order val="0"/>
          <c:tx>
            <c:strRef>
              <c:f>Sheet4!$A$2</c:f>
              <c:strCache>
                <c:ptCount val="1"/>
                <c:pt idx="0">
                  <c:v>Positive</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Sheet4!$B$1:$D$1</c:f>
              <c:strCache>
                <c:ptCount val="3"/>
                <c:pt idx="0">
                  <c:v>Ascaris_Trichuris</c:v>
                </c:pt>
                <c:pt idx="1">
                  <c:v>Trichuris_Hookworm</c:v>
                </c:pt>
                <c:pt idx="2">
                  <c:v>Ascaris_Hookworm</c:v>
                </c:pt>
              </c:strCache>
            </c:strRef>
          </c:cat>
          <c:val>
            <c:numRef>
              <c:f>Sheet4!$B$2:$D$2</c:f>
              <c:numCache>
                <c:formatCode>General</c:formatCode>
                <c:ptCount val="3"/>
                <c:pt idx="0">
                  <c:v>2.8</c:v>
                </c:pt>
                <c:pt idx="1">
                  <c:v>1.2</c:v>
                </c:pt>
                <c:pt idx="2">
                  <c:v>2.4</c:v>
                </c:pt>
              </c:numCache>
            </c:numRef>
          </c:val>
          <c:extLst>
            <c:ext xmlns:c16="http://schemas.microsoft.com/office/drawing/2014/chart" uri="{C3380CC4-5D6E-409C-BE32-E72D297353CC}">
              <c16:uniqueId val="{00000000-0B47-9D4D-8E6C-0C3D72EB76D0}"/>
            </c:ext>
          </c:extLst>
        </c:ser>
        <c:ser>
          <c:idx val="1"/>
          <c:order val="1"/>
          <c:tx>
            <c:strRef>
              <c:f>Sheet4!$A$3</c:f>
              <c:strCache>
                <c:ptCount val="1"/>
                <c:pt idx="0">
                  <c:v>Negative</c:v>
                </c:pt>
              </c:strCache>
            </c:strRef>
          </c:tx>
          <c:spPr>
            <a:solidFill>
              <a:srgbClr val="7030A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Sheet4!$B$1:$D$1</c:f>
              <c:strCache>
                <c:ptCount val="3"/>
                <c:pt idx="0">
                  <c:v>Ascaris_Trichuris</c:v>
                </c:pt>
                <c:pt idx="1">
                  <c:v>Trichuris_Hookworm</c:v>
                </c:pt>
                <c:pt idx="2">
                  <c:v>Ascaris_Hookworm</c:v>
                </c:pt>
              </c:strCache>
            </c:strRef>
          </c:cat>
          <c:val>
            <c:numRef>
              <c:f>Sheet4!$B$3:$D$3</c:f>
              <c:numCache>
                <c:formatCode>General</c:formatCode>
                <c:ptCount val="3"/>
                <c:pt idx="0">
                  <c:v>97.2</c:v>
                </c:pt>
                <c:pt idx="1">
                  <c:v>98.8</c:v>
                </c:pt>
                <c:pt idx="2">
                  <c:v>97.2</c:v>
                </c:pt>
              </c:numCache>
            </c:numRef>
          </c:val>
          <c:extLst>
            <c:ext xmlns:c16="http://schemas.microsoft.com/office/drawing/2014/chart" uri="{C3380CC4-5D6E-409C-BE32-E72D297353CC}">
              <c16:uniqueId val="{00000001-0B47-9D4D-8E6C-0C3D72EB76D0}"/>
            </c:ext>
          </c:extLst>
        </c:ser>
        <c:dLbls>
          <c:dLblPos val="outEnd"/>
          <c:showLegendKey val="0"/>
          <c:showVal val="1"/>
          <c:showCatName val="0"/>
          <c:showSerName val="0"/>
          <c:showPercent val="0"/>
          <c:showBubbleSize val="0"/>
        </c:dLbls>
        <c:gapWidth val="219"/>
        <c:overlap val="-27"/>
        <c:axId val="366191424"/>
        <c:axId val="366191816"/>
      </c:barChart>
      <c:catAx>
        <c:axId val="366191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6191816"/>
        <c:crosses val="autoZero"/>
        <c:auto val="1"/>
        <c:lblAlgn val="ctr"/>
        <c:lblOffset val="100"/>
        <c:noMultiLvlLbl val="0"/>
      </c:catAx>
      <c:valAx>
        <c:axId val="36619181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Prevalance</a:t>
                </a:r>
                <a:r>
                  <a:rPr lang="en-US" baseline="0"/>
                  <a:t> of  double STH  infection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61914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Sheet2!$C$1</c:f>
              <c:strCache>
                <c:ptCount val="1"/>
                <c:pt idx="0">
                  <c:v>12-23 Months</c:v>
                </c:pt>
              </c:strCache>
            </c:strRef>
          </c:tx>
          <c:spPr>
            <a:solidFill>
              <a:schemeClr val="accent1"/>
            </a:solidFill>
            <a:ln>
              <a:noFill/>
            </a:ln>
            <a:effectLst/>
          </c:spPr>
          <c:invertIfNegative val="0"/>
          <c:cat>
            <c:multiLvlStrRef>
              <c:f>Sheet2!$A$2:$B$4</c:f>
              <c:multiLvlStrCache>
                <c:ptCount val="3"/>
                <c:lvl>
                  <c:pt idx="0">
                    <c:v>January</c:v>
                  </c:pt>
                  <c:pt idx="1">
                    <c:v>March</c:v>
                  </c:pt>
                  <c:pt idx="2">
                    <c:v>April</c:v>
                  </c:pt>
                </c:lvl>
                <c:lvl>
                  <c:pt idx="0">
                    <c:v>2021</c:v>
                  </c:pt>
                </c:lvl>
              </c:multiLvlStrCache>
            </c:multiLvlStrRef>
          </c:cat>
          <c:val>
            <c:numRef>
              <c:f>Sheet2!$C$2:$C$4</c:f>
              <c:numCache>
                <c:formatCode>General</c:formatCode>
                <c:ptCount val="3"/>
                <c:pt idx="0">
                  <c:v>10</c:v>
                </c:pt>
                <c:pt idx="1">
                  <c:v>4</c:v>
                </c:pt>
                <c:pt idx="2">
                  <c:v>10</c:v>
                </c:pt>
              </c:numCache>
            </c:numRef>
          </c:val>
          <c:extLst>
            <c:ext xmlns:c16="http://schemas.microsoft.com/office/drawing/2014/chart" uri="{C3380CC4-5D6E-409C-BE32-E72D297353CC}">
              <c16:uniqueId val="{00000000-73BD-1D41-8562-B019DBF48FF5}"/>
            </c:ext>
          </c:extLst>
        </c:ser>
        <c:ser>
          <c:idx val="1"/>
          <c:order val="1"/>
          <c:tx>
            <c:strRef>
              <c:f>Sheet2!$D$1</c:f>
              <c:strCache>
                <c:ptCount val="1"/>
                <c:pt idx="0">
                  <c:v>24-59 Months</c:v>
                </c:pt>
              </c:strCache>
            </c:strRef>
          </c:tx>
          <c:spPr>
            <a:solidFill>
              <a:schemeClr val="accent2"/>
            </a:solidFill>
            <a:ln>
              <a:noFill/>
            </a:ln>
            <a:effectLst/>
          </c:spPr>
          <c:invertIfNegative val="0"/>
          <c:cat>
            <c:multiLvlStrRef>
              <c:f>Sheet2!$A$2:$B$4</c:f>
              <c:multiLvlStrCache>
                <c:ptCount val="3"/>
                <c:lvl>
                  <c:pt idx="0">
                    <c:v>January</c:v>
                  </c:pt>
                  <c:pt idx="1">
                    <c:v>March</c:v>
                  </c:pt>
                  <c:pt idx="2">
                    <c:v>April</c:v>
                  </c:pt>
                </c:lvl>
                <c:lvl>
                  <c:pt idx="0">
                    <c:v>2021</c:v>
                  </c:pt>
                </c:lvl>
              </c:multiLvlStrCache>
            </c:multiLvlStrRef>
          </c:cat>
          <c:val>
            <c:numRef>
              <c:f>Sheet2!$D$2:$D$4</c:f>
              <c:numCache>
                <c:formatCode>General</c:formatCode>
                <c:ptCount val="3"/>
                <c:pt idx="0">
                  <c:v>1</c:v>
                </c:pt>
                <c:pt idx="1">
                  <c:v>0</c:v>
                </c:pt>
                <c:pt idx="2">
                  <c:v>2</c:v>
                </c:pt>
              </c:numCache>
            </c:numRef>
          </c:val>
          <c:extLst>
            <c:ext xmlns:c16="http://schemas.microsoft.com/office/drawing/2014/chart" uri="{C3380CC4-5D6E-409C-BE32-E72D297353CC}">
              <c16:uniqueId val="{00000001-73BD-1D41-8562-B019DBF48FF5}"/>
            </c:ext>
          </c:extLst>
        </c:ser>
        <c:ser>
          <c:idx val="2"/>
          <c:order val="2"/>
          <c:tx>
            <c:strRef>
              <c:f>Sheet2!$E$1</c:f>
              <c:strCache>
                <c:ptCount val="1"/>
                <c:pt idx="0">
                  <c:v>Total</c:v>
                </c:pt>
              </c:strCache>
            </c:strRef>
          </c:tx>
          <c:spPr>
            <a:solidFill>
              <a:schemeClr val="accent3"/>
            </a:solidFill>
            <a:ln>
              <a:noFill/>
            </a:ln>
            <a:effectLst/>
          </c:spPr>
          <c:invertIfNegative val="0"/>
          <c:cat>
            <c:multiLvlStrRef>
              <c:f>Sheet2!$A$2:$B$4</c:f>
              <c:multiLvlStrCache>
                <c:ptCount val="3"/>
                <c:lvl>
                  <c:pt idx="0">
                    <c:v>January</c:v>
                  </c:pt>
                  <c:pt idx="1">
                    <c:v>March</c:v>
                  </c:pt>
                  <c:pt idx="2">
                    <c:v>April</c:v>
                  </c:pt>
                </c:lvl>
                <c:lvl>
                  <c:pt idx="0">
                    <c:v>2021</c:v>
                  </c:pt>
                </c:lvl>
              </c:multiLvlStrCache>
            </c:multiLvlStrRef>
          </c:cat>
          <c:val>
            <c:numRef>
              <c:f>Sheet2!$E$2:$E$4</c:f>
              <c:numCache>
                <c:formatCode>General</c:formatCode>
                <c:ptCount val="3"/>
                <c:pt idx="0">
                  <c:v>11</c:v>
                </c:pt>
                <c:pt idx="1">
                  <c:v>4</c:v>
                </c:pt>
                <c:pt idx="2">
                  <c:v>12</c:v>
                </c:pt>
              </c:numCache>
            </c:numRef>
          </c:val>
          <c:extLst>
            <c:ext xmlns:c16="http://schemas.microsoft.com/office/drawing/2014/chart" uri="{C3380CC4-5D6E-409C-BE32-E72D297353CC}">
              <c16:uniqueId val="{00000002-73BD-1D41-8562-B019DBF48FF5}"/>
            </c:ext>
          </c:extLst>
        </c:ser>
        <c:dLbls>
          <c:showLegendKey val="0"/>
          <c:showVal val="0"/>
          <c:showCatName val="0"/>
          <c:showSerName val="0"/>
          <c:showPercent val="0"/>
          <c:showBubbleSize val="0"/>
        </c:dLbls>
        <c:gapWidth val="219"/>
        <c:overlap val="-27"/>
        <c:axId val="366193776"/>
        <c:axId val="366194168"/>
      </c:barChart>
      <c:catAx>
        <c:axId val="3661937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Months</a:t>
                </a:r>
                <a:r>
                  <a:rPr lang="en-US" baseline="0"/>
                  <a:t> of community MDA for L.O.L.M.P.S (Ndemyi Constituency)</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6194168"/>
        <c:crosses val="autoZero"/>
        <c:auto val="1"/>
        <c:lblAlgn val="ctr"/>
        <c:lblOffset val="100"/>
        <c:noMultiLvlLbl val="0"/>
      </c:catAx>
      <c:valAx>
        <c:axId val="36619416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a:t>
                </a:r>
                <a:r>
                  <a:rPr lang="en-US" baseline="0"/>
                  <a:t>  of children who recieived Albendazole</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619377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215048118985124"/>
          <c:y val="2.5428331875182269E-2"/>
          <c:w val="0.64020581802274712"/>
          <c:h val="0.6661964129483815"/>
        </c:manualLayout>
      </c:layout>
      <c:barChart>
        <c:barDir val="col"/>
        <c:grouping val="clustered"/>
        <c:varyColors val="0"/>
        <c:ser>
          <c:idx val="0"/>
          <c:order val="0"/>
          <c:tx>
            <c:strRef>
              <c:f>Sheet3!$C$1</c:f>
              <c:strCache>
                <c:ptCount val="1"/>
                <c:pt idx="0">
                  <c:v>12-23 Months</c:v>
                </c:pt>
              </c:strCache>
            </c:strRef>
          </c:tx>
          <c:spPr>
            <a:solidFill>
              <a:schemeClr val="accent1"/>
            </a:solidFill>
            <a:ln>
              <a:noFill/>
            </a:ln>
            <a:effectLst/>
          </c:spPr>
          <c:invertIfNegative val="0"/>
          <c:cat>
            <c:multiLvlStrRef>
              <c:f>Sheet3!$A$2:$B$5</c:f>
              <c:multiLvlStrCache>
                <c:ptCount val="4"/>
                <c:lvl>
                  <c:pt idx="0">
                    <c:v>January</c:v>
                  </c:pt>
                  <c:pt idx="1">
                    <c:v>April</c:v>
                  </c:pt>
                  <c:pt idx="2">
                    <c:v>May</c:v>
                  </c:pt>
                  <c:pt idx="3">
                    <c:v>June</c:v>
                  </c:pt>
                </c:lvl>
                <c:lvl>
                  <c:pt idx="0">
                    <c:v>2021</c:v>
                  </c:pt>
                </c:lvl>
              </c:multiLvlStrCache>
            </c:multiLvlStrRef>
          </c:cat>
          <c:val>
            <c:numRef>
              <c:f>Sheet3!$C$2:$C$5</c:f>
              <c:numCache>
                <c:formatCode>General</c:formatCode>
                <c:ptCount val="4"/>
                <c:pt idx="0">
                  <c:v>0</c:v>
                </c:pt>
                <c:pt idx="1">
                  <c:v>0</c:v>
                </c:pt>
                <c:pt idx="2">
                  <c:v>0</c:v>
                </c:pt>
                <c:pt idx="3">
                  <c:v>2</c:v>
                </c:pt>
              </c:numCache>
            </c:numRef>
          </c:val>
          <c:extLst>
            <c:ext xmlns:c16="http://schemas.microsoft.com/office/drawing/2014/chart" uri="{C3380CC4-5D6E-409C-BE32-E72D297353CC}">
              <c16:uniqueId val="{00000000-9A3A-A741-BA3E-2D812D9B32E2}"/>
            </c:ext>
          </c:extLst>
        </c:ser>
        <c:ser>
          <c:idx val="1"/>
          <c:order val="1"/>
          <c:tx>
            <c:strRef>
              <c:f>Sheet3!$D$1</c:f>
              <c:strCache>
                <c:ptCount val="1"/>
                <c:pt idx="0">
                  <c:v>24-59 Months</c:v>
                </c:pt>
              </c:strCache>
            </c:strRef>
          </c:tx>
          <c:spPr>
            <a:solidFill>
              <a:schemeClr val="accent2"/>
            </a:solidFill>
            <a:ln>
              <a:noFill/>
            </a:ln>
            <a:effectLst/>
          </c:spPr>
          <c:invertIfNegative val="0"/>
          <c:cat>
            <c:multiLvlStrRef>
              <c:f>Sheet3!$A$2:$B$5</c:f>
              <c:multiLvlStrCache>
                <c:ptCount val="4"/>
                <c:lvl>
                  <c:pt idx="0">
                    <c:v>January</c:v>
                  </c:pt>
                  <c:pt idx="1">
                    <c:v>April</c:v>
                  </c:pt>
                  <c:pt idx="2">
                    <c:v>May</c:v>
                  </c:pt>
                  <c:pt idx="3">
                    <c:v>June</c:v>
                  </c:pt>
                </c:lvl>
                <c:lvl>
                  <c:pt idx="0">
                    <c:v>2021</c:v>
                  </c:pt>
                </c:lvl>
              </c:multiLvlStrCache>
            </c:multiLvlStrRef>
          </c:cat>
          <c:val>
            <c:numRef>
              <c:f>Sheet3!$D$2:$D$5</c:f>
              <c:numCache>
                <c:formatCode>General</c:formatCode>
                <c:ptCount val="4"/>
                <c:pt idx="0">
                  <c:v>0</c:v>
                </c:pt>
                <c:pt idx="1">
                  <c:v>2</c:v>
                </c:pt>
                <c:pt idx="2">
                  <c:v>9</c:v>
                </c:pt>
              </c:numCache>
            </c:numRef>
          </c:val>
          <c:extLst>
            <c:ext xmlns:c16="http://schemas.microsoft.com/office/drawing/2014/chart" uri="{C3380CC4-5D6E-409C-BE32-E72D297353CC}">
              <c16:uniqueId val="{00000001-9A3A-A741-BA3E-2D812D9B32E2}"/>
            </c:ext>
          </c:extLst>
        </c:ser>
        <c:ser>
          <c:idx val="2"/>
          <c:order val="2"/>
          <c:tx>
            <c:strRef>
              <c:f>Sheet3!$E$1</c:f>
              <c:strCache>
                <c:ptCount val="1"/>
                <c:pt idx="0">
                  <c:v>Total</c:v>
                </c:pt>
              </c:strCache>
            </c:strRef>
          </c:tx>
          <c:spPr>
            <a:solidFill>
              <a:schemeClr val="accent3"/>
            </a:solidFill>
            <a:ln>
              <a:noFill/>
            </a:ln>
            <a:effectLst/>
          </c:spPr>
          <c:invertIfNegative val="0"/>
          <c:cat>
            <c:multiLvlStrRef>
              <c:f>Sheet3!$A$2:$B$5</c:f>
              <c:multiLvlStrCache>
                <c:ptCount val="4"/>
                <c:lvl>
                  <c:pt idx="0">
                    <c:v>January</c:v>
                  </c:pt>
                  <c:pt idx="1">
                    <c:v>April</c:v>
                  </c:pt>
                  <c:pt idx="2">
                    <c:v>May</c:v>
                  </c:pt>
                  <c:pt idx="3">
                    <c:v>June</c:v>
                  </c:pt>
                </c:lvl>
                <c:lvl>
                  <c:pt idx="0">
                    <c:v>2021</c:v>
                  </c:pt>
                </c:lvl>
              </c:multiLvlStrCache>
            </c:multiLvlStrRef>
          </c:cat>
          <c:val>
            <c:numRef>
              <c:f>Sheet3!$E$2:$E$5</c:f>
              <c:numCache>
                <c:formatCode>General</c:formatCode>
                <c:ptCount val="4"/>
                <c:pt idx="0">
                  <c:v>0</c:v>
                </c:pt>
                <c:pt idx="1">
                  <c:v>2</c:v>
                </c:pt>
                <c:pt idx="2">
                  <c:v>9</c:v>
                </c:pt>
                <c:pt idx="3">
                  <c:v>2</c:v>
                </c:pt>
              </c:numCache>
            </c:numRef>
          </c:val>
          <c:extLst>
            <c:ext xmlns:c16="http://schemas.microsoft.com/office/drawing/2014/chart" uri="{C3380CC4-5D6E-409C-BE32-E72D297353CC}">
              <c16:uniqueId val="{00000002-9A3A-A741-BA3E-2D812D9B32E2}"/>
            </c:ext>
          </c:extLst>
        </c:ser>
        <c:dLbls>
          <c:showLegendKey val="0"/>
          <c:showVal val="0"/>
          <c:showCatName val="0"/>
          <c:showSerName val="0"/>
          <c:showPercent val="0"/>
          <c:showBubbleSize val="0"/>
        </c:dLbls>
        <c:gapWidth val="219"/>
        <c:overlap val="-27"/>
        <c:axId val="21961712"/>
        <c:axId val="21959360"/>
      </c:barChart>
      <c:catAx>
        <c:axId val="219617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Months</a:t>
                </a:r>
                <a:r>
                  <a:rPr lang="en-US" baseline="0"/>
                  <a:t> of commuity MDA  in U.C.P.S 1 (Amagu </a:t>
                </a:r>
                <a:r>
                  <a:rPr lang="en-US" sz="1000" b="0" i="0" u="none" strike="noStrike" baseline="0">
                    <a:effectLst/>
                  </a:rPr>
                  <a:t>Constituency</a:t>
                </a:r>
                <a:r>
                  <a:rPr lang="en-US" baseline="0"/>
                  <a:t>)</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959360"/>
        <c:crosses val="autoZero"/>
        <c:auto val="1"/>
        <c:lblAlgn val="ctr"/>
        <c:lblOffset val="100"/>
        <c:noMultiLvlLbl val="0"/>
      </c:catAx>
      <c:valAx>
        <c:axId val="2195936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a:t>
                </a:r>
                <a:r>
                  <a:rPr lang="en-US" baseline="0"/>
                  <a:t> of children who reveievAlbendazole</a:t>
                </a:r>
                <a:endParaRPr lang="en-US"/>
              </a:p>
            </c:rich>
          </c:tx>
          <c:layout>
            <c:manualLayout>
              <c:xMode val="edge"/>
              <c:yMode val="edge"/>
              <c:x val="8.5883100228909756E-3"/>
              <c:y val="6.5920834220046812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961712"/>
        <c:crosses val="autoZero"/>
        <c:crossBetween val="between"/>
      </c:valAx>
      <c:spPr>
        <a:noFill/>
        <a:ln w="25400">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Sheet4!$C$1</c:f>
              <c:strCache>
                <c:ptCount val="1"/>
                <c:pt idx="0">
                  <c:v>12-23 Months</c:v>
                </c:pt>
              </c:strCache>
            </c:strRef>
          </c:tx>
          <c:spPr>
            <a:solidFill>
              <a:schemeClr val="accent1"/>
            </a:solidFill>
            <a:ln>
              <a:noFill/>
            </a:ln>
            <a:effectLst/>
          </c:spPr>
          <c:invertIfNegative val="0"/>
          <c:cat>
            <c:multiLvlStrRef>
              <c:f>Sheet4!$A$2:$B$8</c:f>
              <c:multiLvlStrCache>
                <c:ptCount val="7"/>
                <c:lvl>
                  <c:pt idx="0">
                    <c:v>January</c:v>
                  </c:pt>
                  <c:pt idx="1">
                    <c:v>February</c:v>
                  </c:pt>
                  <c:pt idx="2">
                    <c:v>March</c:v>
                  </c:pt>
                  <c:pt idx="3">
                    <c:v>April</c:v>
                  </c:pt>
                  <c:pt idx="4">
                    <c:v>June</c:v>
                  </c:pt>
                  <c:pt idx="5">
                    <c:v>March</c:v>
                  </c:pt>
                  <c:pt idx="6">
                    <c:v>March</c:v>
                  </c:pt>
                </c:lvl>
                <c:lvl>
                  <c:pt idx="0">
                    <c:v>2021</c:v>
                  </c:pt>
                  <c:pt idx="5">
                    <c:v>2022</c:v>
                  </c:pt>
                  <c:pt idx="6">
                    <c:v>2023</c:v>
                  </c:pt>
                </c:lvl>
              </c:multiLvlStrCache>
            </c:multiLvlStrRef>
          </c:cat>
          <c:val>
            <c:numRef>
              <c:f>Sheet4!$C$2:$C$8</c:f>
              <c:numCache>
                <c:formatCode>General</c:formatCode>
                <c:ptCount val="7"/>
                <c:pt idx="0">
                  <c:v>2</c:v>
                </c:pt>
                <c:pt idx="1">
                  <c:v>6</c:v>
                </c:pt>
                <c:pt idx="2">
                  <c:v>5</c:v>
                </c:pt>
                <c:pt idx="3">
                  <c:v>10</c:v>
                </c:pt>
                <c:pt idx="4">
                  <c:v>0</c:v>
                </c:pt>
                <c:pt idx="5">
                  <c:v>0</c:v>
                </c:pt>
                <c:pt idx="6">
                  <c:v>2</c:v>
                </c:pt>
              </c:numCache>
            </c:numRef>
          </c:val>
          <c:extLst>
            <c:ext xmlns:c16="http://schemas.microsoft.com/office/drawing/2014/chart" uri="{C3380CC4-5D6E-409C-BE32-E72D297353CC}">
              <c16:uniqueId val="{00000000-06E9-9C45-A63D-7817E653A448}"/>
            </c:ext>
          </c:extLst>
        </c:ser>
        <c:ser>
          <c:idx val="1"/>
          <c:order val="1"/>
          <c:tx>
            <c:strRef>
              <c:f>Sheet4!$D$1</c:f>
              <c:strCache>
                <c:ptCount val="1"/>
                <c:pt idx="0">
                  <c:v>24-59 Months</c:v>
                </c:pt>
              </c:strCache>
            </c:strRef>
          </c:tx>
          <c:spPr>
            <a:solidFill>
              <a:schemeClr val="accent2"/>
            </a:solidFill>
            <a:ln>
              <a:noFill/>
            </a:ln>
            <a:effectLst/>
          </c:spPr>
          <c:invertIfNegative val="0"/>
          <c:cat>
            <c:multiLvlStrRef>
              <c:f>Sheet4!$A$2:$B$8</c:f>
              <c:multiLvlStrCache>
                <c:ptCount val="7"/>
                <c:lvl>
                  <c:pt idx="0">
                    <c:v>January</c:v>
                  </c:pt>
                  <c:pt idx="1">
                    <c:v>February</c:v>
                  </c:pt>
                  <c:pt idx="2">
                    <c:v>March</c:v>
                  </c:pt>
                  <c:pt idx="3">
                    <c:v>April</c:v>
                  </c:pt>
                  <c:pt idx="4">
                    <c:v>June</c:v>
                  </c:pt>
                  <c:pt idx="5">
                    <c:v>March</c:v>
                  </c:pt>
                  <c:pt idx="6">
                    <c:v>March</c:v>
                  </c:pt>
                </c:lvl>
                <c:lvl>
                  <c:pt idx="0">
                    <c:v>2021</c:v>
                  </c:pt>
                  <c:pt idx="5">
                    <c:v>2022</c:v>
                  </c:pt>
                  <c:pt idx="6">
                    <c:v>2023</c:v>
                  </c:pt>
                </c:lvl>
              </c:multiLvlStrCache>
            </c:multiLvlStrRef>
          </c:cat>
          <c:val>
            <c:numRef>
              <c:f>Sheet4!$D$2:$D$8</c:f>
              <c:numCache>
                <c:formatCode>General</c:formatCode>
                <c:ptCount val="7"/>
                <c:pt idx="0">
                  <c:v>0</c:v>
                </c:pt>
                <c:pt idx="1">
                  <c:v>10</c:v>
                </c:pt>
                <c:pt idx="2">
                  <c:v>0</c:v>
                </c:pt>
                <c:pt idx="3">
                  <c:v>7</c:v>
                </c:pt>
                <c:pt idx="4">
                  <c:v>7</c:v>
                </c:pt>
                <c:pt idx="5">
                  <c:v>0</c:v>
                </c:pt>
                <c:pt idx="6">
                  <c:v>16</c:v>
                </c:pt>
              </c:numCache>
            </c:numRef>
          </c:val>
          <c:extLst>
            <c:ext xmlns:c16="http://schemas.microsoft.com/office/drawing/2014/chart" uri="{C3380CC4-5D6E-409C-BE32-E72D297353CC}">
              <c16:uniqueId val="{00000001-06E9-9C45-A63D-7817E653A448}"/>
            </c:ext>
          </c:extLst>
        </c:ser>
        <c:ser>
          <c:idx val="2"/>
          <c:order val="2"/>
          <c:tx>
            <c:strRef>
              <c:f>Sheet4!$E$1</c:f>
              <c:strCache>
                <c:ptCount val="1"/>
                <c:pt idx="0">
                  <c:v>Total</c:v>
                </c:pt>
              </c:strCache>
            </c:strRef>
          </c:tx>
          <c:spPr>
            <a:solidFill>
              <a:schemeClr val="accent3"/>
            </a:solidFill>
            <a:ln>
              <a:noFill/>
            </a:ln>
            <a:effectLst/>
          </c:spPr>
          <c:invertIfNegative val="0"/>
          <c:cat>
            <c:multiLvlStrRef>
              <c:f>Sheet4!$A$2:$B$8</c:f>
              <c:multiLvlStrCache>
                <c:ptCount val="7"/>
                <c:lvl>
                  <c:pt idx="0">
                    <c:v>January</c:v>
                  </c:pt>
                  <c:pt idx="1">
                    <c:v>February</c:v>
                  </c:pt>
                  <c:pt idx="2">
                    <c:v>March</c:v>
                  </c:pt>
                  <c:pt idx="3">
                    <c:v>April</c:v>
                  </c:pt>
                  <c:pt idx="4">
                    <c:v>June</c:v>
                  </c:pt>
                  <c:pt idx="5">
                    <c:v>March</c:v>
                  </c:pt>
                  <c:pt idx="6">
                    <c:v>March</c:v>
                  </c:pt>
                </c:lvl>
                <c:lvl>
                  <c:pt idx="0">
                    <c:v>2021</c:v>
                  </c:pt>
                  <c:pt idx="5">
                    <c:v>2022</c:v>
                  </c:pt>
                  <c:pt idx="6">
                    <c:v>2023</c:v>
                  </c:pt>
                </c:lvl>
              </c:multiLvlStrCache>
            </c:multiLvlStrRef>
          </c:cat>
          <c:val>
            <c:numRef>
              <c:f>Sheet4!$E$2:$E$8</c:f>
              <c:numCache>
                <c:formatCode>General</c:formatCode>
                <c:ptCount val="7"/>
                <c:pt idx="0">
                  <c:v>2</c:v>
                </c:pt>
                <c:pt idx="1">
                  <c:v>16</c:v>
                </c:pt>
                <c:pt idx="2">
                  <c:v>5</c:v>
                </c:pt>
                <c:pt idx="3">
                  <c:v>17</c:v>
                </c:pt>
                <c:pt idx="4">
                  <c:v>7</c:v>
                </c:pt>
                <c:pt idx="5">
                  <c:v>0</c:v>
                </c:pt>
                <c:pt idx="6">
                  <c:v>18</c:v>
                </c:pt>
              </c:numCache>
            </c:numRef>
          </c:val>
          <c:extLst>
            <c:ext xmlns:c16="http://schemas.microsoft.com/office/drawing/2014/chart" uri="{C3380CC4-5D6E-409C-BE32-E72D297353CC}">
              <c16:uniqueId val="{00000002-06E9-9C45-A63D-7817E653A448}"/>
            </c:ext>
          </c:extLst>
        </c:ser>
        <c:dLbls>
          <c:showLegendKey val="0"/>
          <c:showVal val="0"/>
          <c:showCatName val="0"/>
          <c:showSerName val="0"/>
          <c:showPercent val="0"/>
          <c:showBubbleSize val="0"/>
        </c:dLbls>
        <c:gapWidth val="219"/>
        <c:overlap val="-27"/>
        <c:axId val="21960928"/>
        <c:axId val="21961320"/>
      </c:barChart>
      <c:catAx>
        <c:axId val="219609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Months</a:t>
                </a:r>
                <a:r>
                  <a:rPr lang="en-US" baseline="0"/>
                  <a:t>  of community MDA for U.C.P.S 2</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961320"/>
        <c:crosses val="autoZero"/>
        <c:auto val="1"/>
        <c:lblAlgn val="ctr"/>
        <c:lblOffset val="100"/>
        <c:noMultiLvlLbl val="0"/>
      </c:catAx>
      <c:valAx>
        <c:axId val="2196132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a:t>
                </a:r>
                <a:r>
                  <a:rPr lang="en-US" baseline="0"/>
                  <a:t> of children who received Albendazole</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96092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958</TotalTime>
  <Pages>21</Pages>
  <Words>6298</Words>
  <Characters>35903</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70</cp:revision>
  <dcterms:created xsi:type="dcterms:W3CDTF">2026-03-13T13:11:00Z</dcterms:created>
  <dcterms:modified xsi:type="dcterms:W3CDTF">2026-04-02T08:32:00Z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4cde9e8d-64d2-4d90-91d9-2f3cbc4ece9a</vt:lpwstr>
  </property>
  <property fmtid="{D5CDD505-2E9C-101B-9397-08002B2CF9AE}" pid="3" name="ZOTERO_PREF_1">
    <vt:lpwstr>&lt;data data-version="3" zotero-version="7.0.32"&gt;&lt;session id="1GNHebPt"/&gt;&lt;style id="http://www.zotero.org/styles/apa" locale="en-GB" hasBibliography="1" bibliographyStyleHasBeenSet="1"/&gt;&lt;prefs&gt;&lt;pref name="fieldType" value="Field"/&gt;&lt;pref name="automaticJourn</vt:lpwstr>
  </property>
  <property fmtid="{D5CDD505-2E9C-101B-9397-08002B2CF9AE}" pid="4" name="ZOTERO_PREF_2">
    <vt:lpwstr>alAbbreviations" value="true"/&gt;&lt;/prefs&gt;&lt;/data&gt;</vt:lpwstr>
  </property>
</Properties>
</file>