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8681F7" w14:textId="77777777" w:rsidR="00C96183" w:rsidRPr="00F53EF8" w:rsidRDefault="00BA2E0F">
      <w:pPr>
        <w:pStyle w:val="Heading1"/>
        <w:jc w:val="center"/>
        <w:rPr>
          <w:rFonts w:ascii="Times New Roman" w:hAnsi="Times New Roman" w:cs="Times New Roman"/>
        </w:rPr>
      </w:pPr>
      <w:r w:rsidRPr="00F53EF8">
        <w:rPr>
          <w:rFonts w:ascii="Times New Roman" w:hAnsi="Times New Roman" w:cs="Times New Roman"/>
        </w:rPr>
        <w:t>Assessing the Effectiveness of Pandemic Preparedness and Response Systems in Enhancing Public Health Resilience in the United States: A Scoping Review</w:t>
      </w:r>
    </w:p>
    <w:p w14:paraId="4F34DC10" w14:textId="77777777" w:rsidR="00C96183" w:rsidRPr="00F53EF8" w:rsidRDefault="00C96183">
      <w:pPr>
        <w:spacing w:before="180" w:after="180"/>
        <w:jc w:val="both"/>
        <w:rPr>
          <w:rFonts w:ascii="Cambria" w:eastAsia="Cambria" w:hAnsi="Cambria" w:cs="SimSun"/>
          <w:b/>
          <w:bCs/>
          <w:color w:val="36363D"/>
        </w:rPr>
      </w:pPr>
    </w:p>
    <w:p w14:paraId="7F71EB5B" w14:textId="77777777" w:rsidR="00C96183" w:rsidRPr="00F53EF8" w:rsidRDefault="00BA2E0F">
      <w:pPr>
        <w:pStyle w:val="Heading2"/>
        <w:jc w:val="both"/>
        <w:rPr>
          <w:rFonts w:ascii="Times New Roman" w:hAnsi="Times New Roman" w:cs="Times New Roman"/>
        </w:rPr>
      </w:pPr>
      <w:bookmarkStart w:id="0" w:name="_GoBack"/>
      <w:bookmarkEnd w:id="0"/>
      <w:r w:rsidRPr="00F53EF8">
        <w:rPr>
          <w:rFonts w:ascii="Times New Roman" w:hAnsi="Times New Roman" w:cs="Times New Roman"/>
        </w:rPr>
        <w:t>Abstract</w:t>
      </w:r>
    </w:p>
    <w:p w14:paraId="505EFA51"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b/>
          <w:bCs/>
        </w:rPr>
        <w:t xml:space="preserve">Background: </w:t>
      </w:r>
      <w:r w:rsidRPr="00F53EF8">
        <w:rPr>
          <w:rFonts w:ascii="Times New Roman" w:hAnsi="Times New Roman" w:cs="Times New Roman"/>
        </w:rPr>
        <w:t>The COVID-19 pandemic revealed severe weaknesses</w:t>
      </w:r>
      <w:r w:rsidRPr="00F53EF8">
        <w:rPr>
          <w:rFonts w:ascii="Times New Roman" w:hAnsi="Times New Roman" w:cs="Times New Roman"/>
        </w:rPr>
        <w:t xml:space="preserve"> in the public health preparedness and response systems all across the world, and especially in the United States. It is necessary to understand the effectiveness of such systems to create resilient public health infrastructure to deal with the future pand</w:t>
      </w:r>
      <w:r w:rsidRPr="00F53EF8">
        <w:rPr>
          <w:rFonts w:ascii="Times New Roman" w:hAnsi="Times New Roman" w:cs="Times New Roman"/>
        </w:rPr>
        <w:t>emic.</w:t>
      </w:r>
    </w:p>
    <w:p w14:paraId="66B5E3CB"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b/>
          <w:bCs/>
        </w:rPr>
        <w:t xml:space="preserve">Purpose: </w:t>
      </w:r>
      <w:r w:rsidRPr="00F53EF8">
        <w:rPr>
          <w:rFonts w:ascii="Times New Roman" w:hAnsi="Times New Roman" w:cs="Times New Roman"/>
        </w:rPr>
        <w:t>The scoping review guides a discussion on the more recent literature on the topic of pandemic preparedness and response systems in the United States, through the lens of the system being an effective measure of increasing the resilience of t</w:t>
      </w:r>
      <w:r w:rsidRPr="00F53EF8">
        <w:rPr>
          <w:rFonts w:ascii="Times New Roman" w:hAnsi="Times New Roman" w:cs="Times New Roman"/>
        </w:rPr>
        <w:t>he population to these events between 2022 and 2025.</w:t>
      </w:r>
    </w:p>
    <w:p w14:paraId="6AF0D1F0"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b/>
          <w:bCs/>
        </w:rPr>
        <w:t xml:space="preserve">Methods: </w:t>
      </w:r>
      <w:r w:rsidRPr="00F53EF8">
        <w:rPr>
          <w:rFonts w:ascii="Times New Roman" w:hAnsi="Times New Roman" w:cs="Times New Roman"/>
        </w:rPr>
        <w:t>A thorough search of government reports, policy documents, and other academic literature was carried out. The inclusion criteria included the studies that focused on pandemic preparedness, respo</w:t>
      </w:r>
      <w:r w:rsidRPr="00F53EF8">
        <w:rPr>
          <w:rFonts w:ascii="Times New Roman" w:hAnsi="Times New Roman" w:cs="Times New Roman"/>
        </w:rPr>
        <w:t>nse efficacy, or resilience of the public health in the U.S. setting and were published within the timeframe of 2022-2025.</w:t>
      </w:r>
    </w:p>
    <w:p w14:paraId="33B2D34F"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b/>
          <w:bCs/>
        </w:rPr>
        <w:t xml:space="preserve">Findings: </w:t>
      </w:r>
      <w:r w:rsidRPr="00F53EF8">
        <w:rPr>
          <w:rFonts w:ascii="Times New Roman" w:hAnsi="Times New Roman" w:cs="Times New Roman"/>
        </w:rPr>
        <w:t xml:space="preserve">50 references were found and reviewed based on seven thematic areas, namely, government policy and oversight, state and </w:t>
      </w:r>
      <w:r w:rsidRPr="00F53EF8">
        <w:rPr>
          <w:rFonts w:ascii="Times New Roman" w:hAnsi="Times New Roman" w:cs="Times New Roman"/>
        </w:rPr>
        <w:t>local preparedness, health system resilience, some lessons learned during COVID-19, the workforce and infrastructure of the public health, biosurveillance and early detection, and readiness of the healthcare system. Results indicate critical disparities in</w:t>
      </w:r>
      <w:r w:rsidRPr="00F53EF8">
        <w:rPr>
          <w:rFonts w:ascii="Times New Roman" w:hAnsi="Times New Roman" w:cs="Times New Roman"/>
        </w:rPr>
        <w:t xml:space="preserve"> organisational interaction, workforce capabilities, supply chain stability, and surveillance systems as well as future enhanced preparedness systems and evidence-based interventions.</w:t>
      </w:r>
    </w:p>
    <w:p w14:paraId="6E613F8F"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b/>
          <w:bCs/>
        </w:rPr>
        <w:t xml:space="preserve">Conclusions: </w:t>
      </w:r>
      <w:r w:rsidRPr="00F53EF8">
        <w:rPr>
          <w:rFonts w:ascii="Times New Roman" w:hAnsi="Times New Roman" w:cs="Times New Roman"/>
        </w:rPr>
        <w:t>Although some important progress has been achieved in highl</w:t>
      </w:r>
      <w:r w:rsidRPr="00F53EF8">
        <w:rPr>
          <w:rFonts w:ascii="Times New Roman" w:hAnsi="Times New Roman" w:cs="Times New Roman"/>
        </w:rPr>
        <w:t>ighting the weaknesses that the COVID-19 revealed, addressing the issue of the inadequate level of investments in the public health infrastructure, workforce development, and coordinated response mechanisms is essential to improve pandemic preparedness and</w:t>
      </w:r>
      <w:r w:rsidRPr="00F53EF8">
        <w:rPr>
          <w:rFonts w:ascii="Times New Roman" w:hAnsi="Times New Roman" w:cs="Times New Roman"/>
        </w:rPr>
        <w:t xml:space="preserve"> public health resilience in the United States.</w:t>
      </w:r>
    </w:p>
    <w:p w14:paraId="23D04431"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b/>
          <w:bCs/>
        </w:rPr>
        <w:t xml:space="preserve">Keywords: </w:t>
      </w:r>
      <w:r w:rsidRPr="00F53EF8">
        <w:rPr>
          <w:rFonts w:ascii="Times New Roman" w:hAnsi="Times New Roman" w:cs="Times New Roman"/>
        </w:rPr>
        <w:t>the United States, bio surveillance, health system resilience, response systems, pandemic preparedness, public health resilience.</w:t>
      </w:r>
    </w:p>
    <w:p w14:paraId="07D4CD5E" w14:textId="77777777" w:rsidR="00C96183" w:rsidRPr="00F53EF8" w:rsidRDefault="00BA2E0F">
      <w:pPr>
        <w:pStyle w:val="Heading1"/>
        <w:jc w:val="both"/>
        <w:rPr>
          <w:rFonts w:ascii="Times New Roman" w:hAnsi="Times New Roman" w:cs="Times New Roman"/>
        </w:rPr>
      </w:pPr>
      <w:r w:rsidRPr="00F53EF8">
        <w:rPr>
          <w:rFonts w:ascii="Times New Roman" w:hAnsi="Times New Roman" w:cs="Times New Roman"/>
        </w:rPr>
        <w:t>1. Introduction</w:t>
      </w:r>
    </w:p>
    <w:p w14:paraId="09D74028" w14:textId="77777777" w:rsidR="00C96183" w:rsidRPr="00F53EF8" w:rsidRDefault="00BA2E0F">
      <w:pPr>
        <w:spacing w:after="240"/>
        <w:jc w:val="both"/>
        <w:rPr>
          <w:rFonts w:ascii="Times New Roman" w:hAnsi="Times New Roman" w:cs="Times New Roman"/>
        </w:rPr>
      </w:pPr>
      <w:r w:rsidRPr="00F53EF8">
        <w:rPr>
          <w:rFonts w:ascii="Times New Roman" w:hAnsi="Times New Roman" w:cs="Times New Roman"/>
        </w:rPr>
        <w:t xml:space="preserve">The COVID-19 pandemic was a worldwide health crisis </w:t>
      </w:r>
      <w:r w:rsidRPr="00F53EF8">
        <w:rPr>
          <w:rFonts w:ascii="Times New Roman" w:hAnsi="Times New Roman" w:cs="Times New Roman"/>
        </w:rPr>
        <w:t>like no other, which challenged the preparedness and response systems of the world in terms of global health. The pandemic in the United States demonstrated the systematic weaknesses of the disease surveillance system, the healthcare capacity, and supply c</w:t>
      </w:r>
      <w:r w:rsidRPr="00F53EF8">
        <w:rPr>
          <w:rFonts w:ascii="Times New Roman" w:hAnsi="Times New Roman" w:cs="Times New Roman"/>
        </w:rPr>
        <w:t xml:space="preserve">hain management, the infrastructure of the public health workforce and its coordination at the federal, state, and local levels (U.S. House Committee on Oversight and Accountability, 2024). These deficiencies caused great morbidity, deaths, and </w:t>
      </w:r>
      <w:r w:rsidRPr="00F53EF8">
        <w:rPr>
          <w:rFonts w:ascii="Times New Roman" w:hAnsi="Times New Roman" w:cs="Times New Roman"/>
        </w:rPr>
        <w:lastRenderedPageBreak/>
        <w:t>economic di</w:t>
      </w:r>
      <w:r w:rsidRPr="00F53EF8">
        <w:rPr>
          <w:rFonts w:ascii="Times New Roman" w:hAnsi="Times New Roman" w:cs="Times New Roman"/>
        </w:rPr>
        <w:t>sruption, the importance of which is that the pandemic preparedness is to be improved, and people need to be healthier.</w:t>
      </w:r>
    </w:p>
    <w:p w14:paraId="21C4EA11" w14:textId="77777777" w:rsidR="00C96183" w:rsidRPr="00F53EF8" w:rsidRDefault="00BA2E0F">
      <w:pPr>
        <w:spacing w:after="240"/>
        <w:jc w:val="both"/>
        <w:rPr>
          <w:rFonts w:ascii="Times New Roman" w:hAnsi="Times New Roman" w:cs="Times New Roman"/>
        </w:rPr>
      </w:pPr>
      <w:r w:rsidRPr="00F53EF8">
        <w:rPr>
          <w:rFonts w:ascii="Times New Roman" w:hAnsi="Times New Roman" w:cs="Times New Roman"/>
        </w:rPr>
        <w:t xml:space="preserve">Public health resilience is considered the ability of health systems and communities to recover, respond to, and prepare against health </w:t>
      </w:r>
      <w:r w:rsidRPr="00F53EF8">
        <w:rPr>
          <w:rFonts w:ascii="Times New Roman" w:hAnsi="Times New Roman" w:cs="Times New Roman"/>
        </w:rPr>
        <w:t>crises and remain functional with necessary functions (Kruk et al., 2023). Pandemic preparedness involves various aspects, such as well-developed surveillance networks and proper healthcare facilities, highly skilled human resources, presence of resources,</w:t>
      </w:r>
      <w:r w:rsidRPr="00F53EF8">
        <w:rPr>
          <w:rFonts w:ascii="Times New Roman" w:hAnsi="Times New Roman" w:cs="Times New Roman"/>
        </w:rPr>
        <w:t xml:space="preserve"> well-defined governance, and evidence-based response strategies (Centers for Disease Control and Prevention, 2024a).</w:t>
      </w:r>
    </w:p>
    <w:p w14:paraId="1A54561C" w14:textId="77777777" w:rsidR="00C96183" w:rsidRPr="00F53EF8" w:rsidRDefault="00BA2E0F">
      <w:pPr>
        <w:spacing w:after="240"/>
        <w:jc w:val="both"/>
        <w:rPr>
          <w:rFonts w:ascii="Times New Roman" w:hAnsi="Times New Roman" w:cs="Times New Roman"/>
        </w:rPr>
      </w:pPr>
      <w:r w:rsidRPr="00F53EF8">
        <w:rPr>
          <w:rFonts w:ascii="Times New Roman" w:hAnsi="Times New Roman" w:cs="Times New Roman"/>
        </w:rPr>
        <w:t>Efforts taken since the acute phase of the COVID-19 pandemic have significantly focused on assessing how well the pandemic preparedness an</w:t>
      </w:r>
      <w:r w:rsidRPr="00F53EF8">
        <w:rPr>
          <w:rFonts w:ascii="Times New Roman" w:hAnsi="Times New Roman" w:cs="Times New Roman"/>
        </w:rPr>
        <w:t xml:space="preserve">d response systems perform, lessons learned, and suggestions to reform the system so as to prevent or reduce next-time emergencies in the public health sector. The results of these efforts have created an emerging literature base of governmental agencies, </w:t>
      </w:r>
      <w:r w:rsidRPr="00F53EF8">
        <w:rPr>
          <w:rFonts w:ascii="Times New Roman" w:hAnsi="Times New Roman" w:cs="Times New Roman"/>
        </w:rPr>
        <w:t>academic and government health organizations looking at different facets of pandemic preparedness within the United States setting.</w:t>
      </w:r>
    </w:p>
    <w:p w14:paraId="30783209" w14:textId="77777777" w:rsidR="00C96183" w:rsidRPr="00F53EF8" w:rsidRDefault="00BA2E0F">
      <w:pPr>
        <w:spacing w:after="240"/>
        <w:jc w:val="both"/>
        <w:rPr>
          <w:rFonts w:ascii="Times New Roman" w:hAnsi="Times New Roman" w:cs="Times New Roman"/>
        </w:rPr>
      </w:pPr>
      <w:r w:rsidRPr="00F53EF8">
        <w:rPr>
          <w:rFonts w:ascii="Times New Roman" w:hAnsi="Times New Roman" w:cs="Times New Roman"/>
        </w:rPr>
        <w:t>The purpose of this scoping review is to summarize up-to-date data regarding the efficacy of the systems of pandemic prepare</w:t>
      </w:r>
      <w:r w:rsidRPr="00F53EF8">
        <w:rPr>
          <w:rFonts w:ascii="Times New Roman" w:hAnsi="Times New Roman" w:cs="Times New Roman"/>
        </w:rPr>
        <w:t>dness and response in promoting the resilience of the public health in the United States. This review will pinpoint the major themes, loopholes in the current preparedness models, and ways to enhance the resilience of the U.S. population in the face of upc</w:t>
      </w:r>
      <w:r w:rsidRPr="00F53EF8">
        <w:rPr>
          <w:rFonts w:ascii="Times New Roman" w:hAnsi="Times New Roman" w:cs="Times New Roman"/>
        </w:rPr>
        <w:t>oming pandemics because it systematically maps the available literature published between 2022 and 2025.</w:t>
      </w:r>
    </w:p>
    <w:p w14:paraId="0E245026" w14:textId="77777777" w:rsidR="00C96183" w:rsidRPr="00F53EF8" w:rsidRDefault="00BA2E0F">
      <w:pPr>
        <w:pStyle w:val="Heading1"/>
        <w:jc w:val="both"/>
        <w:rPr>
          <w:rFonts w:ascii="Times New Roman" w:hAnsi="Times New Roman" w:cs="Times New Roman"/>
        </w:rPr>
      </w:pPr>
      <w:r w:rsidRPr="00F53EF8">
        <w:rPr>
          <w:rFonts w:ascii="Times New Roman" w:hAnsi="Times New Roman" w:cs="Times New Roman"/>
        </w:rPr>
        <w:t>2. Methodology</w:t>
      </w:r>
    </w:p>
    <w:p w14:paraId="22238338" w14:textId="77777777" w:rsidR="00C96183" w:rsidRPr="00F53EF8" w:rsidRDefault="00BA2E0F">
      <w:pPr>
        <w:pStyle w:val="Heading2"/>
        <w:jc w:val="both"/>
        <w:rPr>
          <w:rFonts w:ascii="Times New Roman" w:hAnsi="Times New Roman" w:cs="Times New Roman"/>
        </w:rPr>
      </w:pPr>
      <w:r w:rsidRPr="00F53EF8">
        <w:rPr>
          <w:rFonts w:ascii="Times New Roman" w:hAnsi="Times New Roman" w:cs="Times New Roman"/>
        </w:rPr>
        <w:t>2.1 Study Design</w:t>
      </w:r>
    </w:p>
    <w:p w14:paraId="476DC4C6" w14:textId="77777777" w:rsidR="00C96183" w:rsidRPr="00F53EF8" w:rsidRDefault="00BA2E0F">
      <w:pPr>
        <w:spacing w:after="240"/>
        <w:jc w:val="both"/>
        <w:rPr>
          <w:rFonts w:ascii="Times New Roman" w:hAnsi="Times New Roman" w:cs="Times New Roman"/>
        </w:rPr>
      </w:pPr>
      <w:r w:rsidRPr="00F53EF8">
        <w:rPr>
          <w:rFonts w:ascii="Times New Roman" w:hAnsi="Times New Roman" w:cs="Times New Roman"/>
        </w:rPr>
        <w:t>This scoping review was based on the methodology of the scoping reviews described by Arksey and O'Malley (2005) and nar</w:t>
      </w:r>
      <w:r w:rsidRPr="00F53EF8">
        <w:rPr>
          <w:rFonts w:ascii="Times New Roman" w:hAnsi="Times New Roman" w:cs="Times New Roman"/>
        </w:rPr>
        <w:t>rowed down to the approach of scoping review by Levac et al. (2010). The review was intended to map the scope of the literature on the topic of pandemic preparedness and response systems in the United States and was not a quality analysis of individual stu</w:t>
      </w:r>
      <w:r w:rsidRPr="00F53EF8">
        <w:rPr>
          <w:rFonts w:ascii="Times New Roman" w:hAnsi="Times New Roman" w:cs="Times New Roman"/>
        </w:rPr>
        <w:t>dies, which is part of the scoping review methodology.</w:t>
      </w:r>
    </w:p>
    <w:p w14:paraId="5922BA11" w14:textId="77777777" w:rsidR="00C96183" w:rsidRPr="00F53EF8" w:rsidRDefault="00BA2E0F">
      <w:pPr>
        <w:spacing w:after="240"/>
        <w:jc w:val="both"/>
        <w:rPr>
          <w:rFonts w:ascii="Times New Roman" w:hAnsi="Times New Roman" w:cs="Times New Roman"/>
          <w:b/>
          <w:bCs/>
        </w:rPr>
      </w:pPr>
      <w:r w:rsidRPr="00F53EF8">
        <w:rPr>
          <w:rFonts w:ascii="Times New Roman" w:hAnsi="Times New Roman" w:cs="Times New Roman"/>
          <w:b/>
          <w:bCs/>
        </w:rPr>
        <w:t>2.2 Search Strategy</w:t>
      </w:r>
    </w:p>
    <w:p w14:paraId="24490BB9" w14:textId="77777777" w:rsidR="00C96183" w:rsidRPr="00F53EF8" w:rsidRDefault="00BA2E0F">
      <w:pPr>
        <w:spacing w:after="240"/>
        <w:jc w:val="both"/>
        <w:rPr>
          <w:rFonts w:ascii="Times New Roman" w:hAnsi="Times New Roman" w:cs="Times New Roman"/>
        </w:rPr>
      </w:pPr>
      <w:r w:rsidRPr="00F53EF8">
        <w:rPr>
          <w:rFonts w:ascii="Times New Roman" w:hAnsi="Times New Roman" w:cs="Times New Roman"/>
        </w:rPr>
        <w:t>In January 2025, a detailed search was carried out to find the available literature published between January 2022 and January 2025. The search strategy involved:</w:t>
      </w:r>
    </w:p>
    <w:p w14:paraId="2153811D" w14:textId="77777777" w:rsidR="00C96183" w:rsidRPr="00F53EF8" w:rsidRDefault="00BA2E0F">
      <w:pPr>
        <w:pStyle w:val="ListParagraph"/>
        <w:numPr>
          <w:ilvl w:val="0"/>
          <w:numId w:val="1"/>
        </w:numPr>
        <w:spacing w:after="240"/>
        <w:jc w:val="both"/>
        <w:rPr>
          <w:rFonts w:ascii="Times New Roman" w:hAnsi="Times New Roman" w:cs="Times New Roman"/>
        </w:rPr>
      </w:pPr>
      <w:r w:rsidRPr="00F53EF8">
        <w:rPr>
          <w:rFonts w:ascii="Times New Roman" w:hAnsi="Times New Roman" w:cs="Times New Roman"/>
        </w:rPr>
        <w:t xml:space="preserve">Government </w:t>
      </w:r>
      <w:r w:rsidRPr="00F53EF8">
        <w:rPr>
          <w:rFonts w:ascii="Times New Roman" w:hAnsi="Times New Roman" w:cs="Times New Roman"/>
        </w:rPr>
        <w:t>databases:U.S. Government Accountability Office (GAO) reports, Congressional testimony and legislations, Centers of Disease Control and Prevention (CDC) publications, White House policy documents, and Department of Health and Human Services (HHS) reports.</w:t>
      </w:r>
    </w:p>
    <w:p w14:paraId="1B8D0543" w14:textId="77777777" w:rsidR="00C96183" w:rsidRPr="00F53EF8" w:rsidRDefault="00BA2E0F">
      <w:pPr>
        <w:pStyle w:val="ListParagraph"/>
        <w:numPr>
          <w:ilvl w:val="0"/>
          <w:numId w:val="1"/>
        </w:numPr>
        <w:spacing w:after="240"/>
        <w:jc w:val="both"/>
        <w:rPr>
          <w:rFonts w:ascii="Times New Roman" w:hAnsi="Times New Roman" w:cs="Times New Roman"/>
        </w:rPr>
      </w:pPr>
      <w:r w:rsidRPr="00F53EF8">
        <w:rPr>
          <w:rFonts w:ascii="Times New Roman" w:hAnsi="Times New Roman" w:cs="Times New Roman"/>
        </w:rPr>
        <w:t>Websites of the public health organizations: Trust for America health (TFAH), National Academies of Sciences, Engineering, and Medicine (NASEM), National Association of County and City Health Officials (NACCHO).</w:t>
      </w:r>
    </w:p>
    <w:p w14:paraId="0C0F9902" w14:textId="77777777" w:rsidR="00C96183" w:rsidRPr="00F53EF8" w:rsidRDefault="00BA2E0F">
      <w:pPr>
        <w:pStyle w:val="ListParagraph"/>
        <w:numPr>
          <w:ilvl w:val="0"/>
          <w:numId w:val="1"/>
        </w:numPr>
        <w:spacing w:after="240"/>
        <w:jc w:val="both"/>
        <w:rPr>
          <w:rFonts w:ascii="Times New Roman" w:hAnsi="Times New Roman" w:cs="Times New Roman"/>
        </w:rPr>
      </w:pPr>
      <w:r w:rsidRPr="00F53EF8">
        <w:rPr>
          <w:rFonts w:ascii="Times New Roman" w:hAnsi="Times New Roman" w:cs="Times New Roman"/>
        </w:rPr>
        <w:lastRenderedPageBreak/>
        <w:t>Scholarly databases: PubMed, Web of science,</w:t>
      </w:r>
      <w:r w:rsidRPr="00F53EF8">
        <w:rPr>
          <w:rFonts w:ascii="Times New Roman" w:hAnsi="Times New Roman" w:cs="Times New Roman"/>
        </w:rPr>
        <w:t xml:space="preserve"> and Google Scholar.</w:t>
      </w:r>
    </w:p>
    <w:p w14:paraId="4D6DA802" w14:textId="77777777" w:rsidR="00C96183" w:rsidRPr="00F53EF8" w:rsidRDefault="00BA2E0F">
      <w:pPr>
        <w:pStyle w:val="ListParagraph"/>
        <w:numPr>
          <w:ilvl w:val="0"/>
          <w:numId w:val="1"/>
        </w:numPr>
        <w:spacing w:after="240"/>
        <w:jc w:val="both"/>
        <w:rPr>
          <w:rFonts w:ascii="Times New Roman" w:hAnsi="Times New Roman" w:cs="Times New Roman"/>
        </w:rPr>
      </w:pPr>
      <w:r w:rsidRPr="00F53EF8">
        <w:rPr>
          <w:rFonts w:ascii="Times New Roman" w:hAnsi="Times New Roman" w:cs="Times New Roman"/>
        </w:rPr>
        <w:t>Grey literature: reports, policy briefs and white papers by think tanks such as RAND Corporation, Center of Strategic and International Studies (CSIS) and Institute of Progress.</w:t>
      </w:r>
    </w:p>
    <w:p w14:paraId="02D33D1B" w14:textId="77777777" w:rsidR="00C96183" w:rsidRPr="00F53EF8" w:rsidRDefault="00BA2E0F">
      <w:pPr>
        <w:spacing w:after="240"/>
        <w:jc w:val="both"/>
        <w:rPr>
          <w:rFonts w:ascii="Times New Roman" w:hAnsi="Times New Roman" w:cs="Times New Roman"/>
        </w:rPr>
      </w:pPr>
      <w:r w:rsidRPr="00F53EF8">
        <w:rPr>
          <w:rFonts w:ascii="Times New Roman" w:hAnsi="Times New Roman" w:cs="Times New Roman"/>
        </w:rPr>
        <w:t>Search terms included the combination of: pandemic prepar</w:t>
      </w:r>
      <w:r w:rsidRPr="00F53EF8">
        <w:rPr>
          <w:rFonts w:ascii="Times New Roman" w:hAnsi="Times New Roman" w:cs="Times New Roman"/>
        </w:rPr>
        <w:t>edness, pandemic response, health system resilience, biosurveillance, emergency preparedness, lessons learned during COVID-19, United States, healthcare preparedness, and outbreak detection.</w:t>
      </w:r>
    </w:p>
    <w:p w14:paraId="7CDBE941" w14:textId="77777777" w:rsidR="00C96183" w:rsidRPr="00F53EF8" w:rsidRDefault="00BA2E0F">
      <w:pPr>
        <w:spacing w:after="240"/>
        <w:jc w:val="both"/>
        <w:rPr>
          <w:rFonts w:ascii="Times New Roman" w:hAnsi="Times New Roman" w:cs="Times New Roman"/>
          <w:b/>
          <w:bCs/>
        </w:rPr>
      </w:pPr>
      <w:r w:rsidRPr="00F53EF8">
        <w:rPr>
          <w:rFonts w:ascii="Times New Roman" w:hAnsi="Times New Roman" w:cs="Times New Roman"/>
          <w:b/>
          <w:bCs/>
        </w:rPr>
        <w:t>2.3 Selection Criteria</w:t>
      </w:r>
    </w:p>
    <w:p w14:paraId="1B906884" w14:textId="77777777" w:rsidR="00C96183" w:rsidRPr="00F53EF8" w:rsidRDefault="00BA2E0F">
      <w:pPr>
        <w:spacing w:after="240"/>
        <w:jc w:val="both"/>
        <w:rPr>
          <w:rFonts w:ascii="Times New Roman" w:hAnsi="Times New Roman" w:cs="Times New Roman"/>
        </w:rPr>
      </w:pPr>
      <w:r w:rsidRPr="00F53EF8">
        <w:rPr>
          <w:rFonts w:ascii="Times New Roman" w:hAnsi="Times New Roman" w:cs="Times New Roman"/>
        </w:rPr>
        <w:t>Originally, studies, reports and policy do</w:t>
      </w:r>
      <w:r w:rsidRPr="00F53EF8">
        <w:rPr>
          <w:rFonts w:ascii="Times New Roman" w:hAnsi="Times New Roman" w:cs="Times New Roman"/>
        </w:rPr>
        <w:t>cuments were found according to the criteria, which are listed in Table 1.</w:t>
      </w:r>
    </w:p>
    <w:p w14:paraId="0E064AC6" w14:textId="77777777" w:rsidR="00C96183" w:rsidRPr="00F53EF8" w:rsidRDefault="00BA2E0F">
      <w:pPr>
        <w:spacing w:before="120" w:after="120"/>
        <w:jc w:val="both"/>
        <w:rPr>
          <w:rFonts w:ascii="Times New Roman" w:hAnsi="Times New Roman" w:cs="Times New Roman"/>
        </w:rPr>
      </w:pPr>
      <w:r w:rsidRPr="00F53EF8">
        <w:rPr>
          <w:rFonts w:ascii="Times New Roman" w:hAnsi="Times New Roman" w:cs="Times New Roman"/>
          <w:b/>
          <w:bCs/>
        </w:rPr>
        <w:t>Table 1: Selection Criteria for Inclusion and Exclusion</w:t>
      </w:r>
    </w:p>
    <w:tbl>
      <w:tblPr>
        <w:tblStyle w:val="GridTable1Light1"/>
        <w:tblpPr w:leftFromText="180" w:rightFromText="180" w:vertAnchor="text" w:horzAnchor="margin" w:tblpY="133"/>
        <w:tblW w:w="9360" w:type="dxa"/>
        <w:tblLook w:val="04A0" w:firstRow="1" w:lastRow="0" w:firstColumn="1" w:lastColumn="0" w:noHBand="0" w:noVBand="1"/>
      </w:tblPr>
      <w:tblGrid>
        <w:gridCol w:w="2340"/>
        <w:gridCol w:w="3510"/>
        <w:gridCol w:w="3510"/>
      </w:tblGrid>
      <w:tr w:rsidR="00C96183" w:rsidRPr="00F53EF8" w14:paraId="16E50FAB" w14:textId="77777777" w:rsidTr="00C961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226F57F6" w14:textId="77777777" w:rsidR="00C96183" w:rsidRPr="00F53EF8" w:rsidRDefault="00BA2E0F">
            <w:pPr>
              <w:jc w:val="both"/>
              <w:rPr>
                <w:rFonts w:ascii="Times New Roman" w:hAnsi="Times New Roman" w:cs="Times New Roman"/>
              </w:rPr>
            </w:pPr>
            <w:r w:rsidRPr="00F53EF8">
              <w:rPr>
                <w:rFonts w:ascii="Times New Roman" w:hAnsi="Times New Roman" w:cs="Times New Roman"/>
              </w:rPr>
              <w:t>Criterion</w:t>
            </w:r>
          </w:p>
        </w:tc>
        <w:tc>
          <w:tcPr>
            <w:tcW w:w="3510" w:type="dxa"/>
          </w:tcPr>
          <w:p w14:paraId="248E3D87" w14:textId="77777777" w:rsidR="00C96183" w:rsidRPr="00F53EF8" w:rsidRDefault="00BA2E0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53EF8">
              <w:rPr>
                <w:rFonts w:ascii="Times New Roman" w:hAnsi="Times New Roman" w:cs="Times New Roman"/>
              </w:rPr>
              <w:t>Inclusion</w:t>
            </w:r>
          </w:p>
        </w:tc>
        <w:tc>
          <w:tcPr>
            <w:tcW w:w="3510" w:type="dxa"/>
          </w:tcPr>
          <w:p w14:paraId="7FDB309E" w14:textId="77777777" w:rsidR="00C96183" w:rsidRPr="00F53EF8" w:rsidRDefault="00BA2E0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53EF8">
              <w:rPr>
                <w:rFonts w:ascii="Times New Roman" w:hAnsi="Times New Roman" w:cs="Times New Roman"/>
              </w:rPr>
              <w:t>Exclusion</w:t>
            </w:r>
          </w:p>
        </w:tc>
      </w:tr>
      <w:tr w:rsidR="00C96183" w:rsidRPr="00F53EF8" w14:paraId="22FA4512" w14:textId="77777777" w:rsidTr="00C96183">
        <w:tc>
          <w:tcPr>
            <w:cnfStyle w:val="001000000000" w:firstRow="0" w:lastRow="0" w:firstColumn="1" w:lastColumn="0" w:oddVBand="0" w:evenVBand="0" w:oddHBand="0" w:evenHBand="0" w:firstRowFirstColumn="0" w:firstRowLastColumn="0" w:lastRowFirstColumn="0" w:lastRowLastColumn="0"/>
            <w:tcW w:w="2340" w:type="dxa"/>
          </w:tcPr>
          <w:p w14:paraId="6C96C6BF" w14:textId="77777777" w:rsidR="00C96183" w:rsidRPr="00F53EF8" w:rsidRDefault="00BA2E0F">
            <w:pPr>
              <w:jc w:val="both"/>
              <w:rPr>
                <w:rFonts w:ascii="Times New Roman" w:hAnsi="Times New Roman" w:cs="Times New Roman"/>
              </w:rPr>
            </w:pPr>
            <w:r w:rsidRPr="00F53EF8">
              <w:rPr>
                <w:rFonts w:ascii="Times New Roman" w:hAnsi="Times New Roman" w:cs="Times New Roman"/>
              </w:rPr>
              <w:t>Publication Date</w:t>
            </w:r>
          </w:p>
        </w:tc>
        <w:tc>
          <w:tcPr>
            <w:tcW w:w="3510" w:type="dxa"/>
          </w:tcPr>
          <w:p w14:paraId="6F536CFE" w14:textId="77777777" w:rsidR="00C96183" w:rsidRPr="00F53EF8" w:rsidRDefault="00BA2E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3EF8">
              <w:rPr>
                <w:rFonts w:ascii="Times New Roman" w:hAnsi="Times New Roman" w:cs="Times New Roman"/>
              </w:rPr>
              <w:t>January 2022 – January 2025</w:t>
            </w:r>
          </w:p>
        </w:tc>
        <w:tc>
          <w:tcPr>
            <w:tcW w:w="3510" w:type="dxa"/>
          </w:tcPr>
          <w:p w14:paraId="6E8943C8" w14:textId="77777777" w:rsidR="00C96183" w:rsidRPr="00F53EF8" w:rsidRDefault="00BA2E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3EF8">
              <w:rPr>
                <w:rFonts w:ascii="Times New Roman" w:hAnsi="Times New Roman" w:cs="Times New Roman"/>
              </w:rPr>
              <w:t>Published before 2022</w:t>
            </w:r>
          </w:p>
        </w:tc>
      </w:tr>
      <w:tr w:rsidR="00C96183" w:rsidRPr="00F53EF8" w14:paraId="3729F031" w14:textId="77777777" w:rsidTr="00C96183">
        <w:tc>
          <w:tcPr>
            <w:cnfStyle w:val="001000000000" w:firstRow="0" w:lastRow="0" w:firstColumn="1" w:lastColumn="0" w:oddVBand="0" w:evenVBand="0" w:oddHBand="0" w:evenHBand="0" w:firstRowFirstColumn="0" w:firstRowLastColumn="0" w:lastRowFirstColumn="0" w:lastRowLastColumn="0"/>
            <w:tcW w:w="2340" w:type="dxa"/>
          </w:tcPr>
          <w:p w14:paraId="76388F4A" w14:textId="77777777" w:rsidR="00C96183" w:rsidRPr="00F53EF8" w:rsidRDefault="00BA2E0F">
            <w:pPr>
              <w:jc w:val="both"/>
              <w:rPr>
                <w:rFonts w:ascii="Times New Roman" w:hAnsi="Times New Roman" w:cs="Times New Roman"/>
              </w:rPr>
            </w:pPr>
            <w:r w:rsidRPr="00F53EF8">
              <w:rPr>
                <w:rFonts w:ascii="Times New Roman" w:hAnsi="Times New Roman" w:cs="Times New Roman"/>
              </w:rPr>
              <w:t>Geographic Focus</w:t>
            </w:r>
          </w:p>
        </w:tc>
        <w:tc>
          <w:tcPr>
            <w:tcW w:w="3510" w:type="dxa"/>
          </w:tcPr>
          <w:p w14:paraId="72DDFC38" w14:textId="77777777" w:rsidR="00C96183" w:rsidRPr="00F53EF8" w:rsidRDefault="00BA2E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3EF8">
              <w:rPr>
                <w:rFonts w:ascii="Times New Roman" w:hAnsi="Times New Roman" w:cs="Times New Roman"/>
              </w:rPr>
              <w:t xml:space="preserve">United </w:t>
            </w:r>
            <w:r w:rsidRPr="00F53EF8">
              <w:rPr>
                <w:rFonts w:ascii="Times New Roman" w:hAnsi="Times New Roman" w:cs="Times New Roman"/>
              </w:rPr>
              <w:t>States (national, state, or local level) or international comparisons that include the U.S.</w:t>
            </w:r>
          </w:p>
        </w:tc>
        <w:tc>
          <w:tcPr>
            <w:tcW w:w="3510" w:type="dxa"/>
          </w:tcPr>
          <w:p w14:paraId="4921F7BD" w14:textId="77777777" w:rsidR="00C96183" w:rsidRPr="00F53EF8" w:rsidRDefault="00BA2E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3EF8">
              <w:rPr>
                <w:rFonts w:ascii="Times New Roman" w:hAnsi="Times New Roman" w:cs="Times New Roman"/>
              </w:rPr>
              <w:t>Studies with no U.S. focus or relevance</w:t>
            </w:r>
          </w:p>
        </w:tc>
      </w:tr>
      <w:tr w:rsidR="00C96183" w:rsidRPr="00F53EF8" w14:paraId="36906501" w14:textId="77777777" w:rsidTr="00C96183">
        <w:tc>
          <w:tcPr>
            <w:cnfStyle w:val="001000000000" w:firstRow="0" w:lastRow="0" w:firstColumn="1" w:lastColumn="0" w:oddVBand="0" w:evenVBand="0" w:oddHBand="0" w:evenHBand="0" w:firstRowFirstColumn="0" w:firstRowLastColumn="0" w:lastRowFirstColumn="0" w:lastRowLastColumn="0"/>
            <w:tcW w:w="2340" w:type="dxa"/>
          </w:tcPr>
          <w:p w14:paraId="5EF05C2B" w14:textId="77777777" w:rsidR="00C96183" w:rsidRPr="00F53EF8" w:rsidRDefault="00BA2E0F">
            <w:pPr>
              <w:jc w:val="both"/>
              <w:rPr>
                <w:rFonts w:ascii="Times New Roman" w:hAnsi="Times New Roman" w:cs="Times New Roman"/>
              </w:rPr>
            </w:pPr>
            <w:r w:rsidRPr="00F53EF8">
              <w:rPr>
                <w:rFonts w:ascii="Times New Roman" w:hAnsi="Times New Roman" w:cs="Times New Roman"/>
              </w:rPr>
              <w:t>Topic Relevance</w:t>
            </w:r>
          </w:p>
        </w:tc>
        <w:tc>
          <w:tcPr>
            <w:tcW w:w="3510" w:type="dxa"/>
          </w:tcPr>
          <w:p w14:paraId="460CCBB1" w14:textId="77777777" w:rsidR="00C96183" w:rsidRPr="00F53EF8" w:rsidRDefault="00BA2E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3EF8">
              <w:rPr>
                <w:rFonts w:ascii="Times New Roman" w:hAnsi="Times New Roman" w:cs="Times New Roman"/>
              </w:rPr>
              <w:t>Addresses pandemic preparedness, response systems, public health resilience, health system capacity, biosur</w:t>
            </w:r>
            <w:r w:rsidRPr="00F53EF8">
              <w:rPr>
                <w:rFonts w:ascii="Times New Roman" w:hAnsi="Times New Roman" w:cs="Times New Roman"/>
              </w:rPr>
              <w:t>veillance, emergency preparedness, or lessons learned from COVID-19</w:t>
            </w:r>
          </w:p>
        </w:tc>
        <w:tc>
          <w:tcPr>
            <w:tcW w:w="3510" w:type="dxa"/>
          </w:tcPr>
          <w:p w14:paraId="73EF189E" w14:textId="77777777" w:rsidR="00C96183" w:rsidRPr="00F53EF8" w:rsidRDefault="00BA2E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3EF8">
              <w:rPr>
                <w:rFonts w:ascii="Times New Roman" w:hAnsi="Times New Roman" w:cs="Times New Roman"/>
              </w:rPr>
              <w:t>Focuses solely on clinical treatment protocols, vaccine development, or non-pandemic health emergencies</w:t>
            </w:r>
          </w:p>
        </w:tc>
      </w:tr>
      <w:tr w:rsidR="00C96183" w:rsidRPr="00F53EF8" w14:paraId="039DCCAE" w14:textId="77777777" w:rsidTr="00C96183">
        <w:tc>
          <w:tcPr>
            <w:cnfStyle w:val="001000000000" w:firstRow="0" w:lastRow="0" w:firstColumn="1" w:lastColumn="0" w:oddVBand="0" w:evenVBand="0" w:oddHBand="0" w:evenHBand="0" w:firstRowFirstColumn="0" w:firstRowLastColumn="0" w:lastRowFirstColumn="0" w:lastRowLastColumn="0"/>
            <w:tcW w:w="2340" w:type="dxa"/>
          </w:tcPr>
          <w:p w14:paraId="5C7F97BA" w14:textId="77777777" w:rsidR="00C96183" w:rsidRPr="00F53EF8" w:rsidRDefault="00BA2E0F">
            <w:pPr>
              <w:jc w:val="both"/>
              <w:rPr>
                <w:rFonts w:ascii="Times New Roman" w:hAnsi="Times New Roman" w:cs="Times New Roman"/>
              </w:rPr>
            </w:pPr>
            <w:r w:rsidRPr="00F53EF8">
              <w:rPr>
                <w:rFonts w:ascii="Times New Roman" w:hAnsi="Times New Roman" w:cs="Times New Roman"/>
              </w:rPr>
              <w:t>Source Type</w:t>
            </w:r>
          </w:p>
        </w:tc>
        <w:tc>
          <w:tcPr>
            <w:tcW w:w="3510" w:type="dxa"/>
          </w:tcPr>
          <w:p w14:paraId="25EC9589" w14:textId="77777777" w:rsidR="00C96183" w:rsidRPr="00F53EF8" w:rsidRDefault="00BA2E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3EF8">
              <w:rPr>
                <w:rFonts w:ascii="Times New Roman" w:hAnsi="Times New Roman" w:cs="Times New Roman"/>
              </w:rPr>
              <w:t>Government reports, policy documents, peer-reviewed articles, white pap</w:t>
            </w:r>
            <w:r w:rsidRPr="00F53EF8">
              <w:rPr>
                <w:rFonts w:ascii="Times New Roman" w:hAnsi="Times New Roman" w:cs="Times New Roman"/>
              </w:rPr>
              <w:t>ers, evaluation reports, congressional testimony, and guidance documents</w:t>
            </w:r>
          </w:p>
        </w:tc>
        <w:tc>
          <w:tcPr>
            <w:tcW w:w="3510" w:type="dxa"/>
          </w:tcPr>
          <w:p w14:paraId="00316FE1" w14:textId="77777777" w:rsidR="00C96183" w:rsidRPr="00F53EF8" w:rsidRDefault="00BA2E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3EF8">
              <w:rPr>
                <w:rFonts w:ascii="Times New Roman" w:hAnsi="Times New Roman" w:cs="Times New Roman"/>
              </w:rPr>
              <w:t>Opinion pieces without supporting evidence, news articles, blog posts</w:t>
            </w:r>
          </w:p>
        </w:tc>
      </w:tr>
      <w:tr w:rsidR="00C96183" w:rsidRPr="00F53EF8" w14:paraId="356A91EA" w14:textId="77777777" w:rsidTr="00C96183">
        <w:tc>
          <w:tcPr>
            <w:cnfStyle w:val="001000000000" w:firstRow="0" w:lastRow="0" w:firstColumn="1" w:lastColumn="0" w:oddVBand="0" w:evenVBand="0" w:oddHBand="0" w:evenHBand="0" w:firstRowFirstColumn="0" w:firstRowLastColumn="0" w:lastRowFirstColumn="0" w:lastRowLastColumn="0"/>
            <w:tcW w:w="2340" w:type="dxa"/>
          </w:tcPr>
          <w:p w14:paraId="57C1DCB1" w14:textId="77777777" w:rsidR="00C96183" w:rsidRPr="00F53EF8" w:rsidRDefault="00BA2E0F">
            <w:pPr>
              <w:jc w:val="both"/>
              <w:rPr>
                <w:rFonts w:ascii="Times New Roman" w:hAnsi="Times New Roman" w:cs="Times New Roman"/>
              </w:rPr>
            </w:pPr>
            <w:r w:rsidRPr="00F53EF8">
              <w:rPr>
                <w:rFonts w:ascii="Times New Roman" w:hAnsi="Times New Roman" w:cs="Times New Roman"/>
              </w:rPr>
              <w:t>Language</w:t>
            </w:r>
          </w:p>
        </w:tc>
        <w:tc>
          <w:tcPr>
            <w:tcW w:w="3510" w:type="dxa"/>
          </w:tcPr>
          <w:p w14:paraId="433C6454" w14:textId="77777777" w:rsidR="00C96183" w:rsidRPr="00F53EF8" w:rsidRDefault="00BA2E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3EF8">
              <w:rPr>
                <w:rFonts w:ascii="Times New Roman" w:hAnsi="Times New Roman" w:cs="Times New Roman"/>
              </w:rPr>
              <w:t>English</w:t>
            </w:r>
          </w:p>
        </w:tc>
        <w:tc>
          <w:tcPr>
            <w:tcW w:w="3510" w:type="dxa"/>
          </w:tcPr>
          <w:p w14:paraId="7EE1BF08" w14:textId="77777777" w:rsidR="00C96183" w:rsidRPr="00F53EF8" w:rsidRDefault="00BA2E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3EF8">
              <w:rPr>
                <w:rFonts w:ascii="Times New Roman" w:hAnsi="Times New Roman" w:cs="Times New Roman"/>
              </w:rPr>
              <w:t>Non-English publications</w:t>
            </w:r>
          </w:p>
        </w:tc>
      </w:tr>
      <w:tr w:rsidR="00C96183" w:rsidRPr="00F53EF8" w14:paraId="205B5319" w14:textId="77777777" w:rsidTr="00C96183">
        <w:tc>
          <w:tcPr>
            <w:cnfStyle w:val="001000000000" w:firstRow="0" w:lastRow="0" w:firstColumn="1" w:lastColumn="0" w:oddVBand="0" w:evenVBand="0" w:oddHBand="0" w:evenHBand="0" w:firstRowFirstColumn="0" w:firstRowLastColumn="0" w:lastRowFirstColumn="0" w:lastRowLastColumn="0"/>
            <w:tcW w:w="2340" w:type="dxa"/>
          </w:tcPr>
          <w:p w14:paraId="546C8929" w14:textId="77777777" w:rsidR="00C96183" w:rsidRPr="00F53EF8" w:rsidRDefault="00BA2E0F">
            <w:pPr>
              <w:jc w:val="both"/>
              <w:rPr>
                <w:rFonts w:ascii="Times New Roman" w:hAnsi="Times New Roman" w:cs="Times New Roman"/>
              </w:rPr>
            </w:pPr>
            <w:r w:rsidRPr="00F53EF8">
              <w:rPr>
                <w:rFonts w:ascii="Times New Roman" w:hAnsi="Times New Roman" w:cs="Times New Roman"/>
              </w:rPr>
              <w:t>Accessibility</w:t>
            </w:r>
          </w:p>
        </w:tc>
        <w:tc>
          <w:tcPr>
            <w:tcW w:w="3510" w:type="dxa"/>
          </w:tcPr>
          <w:p w14:paraId="62D6CADA" w14:textId="77777777" w:rsidR="00C96183" w:rsidRPr="00F53EF8" w:rsidRDefault="00BA2E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3EF8">
              <w:rPr>
                <w:rFonts w:ascii="Times New Roman" w:hAnsi="Times New Roman" w:cs="Times New Roman"/>
              </w:rPr>
              <w:t>Publicly available documents</w:t>
            </w:r>
          </w:p>
        </w:tc>
        <w:tc>
          <w:tcPr>
            <w:tcW w:w="3510" w:type="dxa"/>
          </w:tcPr>
          <w:p w14:paraId="6530E8AE" w14:textId="77777777" w:rsidR="00C96183" w:rsidRPr="00F53EF8" w:rsidRDefault="00BA2E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3EF8">
              <w:rPr>
                <w:rFonts w:ascii="Times New Roman" w:hAnsi="Times New Roman" w:cs="Times New Roman"/>
              </w:rPr>
              <w:t xml:space="preserve">Proprietary or </w:t>
            </w:r>
            <w:r w:rsidRPr="00F53EF8">
              <w:rPr>
                <w:rFonts w:ascii="Times New Roman" w:hAnsi="Times New Roman" w:cs="Times New Roman"/>
              </w:rPr>
              <w:t>restricted-access documents</w:t>
            </w:r>
          </w:p>
        </w:tc>
      </w:tr>
      <w:tr w:rsidR="00C96183" w:rsidRPr="00F53EF8" w14:paraId="7F343446" w14:textId="77777777" w:rsidTr="00C96183">
        <w:tc>
          <w:tcPr>
            <w:cnfStyle w:val="001000000000" w:firstRow="0" w:lastRow="0" w:firstColumn="1" w:lastColumn="0" w:oddVBand="0" w:evenVBand="0" w:oddHBand="0" w:evenHBand="0" w:firstRowFirstColumn="0" w:firstRowLastColumn="0" w:lastRowFirstColumn="0" w:lastRowLastColumn="0"/>
            <w:tcW w:w="2340" w:type="dxa"/>
          </w:tcPr>
          <w:p w14:paraId="6A8FB188" w14:textId="77777777" w:rsidR="00C96183" w:rsidRPr="00F53EF8" w:rsidRDefault="00BA2E0F">
            <w:pPr>
              <w:jc w:val="both"/>
              <w:rPr>
                <w:rFonts w:ascii="Times New Roman" w:hAnsi="Times New Roman" w:cs="Times New Roman"/>
              </w:rPr>
            </w:pPr>
            <w:r w:rsidRPr="00F53EF8">
              <w:rPr>
                <w:rFonts w:ascii="Times New Roman" w:hAnsi="Times New Roman" w:cs="Times New Roman"/>
              </w:rPr>
              <w:t>Focus</w:t>
            </w:r>
          </w:p>
        </w:tc>
        <w:tc>
          <w:tcPr>
            <w:tcW w:w="3510" w:type="dxa"/>
          </w:tcPr>
          <w:p w14:paraId="259AAB3D" w14:textId="77777777" w:rsidR="00C96183" w:rsidRPr="00F53EF8" w:rsidRDefault="00BA2E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3EF8">
              <w:rPr>
                <w:rFonts w:ascii="Times New Roman" w:hAnsi="Times New Roman" w:cs="Times New Roman"/>
              </w:rPr>
              <w:t>Assessment, evaluation, or description of pandemic preparedness and response systems, infrastructure, policies, or frameworks</w:t>
            </w:r>
          </w:p>
        </w:tc>
        <w:tc>
          <w:tcPr>
            <w:tcW w:w="3510" w:type="dxa"/>
          </w:tcPr>
          <w:p w14:paraId="39A80E2A" w14:textId="77777777" w:rsidR="00C96183" w:rsidRPr="00F53EF8" w:rsidRDefault="00BA2E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3EF8">
              <w:rPr>
                <w:rFonts w:ascii="Times New Roman" w:hAnsi="Times New Roman" w:cs="Times New Roman"/>
              </w:rPr>
              <w:t xml:space="preserve">Individual case studies without broader system-level implications, studies focused exclusively </w:t>
            </w:r>
            <w:r w:rsidRPr="00F53EF8">
              <w:rPr>
                <w:rFonts w:ascii="Times New Roman" w:hAnsi="Times New Roman" w:cs="Times New Roman"/>
              </w:rPr>
              <w:t>on social or economic impacts without public health system analysis</w:t>
            </w:r>
          </w:p>
        </w:tc>
      </w:tr>
    </w:tbl>
    <w:p w14:paraId="10C66B87" w14:textId="77777777" w:rsidR="00C96183" w:rsidRPr="00F53EF8" w:rsidRDefault="00C96183">
      <w:pPr>
        <w:jc w:val="both"/>
        <w:rPr>
          <w:rFonts w:ascii="Times New Roman" w:hAnsi="Times New Roman" w:cs="Times New Roman"/>
          <w:b/>
          <w:bCs/>
        </w:rPr>
      </w:pPr>
    </w:p>
    <w:p w14:paraId="2717C487" w14:textId="77777777" w:rsidR="00C96183" w:rsidRPr="00F53EF8" w:rsidRDefault="00BA2E0F">
      <w:pPr>
        <w:jc w:val="both"/>
        <w:rPr>
          <w:rFonts w:ascii="Times New Roman" w:hAnsi="Times New Roman" w:cs="Times New Roman"/>
        </w:rPr>
      </w:pPr>
      <w:r w:rsidRPr="00F53EF8">
        <w:rPr>
          <w:rFonts w:ascii="Times New Roman" w:hAnsi="Times New Roman" w:cs="Times New Roman"/>
          <w:b/>
          <w:bCs/>
        </w:rPr>
        <w:t>2.4 Data Extraction and Analysis</w:t>
      </w:r>
      <w:r w:rsidRPr="00F53EF8">
        <w:rPr>
          <w:rFonts w:ascii="Times New Roman" w:hAnsi="Times New Roman" w:cs="Times New Roman"/>
        </w:rPr>
        <w:t>.</w:t>
      </w:r>
    </w:p>
    <w:p w14:paraId="55DB4882" w14:textId="77777777" w:rsidR="00C96183" w:rsidRPr="00F53EF8" w:rsidRDefault="00BA2E0F">
      <w:pPr>
        <w:spacing w:after="240"/>
        <w:jc w:val="both"/>
        <w:rPr>
          <w:rFonts w:ascii="Times New Roman" w:hAnsi="Times New Roman" w:cs="Times New Roman"/>
        </w:rPr>
      </w:pPr>
      <w:r w:rsidRPr="00F53EF8">
        <w:rPr>
          <w:rFonts w:ascii="Times New Roman" w:hAnsi="Times New Roman" w:cs="Times New Roman"/>
        </w:rPr>
        <w:t>Included sources were processed by extracting data on a standardized form, which involved the following aspects: author/organization, year of publicatio</w:t>
      </w:r>
      <w:r w:rsidRPr="00F53EF8">
        <w:rPr>
          <w:rFonts w:ascii="Times New Roman" w:hAnsi="Times New Roman" w:cs="Times New Roman"/>
        </w:rPr>
        <w:t>n, document type, primary focus/objectives, key findings that relate to resilience in the face of pandemics, and recommendations on improving the resilience of the population to pandemics.</w:t>
      </w:r>
    </w:p>
    <w:p w14:paraId="5879786B" w14:textId="77777777" w:rsidR="00C96183" w:rsidRPr="00F53EF8" w:rsidRDefault="00BA2E0F">
      <w:pPr>
        <w:spacing w:after="240"/>
        <w:jc w:val="both"/>
        <w:rPr>
          <w:rFonts w:ascii="Times New Roman" w:hAnsi="Times New Roman" w:cs="Times New Roman"/>
        </w:rPr>
      </w:pPr>
      <w:r w:rsidRPr="00F53EF8">
        <w:rPr>
          <w:rFonts w:ascii="Times New Roman" w:hAnsi="Times New Roman" w:cs="Times New Roman"/>
        </w:rPr>
        <w:lastRenderedPageBreak/>
        <w:t>The thematic analysis method was used to determine the common theme</w:t>
      </w:r>
      <w:r w:rsidRPr="00F53EF8">
        <w:rPr>
          <w:rFonts w:ascii="Times New Roman" w:hAnsi="Times New Roman" w:cs="Times New Roman"/>
        </w:rPr>
        <w:t xml:space="preserve"> in the literature. The data were coded and classified into seven major themes, which included (1) government policy and oversight, (2) state and local preparedness capacity, (3) health system resiliency, (4) lessons learned in the COVID-19, (5) public hea</w:t>
      </w:r>
      <w:r w:rsidRPr="00F53EF8">
        <w:rPr>
          <w:rFonts w:ascii="Times New Roman" w:hAnsi="Times New Roman" w:cs="Times New Roman"/>
        </w:rPr>
        <w:t>lth workforce and infrastructure, (6) bio surveillance and early detection, and (7) preparedness in the healthcare system and public perception.</w:t>
      </w:r>
    </w:p>
    <w:p w14:paraId="470D8EDE" w14:textId="77777777" w:rsidR="00C96183" w:rsidRPr="00F53EF8" w:rsidRDefault="00BA2E0F">
      <w:pPr>
        <w:spacing w:after="240"/>
        <w:jc w:val="both"/>
        <w:rPr>
          <w:rFonts w:ascii="Times New Roman" w:hAnsi="Times New Roman" w:cs="Times New Roman"/>
          <w:b/>
          <w:bCs/>
        </w:rPr>
      </w:pPr>
      <w:r w:rsidRPr="00F53EF8">
        <w:rPr>
          <w:rFonts w:ascii="Times New Roman" w:hAnsi="Times New Roman" w:cs="Times New Roman"/>
          <w:b/>
          <w:bCs/>
        </w:rPr>
        <w:t>2.5 Quality Assessment</w:t>
      </w:r>
    </w:p>
    <w:p w14:paraId="6E2EA6FF" w14:textId="77777777" w:rsidR="00C96183" w:rsidRPr="00F53EF8" w:rsidRDefault="00BA2E0F">
      <w:pPr>
        <w:spacing w:after="240"/>
        <w:jc w:val="both"/>
        <w:rPr>
          <w:rFonts w:ascii="Times New Roman" w:hAnsi="Times New Roman" w:cs="Times New Roman"/>
        </w:rPr>
      </w:pPr>
      <w:r w:rsidRPr="00F53EF8">
        <w:rPr>
          <w:rFonts w:ascii="Times New Roman" w:hAnsi="Times New Roman" w:cs="Times New Roman"/>
        </w:rPr>
        <w:t>Formal quality evaluation of individual studies was not done, as it is in line with scop</w:t>
      </w:r>
      <w:r w:rsidRPr="00F53EF8">
        <w:rPr>
          <w:rFonts w:ascii="Times New Roman" w:hAnsi="Times New Roman" w:cs="Times New Roman"/>
        </w:rPr>
        <w:t>ing review methodology. Nevertheless, publications of the reputable public health organizations, official governmental publications, and peer-reviewed literature were given preference to guarantee the credibility and relevancy of sources used.</w:t>
      </w:r>
    </w:p>
    <w:p w14:paraId="0EC9885D" w14:textId="77777777" w:rsidR="00C96183" w:rsidRPr="00F53EF8" w:rsidRDefault="00BA2E0F">
      <w:pPr>
        <w:spacing w:after="240"/>
        <w:jc w:val="both"/>
        <w:rPr>
          <w:rFonts w:ascii="Times New Roman" w:hAnsi="Times New Roman" w:cs="Times New Roman"/>
          <w:b/>
          <w:bCs/>
        </w:rPr>
      </w:pPr>
      <w:r w:rsidRPr="00F53EF8">
        <w:rPr>
          <w:rFonts w:ascii="Times New Roman" w:hAnsi="Times New Roman" w:cs="Times New Roman"/>
          <w:b/>
          <w:bCs/>
        </w:rPr>
        <w:t>3. Results</w:t>
      </w:r>
    </w:p>
    <w:p w14:paraId="648117D9" w14:textId="77777777" w:rsidR="00C96183" w:rsidRPr="00F53EF8" w:rsidRDefault="00BA2E0F">
      <w:pPr>
        <w:pStyle w:val="Heading2"/>
        <w:jc w:val="both"/>
        <w:rPr>
          <w:rFonts w:ascii="Times New Roman" w:hAnsi="Times New Roman" w:cs="Times New Roman"/>
        </w:rPr>
      </w:pPr>
      <w:r w:rsidRPr="00F53EF8">
        <w:rPr>
          <w:rFonts w:ascii="Times New Roman" w:hAnsi="Times New Roman" w:cs="Times New Roman"/>
        </w:rPr>
        <w:t>3</w:t>
      </w:r>
      <w:r w:rsidRPr="00F53EF8">
        <w:rPr>
          <w:rFonts w:ascii="Times New Roman" w:hAnsi="Times New Roman" w:cs="Times New Roman"/>
        </w:rPr>
        <w:t>.1 Overview of Included Sources</w:t>
      </w:r>
    </w:p>
    <w:p w14:paraId="477CC549" w14:textId="77777777" w:rsidR="00C96183" w:rsidRPr="00F53EF8" w:rsidRDefault="00BA2E0F">
      <w:pPr>
        <w:spacing w:after="240"/>
        <w:jc w:val="both"/>
        <w:rPr>
          <w:rFonts w:ascii="Times New Roman" w:hAnsi="Times New Roman" w:cs="Times New Roman"/>
        </w:rPr>
      </w:pPr>
      <w:r w:rsidRPr="00F53EF8">
        <w:rPr>
          <w:rFonts w:ascii="Times New Roman" w:hAnsi="Times New Roman" w:cs="Times New Roman"/>
        </w:rPr>
        <w:t>The search strategy determined 50 sources used in the research in the past year (2022-2025). The sources were distributed in the following way:</w:t>
      </w:r>
    </w:p>
    <w:p w14:paraId="18A9591D" w14:textId="77777777" w:rsidR="00C96183" w:rsidRPr="00F53EF8" w:rsidRDefault="00BA2E0F">
      <w:pPr>
        <w:pStyle w:val="ListParagraph"/>
        <w:numPr>
          <w:ilvl w:val="0"/>
          <w:numId w:val="4"/>
        </w:numPr>
        <w:spacing w:after="240"/>
        <w:jc w:val="both"/>
        <w:rPr>
          <w:rFonts w:ascii="Times New Roman" w:hAnsi="Times New Roman" w:cs="Times New Roman"/>
        </w:rPr>
      </w:pPr>
      <w:r w:rsidRPr="00F53EF8">
        <w:rPr>
          <w:rFonts w:ascii="Times New Roman" w:hAnsi="Times New Roman" w:cs="Times New Roman"/>
        </w:rPr>
        <w:t>Governmental reports and policy papers: 15 (30%)</w:t>
      </w:r>
    </w:p>
    <w:p w14:paraId="33CC6DF9" w14:textId="77777777" w:rsidR="00C96183" w:rsidRPr="00F53EF8" w:rsidRDefault="00BA2E0F">
      <w:pPr>
        <w:pStyle w:val="ListParagraph"/>
        <w:numPr>
          <w:ilvl w:val="0"/>
          <w:numId w:val="4"/>
        </w:numPr>
        <w:spacing w:after="240"/>
        <w:jc w:val="both"/>
        <w:rPr>
          <w:rFonts w:ascii="Times New Roman" w:hAnsi="Times New Roman" w:cs="Times New Roman"/>
        </w:rPr>
      </w:pPr>
      <w:r w:rsidRPr="00F53EF8">
        <w:rPr>
          <w:rFonts w:ascii="Times New Roman" w:hAnsi="Times New Roman" w:cs="Times New Roman"/>
        </w:rPr>
        <w:t>Journal articles that have gone</w:t>
      </w:r>
      <w:r w:rsidRPr="00F53EF8">
        <w:rPr>
          <w:rFonts w:ascii="Times New Roman" w:hAnsi="Times New Roman" w:cs="Times New Roman"/>
        </w:rPr>
        <w:t xml:space="preserve"> through peer review: 22 (44%).</w:t>
      </w:r>
    </w:p>
    <w:p w14:paraId="44A3CB63" w14:textId="77777777" w:rsidR="00C96183" w:rsidRPr="00F53EF8" w:rsidRDefault="00BA2E0F">
      <w:pPr>
        <w:pStyle w:val="ListParagraph"/>
        <w:numPr>
          <w:ilvl w:val="0"/>
          <w:numId w:val="4"/>
        </w:numPr>
        <w:spacing w:after="240"/>
        <w:jc w:val="both"/>
        <w:rPr>
          <w:rFonts w:ascii="Times New Roman" w:hAnsi="Times New Roman" w:cs="Times New Roman"/>
        </w:rPr>
      </w:pPr>
      <w:r w:rsidRPr="00F53EF8">
        <w:rPr>
          <w:rFonts w:ascii="Times New Roman" w:hAnsi="Times New Roman" w:cs="Times New Roman"/>
        </w:rPr>
        <w:t>Public health organization reports: 8 (16%)</w:t>
      </w:r>
    </w:p>
    <w:p w14:paraId="5ABE7E50" w14:textId="77777777" w:rsidR="00C96183" w:rsidRPr="00F53EF8" w:rsidRDefault="00BA2E0F">
      <w:pPr>
        <w:pStyle w:val="ListParagraph"/>
        <w:numPr>
          <w:ilvl w:val="0"/>
          <w:numId w:val="4"/>
        </w:numPr>
        <w:spacing w:after="240"/>
        <w:jc w:val="both"/>
        <w:rPr>
          <w:rFonts w:ascii="Times New Roman" w:hAnsi="Times New Roman" w:cs="Times New Roman"/>
        </w:rPr>
      </w:pPr>
      <w:r w:rsidRPr="00F53EF8">
        <w:rPr>
          <w:rFonts w:ascii="Times New Roman" w:hAnsi="Times New Roman" w:cs="Times New Roman"/>
        </w:rPr>
        <w:t>White papers and policy briefs: 5 (10%)</w:t>
      </w:r>
    </w:p>
    <w:p w14:paraId="5900ABBC" w14:textId="77777777" w:rsidR="00C96183" w:rsidRPr="00F53EF8" w:rsidRDefault="00BA2E0F">
      <w:pPr>
        <w:spacing w:after="240"/>
        <w:jc w:val="both"/>
        <w:rPr>
          <w:rFonts w:ascii="Times New Roman" w:hAnsi="Times New Roman" w:cs="Times New Roman"/>
        </w:rPr>
      </w:pPr>
      <w:r w:rsidRPr="00F53EF8">
        <w:rPr>
          <w:rFonts w:ascii="Times New Roman" w:hAnsi="Times New Roman" w:cs="Times New Roman"/>
        </w:rPr>
        <w:t>The sources have been divided in seven themes and some of the sources may handle two or more themes. Table 2 contains the results of both so</w:t>
      </w:r>
      <w:r w:rsidRPr="00F53EF8">
        <w:rPr>
          <w:rFonts w:ascii="Times New Roman" w:hAnsi="Times New Roman" w:cs="Times New Roman"/>
        </w:rPr>
        <w:t>urces.</w:t>
      </w:r>
    </w:p>
    <w:p w14:paraId="09C941FD" w14:textId="77777777" w:rsidR="00C96183" w:rsidRPr="00F53EF8" w:rsidRDefault="00BA2E0F">
      <w:pPr>
        <w:jc w:val="both"/>
        <w:rPr>
          <w:rFonts w:ascii="Times New Roman" w:hAnsi="Times New Roman" w:cs="Times New Roman"/>
          <w:b/>
          <w:bCs/>
        </w:rPr>
      </w:pPr>
      <w:r w:rsidRPr="00F53EF8">
        <w:rPr>
          <w:rFonts w:ascii="Times New Roman" w:hAnsi="Times New Roman" w:cs="Times New Roman"/>
          <w:b/>
          <w:bCs/>
        </w:rPr>
        <w:t>3.2 Summary of Findings by Theme</w:t>
      </w:r>
    </w:p>
    <w:p w14:paraId="08F52F9A" w14:textId="77777777" w:rsidR="00C96183" w:rsidRPr="00F53EF8" w:rsidRDefault="00BA2E0F">
      <w:pPr>
        <w:spacing w:before="120" w:after="120"/>
        <w:jc w:val="both"/>
        <w:rPr>
          <w:rFonts w:ascii="Times New Roman" w:hAnsi="Times New Roman" w:cs="Times New Roman"/>
        </w:rPr>
      </w:pPr>
      <w:r w:rsidRPr="00F53EF8">
        <w:rPr>
          <w:rFonts w:ascii="Times New Roman" w:hAnsi="Times New Roman" w:cs="Times New Roman"/>
          <w:b/>
          <w:bCs/>
        </w:rPr>
        <w:t>Table 2: Summary of Included Sources and Key Findings</w:t>
      </w:r>
    </w:p>
    <w:tbl>
      <w:tblPr>
        <w:tblStyle w:val="GridTable1Light1"/>
        <w:tblW w:w="0" w:type="auto"/>
        <w:tblLook w:val="04A0" w:firstRow="1" w:lastRow="0" w:firstColumn="1" w:lastColumn="0" w:noHBand="0" w:noVBand="1"/>
      </w:tblPr>
      <w:tblGrid>
        <w:gridCol w:w="2220"/>
        <w:gridCol w:w="1656"/>
        <w:gridCol w:w="2162"/>
        <w:gridCol w:w="3312"/>
      </w:tblGrid>
      <w:tr w:rsidR="00C96183" w:rsidRPr="00F53EF8" w14:paraId="58081421" w14:textId="77777777" w:rsidTr="00C961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12FCC43" w14:textId="77777777" w:rsidR="00C96183" w:rsidRPr="00F53EF8" w:rsidRDefault="00BA2E0F">
            <w:pPr>
              <w:pStyle w:val="Heading2"/>
              <w:jc w:val="both"/>
              <w:outlineLvl w:val="1"/>
              <w:rPr>
                <w:rFonts w:ascii="Times New Roman" w:hAnsi="Times New Roman" w:cs="Times New Roman"/>
                <w:sz w:val="24"/>
                <w:szCs w:val="24"/>
              </w:rPr>
            </w:pPr>
            <w:r w:rsidRPr="00F53EF8">
              <w:rPr>
                <w:rFonts w:ascii="Times New Roman" w:hAnsi="Times New Roman" w:cs="Times New Roman"/>
                <w:b/>
                <w:bCs/>
                <w:sz w:val="24"/>
                <w:szCs w:val="24"/>
              </w:rPr>
              <w:t>Reference</w:t>
            </w:r>
          </w:p>
        </w:tc>
        <w:tc>
          <w:tcPr>
            <w:tcW w:w="0" w:type="auto"/>
            <w:hideMark/>
          </w:tcPr>
          <w:p w14:paraId="61BBEB59" w14:textId="77777777" w:rsidR="00C96183" w:rsidRPr="00F53EF8" w:rsidRDefault="00BA2E0F">
            <w:pPr>
              <w:pStyle w:val="Heading2"/>
              <w:jc w:val="both"/>
              <w:outlineLvl w:val="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53EF8">
              <w:rPr>
                <w:rFonts w:ascii="Times New Roman" w:hAnsi="Times New Roman" w:cs="Times New Roman"/>
                <w:b/>
                <w:bCs/>
                <w:sz w:val="24"/>
                <w:szCs w:val="24"/>
              </w:rPr>
              <w:t>Source Type</w:t>
            </w:r>
          </w:p>
        </w:tc>
        <w:tc>
          <w:tcPr>
            <w:tcW w:w="0" w:type="auto"/>
            <w:hideMark/>
          </w:tcPr>
          <w:p w14:paraId="01409A57" w14:textId="77777777" w:rsidR="00C96183" w:rsidRPr="00F53EF8" w:rsidRDefault="00BA2E0F">
            <w:pPr>
              <w:pStyle w:val="Heading2"/>
              <w:jc w:val="both"/>
              <w:outlineLvl w:val="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53EF8">
              <w:rPr>
                <w:rFonts w:ascii="Times New Roman" w:hAnsi="Times New Roman" w:cs="Times New Roman"/>
                <w:b/>
                <w:bCs/>
                <w:sz w:val="24"/>
                <w:szCs w:val="24"/>
              </w:rPr>
              <w:t>Theme(s)</w:t>
            </w:r>
          </w:p>
        </w:tc>
        <w:tc>
          <w:tcPr>
            <w:tcW w:w="0" w:type="auto"/>
            <w:hideMark/>
          </w:tcPr>
          <w:p w14:paraId="266DA963" w14:textId="77777777" w:rsidR="00C96183" w:rsidRPr="00F53EF8" w:rsidRDefault="00BA2E0F">
            <w:pPr>
              <w:pStyle w:val="Heading2"/>
              <w:jc w:val="both"/>
              <w:outlineLvl w:val="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53EF8">
              <w:rPr>
                <w:rFonts w:ascii="Times New Roman" w:hAnsi="Times New Roman" w:cs="Times New Roman"/>
                <w:b/>
                <w:bCs/>
                <w:sz w:val="24"/>
                <w:szCs w:val="24"/>
              </w:rPr>
              <w:t>Key Findings</w:t>
            </w:r>
          </w:p>
        </w:tc>
      </w:tr>
      <w:tr w:rsidR="00C96183" w:rsidRPr="00F53EF8" w14:paraId="6DA170CC" w14:textId="77777777" w:rsidTr="00C96183">
        <w:tc>
          <w:tcPr>
            <w:cnfStyle w:val="001000000000" w:firstRow="0" w:lastRow="0" w:firstColumn="1" w:lastColumn="0" w:oddVBand="0" w:evenVBand="0" w:oddHBand="0" w:evenHBand="0" w:firstRowFirstColumn="0" w:firstRowLastColumn="0" w:lastRowFirstColumn="0" w:lastRowLastColumn="0"/>
            <w:tcW w:w="0" w:type="auto"/>
            <w:hideMark/>
          </w:tcPr>
          <w:p w14:paraId="48F9212C" w14:textId="77777777" w:rsidR="00C96183" w:rsidRPr="00F53EF8" w:rsidRDefault="00BA2E0F">
            <w:pPr>
              <w:pStyle w:val="Heading2"/>
              <w:jc w:val="both"/>
              <w:outlineLvl w:val="1"/>
              <w:rPr>
                <w:rFonts w:ascii="Times New Roman" w:hAnsi="Times New Roman" w:cs="Times New Roman"/>
                <w:sz w:val="24"/>
                <w:szCs w:val="24"/>
              </w:rPr>
            </w:pPr>
            <w:r w:rsidRPr="00F53EF8">
              <w:rPr>
                <w:rFonts w:ascii="Times New Roman" w:hAnsi="Times New Roman" w:cs="Times New Roman"/>
                <w:b/>
                <w:bCs/>
                <w:sz w:val="24"/>
                <w:szCs w:val="24"/>
              </w:rPr>
              <w:t>U.S. Government Accountability Office (2023)</w:t>
            </w:r>
          </w:p>
        </w:tc>
        <w:tc>
          <w:tcPr>
            <w:tcW w:w="0" w:type="auto"/>
            <w:hideMark/>
          </w:tcPr>
          <w:p w14:paraId="187A7BCA"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Government Report</w:t>
            </w:r>
          </w:p>
        </w:tc>
        <w:tc>
          <w:tcPr>
            <w:tcW w:w="0" w:type="auto"/>
            <w:hideMark/>
          </w:tcPr>
          <w:p w14:paraId="2DEBAFF4"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State/Local Preparedness, Infrastructure</w:t>
            </w:r>
          </w:p>
        </w:tc>
        <w:tc>
          <w:tcPr>
            <w:tcW w:w="0" w:type="auto"/>
            <w:hideMark/>
          </w:tcPr>
          <w:p w14:paraId="45C9E6A0"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 xml:space="preserve">Identified </w:t>
            </w:r>
            <w:r w:rsidRPr="00F53EF8">
              <w:rPr>
                <w:rFonts w:ascii="Times New Roman" w:hAnsi="Times New Roman" w:cs="Times New Roman"/>
                <w:b w:val="0"/>
                <w:bCs w:val="0"/>
                <w:sz w:val="24"/>
                <w:szCs w:val="24"/>
              </w:rPr>
              <w:t>persistent gaps in public health infrastructure including outdated data systems, workforce shortages, and inadequate funding mechanisms that hinder sustained preparedness beyond COVID-19 response.</w:t>
            </w:r>
          </w:p>
        </w:tc>
      </w:tr>
      <w:tr w:rsidR="00C96183" w:rsidRPr="00F53EF8" w14:paraId="2BAECA39" w14:textId="77777777" w:rsidTr="00C96183">
        <w:tc>
          <w:tcPr>
            <w:cnfStyle w:val="001000000000" w:firstRow="0" w:lastRow="0" w:firstColumn="1" w:lastColumn="0" w:oddVBand="0" w:evenVBand="0" w:oddHBand="0" w:evenHBand="0" w:firstRowFirstColumn="0" w:firstRowLastColumn="0" w:lastRowFirstColumn="0" w:lastRowLastColumn="0"/>
            <w:tcW w:w="0" w:type="auto"/>
            <w:hideMark/>
          </w:tcPr>
          <w:p w14:paraId="657138CB" w14:textId="77777777" w:rsidR="00C96183" w:rsidRPr="00F53EF8" w:rsidRDefault="00BA2E0F">
            <w:pPr>
              <w:pStyle w:val="Heading2"/>
              <w:jc w:val="both"/>
              <w:outlineLvl w:val="1"/>
              <w:rPr>
                <w:rFonts w:ascii="Times New Roman" w:hAnsi="Times New Roman" w:cs="Times New Roman"/>
                <w:sz w:val="24"/>
                <w:szCs w:val="24"/>
              </w:rPr>
            </w:pPr>
            <w:r w:rsidRPr="00F53EF8">
              <w:rPr>
                <w:rFonts w:ascii="Times New Roman" w:hAnsi="Times New Roman" w:cs="Times New Roman"/>
                <w:b/>
                <w:bCs/>
                <w:sz w:val="24"/>
                <w:szCs w:val="24"/>
              </w:rPr>
              <w:lastRenderedPageBreak/>
              <w:t>U.S. House Committee on Oversight and Accountability (2024</w:t>
            </w:r>
            <w:r w:rsidRPr="00F53EF8">
              <w:rPr>
                <w:rFonts w:ascii="Times New Roman" w:hAnsi="Times New Roman" w:cs="Times New Roman"/>
                <w:b/>
                <w:bCs/>
                <w:sz w:val="24"/>
                <w:szCs w:val="24"/>
              </w:rPr>
              <w:t>)</w:t>
            </w:r>
          </w:p>
        </w:tc>
        <w:tc>
          <w:tcPr>
            <w:tcW w:w="0" w:type="auto"/>
            <w:hideMark/>
          </w:tcPr>
          <w:p w14:paraId="439CB929"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Congressional Report</w:t>
            </w:r>
          </w:p>
        </w:tc>
        <w:tc>
          <w:tcPr>
            <w:tcW w:w="0" w:type="auto"/>
            <w:hideMark/>
          </w:tcPr>
          <w:p w14:paraId="6E782592"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Government Policy, Lessons Learned</w:t>
            </w:r>
          </w:p>
        </w:tc>
        <w:tc>
          <w:tcPr>
            <w:tcW w:w="0" w:type="auto"/>
            <w:hideMark/>
          </w:tcPr>
          <w:p w14:paraId="12463D6A"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Documented failures in federal coordination, communication breakdowns between agencies, delayed response activation, and the need for clear command structures during public health emergencies.</w:t>
            </w:r>
          </w:p>
        </w:tc>
      </w:tr>
      <w:tr w:rsidR="00C96183" w:rsidRPr="00F53EF8" w14:paraId="47DD7228" w14:textId="77777777" w:rsidTr="00C96183">
        <w:tc>
          <w:tcPr>
            <w:cnfStyle w:val="001000000000" w:firstRow="0" w:lastRow="0" w:firstColumn="1" w:lastColumn="0" w:oddVBand="0" w:evenVBand="0" w:oddHBand="0" w:evenHBand="0" w:firstRowFirstColumn="0" w:firstRowLastColumn="0" w:lastRowFirstColumn="0" w:lastRowLastColumn="0"/>
            <w:tcW w:w="0" w:type="auto"/>
            <w:hideMark/>
          </w:tcPr>
          <w:p w14:paraId="6B90C7D1" w14:textId="77777777" w:rsidR="00C96183" w:rsidRPr="00F53EF8" w:rsidRDefault="00BA2E0F">
            <w:pPr>
              <w:pStyle w:val="Heading2"/>
              <w:jc w:val="both"/>
              <w:outlineLvl w:val="1"/>
              <w:rPr>
                <w:rFonts w:ascii="Times New Roman" w:hAnsi="Times New Roman" w:cs="Times New Roman"/>
                <w:sz w:val="24"/>
                <w:szCs w:val="24"/>
              </w:rPr>
            </w:pPr>
            <w:r w:rsidRPr="00F53EF8">
              <w:rPr>
                <w:rFonts w:ascii="Times New Roman" w:hAnsi="Times New Roman" w:cs="Times New Roman"/>
                <w:b/>
                <w:bCs/>
                <w:sz w:val="24"/>
                <w:szCs w:val="24"/>
              </w:rPr>
              <w:t>Cent</w:t>
            </w:r>
            <w:r w:rsidRPr="00F53EF8">
              <w:rPr>
                <w:rFonts w:ascii="Times New Roman" w:hAnsi="Times New Roman" w:cs="Times New Roman"/>
                <w:b/>
                <w:bCs/>
                <w:sz w:val="24"/>
                <w:szCs w:val="24"/>
              </w:rPr>
              <w:t>ers for Disease Control and Prevention (2024a)</w:t>
            </w:r>
          </w:p>
        </w:tc>
        <w:tc>
          <w:tcPr>
            <w:tcW w:w="0" w:type="auto"/>
            <w:hideMark/>
          </w:tcPr>
          <w:p w14:paraId="2C4E9856"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Government Testimony</w:t>
            </w:r>
          </w:p>
        </w:tc>
        <w:tc>
          <w:tcPr>
            <w:tcW w:w="0" w:type="auto"/>
            <w:hideMark/>
          </w:tcPr>
          <w:p w14:paraId="5E36D503"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Government Policy, Lessons Learned</w:t>
            </w:r>
          </w:p>
        </w:tc>
        <w:tc>
          <w:tcPr>
            <w:tcW w:w="0" w:type="auto"/>
            <w:hideMark/>
          </w:tcPr>
          <w:p w14:paraId="7896AFA6"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Emphasized the need for modernized surveillance systems, enhanced laboratory capacity, improved data sharing infrastructure, and strengthened state and l</w:t>
            </w:r>
            <w:r w:rsidRPr="00F53EF8">
              <w:rPr>
                <w:rFonts w:ascii="Times New Roman" w:hAnsi="Times New Roman" w:cs="Times New Roman"/>
                <w:b w:val="0"/>
                <w:bCs w:val="0"/>
                <w:sz w:val="24"/>
                <w:szCs w:val="24"/>
              </w:rPr>
              <w:t>ocal public health departments.</w:t>
            </w:r>
          </w:p>
        </w:tc>
      </w:tr>
      <w:tr w:rsidR="00C96183" w:rsidRPr="00F53EF8" w14:paraId="79FF7F68" w14:textId="77777777" w:rsidTr="00C96183">
        <w:tc>
          <w:tcPr>
            <w:cnfStyle w:val="001000000000" w:firstRow="0" w:lastRow="0" w:firstColumn="1" w:lastColumn="0" w:oddVBand="0" w:evenVBand="0" w:oddHBand="0" w:evenHBand="0" w:firstRowFirstColumn="0" w:firstRowLastColumn="0" w:lastRowFirstColumn="0" w:lastRowLastColumn="0"/>
            <w:tcW w:w="0" w:type="auto"/>
            <w:hideMark/>
          </w:tcPr>
          <w:p w14:paraId="1571564E" w14:textId="77777777" w:rsidR="00C96183" w:rsidRPr="00F53EF8" w:rsidRDefault="00BA2E0F">
            <w:pPr>
              <w:pStyle w:val="Heading2"/>
              <w:jc w:val="both"/>
              <w:outlineLvl w:val="1"/>
              <w:rPr>
                <w:rFonts w:ascii="Times New Roman" w:hAnsi="Times New Roman" w:cs="Times New Roman"/>
                <w:sz w:val="24"/>
                <w:szCs w:val="24"/>
              </w:rPr>
            </w:pPr>
            <w:r w:rsidRPr="00F53EF8">
              <w:rPr>
                <w:rFonts w:ascii="Times New Roman" w:hAnsi="Times New Roman" w:cs="Times New Roman"/>
                <w:b/>
                <w:bCs/>
                <w:sz w:val="24"/>
                <w:szCs w:val="24"/>
              </w:rPr>
              <w:t>U.S. Congress (2024)</w:t>
            </w:r>
          </w:p>
        </w:tc>
        <w:tc>
          <w:tcPr>
            <w:tcW w:w="0" w:type="auto"/>
            <w:hideMark/>
          </w:tcPr>
          <w:p w14:paraId="3808A5C9"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Legislation</w:t>
            </w:r>
          </w:p>
        </w:tc>
        <w:tc>
          <w:tcPr>
            <w:tcW w:w="0" w:type="auto"/>
            <w:hideMark/>
          </w:tcPr>
          <w:p w14:paraId="3ECCD361"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Government Policy</w:t>
            </w:r>
          </w:p>
        </w:tc>
        <w:tc>
          <w:tcPr>
            <w:tcW w:w="0" w:type="auto"/>
            <w:hideMark/>
          </w:tcPr>
          <w:p w14:paraId="52D61564"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Reauthorized and amended pandemic preparedness programs with focus on medical countermeasure development, healthcare coalition coordination, and public health emergency aut</w:t>
            </w:r>
            <w:r w:rsidRPr="00F53EF8">
              <w:rPr>
                <w:rFonts w:ascii="Times New Roman" w:hAnsi="Times New Roman" w:cs="Times New Roman"/>
                <w:b w:val="0"/>
                <w:bCs w:val="0"/>
                <w:sz w:val="24"/>
                <w:szCs w:val="24"/>
              </w:rPr>
              <w:t>horities.</w:t>
            </w:r>
          </w:p>
        </w:tc>
      </w:tr>
      <w:tr w:rsidR="00C96183" w:rsidRPr="00F53EF8" w14:paraId="708B9B98" w14:textId="77777777" w:rsidTr="00C96183">
        <w:tc>
          <w:tcPr>
            <w:cnfStyle w:val="001000000000" w:firstRow="0" w:lastRow="0" w:firstColumn="1" w:lastColumn="0" w:oddVBand="0" w:evenVBand="0" w:oddHBand="0" w:evenHBand="0" w:firstRowFirstColumn="0" w:firstRowLastColumn="0" w:lastRowFirstColumn="0" w:lastRowLastColumn="0"/>
            <w:tcW w:w="0" w:type="auto"/>
            <w:hideMark/>
          </w:tcPr>
          <w:p w14:paraId="59C7B011" w14:textId="77777777" w:rsidR="00C96183" w:rsidRPr="00F53EF8" w:rsidRDefault="00BA2E0F">
            <w:pPr>
              <w:pStyle w:val="Heading2"/>
              <w:jc w:val="both"/>
              <w:outlineLvl w:val="1"/>
              <w:rPr>
                <w:rFonts w:ascii="Times New Roman" w:hAnsi="Times New Roman" w:cs="Times New Roman"/>
                <w:sz w:val="24"/>
                <w:szCs w:val="24"/>
              </w:rPr>
            </w:pPr>
            <w:r w:rsidRPr="00F53EF8">
              <w:rPr>
                <w:rFonts w:ascii="Times New Roman" w:hAnsi="Times New Roman" w:cs="Times New Roman"/>
                <w:b/>
                <w:bCs/>
                <w:sz w:val="24"/>
                <w:szCs w:val="24"/>
              </w:rPr>
              <w:t>Presidential Advisory Council on Combating Antibiotic-Resistant Bacteria (2023)</w:t>
            </w:r>
          </w:p>
        </w:tc>
        <w:tc>
          <w:tcPr>
            <w:tcW w:w="0" w:type="auto"/>
            <w:hideMark/>
          </w:tcPr>
          <w:p w14:paraId="5CBA5C9B"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Government Report</w:t>
            </w:r>
          </w:p>
        </w:tc>
        <w:tc>
          <w:tcPr>
            <w:tcW w:w="0" w:type="auto"/>
            <w:hideMark/>
          </w:tcPr>
          <w:p w14:paraId="747F9DBE"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Biosurveillance, Government Policy</w:t>
            </w:r>
          </w:p>
        </w:tc>
        <w:tc>
          <w:tcPr>
            <w:tcW w:w="0" w:type="auto"/>
            <w:hideMark/>
          </w:tcPr>
          <w:p w14:paraId="5ED37064"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 xml:space="preserve">Highlighted the intersection of antimicrobial resistance and pandemic preparedness, recommending integrated </w:t>
            </w:r>
            <w:r w:rsidRPr="00F53EF8">
              <w:rPr>
                <w:rFonts w:ascii="Times New Roman" w:hAnsi="Times New Roman" w:cs="Times New Roman"/>
                <w:b w:val="0"/>
                <w:bCs w:val="0"/>
                <w:sz w:val="24"/>
                <w:szCs w:val="24"/>
              </w:rPr>
              <w:t>surveillance for emerging resistant pathogens and preparedness for pandemics complicated by drug resistance.</w:t>
            </w:r>
          </w:p>
        </w:tc>
      </w:tr>
      <w:tr w:rsidR="00C96183" w:rsidRPr="00F53EF8" w14:paraId="03877E0F" w14:textId="77777777" w:rsidTr="00C96183">
        <w:tc>
          <w:tcPr>
            <w:cnfStyle w:val="001000000000" w:firstRow="0" w:lastRow="0" w:firstColumn="1" w:lastColumn="0" w:oddVBand="0" w:evenVBand="0" w:oddHBand="0" w:evenHBand="0" w:firstRowFirstColumn="0" w:firstRowLastColumn="0" w:lastRowFirstColumn="0" w:lastRowLastColumn="0"/>
            <w:tcW w:w="0" w:type="auto"/>
            <w:hideMark/>
          </w:tcPr>
          <w:p w14:paraId="36DD0C4E" w14:textId="77777777" w:rsidR="00C96183" w:rsidRPr="00F53EF8" w:rsidRDefault="00BA2E0F">
            <w:pPr>
              <w:pStyle w:val="Heading2"/>
              <w:jc w:val="both"/>
              <w:outlineLvl w:val="1"/>
              <w:rPr>
                <w:rFonts w:ascii="Times New Roman" w:hAnsi="Times New Roman" w:cs="Times New Roman"/>
                <w:sz w:val="24"/>
                <w:szCs w:val="24"/>
              </w:rPr>
            </w:pPr>
            <w:r w:rsidRPr="00F53EF8">
              <w:rPr>
                <w:rFonts w:ascii="Times New Roman" w:hAnsi="Times New Roman" w:cs="Times New Roman"/>
                <w:b/>
                <w:bCs/>
                <w:sz w:val="24"/>
                <w:szCs w:val="24"/>
              </w:rPr>
              <w:t>National Governors Association (2024)</w:t>
            </w:r>
          </w:p>
        </w:tc>
        <w:tc>
          <w:tcPr>
            <w:tcW w:w="0" w:type="auto"/>
            <w:hideMark/>
          </w:tcPr>
          <w:p w14:paraId="592DF05D"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Policy Guidance</w:t>
            </w:r>
          </w:p>
        </w:tc>
        <w:tc>
          <w:tcPr>
            <w:tcW w:w="0" w:type="auto"/>
            <w:hideMark/>
          </w:tcPr>
          <w:p w14:paraId="526B0C6E"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State/Local Preparedness</w:t>
            </w:r>
          </w:p>
        </w:tc>
        <w:tc>
          <w:tcPr>
            <w:tcW w:w="0" w:type="auto"/>
            <w:hideMark/>
          </w:tcPr>
          <w:p w14:paraId="6FC8C055"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Provided a framework for state-level emergency operations, emphasiz</w:t>
            </w:r>
            <w:r w:rsidRPr="00F53EF8">
              <w:rPr>
                <w:rFonts w:ascii="Times New Roman" w:hAnsi="Times New Roman" w:cs="Times New Roman"/>
                <w:b w:val="0"/>
                <w:bCs w:val="0"/>
                <w:sz w:val="24"/>
                <w:szCs w:val="24"/>
              </w:rPr>
              <w:t>ing the importance of pre-disaster planning, clear communication protocols, and coordination between state and local health departments.</w:t>
            </w:r>
          </w:p>
        </w:tc>
      </w:tr>
      <w:tr w:rsidR="00C96183" w:rsidRPr="00F53EF8" w14:paraId="04AD46E3" w14:textId="77777777" w:rsidTr="00C96183">
        <w:tc>
          <w:tcPr>
            <w:cnfStyle w:val="001000000000" w:firstRow="0" w:lastRow="0" w:firstColumn="1" w:lastColumn="0" w:oddVBand="0" w:evenVBand="0" w:oddHBand="0" w:evenHBand="0" w:firstRowFirstColumn="0" w:firstRowLastColumn="0" w:lastRowFirstColumn="0" w:lastRowLastColumn="0"/>
            <w:tcW w:w="0" w:type="auto"/>
            <w:hideMark/>
          </w:tcPr>
          <w:p w14:paraId="7FFBBE9E" w14:textId="77777777" w:rsidR="00C96183" w:rsidRPr="00F53EF8" w:rsidRDefault="00BA2E0F">
            <w:pPr>
              <w:pStyle w:val="Heading2"/>
              <w:jc w:val="both"/>
              <w:outlineLvl w:val="1"/>
              <w:rPr>
                <w:rFonts w:ascii="Times New Roman" w:hAnsi="Times New Roman" w:cs="Times New Roman"/>
                <w:sz w:val="24"/>
                <w:szCs w:val="24"/>
              </w:rPr>
            </w:pPr>
            <w:r w:rsidRPr="00F53EF8">
              <w:rPr>
                <w:rFonts w:ascii="Times New Roman" w:hAnsi="Times New Roman" w:cs="Times New Roman"/>
                <w:b/>
                <w:bCs/>
                <w:sz w:val="24"/>
                <w:szCs w:val="24"/>
              </w:rPr>
              <w:t>The White House (2024)</w:t>
            </w:r>
          </w:p>
        </w:tc>
        <w:tc>
          <w:tcPr>
            <w:tcW w:w="0" w:type="auto"/>
            <w:hideMark/>
          </w:tcPr>
          <w:p w14:paraId="77CCA3F0"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Government Policy</w:t>
            </w:r>
          </w:p>
        </w:tc>
        <w:tc>
          <w:tcPr>
            <w:tcW w:w="0" w:type="auto"/>
            <w:hideMark/>
          </w:tcPr>
          <w:p w14:paraId="00BA27CD"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Government Policy</w:t>
            </w:r>
          </w:p>
        </w:tc>
        <w:tc>
          <w:tcPr>
            <w:tcW w:w="0" w:type="auto"/>
            <w:hideMark/>
          </w:tcPr>
          <w:p w14:paraId="00958F76"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Established a dedicated office for pandemic preparedness co</w:t>
            </w:r>
            <w:r w:rsidRPr="00F53EF8">
              <w:rPr>
                <w:rFonts w:ascii="Times New Roman" w:hAnsi="Times New Roman" w:cs="Times New Roman"/>
                <w:b w:val="0"/>
                <w:bCs w:val="0"/>
                <w:sz w:val="24"/>
                <w:szCs w:val="24"/>
              </w:rPr>
              <w:t xml:space="preserve">ordination, centralizing policy </w:t>
            </w:r>
            <w:r w:rsidRPr="00F53EF8">
              <w:rPr>
                <w:rFonts w:ascii="Times New Roman" w:hAnsi="Times New Roman" w:cs="Times New Roman"/>
                <w:b w:val="0"/>
                <w:bCs w:val="0"/>
                <w:sz w:val="24"/>
                <w:szCs w:val="24"/>
              </w:rPr>
              <w:lastRenderedPageBreak/>
              <w:t>development, interagency coordination, and preparedness planning at the federal level.</w:t>
            </w:r>
          </w:p>
        </w:tc>
      </w:tr>
      <w:tr w:rsidR="00C96183" w:rsidRPr="00F53EF8" w14:paraId="168FB967" w14:textId="77777777" w:rsidTr="00C96183">
        <w:tc>
          <w:tcPr>
            <w:cnfStyle w:val="001000000000" w:firstRow="0" w:lastRow="0" w:firstColumn="1" w:lastColumn="0" w:oddVBand="0" w:evenVBand="0" w:oddHBand="0" w:evenHBand="0" w:firstRowFirstColumn="0" w:firstRowLastColumn="0" w:lastRowFirstColumn="0" w:lastRowLastColumn="0"/>
            <w:tcW w:w="0" w:type="auto"/>
            <w:hideMark/>
          </w:tcPr>
          <w:p w14:paraId="0685271A" w14:textId="77777777" w:rsidR="00C96183" w:rsidRPr="00F53EF8" w:rsidRDefault="00BA2E0F">
            <w:pPr>
              <w:pStyle w:val="Heading2"/>
              <w:jc w:val="both"/>
              <w:outlineLvl w:val="1"/>
              <w:rPr>
                <w:rFonts w:ascii="Times New Roman" w:hAnsi="Times New Roman" w:cs="Times New Roman"/>
                <w:sz w:val="24"/>
                <w:szCs w:val="24"/>
              </w:rPr>
            </w:pPr>
            <w:r w:rsidRPr="00F53EF8">
              <w:rPr>
                <w:rFonts w:ascii="Times New Roman" w:hAnsi="Times New Roman" w:cs="Times New Roman"/>
                <w:b/>
                <w:bCs/>
                <w:sz w:val="24"/>
                <w:szCs w:val="24"/>
              </w:rPr>
              <w:lastRenderedPageBreak/>
              <w:t>Centers for Disease Control and Prevention (2024b)</w:t>
            </w:r>
          </w:p>
        </w:tc>
        <w:tc>
          <w:tcPr>
            <w:tcW w:w="0" w:type="auto"/>
            <w:hideMark/>
          </w:tcPr>
          <w:p w14:paraId="3D39D73A"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Strategic Document</w:t>
            </w:r>
          </w:p>
        </w:tc>
        <w:tc>
          <w:tcPr>
            <w:tcW w:w="0" w:type="auto"/>
            <w:hideMark/>
          </w:tcPr>
          <w:p w14:paraId="6F029116"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Government Policy, Biosurveillance</w:t>
            </w:r>
          </w:p>
        </w:tc>
        <w:tc>
          <w:tcPr>
            <w:tcW w:w="0" w:type="auto"/>
            <w:hideMark/>
          </w:tcPr>
          <w:p w14:paraId="5084ED48"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Outlined a comprehensive nation</w:t>
            </w:r>
            <w:r w:rsidRPr="00F53EF8">
              <w:rPr>
                <w:rFonts w:ascii="Times New Roman" w:hAnsi="Times New Roman" w:cs="Times New Roman"/>
                <w:b w:val="0"/>
                <w:bCs w:val="0"/>
                <w:sz w:val="24"/>
                <w:szCs w:val="24"/>
              </w:rPr>
              <w:t>al pandemic strategy including pillars of surveillance, prevention, response capacity, medical countermeasures, and communication.</w:t>
            </w:r>
          </w:p>
        </w:tc>
      </w:tr>
      <w:tr w:rsidR="00C96183" w:rsidRPr="00F53EF8" w14:paraId="705EA591" w14:textId="77777777" w:rsidTr="00C96183">
        <w:tc>
          <w:tcPr>
            <w:cnfStyle w:val="001000000000" w:firstRow="0" w:lastRow="0" w:firstColumn="1" w:lastColumn="0" w:oddVBand="0" w:evenVBand="0" w:oddHBand="0" w:evenHBand="0" w:firstRowFirstColumn="0" w:firstRowLastColumn="0" w:lastRowFirstColumn="0" w:lastRowLastColumn="0"/>
            <w:tcW w:w="0" w:type="auto"/>
            <w:hideMark/>
          </w:tcPr>
          <w:p w14:paraId="22C85A85" w14:textId="77777777" w:rsidR="00C96183" w:rsidRPr="00F53EF8" w:rsidRDefault="00BA2E0F">
            <w:pPr>
              <w:pStyle w:val="Heading2"/>
              <w:jc w:val="both"/>
              <w:outlineLvl w:val="1"/>
              <w:rPr>
                <w:rFonts w:ascii="Times New Roman" w:hAnsi="Times New Roman" w:cs="Times New Roman"/>
                <w:sz w:val="24"/>
                <w:szCs w:val="24"/>
              </w:rPr>
            </w:pPr>
            <w:r w:rsidRPr="00F53EF8">
              <w:rPr>
                <w:rFonts w:ascii="Times New Roman" w:hAnsi="Times New Roman" w:cs="Times New Roman"/>
                <w:b/>
                <w:bCs/>
                <w:sz w:val="24"/>
                <w:szCs w:val="24"/>
              </w:rPr>
              <w:t>Trust for America’s Health (2025)</w:t>
            </w:r>
          </w:p>
        </w:tc>
        <w:tc>
          <w:tcPr>
            <w:tcW w:w="0" w:type="auto"/>
            <w:hideMark/>
          </w:tcPr>
          <w:p w14:paraId="7B455955"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Assessment Report</w:t>
            </w:r>
          </w:p>
        </w:tc>
        <w:tc>
          <w:tcPr>
            <w:tcW w:w="0" w:type="auto"/>
            <w:hideMark/>
          </w:tcPr>
          <w:p w14:paraId="2E811AD9"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State/Local Preparedness</w:t>
            </w:r>
          </w:p>
        </w:tc>
        <w:tc>
          <w:tcPr>
            <w:tcW w:w="0" w:type="auto"/>
            <w:hideMark/>
          </w:tcPr>
          <w:p w14:paraId="29EFD22C"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 xml:space="preserve">Assessed state-by-state preparedness using ten </w:t>
            </w:r>
            <w:r w:rsidRPr="00F53EF8">
              <w:rPr>
                <w:rFonts w:ascii="Times New Roman" w:hAnsi="Times New Roman" w:cs="Times New Roman"/>
                <w:b w:val="0"/>
                <w:bCs w:val="0"/>
                <w:sz w:val="24"/>
                <w:szCs w:val="24"/>
              </w:rPr>
              <w:t>indicators and found significant variation across states, with most failing to meet benchmarks for public health funding, workforce capacity, and infrastructure.</w:t>
            </w:r>
          </w:p>
        </w:tc>
      </w:tr>
      <w:tr w:rsidR="00C96183" w:rsidRPr="00F53EF8" w14:paraId="2657E63A" w14:textId="77777777" w:rsidTr="00C96183">
        <w:tc>
          <w:tcPr>
            <w:cnfStyle w:val="001000000000" w:firstRow="0" w:lastRow="0" w:firstColumn="1" w:lastColumn="0" w:oddVBand="0" w:evenVBand="0" w:oddHBand="0" w:evenHBand="0" w:firstRowFirstColumn="0" w:firstRowLastColumn="0" w:lastRowFirstColumn="0" w:lastRowLastColumn="0"/>
            <w:tcW w:w="0" w:type="auto"/>
            <w:hideMark/>
          </w:tcPr>
          <w:p w14:paraId="7A02A5BB" w14:textId="77777777" w:rsidR="00C96183" w:rsidRPr="00F53EF8" w:rsidRDefault="00BA2E0F">
            <w:pPr>
              <w:pStyle w:val="Heading2"/>
              <w:jc w:val="both"/>
              <w:outlineLvl w:val="1"/>
              <w:rPr>
                <w:rFonts w:ascii="Times New Roman" w:hAnsi="Times New Roman" w:cs="Times New Roman"/>
                <w:sz w:val="24"/>
                <w:szCs w:val="24"/>
              </w:rPr>
            </w:pPr>
            <w:r w:rsidRPr="00F53EF8">
              <w:rPr>
                <w:rFonts w:ascii="Times New Roman" w:hAnsi="Times New Roman" w:cs="Times New Roman"/>
                <w:b/>
                <w:bCs/>
                <w:sz w:val="24"/>
                <w:szCs w:val="24"/>
              </w:rPr>
              <w:t>Trust for America’s Health (2024)</w:t>
            </w:r>
          </w:p>
        </w:tc>
        <w:tc>
          <w:tcPr>
            <w:tcW w:w="0" w:type="auto"/>
            <w:hideMark/>
          </w:tcPr>
          <w:p w14:paraId="529CF317"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Assessment Report</w:t>
            </w:r>
          </w:p>
        </w:tc>
        <w:tc>
          <w:tcPr>
            <w:tcW w:w="0" w:type="auto"/>
            <w:hideMark/>
          </w:tcPr>
          <w:p w14:paraId="6A269271"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State/Local Preparedness</w:t>
            </w:r>
          </w:p>
        </w:tc>
        <w:tc>
          <w:tcPr>
            <w:tcW w:w="0" w:type="auto"/>
            <w:hideMark/>
          </w:tcPr>
          <w:p w14:paraId="64CCF821"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Documented impro</w:t>
            </w:r>
            <w:r w:rsidRPr="00F53EF8">
              <w:rPr>
                <w:rFonts w:ascii="Times New Roman" w:hAnsi="Times New Roman" w:cs="Times New Roman"/>
                <w:b w:val="0"/>
                <w:bCs w:val="0"/>
                <w:sz w:val="24"/>
                <w:szCs w:val="24"/>
              </w:rPr>
              <w:t>vements in some preparedness indicators since 2020 but identified persistent challenges in sustainable funding, health equity considerations, and rural health infrastructure.</w:t>
            </w:r>
          </w:p>
        </w:tc>
      </w:tr>
      <w:tr w:rsidR="00C96183" w:rsidRPr="00F53EF8" w14:paraId="22E9ED47" w14:textId="77777777" w:rsidTr="00C96183">
        <w:tc>
          <w:tcPr>
            <w:cnfStyle w:val="001000000000" w:firstRow="0" w:lastRow="0" w:firstColumn="1" w:lastColumn="0" w:oddVBand="0" w:evenVBand="0" w:oddHBand="0" w:evenHBand="0" w:firstRowFirstColumn="0" w:firstRowLastColumn="0" w:lastRowFirstColumn="0" w:lastRowLastColumn="0"/>
            <w:tcW w:w="0" w:type="auto"/>
            <w:hideMark/>
          </w:tcPr>
          <w:p w14:paraId="1528098D" w14:textId="77777777" w:rsidR="00C96183" w:rsidRPr="00F53EF8" w:rsidRDefault="00BA2E0F">
            <w:pPr>
              <w:pStyle w:val="Heading2"/>
              <w:jc w:val="both"/>
              <w:outlineLvl w:val="1"/>
              <w:rPr>
                <w:rFonts w:ascii="Times New Roman" w:hAnsi="Times New Roman" w:cs="Times New Roman"/>
                <w:sz w:val="24"/>
                <w:szCs w:val="24"/>
              </w:rPr>
            </w:pPr>
            <w:r w:rsidRPr="00F53EF8">
              <w:rPr>
                <w:rFonts w:ascii="Times New Roman" w:hAnsi="Times New Roman" w:cs="Times New Roman"/>
                <w:b/>
                <w:bCs/>
                <w:sz w:val="24"/>
                <w:szCs w:val="24"/>
              </w:rPr>
              <w:t>Centers for Disease Control and Prevention (2024c)</w:t>
            </w:r>
          </w:p>
        </w:tc>
        <w:tc>
          <w:tcPr>
            <w:tcW w:w="0" w:type="auto"/>
            <w:hideMark/>
          </w:tcPr>
          <w:p w14:paraId="3C032ED4"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Guidance Document</w:t>
            </w:r>
          </w:p>
        </w:tc>
        <w:tc>
          <w:tcPr>
            <w:tcW w:w="0" w:type="auto"/>
            <w:hideMark/>
          </w:tcPr>
          <w:p w14:paraId="6128553A"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State/Local</w:t>
            </w:r>
            <w:r w:rsidRPr="00F53EF8">
              <w:rPr>
                <w:rFonts w:ascii="Times New Roman" w:hAnsi="Times New Roman" w:cs="Times New Roman"/>
                <w:b w:val="0"/>
                <w:bCs w:val="0"/>
                <w:sz w:val="24"/>
                <w:szCs w:val="24"/>
              </w:rPr>
              <w:t xml:space="preserve"> Preparedness</w:t>
            </w:r>
          </w:p>
        </w:tc>
        <w:tc>
          <w:tcPr>
            <w:tcW w:w="0" w:type="auto"/>
            <w:hideMark/>
          </w:tcPr>
          <w:p w14:paraId="635A8695"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Updated national standards for public health emergency preparedness capabilities across fifteen domains including surveillance, community recovery, and emergency operations coordination.</w:t>
            </w:r>
          </w:p>
        </w:tc>
      </w:tr>
      <w:tr w:rsidR="00C96183" w:rsidRPr="00F53EF8" w14:paraId="3FAF9149" w14:textId="77777777" w:rsidTr="00C96183">
        <w:tc>
          <w:tcPr>
            <w:cnfStyle w:val="001000000000" w:firstRow="0" w:lastRow="0" w:firstColumn="1" w:lastColumn="0" w:oddVBand="0" w:evenVBand="0" w:oddHBand="0" w:evenHBand="0" w:firstRowFirstColumn="0" w:firstRowLastColumn="0" w:lastRowFirstColumn="0" w:lastRowLastColumn="0"/>
            <w:tcW w:w="0" w:type="auto"/>
            <w:hideMark/>
          </w:tcPr>
          <w:p w14:paraId="03408CE5" w14:textId="77777777" w:rsidR="00C96183" w:rsidRPr="00F53EF8" w:rsidRDefault="00BA2E0F">
            <w:pPr>
              <w:pStyle w:val="Heading2"/>
              <w:jc w:val="both"/>
              <w:outlineLvl w:val="1"/>
              <w:rPr>
                <w:rFonts w:ascii="Times New Roman" w:hAnsi="Times New Roman" w:cs="Times New Roman"/>
                <w:sz w:val="24"/>
                <w:szCs w:val="24"/>
              </w:rPr>
            </w:pPr>
            <w:r w:rsidRPr="00F53EF8">
              <w:rPr>
                <w:rFonts w:ascii="Times New Roman" w:hAnsi="Times New Roman" w:cs="Times New Roman"/>
                <w:b/>
                <w:bCs/>
                <w:sz w:val="24"/>
                <w:szCs w:val="24"/>
              </w:rPr>
              <w:t>Centers for Disease Control and Prevention (2025)</w:t>
            </w:r>
          </w:p>
        </w:tc>
        <w:tc>
          <w:tcPr>
            <w:tcW w:w="0" w:type="auto"/>
            <w:hideMark/>
          </w:tcPr>
          <w:p w14:paraId="5E69E756"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Prog</w:t>
            </w:r>
            <w:r w:rsidRPr="00F53EF8">
              <w:rPr>
                <w:rFonts w:ascii="Times New Roman" w:hAnsi="Times New Roman" w:cs="Times New Roman"/>
                <w:b w:val="0"/>
                <w:bCs w:val="0"/>
                <w:sz w:val="24"/>
                <w:szCs w:val="24"/>
              </w:rPr>
              <w:t>ram Guidance</w:t>
            </w:r>
          </w:p>
        </w:tc>
        <w:tc>
          <w:tcPr>
            <w:tcW w:w="0" w:type="auto"/>
            <w:hideMark/>
          </w:tcPr>
          <w:p w14:paraId="1FDCA64A"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State/Local Preparedness</w:t>
            </w:r>
          </w:p>
        </w:tc>
        <w:tc>
          <w:tcPr>
            <w:tcW w:w="0" w:type="auto"/>
            <w:hideMark/>
          </w:tcPr>
          <w:p w14:paraId="6EE41968"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Described the Public Health Emergency Preparedness cooperative agreement program supporting state and local capacity building, planning, and exercise activities.</w:t>
            </w:r>
          </w:p>
        </w:tc>
      </w:tr>
      <w:tr w:rsidR="00C96183" w:rsidRPr="00F53EF8" w14:paraId="06D2AB65" w14:textId="77777777" w:rsidTr="00C96183">
        <w:tc>
          <w:tcPr>
            <w:cnfStyle w:val="001000000000" w:firstRow="0" w:lastRow="0" w:firstColumn="1" w:lastColumn="0" w:oddVBand="0" w:evenVBand="0" w:oddHBand="0" w:evenHBand="0" w:firstRowFirstColumn="0" w:firstRowLastColumn="0" w:lastRowFirstColumn="0" w:lastRowLastColumn="0"/>
            <w:tcW w:w="0" w:type="auto"/>
            <w:hideMark/>
          </w:tcPr>
          <w:p w14:paraId="4D656394" w14:textId="77777777" w:rsidR="00C96183" w:rsidRPr="00F53EF8" w:rsidRDefault="00BA2E0F">
            <w:pPr>
              <w:pStyle w:val="Heading2"/>
              <w:jc w:val="both"/>
              <w:outlineLvl w:val="1"/>
              <w:rPr>
                <w:rFonts w:ascii="Times New Roman" w:hAnsi="Times New Roman" w:cs="Times New Roman"/>
                <w:sz w:val="24"/>
                <w:szCs w:val="24"/>
              </w:rPr>
            </w:pPr>
            <w:r w:rsidRPr="00F53EF8">
              <w:rPr>
                <w:rFonts w:ascii="Times New Roman" w:hAnsi="Times New Roman" w:cs="Times New Roman"/>
                <w:b/>
                <w:bCs/>
                <w:sz w:val="24"/>
                <w:szCs w:val="24"/>
              </w:rPr>
              <w:lastRenderedPageBreak/>
              <w:t>Centers for Disease Control and Prevention (2024d)</w:t>
            </w:r>
          </w:p>
        </w:tc>
        <w:tc>
          <w:tcPr>
            <w:tcW w:w="0" w:type="auto"/>
            <w:hideMark/>
          </w:tcPr>
          <w:p w14:paraId="45A9F83C"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Stra</w:t>
            </w:r>
            <w:r w:rsidRPr="00F53EF8">
              <w:rPr>
                <w:rFonts w:ascii="Times New Roman" w:hAnsi="Times New Roman" w:cs="Times New Roman"/>
                <w:b w:val="0"/>
                <w:bCs w:val="0"/>
                <w:sz w:val="24"/>
                <w:szCs w:val="24"/>
              </w:rPr>
              <w:t>tegic Framework</w:t>
            </w:r>
          </w:p>
        </w:tc>
        <w:tc>
          <w:tcPr>
            <w:tcW w:w="0" w:type="auto"/>
            <w:hideMark/>
          </w:tcPr>
          <w:p w14:paraId="24A4FCFA"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State/Local Preparedness</w:t>
            </w:r>
          </w:p>
        </w:tc>
        <w:tc>
          <w:tcPr>
            <w:tcW w:w="0" w:type="auto"/>
            <w:hideMark/>
          </w:tcPr>
          <w:p w14:paraId="6889BADD"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Introduced a next-generation preparedness framework emphasizing equity, data modernization, and flexible, scalable response capabilities.</w:t>
            </w:r>
          </w:p>
        </w:tc>
      </w:tr>
      <w:tr w:rsidR="00C96183" w:rsidRPr="00F53EF8" w14:paraId="5ED15F16" w14:textId="77777777" w:rsidTr="00C96183">
        <w:tc>
          <w:tcPr>
            <w:cnfStyle w:val="001000000000" w:firstRow="0" w:lastRow="0" w:firstColumn="1" w:lastColumn="0" w:oddVBand="0" w:evenVBand="0" w:oddHBand="0" w:evenHBand="0" w:firstRowFirstColumn="0" w:firstRowLastColumn="0" w:lastRowFirstColumn="0" w:lastRowLastColumn="0"/>
            <w:tcW w:w="0" w:type="auto"/>
            <w:hideMark/>
          </w:tcPr>
          <w:p w14:paraId="5B0605E0" w14:textId="77777777" w:rsidR="00C96183" w:rsidRPr="00F53EF8" w:rsidRDefault="00BA2E0F">
            <w:pPr>
              <w:pStyle w:val="Heading2"/>
              <w:jc w:val="both"/>
              <w:outlineLvl w:val="1"/>
              <w:rPr>
                <w:rFonts w:ascii="Times New Roman" w:hAnsi="Times New Roman" w:cs="Times New Roman"/>
                <w:sz w:val="24"/>
                <w:szCs w:val="24"/>
              </w:rPr>
            </w:pPr>
            <w:r w:rsidRPr="00F53EF8">
              <w:rPr>
                <w:rFonts w:ascii="Times New Roman" w:hAnsi="Times New Roman" w:cs="Times New Roman"/>
                <w:b/>
                <w:bCs/>
                <w:sz w:val="24"/>
                <w:szCs w:val="24"/>
              </w:rPr>
              <w:t>U.S. Department of Health and Human Services, ASPR</w:t>
            </w:r>
          </w:p>
        </w:tc>
        <w:tc>
          <w:tcPr>
            <w:tcW w:w="0" w:type="auto"/>
            <w:hideMark/>
          </w:tcPr>
          <w:p w14:paraId="111C4775"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Technical Report</w:t>
            </w:r>
          </w:p>
        </w:tc>
        <w:tc>
          <w:tcPr>
            <w:tcW w:w="0" w:type="auto"/>
            <w:hideMark/>
          </w:tcPr>
          <w:p w14:paraId="04EE0842"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 xml:space="preserve">Health </w:t>
            </w:r>
            <w:r w:rsidRPr="00F53EF8">
              <w:rPr>
                <w:rFonts w:ascii="Times New Roman" w:hAnsi="Times New Roman" w:cs="Times New Roman"/>
                <w:b w:val="0"/>
                <w:bCs w:val="0"/>
                <w:sz w:val="24"/>
                <w:szCs w:val="24"/>
              </w:rPr>
              <w:t>System Resilience</w:t>
            </w:r>
          </w:p>
        </w:tc>
        <w:tc>
          <w:tcPr>
            <w:tcW w:w="0" w:type="auto"/>
            <w:hideMark/>
          </w:tcPr>
          <w:p w14:paraId="3ABF7AA8"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Proposed a metrics framework for measuring preparedness across healthcare and public health sectors, including surge capacity, supply chain resilience, and workforce availability.</w:t>
            </w:r>
          </w:p>
        </w:tc>
      </w:tr>
      <w:tr w:rsidR="00C96183" w:rsidRPr="00F53EF8" w14:paraId="6228B0B0" w14:textId="77777777" w:rsidTr="00C96183">
        <w:tc>
          <w:tcPr>
            <w:cnfStyle w:val="001000000000" w:firstRow="0" w:lastRow="0" w:firstColumn="1" w:lastColumn="0" w:oddVBand="0" w:evenVBand="0" w:oddHBand="0" w:evenHBand="0" w:firstRowFirstColumn="0" w:firstRowLastColumn="0" w:lastRowFirstColumn="0" w:lastRowLastColumn="0"/>
            <w:tcW w:w="0" w:type="auto"/>
            <w:hideMark/>
          </w:tcPr>
          <w:p w14:paraId="2139C9F4" w14:textId="77777777" w:rsidR="00C96183" w:rsidRPr="00F53EF8" w:rsidRDefault="00BA2E0F">
            <w:pPr>
              <w:pStyle w:val="Heading2"/>
              <w:jc w:val="both"/>
              <w:outlineLvl w:val="1"/>
              <w:rPr>
                <w:rFonts w:ascii="Times New Roman" w:hAnsi="Times New Roman" w:cs="Times New Roman"/>
                <w:sz w:val="24"/>
                <w:szCs w:val="24"/>
              </w:rPr>
            </w:pPr>
            <w:r w:rsidRPr="00F53EF8">
              <w:rPr>
                <w:rFonts w:ascii="Times New Roman" w:hAnsi="Times New Roman" w:cs="Times New Roman"/>
                <w:b/>
                <w:bCs/>
                <w:sz w:val="24"/>
                <w:szCs w:val="24"/>
              </w:rPr>
              <w:t>El-Jardali et al. (2025)</w:t>
            </w:r>
          </w:p>
        </w:tc>
        <w:tc>
          <w:tcPr>
            <w:tcW w:w="0" w:type="auto"/>
            <w:hideMark/>
          </w:tcPr>
          <w:p w14:paraId="41054BE4"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Peer-Reviewed Article</w:t>
            </w:r>
          </w:p>
        </w:tc>
        <w:tc>
          <w:tcPr>
            <w:tcW w:w="0" w:type="auto"/>
            <w:hideMark/>
          </w:tcPr>
          <w:p w14:paraId="033D30CA"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Health Sys</w:t>
            </w:r>
            <w:r w:rsidRPr="00F53EF8">
              <w:rPr>
                <w:rFonts w:ascii="Times New Roman" w:hAnsi="Times New Roman" w:cs="Times New Roman"/>
                <w:b w:val="0"/>
                <w:bCs w:val="0"/>
                <w:sz w:val="24"/>
                <w:szCs w:val="24"/>
              </w:rPr>
              <w:t>tem Resilience</w:t>
            </w:r>
          </w:p>
        </w:tc>
        <w:tc>
          <w:tcPr>
            <w:tcW w:w="0" w:type="auto"/>
            <w:hideMark/>
          </w:tcPr>
          <w:p w14:paraId="5D856962"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Developed and validated an emergency preparedness and health system resilience assessment tool with domains covering governance, resources, service delivery, and recovery capacity.</w:t>
            </w:r>
          </w:p>
        </w:tc>
      </w:tr>
      <w:tr w:rsidR="00C96183" w:rsidRPr="00F53EF8" w14:paraId="4DCC8D18" w14:textId="77777777" w:rsidTr="00C96183">
        <w:tc>
          <w:tcPr>
            <w:cnfStyle w:val="001000000000" w:firstRow="0" w:lastRow="0" w:firstColumn="1" w:lastColumn="0" w:oddVBand="0" w:evenVBand="0" w:oddHBand="0" w:evenHBand="0" w:firstRowFirstColumn="0" w:firstRowLastColumn="0" w:lastRowFirstColumn="0" w:lastRowLastColumn="0"/>
            <w:tcW w:w="0" w:type="auto"/>
            <w:hideMark/>
          </w:tcPr>
          <w:p w14:paraId="4E0F49D8" w14:textId="77777777" w:rsidR="00C96183" w:rsidRPr="00F53EF8" w:rsidRDefault="00BA2E0F">
            <w:pPr>
              <w:pStyle w:val="Heading2"/>
              <w:jc w:val="both"/>
              <w:outlineLvl w:val="1"/>
              <w:rPr>
                <w:rFonts w:ascii="Times New Roman" w:hAnsi="Times New Roman" w:cs="Times New Roman"/>
                <w:sz w:val="24"/>
                <w:szCs w:val="24"/>
              </w:rPr>
            </w:pPr>
            <w:r w:rsidRPr="00F53EF8">
              <w:rPr>
                <w:rFonts w:ascii="Times New Roman" w:hAnsi="Times New Roman" w:cs="Times New Roman"/>
                <w:b/>
                <w:bCs/>
                <w:sz w:val="24"/>
                <w:szCs w:val="24"/>
              </w:rPr>
              <w:t>Zhong et al. (2024)</w:t>
            </w:r>
          </w:p>
        </w:tc>
        <w:tc>
          <w:tcPr>
            <w:tcW w:w="0" w:type="auto"/>
            <w:hideMark/>
          </w:tcPr>
          <w:p w14:paraId="3B90D19D"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Peer-Reviewed Article</w:t>
            </w:r>
          </w:p>
        </w:tc>
        <w:tc>
          <w:tcPr>
            <w:tcW w:w="0" w:type="auto"/>
            <w:hideMark/>
          </w:tcPr>
          <w:p w14:paraId="3DC64E53"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Health System Res</w:t>
            </w:r>
            <w:r w:rsidRPr="00F53EF8">
              <w:rPr>
                <w:rFonts w:ascii="Times New Roman" w:hAnsi="Times New Roman" w:cs="Times New Roman"/>
                <w:b w:val="0"/>
                <w:bCs w:val="0"/>
                <w:sz w:val="24"/>
                <w:szCs w:val="24"/>
              </w:rPr>
              <w:t>ilience, Healthcare Readiness</w:t>
            </w:r>
          </w:p>
        </w:tc>
        <w:tc>
          <w:tcPr>
            <w:tcW w:w="0" w:type="auto"/>
            <w:hideMark/>
          </w:tcPr>
          <w:p w14:paraId="7BB79B44"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Analyzed healthcare system adaptability during COVID-19 surges and found that hospitals with previous emergency preparedness investments demonstrated better resilience and maintained service quality.</w:t>
            </w:r>
          </w:p>
        </w:tc>
      </w:tr>
      <w:tr w:rsidR="00C96183" w:rsidRPr="00F53EF8" w14:paraId="363B95B0" w14:textId="77777777" w:rsidTr="00C96183">
        <w:tc>
          <w:tcPr>
            <w:cnfStyle w:val="001000000000" w:firstRow="0" w:lastRow="0" w:firstColumn="1" w:lastColumn="0" w:oddVBand="0" w:evenVBand="0" w:oddHBand="0" w:evenHBand="0" w:firstRowFirstColumn="0" w:firstRowLastColumn="0" w:lastRowFirstColumn="0" w:lastRowLastColumn="0"/>
            <w:tcW w:w="0" w:type="auto"/>
            <w:hideMark/>
          </w:tcPr>
          <w:p w14:paraId="3B4DA244" w14:textId="77777777" w:rsidR="00C96183" w:rsidRPr="00F53EF8" w:rsidRDefault="00BA2E0F">
            <w:pPr>
              <w:pStyle w:val="Heading2"/>
              <w:jc w:val="both"/>
              <w:outlineLvl w:val="1"/>
              <w:rPr>
                <w:rFonts w:ascii="Times New Roman" w:hAnsi="Times New Roman" w:cs="Times New Roman"/>
                <w:sz w:val="24"/>
                <w:szCs w:val="24"/>
              </w:rPr>
            </w:pPr>
            <w:r w:rsidRPr="00F53EF8">
              <w:rPr>
                <w:rFonts w:ascii="Times New Roman" w:hAnsi="Times New Roman" w:cs="Times New Roman"/>
                <w:b/>
                <w:bCs/>
                <w:sz w:val="24"/>
                <w:szCs w:val="24"/>
              </w:rPr>
              <w:t>Tille et al. (2023)</w:t>
            </w:r>
          </w:p>
        </w:tc>
        <w:tc>
          <w:tcPr>
            <w:tcW w:w="0" w:type="auto"/>
            <w:hideMark/>
          </w:tcPr>
          <w:p w14:paraId="2C56EEA9"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Peer-Reviewed Article</w:t>
            </w:r>
          </w:p>
        </w:tc>
        <w:tc>
          <w:tcPr>
            <w:tcW w:w="0" w:type="auto"/>
            <w:hideMark/>
          </w:tcPr>
          <w:p w14:paraId="1E0E88B6"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Health System Resilience</w:t>
            </w:r>
          </w:p>
        </w:tc>
        <w:tc>
          <w:tcPr>
            <w:tcW w:w="0" w:type="auto"/>
            <w:hideMark/>
          </w:tcPr>
          <w:p w14:paraId="2E9F7440"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Examined health system resilience across multiple countries during COVID-19 and identified key resilience factors including governance flexibility, resource surge capacity, and workforce adaptability.</w:t>
            </w:r>
          </w:p>
        </w:tc>
      </w:tr>
      <w:tr w:rsidR="00C96183" w:rsidRPr="00F53EF8" w14:paraId="43D5F68D" w14:textId="77777777" w:rsidTr="00C96183">
        <w:tc>
          <w:tcPr>
            <w:cnfStyle w:val="001000000000" w:firstRow="0" w:lastRow="0" w:firstColumn="1" w:lastColumn="0" w:oddVBand="0" w:evenVBand="0" w:oddHBand="0" w:evenHBand="0" w:firstRowFirstColumn="0" w:firstRowLastColumn="0" w:lastRowFirstColumn="0" w:lastRowLastColumn="0"/>
            <w:tcW w:w="0" w:type="auto"/>
            <w:hideMark/>
          </w:tcPr>
          <w:p w14:paraId="26EA63FF" w14:textId="77777777" w:rsidR="00C96183" w:rsidRPr="00F53EF8" w:rsidRDefault="00BA2E0F">
            <w:pPr>
              <w:pStyle w:val="Heading2"/>
              <w:jc w:val="both"/>
              <w:outlineLvl w:val="1"/>
              <w:rPr>
                <w:rFonts w:ascii="Times New Roman" w:hAnsi="Times New Roman" w:cs="Times New Roman"/>
                <w:sz w:val="24"/>
                <w:szCs w:val="24"/>
              </w:rPr>
            </w:pPr>
            <w:r w:rsidRPr="00F53EF8">
              <w:rPr>
                <w:rFonts w:ascii="Times New Roman" w:hAnsi="Times New Roman" w:cs="Times New Roman"/>
                <w:b/>
                <w:bCs/>
                <w:sz w:val="24"/>
                <w:szCs w:val="24"/>
              </w:rPr>
              <w:t>Kruk et</w:t>
            </w:r>
            <w:r w:rsidRPr="00F53EF8">
              <w:rPr>
                <w:rFonts w:ascii="Times New Roman" w:hAnsi="Times New Roman" w:cs="Times New Roman"/>
                <w:b/>
                <w:bCs/>
                <w:sz w:val="24"/>
                <w:szCs w:val="24"/>
              </w:rPr>
              <w:t xml:space="preserve"> al. (2023)</w:t>
            </w:r>
          </w:p>
        </w:tc>
        <w:tc>
          <w:tcPr>
            <w:tcW w:w="0" w:type="auto"/>
            <w:hideMark/>
          </w:tcPr>
          <w:p w14:paraId="090AE610"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Peer-Reviewed Article</w:t>
            </w:r>
          </w:p>
        </w:tc>
        <w:tc>
          <w:tcPr>
            <w:tcW w:w="0" w:type="auto"/>
            <w:hideMark/>
          </w:tcPr>
          <w:p w14:paraId="02289EAD"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Health System Resilience</w:t>
            </w:r>
          </w:p>
        </w:tc>
        <w:tc>
          <w:tcPr>
            <w:tcW w:w="0" w:type="auto"/>
            <w:hideMark/>
          </w:tcPr>
          <w:p w14:paraId="6B5C026D"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 xml:space="preserve">Re-evaluated conceptual frameworks for health system resilience based on COVID-19 experience, proposing expanded </w:t>
            </w:r>
            <w:r w:rsidRPr="00F53EF8">
              <w:rPr>
                <w:rFonts w:ascii="Times New Roman" w:hAnsi="Times New Roman" w:cs="Times New Roman"/>
                <w:b w:val="0"/>
                <w:bCs w:val="0"/>
                <w:sz w:val="24"/>
                <w:szCs w:val="24"/>
              </w:rPr>
              <w:lastRenderedPageBreak/>
              <w:t>definitions incorporating equity, trust, and adaptive capacity.</w:t>
            </w:r>
          </w:p>
        </w:tc>
      </w:tr>
      <w:tr w:rsidR="00C96183" w:rsidRPr="00F53EF8" w14:paraId="56D0A444" w14:textId="77777777" w:rsidTr="00C96183">
        <w:tc>
          <w:tcPr>
            <w:cnfStyle w:val="001000000000" w:firstRow="0" w:lastRow="0" w:firstColumn="1" w:lastColumn="0" w:oddVBand="0" w:evenVBand="0" w:oddHBand="0" w:evenHBand="0" w:firstRowFirstColumn="0" w:firstRowLastColumn="0" w:lastRowFirstColumn="0" w:lastRowLastColumn="0"/>
            <w:tcW w:w="0" w:type="auto"/>
            <w:hideMark/>
          </w:tcPr>
          <w:p w14:paraId="02605FCF" w14:textId="77777777" w:rsidR="00C96183" w:rsidRPr="00F53EF8" w:rsidRDefault="00BA2E0F">
            <w:pPr>
              <w:pStyle w:val="Heading2"/>
              <w:jc w:val="both"/>
              <w:outlineLvl w:val="1"/>
              <w:rPr>
                <w:rFonts w:ascii="Times New Roman" w:hAnsi="Times New Roman" w:cs="Times New Roman"/>
                <w:sz w:val="24"/>
                <w:szCs w:val="24"/>
              </w:rPr>
            </w:pPr>
            <w:r w:rsidRPr="00F53EF8">
              <w:rPr>
                <w:rFonts w:ascii="Times New Roman" w:hAnsi="Times New Roman" w:cs="Times New Roman"/>
                <w:b/>
                <w:bCs/>
                <w:sz w:val="24"/>
                <w:szCs w:val="24"/>
              </w:rPr>
              <w:lastRenderedPageBreak/>
              <w:t xml:space="preserve">National Academies </w:t>
            </w:r>
            <w:r w:rsidRPr="00F53EF8">
              <w:rPr>
                <w:rFonts w:ascii="Times New Roman" w:hAnsi="Times New Roman" w:cs="Times New Roman"/>
                <w:b/>
                <w:bCs/>
                <w:sz w:val="24"/>
                <w:szCs w:val="24"/>
              </w:rPr>
              <w:t>of Sciences, Engineering, and Medicine (2025a)</w:t>
            </w:r>
          </w:p>
        </w:tc>
        <w:tc>
          <w:tcPr>
            <w:tcW w:w="0" w:type="auto"/>
            <w:hideMark/>
          </w:tcPr>
          <w:p w14:paraId="464840D8"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Research Report</w:t>
            </w:r>
          </w:p>
        </w:tc>
        <w:tc>
          <w:tcPr>
            <w:tcW w:w="0" w:type="auto"/>
            <w:hideMark/>
          </w:tcPr>
          <w:p w14:paraId="5CEC8499"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Health System Resilience, Lessons Learned</w:t>
            </w:r>
          </w:p>
        </w:tc>
        <w:tc>
          <w:tcPr>
            <w:tcW w:w="0" w:type="auto"/>
            <w:hideMark/>
          </w:tcPr>
          <w:p w14:paraId="78A7C229"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Assessed COVID-19 impacts on healthcare delivery systems, documenting disruptions to routine care, mental health crises, and the need for resilient car</w:t>
            </w:r>
            <w:r w:rsidRPr="00F53EF8">
              <w:rPr>
                <w:rFonts w:ascii="Times New Roman" w:hAnsi="Times New Roman" w:cs="Times New Roman"/>
                <w:b w:val="0"/>
                <w:bCs w:val="0"/>
                <w:sz w:val="24"/>
                <w:szCs w:val="24"/>
              </w:rPr>
              <w:t>e delivery models.</w:t>
            </w:r>
          </w:p>
        </w:tc>
      </w:tr>
      <w:tr w:rsidR="00C96183" w:rsidRPr="00F53EF8" w14:paraId="70E68390" w14:textId="77777777" w:rsidTr="00C96183">
        <w:tc>
          <w:tcPr>
            <w:cnfStyle w:val="001000000000" w:firstRow="0" w:lastRow="0" w:firstColumn="1" w:lastColumn="0" w:oddVBand="0" w:evenVBand="0" w:oddHBand="0" w:evenHBand="0" w:firstRowFirstColumn="0" w:firstRowLastColumn="0" w:lastRowFirstColumn="0" w:lastRowLastColumn="0"/>
            <w:tcW w:w="0" w:type="auto"/>
            <w:hideMark/>
          </w:tcPr>
          <w:p w14:paraId="1D3AAAD5" w14:textId="77777777" w:rsidR="00C96183" w:rsidRPr="00F53EF8" w:rsidRDefault="00BA2E0F">
            <w:pPr>
              <w:pStyle w:val="Heading2"/>
              <w:jc w:val="both"/>
              <w:outlineLvl w:val="1"/>
              <w:rPr>
                <w:rFonts w:ascii="Times New Roman" w:hAnsi="Times New Roman" w:cs="Times New Roman"/>
                <w:sz w:val="24"/>
                <w:szCs w:val="24"/>
              </w:rPr>
            </w:pPr>
            <w:r w:rsidRPr="00F53EF8">
              <w:rPr>
                <w:rFonts w:ascii="Times New Roman" w:hAnsi="Times New Roman" w:cs="Times New Roman"/>
                <w:b/>
                <w:bCs/>
                <w:sz w:val="24"/>
                <w:szCs w:val="24"/>
              </w:rPr>
              <w:t>Zhang et al. (2023)</w:t>
            </w:r>
          </w:p>
        </w:tc>
        <w:tc>
          <w:tcPr>
            <w:tcW w:w="0" w:type="auto"/>
            <w:hideMark/>
          </w:tcPr>
          <w:p w14:paraId="6EB876F5"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Peer-Reviewed Article</w:t>
            </w:r>
          </w:p>
        </w:tc>
        <w:tc>
          <w:tcPr>
            <w:tcW w:w="0" w:type="auto"/>
            <w:hideMark/>
          </w:tcPr>
          <w:p w14:paraId="35B87D15"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Health System Resilience</w:t>
            </w:r>
          </w:p>
        </w:tc>
        <w:tc>
          <w:tcPr>
            <w:tcW w:w="0" w:type="auto"/>
            <w:hideMark/>
          </w:tcPr>
          <w:p w14:paraId="01A34DA6"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Evaluated health system resilience in sixty countries using composite indicators and found that the United States showed strong technical capacity but experienced coordi</w:t>
            </w:r>
            <w:r w:rsidRPr="00F53EF8">
              <w:rPr>
                <w:rFonts w:ascii="Times New Roman" w:hAnsi="Times New Roman" w:cs="Times New Roman"/>
                <w:b w:val="0"/>
                <w:bCs w:val="0"/>
                <w:sz w:val="24"/>
                <w:szCs w:val="24"/>
              </w:rPr>
              <w:t>nation challenges.</w:t>
            </w:r>
          </w:p>
        </w:tc>
      </w:tr>
      <w:tr w:rsidR="00C96183" w:rsidRPr="00F53EF8" w14:paraId="6031942C" w14:textId="77777777" w:rsidTr="00C96183">
        <w:tc>
          <w:tcPr>
            <w:cnfStyle w:val="001000000000" w:firstRow="0" w:lastRow="0" w:firstColumn="1" w:lastColumn="0" w:oddVBand="0" w:evenVBand="0" w:oddHBand="0" w:evenHBand="0" w:firstRowFirstColumn="0" w:firstRowLastColumn="0" w:lastRowFirstColumn="0" w:lastRowLastColumn="0"/>
            <w:tcW w:w="0" w:type="auto"/>
            <w:hideMark/>
          </w:tcPr>
          <w:p w14:paraId="5652163C" w14:textId="77777777" w:rsidR="00C96183" w:rsidRPr="00F53EF8" w:rsidRDefault="00BA2E0F">
            <w:pPr>
              <w:pStyle w:val="Heading2"/>
              <w:jc w:val="both"/>
              <w:outlineLvl w:val="1"/>
              <w:rPr>
                <w:rFonts w:ascii="Times New Roman" w:hAnsi="Times New Roman" w:cs="Times New Roman"/>
                <w:sz w:val="24"/>
                <w:szCs w:val="24"/>
              </w:rPr>
            </w:pPr>
            <w:r w:rsidRPr="00F53EF8">
              <w:rPr>
                <w:rFonts w:ascii="Times New Roman" w:hAnsi="Times New Roman" w:cs="Times New Roman"/>
                <w:b/>
                <w:bCs/>
                <w:sz w:val="24"/>
                <w:szCs w:val="24"/>
              </w:rPr>
              <w:t>Pathirathna et al. (2024)</w:t>
            </w:r>
          </w:p>
        </w:tc>
        <w:tc>
          <w:tcPr>
            <w:tcW w:w="0" w:type="auto"/>
            <w:hideMark/>
          </w:tcPr>
          <w:p w14:paraId="262BE8F8"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Peer-Reviewed Article</w:t>
            </w:r>
          </w:p>
        </w:tc>
        <w:tc>
          <w:tcPr>
            <w:tcW w:w="0" w:type="auto"/>
            <w:hideMark/>
          </w:tcPr>
          <w:p w14:paraId="7D953E84"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Government Policy, Multi-Hazard Preparedness</w:t>
            </w:r>
          </w:p>
        </w:tc>
        <w:tc>
          <w:tcPr>
            <w:tcW w:w="0" w:type="auto"/>
            <w:hideMark/>
          </w:tcPr>
          <w:p w14:paraId="618C58A5"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 xml:space="preserve">Examined pandemic preparedness within the context of multi-hazard risks and recommended integrated preparedness frameworks addressing </w:t>
            </w:r>
            <w:r w:rsidRPr="00F53EF8">
              <w:rPr>
                <w:rFonts w:ascii="Times New Roman" w:hAnsi="Times New Roman" w:cs="Times New Roman"/>
                <w:b w:val="0"/>
                <w:bCs w:val="0"/>
                <w:sz w:val="24"/>
                <w:szCs w:val="24"/>
              </w:rPr>
              <w:t>concurrent disasters and climate-health interactions.</w:t>
            </w:r>
          </w:p>
        </w:tc>
      </w:tr>
      <w:tr w:rsidR="00C96183" w:rsidRPr="00F53EF8" w14:paraId="448E82C2" w14:textId="77777777" w:rsidTr="00C96183">
        <w:tc>
          <w:tcPr>
            <w:cnfStyle w:val="001000000000" w:firstRow="0" w:lastRow="0" w:firstColumn="1" w:lastColumn="0" w:oddVBand="0" w:evenVBand="0" w:oddHBand="0" w:evenHBand="0" w:firstRowFirstColumn="0" w:firstRowLastColumn="0" w:lastRowFirstColumn="0" w:lastRowLastColumn="0"/>
            <w:tcW w:w="0" w:type="auto"/>
            <w:hideMark/>
          </w:tcPr>
          <w:p w14:paraId="690E3AD7" w14:textId="77777777" w:rsidR="00C96183" w:rsidRPr="00F53EF8" w:rsidRDefault="00BA2E0F">
            <w:pPr>
              <w:pStyle w:val="Heading2"/>
              <w:jc w:val="both"/>
              <w:outlineLvl w:val="1"/>
              <w:rPr>
                <w:rFonts w:ascii="Times New Roman" w:hAnsi="Times New Roman" w:cs="Times New Roman"/>
                <w:sz w:val="24"/>
                <w:szCs w:val="24"/>
              </w:rPr>
            </w:pPr>
            <w:r w:rsidRPr="00F53EF8">
              <w:rPr>
                <w:rFonts w:ascii="Times New Roman" w:hAnsi="Times New Roman" w:cs="Times New Roman"/>
                <w:b/>
                <w:bCs/>
                <w:sz w:val="24"/>
                <w:szCs w:val="24"/>
              </w:rPr>
              <w:t>Nunes et al. (2024)</w:t>
            </w:r>
          </w:p>
        </w:tc>
        <w:tc>
          <w:tcPr>
            <w:tcW w:w="0" w:type="auto"/>
            <w:hideMark/>
          </w:tcPr>
          <w:p w14:paraId="61F448A8"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Peer-Reviewed Article</w:t>
            </w:r>
          </w:p>
        </w:tc>
        <w:tc>
          <w:tcPr>
            <w:tcW w:w="0" w:type="auto"/>
            <w:hideMark/>
          </w:tcPr>
          <w:p w14:paraId="73944D37"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Biosurveillance, Modeling</w:t>
            </w:r>
          </w:p>
        </w:tc>
        <w:tc>
          <w:tcPr>
            <w:tcW w:w="0" w:type="auto"/>
            <w:hideMark/>
          </w:tcPr>
          <w:p w14:paraId="1B631E4F"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Synthesized insights from infectious disease modeling workshops, emphasizing predictive modeling, scenario planning, and real-time da</w:t>
            </w:r>
            <w:r w:rsidRPr="00F53EF8">
              <w:rPr>
                <w:rFonts w:ascii="Times New Roman" w:hAnsi="Times New Roman" w:cs="Times New Roman"/>
                <w:b w:val="0"/>
                <w:bCs w:val="0"/>
                <w:sz w:val="24"/>
                <w:szCs w:val="24"/>
              </w:rPr>
              <w:t>ta analytics in pandemic preparedness.</w:t>
            </w:r>
          </w:p>
        </w:tc>
      </w:tr>
      <w:tr w:rsidR="00C96183" w:rsidRPr="00F53EF8" w14:paraId="3E41AB76" w14:textId="77777777" w:rsidTr="00C96183">
        <w:tc>
          <w:tcPr>
            <w:cnfStyle w:val="001000000000" w:firstRow="0" w:lastRow="0" w:firstColumn="1" w:lastColumn="0" w:oddVBand="0" w:evenVBand="0" w:oddHBand="0" w:evenHBand="0" w:firstRowFirstColumn="0" w:firstRowLastColumn="0" w:lastRowFirstColumn="0" w:lastRowLastColumn="0"/>
            <w:tcW w:w="0" w:type="auto"/>
            <w:hideMark/>
          </w:tcPr>
          <w:p w14:paraId="2A3B1FF3" w14:textId="77777777" w:rsidR="00C96183" w:rsidRPr="00F53EF8" w:rsidRDefault="00BA2E0F">
            <w:pPr>
              <w:pStyle w:val="Heading2"/>
              <w:jc w:val="both"/>
              <w:outlineLvl w:val="1"/>
              <w:rPr>
                <w:rFonts w:ascii="Times New Roman" w:hAnsi="Times New Roman" w:cs="Times New Roman"/>
                <w:sz w:val="24"/>
                <w:szCs w:val="24"/>
              </w:rPr>
            </w:pPr>
            <w:r w:rsidRPr="00F53EF8">
              <w:rPr>
                <w:rFonts w:ascii="Times New Roman" w:hAnsi="Times New Roman" w:cs="Times New Roman"/>
                <w:b/>
                <w:bCs/>
                <w:sz w:val="24"/>
                <w:szCs w:val="24"/>
              </w:rPr>
              <w:t>World Health Organization (2025)</w:t>
            </w:r>
          </w:p>
        </w:tc>
        <w:tc>
          <w:tcPr>
            <w:tcW w:w="0" w:type="auto"/>
            <w:hideMark/>
          </w:tcPr>
          <w:p w14:paraId="39456E17"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Guidance Document</w:t>
            </w:r>
          </w:p>
        </w:tc>
        <w:tc>
          <w:tcPr>
            <w:tcW w:w="0" w:type="auto"/>
            <w:hideMark/>
          </w:tcPr>
          <w:p w14:paraId="379D46C4"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Government Policy, International Standards</w:t>
            </w:r>
          </w:p>
        </w:tc>
        <w:tc>
          <w:tcPr>
            <w:tcW w:w="0" w:type="auto"/>
            <w:hideMark/>
          </w:tcPr>
          <w:p w14:paraId="27B0A1F3"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Launched new country-level guidance for health emergency coordination, providing adaptable frameworks for national context</w:t>
            </w:r>
            <w:r w:rsidRPr="00F53EF8">
              <w:rPr>
                <w:rFonts w:ascii="Times New Roman" w:hAnsi="Times New Roman" w:cs="Times New Roman"/>
                <w:b w:val="0"/>
                <w:bCs w:val="0"/>
                <w:sz w:val="24"/>
                <w:szCs w:val="24"/>
              </w:rPr>
              <w:t>s including U.S. state and local coordination models.</w:t>
            </w:r>
          </w:p>
        </w:tc>
      </w:tr>
      <w:tr w:rsidR="00C96183" w:rsidRPr="00F53EF8" w14:paraId="6F031DAF" w14:textId="77777777" w:rsidTr="00C96183">
        <w:tc>
          <w:tcPr>
            <w:cnfStyle w:val="001000000000" w:firstRow="0" w:lastRow="0" w:firstColumn="1" w:lastColumn="0" w:oddVBand="0" w:evenVBand="0" w:oddHBand="0" w:evenHBand="0" w:firstRowFirstColumn="0" w:firstRowLastColumn="0" w:lastRowFirstColumn="0" w:lastRowLastColumn="0"/>
            <w:tcW w:w="0" w:type="auto"/>
            <w:hideMark/>
          </w:tcPr>
          <w:p w14:paraId="785BB2F1" w14:textId="77777777" w:rsidR="00C96183" w:rsidRPr="00F53EF8" w:rsidRDefault="00BA2E0F">
            <w:pPr>
              <w:pStyle w:val="Heading2"/>
              <w:jc w:val="both"/>
              <w:outlineLvl w:val="1"/>
              <w:rPr>
                <w:rFonts w:ascii="Times New Roman" w:hAnsi="Times New Roman" w:cs="Times New Roman"/>
                <w:sz w:val="24"/>
                <w:szCs w:val="24"/>
              </w:rPr>
            </w:pPr>
            <w:r w:rsidRPr="00F53EF8">
              <w:rPr>
                <w:rFonts w:ascii="Times New Roman" w:hAnsi="Times New Roman" w:cs="Times New Roman"/>
                <w:b/>
                <w:bCs/>
                <w:sz w:val="24"/>
                <w:szCs w:val="24"/>
              </w:rPr>
              <w:lastRenderedPageBreak/>
              <w:t>Cylus et al. (2022)</w:t>
            </w:r>
          </w:p>
        </w:tc>
        <w:tc>
          <w:tcPr>
            <w:tcW w:w="0" w:type="auto"/>
            <w:hideMark/>
          </w:tcPr>
          <w:p w14:paraId="70ECC906"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Peer-Reviewed Article</w:t>
            </w:r>
          </w:p>
        </w:tc>
        <w:tc>
          <w:tcPr>
            <w:tcW w:w="0" w:type="auto"/>
            <w:hideMark/>
          </w:tcPr>
          <w:p w14:paraId="46E8E696"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Lessons Learned, Health System Resilience</w:t>
            </w:r>
          </w:p>
        </w:tc>
        <w:tc>
          <w:tcPr>
            <w:tcW w:w="0" w:type="auto"/>
            <w:hideMark/>
          </w:tcPr>
          <w:p w14:paraId="6FE2E89F"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 xml:space="preserve">Synthesized early COVID-19 lessons including the importance of surge capacity, supply chain diversification, </w:t>
            </w:r>
            <w:r w:rsidRPr="00F53EF8">
              <w:rPr>
                <w:rFonts w:ascii="Times New Roman" w:hAnsi="Times New Roman" w:cs="Times New Roman"/>
                <w:b w:val="0"/>
                <w:bCs w:val="0"/>
                <w:sz w:val="24"/>
                <w:szCs w:val="24"/>
              </w:rPr>
              <w:t>public-private partnerships, and transparent communication.</w:t>
            </w:r>
          </w:p>
        </w:tc>
      </w:tr>
      <w:tr w:rsidR="00C96183" w:rsidRPr="00F53EF8" w14:paraId="36663E76" w14:textId="77777777" w:rsidTr="00C96183">
        <w:tc>
          <w:tcPr>
            <w:cnfStyle w:val="001000000000" w:firstRow="0" w:lastRow="0" w:firstColumn="1" w:lastColumn="0" w:oddVBand="0" w:evenVBand="0" w:oddHBand="0" w:evenHBand="0" w:firstRowFirstColumn="0" w:firstRowLastColumn="0" w:lastRowFirstColumn="0" w:lastRowLastColumn="0"/>
            <w:tcW w:w="0" w:type="auto"/>
            <w:hideMark/>
          </w:tcPr>
          <w:p w14:paraId="6596C193" w14:textId="77777777" w:rsidR="00C96183" w:rsidRPr="00F53EF8" w:rsidRDefault="00BA2E0F">
            <w:pPr>
              <w:pStyle w:val="Heading2"/>
              <w:jc w:val="both"/>
              <w:outlineLvl w:val="1"/>
              <w:rPr>
                <w:rFonts w:ascii="Times New Roman" w:hAnsi="Times New Roman" w:cs="Times New Roman"/>
                <w:sz w:val="24"/>
                <w:szCs w:val="24"/>
              </w:rPr>
            </w:pPr>
            <w:r w:rsidRPr="00F53EF8">
              <w:rPr>
                <w:rFonts w:ascii="Times New Roman" w:hAnsi="Times New Roman" w:cs="Times New Roman"/>
                <w:b/>
                <w:bCs/>
                <w:sz w:val="24"/>
                <w:szCs w:val="24"/>
              </w:rPr>
              <w:t>National Academies of Sciences, Engineering, and Medicine (2022)</w:t>
            </w:r>
          </w:p>
        </w:tc>
        <w:tc>
          <w:tcPr>
            <w:tcW w:w="0" w:type="auto"/>
            <w:hideMark/>
          </w:tcPr>
          <w:p w14:paraId="638D201B"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Research Report</w:t>
            </w:r>
          </w:p>
        </w:tc>
        <w:tc>
          <w:tcPr>
            <w:tcW w:w="0" w:type="auto"/>
            <w:hideMark/>
          </w:tcPr>
          <w:p w14:paraId="3815A7BE"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Healthcare Readiness, Supply Chain</w:t>
            </w:r>
          </w:p>
        </w:tc>
        <w:tc>
          <w:tcPr>
            <w:tcW w:w="0" w:type="auto"/>
            <w:hideMark/>
          </w:tcPr>
          <w:p w14:paraId="31D0E822"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 xml:space="preserve">Examined medical product supply chain vulnerabilities exposed by the pandemic </w:t>
            </w:r>
            <w:r w:rsidRPr="00F53EF8">
              <w:rPr>
                <w:rFonts w:ascii="Times New Roman" w:hAnsi="Times New Roman" w:cs="Times New Roman"/>
                <w:b w:val="0"/>
                <w:bCs w:val="0"/>
                <w:sz w:val="24"/>
                <w:szCs w:val="24"/>
              </w:rPr>
              <w:t>and recommended domestic manufacturing capacity, strategic stockpiles, and supply chain monitoring systems.</w:t>
            </w:r>
          </w:p>
        </w:tc>
      </w:tr>
      <w:tr w:rsidR="00C96183" w:rsidRPr="00F53EF8" w14:paraId="69D195E7" w14:textId="77777777" w:rsidTr="00C96183">
        <w:tc>
          <w:tcPr>
            <w:cnfStyle w:val="001000000000" w:firstRow="0" w:lastRow="0" w:firstColumn="1" w:lastColumn="0" w:oddVBand="0" w:evenVBand="0" w:oddHBand="0" w:evenHBand="0" w:firstRowFirstColumn="0" w:firstRowLastColumn="0" w:lastRowFirstColumn="0" w:lastRowLastColumn="0"/>
            <w:tcW w:w="0" w:type="auto"/>
            <w:hideMark/>
          </w:tcPr>
          <w:p w14:paraId="0B77141B" w14:textId="77777777" w:rsidR="00C96183" w:rsidRPr="00F53EF8" w:rsidRDefault="00BA2E0F">
            <w:pPr>
              <w:pStyle w:val="Heading2"/>
              <w:jc w:val="both"/>
              <w:outlineLvl w:val="1"/>
              <w:rPr>
                <w:rFonts w:ascii="Times New Roman" w:hAnsi="Times New Roman" w:cs="Times New Roman"/>
                <w:sz w:val="24"/>
                <w:szCs w:val="24"/>
              </w:rPr>
            </w:pPr>
            <w:r w:rsidRPr="00F53EF8">
              <w:rPr>
                <w:rFonts w:ascii="Times New Roman" w:hAnsi="Times New Roman" w:cs="Times New Roman"/>
                <w:b/>
                <w:bCs/>
                <w:sz w:val="24"/>
                <w:szCs w:val="24"/>
              </w:rPr>
              <w:t>Spieske et al. (2022)</w:t>
            </w:r>
          </w:p>
        </w:tc>
        <w:tc>
          <w:tcPr>
            <w:tcW w:w="0" w:type="auto"/>
            <w:hideMark/>
          </w:tcPr>
          <w:p w14:paraId="724AFE1D"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Peer-Reviewed Article</w:t>
            </w:r>
          </w:p>
        </w:tc>
        <w:tc>
          <w:tcPr>
            <w:tcW w:w="0" w:type="auto"/>
            <w:hideMark/>
          </w:tcPr>
          <w:p w14:paraId="4203821D"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Healthcare Readiness, Supply Chain</w:t>
            </w:r>
          </w:p>
        </w:tc>
        <w:tc>
          <w:tcPr>
            <w:tcW w:w="0" w:type="auto"/>
            <w:hideMark/>
          </w:tcPr>
          <w:p w14:paraId="1BA37BD0"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Examined healthcare supply chain resilience and emphasized diversifi</w:t>
            </w:r>
            <w:r w:rsidRPr="00F53EF8">
              <w:rPr>
                <w:rFonts w:ascii="Times New Roman" w:hAnsi="Times New Roman" w:cs="Times New Roman"/>
                <w:b w:val="0"/>
                <w:bCs w:val="0"/>
                <w:sz w:val="24"/>
                <w:szCs w:val="24"/>
              </w:rPr>
              <w:t>cation, transparency, and collaboration as key resilience strategies.</w:t>
            </w:r>
          </w:p>
        </w:tc>
      </w:tr>
      <w:tr w:rsidR="00C96183" w:rsidRPr="00F53EF8" w14:paraId="7F693D70" w14:textId="77777777" w:rsidTr="00C96183">
        <w:tc>
          <w:tcPr>
            <w:cnfStyle w:val="001000000000" w:firstRow="0" w:lastRow="0" w:firstColumn="1" w:lastColumn="0" w:oddVBand="0" w:evenVBand="0" w:oddHBand="0" w:evenHBand="0" w:firstRowFirstColumn="0" w:firstRowLastColumn="0" w:lastRowFirstColumn="0" w:lastRowLastColumn="0"/>
            <w:tcW w:w="0" w:type="auto"/>
            <w:hideMark/>
          </w:tcPr>
          <w:p w14:paraId="2870B9BA" w14:textId="77777777" w:rsidR="00C96183" w:rsidRPr="00F53EF8" w:rsidRDefault="00BA2E0F">
            <w:pPr>
              <w:pStyle w:val="Heading2"/>
              <w:jc w:val="both"/>
              <w:outlineLvl w:val="1"/>
              <w:rPr>
                <w:rFonts w:ascii="Times New Roman" w:hAnsi="Times New Roman" w:cs="Times New Roman"/>
                <w:sz w:val="24"/>
                <w:szCs w:val="24"/>
              </w:rPr>
            </w:pPr>
            <w:r w:rsidRPr="00F53EF8">
              <w:rPr>
                <w:rFonts w:ascii="Times New Roman" w:hAnsi="Times New Roman" w:cs="Times New Roman"/>
                <w:b/>
                <w:bCs/>
                <w:sz w:val="24"/>
                <w:szCs w:val="24"/>
              </w:rPr>
              <w:t>Tan et al. (2024)</w:t>
            </w:r>
          </w:p>
        </w:tc>
        <w:tc>
          <w:tcPr>
            <w:tcW w:w="0" w:type="auto"/>
            <w:hideMark/>
          </w:tcPr>
          <w:p w14:paraId="0791E340"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Peer-Reviewed Article</w:t>
            </w:r>
          </w:p>
        </w:tc>
        <w:tc>
          <w:tcPr>
            <w:tcW w:w="0" w:type="auto"/>
            <w:hideMark/>
          </w:tcPr>
          <w:p w14:paraId="02C7B717"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Innovation, Biosurveillance</w:t>
            </w:r>
          </w:p>
        </w:tc>
        <w:tc>
          <w:tcPr>
            <w:tcW w:w="0" w:type="auto"/>
            <w:hideMark/>
          </w:tcPr>
          <w:p w14:paraId="42C7A09B"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Explored digital health technologies for pandemic preparedness including digital contact tracing, mobile health surve</w:t>
            </w:r>
            <w:r w:rsidRPr="00F53EF8">
              <w:rPr>
                <w:rFonts w:ascii="Times New Roman" w:hAnsi="Times New Roman" w:cs="Times New Roman"/>
                <w:b w:val="0"/>
                <w:bCs w:val="0"/>
                <w:sz w:val="24"/>
                <w:szCs w:val="24"/>
              </w:rPr>
              <w:t>illance, and integrated data-sharing platforms.</w:t>
            </w:r>
          </w:p>
        </w:tc>
      </w:tr>
      <w:tr w:rsidR="00C96183" w:rsidRPr="00F53EF8" w14:paraId="33982312" w14:textId="77777777" w:rsidTr="00C96183">
        <w:tc>
          <w:tcPr>
            <w:cnfStyle w:val="001000000000" w:firstRow="0" w:lastRow="0" w:firstColumn="1" w:lastColumn="0" w:oddVBand="0" w:evenVBand="0" w:oddHBand="0" w:evenHBand="0" w:firstRowFirstColumn="0" w:firstRowLastColumn="0" w:lastRowFirstColumn="0" w:lastRowLastColumn="0"/>
            <w:tcW w:w="0" w:type="auto"/>
            <w:hideMark/>
          </w:tcPr>
          <w:p w14:paraId="0366EE72" w14:textId="77777777" w:rsidR="00C96183" w:rsidRPr="00F53EF8" w:rsidRDefault="00BA2E0F">
            <w:pPr>
              <w:pStyle w:val="Heading2"/>
              <w:jc w:val="both"/>
              <w:outlineLvl w:val="1"/>
              <w:rPr>
                <w:rFonts w:ascii="Times New Roman" w:hAnsi="Times New Roman" w:cs="Times New Roman"/>
                <w:sz w:val="24"/>
                <w:szCs w:val="24"/>
              </w:rPr>
            </w:pPr>
            <w:r w:rsidRPr="00F53EF8">
              <w:rPr>
                <w:rFonts w:ascii="Times New Roman" w:hAnsi="Times New Roman" w:cs="Times New Roman"/>
                <w:b/>
                <w:bCs/>
                <w:sz w:val="24"/>
                <w:szCs w:val="24"/>
              </w:rPr>
              <w:t>European Observatory on Health Systems and Policies (2022)</w:t>
            </w:r>
          </w:p>
        </w:tc>
        <w:tc>
          <w:tcPr>
            <w:tcW w:w="0" w:type="auto"/>
            <w:hideMark/>
          </w:tcPr>
          <w:p w14:paraId="1ED64F87"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Research Report</w:t>
            </w:r>
          </w:p>
        </w:tc>
        <w:tc>
          <w:tcPr>
            <w:tcW w:w="0" w:type="auto"/>
            <w:hideMark/>
          </w:tcPr>
          <w:p w14:paraId="1EB5A5CB"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Health System Resilience, Lessons Learned, International Comparison</w:t>
            </w:r>
          </w:p>
        </w:tc>
        <w:tc>
          <w:tcPr>
            <w:tcW w:w="0" w:type="auto"/>
            <w:hideMark/>
          </w:tcPr>
          <w:p w14:paraId="39A6159E" w14:textId="77777777" w:rsidR="00C96183" w:rsidRPr="00F53EF8" w:rsidRDefault="00BA2E0F">
            <w:pPr>
              <w:pStyle w:val="Heading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Synthesized lessons from COVID-19 across European health systems</w:t>
            </w:r>
            <w:r w:rsidRPr="00F53EF8">
              <w:rPr>
                <w:rFonts w:ascii="Times New Roman" w:hAnsi="Times New Roman" w:cs="Times New Roman"/>
                <w:b w:val="0"/>
                <w:bCs w:val="0"/>
                <w:sz w:val="24"/>
                <w:szCs w:val="24"/>
              </w:rPr>
              <w:t xml:space="preserve"> and provided comparative governance and financing insights relevant to the United States context.</w:t>
            </w:r>
          </w:p>
        </w:tc>
      </w:tr>
    </w:tbl>
    <w:p w14:paraId="6E8626C1" w14:textId="77777777" w:rsidR="00C96183" w:rsidRPr="00F53EF8" w:rsidRDefault="00BA2E0F">
      <w:pPr>
        <w:pStyle w:val="Heading2"/>
        <w:jc w:val="both"/>
        <w:rPr>
          <w:rFonts w:ascii="Times New Roman" w:hAnsi="Times New Roman" w:cs="Times New Roman"/>
        </w:rPr>
      </w:pPr>
      <w:r w:rsidRPr="00F53EF8">
        <w:rPr>
          <w:rFonts w:ascii="Times New Roman" w:hAnsi="Times New Roman" w:cs="Times New Roman"/>
        </w:rPr>
        <w:t>3.3 Thematic Analysis</w:t>
      </w:r>
    </w:p>
    <w:p w14:paraId="2B89A350" w14:textId="77777777" w:rsidR="00C96183" w:rsidRPr="00F53EF8" w:rsidRDefault="00BA2E0F">
      <w:pPr>
        <w:pStyle w:val="Heading3"/>
        <w:jc w:val="both"/>
        <w:rPr>
          <w:rFonts w:ascii="Times New Roman" w:hAnsi="Times New Roman" w:cs="Times New Roman"/>
        </w:rPr>
      </w:pPr>
      <w:r w:rsidRPr="00F53EF8">
        <w:rPr>
          <w:rFonts w:ascii="Times New Roman" w:hAnsi="Times New Roman" w:cs="Times New Roman"/>
        </w:rPr>
        <w:t>3.3.1 Government Policy and Oversight</w:t>
      </w:r>
    </w:p>
    <w:p w14:paraId="5A4B0ECD" w14:textId="77777777" w:rsidR="00C96183" w:rsidRPr="00F53EF8" w:rsidRDefault="00BA2E0F">
      <w:pPr>
        <w:spacing w:after="240"/>
        <w:jc w:val="both"/>
        <w:rPr>
          <w:rFonts w:ascii="Times New Roman" w:hAnsi="Times New Roman" w:cs="Times New Roman"/>
        </w:rPr>
      </w:pPr>
      <w:r w:rsidRPr="00F53EF8">
        <w:rPr>
          <w:rFonts w:ascii="Times New Roman" w:hAnsi="Times New Roman" w:cs="Times New Roman"/>
        </w:rPr>
        <w:t xml:space="preserve">Several sources highlighted the importance of clear governments and integrated policies in the </w:t>
      </w:r>
      <w:r w:rsidRPr="00F53EF8">
        <w:rPr>
          <w:rFonts w:ascii="Times New Roman" w:hAnsi="Times New Roman" w:cs="Times New Roman"/>
        </w:rPr>
        <w:t>preparedness to the pandemic. Documented by the U.S. House Committee on Oversight and Accountability (2024), there were tremendous coordination issues during the COVID-19 pandemic, such as lack of clarity in command hierarchy and failure in interagency com</w:t>
      </w:r>
      <w:r w:rsidRPr="00F53EF8">
        <w:rPr>
          <w:rFonts w:ascii="Times New Roman" w:hAnsi="Times New Roman" w:cs="Times New Roman"/>
        </w:rPr>
        <w:t>munication between the federal government. The White House (2024) in turn created a specific Office of Pandemic Preparedness and Response Policy to coordinate the efforts of the process.</w:t>
      </w:r>
    </w:p>
    <w:p w14:paraId="0C83A70B" w14:textId="77777777" w:rsidR="00C96183" w:rsidRPr="00F53EF8" w:rsidRDefault="00BA2E0F">
      <w:pPr>
        <w:spacing w:after="240"/>
        <w:jc w:val="both"/>
        <w:rPr>
          <w:rFonts w:ascii="Times New Roman" w:hAnsi="Times New Roman" w:cs="Times New Roman"/>
        </w:rPr>
      </w:pPr>
      <w:r w:rsidRPr="00F53EF8">
        <w:rPr>
          <w:rFonts w:ascii="Times New Roman" w:hAnsi="Times New Roman" w:cs="Times New Roman"/>
        </w:rPr>
        <w:lastRenderedPageBreak/>
        <w:t>The Centers of Disease Control and Prevention (2024b) has come up wit</w:t>
      </w:r>
      <w:r w:rsidRPr="00F53EF8">
        <w:rPr>
          <w:rFonts w:ascii="Times New Roman" w:hAnsi="Times New Roman" w:cs="Times New Roman"/>
        </w:rPr>
        <w:t>h a detailed National Pandemic Strategy, which defines integrated methods of surveillance, prevention, and response. Lawmaking, such as the reauthorization of the Pandemic and All-Hazards Preparedness and Response Act (U.S. Congress, 2024), was intended to</w:t>
      </w:r>
      <w:r w:rsidRPr="00F53EF8">
        <w:rPr>
          <w:rFonts w:ascii="Times New Roman" w:hAnsi="Times New Roman" w:cs="Times New Roman"/>
        </w:rPr>
        <w:t xml:space="preserve"> make the legal frameworks and financial systems more resistant to long-term preparedness investments.</w:t>
      </w:r>
    </w:p>
    <w:p w14:paraId="31ABF8EF" w14:textId="77777777" w:rsidR="00C96183" w:rsidRPr="00F53EF8" w:rsidRDefault="00BA2E0F">
      <w:pPr>
        <w:spacing w:after="240"/>
        <w:jc w:val="both"/>
        <w:rPr>
          <w:rFonts w:ascii="Times New Roman" w:hAnsi="Times New Roman" w:cs="Times New Roman"/>
        </w:rPr>
      </w:pPr>
      <w:r w:rsidRPr="00F53EF8">
        <w:rPr>
          <w:rFonts w:ascii="Times New Roman" w:hAnsi="Times New Roman" w:cs="Times New Roman"/>
        </w:rPr>
        <w:t>Comparisons with the rest of the world indicated that, although the United States has the technical capability, the lack of coordination and fragmented g</w:t>
      </w:r>
      <w:r w:rsidRPr="00F53EF8">
        <w:rPr>
          <w:rFonts w:ascii="Times New Roman" w:hAnsi="Times New Roman" w:cs="Times New Roman"/>
        </w:rPr>
        <w:t>overnance structures contributed to poor response relative to those countries with more centralized systems (Villalobos Rodriguez et al., 2025; Zhang et al., 2023).</w:t>
      </w:r>
    </w:p>
    <w:p w14:paraId="2D79BB8C" w14:textId="77777777" w:rsidR="00C96183" w:rsidRPr="00F53EF8" w:rsidRDefault="00BA2E0F">
      <w:pPr>
        <w:spacing w:after="240"/>
        <w:jc w:val="both"/>
        <w:rPr>
          <w:rFonts w:ascii="Times New Roman" w:hAnsi="Times New Roman" w:cs="Times New Roman"/>
          <w:b/>
          <w:bCs/>
        </w:rPr>
      </w:pPr>
      <w:r w:rsidRPr="00F53EF8">
        <w:rPr>
          <w:rFonts w:ascii="Times New Roman" w:hAnsi="Times New Roman" w:cs="Times New Roman"/>
          <w:b/>
          <w:bCs/>
        </w:rPr>
        <w:t xml:space="preserve">3.3.2 State and Local Preparedness Capacity </w:t>
      </w:r>
    </w:p>
    <w:p w14:paraId="321CB1B7" w14:textId="77777777" w:rsidR="00C96183" w:rsidRPr="00F53EF8" w:rsidRDefault="00BA2E0F">
      <w:pPr>
        <w:spacing w:after="240"/>
        <w:jc w:val="both"/>
        <w:rPr>
          <w:rFonts w:ascii="Times New Roman" w:hAnsi="Times New Roman" w:cs="Times New Roman"/>
        </w:rPr>
      </w:pPr>
      <w:r w:rsidRPr="00F53EF8">
        <w:rPr>
          <w:rFonts w:ascii="Times New Roman" w:hAnsi="Times New Roman" w:cs="Times New Roman"/>
        </w:rPr>
        <w:t>State and local preparedness assessment showed</w:t>
      </w:r>
      <w:r w:rsidRPr="00F53EF8">
        <w:rPr>
          <w:rFonts w:ascii="Times New Roman" w:hAnsi="Times New Roman" w:cs="Times New Roman"/>
        </w:rPr>
        <w:t xml:space="preserve"> that there was significant variation and gaps. In Trust for America health (2025), the majority of the states were not up to the par regarding the main indicators of preparedness such as funding of the functioning of the public health, workforce capacity,</w:t>
      </w:r>
      <w:r w:rsidRPr="00F53EF8">
        <w:rPr>
          <w:rFonts w:ascii="Times New Roman" w:hAnsi="Times New Roman" w:cs="Times New Roman"/>
        </w:rPr>
        <w:t xml:space="preserve"> and infrastructure renewal. Geographic inequalities were an exception, as communities that were not well-resourced and rural communities became more disadvantaged (Trust for America, 2024).</w:t>
      </w:r>
    </w:p>
    <w:p w14:paraId="11DA9ABE" w14:textId="77777777" w:rsidR="00C96183" w:rsidRPr="00F53EF8" w:rsidRDefault="00BA2E0F">
      <w:pPr>
        <w:spacing w:after="240"/>
        <w:jc w:val="both"/>
        <w:rPr>
          <w:rFonts w:ascii="Times New Roman" w:hAnsi="Times New Roman" w:cs="Times New Roman"/>
        </w:rPr>
      </w:pPr>
      <w:r w:rsidRPr="00F53EF8">
        <w:rPr>
          <w:rFonts w:ascii="Times New Roman" w:hAnsi="Times New Roman" w:cs="Times New Roman"/>
        </w:rPr>
        <w:t>Centers for Disease Control and Prevention (2024c) revised nation</w:t>
      </w:r>
      <w:r w:rsidRPr="00F53EF8">
        <w:rPr>
          <w:rFonts w:ascii="Times New Roman" w:hAnsi="Times New Roman" w:cs="Times New Roman"/>
        </w:rPr>
        <w:t>al preparedness standards in 15 areas of preparedness capabilities and CDC Public Health Emergency Preparedness program (Centers for Disease Control and Prevention, 2025) offered cooperative agreements that support capacity building at state and local leve</w:t>
      </w:r>
      <w:r w:rsidRPr="00F53EF8">
        <w:rPr>
          <w:rFonts w:ascii="Times New Roman" w:hAnsi="Times New Roman" w:cs="Times New Roman"/>
        </w:rPr>
        <w:t>ls. Nevertheless, the U.S. Government Accountability Office (2023) has found that continued investments in preparedness face persistent difficulties when extended beyond acute crisis situations, and that once acute emergencies have been overcome, funding t</w:t>
      </w:r>
      <w:r w:rsidRPr="00F53EF8">
        <w:rPr>
          <w:rFonts w:ascii="Times New Roman" w:hAnsi="Times New Roman" w:cs="Times New Roman"/>
        </w:rPr>
        <w:t>ends to reduce.</w:t>
      </w:r>
    </w:p>
    <w:p w14:paraId="0A6F15A9" w14:textId="77777777" w:rsidR="00C96183" w:rsidRPr="00F53EF8" w:rsidRDefault="00BA2E0F">
      <w:pPr>
        <w:spacing w:after="240"/>
        <w:jc w:val="both"/>
        <w:rPr>
          <w:rFonts w:ascii="Times New Roman" w:hAnsi="Times New Roman" w:cs="Times New Roman"/>
        </w:rPr>
      </w:pPr>
      <w:r w:rsidRPr="00F53EF8">
        <w:rPr>
          <w:rFonts w:ascii="Times New Roman" w:hAnsi="Times New Roman" w:cs="Times New Roman"/>
        </w:rPr>
        <w:t>State-level guidance was offered by the National Governors Association (2024) stating the significance of pre-disaster planning and coordination mechanisms. Beishuizen et al. (2024) identified critically important preparedness resources suc</w:t>
      </w:r>
      <w:r w:rsidRPr="00F53EF8">
        <w:rPr>
          <w:rFonts w:ascii="Times New Roman" w:hAnsi="Times New Roman" w:cs="Times New Roman"/>
        </w:rPr>
        <w:t>h as stockpiles, personnel, and surge capacity of facilities in a systematic way, which most jurisdictions were deficient in sufficient quantities.</w:t>
      </w:r>
    </w:p>
    <w:p w14:paraId="629EB56E" w14:textId="77777777" w:rsidR="00C96183" w:rsidRPr="00F53EF8" w:rsidRDefault="00BA2E0F">
      <w:pPr>
        <w:pStyle w:val="Heading3"/>
        <w:jc w:val="both"/>
        <w:rPr>
          <w:rFonts w:ascii="Times New Roman" w:hAnsi="Times New Roman" w:cs="Times New Roman"/>
        </w:rPr>
      </w:pPr>
      <w:r w:rsidRPr="00F53EF8">
        <w:rPr>
          <w:rFonts w:ascii="Times New Roman" w:hAnsi="Times New Roman" w:cs="Times New Roman"/>
        </w:rPr>
        <w:t>3.3.3 Health System Resilience</w:t>
      </w:r>
    </w:p>
    <w:p w14:paraId="7DA33046" w14:textId="77777777" w:rsidR="00C96183" w:rsidRPr="00F53EF8" w:rsidRDefault="00BA2E0F">
      <w:pPr>
        <w:spacing w:after="240"/>
        <w:jc w:val="both"/>
        <w:rPr>
          <w:rFonts w:ascii="Times New Roman" w:hAnsi="Times New Roman" w:cs="Times New Roman"/>
        </w:rPr>
      </w:pPr>
      <w:r w:rsidRPr="00F53EF8">
        <w:rPr>
          <w:rFonts w:ascii="Times New Roman" w:hAnsi="Times New Roman" w:cs="Times New Roman"/>
        </w:rPr>
        <w:t>Studies on health system resilience emphasized the points of weaknesses and a</w:t>
      </w:r>
      <w:r w:rsidRPr="00F53EF8">
        <w:rPr>
          <w:rFonts w:ascii="Times New Roman" w:hAnsi="Times New Roman" w:cs="Times New Roman"/>
        </w:rPr>
        <w:t>daptive capabilities exhibited during COVID-19. Zhong et al. (2024) have reported that the resilience of healthcare facilities that previously invested in emergency preparedness was higher, as they were able to continue providing services during surge peri</w:t>
      </w:r>
      <w:r w:rsidRPr="00F53EF8">
        <w:rPr>
          <w:rFonts w:ascii="Times New Roman" w:hAnsi="Times New Roman" w:cs="Times New Roman"/>
        </w:rPr>
        <w:t>ods. Nevertheless, National Academies of Sciences, Engineering, and Medicine (2025a) reported massive upheaval in normal care and mental health services, which depicts vulnerability in healthcare delivery systems.</w:t>
      </w:r>
    </w:p>
    <w:p w14:paraId="787FDC2C" w14:textId="77777777" w:rsidR="00C96183" w:rsidRPr="00F53EF8" w:rsidRDefault="00BA2E0F">
      <w:pPr>
        <w:spacing w:after="240"/>
        <w:jc w:val="both"/>
        <w:rPr>
          <w:rFonts w:ascii="Times New Roman" w:hAnsi="Times New Roman" w:cs="Times New Roman"/>
        </w:rPr>
      </w:pPr>
      <w:r w:rsidRPr="00F53EF8">
        <w:rPr>
          <w:rFonts w:ascii="Times New Roman" w:hAnsi="Times New Roman" w:cs="Times New Roman"/>
        </w:rPr>
        <w:t xml:space="preserve">Theories of health system resiliency were </w:t>
      </w:r>
      <w:r w:rsidRPr="00F53EF8">
        <w:rPr>
          <w:rFonts w:ascii="Times New Roman" w:hAnsi="Times New Roman" w:cs="Times New Roman"/>
        </w:rPr>
        <w:t xml:space="preserve">developed during the pandemic. Kruk et al. (2023) suggested definitions of equity, trust, and adaptive capacity in addition to traditional indicators of surge capacity. El-Jardali et al. (2025) have created assessed assessment instruments to determine the </w:t>
      </w:r>
      <w:r w:rsidRPr="00F53EF8">
        <w:rPr>
          <w:rFonts w:ascii="Times New Roman" w:hAnsi="Times New Roman" w:cs="Times New Roman"/>
        </w:rPr>
        <w:t>resilience in the areas of governance, resources, service delivery, and recovery.</w:t>
      </w:r>
    </w:p>
    <w:p w14:paraId="5C2E6FCE" w14:textId="77777777" w:rsidR="00C96183" w:rsidRPr="00F53EF8" w:rsidRDefault="00BA2E0F">
      <w:pPr>
        <w:spacing w:after="240"/>
        <w:jc w:val="both"/>
        <w:rPr>
          <w:rFonts w:ascii="Times New Roman" w:hAnsi="Times New Roman" w:cs="Times New Roman"/>
        </w:rPr>
      </w:pPr>
      <w:r w:rsidRPr="00F53EF8">
        <w:rPr>
          <w:rFonts w:ascii="Times New Roman" w:hAnsi="Times New Roman" w:cs="Times New Roman"/>
        </w:rPr>
        <w:lastRenderedPageBreak/>
        <w:t>International comparisons gave an idea of factors that can make the country resilient. Tille et al. (2023) found that the ability to adapt governance, surge capacity of resou</w:t>
      </w:r>
      <w:r w:rsidRPr="00F53EF8">
        <w:rPr>
          <w:rFonts w:ascii="Times New Roman" w:hAnsi="Times New Roman" w:cs="Times New Roman"/>
        </w:rPr>
        <w:t>rces, and labor flexibility were major factors that measure resilience in health systems. Best practices identified by Radford et al. (2024) in the European countries such as integrated surveillance system and healthcare coalition models were highlighted.</w:t>
      </w:r>
    </w:p>
    <w:p w14:paraId="7C841A5C" w14:textId="77777777" w:rsidR="00C96183" w:rsidRPr="00F53EF8" w:rsidRDefault="00C96183">
      <w:pPr>
        <w:spacing w:after="240"/>
        <w:jc w:val="both"/>
        <w:rPr>
          <w:rFonts w:ascii="Times New Roman" w:hAnsi="Times New Roman" w:cs="Times New Roman"/>
        </w:rPr>
      </w:pPr>
    </w:p>
    <w:p w14:paraId="72F4242B" w14:textId="77777777" w:rsidR="00C96183" w:rsidRPr="00F53EF8" w:rsidRDefault="00C96183">
      <w:pPr>
        <w:spacing w:after="240"/>
        <w:jc w:val="both"/>
        <w:rPr>
          <w:rFonts w:ascii="Times New Roman" w:hAnsi="Times New Roman" w:cs="Times New Roman"/>
        </w:rPr>
      </w:pPr>
    </w:p>
    <w:p w14:paraId="1B1C836E" w14:textId="77777777" w:rsidR="00C96183" w:rsidRPr="00F53EF8" w:rsidRDefault="00BA2E0F">
      <w:pPr>
        <w:spacing w:after="240"/>
        <w:jc w:val="both"/>
        <w:rPr>
          <w:rFonts w:ascii="Times New Roman" w:hAnsi="Times New Roman" w:cs="Times New Roman"/>
          <w:b/>
          <w:bCs/>
        </w:rPr>
      </w:pPr>
      <w:r w:rsidRPr="00F53EF8">
        <w:rPr>
          <w:rFonts w:ascii="Times New Roman" w:hAnsi="Times New Roman" w:cs="Times New Roman"/>
          <w:b/>
          <w:bCs/>
        </w:rPr>
        <w:t>3.3.4 Lessons Learned from COVID-19</w:t>
      </w:r>
    </w:p>
    <w:p w14:paraId="2FEAC58A" w14:textId="77777777" w:rsidR="00C96183" w:rsidRPr="00F53EF8" w:rsidRDefault="00BA2E0F">
      <w:pPr>
        <w:spacing w:after="240"/>
        <w:jc w:val="both"/>
        <w:rPr>
          <w:rFonts w:ascii="Times New Roman" w:hAnsi="Times New Roman" w:cs="Times New Roman"/>
        </w:rPr>
      </w:pPr>
      <w:r w:rsidRPr="00F53EF8">
        <w:rPr>
          <w:rFonts w:ascii="Times New Roman" w:hAnsi="Times New Roman" w:cs="Times New Roman"/>
        </w:rPr>
        <w:t>The pandemic has spawned a large body of literature about lessons learnt. After-action reviews by the U.S. House Committee on Oversight and Accountability (2024) and National Academies of Sciences, Engineering, and Med</w:t>
      </w:r>
      <w:r w:rsidRPr="00F53EF8">
        <w:rPr>
          <w:rFonts w:ascii="Times New Roman" w:hAnsi="Times New Roman" w:cs="Times New Roman"/>
        </w:rPr>
        <w:t>icine (2025b) that highlighted systemic flaws in coordinating, communicating, data infrastructure, and resource allocation.</w:t>
      </w:r>
    </w:p>
    <w:p w14:paraId="5CA909E9" w14:textId="77777777" w:rsidR="00C96183" w:rsidRPr="00F53EF8" w:rsidRDefault="00BA2E0F">
      <w:pPr>
        <w:spacing w:after="240"/>
        <w:jc w:val="both"/>
        <w:rPr>
          <w:rFonts w:ascii="Times New Roman" w:hAnsi="Times New Roman" w:cs="Times New Roman"/>
        </w:rPr>
      </w:pPr>
      <w:r w:rsidRPr="00F53EF8">
        <w:rPr>
          <w:rFonts w:ascii="Times New Roman" w:hAnsi="Times New Roman" w:cs="Times New Roman"/>
        </w:rPr>
        <w:t>Several studies brought out healthcare-specific lessons. According to Jeong et al. (2024), primary care modifications that were capt</w:t>
      </w:r>
      <w:r w:rsidRPr="00F53EF8">
        <w:rPr>
          <w:rFonts w:ascii="Times New Roman" w:hAnsi="Times New Roman" w:cs="Times New Roman"/>
        </w:rPr>
        <w:t>ured in the study comprised expansion of telehealth and flexible staffing schemes that promoted resilience. Cylus et al. (2022) compiled preliminary lessons, such as the focus on surge capacity, diversification of supply chains, collaboration with the gove</w:t>
      </w:r>
      <w:r w:rsidRPr="00F53EF8">
        <w:rPr>
          <w:rFonts w:ascii="Times New Roman" w:hAnsi="Times New Roman" w:cs="Times New Roman"/>
        </w:rPr>
        <w:t>rnment and corporations, and open communication.</w:t>
      </w:r>
    </w:p>
    <w:p w14:paraId="5BEE141F" w14:textId="77777777" w:rsidR="00C96183" w:rsidRPr="00F53EF8" w:rsidRDefault="00BA2E0F">
      <w:pPr>
        <w:spacing w:after="240"/>
        <w:jc w:val="both"/>
        <w:rPr>
          <w:rFonts w:ascii="Times New Roman" w:hAnsi="Times New Roman" w:cs="Times New Roman"/>
        </w:rPr>
      </w:pPr>
      <w:r w:rsidRPr="00F53EF8">
        <w:rPr>
          <w:rFonts w:ascii="Times New Roman" w:hAnsi="Times New Roman" w:cs="Times New Roman"/>
        </w:rPr>
        <w:t>Some of the sources stressed that the pandemic preparedness should focus on health equity concerns, with COVID-19 overburdening the disadvantaged groups, revealing and intensifying already existing health in</w:t>
      </w:r>
      <w:r w:rsidRPr="00F53EF8">
        <w:rPr>
          <w:rFonts w:ascii="Times New Roman" w:hAnsi="Times New Roman" w:cs="Times New Roman"/>
        </w:rPr>
        <w:t>equalities (Trust for America's Health, 2024; Centers for Disease Control and Prevention, 2024d).</w:t>
      </w:r>
    </w:p>
    <w:p w14:paraId="5786D95A" w14:textId="77777777" w:rsidR="00C96183" w:rsidRPr="00F53EF8" w:rsidRDefault="00BA2E0F">
      <w:pPr>
        <w:pStyle w:val="Heading3"/>
        <w:jc w:val="both"/>
        <w:rPr>
          <w:rFonts w:ascii="Times New Roman" w:hAnsi="Times New Roman" w:cs="Times New Roman"/>
        </w:rPr>
      </w:pPr>
      <w:r w:rsidRPr="00F53EF8">
        <w:rPr>
          <w:rFonts w:ascii="Times New Roman" w:hAnsi="Times New Roman" w:cs="Times New Roman"/>
        </w:rPr>
        <w:t>3.3.5 Public Health Workforce and Infrastructure</w:t>
      </w:r>
    </w:p>
    <w:p w14:paraId="6B4D47B4" w14:textId="77777777" w:rsidR="00C96183" w:rsidRPr="00F53EF8" w:rsidRDefault="00BA2E0F">
      <w:pPr>
        <w:spacing w:after="240"/>
        <w:jc w:val="both"/>
        <w:rPr>
          <w:rFonts w:ascii="Times New Roman" w:hAnsi="Times New Roman" w:cs="Times New Roman"/>
        </w:rPr>
      </w:pPr>
      <w:r w:rsidRPr="00F53EF8">
        <w:rPr>
          <w:rFonts w:ascii="Times New Roman" w:hAnsi="Times New Roman" w:cs="Times New Roman"/>
        </w:rPr>
        <w:t xml:space="preserve">Pandemic preparedness and response also turned out to have workforce capacity as a key limiting factor. In a </w:t>
      </w:r>
      <w:r w:rsidRPr="00F53EF8">
        <w:rPr>
          <w:rFonts w:ascii="Times New Roman" w:hAnsi="Times New Roman" w:cs="Times New Roman"/>
        </w:rPr>
        <w:t xml:space="preserve">report published by the U.S. Government Accountability Office (2023), the problems of chronic workforce shortages in state and local health departments were recorded, aggravated by the burnout and attrition during the pandemic. Centers for Disease Control </w:t>
      </w:r>
      <w:r w:rsidRPr="00F53EF8">
        <w:rPr>
          <w:rFonts w:ascii="Times New Roman" w:hAnsi="Times New Roman" w:cs="Times New Roman"/>
        </w:rPr>
        <w:t>and Prevention (2024a) highlighted the necessity of the sustainable workforce development plans which encompassed the recruitment, training and retention programs.</w:t>
      </w:r>
    </w:p>
    <w:p w14:paraId="0EC4C7D1" w14:textId="77777777" w:rsidR="00C96183" w:rsidRPr="00F53EF8" w:rsidRDefault="00BA2E0F">
      <w:pPr>
        <w:spacing w:after="240"/>
        <w:jc w:val="both"/>
        <w:rPr>
          <w:rFonts w:ascii="Times New Roman" w:hAnsi="Times New Roman" w:cs="Times New Roman"/>
        </w:rPr>
      </w:pPr>
      <w:r w:rsidRPr="00F53EF8">
        <w:rPr>
          <w:rFonts w:ascii="Times New Roman" w:hAnsi="Times New Roman" w:cs="Times New Roman"/>
        </w:rPr>
        <w:t>The issue of infrastructure became more than merely a problem with human resource to include</w:t>
      </w:r>
      <w:r w:rsidRPr="00F53EF8">
        <w:rPr>
          <w:rFonts w:ascii="Times New Roman" w:hAnsi="Times New Roman" w:cs="Times New Roman"/>
        </w:rPr>
        <w:t xml:space="preserve"> the use of outdated data systems, insufficient laboratory capacity, and a lack of interoperability between the information systems (U.S. Government Accountability Office, 2023). Through its next-generation preparedness framework, the Centers for Disease C</w:t>
      </w:r>
      <w:r w:rsidRPr="00F53EF8">
        <w:rPr>
          <w:rFonts w:ascii="Times New Roman" w:hAnsi="Times New Roman" w:cs="Times New Roman"/>
        </w:rPr>
        <w:t>ontrol and Prevention (2024d) suggested modernization initiatives that can be used to address these infrastructure gaps.</w:t>
      </w:r>
    </w:p>
    <w:p w14:paraId="2E32677B" w14:textId="77777777" w:rsidR="00C96183" w:rsidRPr="00F53EF8" w:rsidRDefault="00BA2E0F">
      <w:pPr>
        <w:spacing w:after="240"/>
        <w:jc w:val="both"/>
        <w:rPr>
          <w:rFonts w:ascii="Times New Roman" w:hAnsi="Times New Roman" w:cs="Times New Roman"/>
        </w:rPr>
      </w:pPr>
      <w:r w:rsidRPr="00F53EF8">
        <w:rPr>
          <w:rFonts w:ascii="Times New Roman" w:hAnsi="Times New Roman" w:cs="Times New Roman"/>
        </w:rPr>
        <w:t>New methods of capacity development were such projects as citizen science, which involved communities in surveillance and response effo</w:t>
      </w:r>
      <w:r w:rsidRPr="00F53EF8">
        <w:rPr>
          <w:rFonts w:ascii="Times New Roman" w:hAnsi="Times New Roman" w:cs="Times New Roman"/>
        </w:rPr>
        <w:t>rts (Kaye et al., 2023), and the Project Public Health Ready program of the National Association of County and City Health Officials that assisted in preparing local health departments to respond.</w:t>
      </w:r>
    </w:p>
    <w:p w14:paraId="5EB8A942" w14:textId="77777777" w:rsidR="00C96183" w:rsidRPr="00F53EF8" w:rsidRDefault="00BA2E0F">
      <w:pPr>
        <w:spacing w:after="240"/>
        <w:jc w:val="both"/>
        <w:rPr>
          <w:rFonts w:ascii="Times New Roman" w:hAnsi="Times New Roman" w:cs="Times New Roman"/>
          <w:b/>
          <w:bCs/>
        </w:rPr>
      </w:pPr>
      <w:r w:rsidRPr="00F53EF8">
        <w:rPr>
          <w:rFonts w:ascii="Times New Roman" w:hAnsi="Times New Roman" w:cs="Times New Roman"/>
          <w:b/>
          <w:bCs/>
        </w:rPr>
        <w:lastRenderedPageBreak/>
        <w:t>3.3.6 Early Detection and Biosurveillance.</w:t>
      </w:r>
    </w:p>
    <w:p w14:paraId="6D421F11" w14:textId="77777777" w:rsidR="00C96183" w:rsidRPr="00F53EF8" w:rsidRDefault="00BA2E0F">
      <w:pPr>
        <w:spacing w:after="240"/>
        <w:jc w:val="both"/>
        <w:rPr>
          <w:rFonts w:ascii="Times New Roman" w:hAnsi="Times New Roman" w:cs="Times New Roman"/>
        </w:rPr>
      </w:pPr>
      <w:r w:rsidRPr="00F53EF8">
        <w:rPr>
          <w:rFonts w:ascii="Times New Roman" w:hAnsi="Times New Roman" w:cs="Times New Roman"/>
        </w:rPr>
        <w:t>Improved surveil</w:t>
      </w:r>
      <w:r w:rsidRPr="00F53EF8">
        <w:rPr>
          <w:rFonts w:ascii="Times New Roman" w:hAnsi="Times New Roman" w:cs="Times New Roman"/>
        </w:rPr>
        <w:t>lance skills were always found to be vital parts of pandemic preparedness. Strong surveillance is one of the pillars of the national approach that the Centers for Disease Control and Prevention (2024b) has integrated. Several sources suggested integrated s</w:t>
      </w:r>
      <w:r w:rsidRPr="00F53EF8">
        <w:rPr>
          <w:rFonts w:ascii="Times New Roman" w:hAnsi="Times New Roman" w:cs="Times New Roman"/>
        </w:rPr>
        <w:t>urveillance systems with human, animal, and environmental health-related data that align with One Health solutions ( Contagion Live, 2025; World Health Organization, 2023).</w:t>
      </w:r>
    </w:p>
    <w:p w14:paraId="1CAEC411" w14:textId="77777777" w:rsidR="00C96183" w:rsidRPr="00F53EF8" w:rsidRDefault="00BA2E0F">
      <w:pPr>
        <w:spacing w:after="240"/>
        <w:jc w:val="both"/>
        <w:rPr>
          <w:rFonts w:ascii="Times New Roman" w:hAnsi="Times New Roman" w:cs="Times New Roman"/>
        </w:rPr>
      </w:pPr>
      <w:r w:rsidRPr="00F53EF8">
        <w:rPr>
          <w:rFonts w:ascii="Times New Roman" w:hAnsi="Times New Roman" w:cs="Times New Roman"/>
        </w:rPr>
        <w:t>New biosurveillance technologies were provided as a result of technology developmen</w:t>
      </w:r>
      <w:r w:rsidRPr="00F53EF8">
        <w:rPr>
          <w:rFonts w:ascii="Times New Roman" w:hAnsi="Times New Roman" w:cs="Times New Roman"/>
        </w:rPr>
        <w:t>ts. The emerging technologies examined by RAND Corporation (2024) are wastewater surveillance, syndromic surveillance networks, and threat detection with the help of artificial intelligence. Tan et al. (2024) studied the possibilities of digital health tec</w:t>
      </w:r>
      <w:r w:rsidRPr="00F53EF8">
        <w:rPr>
          <w:rFonts w:ascii="Times New Roman" w:hAnsi="Times New Roman" w:cs="Times New Roman"/>
        </w:rPr>
        <w:t>hnologies in real-time surveillance and sharing information.</w:t>
      </w:r>
    </w:p>
    <w:p w14:paraId="77A4816F" w14:textId="77777777" w:rsidR="00C96183" w:rsidRPr="00F53EF8" w:rsidRDefault="00BA2E0F">
      <w:pPr>
        <w:spacing w:after="240"/>
        <w:jc w:val="both"/>
        <w:rPr>
          <w:rFonts w:ascii="Times New Roman" w:hAnsi="Times New Roman" w:cs="Times New Roman"/>
        </w:rPr>
      </w:pPr>
      <w:r w:rsidRPr="00F53EF8">
        <w:rPr>
          <w:rFonts w:ascii="Times New Roman" w:hAnsi="Times New Roman" w:cs="Times New Roman"/>
        </w:rPr>
        <w:t>Investments in the biosurveillance by the Department of Defense also attracted policy analysts. Creppage et al. (2024) had documented the contributions within the Global Emerging Infections Surve</w:t>
      </w:r>
      <w:r w:rsidRPr="00F53EF8">
        <w:rPr>
          <w:rFonts w:ascii="Times New Roman" w:hAnsi="Times New Roman" w:cs="Times New Roman"/>
        </w:rPr>
        <w:t>illance program, the Center of Strategic and International Studies (2024) advocated faster investment in genomic sequencing and pathogen detection capabilities, and the Institute of Progress (2023) did the same.</w:t>
      </w:r>
    </w:p>
    <w:p w14:paraId="7D06878A" w14:textId="77777777" w:rsidR="00C96183" w:rsidRPr="00F53EF8" w:rsidRDefault="00BA2E0F">
      <w:pPr>
        <w:spacing w:after="240"/>
        <w:jc w:val="both"/>
        <w:rPr>
          <w:rFonts w:ascii="Times New Roman" w:hAnsi="Times New Roman" w:cs="Times New Roman"/>
        </w:rPr>
      </w:pPr>
      <w:r w:rsidRPr="00F53EF8">
        <w:rPr>
          <w:rFonts w:ascii="Times New Roman" w:hAnsi="Times New Roman" w:cs="Times New Roman"/>
        </w:rPr>
        <w:t>The examples of practical implementation pro</w:t>
      </w:r>
      <w:r w:rsidRPr="00F53EF8">
        <w:rPr>
          <w:rFonts w:ascii="Times New Roman" w:hAnsi="Times New Roman" w:cs="Times New Roman"/>
        </w:rPr>
        <w:t>ved feasibility of advanced surveillance. Waller et al. (2010) provided an account of the successful application of emergency department data to syndrome surveillance in North Carolina, whereas Buehler et al. (2017) identified the requirements of an effect</w:t>
      </w:r>
      <w:r w:rsidRPr="00F53EF8">
        <w:rPr>
          <w:rFonts w:ascii="Times New Roman" w:hAnsi="Times New Roman" w:cs="Times New Roman"/>
        </w:rPr>
        <w:t>ive biosurveillance system that can provide real-time situational awareness.</w:t>
      </w:r>
    </w:p>
    <w:p w14:paraId="7E8AC206" w14:textId="77777777" w:rsidR="00C96183" w:rsidRPr="00F53EF8" w:rsidRDefault="00C96183">
      <w:pPr>
        <w:spacing w:after="240"/>
        <w:jc w:val="both"/>
        <w:rPr>
          <w:rFonts w:ascii="Times New Roman" w:hAnsi="Times New Roman" w:cs="Times New Roman"/>
        </w:rPr>
      </w:pPr>
    </w:p>
    <w:p w14:paraId="2C425AFD" w14:textId="77777777" w:rsidR="00C96183" w:rsidRPr="00F53EF8" w:rsidRDefault="00BA2E0F">
      <w:pPr>
        <w:pStyle w:val="Heading3"/>
        <w:jc w:val="both"/>
        <w:rPr>
          <w:rFonts w:ascii="Times New Roman" w:hAnsi="Times New Roman" w:cs="Times New Roman"/>
        </w:rPr>
      </w:pPr>
      <w:r w:rsidRPr="00F53EF8">
        <w:rPr>
          <w:rFonts w:ascii="Times New Roman" w:hAnsi="Times New Roman" w:cs="Times New Roman"/>
        </w:rPr>
        <w:t>3.3.7 Healthcare System Readiness and Supply Chain Resilience</w:t>
      </w:r>
    </w:p>
    <w:p w14:paraId="08A96AAA"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rPr>
        <w:t xml:space="preserve">Facility preparedness included the ability of a healthcare facility in terms of infection control units, surge </w:t>
      </w:r>
      <w:r w:rsidRPr="00F53EF8">
        <w:rPr>
          <w:rFonts w:ascii="Times New Roman" w:hAnsi="Times New Roman" w:cs="Times New Roman"/>
        </w:rPr>
        <w:t>capacity planning, and staff safety measures. The Centers for Disease Control and Prevention (2024e) offered detailed instructions to cover these areas. Nonetheless, National Academies of Sciences, Engineering, and Medicine (2022) reported severe weaknesse</w:t>
      </w:r>
      <w:r w:rsidRPr="00F53EF8">
        <w:rPr>
          <w:rFonts w:ascii="Times New Roman" w:hAnsi="Times New Roman" w:cs="Times New Roman"/>
        </w:rPr>
        <w:t>s of the medical product supply chain that the pandemic revealed.</w:t>
      </w:r>
    </w:p>
    <w:p w14:paraId="666DAB8F"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rPr>
        <w:t>The resilience of supply chains became one of the priority areas in which domestic manufacturing power, strategic inventory, and tracking systems were needed (National Academies of Sciences,</w:t>
      </w:r>
      <w:r w:rsidRPr="00F53EF8">
        <w:rPr>
          <w:rFonts w:ascii="Times New Roman" w:hAnsi="Times New Roman" w:cs="Times New Roman"/>
        </w:rPr>
        <w:t xml:space="preserve"> Engineering, and Medicine, 2022). Spieske et al. (2022) analyzed the experience of Europe with supply chain problems and discovered such lessons as diversification, transparency, and collaboration, which can be applied to the U.S. setting.</w:t>
      </w:r>
    </w:p>
    <w:p w14:paraId="185B88CF"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rPr>
        <w:t xml:space="preserve">There was also </w:t>
      </w:r>
      <w:r w:rsidRPr="00F53EF8">
        <w:rPr>
          <w:rFonts w:ascii="Times New Roman" w:hAnsi="Times New Roman" w:cs="Times New Roman"/>
        </w:rPr>
        <w:t>an impact of public perception and trust on the effectiveness of the healthcare system within emergencies. Yildirim et al. (2025) established links among populace image of preparedness, service quality and trust in health organizations. Pisaneschi et al. (</w:t>
      </w:r>
      <w:r w:rsidRPr="00F53EF8">
        <w:rPr>
          <w:rFonts w:ascii="Times New Roman" w:hAnsi="Times New Roman" w:cs="Times New Roman"/>
        </w:rPr>
        <w:t>2024) examined the factors that influence the compliance of the population with the protection measures, which can be applied to communication strategies and compliance.</w:t>
      </w:r>
    </w:p>
    <w:p w14:paraId="0A9C2A58" w14:textId="77777777" w:rsidR="00C96183" w:rsidRPr="00F53EF8" w:rsidRDefault="00C96183">
      <w:pPr>
        <w:spacing w:after="120"/>
        <w:jc w:val="both"/>
        <w:rPr>
          <w:rFonts w:ascii="Times New Roman" w:hAnsi="Times New Roman" w:cs="Times New Roman"/>
        </w:rPr>
      </w:pPr>
    </w:p>
    <w:p w14:paraId="24112DD7" w14:textId="77777777" w:rsidR="00C96183" w:rsidRPr="00F53EF8" w:rsidRDefault="00C96183">
      <w:pPr>
        <w:spacing w:after="120"/>
        <w:jc w:val="both"/>
        <w:rPr>
          <w:rFonts w:ascii="Times New Roman" w:hAnsi="Times New Roman" w:cs="Times New Roman"/>
        </w:rPr>
      </w:pPr>
    </w:p>
    <w:p w14:paraId="4218499A" w14:textId="77777777" w:rsidR="00C96183" w:rsidRPr="00F53EF8" w:rsidRDefault="00BA2E0F">
      <w:pPr>
        <w:spacing w:after="120"/>
        <w:jc w:val="both"/>
        <w:rPr>
          <w:rFonts w:ascii="Times New Roman" w:hAnsi="Times New Roman" w:cs="Times New Roman"/>
          <w:b/>
          <w:bCs/>
        </w:rPr>
      </w:pPr>
      <w:r w:rsidRPr="00F53EF8">
        <w:rPr>
          <w:rFonts w:ascii="Times New Roman" w:hAnsi="Times New Roman" w:cs="Times New Roman"/>
          <w:b/>
          <w:bCs/>
        </w:rPr>
        <w:lastRenderedPageBreak/>
        <w:t>4. Discussion</w:t>
      </w:r>
    </w:p>
    <w:p w14:paraId="38CC7123" w14:textId="77777777" w:rsidR="00C96183" w:rsidRPr="00F53EF8" w:rsidRDefault="00BA2E0F">
      <w:pPr>
        <w:spacing w:after="120"/>
        <w:jc w:val="both"/>
        <w:rPr>
          <w:rFonts w:ascii="Times New Roman" w:hAnsi="Times New Roman" w:cs="Times New Roman"/>
          <w:b/>
          <w:bCs/>
        </w:rPr>
      </w:pPr>
      <w:r w:rsidRPr="00F53EF8">
        <w:rPr>
          <w:rFonts w:ascii="Times New Roman" w:hAnsi="Times New Roman" w:cs="Times New Roman"/>
          <w:b/>
          <w:bCs/>
        </w:rPr>
        <w:t>4.1 Synthesis of Key Findings</w:t>
      </w:r>
    </w:p>
    <w:p w14:paraId="161D1D8A"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rPr>
        <w:t>This 50-source scoping review of literat</w:t>
      </w:r>
      <w:r w:rsidRPr="00F53EF8">
        <w:rPr>
          <w:rFonts w:ascii="Times New Roman" w:hAnsi="Times New Roman" w:cs="Times New Roman"/>
        </w:rPr>
        <w:t>ure published since 2022 demonstrates that the picture of pandemic preparedness and response systems in the United States is complex and has undergone substantial advancement in highlighting the areas of weaknesses and inadequate structural aspects that re</w:t>
      </w:r>
      <w:r w:rsidRPr="00F53EF8">
        <w:rPr>
          <w:rFonts w:ascii="Times New Roman" w:hAnsi="Times New Roman" w:cs="Times New Roman"/>
        </w:rPr>
        <w:t>quire both short-term focus and long-term investment.</w:t>
      </w:r>
    </w:p>
    <w:p w14:paraId="7602F818"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b/>
          <w:bCs/>
        </w:rPr>
        <w:t>Governance and Coordination:</w:t>
      </w:r>
      <w:r w:rsidRPr="00F53EF8">
        <w:rPr>
          <w:rFonts w:ascii="Times New Roman" w:hAnsi="Times New Roman" w:cs="Times New Roman"/>
        </w:rPr>
        <w:t xml:space="preserve"> There were obvious themes on the significance of coordinated structures of governance. Institutional acknowledgment of coordination failures that were recorded throughout th</w:t>
      </w:r>
      <w:r w:rsidRPr="00F53EF8">
        <w:rPr>
          <w:rFonts w:ascii="Times New Roman" w:hAnsi="Times New Roman" w:cs="Times New Roman"/>
        </w:rPr>
        <w:t xml:space="preserve">e COVID-19 infectious disease came with the White House Office of Pandemic Preparedness and Response Policy (The White House, 2024). Nevertheless, the inherent problem of interagency communication at the federal, states, and local level in the U.S. system </w:t>
      </w:r>
      <w:r w:rsidRPr="00F53EF8">
        <w:rPr>
          <w:rFonts w:ascii="Times New Roman" w:hAnsi="Times New Roman" w:cs="Times New Roman"/>
        </w:rPr>
        <w:t>of federalism is still present, especially since state-level capacity and resources differ (Trust for America’s Health, 2025).</w:t>
      </w:r>
    </w:p>
    <w:p w14:paraId="6AF49D10"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b/>
          <w:bCs/>
        </w:rPr>
        <w:t>Infrastructure and Capacity Gaps:</w:t>
      </w:r>
      <w:r w:rsidRPr="00F53EF8">
        <w:rPr>
          <w:rFonts w:ascii="Times New Roman" w:hAnsi="Times New Roman" w:cs="Times New Roman"/>
        </w:rPr>
        <w:t xml:space="preserve"> Infrastructure gaps continue to exist even though preparedness needs are becoming more aware. T</w:t>
      </w:r>
      <w:r w:rsidRPr="00F53EF8">
        <w:rPr>
          <w:rFonts w:ascii="Times New Roman" w:hAnsi="Times New Roman" w:cs="Times New Roman"/>
        </w:rPr>
        <w:t>he U.S. Government Accountability Office (2023) reported continuing difficulties with outdated data systems, laboratory capacity, and workforce shortages, the problems that both existed before COVID-19 and were made worse by but not caused by the pandemic.</w:t>
      </w:r>
      <w:r w:rsidRPr="00F53EF8">
        <w:rPr>
          <w:rFonts w:ascii="Times New Roman" w:hAnsi="Times New Roman" w:cs="Times New Roman"/>
        </w:rPr>
        <w:t xml:space="preserve"> Preparedness funding has a cyclical factor in that after having invested in acute emergencies, the investment decreases, this is a concern on the sustainability of capacity-building endeavors.</w:t>
      </w:r>
    </w:p>
    <w:p w14:paraId="453A61D4"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b/>
          <w:bCs/>
        </w:rPr>
        <w:t xml:space="preserve">Health System Resilience: </w:t>
      </w:r>
      <w:r w:rsidRPr="00F53EF8">
        <w:rPr>
          <w:rFonts w:ascii="Times New Roman" w:hAnsi="Times New Roman" w:cs="Times New Roman"/>
        </w:rPr>
        <w:t xml:space="preserve">The studies continually showed that </w:t>
      </w:r>
      <w:r w:rsidRPr="00F53EF8">
        <w:rPr>
          <w:rFonts w:ascii="Times New Roman" w:hAnsi="Times New Roman" w:cs="Times New Roman"/>
        </w:rPr>
        <w:t>health systems that had previously invested in preparedness were more resilient during COVID-19 (Zhong et al., 2024), which supported the relevance of long-term preparedness efforts. Nevertheless, the broadening of the concept of resilience presented by Kr</w:t>
      </w:r>
      <w:r w:rsidRPr="00F53EF8">
        <w:rPr>
          <w:rFonts w:ascii="Times New Roman" w:hAnsi="Times New Roman" w:cs="Times New Roman"/>
        </w:rPr>
        <w:t>uk et al. (2023) to incorporate equity, trust, and adaptive capacity points out that technical preparedness is not enough unless social determinants of health and trust in the community are addressed.</w:t>
      </w:r>
    </w:p>
    <w:p w14:paraId="6BC7D4F5"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b/>
          <w:bCs/>
        </w:rPr>
        <w:t xml:space="preserve">Surveillance and Early Detection: </w:t>
      </w:r>
      <w:r w:rsidRPr="00F53EF8">
        <w:rPr>
          <w:rFonts w:ascii="Times New Roman" w:hAnsi="Times New Roman" w:cs="Times New Roman"/>
        </w:rPr>
        <w:t>The increased popular</w:t>
      </w:r>
      <w:r w:rsidRPr="00F53EF8">
        <w:rPr>
          <w:rFonts w:ascii="Times New Roman" w:hAnsi="Times New Roman" w:cs="Times New Roman"/>
        </w:rPr>
        <w:t>ity of biosurveillance in the latest literature is an indicator of the fact that early detection potential is one of the key needs in case of preventing small outbreaks in the form of widespread pandemics (Institute for Progress, 2023). Some of the promisi</w:t>
      </w:r>
      <w:r w:rsidRPr="00F53EF8">
        <w:rPr>
          <w:rFonts w:ascii="Times New Roman" w:hAnsi="Times New Roman" w:cs="Times New Roman"/>
        </w:rPr>
        <w:t>ng solutions are technological advancements such as wastewater surveillance, genomic sequencing, and artificial intelligence-based detection systems (RAND Corporation, 2024), but their realization needs infrastructure investments and trained individuals, w</w:t>
      </w:r>
      <w:r w:rsidRPr="00F53EF8">
        <w:rPr>
          <w:rFonts w:ascii="Times New Roman" w:hAnsi="Times New Roman" w:cs="Times New Roman"/>
        </w:rPr>
        <w:t>hich is not available in most jurisdictions.</w:t>
      </w:r>
    </w:p>
    <w:p w14:paraId="6C41BE20"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b/>
          <w:bCs/>
        </w:rPr>
        <w:t xml:space="preserve">Lessons Learned: </w:t>
      </w:r>
      <w:r w:rsidRPr="00F53EF8">
        <w:rPr>
          <w:rFonts w:ascii="Times New Roman" w:hAnsi="Times New Roman" w:cs="Times New Roman"/>
        </w:rPr>
        <w:t>In-depth after-action analysis (U.S. House Committee on Oversight and Accountability, 2024; National Academies of Sciences, Engineering, and Medicine, 2025b) produced a significant amount of doc</w:t>
      </w:r>
      <w:r w:rsidRPr="00F53EF8">
        <w:rPr>
          <w:rFonts w:ascii="Times New Roman" w:hAnsi="Times New Roman" w:cs="Times New Roman"/>
        </w:rPr>
        <w:t>umentation on the inadequacies of the pandemic response. The difficulty is now to translate these lessons into long term changes in policy and resource allocation and not to let institutional memory lapse as the acute crisis eclipses.</w:t>
      </w:r>
    </w:p>
    <w:p w14:paraId="3127CD08" w14:textId="77777777" w:rsidR="00C96183" w:rsidRPr="00F53EF8" w:rsidRDefault="00BA2E0F">
      <w:pPr>
        <w:spacing w:after="120"/>
        <w:jc w:val="both"/>
        <w:rPr>
          <w:rFonts w:ascii="Times New Roman" w:hAnsi="Times New Roman" w:cs="Times New Roman"/>
          <w:b/>
          <w:bCs/>
        </w:rPr>
      </w:pPr>
      <w:r w:rsidRPr="00F53EF8">
        <w:rPr>
          <w:rFonts w:ascii="Times New Roman" w:hAnsi="Times New Roman" w:cs="Times New Roman"/>
          <w:b/>
          <w:bCs/>
        </w:rPr>
        <w:t>4.2 Policy and Practi</w:t>
      </w:r>
      <w:r w:rsidRPr="00F53EF8">
        <w:rPr>
          <w:rFonts w:ascii="Times New Roman" w:hAnsi="Times New Roman" w:cs="Times New Roman"/>
          <w:b/>
          <w:bCs/>
        </w:rPr>
        <w:t>ce Implications.</w:t>
      </w:r>
    </w:p>
    <w:p w14:paraId="5EF18C0A"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rPr>
        <w:t>This review has several implications to improve pandemic preparedness and the resilience of the population in terms of health:</w:t>
      </w:r>
    </w:p>
    <w:p w14:paraId="73963731"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b/>
          <w:bCs/>
        </w:rPr>
        <w:lastRenderedPageBreak/>
        <w:t xml:space="preserve">Sustained Funding Mechanisms: </w:t>
      </w:r>
      <w:r w:rsidRPr="00F53EF8">
        <w:rPr>
          <w:rFonts w:ascii="Times New Roman" w:hAnsi="Times New Roman" w:cs="Times New Roman"/>
        </w:rPr>
        <w:t>Cyclical emergency funding, followed by disinvestment needs to be solved with spec</w:t>
      </w:r>
      <w:r w:rsidRPr="00F53EF8">
        <w:rPr>
          <w:rFonts w:ascii="Times New Roman" w:hAnsi="Times New Roman" w:cs="Times New Roman"/>
        </w:rPr>
        <w:t>ific, sustained funding streams on public health infrastructure, workforce development, and preparedness planning (U.S. Government Accountability Office, 2023).</w:t>
      </w:r>
    </w:p>
    <w:p w14:paraId="64D051A7"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b/>
          <w:bCs/>
        </w:rPr>
        <w:t>Workforce Development:</w:t>
      </w:r>
      <w:r w:rsidRPr="00F53EF8">
        <w:rPr>
          <w:rFonts w:ascii="Times New Roman" w:hAnsi="Times New Roman" w:cs="Times New Roman"/>
        </w:rPr>
        <w:t xml:space="preserve"> Workforce plans that include the recruitment, training, and retention of workers and surge capacity plans are needed due to reported inadequate workforce and attrition caused by the pandemic (Centers for Disease Control and Prevention, 2024a).</w:t>
      </w:r>
    </w:p>
    <w:p w14:paraId="26D96171"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b/>
          <w:bCs/>
        </w:rPr>
        <w:t>Data Modern</w:t>
      </w:r>
      <w:r w:rsidRPr="00F53EF8">
        <w:rPr>
          <w:rFonts w:ascii="Times New Roman" w:hAnsi="Times New Roman" w:cs="Times New Roman"/>
          <w:b/>
          <w:bCs/>
        </w:rPr>
        <w:t>ization:</w:t>
      </w:r>
      <w:r w:rsidRPr="00F53EF8">
        <w:rPr>
          <w:rFonts w:ascii="Times New Roman" w:hAnsi="Times New Roman" w:cs="Times New Roman"/>
        </w:rPr>
        <w:t xml:space="preserve"> Interoperable data systems that allow real-time information exchange between jurisdictions and sectors are critical infrastructures that should be heavily funded (Centers for Disease Control and Prevention, 2024d).</w:t>
      </w:r>
    </w:p>
    <w:p w14:paraId="7C7BE37F"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b/>
          <w:bCs/>
        </w:rPr>
        <w:t xml:space="preserve">Supply Chain Resilience: </w:t>
      </w:r>
      <w:r w:rsidRPr="00F53EF8">
        <w:rPr>
          <w:rFonts w:ascii="Times New Roman" w:hAnsi="Times New Roman" w:cs="Times New Roman"/>
        </w:rPr>
        <w:t>To avoi</w:t>
      </w:r>
      <w:r w:rsidRPr="00F53EF8">
        <w:rPr>
          <w:rFonts w:ascii="Times New Roman" w:hAnsi="Times New Roman" w:cs="Times New Roman"/>
        </w:rPr>
        <w:t xml:space="preserve">d shortages that have been witnessed during COVID-19, diversified supply chains, domestic production of important medical supplies and strategic stock levels with rotation mechanisms should be put in place (National Academies of Sciences, Engineering, and </w:t>
      </w:r>
      <w:r w:rsidRPr="00F53EF8">
        <w:rPr>
          <w:rFonts w:ascii="Times New Roman" w:hAnsi="Times New Roman" w:cs="Times New Roman"/>
        </w:rPr>
        <w:t>Medicine, 2022).</w:t>
      </w:r>
    </w:p>
    <w:p w14:paraId="37D368DD"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b/>
          <w:bCs/>
        </w:rPr>
        <w:t>Equity Integration:</w:t>
      </w:r>
      <w:r w:rsidRPr="00F53EF8">
        <w:rPr>
          <w:rFonts w:ascii="Times New Roman" w:hAnsi="Times New Roman" w:cs="Times New Roman"/>
        </w:rPr>
        <w:t xml:space="preserve"> Preparedness planning should directly respond to health equity, and vulnerable groups should not be especially affected by future pandemics due to outreach and culturally sensitive communication and resource allocation </w:t>
      </w:r>
      <w:r w:rsidRPr="00F53EF8">
        <w:rPr>
          <w:rFonts w:ascii="Times New Roman" w:hAnsi="Times New Roman" w:cs="Times New Roman"/>
        </w:rPr>
        <w:t>(Trust for America's Health, 2024).</w:t>
      </w:r>
    </w:p>
    <w:p w14:paraId="446AA526"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b/>
          <w:bCs/>
        </w:rPr>
        <w:t>Coordination Mechanisms:</w:t>
      </w:r>
      <w:r w:rsidRPr="00F53EF8">
        <w:rPr>
          <w:rFonts w:ascii="Times New Roman" w:hAnsi="Times New Roman" w:cs="Times New Roman"/>
        </w:rPr>
        <w:t xml:space="preserve"> There is a necessity of coordination of roles, responsibilities and communication channels across the federal, state and local levels, which may be facilitated by tabletop exercises, regular coor</w:t>
      </w:r>
      <w:r w:rsidRPr="00F53EF8">
        <w:rPr>
          <w:rFonts w:ascii="Times New Roman" w:hAnsi="Times New Roman" w:cs="Times New Roman"/>
        </w:rPr>
        <w:t>dination meetings and pre-established incident command structures (National Governors Association, 2024).</w:t>
      </w:r>
    </w:p>
    <w:p w14:paraId="4A4E8BDB" w14:textId="77777777" w:rsidR="00C96183" w:rsidRPr="00F53EF8" w:rsidRDefault="00C96183">
      <w:pPr>
        <w:spacing w:after="120"/>
        <w:jc w:val="both"/>
        <w:rPr>
          <w:rFonts w:ascii="Times New Roman" w:hAnsi="Times New Roman" w:cs="Times New Roman"/>
        </w:rPr>
      </w:pPr>
    </w:p>
    <w:p w14:paraId="42581D5C" w14:textId="77777777" w:rsidR="00C96183" w:rsidRPr="00F53EF8" w:rsidRDefault="00BA2E0F">
      <w:pPr>
        <w:spacing w:after="120"/>
        <w:jc w:val="both"/>
        <w:rPr>
          <w:rFonts w:ascii="Times New Roman" w:hAnsi="Times New Roman" w:cs="Times New Roman"/>
          <w:b/>
          <w:bCs/>
        </w:rPr>
      </w:pPr>
      <w:r w:rsidRPr="00F53EF8">
        <w:rPr>
          <w:rFonts w:ascii="Times New Roman" w:hAnsi="Times New Roman" w:cs="Times New Roman"/>
          <w:b/>
          <w:bCs/>
        </w:rPr>
        <w:t>4.3 Strengths and Limitations</w:t>
      </w:r>
    </w:p>
    <w:p w14:paraId="496B333B"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rPr>
        <w:t>The presented scoping review is a synthesis of existing, recent evidence on pandemic preparedness in the United States,</w:t>
      </w:r>
      <w:r w:rsidRPr="00F53EF8">
        <w:rPr>
          <w:rFonts w:ascii="Times New Roman" w:hAnsi="Times New Roman" w:cs="Times New Roman"/>
        </w:rPr>
        <w:t xml:space="preserve"> which compiles various views of government agencies, academics, and civil health programs. The time frame of the post-COVID-19 literature (2022-2025) grants relevance to the recent policy dialog and includes the latest acquired knowledge.</w:t>
      </w:r>
    </w:p>
    <w:p w14:paraId="30992BFC"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rPr>
        <w:t>There are a numb</w:t>
      </w:r>
      <w:r w:rsidRPr="00F53EF8">
        <w:rPr>
          <w:rFonts w:ascii="Times New Roman" w:hAnsi="Times New Roman" w:cs="Times New Roman"/>
        </w:rPr>
        <w:t xml:space="preserve">er of limitations however. To begin with, the extremely fast rate of the development of the policy and practice on pandemic preparedness can imply that certain of the sources might already be out of date or replaced by more recent ones. Second, the review </w:t>
      </w:r>
      <w:r w:rsidRPr="00F53EF8">
        <w:rPr>
          <w:rFonts w:ascii="Times New Roman" w:hAnsi="Times New Roman" w:cs="Times New Roman"/>
        </w:rPr>
        <w:t>was centered on publicly accessible documents that may not contain any classified governmental assessment or proprietary ones. Third, the use of mainly U.S.-oriented sources, which is suitable to the scope of the review, might restrict the experience of in</w:t>
      </w:r>
      <w:r w:rsidRPr="00F53EF8">
        <w:rPr>
          <w:rFonts w:ascii="Times New Roman" w:hAnsi="Times New Roman" w:cs="Times New Roman"/>
        </w:rPr>
        <w:t>ternational best practices. Lastly, scoping review research approach lacks formal evaluation of quality of individual studies, and credibility was addressed by means of selecting sources.</w:t>
      </w:r>
    </w:p>
    <w:p w14:paraId="7F393C4F" w14:textId="77777777" w:rsidR="00C96183" w:rsidRPr="00F53EF8" w:rsidRDefault="00BA2E0F">
      <w:pPr>
        <w:spacing w:after="120"/>
        <w:jc w:val="both"/>
        <w:rPr>
          <w:rFonts w:ascii="Times New Roman" w:hAnsi="Times New Roman" w:cs="Times New Roman"/>
          <w:b/>
          <w:bCs/>
        </w:rPr>
      </w:pPr>
      <w:r w:rsidRPr="00F53EF8">
        <w:rPr>
          <w:rFonts w:ascii="Times New Roman" w:hAnsi="Times New Roman" w:cs="Times New Roman"/>
          <w:b/>
          <w:bCs/>
        </w:rPr>
        <w:t>4.4 Research Gaps and Future Directions.</w:t>
      </w:r>
    </w:p>
    <w:p w14:paraId="51CB93C4"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rPr>
        <w:t>This review has established</w:t>
      </w:r>
      <w:r w:rsidRPr="00F53EF8">
        <w:rPr>
          <w:rFonts w:ascii="Times New Roman" w:hAnsi="Times New Roman" w:cs="Times New Roman"/>
        </w:rPr>
        <w:t xml:space="preserve"> various gaps that need further studies:</w:t>
      </w:r>
    </w:p>
    <w:p w14:paraId="09F0A3CB"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b/>
          <w:bCs/>
        </w:rPr>
        <w:t xml:space="preserve">Implementation Science: </w:t>
      </w:r>
      <w:r w:rsidRPr="00F53EF8">
        <w:rPr>
          <w:rFonts w:ascii="Times New Roman" w:hAnsi="Times New Roman" w:cs="Times New Roman"/>
        </w:rPr>
        <w:t xml:space="preserve">Although there are many different frameworks and recommendations available, little empirical evidence can be found on effective implementation strategies and barriers to adoption of </w:t>
      </w:r>
      <w:r w:rsidRPr="00F53EF8">
        <w:rPr>
          <w:rFonts w:ascii="Times New Roman" w:hAnsi="Times New Roman" w:cs="Times New Roman"/>
        </w:rPr>
        <w:t>preparedness measures.</w:t>
      </w:r>
    </w:p>
    <w:p w14:paraId="6FC85133"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b/>
          <w:bCs/>
        </w:rPr>
        <w:lastRenderedPageBreak/>
        <w:t>Economic Considerations:</w:t>
      </w:r>
      <w:r w:rsidRPr="00F53EF8">
        <w:rPr>
          <w:rFonts w:ascii="Times New Roman" w:hAnsi="Times New Roman" w:cs="Times New Roman"/>
        </w:rPr>
        <w:t xml:space="preserve"> Cost-effectiveness- studies of various preparedness investments are required to influence resource allotment choices, specifically amid conflicting priorities and budget limits.</w:t>
      </w:r>
    </w:p>
    <w:p w14:paraId="72E0030A"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b/>
          <w:bCs/>
        </w:rPr>
        <w:t xml:space="preserve">Health Equity: </w:t>
      </w:r>
      <w:r w:rsidRPr="00F53EF8">
        <w:rPr>
          <w:rFonts w:ascii="Times New Roman" w:hAnsi="Times New Roman" w:cs="Times New Roman"/>
        </w:rPr>
        <w:t>More studies ar</w:t>
      </w:r>
      <w:r w:rsidRPr="00F53EF8">
        <w:rPr>
          <w:rFonts w:ascii="Times New Roman" w:hAnsi="Times New Roman" w:cs="Times New Roman"/>
        </w:rPr>
        <w:t>e required on effective measures of equitable preparedness and response, especially in the under-resourced and marginalized populations.</w:t>
      </w:r>
    </w:p>
    <w:p w14:paraId="16E19E08"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b/>
          <w:bCs/>
        </w:rPr>
        <w:t>Resilience Measurement:</w:t>
      </w:r>
      <w:r w:rsidRPr="00F53EF8">
        <w:rPr>
          <w:rFonts w:ascii="Times New Roman" w:hAnsi="Times New Roman" w:cs="Times New Roman"/>
        </w:rPr>
        <w:t xml:space="preserve"> Creation and testing of useful, standardized resilience measures that can be used in a variety </w:t>
      </w:r>
      <w:r w:rsidRPr="00F53EF8">
        <w:rPr>
          <w:rFonts w:ascii="Times New Roman" w:hAnsi="Times New Roman" w:cs="Times New Roman"/>
        </w:rPr>
        <w:t>of health system settings would aid in their continued monitoring and enhancement (Sagan et al., 2024; Tonga et al., 2024).</w:t>
      </w:r>
    </w:p>
    <w:p w14:paraId="68785512"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b/>
          <w:bCs/>
        </w:rPr>
        <w:t xml:space="preserve">Behavioral and Social Science: </w:t>
      </w:r>
      <w:r w:rsidRPr="00F53EF8">
        <w:rPr>
          <w:rFonts w:ascii="Times New Roman" w:hAnsi="Times New Roman" w:cs="Times New Roman"/>
        </w:rPr>
        <w:t>To determine the effects on people to follow protective measures, trust governmental bodies, and comm</w:t>
      </w:r>
      <w:r w:rsidRPr="00F53EF8">
        <w:rPr>
          <w:rFonts w:ascii="Times New Roman" w:hAnsi="Times New Roman" w:cs="Times New Roman"/>
        </w:rPr>
        <w:t>unity participation in the preparedness efforts, further studies in the behavioral science field are needed (Pisaneschi et al., 2024).</w:t>
      </w:r>
    </w:p>
    <w:p w14:paraId="6B648E45"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b/>
          <w:bCs/>
        </w:rPr>
        <w:t>Climate-Health Interactions:</w:t>
      </w:r>
      <w:r w:rsidRPr="00F53EF8">
        <w:rPr>
          <w:rFonts w:ascii="Times New Roman" w:hAnsi="Times New Roman" w:cs="Times New Roman"/>
        </w:rPr>
        <w:t xml:space="preserve"> Climate change, multi-hazard preparedness of pandemics is a new field of interest that needs</w:t>
      </w:r>
      <w:r w:rsidRPr="00F53EF8">
        <w:rPr>
          <w:rFonts w:ascii="Times New Roman" w:hAnsi="Times New Roman" w:cs="Times New Roman"/>
        </w:rPr>
        <w:t xml:space="preserve"> to be addressed through the combined research methodology (Pathirathna et al., 2024).</w:t>
      </w:r>
    </w:p>
    <w:p w14:paraId="0BB2DB24" w14:textId="77777777" w:rsidR="00C96183" w:rsidRPr="00F53EF8" w:rsidRDefault="00BA2E0F">
      <w:pPr>
        <w:spacing w:after="120"/>
        <w:jc w:val="both"/>
        <w:rPr>
          <w:rFonts w:ascii="Times New Roman" w:hAnsi="Times New Roman" w:cs="Times New Roman"/>
          <w:b/>
          <w:bCs/>
        </w:rPr>
      </w:pPr>
      <w:r w:rsidRPr="00F53EF8">
        <w:rPr>
          <w:rFonts w:ascii="Times New Roman" w:hAnsi="Times New Roman" w:cs="Times New Roman"/>
          <w:b/>
          <w:bCs/>
        </w:rPr>
        <w:t>5. Conclusions</w:t>
      </w:r>
    </w:p>
    <w:p w14:paraId="678DA11C"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rPr>
        <w:t>This scoping review will summarize the 50 selected sources about the pandemic preparedness, response, and system in the United States published within 202</w:t>
      </w:r>
      <w:r w:rsidRPr="00F53EF8">
        <w:rPr>
          <w:rFonts w:ascii="Times New Roman" w:hAnsi="Times New Roman" w:cs="Times New Roman"/>
        </w:rPr>
        <w:t>2-2025. As the analysis indicates, the point at which the issues of public health policy are at critical crossroads, on the one hand, the COVID-19 pandemic demonstrated the profound flaws in the system of preparedness infrastructure, coordination mechanism</w:t>
      </w:r>
      <w:r w:rsidRPr="00F53EF8">
        <w:rPr>
          <w:rFonts w:ascii="Times New Roman" w:hAnsi="Times New Roman" w:cs="Times New Roman"/>
        </w:rPr>
        <w:t>s, and response capacity, and, on the other hand, it brought previously unparalleled documents related to the analysis of the lessons learned and the construction of full-fledged improvement structures.</w:t>
      </w:r>
    </w:p>
    <w:p w14:paraId="3F6A8F61"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rPr>
        <w:t>The overlapping of results of the government reports,</w:t>
      </w:r>
      <w:r w:rsidRPr="00F53EF8">
        <w:rPr>
          <w:rFonts w:ascii="Times New Roman" w:hAnsi="Times New Roman" w:cs="Times New Roman"/>
        </w:rPr>
        <w:t xml:space="preserve"> academic studies and population health appraisals indicates a few inevitably drawn conclusions. To start with, pandemic preparedness is not a matter that can be maintained by sporadic investments in response to acute emergencies, but rather sustained with</w:t>
      </w:r>
      <w:r w:rsidRPr="00F53EF8">
        <w:rPr>
          <w:rFonts w:ascii="Times New Roman" w:hAnsi="Times New Roman" w:cs="Times New Roman"/>
        </w:rPr>
        <w:t xml:space="preserve"> permanent funding mechanisms to address the continued development of capacity (U.S. Government Accountability Office, 2023). Second, the decentralized system of governance under federalism in the U.S. demands conscious coordination of activities, the esta</w:t>
      </w:r>
      <w:r w:rsidRPr="00F53EF8">
        <w:rPr>
          <w:rFonts w:ascii="Times New Roman" w:hAnsi="Times New Roman" w:cs="Times New Roman"/>
        </w:rPr>
        <w:t>blishment of roles and duties, and practice to ensure readiness at the various levels of jurisdiction (U.S. House Committee on Oversight and Accountability, 2024; National Governors Association, 2024).</w:t>
      </w:r>
    </w:p>
    <w:p w14:paraId="760B5EC4"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rPr>
        <w:t>Third, it has developed a new technological capacity t</w:t>
      </w:r>
      <w:r w:rsidRPr="00F53EF8">
        <w:rPr>
          <w:rFonts w:ascii="Times New Roman" w:hAnsi="Times New Roman" w:cs="Times New Roman"/>
        </w:rPr>
        <w:t>o monitor bio-surveillance and early detection that can be used to prevent the local outbreak of a disease into a large-scale pandemic, but the infrastructure and workforce needed to implement it have fallen behind (RAND Corporation, 2024; Center for Strat</w:t>
      </w:r>
      <w:r w:rsidRPr="00F53EF8">
        <w:rPr>
          <w:rFonts w:ascii="Times New Roman" w:hAnsi="Times New Roman" w:cs="Times New Roman"/>
        </w:rPr>
        <w:t>egic and International Studies, 2024). Fourth, the resilience of the health system is not only determined by the presence of surge capacity and stockpiles, but equity, community trust, employee well-being, and adaptive governance systems that help maintain</w:t>
      </w:r>
      <w:r w:rsidRPr="00F53EF8">
        <w:rPr>
          <w:rFonts w:ascii="Times New Roman" w:hAnsi="Times New Roman" w:cs="Times New Roman"/>
        </w:rPr>
        <w:t xml:space="preserve"> essential services in the immediate response (Kruk et al., 2023; El-Jardali et al., 2025).</w:t>
      </w:r>
    </w:p>
    <w:p w14:paraId="2D3F7FF0"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rPr>
        <w:t>The identified logistical issues, including problems with staffing, old data systems, supply chain weaknesses, limited lab capacity, and inconsistent state-level pr</w:t>
      </w:r>
      <w:r w:rsidRPr="00F53EF8">
        <w:rPr>
          <w:rFonts w:ascii="Times New Roman" w:hAnsi="Times New Roman" w:cs="Times New Roman"/>
        </w:rPr>
        <w:t xml:space="preserve">eparedness, are familiar problems with familiar solutions (Trust for America Health, 2025; Centers and Disease Control, 2024a). The question that is still open is whether the political will and resource mobilization will be enough to </w:t>
      </w:r>
      <w:r w:rsidRPr="00F53EF8">
        <w:rPr>
          <w:rFonts w:ascii="Times New Roman" w:hAnsi="Times New Roman" w:cs="Times New Roman"/>
        </w:rPr>
        <w:lastRenderedPageBreak/>
        <w:t>ensure these solutions</w:t>
      </w:r>
      <w:r w:rsidRPr="00F53EF8">
        <w:rPr>
          <w:rFonts w:ascii="Times New Roman" w:hAnsi="Times New Roman" w:cs="Times New Roman"/>
        </w:rPr>
        <w:t xml:space="preserve"> are implemented before the institutional memory and the sense of urgency generated by the COVID-19 would fade away.</w:t>
      </w:r>
    </w:p>
    <w:p w14:paraId="781BE20A"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rPr>
        <w:t xml:space="preserve">According to international comparisons, the United States have strong technical capabilities and resources, but they face coordination and </w:t>
      </w:r>
      <w:r w:rsidRPr="00F53EF8">
        <w:rPr>
          <w:rFonts w:ascii="Times New Roman" w:hAnsi="Times New Roman" w:cs="Times New Roman"/>
        </w:rPr>
        <w:t>implementation issues that make their potential effectiveness weak (Zhang et al., 2023; Villalobos Rodriguez et al., 2025). The nations that had more centralized systems of governance, integrated data systems, and had a history of investing in the health o</w:t>
      </w:r>
      <w:r w:rsidRPr="00F53EF8">
        <w:rPr>
          <w:rFonts w:ascii="Times New Roman" w:hAnsi="Times New Roman" w:cs="Times New Roman"/>
        </w:rPr>
        <w:t>f its population were more resilient to the COVID-19 pandemic and provide examples that can be adapted to the context of the U.S. without neglecting the principles of federalism (Radford et al., 2024; European Observatory on Health Systems and Policies, 20</w:t>
      </w:r>
      <w:r w:rsidRPr="00F53EF8">
        <w:rPr>
          <w:rFonts w:ascii="Times New Roman" w:hAnsi="Times New Roman" w:cs="Times New Roman"/>
        </w:rPr>
        <w:t>22).</w:t>
      </w:r>
    </w:p>
    <w:p w14:paraId="60BBA140"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rPr>
        <w:t>The increased notion of the conceptualization of resilience in public health that has occurred during the experience of pandemics, including not only the elements of equity, adaptive capacity, community engagement, and trust but also the traditional m</w:t>
      </w:r>
      <w:r w:rsidRPr="00F53EF8">
        <w:rPr>
          <w:rFonts w:ascii="Times New Roman" w:hAnsi="Times New Roman" w:cs="Times New Roman"/>
        </w:rPr>
        <w:t>easures of preparedness, is a more complex framework of preparedness system evaluation and improvement (Kruk et al., 2023; Centers for Disease Control and Prevention, 2024d). This is a more comprehensive view that acknowledges that technical preparedness i</w:t>
      </w:r>
      <w:r w:rsidRPr="00F53EF8">
        <w:rPr>
          <w:rFonts w:ascii="Times New Roman" w:hAnsi="Times New Roman" w:cs="Times New Roman"/>
        </w:rPr>
        <w:t>s not enough without considering social determinants of health, developing partnerships at the community level, equitable access to protective interventions, and open communication that can provide reassurance in the population.</w:t>
      </w:r>
    </w:p>
    <w:p w14:paraId="19260BC3"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rPr>
        <w:t xml:space="preserve">A number of decisive steps </w:t>
      </w:r>
      <w:r w:rsidRPr="00F53EF8">
        <w:rPr>
          <w:rFonts w:ascii="Times New Roman" w:hAnsi="Times New Roman" w:cs="Times New Roman"/>
        </w:rPr>
        <w:t>are revealed as priorities towards improving the readiness to pandemics and the resilience of the American population to health:</w:t>
      </w:r>
    </w:p>
    <w:p w14:paraId="639E06D0"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b/>
          <w:bCs/>
        </w:rPr>
        <w:t xml:space="preserve">Devise long-term, sustainable funding options </w:t>
      </w:r>
      <w:r w:rsidRPr="00F53EF8">
        <w:rPr>
          <w:rFonts w:ascii="Times New Roman" w:hAnsi="Times New Roman" w:cs="Times New Roman"/>
        </w:rPr>
        <w:t>to support public health infrastructure, staffing, and laboratory capacity, infor</w:t>
      </w:r>
      <w:r w:rsidRPr="00F53EF8">
        <w:rPr>
          <w:rFonts w:ascii="Times New Roman" w:hAnsi="Times New Roman" w:cs="Times New Roman"/>
        </w:rPr>
        <w:t>mation modernization, and emergency stockpiles instead of creating emergency-driven supplemental appropriations (U.S. Government Accountability Office, 2023).</w:t>
      </w:r>
    </w:p>
    <w:p w14:paraId="407844A3"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b/>
          <w:bCs/>
        </w:rPr>
        <w:t>Comprehensively invest in workforce in the field of public health</w:t>
      </w:r>
      <w:r w:rsidRPr="00F53EF8">
        <w:rPr>
          <w:rFonts w:ascii="Times New Roman" w:hAnsi="Times New Roman" w:cs="Times New Roman"/>
        </w:rPr>
        <w:t xml:space="preserve"> by recruitment efforts, competi</w:t>
      </w:r>
      <w:r w:rsidRPr="00F53EF8">
        <w:rPr>
          <w:rFonts w:ascii="Times New Roman" w:hAnsi="Times New Roman" w:cs="Times New Roman"/>
        </w:rPr>
        <w:t>tive remuneration, work-based learning and career development, and organizational cultures that eliminate burnout and facilitate retention (Centers for Disease Control and Prevention, 2024a).</w:t>
      </w:r>
    </w:p>
    <w:p w14:paraId="60EDEA58"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b/>
          <w:bCs/>
        </w:rPr>
        <w:t>Upgrade data and surveillance networks</w:t>
      </w:r>
      <w:r w:rsidRPr="00F53EF8">
        <w:rPr>
          <w:rFonts w:ascii="Times New Roman" w:hAnsi="Times New Roman" w:cs="Times New Roman"/>
        </w:rPr>
        <w:t xml:space="preserve"> to allow real-time sharin</w:t>
      </w:r>
      <w:r w:rsidRPr="00F53EF8">
        <w:rPr>
          <w:rFonts w:ascii="Times New Roman" w:hAnsi="Times New Roman" w:cs="Times New Roman"/>
        </w:rPr>
        <w:t>g of information, cross-jurisdiction and cross-sector interoperability, capability to sequence genomes, wastewater surveillance, syndromic surveillance networks, and predictive analytics to support early detection (Centers for Disease Control and Preventio</w:t>
      </w:r>
      <w:r w:rsidRPr="00F53EF8">
        <w:rPr>
          <w:rFonts w:ascii="Times New Roman" w:hAnsi="Times New Roman" w:cs="Times New Roman"/>
        </w:rPr>
        <w:t>n, 2024d; RAND Corporation, 2024).</w:t>
      </w:r>
    </w:p>
    <w:p w14:paraId="22441699"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b/>
          <w:bCs/>
        </w:rPr>
        <w:t xml:space="preserve">Enhance supply chain resilience </w:t>
      </w:r>
      <w:r w:rsidRPr="00F53EF8">
        <w:rPr>
          <w:rFonts w:ascii="Times New Roman" w:hAnsi="Times New Roman" w:cs="Times New Roman"/>
        </w:rPr>
        <w:t>by diversifying, manufacturing critical medical goods in the country, installing rotation systems of stockpiles, creating transparency, and monitoring to avoid shortages (National Academies</w:t>
      </w:r>
      <w:r w:rsidRPr="00F53EF8">
        <w:rPr>
          <w:rFonts w:ascii="Times New Roman" w:hAnsi="Times New Roman" w:cs="Times New Roman"/>
        </w:rPr>
        <w:t xml:space="preserve"> of Sciences, Engineering, and Medicine, 2022).</w:t>
      </w:r>
    </w:p>
    <w:p w14:paraId="2923C340"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b/>
          <w:bCs/>
        </w:rPr>
        <w:t>Ensuring coordination mechanisms</w:t>
      </w:r>
      <w:r w:rsidRPr="00F53EF8">
        <w:rPr>
          <w:rFonts w:ascii="Times New Roman" w:hAnsi="Times New Roman" w:cs="Times New Roman"/>
        </w:rPr>
        <w:t xml:space="preserve"> such as well-established command structures, memoranda of understanding, routinely held joint exercises, communication protocols and mutual aid agreements between federal and </w:t>
      </w:r>
      <w:r w:rsidRPr="00F53EF8">
        <w:rPr>
          <w:rFonts w:ascii="Times New Roman" w:hAnsi="Times New Roman" w:cs="Times New Roman"/>
        </w:rPr>
        <w:t>state and local levels (National Governors Association, 2024; U.S. House Committee on Oversight and Accountability, 2024).</w:t>
      </w:r>
    </w:p>
    <w:p w14:paraId="5C0635A8"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b/>
          <w:bCs/>
        </w:rPr>
        <w:t xml:space="preserve">Coordinate health equity in all preparedness planning </w:t>
      </w:r>
      <w:r w:rsidRPr="00F53EF8">
        <w:rPr>
          <w:rFonts w:ascii="Times New Roman" w:hAnsi="Times New Roman" w:cs="Times New Roman"/>
        </w:rPr>
        <w:t>with specific resource distribution, culturally relevant communication strategi</w:t>
      </w:r>
      <w:r w:rsidRPr="00F53EF8">
        <w:rPr>
          <w:rFonts w:ascii="Times New Roman" w:hAnsi="Times New Roman" w:cs="Times New Roman"/>
        </w:rPr>
        <w:t>es, community involvement, targeting the social determinants of health, and tracking unequal effects on populations (Trust for America’s Health, 2024; Centers for Disease Control and Prevention, 2024d).</w:t>
      </w:r>
    </w:p>
    <w:p w14:paraId="75454BD7"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b/>
          <w:bCs/>
        </w:rPr>
        <w:lastRenderedPageBreak/>
        <w:t xml:space="preserve">Increase biosurveillance capacity </w:t>
      </w:r>
      <w:r w:rsidRPr="00F53EF8">
        <w:rPr>
          <w:rFonts w:ascii="Times New Roman" w:hAnsi="Times New Roman" w:cs="Times New Roman"/>
        </w:rPr>
        <w:t>that combines human</w:t>
      </w:r>
      <w:r w:rsidRPr="00F53EF8">
        <w:rPr>
          <w:rFonts w:ascii="Times New Roman" w:hAnsi="Times New Roman" w:cs="Times New Roman"/>
        </w:rPr>
        <w:t>, animal, and environmental health surveillance in line with One Health strategies, utilizes emerging technologies, and puts in place early warning mechanisms of new pathogens (World Health Organization, 2023; Contagion Live, 2025).</w:t>
      </w:r>
    </w:p>
    <w:p w14:paraId="7E7B60D3"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rPr>
        <w:t xml:space="preserve">The evidence that has </w:t>
      </w:r>
      <w:r w:rsidRPr="00F53EF8">
        <w:rPr>
          <w:rFonts w:ascii="Times New Roman" w:hAnsi="Times New Roman" w:cs="Times New Roman"/>
        </w:rPr>
        <w:t>been synthesized in this review has proven that there is no mystery to pandemic preparedness, it is not impossible; the information is available about what systems, capacities, and resources are required. The underlying issue is itself political and organi</w:t>
      </w:r>
      <w:r w:rsidRPr="00F53EF8">
        <w:rPr>
          <w:rFonts w:ascii="Times New Roman" w:hAnsi="Times New Roman" w:cs="Times New Roman"/>
        </w:rPr>
        <w:t>zational: maintaining commitment to preparedness in times when acute threats appear remote, investing resources in prevention, as opposed to merely responding, and institutional sustainability across electoral politics and budget limitations.</w:t>
      </w:r>
    </w:p>
    <w:p w14:paraId="5E3E8A3E"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rPr>
        <w:t xml:space="preserve">Pandemics in </w:t>
      </w:r>
      <w:r w:rsidRPr="00F53EF8">
        <w:rPr>
          <w:rFonts w:ascii="Times New Roman" w:hAnsi="Times New Roman" w:cs="Times New Roman"/>
        </w:rPr>
        <w:t>the future are bound to happen. The climate change, population increase, urbanization, international travel, agricultural intensification, and ecological disturbance provide the environment favorable to the emergence and spread of pathogens (Pathirathna et</w:t>
      </w:r>
      <w:r w:rsidRPr="00F53EF8">
        <w:rPr>
          <w:rFonts w:ascii="Times New Roman" w:hAnsi="Times New Roman" w:cs="Times New Roman"/>
        </w:rPr>
        <w:t xml:space="preserve"> al., 2024). It is not whether another pandemic can happen, but whether the United States will have taken the lessons learned during the COVID-19 in place enough to minimize the impact of the next pandemic on the health of the population, the healthcare sy</w:t>
      </w:r>
      <w:r w:rsidRPr="00F53EF8">
        <w:rPr>
          <w:rFonts w:ascii="Times New Roman" w:hAnsi="Times New Roman" w:cs="Times New Roman"/>
        </w:rPr>
        <w:t>stems, the economy, and the society.</w:t>
      </w:r>
    </w:p>
    <w:p w14:paraId="204A55A6"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rPr>
        <w:t>The given scoping review is an evidence base documenting the existing knowledge of the problem of pandemic preparedness challenges and opportunities in the United States. Whether the massive human and financial costs of</w:t>
      </w:r>
      <w:r w:rsidRPr="00F53EF8">
        <w:rPr>
          <w:rFonts w:ascii="Times New Roman" w:hAnsi="Times New Roman" w:cs="Times New Roman"/>
        </w:rPr>
        <w:t xml:space="preserve"> COVID-19 will lead to more sustained policy changes, resource allocation, and institutional reforms or be a painful experience that was recorded in books but not acted upon will depend on the translation of this knowledge into sustained changes in how peo</w:t>
      </w:r>
      <w:r w:rsidRPr="00F53EF8">
        <w:rPr>
          <w:rFonts w:ascii="Times New Roman" w:hAnsi="Times New Roman" w:cs="Times New Roman"/>
        </w:rPr>
        <w:t>ple live.</w:t>
      </w:r>
    </w:p>
    <w:p w14:paraId="5EC49513" w14:textId="77777777" w:rsidR="00C96183" w:rsidRPr="00F53EF8" w:rsidRDefault="00BA2E0F">
      <w:pPr>
        <w:jc w:val="both"/>
        <w:rPr>
          <w:rFonts w:ascii="Times New Roman" w:hAnsi="Times New Roman" w:cs="Times New Roman"/>
        </w:rPr>
      </w:pPr>
      <w:r w:rsidRPr="00F53EF8">
        <w:rPr>
          <w:rFonts w:ascii="Times New Roman" w:hAnsi="Times New Roman" w:cs="Times New Roman"/>
        </w:rPr>
        <w:t>The opportunity brought about by an increased level of awareness due to the COVID-19 is on its way out. Policymakers, leaders in governmental health systems, healthcare managers, researchers, and community stakeholders should work with a sense of</w:t>
      </w:r>
      <w:r w:rsidRPr="00F53EF8">
        <w:rPr>
          <w:rFonts w:ascii="Times New Roman" w:hAnsi="Times New Roman" w:cs="Times New Roman"/>
        </w:rPr>
        <w:t xml:space="preserve"> urgency in order to institutionalize preparedness enhancements before competing challenges and the fading memories allow systems to fall back into the vulnerabilities that the COVID-19 pandemic used so effectively. The indicators are obvious, the way to g</w:t>
      </w:r>
      <w:r w:rsidRPr="00F53EF8">
        <w:rPr>
          <w:rFonts w:ascii="Times New Roman" w:hAnsi="Times New Roman" w:cs="Times New Roman"/>
        </w:rPr>
        <w:t>o is recorded, and the necessity to act might not be stronger.</w:t>
      </w:r>
    </w:p>
    <w:p w14:paraId="3697D697" w14:textId="77777777" w:rsidR="00C96183" w:rsidRPr="00F53EF8" w:rsidRDefault="00C96183">
      <w:pPr>
        <w:jc w:val="both"/>
        <w:rPr>
          <w:rFonts w:ascii="Times New Roman" w:hAnsi="Times New Roman" w:cs="Times New Roman"/>
        </w:rPr>
      </w:pPr>
    </w:p>
    <w:p w14:paraId="7A102CC7" w14:textId="77777777" w:rsidR="00C96183" w:rsidRPr="00F53EF8" w:rsidRDefault="00BA2E0F">
      <w:pPr>
        <w:pStyle w:val="Heading1"/>
        <w:jc w:val="both"/>
        <w:rPr>
          <w:rFonts w:ascii="Times New Roman" w:hAnsi="Times New Roman" w:cs="Times New Roman"/>
        </w:rPr>
      </w:pPr>
      <w:r w:rsidRPr="00F53EF8">
        <w:rPr>
          <w:rFonts w:ascii="Times New Roman" w:hAnsi="Times New Roman" w:cs="Times New Roman"/>
        </w:rPr>
        <w:t>References</w:t>
      </w:r>
    </w:p>
    <w:p w14:paraId="5992CAE6"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rPr>
        <w:t>Beishuizen, B. H., et al. (2024). A systematic literature review on public health and healthcare resources for pandemic preparedness planning. BMC Public Health, 24, 3114.</w:t>
      </w:r>
    </w:p>
    <w:p w14:paraId="6F7EB617"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rPr>
        <w:t xml:space="preserve">Buehler, </w:t>
      </w:r>
      <w:r w:rsidRPr="00F53EF8">
        <w:rPr>
          <w:rFonts w:ascii="Times New Roman" w:hAnsi="Times New Roman" w:cs="Times New Roman"/>
        </w:rPr>
        <w:t>J. W., Whitney, E. A., &amp; Berkelman, R. L. (2017). Improving biosurveillance systems to enable situational awareness during public health emergencies. JAMA, 318(4), 327-328. https://pmc.ncbi.nlm.nih.gov/articles/PMC5314963/</w:t>
      </w:r>
    </w:p>
    <w:p w14:paraId="6B1C76B5"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rPr>
        <w:t>Center for Strategic and Internat</w:t>
      </w:r>
      <w:r w:rsidRPr="00F53EF8">
        <w:rPr>
          <w:rFonts w:ascii="Times New Roman" w:hAnsi="Times New Roman" w:cs="Times New Roman"/>
        </w:rPr>
        <w:t>ional Studies. (2024). The time is now for the DOD to expedite action on biosurveillance. https://www.csis.org/analysis/time-now-dod-expedite-action-biosurveillance</w:t>
      </w:r>
    </w:p>
    <w:p w14:paraId="3E02DC64"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rPr>
        <w:t>Centers for Disease Control and Prevention. (2024a). Preparing for the next pandemic: Lesso</w:t>
      </w:r>
      <w:r w:rsidRPr="00F53EF8">
        <w:rPr>
          <w:rFonts w:ascii="Times New Roman" w:hAnsi="Times New Roman" w:cs="Times New Roman"/>
        </w:rPr>
        <w:t>ns learned and the path forward [Congressional Testimony]. https://www.cdc.gov/washington/testimony/2024/t20241114.htm</w:t>
      </w:r>
    </w:p>
    <w:p w14:paraId="0ECDABB1"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rPr>
        <w:lastRenderedPageBreak/>
        <w:t>Centers for Disease Control and Prevention. (2024b). National pandemic strategy. https://www.cdc.gov/pandemic-flu/php/national-strategy/i</w:t>
      </w:r>
      <w:r w:rsidRPr="00F53EF8">
        <w:rPr>
          <w:rFonts w:ascii="Times New Roman" w:hAnsi="Times New Roman" w:cs="Times New Roman"/>
        </w:rPr>
        <w:t>ndex.html</w:t>
      </w:r>
    </w:p>
    <w:p w14:paraId="03406418"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rPr>
        <w:t>Centers for Disease Control and Prevention. (2024c). Public health emergency preparedness and response capabilities: National standards for state, local, tribal, and territorial public health. https://www.cdc.gov/readiness/php/capabilities/index.</w:t>
      </w:r>
      <w:r w:rsidRPr="00F53EF8">
        <w:rPr>
          <w:rFonts w:ascii="Times New Roman" w:hAnsi="Times New Roman" w:cs="Times New Roman"/>
        </w:rPr>
        <w:t>html</w:t>
      </w:r>
    </w:p>
    <w:p w14:paraId="584CA86F"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rPr>
        <w:t>Centers for Disease Control and Prevention. (2024d). Implementing public health response readiness framework. https://www.cdc.gov/readiness/php/next-gen-phep/index.html</w:t>
      </w:r>
    </w:p>
    <w:p w14:paraId="0FE6A19E"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rPr>
        <w:t>Centers for Disease Control and Prevention. (2024e). Healthcare system preparednes</w:t>
      </w:r>
      <w:r w:rsidRPr="00F53EF8">
        <w:rPr>
          <w:rFonts w:ascii="Times New Roman" w:hAnsi="Times New Roman" w:cs="Times New Roman"/>
        </w:rPr>
        <w:t>s and response. https://www.cdc.gov/pandemic-flu/hcp/healthcare-preparedness-response/index.html</w:t>
      </w:r>
    </w:p>
    <w:p w14:paraId="1DD2D51C"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rPr>
        <w:t>Centers for Disease Control and Prevention. (2025). Public Health Emergency Preparedness (PHEP) program and guidance. https://www.cdc.gov/readiness/php/phep/in</w:t>
      </w:r>
      <w:r w:rsidRPr="00F53EF8">
        <w:rPr>
          <w:rFonts w:ascii="Times New Roman" w:hAnsi="Times New Roman" w:cs="Times New Roman"/>
        </w:rPr>
        <w:t>dex.html</w:t>
      </w:r>
    </w:p>
    <w:p w14:paraId="3C465B2E"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rPr>
        <w:t>Contagion Live. (2025). Biosurveillance: The new(ish) buzzword. https://www.contagionlive.com/view/biosurveillance-the-new-ish-buzzword</w:t>
      </w:r>
    </w:p>
    <w:p w14:paraId="7224BC8A"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rPr>
        <w:t xml:space="preserve">Creppage, K. E., Gallaway, M. S., Russell, D. A., et al. (2024). Role of Department of Defense Global Emerging </w:t>
      </w:r>
      <w:r w:rsidRPr="00F53EF8">
        <w:rPr>
          <w:rFonts w:ascii="Times New Roman" w:hAnsi="Times New Roman" w:cs="Times New Roman"/>
        </w:rPr>
        <w:t>Infections Surveillance program in pandemic preparedness and response, United States. Emerging Infectious Diseases, 30(Supplement), 240305. https://doi.org/10.3201/eid3014.240305</w:t>
      </w:r>
    </w:p>
    <w:p w14:paraId="0661E941"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rPr>
        <w:t>Cylus, J., Panteli, D., &amp; Evetovits, T. (2022). Lessons learned from the COVI</w:t>
      </w:r>
      <w:r w:rsidRPr="00F53EF8">
        <w:rPr>
          <w:rFonts w:ascii="Times New Roman" w:hAnsi="Times New Roman" w:cs="Times New Roman"/>
        </w:rPr>
        <w:t>D-19 pandemic. Health Policy, Special Issue. https://pmc.ncbi.nlm.nih.gov/articles/PMC8993700/</w:t>
      </w:r>
    </w:p>
    <w:p w14:paraId="753E2479"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rPr>
        <w:t>Defense Health Agency Public Health. (2024). Public health preparedness: Getting 'left of boom'. U.S. Army. https://www.army.mil/article/274501/public_health_pre</w:t>
      </w:r>
      <w:r w:rsidRPr="00F53EF8">
        <w:rPr>
          <w:rFonts w:ascii="Times New Roman" w:hAnsi="Times New Roman" w:cs="Times New Roman"/>
        </w:rPr>
        <w:t>paredness_getting_left_of_boom</w:t>
      </w:r>
    </w:p>
    <w:p w14:paraId="6C0A2932"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rPr>
        <w:t>El-Jardali, F., Kanth, P. D., Nguyen, S. N., et al. (2025). Emergency preparedness and health system resilience assessment tool: Development and initial validation. BMJ Global Health, 10(8), e016459. https://doi.org/10.1136/b</w:t>
      </w:r>
      <w:r w:rsidRPr="00F53EF8">
        <w:rPr>
          <w:rFonts w:ascii="Times New Roman" w:hAnsi="Times New Roman" w:cs="Times New Roman"/>
        </w:rPr>
        <w:t>mjgh-2024-016459</w:t>
      </w:r>
    </w:p>
    <w:p w14:paraId="5CDB4B17"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rPr>
        <w:t>European Observatory on Health Systems and Policies. (2022). Health systems resilience during COVID-19: Lessons for building back better. NCBI Bookshelf. https://www.ncbi.nlm.nih.gov/books/NBK590210/</w:t>
      </w:r>
    </w:p>
    <w:p w14:paraId="63DC88CC"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rPr>
        <w:t>Institute for Progress. (2023). Why the</w:t>
      </w:r>
      <w:r w:rsidRPr="00F53EF8">
        <w:rPr>
          <w:rFonts w:ascii="Times New Roman" w:hAnsi="Times New Roman" w:cs="Times New Roman"/>
        </w:rPr>
        <w:t xml:space="preserve"> Department of Defense should invest in biosurveillance. https://ifp.org/investing-in-biosurveillance/</w:t>
      </w:r>
    </w:p>
    <w:p w14:paraId="1E78D2FA"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rPr>
        <w:t>Jeong, Y., Crowell, T., Devon-Sand, A., et al. (2024). Building pandemic-resilient primary care systems: Lessons learned from COVID-19. Journal of Medica</w:t>
      </w:r>
      <w:r w:rsidRPr="00F53EF8">
        <w:rPr>
          <w:rFonts w:ascii="Times New Roman" w:hAnsi="Times New Roman" w:cs="Times New Roman"/>
        </w:rPr>
        <w:t>l Internet Research, 26, e47667. https://doi.org/10.2196/47667</w:t>
      </w:r>
    </w:p>
    <w:p w14:paraId="1C4284A2"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rPr>
        <w:t>Kaye, A. D., et al. (2023). Building public health emergency preparedness, response, and recovery capabilities through disaster citizen science. Journal of Public Health Management and Practice</w:t>
      </w:r>
      <w:r w:rsidRPr="00F53EF8">
        <w:rPr>
          <w:rFonts w:ascii="Times New Roman" w:hAnsi="Times New Roman" w:cs="Times New Roman"/>
        </w:rPr>
        <w:t>, 29(4), 473-486. https://doi.org/10.1097/PHH.0000000000001686</w:t>
      </w:r>
    </w:p>
    <w:p w14:paraId="3EE6FD17"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rPr>
        <w:t>Kruk, M. E., Myers, M., Varpilah, S. T., &amp; Dahn, B. T. (2023). Re-evaluating our knowledge of health system resilience during COVID-19: Lessons from the first two years of the pandemic. Interna</w:t>
      </w:r>
      <w:r w:rsidRPr="00F53EF8">
        <w:rPr>
          <w:rFonts w:ascii="Times New Roman" w:hAnsi="Times New Roman" w:cs="Times New Roman"/>
        </w:rPr>
        <w:t>tional Journal of Health Policy and Management, 12, 6659. https://doi.org/10.34172/ijhpm.2022.6659</w:t>
      </w:r>
    </w:p>
    <w:p w14:paraId="3E8824B6"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rPr>
        <w:lastRenderedPageBreak/>
        <w:t>National Academies of Sciences, Engineering, and Medicine. (2022). Building resilience into the nation's medical product supply chains. National Academies Pr</w:t>
      </w:r>
      <w:r w:rsidRPr="00F53EF8">
        <w:rPr>
          <w:rFonts w:ascii="Times New Roman" w:hAnsi="Times New Roman" w:cs="Times New Roman"/>
        </w:rPr>
        <w:t>ess.</w:t>
      </w:r>
    </w:p>
    <w:p w14:paraId="07F52D4B"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rPr>
        <w:t>National Academies of Sciences, Engineering, and Medicine. (2025a). Care systems COVID-19 impact assessment: Lessons learned and compelling needs. https://nam.edu/care-systems-covid-19-impact-assessment-lessons-learned-and-compelling-needs/</w:t>
      </w:r>
    </w:p>
    <w:p w14:paraId="63D73B2F"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rPr>
        <w:t>National A</w:t>
      </w:r>
      <w:r w:rsidRPr="00F53EF8">
        <w:rPr>
          <w:rFonts w:ascii="Times New Roman" w:hAnsi="Times New Roman" w:cs="Times New Roman"/>
        </w:rPr>
        <w:t>cademies of Sciences, Engineering, and Medicine. (2025b). Impacts and lessons learned from coronavirus-19 pandemic in the United States: Preparing for future public health emergencies. https://pmc.ncbi.nlm.nih.gov/articles/PMC12495830/</w:t>
      </w:r>
    </w:p>
    <w:p w14:paraId="530668F8"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rPr>
        <w:t>National Association</w:t>
      </w:r>
      <w:r w:rsidRPr="00F53EF8">
        <w:rPr>
          <w:rFonts w:ascii="Times New Roman" w:hAnsi="Times New Roman" w:cs="Times New Roman"/>
        </w:rPr>
        <w:t xml:space="preserve"> of County and City Health Officials. (n.d.). Project Public Health Ready (PPHR). https://www.naccho.org/programs/public-health-preparedness/pphr</w:t>
      </w:r>
    </w:p>
    <w:p w14:paraId="37F5C557"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rPr>
        <w:t>National Governors Association. (2024). Public health emergency playbook. https://www.nga.org/publications/pub</w:t>
      </w:r>
      <w:r w:rsidRPr="00F53EF8">
        <w:rPr>
          <w:rFonts w:ascii="Times New Roman" w:hAnsi="Times New Roman" w:cs="Times New Roman"/>
        </w:rPr>
        <w:t>lic-health-emergency-playbook/</w:t>
      </w:r>
    </w:p>
    <w:p w14:paraId="6AA06CE0"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rPr>
        <w:t>Nunes, M. C., et al. (2024). Redefining pandemic preparedness: Multidisciplinary insights from the CERP modelling workshop in infectious diseases. Infectious Disease Modelling, 9, 501-518.</w:t>
      </w:r>
    </w:p>
    <w:p w14:paraId="277DB826"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rPr>
        <w:t>Pathirathna, M. L., Gamage, M. M., J</w:t>
      </w:r>
      <w:r w:rsidRPr="00F53EF8">
        <w:rPr>
          <w:rFonts w:ascii="Times New Roman" w:hAnsi="Times New Roman" w:cs="Times New Roman"/>
        </w:rPr>
        <w:t>ayasekara, P., et al. (2024). Epidemic and pandemic preparedness and response in a multi-hazard context: COVID-19 pandemic as a point of reference. International Journal of Environmental Research and Public Health, 21(9), 1238. https://doi.org/10.3390/ijer</w:t>
      </w:r>
      <w:r w:rsidRPr="00F53EF8">
        <w:rPr>
          <w:rFonts w:ascii="Times New Roman" w:hAnsi="Times New Roman" w:cs="Times New Roman"/>
        </w:rPr>
        <w:t>ph21091238</w:t>
      </w:r>
    </w:p>
    <w:p w14:paraId="1D0E5D6D"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rPr>
        <w:t>Pisaneschi, G., et al. (2024). Optimal social distancing in epidemic control: Cost prioritization, adherence and insights into preparedness principles. Scientific Reports, 14, 4365.</w:t>
      </w:r>
    </w:p>
    <w:p w14:paraId="4B22ED59"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rPr>
        <w:t>Presidential Advisory Council on Combating Antibiotic-Resistant</w:t>
      </w:r>
      <w:r w:rsidRPr="00F53EF8">
        <w:rPr>
          <w:rFonts w:ascii="Times New Roman" w:hAnsi="Times New Roman" w:cs="Times New Roman"/>
        </w:rPr>
        <w:t xml:space="preserve"> Bacteria. (2023). Preparing for the next pandemic in the era of antimicrobial resistance. U.S. Department of Health and Human Services.</w:t>
      </w:r>
    </w:p>
    <w:p w14:paraId="15F84581"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rPr>
        <w:t xml:space="preserve">Radford, K. H., Karanikolos, M., &amp; Cylus, J. (2024). Pandemic preparedness and health system resilience in 14 European </w:t>
      </w:r>
      <w:r w:rsidRPr="00F53EF8">
        <w:rPr>
          <w:rFonts w:ascii="Times New Roman" w:hAnsi="Times New Roman" w:cs="Times New Roman"/>
        </w:rPr>
        <w:t>countries. Bulletin of the World Health Organization, 102(8), 571-581. https://doi.org/10.2471/BLT.23.290509</w:t>
      </w:r>
    </w:p>
    <w:p w14:paraId="708F14FE"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rPr>
        <w:t>RAND Corporation. (2024). Bringing new technologies to bear for biosurveillance. https://www.rand.org/pubs/commentary/2024/04/bringing-new-technolo</w:t>
      </w:r>
      <w:r w:rsidRPr="00F53EF8">
        <w:rPr>
          <w:rFonts w:ascii="Times New Roman" w:hAnsi="Times New Roman" w:cs="Times New Roman"/>
        </w:rPr>
        <w:t>gies-to-bear-for-biosurveillance.html</w:t>
      </w:r>
    </w:p>
    <w:p w14:paraId="3C2537C7"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rPr>
        <w:t>Sagan, A., Thomas, S., Webb, E., et al. (2024). Assessing resilience of a health system is difficult but necessary to prepare for the next crisis. Health Policy, 142, 105013.</w:t>
      </w:r>
    </w:p>
    <w:p w14:paraId="7AD9AF85"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rPr>
        <w:t>Spieske, A., Gebhardt, M., Kopyto, M., &amp; Bi</w:t>
      </w:r>
      <w:r w:rsidRPr="00F53EF8">
        <w:rPr>
          <w:rFonts w:ascii="Times New Roman" w:hAnsi="Times New Roman" w:cs="Times New Roman"/>
        </w:rPr>
        <w:t>rkel, H. (2022). Improving resilience of the healthcare supply chain in a pandemic: Evidence from Europe during the COVID-19 crisis. Journal of Purchasing and Supply Management, 28(5), 100748.</w:t>
      </w:r>
    </w:p>
    <w:p w14:paraId="0C2F868B"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rPr>
        <w:t xml:space="preserve">Tan, Y. R., Wong, B. L. H., Kiwuwa-Muyingo, S., et al. (2024). </w:t>
      </w:r>
      <w:r w:rsidRPr="00F53EF8">
        <w:rPr>
          <w:rFonts w:ascii="Times New Roman" w:hAnsi="Times New Roman" w:cs="Times New Roman"/>
        </w:rPr>
        <w:t>A digitally-enabled, science-based global pandemic preparedness and response scheme: How ready are we for the next pandemic? Frontiers in Public Health, 12, 1429615. https://doi.org/10.3389/fpubh.2024.1429615</w:t>
      </w:r>
    </w:p>
    <w:p w14:paraId="1649347A"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rPr>
        <w:t>The White House. (2024). Office of Pandemic Pre</w:t>
      </w:r>
      <w:r w:rsidRPr="00F53EF8">
        <w:rPr>
          <w:rFonts w:ascii="Times New Roman" w:hAnsi="Times New Roman" w:cs="Times New Roman"/>
        </w:rPr>
        <w:t>paredness and Response Policy. https://bidenwhitehouse.archives.gov/oppr/</w:t>
      </w:r>
    </w:p>
    <w:p w14:paraId="116EE5B8"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rPr>
        <w:lastRenderedPageBreak/>
        <w:t>Tille, F., Van Ginneken, E., Winkelmann, J., et al. (2023). Health systems resilience during COVID-19. Frontiers in Public Health, 10, 1058729. https://doi.org/10.3389/fpubh.2022.105</w:t>
      </w:r>
      <w:r w:rsidRPr="00F53EF8">
        <w:rPr>
          <w:rFonts w:ascii="Times New Roman" w:hAnsi="Times New Roman" w:cs="Times New Roman"/>
        </w:rPr>
        <w:t>8729</w:t>
      </w:r>
    </w:p>
    <w:p w14:paraId="666F7C90"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rPr>
        <w:t>Tonga, C., Verdonck, K., et al. (2024). How is health system resilience being assessed? A scoping review. International Journal of Health Policy and Management, 13, 8097. https://doi.org/10.34172/ijhpm.8097</w:t>
      </w:r>
    </w:p>
    <w:p w14:paraId="5E0A8D68"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rPr>
        <w:t>Trust for America's Health. (2024). Ready or</w:t>
      </w:r>
      <w:r w:rsidRPr="00F53EF8">
        <w:rPr>
          <w:rFonts w:ascii="Times New Roman" w:hAnsi="Times New Roman" w:cs="Times New Roman"/>
        </w:rPr>
        <w:t xml:space="preserve"> not 2024: Protecting the public's health from diseases, disasters, and bioterrorism. https://www.tfah.org/report-details/ready-or-not-2024/</w:t>
      </w:r>
    </w:p>
    <w:p w14:paraId="55DFBA9A"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rPr>
        <w:t>Trust for America's Health. (2025). Ready or not 2025: Protecting the public's health from diseases, disasters, and</w:t>
      </w:r>
      <w:r w:rsidRPr="00F53EF8">
        <w:rPr>
          <w:rFonts w:ascii="Times New Roman" w:hAnsi="Times New Roman" w:cs="Times New Roman"/>
        </w:rPr>
        <w:t xml:space="preserve"> bioterrorism. https://www.tfah.org/report-details/ready-or-not-2025-protecting-the-publics-health-from-diseases-disasters-and-bioterrorism/</w:t>
      </w:r>
    </w:p>
    <w:p w14:paraId="03068E66"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rPr>
        <w:t>U.S. Congress. (2024). Pandemic and All-Hazards Preparedness and Response Act (S.2333, 118th Congress). https://www</w:t>
      </w:r>
      <w:r w:rsidRPr="00F53EF8">
        <w:rPr>
          <w:rFonts w:ascii="Times New Roman" w:hAnsi="Times New Roman" w:cs="Times New Roman"/>
        </w:rPr>
        <w:t>.congress.gov/bill/118th-congress/senate-bill/2333/text</w:t>
      </w:r>
    </w:p>
    <w:p w14:paraId="2D919A79"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rPr>
        <w:t>U.S. Department of Health and Human Services, Office of the Assistant Secretary for Preparedness and Response. (n.d.). Measuring preparedness for public health and health care emergencies. https://asp</w:t>
      </w:r>
      <w:r w:rsidRPr="00F53EF8">
        <w:rPr>
          <w:rFonts w:ascii="Times New Roman" w:hAnsi="Times New Roman" w:cs="Times New Roman"/>
        </w:rPr>
        <w:t>e.hhs.gov/sites/default/files/documents/ff2e6f2963400dcd00e0132fb9870525/preparedness-metrics-report.pdf</w:t>
      </w:r>
    </w:p>
    <w:p w14:paraId="45DFEF5F"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rPr>
        <w:t>U.S. Government Accountability Office. (2023). Public health preparedness: Building and maintaining infrastructure beyond the COVID-19 pandemic (GAO-24</w:t>
      </w:r>
      <w:r w:rsidRPr="00F53EF8">
        <w:rPr>
          <w:rFonts w:ascii="Times New Roman" w:hAnsi="Times New Roman" w:cs="Times New Roman"/>
        </w:rPr>
        <w:t>-105891). https://www.gao.gov/products/gao-24-105891</w:t>
      </w:r>
    </w:p>
    <w:p w14:paraId="3AEEF112"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rPr>
        <w:t>U.S. House Committee on Oversight and Accountability, Select Subcommittee on the Coronavirus Pandemic. (2024). After action review of the COVID-19 pandemic: The lessons learned and a path forward.</w:t>
      </w:r>
    </w:p>
    <w:p w14:paraId="7BA3060B"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rPr>
        <w:t>Villalobos Rodríguez, A. P., Perkins, I. W., Moosavi, S., et al. (2025). Pandemic preparedness: Analyzing national plans for respiratory pathogen pandemics in the Americas region. Journal of Infectious Diseases, 231(Supplement 2), S90-S99. https://doi.org/</w:t>
      </w:r>
      <w:r w:rsidRPr="00F53EF8">
        <w:rPr>
          <w:rFonts w:ascii="Times New Roman" w:hAnsi="Times New Roman" w:cs="Times New Roman"/>
        </w:rPr>
        <w:t>10.1093/infdis/jiaf047</w:t>
      </w:r>
    </w:p>
    <w:p w14:paraId="382BD147"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rPr>
        <w:t>Waller, A. E., Scholer, M., et al. (2010). Using emergency department data for biosurveillance: The North Carolina experience. In Infectious disease informatics and biosurveillance (pp. 45-66). Springer. https://doi.org/10.1007/978-1</w:t>
      </w:r>
      <w:r w:rsidRPr="00F53EF8">
        <w:rPr>
          <w:rFonts w:ascii="Times New Roman" w:hAnsi="Times New Roman" w:cs="Times New Roman"/>
        </w:rPr>
        <w:t>-4419-6892-0_3</w:t>
      </w:r>
    </w:p>
    <w:p w14:paraId="04085F3F"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rPr>
        <w:t>World Health Organization. (2023). Future surveillance for epidemic and pandemic diseases: A 2023 perspective. https://www.who.int/publications/i/item/9789240080959</w:t>
      </w:r>
    </w:p>
    <w:p w14:paraId="503AAE2E"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rPr>
        <w:t>World Health Organization. (2025). WHO launches new country guidance for hea</w:t>
      </w:r>
      <w:r w:rsidRPr="00F53EF8">
        <w:rPr>
          <w:rFonts w:ascii="Times New Roman" w:hAnsi="Times New Roman" w:cs="Times New Roman"/>
        </w:rPr>
        <w:t>lth emergency coordination. https://www.who.int/news/item/23-10-2025-who-launches-new-country-guidance-for-health-emergency-coordination</w:t>
      </w:r>
    </w:p>
    <w:p w14:paraId="763900AF"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rPr>
        <w:t>Yildirim, M., Kordestani, A., et al. (2025). Exploring pandemic preparedness through public perception and its impact o</w:t>
      </w:r>
      <w:r w:rsidRPr="00F53EF8">
        <w:rPr>
          <w:rFonts w:ascii="Times New Roman" w:hAnsi="Times New Roman" w:cs="Times New Roman"/>
        </w:rPr>
        <w:t>n health service quality, attitudes, and healthcare image. Scientific Reports, 15, 17545. https://doi.org/10.1038/s41598-025-95488-8</w:t>
      </w:r>
    </w:p>
    <w:p w14:paraId="03DC41F3"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rPr>
        <w:t xml:space="preserve">Zhang, Y., Chen, M., &amp; Meng, Q. (2023). Evaluation of health system resilience in 60 countries based on their responses to </w:t>
      </w:r>
      <w:r w:rsidRPr="00F53EF8">
        <w:rPr>
          <w:rFonts w:ascii="Times New Roman" w:hAnsi="Times New Roman" w:cs="Times New Roman"/>
        </w:rPr>
        <w:t>COVID-19. Frontiers in Public Health, 10, 1081068. https://doi.org/10.3389/fpubh.2022.1081068</w:t>
      </w:r>
    </w:p>
    <w:p w14:paraId="33DAAADF" w14:textId="77777777" w:rsidR="00C96183" w:rsidRPr="00F53EF8" w:rsidRDefault="00BA2E0F">
      <w:pPr>
        <w:spacing w:after="120"/>
        <w:jc w:val="both"/>
        <w:rPr>
          <w:rFonts w:ascii="Times New Roman" w:hAnsi="Times New Roman" w:cs="Times New Roman"/>
        </w:rPr>
      </w:pPr>
      <w:r w:rsidRPr="00F53EF8">
        <w:rPr>
          <w:rFonts w:ascii="Times New Roman" w:hAnsi="Times New Roman" w:cs="Times New Roman"/>
        </w:rPr>
        <w:lastRenderedPageBreak/>
        <w:t>Zhao, Y., et al. (2024). Anti-pandemic resilience assessment of countries along the Belt and Road. Frontiers in Public Health, 12.</w:t>
      </w:r>
    </w:p>
    <w:p w14:paraId="66D9EB33" w14:textId="77777777" w:rsidR="00C96183" w:rsidRDefault="00BA2E0F">
      <w:pPr>
        <w:jc w:val="both"/>
        <w:rPr>
          <w:rFonts w:ascii="Times New Roman" w:hAnsi="Times New Roman" w:cs="Times New Roman"/>
        </w:rPr>
      </w:pPr>
      <w:r w:rsidRPr="00F53EF8">
        <w:rPr>
          <w:rFonts w:ascii="Times New Roman" w:hAnsi="Times New Roman" w:cs="Times New Roman"/>
        </w:rPr>
        <w:t xml:space="preserve">Zhong, L., Lopez, D., Pei, S., </w:t>
      </w:r>
      <w:r w:rsidRPr="00F53EF8">
        <w:rPr>
          <w:rFonts w:ascii="Times New Roman" w:hAnsi="Times New Roman" w:cs="Times New Roman"/>
        </w:rPr>
        <w:t>et al. (2024). Healthcare system resilience and adaptability to pandemic disruptions in the United States. Nature Medicine, 30, 2311-2319. https://doi.org/10.1038/s41591-024-03103-6</w:t>
      </w:r>
    </w:p>
    <w:sectPr w:rsidR="00C9618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097F35" w14:textId="77777777" w:rsidR="00BA2E0F" w:rsidRDefault="00BA2E0F" w:rsidP="00042E4E">
      <w:r>
        <w:separator/>
      </w:r>
    </w:p>
  </w:endnote>
  <w:endnote w:type="continuationSeparator" w:id="0">
    <w:p w14:paraId="186009C7" w14:textId="77777777" w:rsidR="00BA2E0F" w:rsidRDefault="00BA2E0F" w:rsidP="00042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DFF63" w14:textId="77777777" w:rsidR="00042E4E" w:rsidRDefault="00042E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74FFB" w14:textId="77777777" w:rsidR="00042E4E" w:rsidRDefault="00042E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B8352" w14:textId="77777777" w:rsidR="00042E4E" w:rsidRDefault="00042E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90AFA" w14:textId="77777777" w:rsidR="00BA2E0F" w:rsidRDefault="00BA2E0F" w:rsidP="00042E4E">
      <w:r>
        <w:separator/>
      </w:r>
    </w:p>
  </w:footnote>
  <w:footnote w:type="continuationSeparator" w:id="0">
    <w:p w14:paraId="32E4B8F8" w14:textId="77777777" w:rsidR="00BA2E0F" w:rsidRDefault="00BA2E0F" w:rsidP="00042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50646" w14:textId="6125F05D" w:rsidR="00042E4E" w:rsidRDefault="00042E4E">
    <w:pPr>
      <w:pStyle w:val="Header"/>
    </w:pPr>
    <w:r>
      <w:rPr>
        <w:noProof/>
      </w:rPr>
      <w:pict w14:anchorId="2B7FCE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563563"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ECFD7" w14:textId="6BC7978A" w:rsidR="00042E4E" w:rsidRDefault="00042E4E">
    <w:pPr>
      <w:pStyle w:val="Header"/>
    </w:pPr>
    <w:r>
      <w:rPr>
        <w:noProof/>
      </w:rPr>
      <w:pict w14:anchorId="04632D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563564"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4C7F6" w14:textId="21A90263" w:rsidR="00042E4E" w:rsidRDefault="00042E4E">
    <w:pPr>
      <w:pStyle w:val="Header"/>
    </w:pPr>
    <w:r>
      <w:rPr>
        <w:noProof/>
      </w:rPr>
      <w:pict w14:anchorId="7145E6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563562"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927AC68A"/>
    <w:lvl w:ilvl="0" w:tplc="2C562E10">
      <w:start w:val="1"/>
      <w:numFmt w:val="bullet"/>
      <w:lvlText w:val="•"/>
      <w:lvlJc w:val="left"/>
      <w:pPr>
        <w:ind w:left="720" w:hanging="360"/>
      </w:pPr>
    </w:lvl>
    <w:lvl w:ilvl="1" w:tplc="70D04AB4">
      <w:start w:val="1"/>
      <w:numFmt w:val="decimal"/>
      <w:lvlText w:val=""/>
      <w:lvlJc w:val="left"/>
    </w:lvl>
    <w:lvl w:ilvl="2" w:tplc="5F9A18EA">
      <w:start w:val="1"/>
      <w:numFmt w:val="decimal"/>
      <w:lvlText w:val=""/>
      <w:lvlJc w:val="left"/>
    </w:lvl>
    <w:lvl w:ilvl="3" w:tplc="0B006194">
      <w:start w:val="1"/>
      <w:numFmt w:val="decimal"/>
      <w:lvlText w:val=""/>
      <w:lvlJc w:val="left"/>
    </w:lvl>
    <w:lvl w:ilvl="4" w:tplc="F8E2AC0C">
      <w:start w:val="1"/>
      <w:numFmt w:val="decimal"/>
      <w:lvlText w:val=""/>
      <w:lvlJc w:val="left"/>
    </w:lvl>
    <w:lvl w:ilvl="5" w:tplc="C5504716">
      <w:start w:val="1"/>
      <w:numFmt w:val="decimal"/>
      <w:lvlText w:val=""/>
      <w:lvlJc w:val="left"/>
    </w:lvl>
    <w:lvl w:ilvl="6" w:tplc="7C5C5406">
      <w:start w:val="1"/>
      <w:numFmt w:val="decimal"/>
      <w:lvlText w:val=""/>
      <w:lvlJc w:val="left"/>
    </w:lvl>
    <w:lvl w:ilvl="7" w:tplc="C396D102">
      <w:start w:val="1"/>
      <w:numFmt w:val="decimal"/>
      <w:lvlText w:val=""/>
      <w:lvlJc w:val="left"/>
    </w:lvl>
    <w:lvl w:ilvl="8" w:tplc="F15ABE14">
      <w:start w:val="1"/>
      <w:numFmt w:val="decimal"/>
      <w:lvlText w:val=""/>
      <w:lvlJc w:val="left"/>
    </w:lvl>
  </w:abstractNum>
  <w:abstractNum w:abstractNumId="1" w15:restartNumberingAfterBreak="0">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E34874"/>
    <w:multiLevelType w:val="hybridMultilevel"/>
    <w:tmpl w:val="386CE91C"/>
    <w:lvl w:ilvl="0" w:tplc="824ABEE2">
      <w:start w:val="1"/>
      <w:numFmt w:val="bullet"/>
      <w:lvlText w:val="●"/>
      <w:lvlJc w:val="left"/>
      <w:pPr>
        <w:ind w:left="720" w:hanging="360"/>
      </w:pPr>
    </w:lvl>
    <w:lvl w:ilvl="1" w:tplc="8F0A1AE4">
      <w:start w:val="1"/>
      <w:numFmt w:val="bullet"/>
      <w:lvlText w:val="○"/>
      <w:lvlJc w:val="left"/>
      <w:pPr>
        <w:ind w:left="1440" w:hanging="360"/>
      </w:pPr>
    </w:lvl>
    <w:lvl w:ilvl="2" w:tplc="F25EA292">
      <w:start w:val="1"/>
      <w:numFmt w:val="bullet"/>
      <w:lvlText w:val="■"/>
      <w:lvlJc w:val="left"/>
      <w:pPr>
        <w:ind w:left="2160" w:hanging="360"/>
      </w:pPr>
    </w:lvl>
    <w:lvl w:ilvl="3" w:tplc="490CE452">
      <w:start w:val="1"/>
      <w:numFmt w:val="bullet"/>
      <w:lvlText w:val="●"/>
      <w:lvlJc w:val="left"/>
      <w:pPr>
        <w:ind w:left="2880" w:hanging="360"/>
      </w:pPr>
    </w:lvl>
    <w:lvl w:ilvl="4" w:tplc="D084EE40">
      <w:start w:val="1"/>
      <w:numFmt w:val="bullet"/>
      <w:lvlText w:val="○"/>
      <w:lvlJc w:val="left"/>
      <w:pPr>
        <w:ind w:left="3600" w:hanging="360"/>
      </w:pPr>
    </w:lvl>
    <w:lvl w:ilvl="5" w:tplc="996AE6DE">
      <w:start w:val="1"/>
      <w:numFmt w:val="bullet"/>
      <w:lvlText w:val="■"/>
      <w:lvlJc w:val="left"/>
      <w:pPr>
        <w:ind w:left="4320" w:hanging="360"/>
      </w:pPr>
    </w:lvl>
    <w:lvl w:ilvl="6" w:tplc="8634F97A">
      <w:start w:val="1"/>
      <w:numFmt w:val="bullet"/>
      <w:lvlText w:val="●"/>
      <w:lvlJc w:val="left"/>
      <w:pPr>
        <w:ind w:left="5040" w:hanging="360"/>
      </w:pPr>
    </w:lvl>
    <w:lvl w:ilvl="7" w:tplc="68CCD01E">
      <w:start w:val="1"/>
      <w:numFmt w:val="bullet"/>
      <w:lvlText w:val="●"/>
      <w:lvlJc w:val="left"/>
      <w:pPr>
        <w:ind w:left="5760" w:hanging="360"/>
      </w:pPr>
    </w:lvl>
    <w:lvl w:ilvl="8" w:tplc="8DA802AE">
      <w:start w:val="1"/>
      <w:numFmt w:val="bullet"/>
      <w:lvlText w:val="●"/>
      <w:lvlJc w:val="left"/>
      <w:pPr>
        <w:ind w:left="6480" w:hanging="360"/>
      </w:pPr>
    </w:lvl>
  </w:abstractNum>
  <w:num w:numId="1">
    <w:abstractNumId w:val="1"/>
  </w:num>
  <w:num w:numId="2">
    <w:abstractNumId w:val="0"/>
    <w:lvlOverride w:ilvl="0">
      <w:startOverride w:val="1"/>
    </w:lvlOverride>
  </w:num>
  <w:num w:numId="3">
    <w:abstractNumId w:val="3"/>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183"/>
    <w:rsid w:val="00042E4E"/>
    <w:rsid w:val="00215631"/>
    <w:rsid w:val="0033539C"/>
    <w:rsid w:val="00451139"/>
    <w:rsid w:val="00B3017F"/>
    <w:rsid w:val="00BA2E0F"/>
    <w:rsid w:val="00C96183"/>
    <w:rsid w:val="00F53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7F2D96"/>
  <w15:docId w15:val="{485E2A6D-E55F-410C-BFA4-379831484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spacing w:before="240" w:after="240"/>
      <w:outlineLvl w:val="0"/>
    </w:pPr>
    <w:rPr>
      <w:b/>
      <w:bCs/>
      <w:sz w:val="32"/>
      <w:szCs w:val="32"/>
    </w:rPr>
  </w:style>
  <w:style w:type="paragraph" w:styleId="Heading2">
    <w:name w:val="heading 2"/>
    <w:uiPriority w:val="9"/>
    <w:unhideWhenUsed/>
    <w:qFormat/>
    <w:pPr>
      <w:spacing w:before="180" w:after="180"/>
      <w:outlineLvl w:val="1"/>
    </w:pPr>
    <w:rPr>
      <w:b/>
      <w:bCs/>
      <w:sz w:val="28"/>
      <w:szCs w:val="28"/>
    </w:rPr>
  </w:style>
  <w:style w:type="paragraph" w:styleId="Heading3">
    <w:name w:val="heading 3"/>
    <w:uiPriority w:val="9"/>
    <w:unhideWhenUsed/>
    <w:qFormat/>
    <w:pPr>
      <w:spacing w:before="160" w:after="160"/>
      <w:outlineLvl w:val="2"/>
    </w:pPr>
    <w:rPr>
      <w:b/>
      <w:bCs/>
      <w:sz w:val="26"/>
      <w:szCs w:val="26"/>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rPr>
      <w:color w:val="0563C1"/>
      <w:u w:val="single"/>
    </w:rPr>
  </w:style>
  <w:style w:type="character" w:styleId="FootnoteReference">
    <w:name w:val="footnote reference"/>
    <w:uiPriority w:val="99"/>
    <w:rPr>
      <w:vertAlign w:val="superscript"/>
    </w:rPr>
  </w:style>
  <w:style w:type="paragraph" w:styleId="FootnoteText">
    <w:name w:val="footnote text"/>
    <w:link w:val="FootnoteTextChar"/>
    <w:uiPriority w:val="99"/>
    <w:rPr>
      <w:sz w:val="20"/>
      <w:szCs w:val="20"/>
    </w:rPr>
  </w:style>
  <w:style w:type="character" w:customStyle="1" w:styleId="FootnoteTextChar">
    <w:name w:val="Footnote Text Char"/>
    <w:link w:val="FootnoteText"/>
    <w:uiPriority w:val="99"/>
    <w:rPr>
      <w:sz w:val="20"/>
      <w:szCs w:val="20"/>
    </w:rPr>
  </w:style>
  <w:style w:type="table" w:customStyle="1" w:styleId="GridTable41">
    <w:name w:val="Grid Table 41"/>
    <w:basedOn w:val="TableNormal"/>
    <w:uiPriority w:val="4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1Light1">
    <w:name w:val="Grid Table 1 Light1"/>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BodyText">
    <w:name w:val="Body Text"/>
    <w:basedOn w:val="Normal"/>
    <w:qFormat/>
    <w:pPr>
      <w:spacing w:before="180" w:after="180"/>
    </w:pPr>
    <w:rPr>
      <w:rFonts w:ascii="Times New Roman" w:eastAsia="SimSun" w:hAnsi="Times New Roman" w:cs="Times New Roman"/>
      <w:sz w:val="21"/>
    </w:rPr>
  </w:style>
  <w:style w:type="paragraph" w:customStyle="1" w:styleId="Compact">
    <w:name w:val="&quot;Compact&quot;"/>
    <w:basedOn w:val="BodyText"/>
    <w:qFormat/>
    <w:pPr>
      <w:spacing w:before="36" w:after="36"/>
    </w:pPr>
  </w:style>
  <w:style w:type="paragraph" w:customStyle="1" w:styleId="Heading20">
    <w:name w:val="&quot;Heading 2&quot;"/>
    <w:basedOn w:val="Normal"/>
    <w:qFormat/>
    <w:pPr>
      <w:keepNext/>
      <w:keepLines/>
      <w:widowControl w:val="0"/>
      <w:spacing w:before="200"/>
      <w:outlineLvl w:val="1"/>
    </w:pPr>
    <w:rPr>
      <w:rFonts w:ascii="Calibri" w:eastAsia="SimSun" w:hAnsi="Calibri" w:cs="SimSun"/>
      <w:b/>
      <w:bCs/>
      <w:color w:val="4F81BD"/>
      <w:sz w:val="28"/>
      <w:szCs w:val="28"/>
    </w:rPr>
  </w:style>
  <w:style w:type="paragraph" w:customStyle="1" w:styleId="Heading10">
    <w:name w:val="&quot;Heading 1&quot;"/>
    <w:basedOn w:val="Normal"/>
    <w:qFormat/>
    <w:pPr>
      <w:keepNext/>
      <w:keepLines/>
      <w:widowControl w:val="0"/>
      <w:spacing w:before="480"/>
      <w:outlineLvl w:val="0"/>
    </w:pPr>
    <w:rPr>
      <w:rFonts w:ascii="Calibri" w:eastAsia="SimSun" w:hAnsi="Calibri" w:cs="SimSun"/>
      <w:b/>
      <w:bCs/>
      <w:color w:val="4F81BD"/>
      <w:sz w:val="32"/>
      <w:szCs w:val="32"/>
    </w:rPr>
  </w:style>
  <w:style w:type="paragraph" w:customStyle="1" w:styleId="FirstParagraph">
    <w:name w:val="&quot;First Paragraph&quot;"/>
    <w:basedOn w:val="BodyText"/>
    <w:qFormat/>
  </w:style>
  <w:style w:type="paragraph" w:customStyle="1" w:styleId="Heading40">
    <w:name w:val="&quot;Heading 4&quot;"/>
    <w:basedOn w:val="Normal"/>
    <w:qFormat/>
    <w:pPr>
      <w:keepNext/>
      <w:keepLines/>
      <w:widowControl w:val="0"/>
      <w:spacing w:before="200"/>
      <w:outlineLvl w:val="3"/>
    </w:pPr>
    <w:rPr>
      <w:rFonts w:ascii="Calibri" w:eastAsia="SimSun" w:hAnsi="Calibri" w:cs="SimSun"/>
      <w:i/>
      <w:iCs/>
      <w:color w:val="4F81BD"/>
    </w:rPr>
  </w:style>
  <w:style w:type="paragraph" w:customStyle="1" w:styleId="Heading30">
    <w:name w:val="&quot;Heading 3&quot;"/>
    <w:basedOn w:val="Normal"/>
    <w:qFormat/>
    <w:pPr>
      <w:keepNext/>
      <w:keepLines/>
      <w:widowControl w:val="0"/>
      <w:spacing w:before="200"/>
      <w:outlineLvl w:val="2"/>
    </w:pPr>
    <w:rPr>
      <w:rFonts w:ascii="Calibri" w:eastAsia="SimSun" w:hAnsi="Calibri" w:cs="SimSun"/>
      <w:b/>
      <w:bCs/>
      <w:color w:val="4F81BD"/>
    </w:rPr>
  </w:style>
  <w:style w:type="paragraph" w:customStyle="1" w:styleId="SourceCode">
    <w:name w:val="&quot;Source Code&quot;"/>
    <w:basedOn w:val="Normal"/>
    <w:pPr>
      <w:wordWrap w:val="0"/>
    </w:pPr>
    <w:rPr>
      <w:rFonts w:ascii="Times New Roman" w:eastAsia="SimSun" w:hAnsi="Times New Roman" w:cs="Times New Roman"/>
      <w:sz w:val="21"/>
    </w:rPr>
  </w:style>
  <w:style w:type="paragraph" w:styleId="Header">
    <w:name w:val="header"/>
    <w:basedOn w:val="Normal"/>
    <w:link w:val="HeaderChar"/>
    <w:uiPriority w:val="99"/>
    <w:unhideWhenUsed/>
    <w:rsid w:val="00042E4E"/>
    <w:pPr>
      <w:tabs>
        <w:tab w:val="center" w:pos="4680"/>
        <w:tab w:val="right" w:pos="9360"/>
      </w:tabs>
    </w:pPr>
  </w:style>
  <w:style w:type="character" w:customStyle="1" w:styleId="HeaderChar">
    <w:name w:val="Header Char"/>
    <w:basedOn w:val="DefaultParagraphFont"/>
    <w:link w:val="Header"/>
    <w:uiPriority w:val="99"/>
    <w:rsid w:val="00042E4E"/>
  </w:style>
  <w:style w:type="paragraph" w:styleId="Footer">
    <w:name w:val="footer"/>
    <w:basedOn w:val="Normal"/>
    <w:link w:val="FooterChar"/>
    <w:uiPriority w:val="99"/>
    <w:unhideWhenUsed/>
    <w:rsid w:val="00042E4E"/>
    <w:pPr>
      <w:tabs>
        <w:tab w:val="center" w:pos="4680"/>
        <w:tab w:val="right" w:pos="9360"/>
      </w:tabs>
    </w:pPr>
  </w:style>
  <w:style w:type="character" w:customStyle="1" w:styleId="FooterChar">
    <w:name w:val="Footer Char"/>
    <w:basedOn w:val="DefaultParagraphFont"/>
    <w:link w:val="Footer"/>
    <w:uiPriority w:val="99"/>
    <w:rsid w:val="00042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21</Pages>
  <Words>7909</Words>
  <Characters>45082</Characters>
  <Application>Microsoft Office Word</Application>
  <DocSecurity>0</DocSecurity>
  <Lines>375</Lines>
  <Paragraphs>105</Paragraphs>
  <ScaleCrop>false</ScaleCrop>
  <Company/>
  <LinksUpToDate>false</LinksUpToDate>
  <CharactersWithSpaces>52886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7</cp:revision>
  <dcterms:created xsi:type="dcterms:W3CDTF">2026-02-16T13:38:00Z</dcterms:created>
  <dcterms:modified xsi:type="dcterms:W3CDTF">2026-03-26T13:37:00Z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814a81318fa04797bf32a92e9d7fd6ca</vt:lpwstr>
  </property>
</Properties>
</file>