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ADB6BF" w14:textId="77777777" w:rsidR="00086A58" w:rsidRDefault="009B1C7A">
      <w:pPr>
        <w:pStyle w:val="Heading3"/>
        <w:keepNext w:val="0"/>
        <w:keepLines w:val="0"/>
        <w:spacing w:before="280"/>
        <w:jc w:val="center"/>
        <w:rPr>
          <w:rFonts w:ascii="Times New Roman" w:eastAsia="Times New Roman" w:hAnsi="Times New Roman" w:cs="Times New Roman"/>
          <w:b/>
          <w:bCs/>
          <w:color w:val="000000"/>
          <w:sz w:val="36"/>
          <w:szCs w:val="36"/>
          <w:highlight w:val="white"/>
        </w:rPr>
      </w:pPr>
      <w:bookmarkStart w:id="0" w:name="_heading=h.gs2f44vtifr1" w:colFirst="0" w:colLast="0"/>
      <w:bookmarkEnd w:id="0"/>
      <w:r>
        <w:rPr>
          <w:rFonts w:ascii="Times New Roman" w:eastAsia="Times New Roman" w:hAnsi="Times New Roman" w:cs="Times New Roman"/>
          <w:b/>
          <w:bCs/>
          <w:color w:val="000000"/>
          <w:sz w:val="36"/>
          <w:szCs w:val="36"/>
          <w:highlight w:val="white"/>
        </w:rPr>
        <w:t>Teachers' Perspectives on Inclusive Education for Children with Special Needs</w:t>
      </w:r>
    </w:p>
    <w:p w14:paraId="2B487EE0" w14:textId="77777777" w:rsidR="00086A58" w:rsidRDefault="00086A58">
      <w:pPr>
        <w:rPr>
          <w:rFonts w:ascii="Times New Roman" w:eastAsia="Times New Roman" w:hAnsi="Times New Roman" w:cs="Times New Roman"/>
          <w:sz w:val="20"/>
          <w:szCs w:val="20"/>
        </w:rPr>
      </w:pPr>
    </w:p>
    <w:p w14:paraId="173827C7" w14:textId="77777777" w:rsidR="00086A58" w:rsidRDefault="00086A58">
      <w:pPr>
        <w:rPr>
          <w:rFonts w:ascii="Times New Roman" w:eastAsia="Times New Roman" w:hAnsi="Times New Roman" w:cs="Times New Roman"/>
          <w:sz w:val="20"/>
          <w:szCs w:val="20"/>
        </w:rPr>
      </w:pPr>
    </w:p>
    <w:p w14:paraId="41580F5E" w14:textId="77777777" w:rsidR="00137E57" w:rsidRDefault="00137E57">
      <w:pPr>
        <w:pStyle w:val="Heading3"/>
        <w:keepNext w:val="0"/>
        <w:keepLines w:val="0"/>
        <w:spacing w:before="280"/>
        <w:rPr>
          <w:rFonts w:ascii="Times New Roman" w:eastAsia="Times New Roman" w:hAnsi="Times New Roman" w:cs="Times New Roman"/>
          <w:b/>
          <w:bCs/>
          <w:color w:val="000000"/>
          <w:sz w:val="32"/>
          <w:szCs w:val="32"/>
          <w:highlight w:val="white"/>
        </w:rPr>
      </w:pPr>
      <w:bookmarkStart w:id="1" w:name="_heading=h.8udgfzst0tau" w:colFirst="0" w:colLast="0"/>
      <w:bookmarkEnd w:id="1"/>
    </w:p>
    <w:p w14:paraId="2BB37BE5" w14:textId="541B960B" w:rsidR="00086A58" w:rsidRDefault="009B1C7A">
      <w:pPr>
        <w:pStyle w:val="Heading3"/>
        <w:keepNext w:val="0"/>
        <w:keepLines w:val="0"/>
        <w:spacing w:before="280"/>
        <w:rPr>
          <w:rFonts w:ascii="Times New Roman" w:eastAsia="Times New Roman" w:hAnsi="Times New Roman" w:cs="Times New Roman"/>
          <w:b/>
          <w:bCs/>
          <w:color w:val="000000"/>
          <w:sz w:val="32"/>
          <w:szCs w:val="32"/>
          <w:highlight w:val="white"/>
        </w:rPr>
      </w:pPr>
      <w:r>
        <w:rPr>
          <w:rFonts w:ascii="Times New Roman" w:eastAsia="Times New Roman" w:hAnsi="Times New Roman" w:cs="Times New Roman"/>
          <w:b/>
          <w:bCs/>
          <w:color w:val="000000"/>
          <w:sz w:val="32"/>
          <w:szCs w:val="32"/>
          <w:highlight w:val="white"/>
        </w:rPr>
        <w:t>Abstract</w:t>
      </w:r>
    </w:p>
    <w:p w14:paraId="1FA4C248" w14:textId="77777777" w:rsidR="00086A58" w:rsidRDefault="009B1C7A">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This study investigates </w:t>
      </w:r>
      <w:r>
        <w:rPr>
          <w:rFonts w:ascii="Times New Roman" w:eastAsia="Times New Roman" w:hAnsi="Times New Roman" w:cs="Times New Roman"/>
          <w:sz w:val="24"/>
          <w:szCs w:val="24"/>
          <w:highlight w:val="white"/>
        </w:rPr>
        <w:t>teachers' perspectives on inclusive education for children with special needs in Nigerian private schools. The primary purpose is to assess teachers' understanding of inclusive education, their familiarity with effective teaching strategies, and their prep</w:t>
      </w:r>
      <w:r>
        <w:rPr>
          <w:rFonts w:ascii="Times New Roman" w:eastAsia="Times New Roman" w:hAnsi="Times New Roman" w:cs="Times New Roman"/>
          <w:sz w:val="24"/>
          <w:szCs w:val="24"/>
          <w:highlight w:val="white"/>
        </w:rPr>
        <w:t>aredness to implement inclusive practices. A structured questionnaire was distributed to 64 teachers across three private schools in Anambra State, Nigeria. The findings indicate that while teachers generally have a strong understanding of the core concept</w:t>
      </w:r>
      <w:r>
        <w:rPr>
          <w:rFonts w:ascii="Times New Roman" w:eastAsia="Times New Roman" w:hAnsi="Times New Roman" w:cs="Times New Roman"/>
          <w:sz w:val="24"/>
          <w:szCs w:val="24"/>
          <w:highlight w:val="white"/>
        </w:rPr>
        <w:t>s of inclusive education, there are notable gaps in their knowledge of specialized teaching strategies and the use of assistive technologies. Additionally, the study highlights significant challenges related to inadequate teacher training, insufficient res</w:t>
      </w:r>
      <w:r>
        <w:rPr>
          <w:rFonts w:ascii="Times New Roman" w:eastAsia="Times New Roman" w:hAnsi="Times New Roman" w:cs="Times New Roman"/>
          <w:sz w:val="24"/>
          <w:szCs w:val="24"/>
          <w:highlight w:val="white"/>
        </w:rPr>
        <w:t>ources, and lack of institutional support, which hinder the effective implementation of inclusive education practices. Teachers expressed a strong desire for further professional development, with 93.2% indicating a willingness to engage in additional trai</w:t>
      </w:r>
      <w:r>
        <w:rPr>
          <w:rFonts w:ascii="Times New Roman" w:eastAsia="Times New Roman" w:hAnsi="Times New Roman" w:cs="Times New Roman"/>
          <w:sz w:val="24"/>
          <w:szCs w:val="24"/>
          <w:highlight w:val="white"/>
        </w:rPr>
        <w:t>ning. The study emphasizes the need for targeted professional development programs to enhance teachers' competencies in inclusive education, including training in specialized teaching methods and assistive technologies. Furthermore, resource allocation mus</w:t>
      </w:r>
      <w:r>
        <w:rPr>
          <w:rFonts w:ascii="Times New Roman" w:eastAsia="Times New Roman" w:hAnsi="Times New Roman" w:cs="Times New Roman"/>
          <w:sz w:val="24"/>
          <w:szCs w:val="24"/>
          <w:highlight w:val="white"/>
        </w:rPr>
        <w:t>t be improved to support the integration of children with special needs into mainstream classrooms. The findings suggest that a collaborative approach among teachers, special education staff, and school administrators is essential for creating a truly incl</w:t>
      </w:r>
      <w:r>
        <w:rPr>
          <w:rFonts w:ascii="Times New Roman" w:eastAsia="Times New Roman" w:hAnsi="Times New Roman" w:cs="Times New Roman"/>
          <w:sz w:val="24"/>
          <w:szCs w:val="24"/>
          <w:highlight w:val="white"/>
        </w:rPr>
        <w:t>usive environment. This study contributes to the growing body of research on inclusive education and provides practical recommendations for policy reforms to support inclusive practices in Nigerian schools.</w:t>
      </w:r>
    </w:p>
    <w:p w14:paraId="0EBDFF94" w14:textId="77777777" w:rsidR="00086A58" w:rsidRDefault="00086A58">
      <w:pPr>
        <w:shd w:val="clear" w:color="auto" w:fill="FFFFFF"/>
        <w:jc w:val="both"/>
        <w:rPr>
          <w:rFonts w:ascii="Bell MT" w:eastAsia="Bell MT" w:hAnsi="Bell MT" w:cs="Bell MT"/>
          <w:sz w:val="20"/>
          <w:szCs w:val="20"/>
        </w:rPr>
      </w:pPr>
    </w:p>
    <w:p w14:paraId="2A0285D1"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Keywords</w:t>
      </w:r>
      <w:r>
        <w:rPr>
          <w:rFonts w:ascii="Times New Roman" w:eastAsia="Times New Roman" w:hAnsi="Times New Roman" w:cs="Times New Roman"/>
          <w:sz w:val="24"/>
          <w:szCs w:val="24"/>
          <w:highlight w:val="white"/>
        </w:rPr>
        <w:t>: Inclusive education, Special needs, Te</w:t>
      </w:r>
      <w:r>
        <w:rPr>
          <w:rFonts w:ascii="Times New Roman" w:eastAsia="Times New Roman" w:hAnsi="Times New Roman" w:cs="Times New Roman"/>
          <w:sz w:val="24"/>
          <w:szCs w:val="24"/>
          <w:highlight w:val="white"/>
        </w:rPr>
        <w:t>acher’s perspectives, Professional development, Nigeria, Teaching strategies</w:t>
      </w:r>
    </w:p>
    <w:p w14:paraId="3DD46D7B" w14:textId="77777777" w:rsidR="00086A58" w:rsidRDefault="00086A58">
      <w:pPr>
        <w:jc w:val="both"/>
        <w:rPr>
          <w:rFonts w:ascii="Times New Roman" w:eastAsia="Times New Roman" w:hAnsi="Times New Roman" w:cs="Times New Roman"/>
          <w:sz w:val="24"/>
          <w:szCs w:val="24"/>
          <w:highlight w:val="white"/>
        </w:rPr>
      </w:pPr>
    </w:p>
    <w:p w14:paraId="1978D743" w14:textId="77777777" w:rsidR="00086A58" w:rsidRDefault="009B1C7A">
      <w:pPr>
        <w:pStyle w:val="Heading3"/>
        <w:keepNext w:val="0"/>
        <w:keepLines w:val="0"/>
        <w:spacing w:before="280"/>
        <w:rPr>
          <w:rFonts w:ascii="Times New Roman" w:eastAsia="Times New Roman" w:hAnsi="Times New Roman" w:cs="Times New Roman"/>
          <w:b/>
          <w:bCs/>
          <w:color w:val="000000"/>
          <w:sz w:val="32"/>
          <w:szCs w:val="32"/>
          <w:highlight w:val="white"/>
        </w:rPr>
      </w:pPr>
      <w:bookmarkStart w:id="2" w:name="_heading=h.sbwbrwqkkt5k" w:colFirst="0" w:colLast="0"/>
      <w:bookmarkEnd w:id="2"/>
      <w:r>
        <w:rPr>
          <w:rFonts w:ascii="Times New Roman" w:eastAsia="Times New Roman" w:hAnsi="Times New Roman" w:cs="Times New Roman"/>
          <w:b/>
          <w:bCs/>
          <w:color w:val="000000"/>
          <w:sz w:val="32"/>
          <w:szCs w:val="32"/>
          <w:highlight w:val="white"/>
        </w:rPr>
        <w:t>Introduction</w:t>
      </w:r>
    </w:p>
    <w:p w14:paraId="4BE6D512" w14:textId="77777777" w:rsidR="00086A58" w:rsidRDefault="009B1C7A">
      <w:pPr>
        <w:pStyle w:val="Heading4"/>
        <w:keepNext w:val="0"/>
        <w:keepLines w:val="0"/>
        <w:spacing w:before="240" w:after="40"/>
        <w:rPr>
          <w:rFonts w:ascii="Times New Roman" w:eastAsia="Times New Roman" w:hAnsi="Times New Roman" w:cs="Times New Roman"/>
          <w:b/>
          <w:bCs/>
          <w:color w:val="000000"/>
          <w:sz w:val="28"/>
          <w:szCs w:val="28"/>
          <w:highlight w:val="white"/>
        </w:rPr>
      </w:pPr>
      <w:bookmarkStart w:id="3" w:name="_heading=h.p94uhcau3007" w:colFirst="0" w:colLast="0"/>
      <w:bookmarkEnd w:id="3"/>
      <w:r>
        <w:rPr>
          <w:rFonts w:ascii="Times New Roman" w:eastAsia="Times New Roman" w:hAnsi="Times New Roman" w:cs="Times New Roman"/>
          <w:b/>
          <w:bCs/>
          <w:color w:val="000000"/>
          <w:sz w:val="28"/>
          <w:szCs w:val="28"/>
          <w:highlight w:val="white"/>
        </w:rPr>
        <w:t>Background of the Study</w:t>
      </w:r>
    </w:p>
    <w:p w14:paraId="7188E210"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Inclusive education has been globally recognized as a fundamental principle for promoting educational equality, ensuring that every child, re</w:t>
      </w:r>
      <w:r>
        <w:rPr>
          <w:rFonts w:ascii="Times New Roman" w:eastAsia="Times New Roman" w:hAnsi="Times New Roman" w:cs="Times New Roman"/>
          <w:sz w:val="24"/>
          <w:szCs w:val="24"/>
          <w:highlight w:val="white"/>
        </w:rPr>
        <w:t>gardless of their background or abilities, has access to quality education. It involves integrating students with special needs into mainstream schools and fostering an environment where all students, including those with disabilities, feel valued and supp</w:t>
      </w:r>
      <w:r>
        <w:rPr>
          <w:rFonts w:ascii="Times New Roman" w:eastAsia="Times New Roman" w:hAnsi="Times New Roman" w:cs="Times New Roman"/>
          <w:sz w:val="24"/>
          <w:szCs w:val="24"/>
          <w:highlight w:val="white"/>
        </w:rPr>
        <w:t>orted in their learning journey (Ainscow, 2020; UNICEF, n.d.). Effective inclusive education requires more than just physical integration; it demands that teachers have a solid understanding of various disabilities, appropriate teaching strategies, and how</w:t>
      </w:r>
      <w:r>
        <w:rPr>
          <w:rFonts w:ascii="Times New Roman" w:eastAsia="Times New Roman" w:hAnsi="Times New Roman" w:cs="Times New Roman"/>
          <w:sz w:val="24"/>
          <w:szCs w:val="24"/>
          <w:highlight w:val="white"/>
        </w:rPr>
        <w:t xml:space="preserve"> to create inclusive environments. Teachers’ knowledge of these concepts plays a central role in the successful implementation of inclusive education (Chow et al., 2024).</w:t>
      </w:r>
    </w:p>
    <w:p w14:paraId="2B556771"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Nigeria, inclusive education is still in its early stages, and its implementation </w:t>
      </w:r>
      <w:r>
        <w:rPr>
          <w:rFonts w:ascii="Times New Roman" w:eastAsia="Times New Roman" w:hAnsi="Times New Roman" w:cs="Times New Roman"/>
          <w:sz w:val="24"/>
          <w:szCs w:val="24"/>
          <w:highlight w:val="white"/>
        </w:rPr>
        <w:t>faces several challenges. Despite national policies promoting inclusive education, there is a significant gap between policy and practice, especially in terms of teacher knowledge and preparation (Angwaomaodoko, 2023). Private schools face unique challenge</w:t>
      </w:r>
      <w:r>
        <w:rPr>
          <w:rFonts w:ascii="Times New Roman" w:eastAsia="Times New Roman" w:hAnsi="Times New Roman" w:cs="Times New Roman"/>
          <w:sz w:val="24"/>
          <w:szCs w:val="24"/>
          <w:highlight w:val="white"/>
        </w:rPr>
        <w:t>s in this regard, including limited training opportunities for teachers and insufficient resources to support students with special needs (</w:t>
      </w:r>
      <w:proofErr w:type="spellStart"/>
      <w:r>
        <w:rPr>
          <w:rFonts w:ascii="Times New Roman" w:eastAsia="Times New Roman" w:hAnsi="Times New Roman" w:cs="Times New Roman"/>
          <w:sz w:val="24"/>
          <w:szCs w:val="24"/>
          <w:highlight w:val="white"/>
        </w:rPr>
        <w:t>Angwaomaodoko</w:t>
      </w:r>
      <w:proofErr w:type="spellEnd"/>
      <w:r>
        <w:rPr>
          <w:rFonts w:ascii="Times New Roman" w:eastAsia="Times New Roman" w:hAnsi="Times New Roman" w:cs="Times New Roman"/>
          <w:sz w:val="24"/>
          <w:szCs w:val="24"/>
          <w:highlight w:val="white"/>
        </w:rPr>
        <w:t xml:space="preserve">, 2023; </w:t>
      </w:r>
      <w:proofErr w:type="spellStart"/>
      <w:r>
        <w:rPr>
          <w:rFonts w:ascii="Times New Roman" w:eastAsia="Times New Roman" w:hAnsi="Times New Roman" w:cs="Times New Roman"/>
          <w:sz w:val="24"/>
          <w:szCs w:val="24"/>
          <w:highlight w:val="white"/>
        </w:rPr>
        <w:t>Orlunga</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Alikor</w:t>
      </w:r>
      <w:proofErr w:type="spellEnd"/>
      <w:r>
        <w:rPr>
          <w:rFonts w:ascii="Times New Roman" w:eastAsia="Times New Roman" w:hAnsi="Times New Roman" w:cs="Times New Roman"/>
          <w:sz w:val="24"/>
          <w:szCs w:val="24"/>
          <w:highlight w:val="white"/>
        </w:rPr>
        <w:t>, 2023). This research seeks to assess the knowledge of teachers regarding inclu</w:t>
      </w:r>
      <w:r>
        <w:rPr>
          <w:rFonts w:ascii="Times New Roman" w:eastAsia="Times New Roman" w:hAnsi="Times New Roman" w:cs="Times New Roman"/>
          <w:sz w:val="24"/>
          <w:szCs w:val="24"/>
          <w:highlight w:val="white"/>
        </w:rPr>
        <w:t>sive education for children with special needs and how this knowledge impacts their ability to implement inclusive teaching strategies.</w:t>
      </w:r>
    </w:p>
    <w:p w14:paraId="066E159F" w14:textId="77777777" w:rsidR="00086A58" w:rsidRDefault="009B1C7A">
      <w:pPr>
        <w:pStyle w:val="Heading4"/>
        <w:keepNext w:val="0"/>
        <w:keepLines w:val="0"/>
        <w:spacing w:before="240" w:after="40"/>
        <w:rPr>
          <w:rFonts w:ascii="Times New Roman" w:eastAsia="Times New Roman" w:hAnsi="Times New Roman" w:cs="Times New Roman"/>
          <w:b/>
          <w:bCs/>
          <w:color w:val="000000"/>
          <w:sz w:val="28"/>
          <w:szCs w:val="28"/>
          <w:highlight w:val="white"/>
        </w:rPr>
      </w:pPr>
      <w:bookmarkStart w:id="4" w:name="_heading=h.792ggnkfevk0" w:colFirst="0" w:colLast="0"/>
      <w:bookmarkEnd w:id="4"/>
      <w:r>
        <w:rPr>
          <w:rFonts w:ascii="Times New Roman" w:eastAsia="Times New Roman" w:hAnsi="Times New Roman" w:cs="Times New Roman"/>
          <w:b/>
          <w:bCs/>
          <w:color w:val="000000"/>
          <w:sz w:val="28"/>
          <w:szCs w:val="28"/>
          <w:highlight w:val="white"/>
        </w:rPr>
        <w:t>Problem Statement</w:t>
      </w:r>
    </w:p>
    <w:p w14:paraId="484037BF"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While the importance of inclusive education is widely acknowledged, there is a dearth of research spec</w:t>
      </w:r>
      <w:r>
        <w:rPr>
          <w:rFonts w:ascii="Times New Roman" w:eastAsia="Times New Roman" w:hAnsi="Times New Roman" w:cs="Times New Roman"/>
          <w:sz w:val="24"/>
          <w:szCs w:val="24"/>
          <w:highlight w:val="white"/>
        </w:rPr>
        <w:t>ifically focused on assessing teachers’ knowledge of inclusive education in Nigerian schools. The success of inclusive education programs heavily relies on teachers’ understanding of inclusive practices, disabilities, and the strategies necessary to suppor</w:t>
      </w:r>
      <w:r>
        <w:rPr>
          <w:rFonts w:ascii="Times New Roman" w:eastAsia="Times New Roman" w:hAnsi="Times New Roman" w:cs="Times New Roman"/>
          <w:sz w:val="24"/>
          <w:szCs w:val="24"/>
          <w:highlight w:val="white"/>
        </w:rPr>
        <w:t>t children with special needs (Adigun, 2021). However, there has been limited exploration of how well teachers in Nigerian secondary schools understand these principles and practices.</w:t>
      </w:r>
    </w:p>
    <w:p w14:paraId="62A7830F" w14:textId="77777777" w:rsidR="00086A58" w:rsidRDefault="009B1C7A">
      <w:pPr>
        <w:spacing w:before="240" w:after="240"/>
        <w:jc w:val="both"/>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At  private</w:t>
      </w:r>
      <w:proofErr w:type="gramEnd"/>
      <w:r>
        <w:rPr>
          <w:rFonts w:ascii="Times New Roman" w:eastAsia="Times New Roman" w:hAnsi="Times New Roman" w:cs="Times New Roman"/>
          <w:sz w:val="24"/>
          <w:szCs w:val="24"/>
          <w:highlight w:val="white"/>
        </w:rPr>
        <w:t xml:space="preserve"> schools, the teachers' knowledge about inclusive education i</w:t>
      </w:r>
      <w:r>
        <w:rPr>
          <w:rFonts w:ascii="Times New Roman" w:eastAsia="Times New Roman" w:hAnsi="Times New Roman" w:cs="Times New Roman"/>
          <w:sz w:val="24"/>
          <w:szCs w:val="24"/>
          <w:highlight w:val="white"/>
        </w:rPr>
        <w:t>s yet to be thoroughly explored. Given the lack of formal training opportunities in special education, this study is crucial in filling the gap by evaluating the teachers’ level of knowledge and the implications this has for their teaching practices. The f</w:t>
      </w:r>
      <w:r>
        <w:rPr>
          <w:rFonts w:ascii="Times New Roman" w:eastAsia="Times New Roman" w:hAnsi="Times New Roman" w:cs="Times New Roman"/>
          <w:sz w:val="24"/>
          <w:szCs w:val="24"/>
          <w:highlight w:val="white"/>
        </w:rPr>
        <w:t>indings will contribute to a deeper understanding of how teachers’ knowledge influences the implementation of inclusive education in a private school setting in Nigeria.</w:t>
      </w:r>
    </w:p>
    <w:p w14:paraId="4F5BCD23" w14:textId="77777777" w:rsidR="00086A58" w:rsidRDefault="009B1C7A">
      <w:pPr>
        <w:pStyle w:val="Heading4"/>
        <w:keepNext w:val="0"/>
        <w:keepLines w:val="0"/>
        <w:spacing w:before="240" w:after="40"/>
        <w:rPr>
          <w:rFonts w:ascii="Times New Roman" w:eastAsia="Times New Roman" w:hAnsi="Times New Roman" w:cs="Times New Roman"/>
          <w:b/>
          <w:bCs/>
          <w:color w:val="000000"/>
          <w:sz w:val="28"/>
          <w:szCs w:val="28"/>
          <w:highlight w:val="white"/>
        </w:rPr>
      </w:pPr>
      <w:bookmarkStart w:id="5" w:name="_heading=h.mmhpailjwd8d" w:colFirst="0" w:colLast="0"/>
      <w:bookmarkEnd w:id="5"/>
      <w:r>
        <w:rPr>
          <w:rFonts w:ascii="Times New Roman" w:eastAsia="Times New Roman" w:hAnsi="Times New Roman" w:cs="Times New Roman"/>
          <w:b/>
          <w:bCs/>
          <w:color w:val="000000"/>
          <w:sz w:val="28"/>
          <w:szCs w:val="28"/>
          <w:highlight w:val="white"/>
        </w:rPr>
        <w:t>Research Questions</w:t>
      </w:r>
    </w:p>
    <w:p w14:paraId="0FD986C4"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primary research questions guiding this study are:</w:t>
      </w:r>
    </w:p>
    <w:p w14:paraId="2713D8E2" w14:textId="77777777" w:rsidR="00086A58" w:rsidRDefault="009B1C7A">
      <w:pPr>
        <w:numPr>
          <w:ilvl w:val="0"/>
          <w:numId w:val="3"/>
        </w:numPr>
        <w:spacing w:before="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What is the </w:t>
      </w:r>
      <w:r>
        <w:rPr>
          <w:rFonts w:ascii="Times New Roman" w:eastAsia="Times New Roman" w:hAnsi="Times New Roman" w:cs="Times New Roman"/>
          <w:sz w:val="24"/>
          <w:szCs w:val="24"/>
          <w:highlight w:val="white"/>
        </w:rPr>
        <w:t>level of knowledge of teachers regarding inclusive education for children with special needs?</w:t>
      </w:r>
      <w:r>
        <w:rPr>
          <w:rFonts w:ascii="Times New Roman" w:eastAsia="Times New Roman" w:hAnsi="Times New Roman" w:cs="Times New Roman"/>
          <w:sz w:val="24"/>
          <w:szCs w:val="24"/>
          <w:highlight w:val="white"/>
        </w:rPr>
        <w:br/>
      </w:r>
    </w:p>
    <w:p w14:paraId="3F741B1C" w14:textId="77777777" w:rsidR="00086A58" w:rsidRDefault="009B1C7A">
      <w:pPr>
        <w:numPr>
          <w:ilvl w:val="0"/>
          <w:numId w:val="3"/>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How well do teachers understand the challenges and benefits of inclusive education in their classrooms?</w:t>
      </w:r>
      <w:r>
        <w:rPr>
          <w:rFonts w:ascii="Times New Roman" w:eastAsia="Times New Roman" w:hAnsi="Times New Roman" w:cs="Times New Roman"/>
          <w:sz w:val="24"/>
          <w:szCs w:val="24"/>
          <w:highlight w:val="white"/>
        </w:rPr>
        <w:br/>
      </w:r>
    </w:p>
    <w:p w14:paraId="6440E62C" w14:textId="77777777" w:rsidR="00086A58" w:rsidRDefault="009B1C7A">
      <w:pPr>
        <w:numPr>
          <w:ilvl w:val="0"/>
          <w:numId w:val="3"/>
        </w:numPr>
        <w:spacing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 prepared are teachers to implement inclusive educati</w:t>
      </w:r>
      <w:r>
        <w:rPr>
          <w:rFonts w:ascii="Times New Roman" w:eastAsia="Times New Roman" w:hAnsi="Times New Roman" w:cs="Times New Roman"/>
          <w:sz w:val="24"/>
          <w:szCs w:val="24"/>
          <w:highlight w:val="white"/>
        </w:rPr>
        <w:t>on practices, given their knowledge and available resources?</w:t>
      </w:r>
      <w:r>
        <w:rPr>
          <w:rFonts w:ascii="Times New Roman" w:eastAsia="Times New Roman" w:hAnsi="Times New Roman" w:cs="Times New Roman"/>
          <w:sz w:val="24"/>
          <w:szCs w:val="24"/>
          <w:highlight w:val="white"/>
        </w:rPr>
        <w:br/>
      </w:r>
    </w:p>
    <w:p w14:paraId="28CB207E" w14:textId="77777777" w:rsidR="00086A58" w:rsidRDefault="009B1C7A">
      <w:pPr>
        <w:pStyle w:val="Heading4"/>
        <w:keepNext w:val="0"/>
        <w:keepLines w:val="0"/>
        <w:spacing w:before="240" w:after="40"/>
        <w:rPr>
          <w:rFonts w:ascii="Times New Roman" w:eastAsia="Times New Roman" w:hAnsi="Times New Roman" w:cs="Times New Roman"/>
          <w:b/>
          <w:bCs/>
          <w:color w:val="000000"/>
          <w:sz w:val="28"/>
          <w:szCs w:val="28"/>
          <w:highlight w:val="white"/>
        </w:rPr>
      </w:pPr>
      <w:bookmarkStart w:id="6" w:name="_heading=h.499b2nrbbju0" w:colFirst="0" w:colLast="0"/>
      <w:bookmarkEnd w:id="6"/>
      <w:r>
        <w:rPr>
          <w:rFonts w:ascii="Times New Roman" w:eastAsia="Times New Roman" w:hAnsi="Times New Roman" w:cs="Times New Roman"/>
          <w:b/>
          <w:bCs/>
          <w:color w:val="000000"/>
          <w:sz w:val="28"/>
          <w:szCs w:val="28"/>
          <w:highlight w:val="white"/>
        </w:rPr>
        <w:t>Objective of the Study</w:t>
      </w:r>
    </w:p>
    <w:p w14:paraId="13AA5AF1"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objective of this study is to assess the knowledge of teachers regarding inclusive education for children with special needs.  </w:t>
      </w:r>
    </w:p>
    <w:p w14:paraId="096F88E0" w14:textId="77777777" w:rsidR="00086A58" w:rsidRDefault="009B1C7A">
      <w:pPr>
        <w:pStyle w:val="Heading4"/>
        <w:keepNext w:val="0"/>
        <w:keepLines w:val="0"/>
        <w:spacing w:before="240" w:after="40"/>
        <w:rPr>
          <w:rFonts w:ascii="Times New Roman" w:eastAsia="Times New Roman" w:hAnsi="Times New Roman" w:cs="Times New Roman"/>
          <w:b/>
          <w:bCs/>
          <w:color w:val="000000"/>
          <w:sz w:val="28"/>
          <w:szCs w:val="28"/>
          <w:highlight w:val="white"/>
        </w:rPr>
      </w:pPr>
      <w:bookmarkStart w:id="7" w:name="_heading=h.a9vm9jbfhgrc" w:colFirst="0" w:colLast="0"/>
      <w:bookmarkEnd w:id="7"/>
      <w:r>
        <w:rPr>
          <w:rFonts w:ascii="Times New Roman" w:eastAsia="Times New Roman" w:hAnsi="Times New Roman" w:cs="Times New Roman"/>
          <w:b/>
          <w:bCs/>
          <w:color w:val="000000"/>
          <w:sz w:val="28"/>
          <w:szCs w:val="28"/>
          <w:highlight w:val="white"/>
        </w:rPr>
        <w:t>Significance of the Study</w:t>
      </w:r>
    </w:p>
    <w:p w14:paraId="16E2AB21"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study si</w:t>
      </w:r>
      <w:r>
        <w:rPr>
          <w:rFonts w:ascii="Times New Roman" w:eastAsia="Times New Roman" w:hAnsi="Times New Roman" w:cs="Times New Roman"/>
          <w:sz w:val="24"/>
          <w:szCs w:val="24"/>
          <w:highlight w:val="white"/>
        </w:rPr>
        <w:t>gnificantly contributes to the body of knowledge on inclusive education, particularly in the Nigerian context. By focusing on teachers' knowledge, this research will provide important insights into the role that teacher knowledge plays in the successful in</w:t>
      </w:r>
      <w:r>
        <w:rPr>
          <w:rFonts w:ascii="Times New Roman" w:eastAsia="Times New Roman" w:hAnsi="Times New Roman" w:cs="Times New Roman"/>
          <w:sz w:val="24"/>
          <w:szCs w:val="24"/>
          <w:highlight w:val="white"/>
        </w:rPr>
        <w:t>tegration of children with special needs into mainstream classrooms. The findings are valuable for policymakers, educators, and teacher training institutions, highlighting areas where more focused training is needed. The study also offers practical recomme</w:t>
      </w:r>
      <w:r>
        <w:rPr>
          <w:rFonts w:ascii="Times New Roman" w:eastAsia="Times New Roman" w:hAnsi="Times New Roman" w:cs="Times New Roman"/>
          <w:sz w:val="24"/>
          <w:szCs w:val="24"/>
          <w:highlight w:val="white"/>
        </w:rPr>
        <w:t>ndations for enhancing the knowledge and preparedness of teachers to effectively implement inclusive education in schools. Moreover, it will serve as a resource for future research, particularly in private secondary schools where inclusive education is oft</w:t>
      </w:r>
      <w:r>
        <w:rPr>
          <w:rFonts w:ascii="Times New Roman" w:eastAsia="Times New Roman" w:hAnsi="Times New Roman" w:cs="Times New Roman"/>
          <w:sz w:val="24"/>
          <w:szCs w:val="24"/>
          <w:highlight w:val="white"/>
        </w:rPr>
        <w:t>en less rigorously studied.</w:t>
      </w:r>
    </w:p>
    <w:p w14:paraId="10CBDBD8" w14:textId="77777777" w:rsidR="00086A58" w:rsidRDefault="009B1C7A">
      <w:pPr>
        <w:pStyle w:val="Heading4"/>
        <w:keepNext w:val="0"/>
        <w:keepLines w:val="0"/>
        <w:spacing w:before="240" w:after="40"/>
        <w:rPr>
          <w:rFonts w:ascii="Times New Roman" w:eastAsia="Times New Roman" w:hAnsi="Times New Roman" w:cs="Times New Roman"/>
          <w:b/>
          <w:bCs/>
          <w:color w:val="000000"/>
          <w:sz w:val="28"/>
          <w:szCs w:val="28"/>
          <w:highlight w:val="white"/>
        </w:rPr>
      </w:pPr>
      <w:bookmarkStart w:id="8" w:name="_heading=h.s80t6ly4vxek" w:colFirst="0" w:colLast="0"/>
      <w:bookmarkEnd w:id="8"/>
      <w:r>
        <w:rPr>
          <w:rFonts w:ascii="Times New Roman" w:eastAsia="Times New Roman" w:hAnsi="Times New Roman" w:cs="Times New Roman"/>
          <w:b/>
          <w:bCs/>
          <w:color w:val="000000"/>
          <w:sz w:val="28"/>
          <w:szCs w:val="28"/>
          <w:highlight w:val="white"/>
        </w:rPr>
        <w:t>Scope of the Study</w:t>
      </w:r>
    </w:p>
    <w:p w14:paraId="77BDB28D"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study examined teachers’ knowledge in various areas, including their understanding of the core principles of inclusive education, their familiarity with different types of special needs and disabilities, a</w:t>
      </w:r>
      <w:r>
        <w:rPr>
          <w:rFonts w:ascii="Times New Roman" w:eastAsia="Times New Roman" w:hAnsi="Times New Roman" w:cs="Times New Roman"/>
          <w:sz w:val="24"/>
          <w:szCs w:val="24"/>
          <w:highlight w:val="white"/>
        </w:rPr>
        <w:t>nd their awareness of the strategies required to support students with special needs in the classroom. Additionally, the study explored the extent of formal training and professional development received by the teachers. The study also identified the chall</w:t>
      </w:r>
      <w:r>
        <w:rPr>
          <w:rFonts w:ascii="Times New Roman" w:eastAsia="Times New Roman" w:hAnsi="Times New Roman" w:cs="Times New Roman"/>
          <w:sz w:val="24"/>
          <w:szCs w:val="24"/>
          <w:highlight w:val="white"/>
        </w:rPr>
        <w:t>enges teachers face in implementing inclusive practices and the types of support they require to enhance their knowledge and teaching effectiveness. By focusing on these aspects, the study aims to provide valuable insights into the current state of teacher</w:t>
      </w:r>
      <w:r>
        <w:rPr>
          <w:rFonts w:ascii="Times New Roman" w:eastAsia="Times New Roman" w:hAnsi="Times New Roman" w:cs="Times New Roman"/>
          <w:sz w:val="24"/>
          <w:szCs w:val="24"/>
          <w:highlight w:val="white"/>
        </w:rPr>
        <w:t xml:space="preserve">s' knowledge about inclusive </w:t>
      </w:r>
      <w:proofErr w:type="gramStart"/>
      <w:r>
        <w:rPr>
          <w:rFonts w:ascii="Times New Roman" w:eastAsia="Times New Roman" w:hAnsi="Times New Roman" w:cs="Times New Roman"/>
          <w:sz w:val="24"/>
          <w:szCs w:val="24"/>
          <w:highlight w:val="white"/>
        </w:rPr>
        <w:t>education  and</w:t>
      </w:r>
      <w:proofErr w:type="gramEnd"/>
      <w:r>
        <w:rPr>
          <w:rFonts w:ascii="Times New Roman" w:eastAsia="Times New Roman" w:hAnsi="Times New Roman" w:cs="Times New Roman"/>
          <w:sz w:val="24"/>
          <w:szCs w:val="24"/>
          <w:highlight w:val="white"/>
        </w:rPr>
        <w:t xml:space="preserve"> contribute to efforts to improve inclusive practices in education.</w:t>
      </w:r>
    </w:p>
    <w:p w14:paraId="4377B732" w14:textId="77777777" w:rsidR="00086A58" w:rsidRDefault="00086A58">
      <w:pPr>
        <w:spacing w:before="240" w:after="240"/>
        <w:jc w:val="both"/>
        <w:rPr>
          <w:rFonts w:ascii="Times New Roman" w:eastAsia="Times New Roman" w:hAnsi="Times New Roman" w:cs="Times New Roman"/>
          <w:sz w:val="24"/>
          <w:szCs w:val="24"/>
          <w:highlight w:val="white"/>
        </w:rPr>
      </w:pPr>
    </w:p>
    <w:p w14:paraId="62BBC943" w14:textId="77777777" w:rsidR="00086A58" w:rsidRDefault="009B1C7A">
      <w:pPr>
        <w:spacing w:before="240" w:after="240"/>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Literature Review</w:t>
      </w:r>
    </w:p>
    <w:p w14:paraId="5924EFD9" w14:textId="77777777" w:rsidR="00086A58" w:rsidRDefault="009B1C7A">
      <w:p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The Concept of Inclusive Education</w:t>
      </w:r>
    </w:p>
    <w:p w14:paraId="79122FDF"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Inclusive education is a pedagogical approach that aims to ensure that all students, regard</w:t>
      </w:r>
      <w:r>
        <w:rPr>
          <w:rFonts w:ascii="Times New Roman" w:eastAsia="Times New Roman" w:hAnsi="Times New Roman" w:cs="Times New Roman"/>
          <w:sz w:val="24"/>
          <w:szCs w:val="24"/>
          <w:highlight w:val="white"/>
        </w:rPr>
        <w:t>less of their abilities or disabilities, are integrated into regular classrooms. The goal is not merely physical integration but to foster social, academic, and emotional inclusivity, ensuring that every child benefits from a supportive, diverse learning e</w:t>
      </w:r>
      <w:r>
        <w:rPr>
          <w:rFonts w:ascii="Times New Roman" w:eastAsia="Times New Roman" w:hAnsi="Times New Roman" w:cs="Times New Roman"/>
          <w:sz w:val="24"/>
          <w:szCs w:val="24"/>
          <w:highlight w:val="white"/>
        </w:rPr>
        <w:t>nvironment (</w:t>
      </w:r>
      <w:proofErr w:type="spellStart"/>
      <w:r>
        <w:rPr>
          <w:rFonts w:ascii="Times New Roman" w:eastAsia="Times New Roman" w:hAnsi="Times New Roman" w:cs="Times New Roman"/>
          <w:sz w:val="24"/>
          <w:szCs w:val="24"/>
          <w:highlight w:val="white"/>
        </w:rPr>
        <w:t>Jardinez</w:t>
      </w:r>
      <w:proofErr w:type="spellEnd"/>
      <w:r>
        <w:rPr>
          <w:rFonts w:ascii="Times New Roman" w:eastAsia="Times New Roman" w:hAnsi="Times New Roman" w:cs="Times New Roman"/>
          <w:sz w:val="24"/>
          <w:szCs w:val="24"/>
          <w:highlight w:val="white"/>
        </w:rPr>
        <w:t xml:space="preserve"> &amp; Natividad, 2024). Inclusive education requires a shift from a traditional model where children with special needs are segregated into separate classrooms, to one where educational </w:t>
      </w:r>
      <w:proofErr w:type="gramStart"/>
      <w:r>
        <w:rPr>
          <w:rFonts w:ascii="Times New Roman" w:eastAsia="Times New Roman" w:hAnsi="Times New Roman" w:cs="Times New Roman"/>
          <w:sz w:val="24"/>
          <w:szCs w:val="24"/>
          <w:highlight w:val="white"/>
        </w:rPr>
        <w:t>systems</w:t>
      </w:r>
      <w:proofErr w:type="gramEnd"/>
      <w:r>
        <w:rPr>
          <w:rFonts w:ascii="Times New Roman" w:eastAsia="Times New Roman" w:hAnsi="Times New Roman" w:cs="Times New Roman"/>
          <w:sz w:val="24"/>
          <w:szCs w:val="24"/>
          <w:highlight w:val="white"/>
        </w:rPr>
        <w:t xml:space="preserve"> accommodate a range of learning needs in main</w:t>
      </w:r>
      <w:r>
        <w:rPr>
          <w:rFonts w:ascii="Times New Roman" w:eastAsia="Times New Roman" w:hAnsi="Times New Roman" w:cs="Times New Roman"/>
          <w:sz w:val="24"/>
          <w:szCs w:val="24"/>
          <w:highlight w:val="white"/>
        </w:rPr>
        <w:t>stream settings. This shift demands comprehensive planning, teacher training, and an inclusive curriculum that addresses diverse student needs (</w:t>
      </w:r>
      <w:proofErr w:type="spellStart"/>
      <w:r>
        <w:rPr>
          <w:rFonts w:ascii="Times New Roman" w:eastAsia="Times New Roman" w:hAnsi="Times New Roman" w:cs="Times New Roman"/>
          <w:sz w:val="24"/>
          <w:szCs w:val="24"/>
          <w:highlight w:val="white"/>
        </w:rPr>
        <w:t>Walelgn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Asres</w:t>
      </w:r>
      <w:proofErr w:type="spellEnd"/>
      <w:r>
        <w:rPr>
          <w:rFonts w:ascii="Times New Roman" w:eastAsia="Times New Roman" w:hAnsi="Times New Roman" w:cs="Times New Roman"/>
          <w:sz w:val="24"/>
          <w:szCs w:val="24"/>
          <w:highlight w:val="white"/>
        </w:rPr>
        <w:t xml:space="preserve">, 2025; </w:t>
      </w:r>
      <w:proofErr w:type="spellStart"/>
      <w:r>
        <w:rPr>
          <w:rFonts w:ascii="Times New Roman" w:eastAsia="Times New Roman" w:hAnsi="Times New Roman" w:cs="Times New Roman"/>
          <w:sz w:val="24"/>
          <w:szCs w:val="24"/>
          <w:highlight w:val="white"/>
        </w:rPr>
        <w:t>Bessarab</w:t>
      </w:r>
      <w:proofErr w:type="spellEnd"/>
      <w:r>
        <w:rPr>
          <w:rFonts w:ascii="Times New Roman" w:eastAsia="Times New Roman" w:hAnsi="Times New Roman" w:cs="Times New Roman"/>
          <w:sz w:val="24"/>
          <w:szCs w:val="24"/>
          <w:highlight w:val="white"/>
        </w:rPr>
        <w:t xml:space="preserve"> et al., 2023). However, the success of inclusive education depends heavily on the </w:t>
      </w:r>
      <w:r>
        <w:rPr>
          <w:rFonts w:ascii="Times New Roman" w:eastAsia="Times New Roman" w:hAnsi="Times New Roman" w:cs="Times New Roman"/>
          <w:sz w:val="24"/>
          <w:szCs w:val="24"/>
          <w:highlight w:val="white"/>
        </w:rPr>
        <w:t>attitudes of teachers, their preparedness to handle such diversity, and the support provided by schools and communities (Van Steen &amp; Wilson, 2020).</w:t>
      </w:r>
    </w:p>
    <w:p w14:paraId="49C36843" w14:textId="77777777" w:rsidR="00086A58" w:rsidRDefault="009B1C7A">
      <w:p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Global Perspective on Inclusive Education for Children with Special Needs</w:t>
      </w:r>
    </w:p>
    <w:p w14:paraId="68839BB1"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Across the globe, inclusive educat</w:t>
      </w:r>
      <w:r>
        <w:rPr>
          <w:rFonts w:ascii="Times New Roman" w:eastAsia="Times New Roman" w:hAnsi="Times New Roman" w:cs="Times New Roman"/>
          <w:sz w:val="24"/>
          <w:szCs w:val="24"/>
          <w:highlight w:val="white"/>
        </w:rPr>
        <w:t>ion has been recognized as a fundamental right for children with special needs. The United Nations Convention on the Rights of Persons with Disabilities (CRPD) and UNESCO’s Salamanca Statement (1994) stress that inclusive education is essential to achievin</w:t>
      </w:r>
      <w:r>
        <w:rPr>
          <w:rFonts w:ascii="Times New Roman" w:eastAsia="Times New Roman" w:hAnsi="Times New Roman" w:cs="Times New Roman"/>
          <w:sz w:val="24"/>
          <w:szCs w:val="24"/>
          <w:highlight w:val="white"/>
        </w:rPr>
        <w:t>g educational equity. Many countries have implemented policies to promote inclusion, but the effectiveness of these initiatives often hinges on the preparedness and attitudes of educators (UNESCO, 1994; World Bank, 2025). For instance, in countries such as</w:t>
      </w:r>
      <w:r>
        <w:rPr>
          <w:rFonts w:ascii="Times New Roman" w:eastAsia="Times New Roman" w:hAnsi="Times New Roman" w:cs="Times New Roman"/>
          <w:sz w:val="24"/>
          <w:szCs w:val="24"/>
          <w:highlight w:val="white"/>
        </w:rPr>
        <w:t xml:space="preserve"> Finland and Ireland, inclusive education is a well-integrated aspect of the educational system, with teachers receiving specialized training in managing classrooms with diverse learners (European Agency for Special Needs and Inclusive Education, 2025). Th</w:t>
      </w:r>
      <w:r>
        <w:rPr>
          <w:rFonts w:ascii="Times New Roman" w:eastAsia="Times New Roman" w:hAnsi="Times New Roman" w:cs="Times New Roman"/>
          <w:sz w:val="24"/>
          <w:szCs w:val="24"/>
          <w:highlight w:val="white"/>
        </w:rPr>
        <w:t>ese nations also provide a variety of resources and support systems that enable teachers to deliver inclusive education effectively. However, even in these settings, challenges such as class sizes, insufficient resources, and inadequate teacher training re</w:t>
      </w:r>
      <w:r>
        <w:rPr>
          <w:rFonts w:ascii="Times New Roman" w:eastAsia="Times New Roman" w:hAnsi="Times New Roman" w:cs="Times New Roman"/>
          <w:sz w:val="24"/>
          <w:szCs w:val="24"/>
          <w:highlight w:val="white"/>
        </w:rPr>
        <w:t>main prominent obstacles (European Association of Service Providers for Persons with Disabilities, 2023).</w:t>
      </w:r>
    </w:p>
    <w:p w14:paraId="1BF8CED6" w14:textId="77777777" w:rsidR="00086A58" w:rsidRDefault="009B1C7A">
      <w:p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Teacher Attitudes Towards Inclusive Education</w:t>
      </w:r>
    </w:p>
    <w:p w14:paraId="3323B30C"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Teachers’ attitudes towards inclusive education are crucial in shaping the implementation of inclusive p</w:t>
      </w:r>
      <w:r>
        <w:rPr>
          <w:rFonts w:ascii="Times New Roman" w:eastAsia="Times New Roman" w:hAnsi="Times New Roman" w:cs="Times New Roman"/>
          <w:sz w:val="24"/>
          <w:szCs w:val="24"/>
          <w:highlight w:val="white"/>
        </w:rPr>
        <w:t>ractices. Positive attitudes are associated with greater success in integrating children with special needs into regular classrooms (</w:t>
      </w:r>
      <w:proofErr w:type="spellStart"/>
      <w:r>
        <w:rPr>
          <w:rFonts w:ascii="Times New Roman" w:eastAsia="Times New Roman" w:hAnsi="Times New Roman" w:cs="Times New Roman"/>
          <w:sz w:val="24"/>
          <w:szCs w:val="24"/>
          <w:highlight w:val="white"/>
        </w:rPr>
        <w:t>Charitaki</w:t>
      </w:r>
      <w:proofErr w:type="spellEnd"/>
      <w:r>
        <w:rPr>
          <w:rFonts w:ascii="Times New Roman" w:eastAsia="Times New Roman" w:hAnsi="Times New Roman" w:cs="Times New Roman"/>
          <w:sz w:val="24"/>
          <w:szCs w:val="24"/>
          <w:highlight w:val="white"/>
        </w:rPr>
        <w:t xml:space="preserve"> et al., 2022). Studies have shown that teachers who view inclusive education positively are more likely to employ</w:t>
      </w:r>
      <w:r>
        <w:rPr>
          <w:rFonts w:ascii="Times New Roman" w:eastAsia="Times New Roman" w:hAnsi="Times New Roman" w:cs="Times New Roman"/>
          <w:sz w:val="24"/>
          <w:szCs w:val="24"/>
          <w:highlight w:val="white"/>
        </w:rPr>
        <w:t xml:space="preserve"> inclusive teaching strategies, engage with all students, and create an environment conducive to learning for children with special needs (Kazmi et al., 2023). However, negative attitudes, often resulting from lack of training, fear of inadequate support, </w:t>
      </w:r>
      <w:r>
        <w:rPr>
          <w:rFonts w:ascii="Times New Roman" w:eastAsia="Times New Roman" w:hAnsi="Times New Roman" w:cs="Times New Roman"/>
          <w:sz w:val="24"/>
          <w:szCs w:val="24"/>
          <w:highlight w:val="white"/>
        </w:rPr>
        <w:t>or misconceptions about the capabilities of students with special needs, can hinder the effectiveness of inclusive education (</w:t>
      </w:r>
      <w:proofErr w:type="spellStart"/>
      <w:r>
        <w:rPr>
          <w:rFonts w:ascii="Times New Roman" w:eastAsia="Times New Roman" w:hAnsi="Times New Roman" w:cs="Times New Roman"/>
          <w:sz w:val="24"/>
          <w:szCs w:val="24"/>
          <w:highlight w:val="white"/>
        </w:rPr>
        <w:t>Alkahtani</w:t>
      </w:r>
      <w:proofErr w:type="spellEnd"/>
      <w:r>
        <w:rPr>
          <w:rFonts w:ascii="Times New Roman" w:eastAsia="Times New Roman" w:hAnsi="Times New Roman" w:cs="Times New Roman"/>
          <w:sz w:val="24"/>
          <w:szCs w:val="24"/>
          <w:highlight w:val="white"/>
        </w:rPr>
        <w:t>, 2022). In Nigeria, while there is a growing recognition of the importance of inclusive education, many teachers hold re</w:t>
      </w:r>
      <w:r>
        <w:rPr>
          <w:rFonts w:ascii="Times New Roman" w:eastAsia="Times New Roman" w:hAnsi="Times New Roman" w:cs="Times New Roman"/>
          <w:sz w:val="24"/>
          <w:szCs w:val="24"/>
          <w:highlight w:val="white"/>
        </w:rPr>
        <w:t>servations, primarily due to inadequate training and lack of resources (</w:t>
      </w:r>
      <w:proofErr w:type="spellStart"/>
      <w:r>
        <w:rPr>
          <w:rFonts w:ascii="Times New Roman" w:eastAsia="Times New Roman" w:hAnsi="Times New Roman" w:cs="Times New Roman"/>
          <w:sz w:val="24"/>
          <w:szCs w:val="24"/>
          <w:highlight w:val="white"/>
        </w:rPr>
        <w:t>Adesokan</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Bojuwoye</w:t>
      </w:r>
      <w:proofErr w:type="spellEnd"/>
      <w:r>
        <w:rPr>
          <w:rFonts w:ascii="Times New Roman" w:eastAsia="Times New Roman" w:hAnsi="Times New Roman" w:cs="Times New Roman"/>
          <w:sz w:val="24"/>
          <w:szCs w:val="24"/>
          <w:highlight w:val="white"/>
        </w:rPr>
        <w:t>, 2023).</w:t>
      </w:r>
    </w:p>
    <w:p w14:paraId="7B989BE3" w14:textId="77777777" w:rsidR="00086A58" w:rsidRDefault="009B1C7A">
      <w:p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lastRenderedPageBreak/>
        <w:t>Challenges and Benefits of Inclusive Education</w:t>
      </w:r>
    </w:p>
    <w:p w14:paraId="28A14D13"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challenges associated with inclusive education are multifaceted. Teachers often face difficulties in adap</w:t>
      </w:r>
      <w:r>
        <w:rPr>
          <w:rFonts w:ascii="Times New Roman" w:eastAsia="Times New Roman" w:hAnsi="Times New Roman" w:cs="Times New Roman"/>
          <w:sz w:val="24"/>
          <w:szCs w:val="24"/>
          <w:highlight w:val="white"/>
        </w:rPr>
        <w:t>ting teaching methods to cater to the diverse needs of students, particularly when there is a lack of specialized training or support (Jabri et al., 2025). Furthermore, overcrowded classrooms, insufficient teaching aids, and the lack of collaborative plann</w:t>
      </w:r>
      <w:r>
        <w:rPr>
          <w:rFonts w:ascii="Times New Roman" w:eastAsia="Times New Roman" w:hAnsi="Times New Roman" w:cs="Times New Roman"/>
          <w:sz w:val="24"/>
          <w:szCs w:val="24"/>
          <w:highlight w:val="white"/>
        </w:rPr>
        <w:t>ing time with special education experts exacerbate the difficulties faced by teachers in inclusive classrooms (Abeykoon, 2024). In Nigeria, many schools lack the infrastructure necessary to accommodate students with special needs, such as wheelchair-access</w:t>
      </w:r>
      <w:r>
        <w:rPr>
          <w:rFonts w:ascii="Times New Roman" w:eastAsia="Times New Roman" w:hAnsi="Times New Roman" w:cs="Times New Roman"/>
          <w:sz w:val="24"/>
          <w:szCs w:val="24"/>
          <w:highlight w:val="white"/>
        </w:rPr>
        <w:t>ible classrooms or specialized learning materials (Isaac et al., 2025). These challenges contribute to teacher burnout, frustration, and sometimes resistance to inclusive practices.</w:t>
      </w:r>
    </w:p>
    <w:p w14:paraId="4F16A43F"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 the other hand, the benefits of inclusive education are profound. For s</w:t>
      </w:r>
      <w:r>
        <w:rPr>
          <w:rFonts w:ascii="Times New Roman" w:eastAsia="Times New Roman" w:hAnsi="Times New Roman" w:cs="Times New Roman"/>
          <w:sz w:val="24"/>
          <w:szCs w:val="24"/>
          <w:highlight w:val="white"/>
        </w:rPr>
        <w:t>tudents with special needs, being integrated into mainstream classrooms promotes social inclusion, enhances self-esteem, and provides opportunities for greater academic achievement (Julien, 2025). For teachers, inclusive education can encourage professiona</w:t>
      </w:r>
      <w:r>
        <w:rPr>
          <w:rFonts w:ascii="Times New Roman" w:eastAsia="Times New Roman" w:hAnsi="Times New Roman" w:cs="Times New Roman"/>
          <w:sz w:val="24"/>
          <w:szCs w:val="24"/>
          <w:highlight w:val="white"/>
        </w:rPr>
        <w:t>l growth, as it requires them to be creative and adapt their teaching strategies to meet diverse learning needs. Moreover, inclusive education fosters a sense of community, as students learn to appreciate differences and collaborate with peers from various</w:t>
      </w:r>
      <w:r>
        <w:rPr>
          <w:rFonts w:ascii="Times New Roman" w:eastAsia="Times New Roman" w:hAnsi="Times New Roman" w:cs="Times New Roman"/>
          <w:sz w:val="24"/>
          <w:szCs w:val="24"/>
          <w:highlight w:val="white"/>
        </w:rPr>
        <w:t xml:space="preserve"> backgrounds (Woodcock et al., 2022).</w:t>
      </w:r>
    </w:p>
    <w:p w14:paraId="32A7F6A1" w14:textId="77777777" w:rsidR="00086A58" w:rsidRDefault="009B1C7A">
      <w:p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Best Practices in Inclusive Education</w:t>
      </w:r>
    </w:p>
    <w:p w14:paraId="70AD4DFC"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To overcome the challenges associated with inclusive education, several best practices have emerged. These include differentiated instruction, where teachers modify their teaching </w:t>
      </w:r>
      <w:r>
        <w:rPr>
          <w:rFonts w:ascii="Times New Roman" w:eastAsia="Times New Roman" w:hAnsi="Times New Roman" w:cs="Times New Roman"/>
          <w:sz w:val="24"/>
          <w:szCs w:val="24"/>
          <w:highlight w:val="white"/>
        </w:rPr>
        <w:t>techniques to cater to students’ individual needs; cooperative learning, which encourages students to work together in diverse groups; and collaborative teaching, which involves special education teachers working alongside general education teachers to pro</w:t>
      </w:r>
      <w:r>
        <w:rPr>
          <w:rFonts w:ascii="Times New Roman" w:eastAsia="Times New Roman" w:hAnsi="Times New Roman" w:cs="Times New Roman"/>
          <w:sz w:val="24"/>
          <w:szCs w:val="24"/>
          <w:highlight w:val="white"/>
        </w:rPr>
        <w:t>vide targeted support (</w:t>
      </w:r>
      <w:proofErr w:type="spellStart"/>
      <w:r>
        <w:rPr>
          <w:rFonts w:ascii="Times New Roman" w:eastAsia="Times New Roman" w:hAnsi="Times New Roman" w:cs="Times New Roman"/>
          <w:sz w:val="24"/>
          <w:szCs w:val="24"/>
          <w:highlight w:val="white"/>
        </w:rPr>
        <w:t>Goyibova</w:t>
      </w:r>
      <w:proofErr w:type="spellEnd"/>
      <w:r>
        <w:rPr>
          <w:rFonts w:ascii="Times New Roman" w:eastAsia="Times New Roman" w:hAnsi="Times New Roman" w:cs="Times New Roman"/>
          <w:sz w:val="24"/>
          <w:szCs w:val="24"/>
          <w:highlight w:val="white"/>
        </w:rPr>
        <w:t xml:space="preserve"> et al., 2025). In countries with robust inclusive education systems, teachers are often trained in strategies such as Universal Design for Learning (UDL), which provides a flexible approach to teaching and learning that acco</w:t>
      </w:r>
      <w:r>
        <w:rPr>
          <w:rFonts w:ascii="Times New Roman" w:eastAsia="Times New Roman" w:hAnsi="Times New Roman" w:cs="Times New Roman"/>
          <w:sz w:val="24"/>
          <w:szCs w:val="24"/>
          <w:highlight w:val="white"/>
        </w:rPr>
        <w:t xml:space="preserve">mmodates the diverse needs of all students (Doyle et al., 2025). Additionally, fostering a school culture that values diversity, providing adequate resources, and offering ongoing professional development for teachers are critical components of successful </w:t>
      </w:r>
      <w:r>
        <w:rPr>
          <w:rFonts w:ascii="Times New Roman" w:eastAsia="Times New Roman" w:hAnsi="Times New Roman" w:cs="Times New Roman"/>
          <w:sz w:val="24"/>
          <w:szCs w:val="24"/>
          <w:highlight w:val="white"/>
        </w:rPr>
        <w:t>inclusion (Valle-Flórez et al., 2022).</w:t>
      </w:r>
    </w:p>
    <w:p w14:paraId="4395B209" w14:textId="77777777" w:rsidR="00086A58" w:rsidRDefault="009B1C7A">
      <w:p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The Nigerian Context: Inclusion in Nigerian Schools</w:t>
      </w:r>
    </w:p>
    <w:p w14:paraId="60DBD5EA"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Nigeria, the implementation of inclusive education is still evolving. While the government has made strides in promoting inclusive education through policies like</w:t>
      </w:r>
      <w:r>
        <w:rPr>
          <w:rFonts w:ascii="Times New Roman" w:eastAsia="Times New Roman" w:hAnsi="Times New Roman" w:cs="Times New Roman"/>
          <w:sz w:val="24"/>
          <w:szCs w:val="24"/>
          <w:highlight w:val="white"/>
        </w:rPr>
        <w:t xml:space="preserve"> the National Policy on Education, there are significant gaps in its execution. The lack of adequate infrastructure, specialized training for teachers, and societal attitudes toward disability contribute to the slow adoption of inclusive practices in many </w:t>
      </w:r>
      <w:r>
        <w:rPr>
          <w:rFonts w:ascii="Times New Roman" w:eastAsia="Times New Roman" w:hAnsi="Times New Roman" w:cs="Times New Roman"/>
          <w:sz w:val="24"/>
          <w:szCs w:val="24"/>
          <w:highlight w:val="white"/>
        </w:rPr>
        <w:t>schools (</w:t>
      </w:r>
      <w:proofErr w:type="spellStart"/>
      <w:r>
        <w:rPr>
          <w:rFonts w:ascii="Times New Roman" w:eastAsia="Times New Roman" w:hAnsi="Times New Roman" w:cs="Times New Roman"/>
          <w:sz w:val="24"/>
          <w:szCs w:val="24"/>
          <w:highlight w:val="white"/>
        </w:rPr>
        <w:t>Alumona</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Odoh</w:t>
      </w:r>
      <w:proofErr w:type="spellEnd"/>
      <w:r>
        <w:rPr>
          <w:rFonts w:ascii="Times New Roman" w:eastAsia="Times New Roman" w:hAnsi="Times New Roman" w:cs="Times New Roman"/>
          <w:sz w:val="24"/>
          <w:szCs w:val="24"/>
          <w:highlight w:val="white"/>
        </w:rPr>
        <w:t xml:space="preserve">, 2025). In private schools, the </w:t>
      </w:r>
      <w:r>
        <w:rPr>
          <w:rFonts w:ascii="Times New Roman" w:eastAsia="Times New Roman" w:hAnsi="Times New Roman" w:cs="Times New Roman"/>
          <w:sz w:val="24"/>
          <w:szCs w:val="24"/>
          <w:highlight w:val="white"/>
        </w:rPr>
        <w:lastRenderedPageBreak/>
        <w:t>challenges may be more pronounced, as these schools often operate with limited resources and may not be as well-equipped to implement inclusive education effectively. Despite these challenges, there a</w:t>
      </w:r>
      <w:r>
        <w:rPr>
          <w:rFonts w:ascii="Times New Roman" w:eastAsia="Times New Roman" w:hAnsi="Times New Roman" w:cs="Times New Roman"/>
          <w:sz w:val="24"/>
          <w:szCs w:val="24"/>
          <w:highlight w:val="white"/>
        </w:rPr>
        <w:t>re examples of successful inclusion in Nigerian schools, where teachers, with the right support, have been able to make meaningful adjustments to accommodate students with special needs (Angwaomaodoko, 2023).</w:t>
      </w:r>
    </w:p>
    <w:p w14:paraId="6CAA5942" w14:textId="77777777" w:rsidR="00086A58" w:rsidRDefault="00086A58">
      <w:pPr>
        <w:spacing w:before="240" w:after="240"/>
        <w:jc w:val="both"/>
        <w:rPr>
          <w:rFonts w:ascii="Times New Roman" w:eastAsia="Times New Roman" w:hAnsi="Times New Roman" w:cs="Times New Roman"/>
          <w:b/>
          <w:bCs/>
          <w:sz w:val="24"/>
          <w:szCs w:val="24"/>
          <w:highlight w:val="white"/>
        </w:rPr>
      </w:pPr>
    </w:p>
    <w:p w14:paraId="5E2F1E5A" w14:textId="77777777" w:rsidR="00086A58" w:rsidRDefault="009B1C7A">
      <w:pPr>
        <w:spacing w:before="240" w:after="240"/>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Methodology</w:t>
      </w:r>
    </w:p>
    <w:p w14:paraId="50AC59C1" w14:textId="77777777" w:rsidR="00086A58" w:rsidRDefault="009B1C7A">
      <w:p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Study Design</w:t>
      </w:r>
    </w:p>
    <w:p w14:paraId="7EFC3300"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study employed a</w:t>
      </w:r>
      <w:r>
        <w:rPr>
          <w:rFonts w:ascii="Times New Roman" w:eastAsia="Times New Roman" w:hAnsi="Times New Roman" w:cs="Times New Roman"/>
          <w:sz w:val="24"/>
          <w:szCs w:val="24"/>
          <w:highlight w:val="white"/>
        </w:rPr>
        <w:t xml:space="preserve"> cross-sectional descriptive study design, which is appropriate for gathering data on teachers' attitudes, experiences, and preparedness for inclusive education at a single point in time. A cross-sectional design is ideal for understanding the current perc</w:t>
      </w:r>
      <w:r>
        <w:rPr>
          <w:rFonts w:ascii="Times New Roman" w:eastAsia="Times New Roman" w:hAnsi="Times New Roman" w:cs="Times New Roman"/>
          <w:sz w:val="24"/>
          <w:szCs w:val="24"/>
          <w:highlight w:val="white"/>
        </w:rPr>
        <w:t>eptions and practices of teachers regarding inclusive education without longitudinal observation. This design allows for the collection of quantitative data through structured questionnaires, providing a clear snapshot of the attitudes, preparedness, and c</w:t>
      </w:r>
      <w:r>
        <w:rPr>
          <w:rFonts w:ascii="Times New Roman" w:eastAsia="Times New Roman" w:hAnsi="Times New Roman" w:cs="Times New Roman"/>
          <w:sz w:val="24"/>
          <w:szCs w:val="24"/>
          <w:highlight w:val="white"/>
        </w:rPr>
        <w:t>hallenges teachers face in implementing inclusive education.</w:t>
      </w:r>
    </w:p>
    <w:p w14:paraId="2C3D8ACD" w14:textId="77777777" w:rsidR="00086A58" w:rsidRDefault="009B1C7A">
      <w:p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Population of the Study</w:t>
      </w:r>
    </w:p>
    <w:p w14:paraId="5002A16E"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population for this study consists of the 70 teachers working in three (3) primary and secondary schools located in Anambra State, Nigeria. The included schools have a</w:t>
      </w:r>
      <w:r>
        <w:rPr>
          <w:rFonts w:ascii="Times New Roman" w:eastAsia="Times New Roman" w:hAnsi="Times New Roman" w:cs="Times New Roman"/>
          <w:sz w:val="24"/>
          <w:szCs w:val="24"/>
          <w:highlight w:val="white"/>
        </w:rPr>
        <w:t xml:space="preserve"> diverse student body, including children with special needs, and they serve as an ideal setting for examining the attitudes and practices of teachers regarding inclusive education.  </w:t>
      </w:r>
    </w:p>
    <w:p w14:paraId="0FF7D354" w14:textId="77777777" w:rsidR="00086A58" w:rsidRDefault="009B1C7A">
      <w:p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Sample Size and Sampling Technique</w:t>
      </w:r>
    </w:p>
    <w:p w14:paraId="3172F33E"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Given that the teachers at the three </w:t>
      </w:r>
      <w:r>
        <w:rPr>
          <w:rFonts w:ascii="Times New Roman" w:eastAsia="Times New Roman" w:hAnsi="Times New Roman" w:cs="Times New Roman"/>
          <w:sz w:val="24"/>
          <w:szCs w:val="24"/>
          <w:highlight w:val="white"/>
        </w:rPr>
        <w:t xml:space="preserve">(3) schools were 70, a census sampling technique was employed, in </w:t>
      </w:r>
      <w:proofErr w:type="gramStart"/>
      <w:r>
        <w:rPr>
          <w:rFonts w:ascii="Times New Roman" w:eastAsia="Times New Roman" w:hAnsi="Times New Roman" w:cs="Times New Roman"/>
          <w:sz w:val="24"/>
          <w:szCs w:val="24"/>
          <w:highlight w:val="white"/>
        </w:rPr>
        <w:t>which  all</w:t>
      </w:r>
      <w:proofErr w:type="gramEnd"/>
      <w:r>
        <w:rPr>
          <w:rFonts w:ascii="Times New Roman" w:eastAsia="Times New Roman" w:hAnsi="Times New Roman" w:cs="Times New Roman"/>
          <w:sz w:val="24"/>
          <w:szCs w:val="24"/>
          <w:highlight w:val="white"/>
        </w:rPr>
        <w:t xml:space="preserve"> teachers in the schools were included in the study. This approach was chosen because the population is small, and it allowed for the inclusion of every teacher’s perspective, ensu</w:t>
      </w:r>
      <w:r>
        <w:rPr>
          <w:rFonts w:ascii="Times New Roman" w:eastAsia="Times New Roman" w:hAnsi="Times New Roman" w:cs="Times New Roman"/>
          <w:sz w:val="24"/>
          <w:szCs w:val="24"/>
          <w:highlight w:val="white"/>
        </w:rPr>
        <w:t xml:space="preserve">ring a comprehensive view of the attitudes, preparedness, and experiences of teachers regarding inclusive education.  </w:t>
      </w:r>
    </w:p>
    <w:p w14:paraId="21EA4E11" w14:textId="77777777" w:rsidR="00086A58" w:rsidRDefault="009B1C7A">
      <w:p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Instrument for Data Collection</w:t>
      </w:r>
    </w:p>
    <w:p w14:paraId="34C1B306"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primary instrument used for data collection was a structured questionnaire. The questionnaire was deve</w:t>
      </w:r>
      <w:r>
        <w:rPr>
          <w:rFonts w:ascii="Times New Roman" w:eastAsia="Times New Roman" w:hAnsi="Times New Roman" w:cs="Times New Roman"/>
          <w:sz w:val="24"/>
          <w:szCs w:val="24"/>
          <w:highlight w:val="white"/>
        </w:rPr>
        <w:t>loped to gather information on various aspects of inclusive education, including teachers’ attitudes, preparedness, and their experiences with children with special needs. The questionnaire was divided into the following sections:</w:t>
      </w:r>
    </w:p>
    <w:p w14:paraId="05FDC6A6" w14:textId="77777777" w:rsidR="00086A58" w:rsidRDefault="009B1C7A">
      <w:pPr>
        <w:numPr>
          <w:ilvl w:val="0"/>
          <w:numId w:val="2"/>
        </w:numPr>
        <w:spacing w:before="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lastRenderedPageBreak/>
        <w:t>Demographic Information</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This section collected basic information such as age, gender, years of teaching experience, and educational qualifications.</w:t>
      </w:r>
    </w:p>
    <w:p w14:paraId="73BA7D22" w14:textId="77777777" w:rsidR="00086A58" w:rsidRDefault="009B1C7A">
      <w:pPr>
        <w:numPr>
          <w:ilvl w:val="0"/>
          <w:numId w:val="2"/>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Knowledge of Inclusive Education</w:t>
      </w:r>
      <w:r>
        <w:rPr>
          <w:rFonts w:ascii="Times New Roman" w:eastAsia="Times New Roman" w:hAnsi="Times New Roman" w:cs="Times New Roman"/>
          <w:sz w:val="24"/>
          <w:szCs w:val="24"/>
          <w:highlight w:val="white"/>
        </w:rPr>
        <w:t>: This section assessed teachers' understanding of the core concepts of inclusive education, includi</w:t>
      </w:r>
      <w:r>
        <w:rPr>
          <w:rFonts w:ascii="Times New Roman" w:eastAsia="Times New Roman" w:hAnsi="Times New Roman" w:cs="Times New Roman"/>
          <w:sz w:val="24"/>
          <w:szCs w:val="24"/>
          <w:highlight w:val="white"/>
        </w:rPr>
        <w:t>ng definitions, principles, and key practices related to inclusive education.</w:t>
      </w:r>
    </w:p>
    <w:p w14:paraId="545F6F58" w14:textId="77777777" w:rsidR="00086A58" w:rsidRDefault="009B1C7A">
      <w:pPr>
        <w:numPr>
          <w:ilvl w:val="0"/>
          <w:numId w:val="2"/>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Knowledge of Special Education Needs and Disabilities</w:t>
      </w:r>
      <w:r>
        <w:rPr>
          <w:rFonts w:ascii="Times New Roman" w:eastAsia="Times New Roman" w:hAnsi="Times New Roman" w:cs="Times New Roman"/>
          <w:sz w:val="24"/>
          <w:szCs w:val="24"/>
          <w:highlight w:val="white"/>
        </w:rPr>
        <w:t>: This section explored teachers' awareness of different types of disabilities, the legal rights of children with special nee</w:t>
      </w:r>
      <w:r>
        <w:rPr>
          <w:rFonts w:ascii="Times New Roman" w:eastAsia="Times New Roman" w:hAnsi="Times New Roman" w:cs="Times New Roman"/>
          <w:sz w:val="24"/>
          <w:szCs w:val="24"/>
          <w:highlight w:val="white"/>
        </w:rPr>
        <w:t>ds, and their ability to identify and support these students.</w:t>
      </w:r>
    </w:p>
    <w:p w14:paraId="6C3F75AE" w14:textId="77777777" w:rsidR="00086A58" w:rsidRDefault="009B1C7A">
      <w:pPr>
        <w:numPr>
          <w:ilvl w:val="0"/>
          <w:numId w:val="2"/>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Strategies for Supporting Children with Special Needs</w:t>
      </w:r>
      <w:r>
        <w:rPr>
          <w:rFonts w:ascii="Times New Roman" w:eastAsia="Times New Roman" w:hAnsi="Times New Roman" w:cs="Times New Roman"/>
          <w:sz w:val="24"/>
          <w:szCs w:val="24"/>
          <w:highlight w:val="white"/>
        </w:rPr>
        <w:t>: This section focused on teachers' knowledge of effective teaching strategies and accommodations used to support students with special needs</w:t>
      </w:r>
      <w:r>
        <w:rPr>
          <w:rFonts w:ascii="Times New Roman" w:eastAsia="Times New Roman" w:hAnsi="Times New Roman" w:cs="Times New Roman"/>
          <w:sz w:val="24"/>
          <w:szCs w:val="24"/>
          <w:highlight w:val="white"/>
        </w:rPr>
        <w:t xml:space="preserve">. </w:t>
      </w:r>
    </w:p>
    <w:p w14:paraId="599297EF" w14:textId="77777777" w:rsidR="00086A58" w:rsidRDefault="009B1C7A">
      <w:pPr>
        <w:numPr>
          <w:ilvl w:val="0"/>
          <w:numId w:val="2"/>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Training and Professional Development</w:t>
      </w:r>
      <w:r>
        <w:rPr>
          <w:rFonts w:ascii="Times New Roman" w:eastAsia="Times New Roman" w:hAnsi="Times New Roman" w:cs="Times New Roman"/>
          <w:sz w:val="24"/>
          <w:szCs w:val="24"/>
          <w:highlight w:val="white"/>
        </w:rPr>
        <w:t xml:space="preserve">: This section gathered data on the teachers' formal training in inclusive education and their openness to further professional development. </w:t>
      </w:r>
    </w:p>
    <w:p w14:paraId="67DB9240" w14:textId="77777777" w:rsidR="00086A58" w:rsidRDefault="009B1C7A">
      <w:pPr>
        <w:numPr>
          <w:ilvl w:val="0"/>
          <w:numId w:val="2"/>
        </w:numPr>
        <w:spacing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Benefits and Challenges</w:t>
      </w:r>
      <w:r>
        <w:rPr>
          <w:rFonts w:ascii="Times New Roman" w:eastAsia="Times New Roman" w:hAnsi="Times New Roman" w:cs="Times New Roman"/>
          <w:sz w:val="24"/>
          <w:szCs w:val="24"/>
          <w:highlight w:val="white"/>
        </w:rPr>
        <w:t>: This section aimed to identify the perceived bene</w:t>
      </w:r>
      <w:r>
        <w:rPr>
          <w:rFonts w:ascii="Times New Roman" w:eastAsia="Times New Roman" w:hAnsi="Times New Roman" w:cs="Times New Roman"/>
          <w:sz w:val="24"/>
          <w:szCs w:val="24"/>
          <w:highlight w:val="white"/>
        </w:rPr>
        <w:t>fits of inclusive education. It also sought to assess the challenges teachers face in implementing inclusive education.</w:t>
      </w:r>
    </w:p>
    <w:p w14:paraId="6D8686B3" w14:textId="77777777" w:rsidR="00086A58" w:rsidRDefault="009B1C7A">
      <w:p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Validation and Reliability of the Instrument</w:t>
      </w:r>
    </w:p>
    <w:p w14:paraId="5CEA7EFB"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questionnaire was validated through expert reviews. A panel of three experts in </w:t>
      </w:r>
      <w:r>
        <w:rPr>
          <w:rFonts w:ascii="Times New Roman" w:eastAsia="Times New Roman" w:hAnsi="Times New Roman" w:cs="Times New Roman"/>
          <w:sz w:val="24"/>
          <w:szCs w:val="24"/>
          <w:highlight w:val="white"/>
        </w:rPr>
        <w:t>inclusive education, special education, and educational psychology examined the instrument for content validity. Based on their feedback, minor adjustments were made to the wording of certain questions to ensure clarity and relevance. Additionally, a pilot</w:t>
      </w:r>
      <w:r>
        <w:rPr>
          <w:rFonts w:ascii="Times New Roman" w:eastAsia="Times New Roman" w:hAnsi="Times New Roman" w:cs="Times New Roman"/>
          <w:sz w:val="24"/>
          <w:szCs w:val="24"/>
          <w:highlight w:val="white"/>
        </w:rPr>
        <w:t xml:space="preserve"> test of the questionnaire was conducted with a small group of teachers at another school to assess its reliability and clarity. The results from the pilot test indicated that the instrument was reliable, with a Cronbach’s alpha coefficient of 0.85, sugges</w:t>
      </w:r>
      <w:r>
        <w:rPr>
          <w:rFonts w:ascii="Times New Roman" w:eastAsia="Times New Roman" w:hAnsi="Times New Roman" w:cs="Times New Roman"/>
          <w:sz w:val="24"/>
          <w:szCs w:val="24"/>
          <w:highlight w:val="white"/>
        </w:rPr>
        <w:t>ting high internal consistency.</w:t>
      </w:r>
    </w:p>
    <w:p w14:paraId="2B164A10" w14:textId="77777777" w:rsidR="00086A58" w:rsidRDefault="009B1C7A">
      <w:p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Method of Data Collection</w:t>
      </w:r>
    </w:p>
    <w:p w14:paraId="11240A5A"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Data was collected through an online survey. The questionnaires were distributed during a scheduled meeting with the teachers, where they were given adequate time to complete the survey. The researc</w:t>
      </w:r>
      <w:r>
        <w:rPr>
          <w:rFonts w:ascii="Times New Roman" w:eastAsia="Times New Roman" w:hAnsi="Times New Roman" w:cs="Times New Roman"/>
          <w:sz w:val="24"/>
          <w:szCs w:val="24"/>
          <w:highlight w:val="white"/>
        </w:rPr>
        <w:t>hers ensured that the teachers understood the purpose of the study and the anonymity of their responses. Teachers were assured that their participation was voluntary, and that their responses would remain confidential. The data collection process took plac</w:t>
      </w:r>
      <w:r>
        <w:rPr>
          <w:rFonts w:ascii="Times New Roman" w:eastAsia="Times New Roman" w:hAnsi="Times New Roman" w:cs="Times New Roman"/>
          <w:sz w:val="24"/>
          <w:szCs w:val="24"/>
          <w:highlight w:val="white"/>
        </w:rPr>
        <w:t>e over a two-week period.</w:t>
      </w:r>
    </w:p>
    <w:p w14:paraId="2EADDD90" w14:textId="77777777" w:rsidR="00086A58" w:rsidRDefault="009B1C7A">
      <w:p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Method of Data Analysis</w:t>
      </w:r>
    </w:p>
    <w:p w14:paraId="5F199FFF"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data collected from the questionnaires were analyzed using descriptive, including frequencies and percentages.</w:t>
      </w:r>
    </w:p>
    <w:p w14:paraId="751BECCC" w14:textId="77777777" w:rsidR="00086A58" w:rsidRDefault="00086A58">
      <w:pPr>
        <w:spacing w:before="240" w:after="240"/>
        <w:jc w:val="both"/>
        <w:rPr>
          <w:rFonts w:ascii="Times New Roman" w:eastAsia="Times New Roman" w:hAnsi="Times New Roman" w:cs="Times New Roman"/>
          <w:sz w:val="24"/>
          <w:szCs w:val="24"/>
          <w:highlight w:val="white"/>
        </w:rPr>
      </w:pPr>
    </w:p>
    <w:p w14:paraId="4B585548" w14:textId="77777777" w:rsidR="00086A58" w:rsidRDefault="009B1C7A">
      <w:pPr>
        <w:spacing w:before="240" w:after="240"/>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Results</w:t>
      </w:r>
    </w:p>
    <w:p w14:paraId="16CC78B6" w14:textId="77777777" w:rsidR="00086A58" w:rsidRDefault="009B1C7A">
      <w:pPr>
        <w:pStyle w:val="Heading3"/>
        <w:keepNext w:val="0"/>
        <w:keepLines w:val="0"/>
        <w:numPr>
          <w:ilvl w:val="0"/>
          <w:numId w:val="4"/>
        </w:numPr>
        <w:spacing w:before="280"/>
        <w:rPr>
          <w:rFonts w:ascii="Times New Roman" w:eastAsia="Times New Roman" w:hAnsi="Times New Roman" w:cs="Times New Roman"/>
          <w:b/>
          <w:bCs/>
          <w:color w:val="000000"/>
          <w:highlight w:val="white"/>
        </w:rPr>
      </w:pPr>
      <w:bookmarkStart w:id="9" w:name="_heading=h.uctvcxhl3mfu" w:colFirst="0" w:colLast="0"/>
      <w:bookmarkEnd w:id="9"/>
      <w:r>
        <w:rPr>
          <w:rFonts w:ascii="Times New Roman" w:eastAsia="Times New Roman" w:hAnsi="Times New Roman" w:cs="Times New Roman"/>
          <w:b/>
          <w:bCs/>
          <w:color w:val="000000"/>
          <w:highlight w:val="white"/>
        </w:rPr>
        <w:t>Response Rate</w:t>
      </w:r>
    </w:p>
    <w:p w14:paraId="3D3F9185" w14:textId="77777777" w:rsidR="00086A58" w:rsidRDefault="009B1C7A">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 xml:space="preserve">The response rate for this study was calculated based on the total </w:t>
      </w:r>
      <w:r>
        <w:rPr>
          <w:rFonts w:ascii="Times New Roman" w:eastAsia="Times New Roman" w:hAnsi="Times New Roman" w:cs="Times New Roman"/>
          <w:sz w:val="24"/>
          <w:szCs w:val="24"/>
          <w:highlight w:val="white"/>
        </w:rPr>
        <w:t>number of participants (70) and the number of responses received (64). The response rate was therefore 91.4%, indicating a strong level of participation in the survey, which enhances the reliability of the results.</w:t>
      </w:r>
    </w:p>
    <w:p w14:paraId="4ABE6605" w14:textId="77777777" w:rsidR="00086A58" w:rsidRDefault="009B1C7A">
      <w:pPr>
        <w:numPr>
          <w:ilvl w:val="0"/>
          <w:numId w:val="4"/>
        </w:num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Demographic Information</w:t>
      </w:r>
    </w:p>
    <w:p w14:paraId="055CAB55"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majority of r</w:t>
      </w:r>
      <w:r>
        <w:rPr>
          <w:rFonts w:ascii="Times New Roman" w:eastAsia="Times New Roman" w:hAnsi="Times New Roman" w:cs="Times New Roman"/>
          <w:sz w:val="24"/>
          <w:szCs w:val="24"/>
          <w:highlight w:val="white"/>
        </w:rPr>
        <w:t>espondents were between the ages of 31-40 (46.9%), followed by those aged 20-30 (40.6%) and this is pictorially represented in Figure 1. A significant proportion of the participants were female (59.4%) compared to male respondents (40.6%) as shown in Figur</w:t>
      </w:r>
      <w:r>
        <w:rPr>
          <w:rFonts w:ascii="Times New Roman" w:eastAsia="Times New Roman" w:hAnsi="Times New Roman" w:cs="Times New Roman"/>
          <w:sz w:val="24"/>
          <w:szCs w:val="24"/>
          <w:highlight w:val="white"/>
        </w:rPr>
        <w:t>e 2. In terms of teaching experience, most participants had between 1-5 years of experience (46.9%), with a smaller group having over 16 years of teaching experience (6.3%). Regarding experience with children with special needs, half of the teachers had 1-</w:t>
      </w:r>
      <w:r>
        <w:rPr>
          <w:rFonts w:ascii="Times New Roman" w:eastAsia="Times New Roman" w:hAnsi="Times New Roman" w:cs="Times New Roman"/>
          <w:sz w:val="24"/>
          <w:szCs w:val="24"/>
          <w:highlight w:val="white"/>
        </w:rPr>
        <w:t>5 years of experience (50%), and a considerable portion had less than a year of experience (28.1%). Most participants held a Bachelor’s Degree (75%), with a few holding Master's Degrees (9.4%) or other qualifications like NCE (9.4%) (See table 1).</w:t>
      </w:r>
    </w:p>
    <w:p w14:paraId="4F25835E" w14:textId="77777777" w:rsidR="00086A58" w:rsidRDefault="009B1C7A">
      <w:pPr>
        <w:spacing w:before="240" w:after="240"/>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Table 1:</w:t>
      </w:r>
      <w:r>
        <w:rPr>
          <w:rFonts w:ascii="Times New Roman" w:eastAsia="Times New Roman" w:hAnsi="Times New Roman" w:cs="Times New Roman"/>
          <w:b/>
          <w:bCs/>
          <w:i/>
          <w:iCs/>
          <w:sz w:val="24"/>
          <w:szCs w:val="24"/>
          <w:highlight w:val="white"/>
        </w:rPr>
        <w:t xml:space="preserve"> Socio-demographic characteristics of the participating teachers</w:t>
      </w:r>
    </w:p>
    <w:tbl>
      <w:tblPr>
        <w:tblStyle w:val="a5"/>
        <w:tblW w:w="934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0"/>
        <w:gridCol w:w="3615"/>
        <w:gridCol w:w="3120"/>
      </w:tblGrid>
      <w:tr w:rsidR="00086A58" w14:paraId="570839D2" w14:textId="77777777">
        <w:tc>
          <w:tcPr>
            <w:tcW w:w="2610" w:type="dxa"/>
            <w:tcBorders>
              <w:top w:val="single" w:sz="24" w:space="0" w:color="000000"/>
              <w:left w:val="nil"/>
              <w:bottom w:val="single" w:sz="24" w:space="0" w:color="000000"/>
              <w:right w:val="nil"/>
            </w:tcBorders>
            <w:tcMar>
              <w:top w:w="100" w:type="dxa"/>
              <w:left w:w="100" w:type="dxa"/>
              <w:bottom w:w="100" w:type="dxa"/>
              <w:right w:w="100" w:type="dxa"/>
            </w:tcMar>
          </w:tcPr>
          <w:p w14:paraId="6D2D7C6C" w14:textId="77777777" w:rsidR="00086A58" w:rsidRDefault="009B1C7A">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Social-Demographic Characteristics</w:t>
            </w:r>
          </w:p>
        </w:tc>
        <w:tc>
          <w:tcPr>
            <w:tcW w:w="3615" w:type="dxa"/>
            <w:tcBorders>
              <w:top w:val="single" w:sz="24" w:space="0" w:color="000000"/>
              <w:left w:val="nil"/>
              <w:bottom w:val="single" w:sz="24" w:space="0" w:color="000000"/>
            </w:tcBorders>
            <w:tcMar>
              <w:top w:w="100" w:type="dxa"/>
              <w:left w:w="100" w:type="dxa"/>
              <w:bottom w:w="100" w:type="dxa"/>
              <w:right w:w="100" w:type="dxa"/>
            </w:tcMar>
          </w:tcPr>
          <w:p w14:paraId="050B1BD2" w14:textId="77777777" w:rsidR="00086A58" w:rsidRDefault="00086A58">
            <w:pPr>
              <w:widowControl w:val="0"/>
              <w:pBdr>
                <w:top w:val="nil"/>
                <w:left w:val="nil"/>
                <w:bottom w:val="nil"/>
                <w:right w:val="nil"/>
                <w:between w:val="nil"/>
              </w:pBdr>
              <w:jc w:val="both"/>
              <w:rPr>
                <w:rFonts w:ascii="Times New Roman" w:eastAsia="Times New Roman" w:hAnsi="Times New Roman" w:cs="Times New Roman"/>
                <w:sz w:val="24"/>
                <w:szCs w:val="24"/>
                <w:highlight w:val="white"/>
              </w:rPr>
            </w:pPr>
          </w:p>
        </w:tc>
        <w:tc>
          <w:tcPr>
            <w:tcW w:w="3120" w:type="dxa"/>
            <w:tcBorders>
              <w:top w:val="single" w:sz="24" w:space="0" w:color="000000"/>
              <w:bottom w:val="single" w:sz="24" w:space="0" w:color="000000"/>
              <w:right w:val="nil"/>
            </w:tcBorders>
            <w:tcMar>
              <w:top w:w="100" w:type="dxa"/>
              <w:left w:w="100" w:type="dxa"/>
              <w:bottom w:w="100" w:type="dxa"/>
              <w:right w:w="100" w:type="dxa"/>
            </w:tcMar>
          </w:tcPr>
          <w:p w14:paraId="16370003" w14:textId="77777777" w:rsidR="00086A58" w:rsidRDefault="009B1C7A">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Total (Percentage)</w:t>
            </w:r>
          </w:p>
        </w:tc>
      </w:tr>
      <w:tr w:rsidR="00086A58" w14:paraId="4F9E17B9" w14:textId="77777777">
        <w:tc>
          <w:tcPr>
            <w:tcW w:w="2610" w:type="dxa"/>
            <w:tcBorders>
              <w:top w:val="single" w:sz="24" w:space="0" w:color="000000"/>
              <w:left w:val="nil"/>
              <w:bottom w:val="nil"/>
              <w:right w:val="nil"/>
            </w:tcBorders>
            <w:tcMar>
              <w:top w:w="100" w:type="dxa"/>
              <w:left w:w="100" w:type="dxa"/>
              <w:bottom w:w="100" w:type="dxa"/>
              <w:right w:w="100" w:type="dxa"/>
            </w:tcMar>
          </w:tcPr>
          <w:p w14:paraId="719F191C"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Age Range</w:t>
            </w:r>
          </w:p>
        </w:tc>
        <w:tc>
          <w:tcPr>
            <w:tcW w:w="3615" w:type="dxa"/>
            <w:tcBorders>
              <w:top w:val="single" w:sz="24" w:space="0" w:color="000000"/>
              <w:left w:val="nil"/>
              <w:bottom w:val="nil"/>
              <w:right w:val="single" w:sz="4" w:space="0" w:color="000000"/>
            </w:tcBorders>
            <w:tcMar>
              <w:top w:w="100" w:type="dxa"/>
              <w:left w:w="100" w:type="dxa"/>
              <w:bottom w:w="100" w:type="dxa"/>
              <w:right w:w="100" w:type="dxa"/>
            </w:tcMar>
          </w:tcPr>
          <w:p w14:paraId="7F932F9E"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20-30</w:t>
            </w:r>
          </w:p>
        </w:tc>
        <w:tc>
          <w:tcPr>
            <w:tcW w:w="3120" w:type="dxa"/>
            <w:tcBorders>
              <w:top w:val="single" w:sz="24" w:space="0" w:color="000000"/>
              <w:left w:val="single" w:sz="4" w:space="0" w:color="000000"/>
              <w:bottom w:val="nil"/>
              <w:right w:val="nil"/>
            </w:tcBorders>
            <w:tcMar>
              <w:top w:w="100" w:type="dxa"/>
              <w:left w:w="100" w:type="dxa"/>
              <w:bottom w:w="100" w:type="dxa"/>
              <w:right w:w="100" w:type="dxa"/>
            </w:tcMar>
          </w:tcPr>
          <w:p w14:paraId="4C96C8B1"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 (40.6%)</w:t>
            </w:r>
          </w:p>
        </w:tc>
      </w:tr>
      <w:tr w:rsidR="00086A58" w14:paraId="0ED14CB7" w14:textId="77777777">
        <w:tc>
          <w:tcPr>
            <w:tcW w:w="2610" w:type="dxa"/>
            <w:tcBorders>
              <w:top w:val="nil"/>
              <w:left w:val="nil"/>
              <w:bottom w:val="nil"/>
              <w:right w:val="nil"/>
            </w:tcBorders>
            <w:tcMar>
              <w:top w:w="100" w:type="dxa"/>
              <w:left w:w="100" w:type="dxa"/>
              <w:bottom w:w="100" w:type="dxa"/>
              <w:right w:w="100" w:type="dxa"/>
            </w:tcMar>
          </w:tcPr>
          <w:p w14:paraId="7F0103D9" w14:textId="77777777" w:rsidR="00086A58" w:rsidRDefault="00086A58">
            <w:pPr>
              <w:widowControl w:val="0"/>
              <w:pBdr>
                <w:top w:val="nil"/>
                <w:left w:val="nil"/>
                <w:bottom w:val="nil"/>
                <w:right w:val="nil"/>
                <w:between w:val="nil"/>
              </w:pBdr>
              <w:jc w:val="both"/>
              <w:rPr>
                <w:rFonts w:ascii="Times New Roman" w:eastAsia="Times New Roman" w:hAnsi="Times New Roman" w:cs="Times New Roman"/>
                <w:sz w:val="24"/>
                <w:szCs w:val="24"/>
                <w:highlight w:val="white"/>
              </w:rPr>
            </w:pPr>
          </w:p>
        </w:tc>
        <w:tc>
          <w:tcPr>
            <w:tcW w:w="3615" w:type="dxa"/>
            <w:tcBorders>
              <w:top w:val="nil"/>
              <w:left w:val="nil"/>
              <w:bottom w:val="nil"/>
              <w:right w:val="single" w:sz="4" w:space="0" w:color="000000"/>
            </w:tcBorders>
            <w:tcMar>
              <w:top w:w="100" w:type="dxa"/>
              <w:left w:w="100" w:type="dxa"/>
              <w:bottom w:w="100" w:type="dxa"/>
              <w:right w:w="100" w:type="dxa"/>
            </w:tcMar>
          </w:tcPr>
          <w:p w14:paraId="64FD8E65"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31-40</w:t>
            </w:r>
          </w:p>
        </w:tc>
        <w:tc>
          <w:tcPr>
            <w:tcW w:w="3120" w:type="dxa"/>
            <w:tcBorders>
              <w:top w:val="nil"/>
              <w:left w:val="single" w:sz="4" w:space="0" w:color="000000"/>
              <w:bottom w:val="nil"/>
              <w:right w:val="nil"/>
            </w:tcBorders>
            <w:tcMar>
              <w:top w:w="100" w:type="dxa"/>
              <w:left w:w="100" w:type="dxa"/>
              <w:bottom w:w="100" w:type="dxa"/>
              <w:right w:w="100" w:type="dxa"/>
            </w:tcMar>
          </w:tcPr>
          <w:p w14:paraId="6E4CAE8D"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30 (46.9%)</w:t>
            </w:r>
          </w:p>
        </w:tc>
      </w:tr>
      <w:tr w:rsidR="00086A58" w14:paraId="1BB13BEC" w14:textId="77777777">
        <w:tc>
          <w:tcPr>
            <w:tcW w:w="2610" w:type="dxa"/>
            <w:tcBorders>
              <w:top w:val="nil"/>
              <w:left w:val="nil"/>
              <w:bottom w:val="nil"/>
              <w:right w:val="nil"/>
            </w:tcBorders>
            <w:tcMar>
              <w:top w:w="100" w:type="dxa"/>
              <w:left w:w="100" w:type="dxa"/>
              <w:bottom w:w="100" w:type="dxa"/>
              <w:right w:w="100" w:type="dxa"/>
            </w:tcMar>
          </w:tcPr>
          <w:p w14:paraId="0E78B4C4" w14:textId="77777777" w:rsidR="00086A58" w:rsidRDefault="00086A58">
            <w:pPr>
              <w:widowControl w:val="0"/>
              <w:pBdr>
                <w:top w:val="nil"/>
                <w:left w:val="nil"/>
                <w:bottom w:val="nil"/>
                <w:right w:val="nil"/>
                <w:between w:val="nil"/>
              </w:pBdr>
              <w:jc w:val="both"/>
              <w:rPr>
                <w:rFonts w:ascii="Times New Roman" w:eastAsia="Times New Roman" w:hAnsi="Times New Roman" w:cs="Times New Roman"/>
                <w:sz w:val="24"/>
                <w:szCs w:val="24"/>
                <w:highlight w:val="white"/>
              </w:rPr>
            </w:pPr>
          </w:p>
        </w:tc>
        <w:tc>
          <w:tcPr>
            <w:tcW w:w="3615" w:type="dxa"/>
            <w:tcBorders>
              <w:top w:val="nil"/>
              <w:left w:val="nil"/>
              <w:bottom w:val="nil"/>
              <w:right w:val="single" w:sz="4" w:space="0" w:color="000000"/>
            </w:tcBorders>
            <w:tcMar>
              <w:top w:w="100" w:type="dxa"/>
              <w:left w:w="100" w:type="dxa"/>
              <w:bottom w:w="100" w:type="dxa"/>
              <w:right w:w="100" w:type="dxa"/>
            </w:tcMar>
          </w:tcPr>
          <w:p w14:paraId="47BB8417"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41-50</w:t>
            </w:r>
          </w:p>
        </w:tc>
        <w:tc>
          <w:tcPr>
            <w:tcW w:w="3120" w:type="dxa"/>
            <w:tcBorders>
              <w:top w:val="nil"/>
              <w:left w:val="single" w:sz="4" w:space="0" w:color="000000"/>
              <w:bottom w:val="nil"/>
              <w:right w:val="nil"/>
            </w:tcBorders>
            <w:tcMar>
              <w:top w:w="100" w:type="dxa"/>
              <w:left w:w="100" w:type="dxa"/>
              <w:bottom w:w="100" w:type="dxa"/>
              <w:right w:w="100" w:type="dxa"/>
            </w:tcMar>
          </w:tcPr>
          <w:p w14:paraId="7FC74BBB"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 (12.5%)</w:t>
            </w:r>
          </w:p>
        </w:tc>
      </w:tr>
      <w:tr w:rsidR="00086A58" w14:paraId="5D7D1AA0" w14:textId="77777777">
        <w:tc>
          <w:tcPr>
            <w:tcW w:w="2610" w:type="dxa"/>
            <w:tcBorders>
              <w:top w:val="nil"/>
              <w:left w:val="nil"/>
              <w:bottom w:val="single" w:sz="4" w:space="0" w:color="000000"/>
              <w:right w:val="nil"/>
            </w:tcBorders>
            <w:tcMar>
              <w:top w:w="100" w:type="dxa"/>
              <w:left w:w="100" w:type="dxa"/>
              <w:bottom w:w="100" w:type="dxa"/>
              <w:right w:w="100" w:type="dxa"/>
            </w:tcMar>
          </w:tcPr>
          <w:p w14:paraId="7954914A" w14:textId="77777777" w:rsidR="00086A58" w:rsidRDefault="00086A58">
            <w:pPr>
              <w:widowControl w:val="0"/>
              <w:pBdr>
                <w:top w:val="nil"/>
                <w:left w:val="nil"/>
                <w:bottom w:val="nil"/>
                <w:right w:val="nil"/>
                <w:between w:val="nil"/>
              </w:pBdr>
              <w:jc w:val="both"/>
              <w:rPr>
                <w:rFonts w:ascii="Times New Roman" w:eastAsia="Times New Roman" w:hAnsi="Times New Roman" w:cs="Times New Roman"/>
                <w:sz w:val="24"/>
                <w:szCs w:val="24"/>
                <w:highlight w:val="white"/>
              </w:rPr>
            </w:pPr>
          </w:p>
        </w:tc>
        <w:tc>
          <w:tcPr>
            <w:tcW w:w="3615" w:type="dxa"/>
            <w:tcBorders>
              <w:top w:val="nil"/>
              <w:left w:val="nil"/>
              <w:bottom w:val="single" w:sz="4" w:space="0" w:color="000000"/>
              <w:right w:val="single" w:sz="4" w:space="0" w:color="000000"/>
            </w:tcBorders>
            <w:tcMar>
              <w:top w:w="100" w:type="dxa"/>
              <w:left w:w="100" w:type="dxa"/>
              <w:bottom w:w="100" w:type="dxa"/>
              <w:right w:w="100" w:type="dxa"/>
            </w:tcMar>
          </w:tcPr>
          <w:p w14:paraId="3C56CBCE"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51 and above</w:t>
            </w:r>
          </w:p>
        </w:tc>
        <w:tc>
          <w:tcPr>
            <w:tcW w:w="3120" w:type="dxa"/>
            <w:tcBorders>
              <w:top w:val="nil"/>
              <w:left w:val="single" w:sz="4" w:space="0" w:color="000000"/>
              <w:bottom w:val="single" w:sz="4" w:space="0" w:color="000000"/>
              <w:right w:val="nil"/>
            </w:tcBorders>
            <w:tcMar>
              <w:top w:w="100" w:type="dxa"/>
              <w:left w:w="100" w:type="dxa"/>
              <w:bottom w:w="100" w:type="dxa"/>
              <w:right w:w="100" w:type="dxa"/>
            </w:tcMar>
          </w:tcPr>
          <w:p w14:paraId="68D5647E"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Nil</w:t>
            </w:r>
          </w:p>
        </w:tc>
      </w:tr>
      <w:tr w:rsidR="00086A58" w14:paraId="0D31E41F" w14:textId="77777777">
        <w:tc>
          <w:tcPr>
            <w:tcW w:w="2610" w:type="dxa"/>
            <w:tcBorders>
              <w:top w:val="single" w:sz="4" w:space="0" w:color="000000"/>
              <w:left w:val="nil"/>
              <w:bottom w:val="nil"/>
              <w:right w:val="nil"/>
            </w:tcBorders>
            <w:tcMar>
              <w:top w:w="100" w:type="dxa"/>
              <w:left w:w="100" w:type="dxa"/>
              <w:bottom w:w="100" w:type="dxa"/>
              <w:right w:w="100" w:type="dxa"/>
            </w:tcMar>
          </w:tcPr>
          <w:p w14:paraId="237358B3"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lastRenderedPageBreak/>
              <w:t>Gender</w:t>
            </w:r>
          </w:p>
        </w:tc>
        <w:tc>
          <w:tcPr>
            <w:tcW w:w="3615" w:type="dxa"/>
            <w:tcBorders>
              <w:top w:val="single" w:sz="4" w:space="0" w:color="000000"/>
              <w:left w:val="nil"/>
              <w:bottom w:val="nil"/>
            </w:tcBorders>
            <w:tcMar>
              <w:top w:w="100" w:type="dxa"/>
              <w:left w:w="100" w:type="dxa"/>
              <w:bottom w:w="100" w:type="dxa"/>
              <w:right w:w="100" w:type="dxa"/>
            </w:tcMar>
          </w:tcPr>
          <w:p w14:paraId="1B1E8613"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Male</w:t>
            </w:r>
          </w:p>
        </w:tc>
        <w:tc>
          <w:tcPr>
            <w:tcW w:w="3120" w:type="dxa"/>
            <w:tcBorders>
              <w:top w:val="single" w:sz="4" w:space="0" w:color="000000"/>
              <w:bottom w:val="nil"/>
              <w:right w:val="nil"/>
            </w:tcBorders>
            <w:tcMar>
              <w:top w:w="100" w:type="dxa"/>
              <w:left w:w="100" w:type="dxa"/>
              <w:bottom w:w="100" w:type="dxa"/>
              <w:right w:w="100" w:type="dxa"/>
            </w:tcMar>
          </w:tcPr>
          <w:p w14:paraId="7D0A3F78"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 (40.6%)</w:t>
            </w:r>
          </w:p>
        </w:tc>
      </w:tr>
      <w:tr w:rsidR="00086A58" w14:paraId="3363A2DA" w14:textId="77777777">
        <w:tc>
          <w:tcPr>
            <w:tcW w:w="2610" w:type="dxa"/>
            <w:tcBorders>
              <w:top w:val="nil"/>
              <w:left w:val="nil"/>
              <w:bottom w:val="single" w:sz="4" w:space="0" w:color="000000"/>
              <w:right w:val="nil"/>
            </w:tcBorders>
            <w:tcMar>
              <w:top w:w="100" w:type="dxa"/>
              <w:left w:w="100" w:type="dxa"/>
              <w:bottom w:w="100" w:type="dxa"/>
              <w:right w:w="100" w:type="dxa"/>
            </w:tcMar>
          </w:tcPr>
          <w:p w14:paraId="4E0920C0" w14:textId="77777777" w:rsidR="00086A58" w:rsidRDefault="00086A58">
            <w:pPr>
              <w:spacing w:before="240" w:after="240"/>
              <w:jc w:val="both"/>
              <w:rPr>
                <w:rFonts w:ascii="Times New Roman" w:eastAsia="Times New Roman" w:hAnsi="Times New Roman" w:cs="Times New Roman"/>
                <w:sz w:val="24"/>
                <w:szCs w:val="24"/>
                <w:highlight w:val="white"/>
              </w:rPr>
            </w:pPr>
          </w:p>
        </w:tc>
        <w:tc>
          <w:tcPr>
            <w:tcW w:w="3615" w:type="dxa"/>
            <w:tcBorders>
              <w:top w:val="nil"/>
              <w:left w:val="nil"/>
            </w:tcBorders>
            <w:tcMar>
              <w:top w:w="100" w:type="dxa"/>
              <w:left w:w="100" w:type="dxa"/>
              <w:bottom w:w="100" w:type="dxa"/>
              <w:right w:w="100" w:type="dxa"/>
            </w:tcMar>
          </w:tcPr>
          <w:p w14:paraId="4F3A3506"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Female</w:t>
            </w:r>
          </w:p>
        </w:tc>
        <w:tc>
          <w:tcPr>
            <w:tcW w:w="3120" w:type="dxa"/>
            <w:tcBorders>
              <w:top w:val="nil"/>
              <w:right w:val="nil"/>
            </w:tcBorders>
            <w:tcMar>
              <w:top w:w="100" w:type="dxa"/>
              <w:left w:w="100" w:type="dxa"/>
              <w:bottom w:w="100" w:type="dxa"/>
              <w:right w:w="100" w:type="dxa"/>
            </w:tcMar>
          </w:tcPr>
          <w:p w14:paraId="071107C4"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38 (59.4%)</w:t>
            </w:r>
          </w:p>
        </w:tc>
      </w:tr>
      <w:tr w:rsidR="00086A58" w14:paraId="4F33184A" w14:textId="77777777">
        <w:tc>
          <w:tcPr>
            <w:tcW w:w="2610" w:type="dxa"/>
            <w:tcBorders>
              <w:top w:val="single" w:sz="4" w:space="0" w:color="000000"/>
              <w:left w:val="nil"/>
              <w:bottom w:val="nil"/>
              <w:right w:val="nil"/>
            </w:tcBorders>
            <w:tcMar>
              <w:top w:w="100" w:type="dxa"/>
              <w:left w:w="100" w:type="dxa"/>
              <w:bottom w:w="100" w:type="dxa"/>
              <w:right w:w="100" w:type="dxa"/>
            </w:tcMar>
          </w:tcPr>
          <w:p w14:paraId="106B44F6"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Years </w:t>
            </w:r>
            <w:r>
              <w:rPr>
                <w:rFonts w:ascii="Times New Roman" w:eastAsia="Times New Roman" w:hAnsi="Times New Roman" w:cs="Times New Roman"/>
                <w:b/>
                <w:bCs/>
                <w:sz w:val="24"/>
                <w:szCs w:val="24"/>
                <w:highlight w:val="white"/>
              </w:rPr>
              <w:t>of Teaching Experience</w:t>
            </w:r>
          </w:p>
        </w:tc>
        <w:tc>
          <w:tcPr>
            <w:tcW w:w="3615" w:type="dxa"/>
            <w:tcBorders>
              <w:left w:val="nil"/>
              <w:bottom w:val="nil"/>
            </w:tcBorders>
            <w:tcMar>
              <w:top w:w="100" w:type="dxa"/>
              <w:left w:w="100" w:type="dxa"/>
              <w:bottom w:w="100" w:type="dxa"/>
              <w:right w:w="100" w:type="dxa"/>
            </w:tcMar>
          </w:tcPr>
          <w:p w14:paraId="7E415AF1"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&lt; 1 year</w:t>
            </w:r>
          </w:p>
        </w:tc>
        <w:tc>
          <w:tcPr>
            <w:tcW w:w="3120" w:type="dxa"/>
            <w:tcBorders>
              <w:bottom w:val="nil"/>
              <w:right w:val="nil"/>
            </w:tcBorders>
            <w:tcMar>
              <w:top w:w="100" w:type="dxa"/>
              <w:left w:w="100" w:type="dxa"/>
              <w:bottom w:w="100" w:type="dxa"/>
              <w:right w:w="100" w:type="dxa"/>
            </w:tcMar>
          </w:tcPr>
          <w:p w14:paraId="2C4ADDFE"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(3.1%)</w:t>
            </w:r>
          </w:p>
        </w:tc>
      </w:tr>
      <w:tr w:rsidR="00086A58" w14:paraId="47E76625" w14:textId="77777777">
        <w:tc>
          <w:tcPr>
            <w:tcW w:w="2610" w:type="dxa"/>
            <w:tcBorders>
              <w:top w:val="nil"/>
              <w:left w:val="nil"/>
              <w:bottom w:val="nil"/>
              <w:right w:val="nil"/>
            </w:tcBorders>
            <w:tcMar>
              <w:top w:w="100" w:type="dxa"/>
              <w:left w:w="100" w:type="dxa"/>
              <w:bottom w:w="100" w:type="dxa"/>
              <w:right w:w="100" w:type="dxa"/>
            </w:tcMar>
          </w:tcPr>
          <w:p w14:paraId="76379F81" w14:textId="77777777" w:rsidR="00086A58" w:rsidRDefault="00086A58">
            <w:pPr>
              <w:spacing w:before="240" w:after="240"/>
              <w:jc w:val="both"/>
              <w:rPr>
                <w:rFonts w:ascii="Times New Roman" w:eastAsia="Times New Roman" w:hAnsi="Times New Roman" w:cs="Times New Roman"/>
                <w:sz w:val="24"/>
                <w:szCs w:val="24"/>
                <w:highlight w:val="white"/>
              </w:rPr>
            </w:pPr>
          </w:p>
        </w:tc>
        <w:tc>
          <w:tcPr>
            <w:tcW w:w="3615" w:type="dxa"/>
            <w:tcBorders>
              <w:top w:val="nil"/>
              <w:left w:val="nil"/>
              <w:bottom w:val="nil"/>
              <w:right w:val="single" w:sz="4" w:space="0" w:color="000000"/>
            </w:tcBorders>
            <w:tcMar>
              <w:top w:w="100" w:type="dxa"/>
              <w:left w:w="100" w:type="dxa"/>
              <w:bottom w:w="100" w:type="dxa"/>
              <w:right w:w="100" w:type="dxa"/>
            </w:tcMar>
          </w:tcPr>
          <w:p w14:paraId="4EEF02C9"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 years</w:t>
            </w:r>
          </w:p>
        </w:tc>
        <w:tc>
          <w:tcPr>
            <w:tcW w:w="3120" w:type="dxa"/>
            <w:tcBorders>
              <w:top w:val="nil"/>
              <w:left w:val="single" w:sz="4" w:space="0" w:color="000000"/>
              <w:bottom w:val="nil"/>
              <w:right w:val="nil"/>
            </w:tcBorders>
            <w:tcMar>
              <w:top w:w="100" w:type="dxa"/>
              <w:left w:w="100" w:type="dxa"/>
              <w:bottom w:w="100" w:type="dxa"/>
              <w:right w:w="100" w:type="dxa"/>
            </w:tcMar>
          </w:tcPr>
          <w:p w14:paraId="424ABAA7"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30 (46.9%)</w:t>
            </w:r>
          </w:p>
        </w:tc>
      </w:tr>
      <w:tr w:rsidR="00086A58" w14:paraId="6EF048F2" w14:textId="77777777">
        <w:tc>
          <w:tcPr>
            <w:tcW w:w="2610" w:type="dxa"/>
            <w:tcBorders>
              <w:top w:val="nil"/>
              <w:left w:val="nil"/>
              <w:bottom w:val="nil"/>
              <w:right w:val="nil"/>
            </w:tcBorders>
            <w:tcMar>
              <w:top w:w="100" w:type="dxa"/>
              <w:left w:w="100" w:type="dxa"/>
              <w:bottom w:w="100" w:type="dxa"/>
              <w:right w:w="100" w:type="dxa"/>
            </w:tcMar>
          </w:tcPr>
          <w:p w14:paraId="13466C3D" w14:textId="77777777" w:rsidR="00086A58" w:rsidRDefault="00086A58">
            <w:pPr>
              <w:spacing w:before="240" w:after="240"/>
              <w:jc w:val="both"/>
              <w:rPr>
                <w:rFonts w:ascii="Times New Roman" w:eastAsia="Times New Roman" w:hAnsi="Times New Roman" w:cs="Times New Roman"/>
                <w:sz w:val="24"/>
                <w:szCs w:val="24"/>
                <w:highlight w:val="white"/>
              </w:rPr>
            </w:pPr>
          </w:p>
        </w:tc>
        <w:tc>
          <w:tcPr>
            <w:tcW w:w="3615" w:type="dxa"/>
            <w:tcBorders>
              <w:top w:val="nil"/>
              <w:left w:val="nil"/>
              <w:bottom w:val="nil"/>
              <w:right w:val="single" w:sz="4" w:space="0" w:color="000000"/>
            </w:tcBorders>
            <w:tcMar>
              <w:top w:w="100" w:type="dxa"/>
              <w:left w:w="100" w:type="dxa"/>
              <w:bottom w:w="100" w:type="dxa"/>
              <w:right w:w="100" w:type="dxa"/>
            </w:tcMar>
          </w:tcPr>
          <w:p w14:paraId="0FB32EFD"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6-10 years</w:t>
            </w:r>
          </w:p>
        </w:tc>
        <w:tc>
          <w:tcPr>
            <w:tcW w:w="3120" w:type="dxa"/>
            <w:tcBorders>
              <w:top w:val="nil"/>
              <w:left w:val="single" w:sz="4" w:space="0" w:color="000000"/>
              <w:bottom w:val="nil"/>
              <w:right w:val="nil"/>
            </w:tcBorders>
            <w:tcMar>
              <w:top w:w="100" w:type="dxa"/>
              <w:left w:w="100" w:type="dxa"/>
              <w:bottom w:w="100" w:type="dxa"/>
              <w:right w:w="100" w:type="dxa"/>
            </w:tcMar>
          </w:tcPr>
          <w:p w14:paraId="681E56AE"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14 </w:t>
            </w:r>
            <w:proofErr w:type="gramStart"/>
            <w:r>
              <w:rPr>
                <w:rFonts w:ascii="Times New Roman" w:eastAsia="Times New Roman" w:hAnsi="Times New Roman" w:cs="Times New Roman"/>
                <w:sz w:val="24"/>
                <w:szCs w:val="24"/>
                <w:highlight w:val="white"/>
              </w:rPr>
              <w:t>( 21.9</w:t>
            </w:r>
            <w:proofErr w:type="gramEnd"/>
            <w:r>
              <w:rPr>
                <w:rFonts w:ascii="Times New Roman" w:eastAsia="Times New Roman" w:hAnsi="Times New Roman" w:cs="Times New Roman"/>
                <w:sz w:val="24"/>
                <w:szCs w:val="24"/>
                <w:highlight w:val="white"/>
              </w:rPr>
              <w:t>%)</w:t>
            </w:r>
          </w:p>
        </w:tc>
      </w:tr>
      <w:tr w:rsidR="00086A58" w14:paraId="36CFC56F" w14:textId="77777777">
        <w:tc>
          <w:tcPr>
            <w:tcW w:w="2610" w:type="dxa"/>
            <w:tcBorders>
              <w:top w:val="nil"/>
              <w:left w:val="nil"/>
              <w:bottom w:val="nil"/>
              <w:right w:val="nil"/>
            </w:tcBorders>
            <w:tcMar>
              <w:top w:w="100" w:type="dxa"/>
              <w:left w:w="100" w:type="dxa"/>
              <w:bottom w:w="100" w:type="dxa"/>
              <w:right w:w="100" w:type="dxa"/>
            </w:tcMar>
          </w:tcPr>
          <w:p w14:paraId="132B4FCC" w14:textId="77777777" w:rsidR="00086A58" w:rsidRDefault="00086A58">
            <w:pPr>
              <w:spacing w:before="240" w:after="240"/>
              <w:jc w:val="both"/>
              <w:rPr>
                <w:rFonts w:ascii="Times New Roman" w:eastAsia="Times New Roman" w:hAnsi="Times New Roman" w:cs="Times New Roman"/>
                <w:sz w:val="24"/>
                <w:szCs w:val="24"/>
                <w:highlight w:val="white"/>
              </w:rPr>
            </w:pPr>
          </w:p>
        </w:tc>
        <w:tc>
          <w:tcPr>
            <w:tcW w:w="3615" w:type="dxa"/>
            <w:tcBorders>
              <w:top w:val="nil"/>
              <w:left w:val="nil"/>
              <w:bottom w:val="nil"/>
              <w:right w:val="single" w:sz="4" w:space="0" w:color="000000"/>
            </w:tcBorders>
            <w:tcMar>
              <w:top w:w="100" w:type="dxa"/>
              <w:left w:w="100" w:type="dxa"/>
              <w:bottom w:w="100" w:type="dxa"/>
              <w:right w:w="100" w:type="dxa"/>
            </w:tcMar>
          </w:tcPr>
          <w:p w14:paraId="7FA0FD87"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11-15 years</w:t>
            </w:r>
          </w:p>
        </w:tc>
        <w:tc>
          <w:tcPr>
            <w:tcW w:w="3120" w:type="dxa"/>
            <w:tcBorders>
              <w:top w:val="nil"/>
              <w:left w:val="single" w:sz="4" w:space="0" w:color="000000"/>
              <w:bottom w:val="nil"/>
              <w:right w:val="nil"/>
            </w:tcBorders>
            <w:tcMar>
              <w:top w:w="100" w:type="dxa"/>
              <w:left w:w="100" w:type="dxa"/>
              <w:bottom w:w="100" w:type="dxa"/>
              <w:right w:w="100" w:type="dxa"/>
            </w:tcMar>
          </w:tcPr>
          <w:p w14:paraId="5E2B1BA1"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14 </w:t>
            </w:r>
            <w:proofErr w:type="gramStart"/>
            <w:r>
              <w:rPr>
                <w:rFonts w:ascii="Times New Roman" w:eastAsia="Times New Roman" w:hAnsi="Times New Roman" w:cs="Times New Roman"/>
                <w:sz w:val="24"/>
                <w:szCs w:val="24"/>
                <w:highlight w:val="white"/>
              </w:rPr>
              <w:t>( 21.9</w:t>
            </w:r>
            <w:proofErr w:type="gramEnd"/>
            <w:r>
              <w:rPr>
                <w:rFonts w:ascii="Times New Roman" w:eastAsia="Times New Roman" w:hAnsi="Times New Roman" w:cs="Times New Roman"/>
                <w:sz w:val="24"/>
                <w:szCs w:val="24"/>
                <w:highlight w:val="white"/>
              </w:rPr>
              <w:t>%)</w:t>
            </w:r>
          </w:p>
        </w:tc>
      </w:tr>
      <w:tr w:rsidR="00086A58" w14:paraId="55CCB916" w14:textId="77777777">
        <w:tc>
          <w:tcPr>
            <w:tcW w:w="2610" w:type="dxa"/>
            <w:tcBorders>
              <w:top w:val="nil"/>
              <w:left w:val="nil"/>
              <w:right w:val="nil"/>
            </w:tcBorders>
            <w:tcMar>
              <w:top w:w="100" w:type="dxa"/>
              <w:left w:w="100" w:type="dxa"/>
              <w:bottom w:w="100" w:type="dxa"/>
              <w:right w:w="100" w:type="dxa"/>
            </w:tcMar>
          </w:tcPr>
          <w:p w14:paraId="5BD5F3E9" w14:textId="77777777" w:rsidR="00086A58" w:rsidRDefault="00086A58">
            <w:pPr>
              <w:spacing w:before="240" w:after="240"/>
              <w:jc w:val="both"/>
              <w:rPr>
                <w:rFonts w:ascii="Times New Roman" w:eastAsia="Times New Roman" w:hAnsi="Times New Roman" w:cs="Times New Roman"/>
                <w:sz w:val="24"/>
                <w:szCs w:val="24"/>
                <w:highlight w:val="white"/>
              </w:rPr>
            </w:pPr>
          </w:p>
        </w:tc>
        <w:tc>
          <w:tcPr>
            <w:tcW w:w="3615" w:type="dxa"/>
            <w:tcBorders>
              <w:top w:val="nil"/>
              <w:left w:val="nil"/>
            </w:tcBorders>
            <w:tcMar>
              <w:top w:w="100" w:type="dxa"/>
              <w:left w:w="100" w:type="dxa"/>
              <w:bottom w:w="100" w:type="dxa"/>
              <w:right w:w="100" w:type="dxa"/>
            </w:tcMar>
          </w:tcPr>
          <w:p w14:paraId="39FB2183"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 years and above</w:t>
            </w:r>
          </w:p>
        </w:tc>
        <w:tc>
          <w:tcPr>
            <w:tcW w:w="3120" w:type="dxa"/>
            <w:tcBorders>
              <w:top w:val="nil"/>
              <w:right w:val="nil"/>
            </w:tcBorders>
            <w:tcMar>
              <w:top w:w="100" w:type="dxa"/>
              <w:left w:w="100" w:type="dxa"/>
              <w:bottom w:w="100" w:type="dxa"/>
              <w:right w:w="100" w:type="dxa"/>
            </w:tcMar>
          </w:tcPr>
          <w:p w14:paraId="72417FB2"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(6.3%)</w:t>
            </w:r>
          </w:p>
        </w:tc>
      </w:tr>
      <w:tr w:rsidR="00086A58" w14:paraId="7338E4F7" w14:textId="77777777">
        <w:trPr>
          <w:trHeight w:val="1162"/>
        </w:trPr>
        <w:tc>
          <w:tcPr>
            <w:tcW w:w="2610" w:type="dxa"/>
            <w:tcBorders>
              <w:top w:val="single" w:sz="4" w:space="0" w:color="000000"/>
              <w:left w:val="nil"/>
              <w:bottom w:val="nil"/>
              <w:right w:val="nil"/>
            </w:tcBorders>
            <w:tcMar>
              <w:top w:w="100" w:type="dxa"/>
              <w:left w:w="100" w:type="dxa"/>
              <w:bottom w:w="100" w:type="dxa"/>
              <w:right w:w="100" w:type="dxa"/>
            </w:tcMar>
          </w:tcPr>
          <w:p w14:paraId="29E570B6"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Years of Experience in teaching Children with Special Needs</w:t>
            </w:r>
          </w:p>
        </w:tc>
        <w:tc>
          <w:tcPr>
            <w:tcW w:w="3615" w:type="dxa"/>
            <w:tcBorders>
              <w:left w:val="nil"/>
              <w:bottom w:val="nil"/>
            </w:tcBorders>
            <w:tcMar>
              <w:top w:w="100" w:type="dxa"/>
              <w:left w:w="100" w:type="dxa"/>
              <w:bottom w:w="100" w:type="dxa"/>
              <w:right w:w="100" w:type="dxa"/>
            </w:tcMar>
          </w:tcPr>
          <w:p w14:paraId="6221C949"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&lt; 1 year</w:t>
            </w:r>
          </w:p>
        </w:tc>
        <w:tc>
          <w:tcPr>
            <w:tcW w:w="3120" w:type="dxa"/>
            <w:tcBorders>
              <w:bottom w:val="nil"/>
              <w:right w:val="nil"/>
            </w:tcBorders>
            <w:tcMar>
              <w:top w:w="100" w:type="dxa"/>
              <w:left w:w="100" w:type="dxa"/>
              <w:bottom w:w="100" w:type="dxa"/>
              <w:right w:w="100" w:type="dxa"/>
            </w:tcMar>
          </w:tcPr>
          <w:p w14:paraId="4533E730"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18 (28.1%)</w:t>
            </w:r>
          </w:p>
        </w:tc>
      </w:tr>
      <w:tr w:rsidR="00086A58" w14:paraId="24700378" w14:textId="77777777">
        <w:tc>
          <w:tcPr>
            <w:tcW w:w="2610" w:type="dxa"/>
            <w:tcBorders>
              <w:top w:val="nil"/>
              <w:left w:val="nil"/>
              <w:bottom w:val="nil"/>
              <w:right w:val="nil"/>
            </w:tcBorders>
            <w:tcMar>
              <w:top w:w="100" w:type="dxa"/>
              <w:left w:w="100" w:type="dxa"/>
              <w:bottom w:w="100" w:type="dxa"/>
              <w:right w:w="100" w:type="dxa"/>
            </w:tcMar>
          </w:tcPr>
          <w:p w14:paraId="68B4D156" w14:textId="77777777" w:rsidR="00086A58" w:rsidRDefault="00086A58">
            <w:pPr>
              <w:spacing w:before="240" w:after="240"/>
              <w:jc w:val="both"/>
              <w:rPr>
                <w:rFonts w:ascii="Times New Roman" w:eastAsia="Times New Roman" w:hAnsi="Times New Roman" w:cs="Times New Roman"/>
                <w:sz w:val="24"/>
                <w:szCs w:val="24"/>
                <w:highlight w:val="white"/>
              </w:rPr>
            </w:pPr>
          </w:p>
        </w:tc>
        <w:tc>
          <w:tcPr>
            <w:tcW w:w="3615" w:type="dxa"/>
            <w:tcBorders>
              <w:top w:val="nil"/>
              <w:left w:val="nil"/>
              <w:bottom w:val="nil"/>
              <w:right w:val="single" w:sz="4" w:space="0" w:color="000000"/>
            </w:tcBorders>
            <w:tcMar>
              <w:top w:w="100" w:type="dxa"/>
              <w:left w:w="100" w:type="dxa"/>
              <w:bottom w:w="100" w:type="dxa"/>
              <w:right w:w="100" w:type="dxa"/>
            </w:tcMar>
          </w:tcPr>
          <w:p w14:paraId="7BCFC8F3"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 years</w:t>
            </w:r>
          </w:p>
        </w:tc>
        <w:tc>
          <w:tcPr>
            <w:tcW w:w="3120" w:type="dxa"/>
            <w:tcBorders>
              <w:top w:val="nil"/>
              <w:left w:val="single" w:sz="4" w:space="0" w:color="000000"/>
              <w:bottom w:val="nil"/>
              <w:right w:val="nil"/>
            </w:tcBorders>
            <w:tcMar>
              <w:top w:w="100" w:type="dxa"/>
              <w:left w:w="100" w:type="dxa"/>
              <w:bottom w:w="100" w:type="dxa"/>
              <w:right w:w="100" w:type="dxa"/>
            </w:tcMar>
          </w:tcPr>
          <w:p w14:paraId="6D5D0404"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32 (50%)</w:t>
            </w:r>
          </w:p>
        </w:tc>
      </w:tr>
      <w:tr w:rsidR="00086A58" w14:paraId="3C2DB29E" w14:textId="77777777">
        <w:tc>
          <w:tcPr>
            <w:tcW w:w="2610" w:type="dxa"/>
            <w:tcBorders>
              <w:top w:val="nil"/>
              <w:left w:val="nil"/>
              <w:bottom w:val="nil"/>
              <w:right w:val="nil"/>
            </w:tcBorders>
            <w:tcMar>
              <w:top w:w="100" w:type="dxa"/>
              <w:left w:w="100" w:type="dxa"/>
              <w:bottom w:w="100" w:type="dxa"/>
              <w:right w:w="100" w:type="dxa"/>
            </w:tcMar>
          </w:tcPr>
          <w:p w14:paraId="7841C95D" w14:textId="77777777" w:rsidR="00086A58" w:rsidRDefault="00086A58">
            <w:pPr>
              <w:spacing w:before="240" w:after="240"/>
              <w:jc w:val="both"/>
              <w:rPr>
                <w:rFonts w:ascii="Times New Roman" w:eastAsia="Times New Roman" w:hAnsi="Times New Roman" w:cs="Times New Roman"/>
                <w:sz w:val="24"/>
                <w:szCs w:val="24"/>
                <w:highlight w:val="white"/>
              </w:rPr>
            </w:pPr>
          </w:p>
        </w:tc>
        <w:tc>
          <w:tcPr>
            <w:tcW w:w="3615" w:type="dxa"/>
            <w:tcBorders>
              <w:top w:val="nil"/>
              <w:left w:val="nil"/>
              <w:bottom w:val="nil"/>
              <w:right w:val="single" w:sz="4" w:space="0" w:color="000000"/>
            </w:tcBorders>
            <w:tcMar>
              <w:top w:w="100" w:type="dxa"/>
              <w:left w:w="100" w:type="dxa"/>
              <w:bottom w:w="100" w:type="dxa"/>
              <w:right w:w="100" w:type="dxa"/>
            </w:tcMar>
          </w:tcPr>
          <w:p w14:paraId="0ED6EC86"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6-10 </w:t>
            </w:r>
            <w:r>
              <w:rPr>
                <w:rFonts w:ascii="Times New Roman" w:eastAsia="Times New Roman" w:hAnsi="Times New Roman" w:cs="Times New Roman"/>
                <w:sz w:val="24"/>
                <w:szCs w:val="24"/>
                <w:highlight w:val="white"/>
              </w:rPr>
              <w:t>years</w:t>
            </w:r>
          </w:p>
        </w:tc>
        <w:tc>
          <w:tcPr>
            <w:tcW w:w="3120" w:type="dxa"/>
            <w:tcBorders>
              <w:top w:val="nil"/>
              <w:left w:val="single" w:sz="4" w:space="0" w:color="000000"/>
              <w:bottom w:val="nil"/>
              <w:right w:val="nil"/>
            </w:tcBorders>
            <w:tcMar>
              <w:top w:w="100" w:type="dxa"/>
              <w:left w:w="100" w:type="dxa"/>
              <w:bottom w:w="100" w:type="dxa"/>
              <w:right w:w="100" w:type="dxa"/>
            </w:tcMar>
          </w:tcPr>
          <w:p w14:paraId="663C8E58"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 (15.6%)</w:t>
            </w:r>
          </w:p>
        </w:tc>
      </w:tr>
      <w:tr w:rsidR="00086A58" w14:paraId="65F3394F" w14:textId="77777777">
        <w:tc>
          <w:tcPr>
            <w:tcW w:w="2610" w:type="dxa"/>
            <w:tcBorders>
              <w:top w:val="nil"/>
              <w:left w:val="nil"/>
              <w:bottom w:val="nil"/>
              <w:right w:val="nil"/>
            </w:tcBorders>
            <w:tcMar>
              <w:top w:w="100" w:type="dxa"/>
              <w:left w:w="100" w:type="dxa"/>
              <w:bottom w:w="100" w:type="dxa"/>
              <w:right w:w="100" w:type="dxa"/>
            </w:tcMar>
          </w:tcPr>
          <w:p w14:paraId="402A1969" w14:textId="77777777" w:rsidR="00086A58" w:rsidRDefault="00086A58">
            <w:pPr>
              <w:spacing w:before="240" w:after="240"/>
              <w:jc w:val="both"/>
              <w:rPr>
                <w:rFonts w:ascii="Times New Roman" w:eastAsia="Times New Roman" w:hAnsi="Times New Roman" w:cs="Times New Roman"/>
                <w:sz w:val="24"/>
                <w:szCs w:val="24"/>
                <w:highlight w:val="white"/>
              </w:rPr>
            </w:pPr>
          </w:p>
        </w:tc>
        <w:tc>
          <w:tcPr>
            <w:tcW w:w="3615" w:type="dxa"/>
            <w:tcBorders>
              <w:top w:val="nil"/>
              <w:left w:val="nil"/>
              <w:bottom w:val="nil"/>
              <w:right w:val="single" w:sz="4" w:space="0" w:color="000000"/>
            </w:tcBorders>
            <w:tcMar>
              <w:top w:w="100" w:type="dxa"/>
              <w:left w:w="100" w:type="dxa"/>
              <w:bottom w:w="100" w:type="dxa"/>
              <w:right w:w="100" w:type="dxa"/>
            </w:tcMar>
          </w:tcPr>
          <w:p w14:paraId="2A1DABF6"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11-15 years</w:t>
            </w:r>
          </w:p>
        </w:tc>
        <w:tc>
          <w:tcPr>
            <w:tcW w:w="3120" w:type="dxa"/>
            <w:tcBorders>
              <w:top w:val="nil"/>
              <w:left w:val="single" w:sz="4" w:space="0" w:color="000000"/>
              <w:bottom w:val="nil"/>
              <w:right w:val="nil"/>
            </w:tcBorders>
            <w:tcMar>
              <w:top w:w="100" w:type="dxa"/>
              <w:left w:w="100" w:type="dxa"/>
              <w:bottom w:w="100" w:type="dxa"/>
              <w:right w:w="100" w:type="dxa"/>
            </w:tcMar>
          </w:tcPr>
          <w:p w14:paraId="4F5AB589"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(3.1%)</w:t>
            </w:r>
          </w:p>
        </w:tc>
      </w:tr>
      <w:tr w:rsidR="00086A58" w14:paraId="489F3CDD" w14:textId="77777777">
        <w:tc>
          <w:tcPr>
            <w:tcW w:w="2610" w:type="dxa"/>
            <w:tcBorders>
              <w:top w:val="nil"/>
              <w:left w:val="nil"/>
              <w:bottom w:val="single" w:sz="4" w:space="0" w:color="000000"/>
              <w:right w:val="nil"/>
            </w:tcBorders>
            <w:tcMar>
              <w:top w:w="100" w:type="dxa"/>
              <w:left w:w="100" w:type="dxa"/>
              <w:bottom w:w="100" w:type="dxa"/>
              <w:right w:w="100" w:type="dxa"/>
            </w:tcMar>
          </w:tcPr>
          <w:p w14:paraId="3EEA8529" w14:textId="77777777" w:rsidR="00086A58" w:rsidRDefault="00086A58">
            <w:pPr>
              <w:spacing w:before="240" w:after="240"/>
              <w:jc w:val="both"/>
              <w:rPr>
                <w:rFonts w:ascii="Times New Roman" w:eastAsia="Times New Roman" w:hAnsi="Times New Roman" w:cs="Times New Roman"/>
                <w:sz w:val="24"/>
                <w:szCs w:val="24"/>
                <w:highlight w:val="white"/>
              </w:rPr>
            </w:pPr>
          </w:p>
        </w:tc>
        <w:tc>
          <w:tcPr>
            <w:tcW w:w="3615" w:type="dxa"/>
            <w:tcBorders>
              <w:top w:val="nil"/>
              <w:left w:val="nil"/>
              <w:bottom w:val="single" w:sz="4" w:space="0" w:color="000000"/>
            </w:tcBorders>
            <w:tcMar>
              <w:top w:w="100" w:type="dxa"/>
              <w:left w:w="100" w:type="dxa"/>
              <w:bottom w:w="100" w:type="dxa"/>
              <w:right w:w="100" w:type="dxa"/>
            </w:tcMar>
          </w:tcPr>
          <w:p w14:paraId="46033A3B"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 years and above</w:t>
            </w:r>
          </w:p>
        </w:tc>
        <w:tc>
          <w:tcPr>
            <w:tcW w:w="3120" w:type="dxa"/>
            <w:tcBorders>
              <w:top w:val="nil"/>
              <w:bottom w:val="single" w:sz="4" w:space="0" w:color="000000"/>
              <w:right w:val="nil"/>
            </w:tcBorders>
            <w:tcMar>
              <w:top w:w="100" w:type="dxa"/>
              <w:left w:w="100" w:type="dxa"/>
              <w:bottom w:w="100" w:type="dxa"/>
              <w:right w:w="100" w:type="dxa"/>
            </w:tcMar>
          </w:tcPr>
          <w:p w14:paraId="04DDB617"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(3.1%)</w:t>
            </w:r>
          </w:p>
        </w:tc>
      </w:tr>
      <w:tr w:rsidR="00086A58" w14:paraId="73572546" w14:textId="77777777">
        <w:tc>
          <w:tcPr>
            <w:tcW w:w="2610" w:type="dxa"/>
            <w:tcBorders>
              <w:top w:val="single" w:sz="4" w:space="0" w:color="000000"/>
              <w:left w:val="nil"/>
              <w:bottom w:val="nil"/>
              <w:right w:val="nil"/>
            </w:tcBorders>
            <w:tcMar>
              <w:top w:w="100" w:type="dxa"/>
              <w:left w:w="100" w:type="dxa"/>
              <w:bottom w:w="100" w:type="dxa"/>
              <w:right w:w="100" w:type="dxa"/>
            </w:tcMar>
          </w:tcPr>
          <w:p w14:paraId="1FEEC015"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Highest Educational Qualification</w:t>
            </w:r>
          </w:p>
        </w:tc>
        <w:tc>
          <w:tcPr>
            <w:tcW w:w="3615" w:type="dxa"/>
            <w:tcBorders>
              <w:top w:val="single" w:sz="4" w:space="0" w:color="000000"/>
              <w:left w:val="nil"/>
              <w:bottom w:val="nil"/>
            </w:tcBorders>
            <w:tcMar>
              <w:top w:w="100" w:type="dxa"/>
              <w:left w:w="100" w:type="dxa"/>
              <w:bottom w:w="100" w:type="dxa"/>
              <w:right w:w="100" w:type="dxa"/>
            </w:tcMar>
          </w:tcPr>
          <w:p w14:paraId="254B9848"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 level (secondary school qualification)</w:t>
            </w:r>
          </w:p>
        </w:tc>
        <w:tc>
          <w:tcPr>
            <w:tcW w:w="3120" w:type="dxa"/>
            <w:tcBorders>
              <w:top w:val="single" w:sz="4" w:space="0" w:color="000000"/>
              <w:bottom w:val="nil"/>
              <w:right w:val="nil"/>
            </w:tcBorders>
            <w:tcMar>
              <w:top w:w="100" w:type="dxa"/>
              <w:left w:w="100" w:type="dxa"/>
              <w:bottom w:w="100" w:type="dxa"/>
              <w:right w:w="100" w:type="dxa"/>
            </w:tcMar>
          </w:tcPr>
          <w:p w14:paraId="601DD3E7"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(3.1%)</w:t>
            </w:r>
          </w:p>
        </w:tc>
      </w:tr>
      <w:tr w:rsidR="00086A58" w14:paraId="7006F404" w14:textId="77777777">
        <w:tc>
          <w:tcPr>
            <w:tcW w:w="2610" w:type="dxa"/>
            <w:tcBorders>
              <w:top w:val="nil"/>
              <w:left w:val="nil"/>
              <w:bottom w:val="nil"/>
              <w:right w:val="nil"/>
            </w:tcBorders>
            <w:tcMar>
              <w:top w:w="100" w:type="dxa"/>
              <w:left w:w="100" w:type="dxa"/>
              <w:bottom w:w="100" w:type="dxa"/>
              <w:right w:w="100" w:type="dxa"/>
            </w:tcMar>
          </w:tcPr>
          <w:p w14:paraId="713DDEE5" w14:textId="77777777" w:rsidR="00086A58" w:rsidRDefault="00086A58">
            <w:pPr>
              <w:spacing w:before="240" w:after="240"/>
              <w:jc w:val="both"/>
              <w:rPr>
                <w:rFonts w:ascii="Times New Roman" w:eastAsia="Times New Roman" w:hAnsi="Times New Roman" w:cs="Times New Roman"/>
                <w:b/>
                <w:bCs/>
                <w:sz w:val="24"/>
                <w:szCs w:val="24"/>
                <w:highlight w:val="white"/>
              </w:rPr>
            </w:pPr>
          </w:p>
        </w:tc>
        <w:tc>
          <w:tcPr>
            <w:tcW w:w="3615" w:type="dxa"/>
            <w:tcBorders>
              <w:top w:val="nil"/>
              <w:left w:val="nil"/>
            </w:tcBorders>
            <w:tcMar>
              <w:top w:w="100" w:type="dxa"/>
              <w:left w:w="100" w:type="dxa"/>
              <w:bottom w:w="100" w:type="dxa"/>
              <w:right w:w="100" w:type="dxa"/>
            </w:tcMar>
          </w:tcPr>
          <w:p w14:paraId="6D9CE9C1"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Bachelor’s Degree</w:t>
            </w:r>
          </w:p>
        </w:tc>
        <w:tc>
          <w:tcPr>
            <w:tcW w:w="3120" w:type="dxa"/>
            <w:tcBorders>
              <w:top w:val="nil"/>
              <w:right w:val="nil"/>
            </w:tcBorders>
            <w:tcMar>
              <w:top w:w="100" w:type="dxa"/>
              <w:left w:w="100" w:type="dxa"/>
              <w:bottom w:w="100" w:type="dxa"/>
              <w:right w:w="100" w:type="dxa"/>
            </w:tcMar>
          </w:tcPr>
          <w:p w14:paraId="37C086FA"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48 (75%)</w:t>
            </w:r>
          </w:p>
        </w:tc>
      </w:tr>
      <w:tr w:rsidR="00086A58" w14:paraId="3AE8BF46" w14:textId="77777777">
        <w:tc>
          <w:tcPr>
            <w:tcW w:w="2610" w:type="dxa"/>
            <w:tcBorders>
              <w:top w:val="nil"/>
              <w:left w:val="nil"/>
              <w:bottom w:val="nil"/>
              <w:right w:val="nil"/>
            </w:tcBorders>
            <w:tcMar>
              <w:top w:w="100" w:type="dxa"/>
              <w:left w:w="100" w:type="dxa"/>
              <w:bottom w:w="100" w:type="dxa"/>
              <w:right w:w="100" w:type="dxa"/>
            </w:tcMar>
          </w:tcPr>
          <w:p w14:paraId="55CC3D6E" w14:textId="77777777" w:rsidR="00086A58" w:rsidRDefault="00086A58">
            <w:pPr>
              <w:spacing w:before="240" w:after="240"/>
              <w:jc w:val="both"/>
              <w:rPr>
                <w:rFonts w:ascii="Times New Roman" w:eastAsia="Times New Roman" w:hAnsi="Times New Roman" w:cs="Times New Roman"/>
                <w:sz w:val="24"/>
                <w:szCs w:val="24"/>
                <w:highlight w:val="white"/>
              </w:rPr>
            </w:pPr>
          </w:p>
        </w:tc>
        <w:tc>
          <w:tcPr>
            <w:tcW w:w="3615" w:type="dxa"/>
            <w:tcBorders>
              <w:top w:val="nil"/>
              <w:left w:val="nil"/>
            </w:tcBorders>
            <w:tcMar>
              <w:top w:w="100" w:type="dxa"/>
              <w:left w:w="100" w:type="dxa"/>
              <w:bottom w:w="100" w:type="dxa"/>
              <w:right w:w="100" w:type="dxa"/>
            </w:tcMar>
          </w:tcPr>
          <w:p w14:paraId="175D8818"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Master’s Degree</w:t>
            </w:r>
          </w:p>
        </w:tc>
        <w:tc>
          <w:tcPr>
            <w:tcW w:w="3120" w:type="dxa"/>
            <w:tcBorders>
              <w:top w:val="nil"/>
              <w:right w:val="nil"/>
            </w:tcBorders>
            <w:tcMar>
              <w:top w:w="100" w:type="dxa"/>
              <w:left w:w="100" w:type="dxa"/>
              <w:bottom w:w="100" w:type="dxa"/>
              <w:right w:w="100" w:type="dxa"/>
            </w:tcMar>
          </w:tcPr>
          <w:p w14:paraId="7A3AC01B"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 (9.4%)</w:t>
            </w:r>
          </w:p>
        </w:tc>
      </w:tr>
      <w:tr w:rsidR="00086A58" w14:paraId="48D55DB2" w14:textId="77777777">
        <w:tc>
          <w:tcPr>
            <w:tcW w:w="2610" w:type="dxa"/>
            <w:tcBorders>
              <w:top w:val="nil"/>
              <w:left w:val="nil"/>
              <w:bottom w:val="nil"/>
              <w:right w:val="nil"/>
            </w:tcBorders>
            <w:tcMar>
              <w:top w:w="100" w:type="dxa"/>
              <w:left w:w="100" w:type="dxa"/>
              <w:bottom w:w="100" w:type="dxa"/>
              <w:right w:w="100" w:type="dxa"/>
            </w:tcMar>
          </w:tcPr>
          <w:p w14:paraId="0DFEB6D3" w14:textId="77777777" w:rsidR="00086A58" w:rsidRDefault="00086A58">
            <w:pPr>
              <w:spacing w:before="240" w:after="240"/>
              <w:jc w:val="both"/>
              <w:rPr>
                <w:rFonts w:ascii="Times New Roman" w:eastAsia="Times New Roman" w:hAnsi="Times New Roman" w:cs="Times New Roman"/>
                <w:sz w:val="24"/>
                <w:szCs w:val="24"/>
                <w:highlight w:val="white"/>
              </w:rPr>
            </w:pPr>
          </w:p>
        </w:tc>
        <w:tc>
          <w:tcPr>
            <w:tcW w:w="3615" w:type="dxa"/>
            <w:tcBorders>
              <w:top w:val="nil"/>
              <w:left w:val="nil"/>
            </w:tcBorders>
            <w:tcMar>
              <w:top w:w="100" w:type="dxa"/>
              <w:left w:w="100" w:type="dxa"/>
              <w:bottom w:w="100" w:type="dxa"/>
              <w:right w:w="100" w:type="dxa"/>
            </w:tcMar>
          </w:tcPr>
          <w:p w14:paraId="7FB880AF"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Postgraduate Diploma</w:t>
            </w:r>
          </w:p>
        </w:tc>
        <w:tc>
          <w:tcPr>
            <w:tcW w:w="3120" w:type="dxa"/>
            <w:tcBorders>
              <w:top w:val="nil"/>
              <w:right w:val="nil"/>
            </w:tcBorders>
            <w:tcMar>
              <w:top w:w="100" w:type="dxa"/>
              <w:left w:w="100" w:type="dxa"/>
              <w:bottom w:w="100" w:type="dxa"/>
              <w:right w:w="100" w:type="dxa"/>
            </w:tcMar>
          </w:tcPr>
          <w:p w14:paraId="642DB714"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(3.1%)</w:t>
            </w:r>
          </w:p>
        </w:tc>
      </w:tr>
      <w:tr w:rsidR="00086A58" w14:paraId="54A084F9" w14:textId="77777777">
        <w:tc>
          <w:tcPr>
            <w:tcW w:w="2610" w:type="dxa"/>
            <w:tcBorders>
              <w:top w:val="nil"/>
              <w:left w:val="nil"/>
              <w:bottom w:val="single" w:sz="24" w:space="0" w:color="000000"/>
              <w:right w:val="nil"/>
            </w:tcBorders>
            <w:tcMar>
              <w:top w:w="100" w:type="dxa"/>
              <w:left w:w="100" w:type="dxa"/>
              <w:bottom w:w="100" w:type="dxa"/>
              <w:right w:w="100" w:type="dxa"/>
            </w:tcMar>
          </w:tcPr>
          <w:p w14:paraId="3C7850ED" w14:textId="77777777" w:rsidR="00086A58" w:rsidRDefault="00086A58">
            <w:pPr>
              <w:spacing w:before="240" w:after="240"/>
              <w:jc w:val="both"/>
              <w:rPr>
                <w:rFonts w:ascii="Times New Roman" w:eastAsia="Times New Roman" w:hAnsi="Times New Roman" w:cs="Times New Roman"/>
                <w:sz w:val="24"/>
                <w:szCs w:val="24"/>
                <w:highlight w:val="white"/>
              </w:rPr>
            </w:pPr>
          </w:p>
        </w:tc>
        <w:tc>
          <w:tcPr>
            <w:tcW w:w="3615" w:type="dxa"/>
            <w:tcBorders>
              <w:top w:val="nil"/>
              <w:left w:val="nil"/>
              <w:bottom w:val="single" w:sz="24" w:space="0" w:color="000000"/>
            </w:tcBorders>
            <w:tcMar>
              <w:top w:w="100" w:type="dxa"/>
              <w:left w:w="100" w:type="dxa"/>
              <w:bottom w:w="100" w:type="dxa"/>
              <w:right w:w="100" w:type="dxa"/>
            </w:tcMar>
          </w:tcPr>
          <w:p w14:paraId="6EC57713"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Other (NCE)</w:t>
            </w:r>
          </w:p>
        </w:tc>
        <w:tc>
          <w:tcPr>
            <w:tcW w:w="3120" w:type="dxa"/>
            <w:tcBorders>
              <w:top w:val="nil"/>
              <w:bottom w:val="single" w:sz="24" w:space="0" w:color="000000"/>
              <w:right w:val="nil"/>
            </w:tcBorders>
            <w:tcMar>
              <w:top w:w="100" w:type="dxa"/>
              <w:left w:w="100" w:type="dxa"/>
              <w:bottom w:w="100" w:type="dxa"/>
              <w:right w:w="100" w:type="dxa"/>
            </w:tcMar>
          </w:tcPr>
          <w:p w14:paraId="28761215"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 (9.4%)</w:t>
            </w:r>
          </w:p>
        </w:tc>
      </w:tr>
    </w:tbl>
    <w:p w14:paraId="2D1A1A07"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7224456C" wp14:editId="748826A9">
            <wp:extent cx="5943600" cy="29591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2959100"/>
                    </a:xfrm>
                    <a:prstGeom prst="rect">
                      <a:avLst/>
                    </a:prstGeom>
                    <a:ln/>
                  </pic:spPr>
                </pic:pic>
              </a:graphicData>
            </a:graphic>
          </wp:inline>
        </w:drawing>
      </w:r>
    </w:p>
    <w:p w14:paraId="5D6542A7" w14:textId="77777777" w:rsidR="00086A58" w:rsidRDefault="009B1C7A">
      <w:pPr>
        <w:spacing w:before="240" w:after="240"/>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Figure 1: Age Distribution of Participants</w:t>
      </w:r>
    </w:p>
    <w:p w14:paraId="10BADEC8" w14:textId="77777777" w:rsidR="00086A58" w:rsidRDefault="00086A58">
      <w:pPr>
        <w:spacing w:before="240" w:after="240"/>
        <w:jc w:val="both"/>
        <w:rPr>
          <w:rFonts w:ascii="Times New Roman" w:eastAsia="Times New Roman" w:hAnsi="Times New Roman" w:cs="Times New Roman"/>
          <w:sz w:val="24"/>
          <w:szCs w:val="24"/>
          <w:highlight w:val="white"/>
        </w:rPr>
      </w:pPr>
    </w:p>
    <w:p w14:paraId="6C015786" w14:textId="77777777" w:rsidR="00086A58" w:rsidRDefault="009B1C7A">
      <w:pPr>
        <w:spacing w:before="240" w:after="240"/>
        <w:rPr>
          <w:rFonts w:ascii="Times New Roman" w:eastAsia="Times New Roman" w:hAnsi="Times New Roman" w:cs="Times New Roman"/>
          <w:b/>
          <w:bCs/>
          <w:i/>
          <w:iCs/>
          <w:sz w:val="24"/>
          <w:szCs w:val="24"/>
          <w:highlight w:val="white"/>
        </w:rPr>
      </w:pPr>
      <w:r>
        <w:rPr>
          <w:rFonts w:ascii="Times New Roman" w:eastAsia="Times New Roman" w:hAnsi="Times New Roman" w:cs="Times New Roman"/>
          <w:noProof/>
          <w:sz w:val="24"/>
          <w:szCs w:val="24"/>
          <w:highlight w:val="white"/>
        </w:rPr>
        <w:lastRenderedPageBreak/>
        <w:drawing>
          <wp:inline distT="114300" distB="114300" distL="114300" distR="114300" wp14:anchorId="264006ED" wp14:editId="01566A5F">
            <wp:extent cx="5943600" cy="34417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43600" cy="3441700"/>
                    </a:xfrm>
                    <a:prstGeom prst="rect">
                      <a:avLst/>
                    </a:prstGeom>
                    <a:ln/>
                  </pic:spPr>
                </pic:pic>
              </a:graphicData>
            </a:graphic>
          </wp:inline>
        </w:drawing>
      </w:r>
      <w:r>
        <w:rPr>
          <w:rFonts w:ascii="Times New Roman" w:eastAsia="Times New Roman" w:hAnsi="Times New Roman" w:cs="Times New Roman"/>
          <w:b/>
          <w:bCs/>
          <w:i/>
          <w:iCs/>
          <w:sz w:val="24"/>
          <w:szCs w:val="24"/>
          <w:highlight w:val="white"/>
        </w:rPr>
        <w:t>Figure 2: Gender Distribution of Participants</w:t>
      </w:r>
    </w:p>
    <w:p w14:paraId="0A87AAB7" w14:textId="77777777" w:rsidR="00086A58" w:rsidRDefault="00086A58">
      <w:pPr>
        <w:spacing w:before="240" w:after="240"/>
        <w:jc w:val="both"/>
        <w:rPr>
          <w:rFonts w:ascii="Times New Roman" w:eastAsia="Times New Roman" w:hAnsi="Times New Roman" w:cs="Times New Roman"/>
          <w:sz w:val="24"/>
          <w:szCs w:val="24"/>
          <w:highlight w:val="white"/>
        </w:rPr>
      </w:pPr>
    </w:p>
    <w:p w14:paraId="11ACEBDA" w14:textId="77777777" w:rsidR="00086A58" w:rsidRDefault="009B1C7A">
      <w:pPr>
        <w:numPr>
          <w:ilvl w:val="0"/>
          <w:numId w:val="4"/>
        </w:num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Knowledge of Inclusive Education</w:t>
      </w:r>
    </w:p>
    <w:p w14:paraId="31E0B49B"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The responses to the questions on the participants’ knowledge of inclusive education reveal a strong understanding of key concepts. A majority of respondents (46.9%) strongly agreed that inclusive education refers to the integration of students with speci</w:t>
      </w:r>
      <w:r>
        <w:rPr>
          <w:rFonts w:ascii="Times New Roman" w:eastAsia="Times New Roman" w:hAnsi="Times New Roman" w:cs="Times New Roman"/>
          <w:sz w:val="24"/>
          <w:szCs w:val="24"/>
          <w:highlight w:val="white"/>
        </w:rPr>
        <w:t>al needs into mainstream schools, with 40.6% agreeing. Similarly, half of the participants (50%) strongly agreed that the primary goal of inclusive education is to ensure access to the general curriculum for students with special needs. However, while many</w:t>
      </w:r>
      <w:r>
        <w:rPr>
          <w:rFonts w:ascii="Times New Roman" w:eastAsia="Times New Roman" w:hAnsi="Times New Roman" w:cs="Times New Roman"/>
          <w:sz w:val="24"/>
          <w:szCs w:val="24"/>
          <w:highlight w:val="white"/>
        </w:rPr>
        <w:t xml:space="preserve"> teachers (43.8%) agreed that teachers are responsible for modifying the curriculum to meet the needs of special needs students, a smaller portion (31.3%) strongly agreed with this statement. Notably, most participants (53.1%) strongly agreed that inclusiv</w:t>
      </w:r>
      <w:r>
        <w:rPr>
          <w:rFonts w:ascii="Times New Roman" w:eastAsia="Times New Roman" w:hAnsi="Times New Roman" w:cs="Times New Roman"/>
          <w:sz w:val="24"/>
          <w:szCs w:val="24"/>
          <w:highlight w:val="white"/>
        </w:rPr>
        <w:t>e education involves not just physical integration, but also social and academic participation for children with special needs, emphasizing a broader understanding of the concept (see Table 2).</w:t>
      </w:r>
    </w:p>
    <w:p w14:paraId="147D70CF" w14:textId="77777777" w:rsidR="00086A58" w:rsidRDefault="009B1C7A">
      <w:pPr>
        <w:spacing w:before="240" w:after="240"/>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Table 2: Teachers’ responses on core concepts and principles o</w:t>
      </w:r>
      <w:r>
        <w:rPr>
          <w:rFonts w:ascii="Times New Roman" w:eastAsia="Times New Roman" w:hAnsi="Times New Roman" w:cs="Times New Roman"/>
          <w:b/>
          <w:bCs/>
          <w:i/>
          <w:iCs/>
          <w:sz w:val="24"/>
          <w:szCs w:val="24"/>
          <w:highlight w:val="white"/>
        </w:rPr>
        <w:t>f inclusive education</w:t>
      </w:r>
    </w:p>
    <w:tbl>
      <w:tblPr>
        <w:tblStyle w:val="a6"/>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04"/>
        <w:gridCol w:w="1483"/>
        <w:gridCol w:w="1268"/>
        <w:gridCol w:w="1325"/>
        <w:gridCol w:w="1426"/>
        <w:gridCol w:w="1354"/>
      </w:tblGrid>
      <w:tr w:rsidR="00086A58" w14:paraId="4E999078" w14:textId="77777777">
        <w:trPr>
          <w:trHeight w:val="1310"/>
        </w:trPr>
        <w:tc>
          <w:tcPr>
            <w:tcW w:w="2502" w:type="dxa"/>
            <w:tcBorders>
              <w:top w:val="single" w:sz="24" w:space="0" w:color="000000"/>
              <w:left w:val="nil"/>
              <w:bottom w:val="single" w:sz="24" w:space="0" w:color="000000"/>
              <w:right w:val="single" w:sz="4" w:space="0" w:color="000000"/>
            </w:tcBorders>
            <w:tcMar>
              <w:top w:w="100" w:type="dxa"/>
              <w:left w:w="100" w:type="dxa"/>
              <w:bottom w:w="100" w:type="dxa"/>
              <w:right w:w="100" w:type="dxa"/>
            </w:tcMar>
          </w:tcPr>
          <w:p w14:paraId="2B5D6827" w14:textId="77777777" w:rsidR="00086A58" w:rsidRDefault="009B1C7A">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Questions</w:t>
            </w:r>
          </w:p>
        </w:tc>
        <w:tc>
          <w:tcPr>
            <w:tcW w:w="6856" w:type="dxa"/>
            <w:gridSpan w:val="5"/>
            <w:tcBorders>
              <w:top w:val="single" w:sz="24" w:space="0" w:color="000000"/>
              <w:left w:val="single" w:sz="4" w:space="0" w:color="000000"/>
              <w:bottom w:val="single" w:sz="24" w:space="0" w:color="000000"/>
              <w:right w:val="nil"/>
            </w:tcBorders>
            <w:tcMar>
              <w:top w:w="100" w:type="dxa"/>
              <w:left w:w="100" w:type="dxa"/>
              <w:bottom w:w="100" w:type="dxa"/>
              <w:right w:w="100" w:type="dxa"/>
            </w:tcMar>
          </w:tcPr>
          <w:p w14:paraId="3971676D" w14:textId="77777777" w:rsidR="00086A58" w:rsidRDefault="009B1C7A">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Responses</w:t>
            </w:r>
          </w:p>
        </w:tc>
      </w:tr>
      <w:tr w:rsidR="00086A58" w14:paraId="5C0D91D2" w14:textId="77777777">
        <w:trPr>
          <w:trHeight w:val="1310"/>
        </w:trPr>
        <w:tc>
          <w:tcPr>
            <w:tcW w:w="2502" w:type="dxa"/>
            <w:tcBorders>
              <w:top w:val="single" w:sz="24" w:space="0" w:color="000000"/>
              <w:left w:val="nil"/>
              <w:bottom w:val="nil"/>
              <w:right w:val="single" w:sz="4" w:space="0" w:color="000000"/>
            </w:tcBorders>
            <w:tcMar>
              <w:top w:w="100" w:type="dxa"/>
              <w:left w:w="100" w:type="dxa"/>
              <w:bottom w:w="100" w:type="dxa"/>
              <w:right w:w="100" w:type="dxa"/>
            </w:tcMar>
          </w:tcPr>
          <w:p w14:paraId="74483D8F" w14:textId="77777777" w:rsidR="00086A58" w:rsidRDefault="00086A58">
            <w:pPr>
              <w:spacing w:before="240" w:after="240"/>
              <w:jc w:val="both"/>
              <w:rPr>
                <w:rFonts w:ascii="Times New Roman" w:eastAsia="Times New Roman" w:hAnsi="Times New Roman" w:cs="Times New Roman"/>
                <w:sz w:val="24"/>
                <w:szCs w:val="24"/>
                <w:highlight w:val="white"/>
              </w:rPr>
            </w:pPr>
          </w:p>
        </w:tc>
        <w:tc>
          <w:tcPr>
            <w:tcW w:w="1483" w:type="dxa"/>
            <w:tcBorders>
              <w:top w:val="single" w:sz="24" w:space="0" w:color="000000"/>
              <w:left w:val="single" w:sz="4" w:space="0" w:color="000000"/>
              <w:bottom w:val="nil"/>
              <w:right w:val="nil"/>
            </w:tcBorders>
            <w:tcMar>
              <w:top w:w="100" w:type="dxa"/>
              <w:left w:w="100" w:type="dxa"/>
              <w:bottom w:w="100" w:type="dxa"/>
              <w:right w:w="100" w:type="dxa"/>
            </w:tcMar>
          </w:tcPr>
          <w:p w14:paraId="126E7B5B"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Strongly Agree (Number, %)</w:t>
            </w:r>
          </w:p>
        </w:tc>
        <w:tc>
          <w:tcPr>
            <w:tcW w:w="1268" w:type="dxa"/>
            <w:tcBorders>
              <w:top w:val="single" w:sz="24" w:space="0" w:color="000000"/>
              <w:left w:val="nil"/>
              <w:bottom w:val="nil"/>
              <w:right w:val="nil"/>
            </w:tcBorders>
            <w:tcMar>
              <w:top w:w="100" w:type="dxa"/>
              <w:left w:w="100" w:type="dxa"/>
              <w:bottom w:w="100" w:type="dxa"/>
              <w:right w:w="100" w:type="dxa"/>
            </w:tcMar>
          </w:tcPr>
          <w:p w14:paraId="337F14D2"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Agree (Number, %)</w:t>
            </w:r>
          </w:p>
        </w:tc>
        <w:tc>
          <w:tcPr>
            <w:tcW w:w="1325" w:type="dxa"/>
            <w:tcBorders>
              <w:top w:val="single" w:sz="24" w:space="0" w:color="000000"/>
              <w:left w:val="nil"/>
              <w:bottom w:val="nil"/>
              <w:right w:val="nil"/>
            </w:tcBorders>
            <w:tcMar>
              <w:top w:w="100" w:type="dxa"/>
              <w:left w:w="100" w:type="dxa"/>
              <w:bottom w:w="100" w:type="dxa"/>
              <w:right w:w="100" w:type="dxa"/>
            </w:tcMar>
          </w:tcPr>
          <w:p w14:paraId="2D4E900F"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Neutral (Number, %)</w:t>
            </w:r>
          </w:p>
        </w:tc>
        <w:tc>
          <w:tcPr>
            <w:tcW w:w="1426" w:type="dxa"/>
            <w:tcBorders>
              <w:top w:val="single" w:sz="24" w:space="0" w:color="000000"/>
              <w:left w:val="nil"/>
              <w:bottom w:val="nil"/>
              <w:right w:val="nil"/>
            </w:tcBorders>
            <w:tcMar>
              <w:top w:w="100" w:type="dxa"/>
              <w:left w:w="100" w:type="dxa"/>
              <w:bottom w:w="100" w:type="dxa"/>
              <w:right w:w="100" w:type="dxa"/>
            </w:tcMar>
          </w:tcPr>
          <w:p w14:paraId="39F96C23"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Disagree (Number, %)</w:t>
            </w:r>
          </w:p>
        </w:tc>
        <w:tc>
          <w:tcPr>
            <w:tcW w:w="1354" w:type="dxa"/>
            <w:tcBorders>
              <w:top w:val="single" w:sz="24" w:space="0" w:color="000000"/>
              <w:left w:val="nil"/>
              <w:bottom w:val="nil"/>
              <w:right w:val="nil"/>
            </w:tcBorders>
            <w:tcMar>
              <w:top w:w="100" w:type="dxa"/>
              <w:left w:w="100" w:type="dxa"/>
              <w:bottom w:w="100" w:type="dxa"/>
              <w:right w:w="100" w:type="dxa"/>
            </w:tcMar>
          </w:tcPr>
          <w:p w14:paraId="30B648A4"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Strongly Disagree (Number, %)</w:t>
            </w:r>
          </w:p>
        </w:tc>
      </w:tr>
      <w:tr w:rsidR="00086A58" w14:paraId="5DBEC79D" w14:textId="77777777">
        <w:trPr>
          <w:trHeight w:val="1580"/>
        </w:trPr>
        <w:tc>
          <w:tcPr>
            <w:tcW w:w="2502" w:type="dxa"/>
            <w:tcBorders>
              <w:top w:val="nil"/>
              <w:left w:val="nil"/>
              <w:bottom w:val="nil"/>
              <w:right w:val="single" w:sz="4" w:space="0" w:color="000000"/>
            </w:tcBorders>
            <w:tcMar>
              <w:top w:w="100" w:type="dxa"/>
              <w:left w:w="100" w:type="dxa"/>
              <w:bottom w:w="100" w:type="dxa"/>
              <w:right w:w="100" w:type="dxa"/>
            </w:tcMar>
          </w:tcPr>
          <w:p w14:paraId="0FA001C1"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Inclusive education refers to the practice of integrating students with special needs into </w:t>
            </w:r>
            <w:r>
              <w:rPr>
                <w:rFonts w:ascii="Times New Roman" w:eastAsia="Times New Roman" w:hAnsi="Times New Roman" w:cs="Times New Roman"/>
                <w:sz w:val="24"/>
                <w:szCs w:val="24"/>
                <w:highlight w:val="white"/>
              </w:rPr>
              <w:t>mainstream schools.</w:t>
            </w:r>
          </w:p>
        </w:tc>
        <w:tc>
          <w:tcPr>
            <w:tcW w:w="1483" w:type="dxa"/>
            <w:tcBorders>
              <w:top w:val="nil"/>
              <w:left w:val="single" w:sz="4" w:space="0" w:color="000000"/>
              <w:bottom w:val="nil"/>
              <w:right w:val="nil"/>
            </w:tcBorders>
            <w:tcMar>
              <w:top w:w="100" w:type="dxa"/>
              <w:left w:w="100" w:type="dxa"/>
              <w:bottom w:w="100" w:type="dxa"/>
              <w:right w:w="100" w:type="dxa"/>
            </w:tcMar>
          </w:tcPr>
          <w:p w14:paraId="08700223"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30 (46.9%)</w:t>
            </w:r>
          </w:p>
        </w:tc>
        <w:tc>
          <w:tcPr>
            <w:tcW w:w="1268" w:type="dxa"/>
            <w:tcBorders>
              <w:top w:val="nil"/>
              <w:left w:val="nil"/>
              <w:bottom w:val="nil"/>
              <w:right w:val="nil"/>
            </w:tcBorders>
            <w:tcMar>
              <w:top w:w="100" w:type="dxa"/>
              <w:left w:w="100" w:type="dxa"/>
              <w:bottom w:w="100" w:type="dxa"/>
              <w:right w:w="100" w:type="dxa"/>
            </w:tcMar>
          </w:tcPr>
          <w:p w14:paraId="4C0EB4F5"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 (40.6%)</w:t>
            </w:r>
          </w:p>
        </w:tc>
        <w:tc>
          <w:tcPr>
            <w:tcW w:w="1325" w:type="dxa"/>
            <w:tcBorders>
              <w:top w:val="nil"/>
              <w:left w:val="nil"/>
              <w:bottom w:val="nil"/>
              <w:right w:val="nil"/>
            </w:tcBorders>
            <w:tcMar>
              <w:top w:w="100" w:type="dxa"/>
              <w:left w:w="100" w:type="dxa"/>
              <w:bottom w:w="100" w:type="dxa"/>
              <w:right w:w="100" w:type="dxa"/>
            </w:tcMar>
          </w:tcPr>
          <w:p w14:paraId="6B40F657"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(6.3%)</w:t>
            </w:r>
          </w:p>
        </w:tc>
        <w:tc>
          <w:tcPr>
            <w:tcW w:w="1426" w:type="dxa"/>
            <w:tcBorders>
              <w:top w:val="nil"/>
              <w:left w:val="nil"/>
              <w:bottom w:val="nil"/>
              <w:right w:val="nil"/>
            </w:tcBorders>
            <w:tcMar>
              <w:top w:w="100" w:type="dxa"/>
              <w:left w:w="100" w:type="dxa"/>
              <w:bottom w:w="100" w:type="dxa"/>
              <w:right w:w="100" w:type="dxa"/>
            </w:tcMar>
          </w:tcPr>
          <w:p w14:paraId="3637518E"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(6.3%)</w:t>
            </w:r>
          </w:p>
        </w:tc>
        <w:tc>
          <w:tcPr>
            <w:tcW w:w="1354" w:type="dxa"/>
            <w:tcBorders>
              <w:top w:val="nil"/>
              <w:left w:val="nil"/>
              <w:bottom w:val="nil"/>
              <w:right w:val="nil"/>
            </w:tcBorders>
            <w:tcMar>
              <w:top w:w="100" w:type="dxa"/>
              <w:left w:w="100" w:type="dxa"/>
              <w:bottom w:w="100" w:type="dxa"/>
              <w:right w:w="100" w:type="dxa"/>
            </w:tcMar>
          </w:tcPr>
          <w:p w14:paraId="0340886F"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Nil</w:t>
            </w:r>
          </w:p>
        </w:tc>
      </w:tr>
      <w:tr w:rsidR="00086A58" w14:paraId="417D6694" w14:textId="77777777">
        <w:trPr>
          <w:trHeight w:val="1850"/>
        </w:trPr>
        <w:tc>
          <w:tcPr>
            <w:tcW w:w="2502" w:type="dxa"/>
            <w:tcBorders>
              <w:top w:val="nil"/>
              <w:left w:val="nil"/>
              <w:bottom w:val="nil"/>
              <w:right w:val="single" w:sz="4" w:space="0" w:color="000000"/>
            </w:tcBorders>
            <w:tcMar>
              <w:top w:w="100" w:type="dxa"/>
              <w:left w:w="100" w:type="dxa"/>
              <w:bottom w:w="100" w:type="dxa"/>
              <w:right w:w="100" w:type="dxa"/>
            </w:tcMar>
          </w:tcPr>
          <w:p w14:paraId="7AFCC234"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primary goal of inclusive education is to ensure that students with special needs can access the general curriculum alongside their peers.</w:t>
            </w:r>
          </w:p>
        </w:tc>
        <w:tc>
          <w:tcPr>
            <w:tcW w:w="1483" w:type="dxa"/>
            <w:tcBorders>
              <w:top w:val="nil"/>
              <w:left w:val="single" w:sz="4" w:space="0" w:color="000000"/>
              <w:bottom w:val="nil"/>
              <w:right w:val="nil"/>
            </w:tcBorders>
            <w:tcMar>
              <w:top w:w="100" w:type="dxa"/>
              <w:left w:w="100" w:type="dxa"/>
              <w:bottom w:w="100" w:type="dxa"/>
              <w:right w:w="100" w:type="dxa"/>
            </w:tcMar>
          </w:tcPr>
          <w:p w14:paraId="4DB33283"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32 (50%)</w:t>
            </w:r>
          </w:p>
        </w:tc>
        <w:tc>
          <w:tcPr>
            <w:tcW w:w="1268" w:type="dxa"/>
            <w:tcBorders>
              <w:top w:val="nil"/>
              <w:left w:val="nil"/>
              <w:bottom w:val="nil"/>
              <w:right w:val="nil"/>
            </w:tcBorders>
            <w:tcMar>
              <w:top w:w="100" w:type="dxa"/>
              <w:left w:w="100" w:type="dxa"/>
              <w:bottom w:w="100" w:type="dxa"/>
              <w:right w:w="100" w:type="dxa"/>
            </w:tcMar>
          </w:tcPr>
          <w:p w14:paraId="6EA59B89"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 (43.8%)</w:t>
            </w:r>
          </w:p>
        </w:tc>
        <w:tc>
          <w:tcPr>
            <w:tcW w:w="1325" w:type="dxa"/>
            <w:tcBorders>
              <w:top w:val="nil"/>
              <w:left w:val="nil"/>
              <w:bottom w:val="nil"/>
              <w:right w:val="nil"/>
            </w:tcBorders>
            <w:tcMar>
              <w:top w:w="100" w:type="dxa"/>
              <w:left w:w="100" w:type="dxa"/>
              <w:bottom w:w="100" w:type="dxa"/>
              <w:right w:w="100" w:type="dxa"/>
            </w:tcMar>
          </w:tcPr>
          <w:p w14:paraId="624CCFB4"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(3.1%)</w:t>
            </w:r>
          </w:p>
        </w:tc>
        <w:tc>
          <w:tcPr>
            <w:tcW w:w="1426" w:type="dxa"/>
            <w:tcBorders>
              <w:top w:val="nil"/>
              <w:left w:val="nil"/>
              <w:bottom w:val="nil"/>
              <w:right w:val="nil"/>
            </w:tcBorders>
            <w:tcMar>
              <w:top w:w="100" w:type="dxa"/>
              <w:left w:w="100" w:type="dxa"/>
              <w:bottom w:w="100" w:type="dxa"/>
              <w:right w:w="100" w:type="dxa"/>
            </w:tcMar>
          </w:tcPr>
          <w:p w14:paraId="37C90CD3"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(3.1%)</w:t>
            </w:r>
          </w:p>
        </w:tc>
        <w:tc>
          <w:tcPr>
            <w:tcW w:w="1354" w:type="dxa"/>
            <w:tcBorders>
              <w:top w:val="nil"/>
              <w:left w:val="nil"/>
              <w:bottom w:val="nil"/>
              <w:right w:val="nil"/>
            </w:tcBorders>
            <w:tcMar>
              <w:top w:w="100" w:type="dxa"/>
              <w:left w:w="100" w:type="dxa"/>
              <w:bottom w:w="100" w:type="dxa"/>
              <w:right w:w="100" w:type="dxa"/>
            </w:tcMar>
          </w:tcPr>
          <w:p w14:paraId="36FDCBBA"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Nil</w:t>
            </w:r>
          </w:p>
        </w:tc>
      </w:tr>
      <w:tr w:rsidR="00086A58" w14:paraId="22D4F693" w14:textId="77777777">
        <w:trPr>
          <w:trHeight w:val="1580"/>
        </w:trPr>
        <w:tc>
          <w:tcPr>
            <w:tcW w:w="2502" w:type="dxa"/>
            <w:tcBorders>
              <w:top w:val="nil"/>
              <w:left w:val="nil"/>
              <w:bottom w:val="nil"/>
              <w:right w:val="single" w:sz="4" w:space="0" w:color="000000"/>
            </w:tcBorders>
            <w:tcMar>
              <w:top w:w="100" w:type="dxa"/>
              <w:left w:w="100" w:type="dxa"/>
              <w:bottom w:w="100" w:type="dxa"/>
              <w:right w:w="100" w:type="dxa"/>
            </w:tcMar>
          </w:tcPr>
          <w:p w14:paraId="02D5049A"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Teachers are responsible for modifying the curriculum to meet the needs of students with special needs.</w:t>
            </w:r>
          </w:p>
        </w:tc>
        <w:tc>
          <w:tcPr>
            <w:tcW w:w="1483" w:type="dxa"/>
            <w:tcBorders>
              <w:top w:val="nil"/>
              <w:left w:val="single" w:sz="4" w:space="0" w:color="000000"/>
              <w:bottom w:val="nil"/>
              <w:right w:val="nil"/>
            </w:tcBorders>
            <w:tcMar>
              <w:top w:w="100" w:type="dxa"/>
              <w:left w:w="100" w:type="dxa"/>
              <w:bottom w:w="100" w:type="dxa"/>
              <w:right w:w="100" w:type="dxa"/>
            </w:tcMar>
          </w:tcPr>
          <w:p w14:paraId="411E2A56"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 (31.3%)</w:t>
            </w:r>
          </w:p>
        </w:tc>
        <w:tc>
          <w:tcPr>
            <w:tcW w:w="1268" w:type="dxa"/>
            <w:tcBorders>
              <w:top w:val="nil"/>
              <w:left w:val="nil"/>
              <w:bottom w:val="nil"/>
              <w:right w:val="nil"/>
            </w:tcBorders>
            <w:tcMar>
              <w:top w:w="100" w:type="dxa"/>
              <w:left w:w="100" w:type="dxa"/>
              <w:bottom w:w="100" w:type="dxa"/>
              <w:right w:w="100" w:type="dxa"/>
            </w:tcMar>
          </w:tcPr>
          <w:p w14:paraId="3D4B0D65"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 (43.8%)</w:t>
            </w:r>
          </w:p>
        </w:tc>
        <w:tc>
          <w:tcPr>
            <w:tcW w:w="1325" w:type="dxa"/>
            <w:tcBorders>
              <w:top w:val="nil"/>
              <w:left w:val="nil"/>
              <w:bottom w:val="nil"/>
              <w:right w:val="nil"/>
            </w:tcBorders>
            <w:tcMar>
              <w:top w:w="100" w:type="dxa"/>
              <w:left w:w="100" w:type="dxa"/>
              <w:bottom w:w="100" w:type="dxa"/>
              <w:right w:w="100" w:type="dxa"/>
            </w:tcMar>
          </w:tcPr>
          <w:p w14:paraId="034DB89B"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 (18.8%)</w:t>
            </w:r>
          </w:p>
        </w:tc>
        <w:tc>
          <w:tcPr>
            <w:tcW w:w="1426" w:type="dxa"/>
            <w:tcBorders>
              <w:top w:val="nil"/>
              <w:left w:val="nil"/>
              <w:bottom w:val="nil"/>
              <w:right w:val="nil"/>
            </w:tcBorders>
            <w:tcMar>
              <w:top w:w="100" w:type="dxa"/>
              <w:left w:w="100" w:type="dxa"/>
              <w:bottom w:w="100" w:type="dxa"/>
              <w:right w:w="100" w:type="dxa"/>
            </w:tcMar>
          </w:tcPr>
          <w:p w14:paraId="57AFCEC6"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(6.3%)</w:t>
            </w:r>
          </w:p>
        </w:tc>
        <w:tc>
          <w:tcPr>
            <w:tcW w:w="1354" w:type="dxa"/>
            <w:tcBorders>
              <w:top w:val="nil"/>
              <w:left w:val="nil"/>
              <w:bottom w:val="nil"/>
              <w:right w:val="nil"/>
            </w:tcBorders>
            <w:tcMar>
              <w:top w:w="100" w:type="dxa"/>
              <w:left w:w="100" w:type="dxa"/>
              <w:bottom w:w="100" w:type="dxa"/>
              <w:right w:w="100" w:type="dxa"/>
            </w:tcMar>
          </w:tcPr>
          <w:p w14:paraId="0E9C722E"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Nil</w:t>
            </w:r>
          </w:p>
        </w:tc>
      </w:tr>
      <w:tr w:rsidR="00086A58" w14:paraId="46987843" w14:textId="77777777">
        <w:trPr>
          <w:trHeight w:val="2120"/>
        </w:trPr>
        <w:tc>
          <w:tcPr>
            <w:tcW w:w="2502" w:type="dxa"/>
            <w:tcBorders>
              <w:top w:val="nil"/>
              <w:left w:val="nil"/>
              <w:bottom w:val="nil"/>
              <w:right w:val="single" w:sz="4" w:space="0" w:color="000000"/>
            </w:tcBorders>
            <w:tcMar>
              <w:top w:w="100" w:type="dxa"/>
              <w:left w:w="100" w:type="dxa"/>
              <w:bottom w:w="100" w:type="dxa"/>
              <w:right w:w="100" w:type="dxa"/>
            </w:tcMar>
          </w:tcPr>
          <w:p w14:paraId="5F043127"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Inclusive education involves not only physical integration but also social and academic participation for</w:t>
            </w:r>
            <w:r>
              <w:rPr>
                <w:rFonts w:ascii="Times New Roman" w:eastAsia="Times New Roman" w:hAnsi="Times New Roman" w:cs="Times New Roman"/>
                <w:sz w:val="24"/>
                <w:szCs w:val="24"/>
                <w:highlight w:val="white"/>
              </w:rPr>
              <w:t xml:space="preserve"> children with special needs.</w:t>
            </w:r>
          </w:p>
        </w:tc>
        <w:tc>
          <w:tcPr>
            <w:tcW w:w="1483" w:type="dxa"/>
            <w:tcBorders>
              <w:top w:val="nil"/>
              <w:left w:val="single" w:sz="4" w:space="0" w:color="000000"/>
              <w:bottom w:val="nil"/>
              <w:right w:val="nil"/>
            </w:tcBorders>
            <w:tcMar>
              <w:top w:w="100" w:type="dxa"/>
              <w:left w:w="100" w:type="dxa"/>
              <w:bottom w:w="100" w:type="dxa"/>
              <w:right w:w="100" w:type="dxa"/>
            </w:tcMar>
          </w:tcPr>
          <w:p w14:paraId="3EDE9782"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34 (53.1%)</w:t>
            </w:r>
          </w:p>
        </w:tc>
        <w:tc>
          <w:tcPr>
            <w:tcW w:w="1268" w:type="dxa"/>
            <w:tcBorders>
              <w:top w:val="nil"/>
              <w:left w:val="nil"/>
              <w:bottom w:val="nil"/>
              <w:right w:val="nil"/>
            </w:tcBorders>
            <w:tcMar>
              <w:top w:w="100" w:type="dxa"/>
              <w:left w:w="100" w:type="dxa"/>
              <w:bottom w:w="100" w:type="dxa"/>
              <w:right w:w="100" w:type="dxa"/>
            </w:tcMar>
          </w:tcPr>
          <w:p w14:paraId="7C67371B"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 (43.8%)</w:t>
            </w:r>
          </w:p>
        </w:tc>
        <w:tc>
          <w:tcPr>
            <w:tcW w:w="1325" w:type="dxa"/>
            <w:tcBorders>
              <w:top w:val="nil"/>
              <w:left w:val="nil"/>
              <w:bottom w:val="nil"/>
              <w:right w:val="nil"/>
            </w:tcBorders>
            <w:tcMar>
              <w:top w:w="100" w:type="dxa"/>
              <w:left w:w="100" w:type="dxa"/>
              <w:bottom w:w="100" w:type="dxa"/>
              <w:right w:w="100" w:type="dxa"/>
            </w:tcMar>
          </w:tcPr>
          <w:p w14:paraId="1EBA01B1"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Nil</w:t>
            </w:r>
          </w:p>
        </w:tc>
        <w:tc>
          <w:tcPr>
            <w:tcW w:w="1426" w:type="dxa"/>
            <w:tcBorders>
              <w:top w:val="nil"/>
              <w:left w:val="nil"/>
              <w:bottom w:val="nil"/>
              <w:right w:val="nil"/>
            </w:tcBorders>
            <w:tcMar>
              <w:top w:w="100" w:type="dxa"/>
              <w:left w:w="100" w:type="dxa"/>
              <w:bottom w:w="100" w:type="dxa"/>
              <w:right w:w="100" w:type="dxa"/>
            </w:tcMar>
          </w:tcPr>
          <w:p w14:paraId="60DFB8F1"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(3.1%)</w:t>
            </w:r>
          </w:p>
        </w:tc>
        <w:tc>
          <w:tcPr>
            <w:tcW w:w="1354" w:type="dxa"/>
            <w:tcBorders>
              <w:top w:val="nil"/>
              <w:left w:val="nil"/>
              <w:bottom w:val="nil"/>
              <w:right w:val="nil"/>
            </w:tcBorders>
            <w:tcMar>
              <w:top w:w="100" w:type="dxa"/>
              <w:left w:w="100" w:type="dxa"/>
              <w:bottom w:w="100" w:type="dxa"/>
              <w:right w:w="100" w:type="dxa"/>
            </w:tcMar>
          </w:tcPr>
          <w:p w14:paraId="01C6E6FF"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Nil</w:t>
            </w:r>
          </w:p>
        </w:tc>
      </w:tr>
      <w:tr w:rsidR="00086A58" w14:paraId="4DC490E8" w14:textId="77777777">
        <w:trPr>
          <w:trHeight w:val="1580"/>
        </w:trPr>
        <w:tc>
          <w:tcPr>
            <w:tcW w:w="2502" w:type="dxa"/>
            <w:tcBorders>
              <w:top w:val="nil"/>
              <w:left w:val="nil"/>
              <w:bottom w:val="single" w:sz="24" w:space="0" w:color="000000"/>
              <w:right w:val="single" w:sz="4" w:space="0" w:color="000000"/>
            </w:tcBorders>
            <w:tcMar>
              <w:top w:w="100" w:type="dxa"/>
              <w:left w:w="100" w:type="dxa"/>
              <w:bottom w:w="100" w:type="dxa"/>
              <w:right w:w="100" w:type="dxa"/>
            </w:tcMar>
          </w:tcPr>
          <w:p w14:paraId="624A81F3"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Children with special needs can learn successfully in a general classroom with the proper support.</w:t>
            </w:r>
          </w:p>
        </w:tc>
        <w:tc>
          <w:tcPr>
            <w:tcW w:w="1483" w:type="dxa"/>
            <w:tcBorders>
              <w:top w:val="nil"/>
              <w:left w:val="single" w:sz="4" w:space="0" w:color="000000"/>
              <w:bottom w:val="single" w:sz="24" w:space="0" w:color="000000"/>
              <w:right w:val="nil"/>
            </w:tcBorders>
            <w:tcMar>
              <w:top w:w="100" w:type="dxa"/>
              <w:left w:w="100" w:type="dxa"/>
              <w:bottom w:w="100" w:type="dxa"/>
              <w:right w:w="100" w:type="dxa"/>
            </w:tcMar>
          </w:tcPr>
          <w:p w14:paraId="5F682F6D"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 (43.8%)</w:t>
            </w:r>
          </w:p>
        </w:tc>
        <w:tc>
          <w:tcPr>
            <w:tcW w:w="1268" w:type="dxa"/>
            <w:tcBorders>
              <w:top w:val="nil"/>
              <w:left w:val="nil"/>
              <w:bottom w:val="single" w:sz="24" w:space="0" w:color="000000"/>
              <w:right w:val="nil"/>
            </w:tcBorders>
            <w:tcMar>
              <w:top w:w="100" w:type="dxa"/>
              <w:left w:w="100" w:type="dxa"/>
              <w:bottom w:w="100" w:type="dxa"/>
              <w:right w:w="100" w:type="dxa"/>
            </w:tcMar>
          </w:tcPr>
          <w:p w14:paraId="3AF054DF"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 (43.8%)</w:t>
            </w:r>
          </w:p>
        </w:tc>
        <w:tc>
          <w:tcPr>
            <w:tcW w:w="1325" w:type="dxa"/>
            <w:tcBorders>
              <w:top w:val="nil"/>
              <w:left w:val="nil"/>
              <w:bottom w:val="single" w:sz="24" w:space="0" w:color="000000"/>
              <w:right w:val="nil"/>
            </w:tcBorders>
            <w:tcMar>
              <w:top w:w="100" w:type="dxa"/>
              <w:left w:w="100" w:type="dxa"/>
              <w:bottom w:w="100" w:type="dxa"/>
              <w:right w:w="100" w:type="dxa"/>
            </w:tcMar>
          </w:tcPr>
          <w:p w14:paraId="30F4B48C"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(3.1%)</w:t>
            </w:r>
          </w:p>
        </w:tc>
        <w:tc>
          <w:tcPr>
            <w:tcW w:w="1426" w:type="dxa"/>
            <w:tcBorders>
              <w:top w:val="nil"/>
              <w:left w:val="nil"/>
              <w:bottom w:val="single" w:sz="24" w:space="0" w:color="000000"/>
              <w:right w:val="nil"/>
            </w:tcBorders>
            <w:tcMar>
              <w:top w:w="100" w:type="dxa"/>
              <w:left w:w="100" w:type="dxa"/>
              <w:bottom w:w="100" w:type="dxa"/>
              <w:right w:w="100" w:type="dxa"/>
            </w:tcMar>
          </w:tcPr>
          <w:p w14:paraId="36BF27EA"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 (9.4%)</w:t>
            </w:r>
          </w:p>
        </w:tc>
        <w:tc>
          <w:tcPr>
            <w:tcW w:w="1354" w:type="dxa"/>
            <w:tcBorders>
              <w:top w:val="nil"/>
              <w:left w:val="nil"/>
              <w:bottom w:val="single" w:sz="24" w:space="0" w:color="000000"/>
              <w:right w:val="nil"/>
            </w:tcBorders>
            <w:tcMar>
              <w:top w:w="100" w:type="dxa"/>
              <w:left w:w="100" w:type="dxa"/>
              <w:bottom w:w="100" w:type="dxa"/>
              <w:right w:w="100" w:type="dxa"/>
            </w:tcMar>
          </w:tcPr>
          <w:p w14:paraId="5E6B19AB"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Nil</w:t>
            </w:r>
          </w:p>
        </w:tc>
      </w:tr>
    </w:tbl>
    <w:p w14:paraId="08F801AE" w14:textId="77777777" w:rsidR="00086A58" w:rsidRDefault="00086A58">
      <w:pPr>
        <w:spacing w:before="240" w:after="240"/>
        <w:jc w:val="both"/>
        <w:rPr>
          <w:rFonts w:ascii="Times New Roman" w:eastAsia="Times New Roman" w:hAnsi="Times New Roman" w:cs="Times New Roman"/>
          <w:sz w:val="24"/>
          <w:szCs w:val="24"/>
          <w:highlight w:val="white"/>
        </w:rPr>
      </w:pPr>
    </w:p>
    <w:p w14:paraId="2D652B2E" w14:textId="77777777" w:rsidR="00086A58" w:rsidRDefault="00086A58">
      <w:pPr>
        <w:spacing w:before="240" w:after="240"/>
        <w:jc w:val="both"/>
        <w:rPr>
          <w:rFonts w:ascii="Times New Roman" w:eastAsia="Times New Roman" w:hAnsi="Times New Roman" w:cs="Times New Roman"/>
          <w:sz w:val="24"/>
          <w:szCs w:val="24"/>
          <w:highlight w:val="white"/>
        </w:rPr>
      </w:pPr>
    </w:p>
    <w:p w14:paraId="1D365BAE" w14:textId="77777777" w:rsidR="00086A58" w:rsidRDefault="009B1C7A">
      <w:pPr>
        <w:numPr>
          <w:ilvl w:val="0"/>
          <w:numId w:val="4"/>
        </w:num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Knowledge of Special Education Needs and</w:t>
      </w:r>
      <w:r>
        <w:rPr>
          <w:rFonts w:ascii="Times New Roman" w:eastAsia="Times New Roman" w:hAnsi="Times New Roman" w:cs="Times New Roman"/>
          <w:b/>
          <w:bCs/>
          <w:sz w:val="28"/>
          <w:szCs w:val="28"/>
          <w:highlight w:val="white"/>
        </w:rPr>
        <w:t xml:space="preserve"> Disabilities</w:t>
      </w:r>
    </w:p>
    <w:p w14:paraId="4967DF21" w14:textId="77777777" w:rsidR="00086A58" w:rsidRDefault="009B1C7A">
      <w:pPr>
        <w:spacing w:before="240" w:after="240"/>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sz w:val="24"/>
          <w:szCs w:val="24"/>
          <w:highlight w:val="white"/>
        </w:rPr>
        <w:t xml:space="preserve">The participants displayed a varied level of knowledge regarding special education needs and disabilities. A majority of respondents (53%) agreed that they are familiar with different types of disabilities that require special educational </w:t>
      </w:r>
      <w:r>
        <w:rPr>
          <w:rFonts w:ascii="Times New Roman" w:eastAsia="Times New Roman" w:hAnsi="Times New Roman" w:cs="Times New Roman"/>
          <w:sz w:val="24"/>
          <w:szCs w:val="24"/>
          <w:highlight w:val="white"/>
        </w:rPr>
        <w:t>needs, with 28.1% strongly agreeing. Similarly, 53% agreed that they are aware of the legal rights of children with special needs under Nigerian educational policies, although only 18.8% strongly agreed. Notably, a significant number of respondents (37.5%)</w:t>
      </w:r>
      <w:r>
        <w:rPr>
          <w:rFonts w:ascii="Times New Roman" w:eastAsia="Times New Roman" w:hAnsi="Times New Roman" w:cs="Times New Roman"/>
          <w:sz w:val="24"/>
          <w:szCs w:val="24"/>
          <w:highlight w:val="white"/>
        </w:rPr>
        <w:t xml:space="preserve"> strongly agreed that they can identify the signs of different special needs in students, and 56.3% strongly agreed on the importance of early identification and intervention for children with special needs (see Table 3).</w:t>
      </w:r>
    </w:p>
    <w:p w14:paraId="30E7C251" w14:textId="77777777" w:rsidR="00086A58" w:rsidRDefault="009B1C7A">
      <w:pPr>
        <w:spacing w:before="240" w:after="240"/>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Table 3: Teachers’ awareness of sp</w:t>
      </w:r>
      <w:r>
        <w:rPr>
          <w:rFonts w:ascii="Times New Roman" w:eastAsia="Times New Roman" w:hAnsi="Times New Roman" w:cs="Times New Roman"/>
          <w:b/>
          <w:bCs/>
          <w:i/>
          <w:iCs/>
          <w:sz w:val="24"/>
          <w:szCs w:val="24"/>
          <w:highlight w:val="white"/>
        </w:rPr>
        <w:t>ecial educational needs, disabilities, and related rights</w:t>
      </w:r>
    </w:p>
    <w:tbl>
      <w:tblPr>
        <w:tblStyle w:val="a7"/>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61"/>
        <w:gridCol w:w="1484"/>
        <w:gridCol w:w="1268"/>
        <w:gridCol w:w="1339"/>
        <w:gridCol w:w="1440"/>
        <w:gridCol w:w="1368"/>
      </w:tblGrid>
      <w:tr w:rsidR="00086A58" w14:paraId="4C8DC2A3" w14:textId="77777777">
        <w:trPr>
          <w:trHeight w:val="1310"/>
        </w:trPr>
        <w:tc>
          <w:tcPr>
            <w:tcW w:w="2459" w:type="dxa"/>
            <w:tcBorders>
              <w:top w:val="single" w:sz="24" w:space="0" w:color="000000"/>
              <w:left w:val="nil"/>
              <w:bottom w:val="single" w:sz="24" w:space="0" w:color="000000"/>
              <w:right w:val="single" w:sz="4" w:space="0" w:color="000000"/>
            </w:tcBorders>
            <w:tcMar>
              <w:top w:w="100" w:type="dxa"/>
              <w:left w:w="100" w:type="dxa"/>
              <w:bottom w:w="100" w:type="dxa"/>
              <w:right w:w="100" w:type="dxa"/>
            </w:tcMar>
          </w:tcPr>
          <w:p w14:paraId="46166249" w14:textId="77777777" w:rsidR="00086A58" w:rsidRDefault="009B1C7A">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Questions</w:t>
            </w:r>
          </w:p>
        </w:tc>
        <w:tc>
          <w:tcPr>
            <w:tcW w:w="1483" w:type="dxa"/>
            <w:tcBorders>
              <w:top w:val="single" w:sz="24" w:space="0" w:color="000000"/>
              <w:left w:val="single" w:sz="4" w:space="0" w:color="000000"/>
              <w:bottom w:val="single" w:sz="24" w:space="0" w:color="000000"/>
              <w:right w:val="nil"/>
            </w:tcBorders>
            <w:tcMar>
              <w:top w:w="100" w:type="dxa"/>
              <w:left w:w="100" w:type="dxa"/>
              <w:bottom w:w="100" w:type="dxa"/>
              <w:right w:w="100" w:type="dxa"/>
            </w:tcMar>
          </w:tcPr>
          <w:p w14:paraId="63C56196" w14:textId="77777777" w:rsidR="00086A58" w:rsidRDefault="00086A58">
            <w:pPr>
              <w:spacing w:before="240" w:after="240"/>
              <w:jc w:val="both"/>
              <w:rPr>
                <w:rFonts w:ascii="Times New Roman" w:eastAsia="Times New Roman" w:hAnsi="Times New Roman" w:cs="Times New Roman"/>
                <w:b/>
                <w:bCs/>
                <w:sz w:val="24"/>
                <w:szCs w:val="24"/>
                <w:highlight w:val="white"/>
              </w:rPr>
            </w:pPr>
          </w:p>
        </w:tc>
        <w:tc>
          <w:tcPr>
            <w:tcW w:w="1268" w:type="dxa"/>
            <w:tcBorders>
              <w:top w:val="single" w:sz="24" w:space="0" w:color="000000"/>
              <w:left w:val="nil"/>
              <w:bottom w:val="single" w:sz="24" w:space="0" w:color="000000"/>
              <w:right w:val="nil"/>
            </w:tcBorders>
            <w:tcMar>
              <w:top w:w="100" w:type="dxa"/>
              <w:left w:w="100" w:type="dxa"/>
              <w:bottom w:w="100" w:type="dxa"/>
              <w:right w:w="100" w:type="dxa"/>
            </w:tcMar>
          </w:tcPr>
          <w:p w14:paraId="263D93E1" w14:textId="77777777" w:rsidR="00086A58" w:rsidRDefault="00086A58">
            <w:pPr>
              <w:spacing w:before="240" w:after="240"/>
              <w:jc w:val="both"/>
              <w:rPr>
                <w:rFonts w:ascii="Times New Roman" w:eastAsia="Times New Roman" w:hAnsi="Times New Roman" w:cs="Times New Roman"/>
                <w:b/>
                <w:bCs/>
                <w:sz w:val="24"/>
                <w:szCs w:val="24"/>
                <w:highlight w:val="white"/>
              </w:rPr>
            </w:pPr>
          </w:p>
        </w:tc>
        <w:tc>
          <w:tcPr>
            <w:tcW w:w="1339" w:type="dxa"/>
            <w:tcBorders>
              <w:top w:val="single" w:sz="24" w:space="0" w:color="000000"/>
              <w:left w:val="nil"/>
              <w:bottom w:val="single" w:sz="24" w:space="0" w:color="000000"/>
              <w:right w:val="nil"/>
            </w:tcBorders>
            <w:tcMar>
              <w:top w:w="100" w:type="dxa"/>
              <w:left w:w="100" w:type="dxa"/>
              <w:bottom w:w="100" w:type="dxa"/>
              <w:right w:w="100" w:type="dxa"/>
            </w:tcMar>
          </w:tcPr>
          <w:p w14:paraId="235EF728" w14:textId="77777777" w:rsidR="00086A58" w:rsidRDefault="009B1C7A">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Responses</w:t>
            </w:r>
          </w:p>
        </w:tc>
        <w:tc>
          <w:tcPr>
            <w:tcW w:w="1440" w:type="dxa"/>
            <w:tcBorders>
              <w:top w:val="single" w:sz="24" w:space="0" w:color="000000"/>
              <w:left w:val="nil"/>
              <w:bottom w:val="single" w:sz="24" w:space="0" w:color="000000"/>
              <w:right w:val="nil"/>
            </w:tcBorders>
            <w:tcMar>
              <w:top w:w="100" w:type="dxa"/>
              <w:left w:w="100" w:type="dxa"/>
              <w:bottom w:w="100" w:type="dxa"/>
              <w:right w:w="100" w:type="dxa"/>
            </w:tcMar>
          </w:tcPr>
          <w:p w14:paraId="0D3C79E6" w14:textId="77777777" w:rsidR="00086A58" w:rsidRDefault="00086A58">
            <w:pPr>
              <w:spacing w:before="240" w:after="240"/>
              <w:jc w:val="both"/>
              <w:rPr>
                <w:rFonts w:ascii="Times New Roman" w:eastAsia="Times New Roman" w:hAnsi="Times New Roman" w:cs="Times New Roman"/>
                <w:b/>
                <w:bCs/>
                <w:sz w:val="24"/>
                <w:szCs w:val="24"/>
                <w:highlight w:val="white"/>
              </w:rPr>
            </w:pPr>
          </w:p>
        </w:tc>
        <w:tc>
          <w:tcPr>
            <w:tcW w:w="1368" w:type="dxa"/>
            <w:tcBorders>
              <w:top w:val="single" w:sz="24" w:space="0" w:color="000000"/>
              <w:left w:val="nil"/>
              <w:bottom w:val="single" w:sz="24" w:space="0" w:color="000000"/>
              <w:right w:val="nil"/>
            </w:tcBorders>
            <w:tcMar>
              <w:top w:w="100" w:type="dxa"/>
              <w:left w:w="100" w:type="dxa"/>
              <w:bottom w:w="100" w:type="dxa"/>
              <w:right w:w="100" w:type="dxa"/>
            </w:tcMar>
          </w:tcPr>
          <w:p w14:paraId="641D2127" w14:textId="77777777" w:rsidR="00086A58" w:rsidRDefault="00086A58">
            <w:pPr>
              <w:spacing w:before="240" w:after="240"/>
              <w:jc w:val="both"/>
              <w:rPr>
                <w:rFonts w:ascii="Times New Roman" w:eastAsia="Times New Roman" w:hAnsi="Times New Roman" w:cs="Times New Roman"/>
                <w:b/>
                <w:bCs/>
                <w:sz w:val="24"/>
                <w:szCs w:val="24"/>
                <w:highlight w:val="white"/>
              </w:rPr>
            </w:pPr>
          </w:p>
        </w:tc>
      </w:tr>
      <w:tr w:rsidR="00086A58" w14:paraId="063FD7AB" w14:textId="77777777">
        <w:trPr>
          <w:trHeight w:val="1310"/>
        </w:trPr>
        <w:tc>
          <w:tcPr>
            <w:tcW w:w="2459" w:type="dxa"/>
            <w:tcBorders>
              <w:top w:val="single" w:sz="24" w:space="0" w:color="000000"/>
              <w:left w:val="nil"/>
              <w:bottom w:val="nil"/>
              <w:right w:val="single" w:sz="4" w:space="0" w:color="000000"/>
            </w:tcBorders>
            <w:tcMar>
              <w:top w:w="100" w:type="dxa"/>
              <w:left w:w="100" w:type="dxa"/>
              <w:bottom w:w="100" w:type="dxa"/>
              <w:right w:w="100" w:type="dxa"/>
            </w:tcMar>
          </w:tcPr>
          <w:p w14:paraId="7570CF83" w14:textId="77777777" w:rsidR="00086A58" w:rsidRDefault="00086A58">
            <w:pPr>
              <w:spacing w:before="240" w:after="240"/>
              <w:jc w:val="both"/>
              <w:rPr>
                <w:rFonts w:ascii="Times New Roman" w:eastAsia="Times New Roman" w:hAnsi="Times New Roman" w:cs="Times New Roman"/>
                <w:sz w:val="24"/>
                <w:szCs w:val="24"/>
                <w:highlight w:val="white"/>
              </w:rPr>
            </w:pPr>
          </w:p>
        </w:tc>
        <w:tc>
          <w:tcPr>
            <w:tcW w:w="1483" w:type="dxa"/>
            <w:tcBorders>
              <w:top w:val="single" w:sz="24" w:space="0" w:color="000000"/>
              <w:left w:val="single" w:sz="4" w:space="0" w:color="000000"/>
              <w:bottom w:val="nil"/>
              <w:right w:val="nil"/>
            </w:tcBorders>
            <w:tcMar>
              <w:top w:w="100" w:type="dxa"/>
              <w:left w:w="100" w:type="dxa"/>
              <w:bottom w:w="100" w:type="dxa"/>
              <w:right w:w="100" w:type="dxa"/>
            </w:tcMar>
          </w:tcPr>
          <w:p w14:paraId="03D5CECD"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Strongly Agree (Number, %)</w:t>
            </w:r>
          </w:p>
        </w:tc>
        <w:tc>
          <w:tcPr>
            <w:tcW w:w="1268" w:type="dxa"/>
            <w:tcBorders>
              <w:top w:val="single" w:sz="24" w:space="0" w:color="000000"/>
              <w:left w:val="nil"/>
              <w:bottom w:val="nil"/>
              <w:right w:val="nil"/>
            </w:tcBorders>
            <w:tcMar>
              <w:top w:w="100" w:type="dxa"/>
              <w:left w:w="100" w:type="dxa"/>
              <w:bottom w:w="100" w:type="dxa"/>
              <w:right w:w="100" w:type="dxa"/>
            </w:tcMar>
          </w:tcPr>
          <w:p w14:paraId="3C6B4BD7"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Agree (Number, %)</w:t>
            </w:r>
          </w:p>
        </w:tc>
        <w:tc>
          <w:tcPr>
            <w:tcW w:w="1339" w:type="dxa"/>
            <w:tcBorders>
              <w:top w:val="single" w:sz="24" w:space="0" w:color="000000"/>
              <w:left w:val="nil"/>
              <w:bottom w:val="nil"/>
              <w:right w:val="nil"/>
            </w:tcBorders>
            <w:tcMar>
              <w:top w:w="100" w:type="dxa"/>
              <w:left w:w="100" w:type="dxa"/>
              <w:bottom w:w="100" w:type="dxa"/>
              <w:right w:w="100" w:type="dxa"/>
            </w:tcMar>
          </w:tcPr>
          <w:p w14:paraId="7B4947E0"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Neutral (Number, %)</w:t>
            </w:r>
          </w:p>
        </w:tc>
        <w:tc>
          <w:tcPr>
            <w:tcW w:w="1440" w:type="dxa"/>
            <w:tcBorders>
              <w:top w:val="single" w:sz="24" w:space="0" w:color="000000"/>
              <w:left w:val="nil"/>
              <w:bottom w:val="nil"/>
              <w:right w:val="nil"/>
            </w:tcBorders>
            <w:tcMar>
              <w:top w:w="100" w:type="dxa"/>
              <w:left w:w="100" w:type="dxa"/>
              <w:bottom w:w="100" w:type="dxa"/>
              <w:right w:w="100" w:type="dxa"/>
            </w:tcMar>
          </w:tcPr>
          <w:p w14:paraId="4557553C"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Disagree (Number, %)</w:t>
            </w:r>
          </w:p>
        </w:tc>
        <w:tc>
          <w:tcPr>
            <w:tcW w:w="1368" w:type="dxa"/>
            <w:tcBorders>
              <w:top w:val="single" w:sz="24" w:space="0" w:color="000000"/>
              <w:left w:val="nil"/>
              <w:bottom w:val="nil"/>
              <w:right w:val="nil"/>
            </w:tcBorders>
            <w:tcMar>
              <w:top w:w="100" w:type="dxa"/>
              <w:left w:w="100" w:type="dxa"/>
              <w:bottom w:w="100" w:type="dxa"/>
              <w:right w:w="100" w:type="dxa"/>
            </w:tcMar>
          </w:tcPr>
          <w:p w14:paraId="426DB830"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Strongly Disagree (Number, %)</w:t>
            </w:r>
          </w:p>
        </w:tc>
      </w:tr>
      <w:tr w:rsidR="00086A58" w14:paraId="24530827" w14:textId="77777777">
        <w:trPr>
          <w:trHeight w:val="1580"/>
        </w:trPr>
        <w:tc>
          <w:tcPr>
            <w:tcW w:w="2459" w:type="dxa"/>
            <w:tcBorders>
              <w:top w:val="nil"/>
              <w:left w:val="nil"/>
              <w:bottom w:val="nil"/>
              <w:right w:val="single" w:sz="4" w:space="0" w:color="000000"/>
            </w:tcBorders>
            <w:tcMar>
              <w:top w:w="100" w:type="dxa"/>
              <w:left w:w="100" w:type="dxa"/>
              <w:bottom w:w="100" w:type="dxa"/>
              <w:right w:w="100" w:type="dxa"/>
            </w:tcMar>
          </w:tcPr>
          <w:p w14:paraId="5A416082"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I am familiar with the different types of disabilities </w:t>
            </w:r>
            <w:r>
              <w:rPr>
                <w:rFonts w:ascii="Times New Roman" w:eastAsia="Times New Roman" w:hAnsi="Times New Roman" w:cs="Times New Roman"/>
                <w:sz w:val="24"/>
                <w:szCs w:val="24"/>
                <w:highlight w:val="white"/>
              </w:rPr>
              <w:t>that may require special educational needs.</w:t>
            </w:r>
          </w:p>
        </w:tc>
        <w:tc>
          <w:tcPr>
            <w:tcW w:w="1483" w:type="dxa"/>
            <w:tcBorders>
              <w:top w:val="nil"/>
              <w:left w:val="single" w:sz="4" w:space="0" w:color="000000"/>
              <w:bottom w:val="nil"/>
              <w:right w:val="nil"/>
            </w:tcBorders>
            <w:tcMar>
              <w:top w:w="100" w:type="dxa"/>
              <w:left w:w="100" w:type="dxa"/>
              <w:bottom w:w="100" w:type="dxa"/>
              <w:right w:w="100" w:type="dxa"/>
            </w:tcMar>
          </w:tcPr>
          <w:p w14:paraId="19204D92"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18 (28.1%)</w:t>
            </w:r>
          </w:p>
        </w:tc>
        <w:tc>
          <w:tcPr>
            <w:tcW w:w="1268" w:type="dxa"/>
            <w:tcBorders>
              <w:top w:val="nil"/>
              <w:left w:val="nil"/>
              <w:bottom w:val="nil"/>
              <w:right w:val="nil"/>
            </w:tcBorders>
            <w:tcMar>
              <w:top w:w="100" w:type="dxa"/>
              <w:left w:w="100" w:type="dxa"/>
              <w:bottom w:w="100" w:type="dxa"/>
              <w:right w:w="100" w:type="dxa"/>
            </w:tcMar>
          </w:tcPr>
          <w:p w14:paraId="074C9490"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34 (53%)</w:t>
            </w:r>
          </w:p>
        </w:tc>
        <w:tc>
          <w:tcPr>
            <w:tcW w:w="1339" w:type="dxa"/>
            <w:tcBorders>
              <w:top w:val="nil"/>
              <w:left w:val="nil"/>
              <w:bottom w:val="nil"/>
              <w:right w:val="nil"/>
            </w:tcBorders>
            <w:tcMar>
              <w:top w:w="100" w:type="dxa"/>
              <w:left w:w="100" w:type="dxa"/>
              <w:bottom w:w="100" w:type="dxa"/>
              <w:right w:w="100" w:type="dxa"/>
            </w:tcMar>
          </w:tcPr>
          <w:p w14:paraId="1FEC0678"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 (15.6%)</w:t>
            </w:r>
          </w:p>
        </w:tc>
        <w:tc>
          <w:tcPr>
            <w:tcW w:w="1440" w:type="dxa"/>
            <w:tcBorders>
              <w:top w:val="nil"/>
              <w:left w:val="nil"/>
              <w:bottom w:val="nil"/>
              <w:right w:val="nil"/>
            </w:tcBorders>
            <w:tcMar>
              <w:top w:w="100" w:type="dxa"/>
              <w:left w:w="100" w:type="dxa"/>
              <w:bottom w:w="100" w:type="dxa"/>
              <w:right w:w="100" w:type="dxa"/>
            </w:tcMar>
          </w:tcPr>
          <w:p w14:paraId="3CC0FF3D"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Nil</w:t>
            </w:r>
          </w:p>
        </w:tc>
        <w:tc>
          <w:tcPr>
            <w:tcW w:w="1368" w:type="dxa"/>
            <w:tcBorders>
              <w:top w:val="nil"/>
              <w:left w:val="nil"/>
              <w:bottom w:val="nil"/>
              <w:right w:val="nil"/>
            </w:tcBorders>
            <w:tcMar>
              <w:top w:w="100" w:type="dxa"/>
              <w:left w:w="100" w:type="dxa"/>
              <w:bottom w:w="100" w:type="dxa"/>
              <w:right w:w="100" w:type="dxa"/>
            </w:tcMar>
          </w:tcPr>
          <w:p w14:paraId="530C923D"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(3.1%)</w:t>
            </w:r>
          </w:p>
        </w:tc>
      </w:tr>
      <w:tr w:rsidR="00086A58" w14:paraId="10EFCFBC" w14:textId="77777777">
        <w:trPr>
          <w:trHeight w:val="1580"/>
        </w:trPr>
        <w:tc>
          <w:tcPr>
            <w:tcW w:w="2459" w:type="dxa"/>
            <w:tcBorders>
              <w:top w:val="nil"/>
              <w:left w:val="nil"/>
              <w:bottom w:val="nil"/>
              <w:right w:val="single" w:sz="4" w:space="0" w:color="000000"/>
            </w:tcBorders>
            <w:tcMar>
              <w:top w:w="100" w:type="dxa"/>
              <w:left w:w="100" w:type="dxa"/>
              <w:bottom w:w="100" w:type="dxa"/>
              <w:right w:w="100" w:type="dxa"/>
            </w:tcMar>
          </w:tcPr>
          <w:p w14:paraId="206C796A"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 am aware of the legal rights of children with special needs under the Nigerian educational policies.</w:t>
            </w:r>
          </w:p>
        </w:tc>
        <w:tc>
          <w:tcPr>
            <w:tcW w:w="1483" w:type="dxa"/>
            <w:tcBorders>
              <w:top w:val="nil"/>
              <w:left w:val="single" w:sz="4" w:space="0" w:color="000000"/>
              <w:bottom w:val="nil"/>
              <w:right w:val="nil"/>
            </w:tcBorders>
            <w:tcMar>
              <w:top w:w="100" w:type="dxa"/>
              <w:left w:w="100" w:type="dxa"/>
              <w:bottom w:w="100" w:type="dxa"/>
              <w:right w:w="100" w:type="dxa"/>
            </w:tcMar>
          </w:tcPr>
          <w:p w14:paraId="7C7AA8A7"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 (18.8%)</w:t>
            </w:r>
          </w:p>
        </w:tc>
        <w:tc>
          <w:tcPr>
            <w:tcW w:w="1268" w:type="dxa"/>
            <w:tcBorders>
              <w:top w:val="nil"/>
              <w:left w:val="nil"/>
              <w:bottom w:val="nil"/>
              <w:right w:val="nil"/>
            </w:tcBorders>
            <w:tcMar>
              <w:top w:w="100" w:type="dxa"/>
              <w:left w:w="100" w:type="dxa"/>
              <w:bottom w:w="100" w:type="dxa"/>
              <w:right w:w="100" w:type="dxa"/>
            </w:tcMar>
          </w:tcPr>
          <w:p w14:paraId="08A50402"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34 (53%)</w:t>
            </w:r>
          </w:p>
        </w:tc>
        <w:tc>
          <w:tcPr>
            <w:tcW w:w="1339" w:type="dxa"/>
            <w:tcBorders>
              <w:top w:val="nil"/>
              <w:left w:val="nil"/>
              <w:bottom w:val="nil"/>
              <w:right w:val="nil"/>
            </w:tcBorders>
            <w:tcMar>
              <w:top w:w="100" w:type="dxa"/>
              <w:left w:w="100" w:type="dxa"/>
              <w:bottom w:w="100" w:type="dxa"/>
              <w:right w:w="100" w:type="dxa"/>
            </w:tcMar>
          </w:tcPr>
          <w:p w14:paraId="3D978596"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 (25%)</w:t>
            </w:r>
          </w:p>
        </w:tc>
        <w:tc>
          <w:tcPr>
            <w:tcW w:w="1440" w:type="dxa"/>
            <w:tcBorders>
              <w:top w:val="nil"/>
              <w:left w:val="nil"/>
              <w:bottom w:val="nil"/>
              <w:right w:val="nil"/>
            </w:tcBorders>
            <w:tcMar>
              <w:top w:w="100" w:type="dxa"/>
              <w:left w:w="100" w:type="dxa"/>
              <w:bottom w:w="100" w:type="dxa"/>
              <w:right w:w="100" w:type="dxa"/>
            </w:tcMar>
          </w:tcPr>
          <w:p w14:paraId="78ECA28E"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Nil</w:t>
            </w:r>
          </w:p>
        </w:tc>
        <w:tc>
          <w:tcPr>
            <w:tcW w:w="1368" w:type="dxa"/>
            <w:tcBorders>
              <w:top w:val="nil"/>
              <w:left w:val="nil"/>
              <w:bottom w:val="nil"/>
              <w:right w:val="nil"/>
            </w:tcBorders>
            <w:tcMar>
              <w:top w:w="100" w:type="dxa"/>
              <w:left w:w="100" w:type="dxa"/>
              <w:bottom w:w="100" w:type="dxa"/>
              <w:right w:w="100" w:type="dxa"/>
            </w:tcMar>
          </w:tcPr>
          <w:p w14:paraId="29252456"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(3.1%)</w:t>
            </w:r>
          </w:p>
        </w:tc>
      </w:tr>
      <w:tr w:rsidR="00086A58" w14:paraId="5F87A683" w14:textId="77777777">
        <w:trPr>
          <w:trHeight w:val="1850"/>
        </w:trPr>
        <w:tc>
          <w:tcPr>
            <w:tcW w:w="2459" w:type="dxa"/>
            <w:tcBorders>
              <w:top w:val="nil"/>
              <w:left w:val="nil"/>
              <w:bottom w:val="nil"/>
              <w:right w:val="single" w:sz="4" w:space="0" w:color="000000"/>
            </w:tcBorders>
            <w:tcMar>
              <w:top w:w="100" w:type="dxa"/>
              <w:left w:w="100" w:type="dxa"/>
              <w:bottom w:w="100" w:type="dxa"/>
              <w:right w:w="100" w:type="dxa"/>
            </w:tcMar>
          </w:tcPr>
          <w:p w14:paraId="5B0126A1"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 can identify the </w:t>
            </w:r>
            <w:r>
              <w:rPr>
                <w:rFonts w:ascii="Times New Roman" w:eastAsia="Times New Roman" w:hAnsi="Times New Roman" w:cs="Times New Roman"/>
                <w:sz w:val="24"/>
                <w:szCs w:val="24"/>
                <w:highlight w:val="white"/>
              </w:rPr>
              <w:t>signs of different special needs in students, such as learning disabilities or emotional behavioral disorders.</w:t>
            </w:r>
          </w:p>
        </w:tc>
        <w:tc>
          <w:tcPr>
            <w:tcW w:w="1483" w:type="dxa"/>
            <w:tcBorders>
              <w:top w:val="nil"/>
              <w:left w:val="single" w:sz="4" w:space="0" w:color="000000"/>
              <w:bottom w:val="nil"/>
              <w:right w:val="nil"/>
            </w:tcBorders>
            <w:tcMar>
              <w:top w:w="100" w:type="dxa"/>
              <w:left w:w="100" w:type="dxa"/>
              <w:bottom w:w="100" w:type="dxa"/>
              <w:right w:w="100" w:type="dxa"/>
            </w:tcMar>
          </w:tcPr>
          <w:p w14:paraId="5633C554"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 (37.5%)</w:t>
            </w:r>
          </w:p>
        </w:tc>
        <w:tc>
          <w:tcPr>
            <w:tcW w:w="1268" w:type="dxa"/>
            <w:tcBorders>
              <w:top w:val="nil"/>
              <w:left w:val="nil"/>
              <w:bottom w:val="nil"/>
              <w:right w:val="nil"/>
            </w:tcBorders>
            <w:tcMar>
              <w:top w:w="100" w:type="dxa"/>
              <w:left w:w="100" w:type="dxa"/>
              <w:bottom w:w="100" w:type="dxa"/>
              <w:right w:w="100" w:type="dxa"/>
            </w:tcMar>
          </w:tcPr>
          <w:p w14:paraId="1B26155D"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 (43.8%)</w:t>
            </w:r>
          </w:p>
        </w:tc>
        <w:tc>
          <w:tcPr>
            <w:tcW w:w="1339" w:type="dxa"/>
            <w:tcBorders>
              <w:top w:val="nil"/>
              <w:left w:val="nil"/>
              <w:bottom w:val="nil"/>
              <w:right w:val="nil"/>
            </w:tcBorders>
            <w:tcMar>
              <w:top w:w="100" w:type="dxa"/>
              <w:left w:w="100" w:type="dxa"/>
              <w:bottom w:w="100" w:type="dxa"/>
              <w:right w:w="100" w:type="dxa"/>
            </w:tcMar>
          </w:tcPr>
          <w:p w14:paraId="1F0E4F34"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 (12.5%)</w:t>
            </w:r>
          </w:p>
        </w:tc>
        <w:tc>
          <w:tcPr>
            <w:tcW w:w="1440" w:type="dxa"/>
            <w:tcBorders>
              <w:top w:val="nil"/>
              <w:left w:val="nil"/>
              <w:bottom w:val="nil"/>
              <w:right w:val="nil"/>
            </w:tcBorders>
            <w:tcMar>
              <w:top w:w="100" w:type="dxa"/>
              <w:left w:w="100" w:type="dxa"/>
              <w:bottom w:w="100" w:type="dxa"/>
              <w:right w:w="100" w:type="dxa"/>
            </w:tcMar>
          </w:tcPr>
          <w:p w14:paraId="03013D22"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(6.3%)</w:t>
            </w:r>
          </w:p>
        </w:tc>
        <w:tc>
          <w:tcPr>
            <w:tcW w:w="1368" w:type="dxa"/>
            <w:tcBorders>
              <w:top w:val="nil"/>
              <w:left w:val="nil"/>
              <w:bottom w:val="nil"/>
              <w:right w:val="nil"/>
            </w:tcBorders>
            <w:tcMar>
              <w:top w:w="100" w:type="dxa"/>
              <w:left w:w="100" w:type="dxa"/>
              <w:bottom w:w="100" w:type="dxa"/>
              <w:right w:w="100" w:type="dxa"/>
            </w:tcMar>
          </w:tcPr>
          <w:p w14:paraId="61930084"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Nil</w:t>
            </w:r>
          </w:p>
        </w:tc>
      </w:tr>
      <w:tr w:rsidR="00086A58" w14:paraId="0CDFCCE0" w14:textId="77777777">
        <w:trPr>
          <w:trHeight w:val="1850"/>
        </w:trPr>
        <w:tc>
          <w:tcPr>
            <w:tcW w:w="2459" w:type="dxa"/>
            <w:tcBorders>
              <w:top w:val="nil"/>
              <w:left w:val="nil"/>
              <w:bottom w:val="single" w:sz="24" w:space="0" w:color="000000"/>
              <w:right w:val="single" w:sz="4" w:space="0" w:color="000000"/>
            </w:tcBorders>
            <w:tcMar>
              <w:top w:w="100" w:type="dxa"/>
              <w:left w:w="100" w:type="dxa"/>
              <w:bottom w:w="100" w:type="dxa"/>
              <w:right w:w="100" w:type="dxa"/>
            </w:tcMar>
          </w:tcPr>
          <w:p w14:paraId="720BE945"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 understand the importance of early identification and intervention for children with special </w:t>
            </w:r>
            <w:r>
              <w:rPr>
                <w:rFonts w:ascii="Times New Roman" w:eastAsia="Times New Roman" w:hAnsi="Times New Roman" w:cs="Times New Roman"/>
                <w:sz w:val="24"/>
                <w:szCs w:val="24"/>
                <w:highlight w:val="white"/>
              </w:rPr>
              <w:t>needs.</w:t>
            </w:r>
          </w:p>
        </w:tc>
        <w:tc>
          <w:tcPr>
            <w:tcW w:w="1483" w:type="dxa"/>
            <w:tcBorders>
              <w:top w:val="nil"/>
              <w:left w:val="single" w:sz="4" w:space="0" w:color="000000"/>
              <w:bottom w:val="single" w:sz="24" w:space="0" w:color="000000"/>
              <w:right w:val="nil"/>
            </w:tcBorders>
            <w:tcMar>
              <w:top w:w="100" w:type="dxa"/>
              <w:left w:w="100" w:type="dxa"/>
              <w:bottom w:w="100" w:type="dxa"/>
              <w:right w:w="100" w:type="dxa"/>
            </w:tcMar>
          </w:tcPr>
          <w:p w14:paraId="4E00FBAB"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34 (56.3%)</w:t>
            </w:r>
          </w:p>
        </w:tc>
        <w:tc>
          <w:tcPr>
            <w:tcW w:w="1268" w:type="dxa"/>
            <w:tcBorders>
              <w:top w:val="nil"/>
              <w:left w:val="nil"/>
              <w:bottom w:val="single" w:sz="24" w:space="0" w:color="000000"/>
              <w:right w:val="nil"/>
            </w:tcBorders>
            <w:tcMar>
              <w:top w:w="100" w:type="dxa"/>
              <w:left w:w="100" w:type="dxa"/>
              <w:bottom w:w="100" w:type="dxa"/>
              <w:right w:w="100" w:type="dxa"/>
            </w:tcMar>
          </w:tcPr>
          <w:p w14:paraId="16C3B5DA"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 (43.8%)</w:t>
            </w:r>
          </w:p>
        </w:tc>
        <w:tc>
          <w:tcPr>
            <w:tcW w:w="1339" w:type="dxa"/>
            <w:tcBorders>
              <w:top w:val="nil"/>
              <w:left w:val="nil"/>
              <w:bottom w:val="single" w:sz="24" w:space="0" w:color="000000"/>
              <w:right w:val="nil"/>
            </w:tcBorders>
            <w:tcMar>
              <w:top w:w="100" w:type="dxa"/>
              <w:left w:w="100" w:type="dxa"/>
              <w:bottom w:w="100" w:type="dxa"/>
              <w:right w:w="100" w:type="dxa"/>
            </w:tcMar>
          </w:tcPr>
          <w:p w14:paraId="6D2420CB"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Nil</w:t>
            </w:r>
          </w:p>
        </w:tc>
        <w:tc>
          <w:tcPr>
            <w:tcW w:w="1440" w:type="dxa"/>
            <w:tcBorders>
              <w:top w:val="nil"/>
              <w:left w:val="nil"/>
              <w:bottom w:val="single" w:sz="24" w:space="0" w:color="000000"/>
              <w:right w:val="nil"/>
            </w:tcBorders>
            <w:tcMar>
              <w:top w:w="100" w:type="dxa"/>
              <w:left w:w="100" w:type="dxa"/>
              <w:bottom w:w="100" w:type="dxa"/>
              <w:right w:w="100" w:type="dxa"/>
            </w:tcMar>
          </w:tcPr>
          <w:p w14:paraId="1E0AF938"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Nil</w:t>
            </w:r>
          </w:p>
        </w:tc>
        <w:tc>
          <w:tcPr>
            <w:tcW w:w="1368" w:type="dxa"/>
            <w:tcBorders>
              <w:top w:val="nil"/>
              <w:left w:val="nil"/>
              <w:bottom w:val="single" w:sz="24" w:space="0" w:color="000000"/>
              <w:right w:val="nil"/>
            </w:tcBorders>
            <w:tcMar>
              <w:top w:w="100" w:type="dxa"/>
              <w:left w:w="100" w:type="dxa"/>
              <w:bottom w:w="100" w:type="dxa"/>
              <w:right w:w="100" w:type="dxa"/>
            </w:tcMar>
          </w:tcPr>
          <w:p w14:paraId="26079B5C"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Nil</w:t>
            </w:r>
          </w:p>
        </w:tc>
      </w:tr>
    </w:tbl>
    <w:p w14:paraId="00C3668D" w14:textId="77777777" w:rsidR="00086A58" w:rsidRDefault="00086A58">
      <w:pPr>
        <w:spacing w:before="240" w:after="240"/>
        <w:jc w:val="both"/>
        <w:rPr>
          <w:rFonts w:ascii="Times New Roman" w:eastAsia="Times New Roman" w:hAnsi="Times New Roman" w:cs="Times New Roman"/>
          <w:b/>
          <w:bCs/>
          <w:sz w:val="24"/>
          <w:szCs w:val="24"/>
          <w:highlight w:val="white"/>
        </w:rPr>
      </w:pPr>
    </w:p>
    <w:p w14:paraId="6341D309" w14:textId="77777777" w:rsidR="00086A58" w:rsidRDefault="009B1C7A">
      <w:pPr>
        <w:numPr>
          <w:ilvl w:val="0"/>
          <w:numId w:val="4"/>
        </w:num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Strategies for Supporting Children with Special Needs</w:t>
      </w:r>
    </w:p>
    <w:p w14:paraId="6F49F9BA"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participants demonstrated a solid knowledge of various strategies for supporting children with special needs in the classroom. A majority of respondents (75%) were familiar with one-on-one tutoring or support, and a significant proportion (68.8%) were </w:t>
      </w:r>
      <w:r>
        <w:rPr>
          <w:rFonts w:ascii="Times New Roman" w:eastAsia="Times New Roman" w:hAnsi="Times New Roman" w:cs="Times New Roman"/>
          <w:sz w:val="24"/>
          <w:szCs w:val="24"/>
          <w:highlight w:val="white"/>
        </w:rPr>
        <w:t xml:space="preserve">knowledgeable about visual aids and graphic organizers. Other commonly known strategies included collaborative learning with peers (65.6%) and adapting lesson content for different learning levels (65.6%). Providing flexible </w:t>
      </w:r>
      <w:r>
        <w:rPr>
          <w:rFonts w:ascii="Times New Roman" w:eastAsia="Times New Roman" w:hAnsi="Times New Roman" w:cs="Times New Roman"/>
          <w:sz w:val="24"/>
          <w:szCs w:val="24"/>
          <w:highlight w:val="white"/>
        </w:rPr>
        <w:lastRenderedPageBreak/>
        <w:t>assessment options was the most</w:t>
      </w:r>
      <w:r>
        <w:rPr>
          <w:rFonts w:ascii="Times New Roman" w:eastAsia="Times New Roman" w:hAnsi="Times New Roman" w:cs="Times New Roman"/>
          <w:sz w:val="24"/>
          <w:szCs w:val="24"/>
          <w:highlight w:val="white"/>
        </w:rPr>
        <w:t xml:space="preserve"> recognized strategy, with 78.1% of teachers indicating familiarity. However, a few strategies, such as speech recognition software (56.3%) and screen readers and text-to-speech software (59.4%), had a lower rate of familiarity. These findings highlight th</w:t>
      </w:r>
      <w:r>
        <w:rPr>
          <w:rFonts w:ascii="Times New Roman" w:eastAsia="Times New Roman" w:hAnsi="Times New Roman" w:cs="Times New Roman"/>
          <w:sz w:val="24"/>
          <w:szCs w:val="24"/>
          <w:highlight w:val="white"/>
        </w:rPr>
        <w:t>e importance of further professional development in certain areas to enhance teachers' ability to support children with special needs effectively (see Table 4).</w:t>
      </w:r>
    </w:p>
    <w:p w14:paraId="03FE4ABC" w14:textId="77777777" w:rsidR="00086A58" w:rsidRDefault="009B1C7A">
      <w:pPr>
        <w:spacing w:before="240" w:after="240"/>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Table 4: Teachers’ familiarity with instructional and support strategies for learners with spec</w:t>
      </w:r>
      <w:r>
        <w:rPr>
          <w:rFonts w:ascii="Times New Roman" w:eastAsia="Times New Roman" w:hAnsi="Times New Roman" w:cs="Times New Roman"/>
          <w:b/>
          <w:bCs/>
          <w:i/>
          <w:iCs/>
          <w:sz w:val="24"/>
          <w:szCs w:val="24"/>
          <w:highlight w:val="white"/>
        </w:rPr>
        <w:t>ial needs</w:t>
      </w:r>
    </w:p>
    <w:tbl>
      <w:tblPr>
        <w:tblStyle w:val="a8"/>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45"/>
        <w:gridCol w:w="2520"/>
        <w:gridCol w:w="1995"/>
      </w:tblGrid>
      <w:tr w:rsidR="00086A58" w14:paraId="4DEEC31A" w14:textId="77777777">
        <w:trPr>
          <w:trHeight w:val="770"/>
        </w:trPr>
        <w:tc>
          <w:tcPr>
            <w:tcW w:w="4845" w:type="dxa"/>
            <w:tcBorders>
              <w:top w:val="single" w:sz="24" w:space="0" w:color="000000"/>
              <w:left w:val="nil"/>
              <w:bottom w:val="single" w:sz="24" w:space="0" w:color="000000"/>
              <w:right w:val="single" w:sz="4" w:space="0" w:color="000000"/>
            </w:tcBorders>
            <w:tcMar>
              <w:top w:w="100" w:type="dxa"/>
              <w:left w:w="100" w:type="dxa"/>
              <w:bottom w:w="100" w:type="dxa"/>
              <w:right w:w="100" w:type="dxa"/>
            </w:tcMar>
          </w:tcPr>
          <w:p w14:paraId="4D85D301"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Questions</w:t>
            </w:r>
          </w:p>
        </w:tc>
        <w:tc>
          <w:tcPr>
            <w:tcW w:w="2520" w:type="dxa"/>
            <w:tcBorders>
              <w:top w:val="single" w:sz="24" w:space="0" w:color="000000"/>
              <w:left w:val="single" w:sz="4" w:space="0" w:color="000000"/>
              <w:bottom w:val="single" w:sz="24" w:space="0" w:color="000000"/>
              <w:right w:val="nil"/>
            </w:tcBorders>
            <w:tcMar>
              <w:top w:w="100" w:type="dxa"/>
              <w:left w:w="100" w:type="dxa"/>
              <w:bottom w:w="100" w:type="dxa"/>
              <w:right w:w="100" w:type="dxa"/>
            </w:tcMar>
          </w:tcPr>
          <w:p w14:paraId="21FCBCDC" w14:textId="77777777" w:rsidR="00086A58" w:rsidRDefault="009B1C7A">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Responses</w:t>
            </w:r>
          </w:p>
        </w:tc>
        <w:tc>
          <w:tcPr>
            <w:tcW w:w="1995" w:type="dxa"/>
            <w:tcBorders>
              <w:top w:val="single" w:sz="24" w:space="0" w:color="000000"/>
              <w:left w:val="nil"/>
              <w:bottom w:val="single" w:sz="24" w:space="0" w:color="000000"/>
              <w:right w:val="nil"/>
            </w:tcBorders>
            <w:tcMar>
              <w:top w:w="100" w:type="dxa"/>
              <w:left w:w="100" w:type="dxa"/>
              <w:bottom w:w="100" w:type="dxa"/>
              <w:right w:w="100" w:type="dxa"/>
            </w:tcMar>
          </w:tcPr>
          <w:p w14:paraId="77E6022F" w14:textId="77777777" w:rsidR="00086A58" w:rsidRDefault="00086A58">
            <w:pPr>
              <w:spacing w:before="240" w:after="240"/>
              <w:jc w:val="both"/>
              <w:rPr>
                <w:rFonts w:ascii="Times New Roman" w:eastAsia="Times New Roman" w:hAnsi="Times New Roman" w:cs="Times New Roman"/>
                <w:b/>
                <w:bCs/>
                <w:sz w:val="24"/>
                <w:szCs w:val="24"/>
                <w:highlight w:val="white"/>
              </w:rPr>
            </w:pPr>
          </w:p>
        </w:tc>
      </w:tr>
      <w:tr w:rsidR="00086A58" w14:paraId="0C63295F" w14:textId="77777777">
        <w:trPr>
          <w:trHeight w:val="770"/>
        </w:trPr>
        <w:tc>
          <w:tcPr>
            <w:tcW w:w="4845" w:type="dxa"/>
            <w:tcBorders>
              <w:top w:val="single" w:sz="24" w:space="0" w:color="000000"/>
              <w:left w:val="nil"/>
              <w:bottom w:val="nil"/>
              <w:right w:val="single" w:sz="4" w:space="0" w:color="000000"/>
            </w:tcBorders>
            <w:tcMar>
              <w:top w:w="100" w:type="dxa"/>
              <w:left w:w="100" w:type="dxa"/>
              <w:bottom w:w="100" w:type="dxa"/>
              <w:right w:w="100" w:type="dxa"/>
            </w:tcMar>
          </w:tcPr>
          <w:p w14:paraId="5BBFAA5D" w14:textId="77777777" w:rsidR="00086A58" w:rsidRDefault="00086A58">
            <w:pPr>
              <w:spacing w:before="240" w:after="240"/>
              <w:jc w:val="both"/>
              <w:rPr>
                <w:rFonts w:ascii="Times New Roman" w:eastAsia="Times New Roman" w:hAnsi="Times New Roman" w:cs="Times New Roman"/>
                <w:b/>
                <w:bCs/>
                <w:sz w:val="24"/>
                <w:szCs w:val="24"/>
                <w:highlight w:val="white"/>
              </w:rPr>
            </w:pPr>
          </w:p>
        </w:tc>
        <w:tc>
          <w:tcPr>
            <w:tcW w:w="2520" w:type="dxa"/>
            <w:tcBorders>
              <w:top w:val="single" w:sz="24" w:space="0" w:color="000000"/>
              <w:left w:val="single" w:sz="4" w:space="0" w:color="000000"/>
              <w:bottom w:val="nil"/>
              <w:right w:val="nil"/>
            </w:tcBorders>
            <w:tcMar>
              <w:top w:w="100" w:type="dxa"/>
              <w:left w:w="100" w:type="dxa"/>
              <w:bottom w:w="100" w:type="dxa"/>
              <w:right w:w="100" w:type="dxa"/>
            </w:tcMar>
          </w:tcPr>
          <w:p w14:paraId="62F79D88" w14:textId="77777777" w:rsidR="00086A58" w:rsidRDefault="009B1C7A">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Yes (Number, %)</w:t>
            </w:r>
          </w:p>
        </w:tc>
        <w:tc>
          <w:tcPr>
            <w:tcW w:w="1995" w:type="dxa"/>
            <w:tcBorders>
              <w:top w:val="single" w:sz="24" w:space="0" w:color="000000"/>
              <w:left w:val="nil"/>
              <w:bottom w:val="nil"/>
              <w:right w:val="nil"/>
            </w:tcBorders>
            <w:tcMar>
              <w:top w:w="100" w:type="dxa"/>
              <w:left w:w="100" w:type="dxa"/>
              <w:bottom w:w="100" w:type="dxa"/>
              <w:right w:w="100" w:type="dxa"/>
            </w:tcMar>
          </w:tcPr>
          <w:p w14:paraId="50634BE3" w14:textId="77777777" w:rsidR="00086A58" w:rsidRDefault="009B1C7A">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No (Number, %)</w:t>
            </w:r>
          </w:p>
        </w:tc>
      </w:tr>
      <w:tr w:rsidR="00086A58" w14:paraId="69F10FDC" w14:textId="77777777">
        <w:trPr>
          <w:trHeight w:val="500"/>
        </w:trPr>
        <w:tc>
          <w:tcPr>
            <w:tcW w:w="4845" w:type="dxa"/>
            <w:tcBorders>
              <w:top w:val="nil"/>
              <w:left w:val="nil"/>
              <w:bottom w:val="nil"/>
              <w:right w:val="single" w:sz="4" w:space="0" w:color="000000"/>
            </w:tcBorders>
            <w:tcMar>
              <w:top w:w="100" w:type="dxa"/>
              <w:left w:w="100" w:type="dxa"/>
              <w:bottom w:w="100" w:type="dxa"/>
              <w:right w:w="100" w:type="dxa"/>
            </w:tcMar>
          </w:tcPr>
          <w:p w14:paraId="5336D62F"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Visual aids and graphic organizers</w:t>
            </w:r>
          </w:p>
        </w:tc>
        <w:tc>
          <w:tcPr>
            <w:tcW w:w="2520" w:type="dxa"/>
            <w:tcBorders>
              <w:top w:val="nil"/>
              <w:left w:val="single" w:sz="4" w:space="0" w:color="000000"/>
              <w:bottom w:val="nil"/>
              <w:right w:val="nil"/>
            </w:tcBorders>
            <w:tcMar>
              <w:top w:w="100" w:type="dxa"/>
              <w:left w:w="100" w:type="dxa"/>
              <w:bottom w:w="100" w:type="dxa"/>
              <w:right w:w="100" w:type="dxa"/>
            </w:tcMar>
          </w:tcPr>
          <w:p w14:paraId="79C3BD82"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44 (68.8%)</w:t>
            </w:r>
          </w:p>
        </w:tc>
        <w:tc>
          <w:tcPr>
            <w:tcW w:w="1995" w:type="dxa"/>
            <w:tcBorders>
              <w:top w:val="nil"/>
              <w:left w:val="nil"/>
              <w:bottom w:val="nil"/>
              <w:right w:val="nil"/>
            </w:tcBorders>
            <w:tcMar>
              <w:top w:w="100" w:type="dxa"/>
              <w:left w:w="100" w:type="dxa"/>
              <w:bottom w:w="100" w:type="dxa"/>
              <w:right w:w="100" w:type="dxa"/>
            </w:tcMar>
          </w:tcPr>
          <w:p w14:paraId="654A2EC4"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 (31.2%)</w:t>
            </w:r>
          </w:p>
        </w:tc>
      </w:tr>
      <w:tr w:rsidR="00086A58" w14:paraId="54455F4C" w14:textId="77777777">
        <w:trPr>
          <w:trHeight w:val="500"/>
        </w:trPr>
        <w:tc>
          <w:tcPr>
            <w:tcW w:w="4845" w:type="dxa"/>
            <w:tcBorders>
              <w:top w:val="nil"/>
              <w:left w:val="nil"/>
              <w:bottom w:val="nil"/>
              <w:right w:val="single" w:sz="4" w:space="0" w:color="000000"/>
            </w:tcBorders>
            <w:tcMar>
              <w:top w:w="100" w:type="dxa"/>
              <w:left w:w="100" w:type="dxa"/>
              <w:bottom w:w="100" w:type="dxa"/>
              <w:right w:w="100" w:type="dxa"/>
            </w:tcMar>
          </w:tcPr>
          <w:p w14:paraId="5FFA5206"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Small group instruction</w:t>
            </w:r>
          </w:p>
        </w:tc>
        <w:tc>
          <w:tcPr>
            <w:tcW w:w="2520" w:type="dxa"/>
            <w:tcBorders>
              <w:top w:val="nil"/>
              <w:left w:val="single" w:sz="4" w:space="0" w:color="000000"/>
              <w:bottom w:val="nil"/>
              <w:right w:val="nil"/>
            </w:tcBorders>
            <w:tcMar>
              <w:top w:w="100" w:type="dxa"/>
              <w:left w:w="100" w:type="dxa"/>
              <w:bottom w:w="100" w:type="dxa"/>
              <w:right w:w="100" w:type="dxa"/>
            </w:tcMar>
          </w:tcPr>
          <w:p w14:paraId="212987A0"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36 (56.3%)</w:t>
            </w:r>
          </w:p>
        </w:tc>
        <w:tc>
          <w:tcPr>
            <w:tcW w:w="1995" w:type="dxa"/>
            <w:tcBorders>
              <w:top w:val="nil"/>
              <w:left w:val="nil"/>
              <w:bottom w:val="nil"/>
              <w:right w:val="nil"/>
            </w:tcBorders>
            <w:tcMar>
              <w:top w:w="100" w:type="dxa"/>
              <w:left w:w="100" w:type="dxa"/>
              <w:bottom w:w="100" w:type="dxa"/>
              <w:right w:w="100" w:type="dxa"/>
            </w:tcMar>
          </w:tcPr>
          <w:p w14:paraId="5144B7A0"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 (43.8%)</w:t>
            </w:r>
          </w:p>
        </w:tc>
      </w:tr>
      <w:tr w:rsidR="00086A58" w14:paraId="77068DCA" w14:textId="77777777">
        <w:trPr>
          <w:trHeight w:val="500"/>
        </w:trPr>
        <w:tc>
          <w:tcPr>
            <w:tcW w:w="4845" w:type="dxa"/>
            <w:tcBorders>
              <w:top w:val="nil"/>
              <w:left w:val="nil"/>
              <w:bottom w:val="nil"/>
              <w:right w:val="single" w:sz="4" w:space="0" w:color="000000"/>
            </w:tcBorders>
            <w:tcMar>
              <w:top w:w="100" w:type="dxa"/>
              <w:left w:w="100" w:type="dxa"/>
              <w:bottom w:w="100" w:type="dxa"/>
              <w:right w:w="100" w:type="dxa"/>
            </w:tcMar>
          </w:tcPr>
          <w:p w14:paraId="0465CF37"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One-on-one tutoring or support</w:t>
            </w:r>
          </w:p>
        </w:tc>
        <w:tc>
          <w:tcPr>
            <w:tcW w:w="2520" w:type="dxa"/>
            <w:tcBorders>
              <w:top w:val="nil"/>
              <w:left w:val="single" w:sz="4" w:space="0" w:color="000000"/>
              <w:bottom w:val="nil"/>
              <w:right w:val="nil"/>
            </w:tcBorders>
            <w:tcMar>
              <w:top w:w="100" w:type="dxa"/>
              <w:left w:w="100" w:type="dxa"/>
              <w:bottom w:w="100" w:type="dxa"/>
              <w:right w:w="100" w:type="dxa"/>
            </w:tcMar>
          </w:tcPr>
          <w:p w14:paraId="50CB13F9"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48 (75%)</w:t>
            </w:r>
          </w:p>
        </w:tc>
        <w:tc>
          <w:tcPr>
            <w:tcW w:w="1995" w:type="dxa"/>
            <w:tcBorders>
              <w:top w:val="nil"/>
              <w:left w:val="nil"/>
              <w:bottom w:val="nil"/>
              <w:right w:val="nil"/>
            </w:tcBorders>
            <w:tcMar>
              <w:top w:w="100" w:type="dxa"/>
              <w:left w:w="100" w:type="dxa"/>
              <w:bottom w:w="100" w:type="dxa"/>
              <w:right w:w="100" w:type="dxa"/>
            </w:tcMar>
          </w:tcPr>
          <w:p w14:paraId="19CA0AA1"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 (25.0%)</w:t>
            </w:r>
          </w:p>
        </w:tc>
      </w:tr>
      <w:tr w:rsidR="00086A58" w14:paraId="043C85B2" w14:textId="77777777">
        <w:trPr>
          <w:trHeight w:val="500"/>
        </w:trPr>
        <w:tc>
          <w:tcPr>
            <w:tcW w:w="4845" w:type="dxa"/>
            <w:tcBorders>
              <w:top w:val="nil"/>
              <w:left w:val="nil"/>
              <w:bottom w:val="nil"/>
              <w:right w:val="single" w:sz="4" w:space="0" w:color="000000"/>
            </w:tcBorders>
            <w:tcMar>
              <w:top w:w="100" w:type="dxa"/>
              <w:left w:w="100" w:type="dxa"/>
              <w:bottom w:w="100" w:type="dxa"/>
              <w:right w:w="100" w:type="dxa"/>
            </w:tcMar>
          </w:tcPr>
          <w:p w14:paraId="517A6D47"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Collaborative learning with peers</w:t>
            </w:r>
          </w:p>
        </w:tc>
        <w:tc>
          <w:tcPr>
            <w:tcW w:w="2520" w:type="dxa"/>
            <w:tcBorders>
              <w:top w:val="nil"/>
              <w:left w:val="single" w:sz="4" w:space="0" w:color="000000"/>
              <w:bottom w:val="nil"/>
              <w:right w:val="nil"/>
            </w:tcBorders>
            <w:tcMar>
              <w:top w:w="100" w:type="dxa"/>
              <w:left w:w="100" w:type="dxa"/>
              <w:bottom w:w="100" w:type="dxa"/>
              <w:right w:w="100" w:type="dxa"/>
            </w:tcMar>
          </w:tcPr>
          <w:p w14:paraId="60BF1009"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42 (65.6%)</w:t>
            </w:r>
          </w:p>
        </w:tc>
        <w:tc>
          <w:tcPr>
            <w:tcW w:w="1995" w:type="dxa"/>
            <w:tcBorders>
              <w:top w:val="nil"/>
              <w:left w:val="nil"/>
              <w:bottom w:val="nil"/>
              <w:right w:val="nil"/>
            </w:tcBorders>
            <w:tcMar>
              <w:top w:w="100" w:type="dxa"/>
              <w:left w:w="100" w:type="dxa"/>
              <w:bottom w:w="100" w:type="dxa"/>
              <w:right w:w="100" w:type="dxa"/>
            </w:tcMar>
          </w:tcPr>
          <w:p w14:paraId="1CD721E8"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22 (34.4%)</w:t>
            </w:r>
          </w:p>
        </w:tc>
      </w:tr>
      <w:tr w:rsidR="00086A58" w14:paraId="6BE7D079" w14:textId="77777777">
        <w:trPr>
          <w:trHeight w:val="500"/>
        </w:trPr>
        <w:tc>
          <w:tcPr>
            <w:tcW w:w="4845" w:type="dxa"/>
            <w:tcBorders>
              <w:top w:val="nil"/>
              <w:left w:val="nil"/>
              <w:bottom w:val="nil"/>
              <w:right w:val="single" w:sz="4" w:space="0" w:color="000000"/>
            </w:tcBorders>
            <w:tcMar>
              <w:top w:w="100" w:type="dxa"/>
              <w:left w:w="100" w:type="dxa"/>
              <w:bottom w:w="100" w:type="dxa"/>
              <w:right w:w="100" w:type="dxa"/>
            </w:tcMar>
          </w:tcPr>
          <w:p w14:paraId="20E1AAEC"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Positive behavior reinforcement strategies</w:t>
            </w:r>
          </w:p>
        </w:tc>
        <w:tc>
          <w:tcPr>
            <w:tcW w:w="2520" w:type="dxa"/>
            <w:tcBorders>
              <w:top w:val="nil"/>
              <w:left w:val="single" w:sz="4" w:space="0" w:color="000000"/>
              <w:bottom w:val="nil"/>
              <w:right w:val="nil"/>
            </w:tcBorders>
            <w:tcMar>
              <w:top w:w="100" w:type="dxa"/>
              <w:left w:w="100" w:type="dxa"/>
              <w:bottom w:w="100" w:type="dxa"/>
              <w:right w:w="100" w:type="dxa"/>
            </w:tcMar>
          </w:tcPr>
          <w:p w14:paraId="0C66EE7D"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40 (62.5%)</w:t>
            </w:r>
          </w:p>
        </w:tc>
        <w:tc>
          <w:tcPr>
            <w:tcW w:w="1995" w:type="dxa"/>
            <w:tcBorders>
              <w:top w:val="nil"/>
              <w:left w:val="nil"/>
              <w:bottom w:val="nil"/>
              <w:right w:val="nil"/>
            </w:tcBorders>
            <w:tcMar>
              <w:top w:w="100" w:type="dxa"/>
              <w:left w:w="100" w:type="dxa"/>
              <w:bottom w:w="100" w:type="dxa"/>
              <w:right w:w="100" w:type="dxa"/>
            </w:tcMar>
          </w:tcPr>
          <w:p w14:paraId="63D7E136"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 (37.5%)</w:t>
            </w:r>
          </w:p>
        </w:tc>
      </w:tr>
      <w:tr w:rsidR="00086A58" w14:paraId="3208C0BE" w14:textId="77777777">
        <w:trPr>
          <w:trHeight w:val="500"/>
        </w:trPr>
        <w:tc>
          <w:tcPr>
            <w:tcW w:w="4845" w:type="dxa"/>
            <w:tcBorders>
              <w:top w:val="nil"/>
              <w:left w:val="nil"/>
              <w:bottom w:val="nil"/>
              <w:right w:val="single" w:sz="4" w:space="0" w:color="000000"/>
            </w:tcBorders>
            <w:tcMar>
              <w:top w:w="100" w:type="dxa"/>
              <w:left w:w="100" w:type="dxa"/>
              <w:bottom w:w="100" w:type="dxa"/>
              <w:right w:w="100" w:type="dxa"/>
            </w:tcMar>
          </w:tcPr>
          <w:p w14:paraId="37359576"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Adapting lesson content for different learning levels</w:t>
            </w:r>
          </w:p>
        </w:tc>
        <w:tc>
          <w:tcPr>
            <w:tcW w:w="2520" w:type="dxa"/>
            <w:tcBorders>
              <w:top w:val="nil"/>
              <w:left w:val="single" w:sz="4" w:space="0" w:color="000000"/>
              <w:bottom w:val="nil"/>
              <w:right w:val="nil"/>
            </w:tcBorders>
            <w:tcMar>
              <w:top w:w="100" w:type="dxa"/>
              <w:left w:w="100" w:type="dxa"/>
              <w:bottom w:w="100" w:type="dxa"/>
              <w:right w:w="100" w:type="dxa"/>
            </w:tcMar>
          </w:tcPr>
          <w:p w14:paraId="1DB3B21A"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42 (65.6%)</w:t>
            </w:r>
          </w:p>
        </w:tc>
        <w:tc>
          <w:tcPr>
            <w:tcW w:w="1995" w:type="dxa"/>
            <w:tcBorders>
              <w:top w:val="nil"/>
              <w:left w:val="nil"/>
              <w:bottom w:val="nil"/>
              <w:right w:val="nil"/>
            </w:tcBorders>
            <w:tcMar>
              <w:top w:w="100" w:type="dxa"/>
              <w:left w:w="100" w:type="dxa"/>
              <w:bottom w:w="100" w:type="dxa"/>
              <w:right w:w="100" w:type="dxa"/>
            </w:tcMar>
          </w:tcPr>
          <w:p w14:paraId="11C447F2"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22 (34.4%)</w:t>
            </w:r>
          </w:p>
        </w:tc>
      </w:tr>
      <w:tr w:rsidR="00086A58" w14:paraId="4C5EBC38" w14:textId="77777777">
        <w:trPr>
          <w:trHeight w:val="500"/>
        </w:trPr>
        <w:tc>
          <w:tcPr>
            <w:tcW w:w="4845" w:type="dxa"/>
            <w:tcBorders>
              <w:top w:val="nil"/>
              <w:left w:val="nil"/>
              <w:bottom w:val="nil"/>
              <w:right w:val="single" w:sz="4" w:space="0" w:color="000000"/>
            </w:tcBorders>
            <w:tcMar>
              <w:top w:w="100" w:type="dxa"/>
              <w:left w:w="100" w:type="dxa"/>
              <w:bottom w:w="100" w:type="dxa"/>
              <w:right w:w="100" w:type="dxa"/>
            </w:tcMar>
          </w:tcPr>
          <w:p w14:paraId="14D70AD9"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Providing flexible assessment options</w:t>
            </w:r>
          </w:p>
        </w:tc>
        <w:tc>
          <w:tcPr>
            <w:tcW w:w="2520" w:type="dxa"/>
            <w:tcBorders>
              <w:top w:val="nil"/>
              <w:left w:val="single" w:sz="4" w:space="0" w:color="000000"/>
              <w:bottom w:val="nil"/>
              <w:right w:val="nil"/>
            </w:tcBorders>
            <w:tcMar>
              <w:top w:w="100" w:type="dxa"/>
              <w:left w:w="100" w:type="dxa"/>
              <w:bottom w:w="100" w:type="dxa"/>
              <w:right w:w="100" w:type="dxa"/>
            </w:tcMar>
          </w:tcPr>
          <w:p w14:paraId="18C7E7CC"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50 (78.1%)</w:t>
            </w:r>
          </w:p>
        </w:tc>
        <w:tc>
          <w:tcPr>
            <w:tcW w:w="1995" w:type="dxa"/>
            <w:tcBorders>
              <w:top w:val="nil"/>
              <w:left w:val="nil"/>
              <w:bottom w:val="nil"/>
              <w:right w:val="nil"/>
            </w:tcBorders>
            <w:tcMar>
              <w:top w:w="100" w:type="dxa"/>
              <w:left w:w="100" w:type="dxa"/>
              <w:bottom w:w="100" w:type="dxa"/>
              <w:right w:w="100" w:type="dxa"/>
            </w:tcMar>
          </w:tcPr>
          <w:p w14:paraId="48144318"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14 (21.9%)</w:t>
            </w:r>
          </w:p>
        </w:tc>
      </w:tr>
      <w:tr w:rsidR="00086A58" w14:paraId="6259A5C3" w14:textId="77777777">
        <w:trPr>
          <w:trHeight w:val="500"/>
        </w:trPr>
        <w:tc>
          <w:tcPr>
            <w:tcW w:w="4845" w:type="dxa"/>
            <w:tcBorders>
              <w:top w:val="nil"/>
              <w:left w:val="nil"/>
              <w:bottom w:val="nil"/>
              <w:right w:val="single" w:sz="4" w:space="0" w:color="000000"/>
            </w:tcBorders>
            <w:tcMar>
              <w:top w:w="100" w:type="dxa"/>
              <w:left w:w="100" w:type="dxa"/>
              <w:bottom w:w="100" w:type="dxa"/>
              <w:right w:w="100" w:type="dxa"/>
            </w:tcMar>
          </w:tcPr>
          <w:p w14:paraId="69679BA4"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Offering extra time for </w:t>
            </w:r>
            <w:r>
              <w:rPr>
                <w:rFonts w:ascii="Times New Roman" w:eastAsia="Times New Roman" w:hAnsi="Times New Roman" w:cs="Times New Roman"/>
                <w:sz w:val="24"/>
                <w:szCs w:val="24"/>
                <w:highlight w:val="white"/>
              </w:rPr>
              <w:t>assignments and tests</w:t>
            </w:r>
          </w:p>
        </w:tc>
        <w:tc>
          <w:tcPr>
            <w:tcW w:w="2520" w:type="dxa"/>
            <w:tcBorders>
              <w:top w:val="nil"/>
              <w:left w:val="single" w:sz="4" w:space="0" w:color="000000"/>
              <w:bottom w:val="nil"/>
              <w:right w:val="nil"/>
            </w:tcBorders>
            <w:tcMar>
              <w:top w:w="100" w:type="dxa"/>
              <w:left w:w="100" w:type="dxa"/>
              <w:bottom w:w="100" w:type="dxa"/>
              <w:right w:w="100" w:type="dxa"/>
            </w:tcMar>
          </w:tcPr>
          <w:p w14:paraId="46CAC09D"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38 (59.4%)</w:t>
            </w:r>
          </w:p>
        </w:tc>
        <w:tc>
          <w:tcPr>
            <w:tcW w:w="1995" w:type="dxa"/>
            <w:tcBorders>
              <w:top w:val="nil"/>
              <w:left w:val="nil"/>
              <w:bottom w:val="nil"/>
              <w:right w:val="nil"/>
            </w:tcBorders>
            <w:tcMar>
              <w:top w:w="100" w:type="dxa"/>
              <w:left w:w="100" w:type="dxa"/>
              <w:bottom w:w="100" w:type="dxa"/>
              <w:right w:w="100" w:type="dxa"/>
            </w:tcMar>
          </w:tcPr>
          <w:p w14:paraId="6B4C1F4C"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 (40.6%)</w:t>
            </w:r>
          </w:p>
        </w:tc>
      </w:tr>
      <w:tr w:rsidR="00086A58" w14:paraId="6623B78C" w14:textId="77777777">
        <w:trPr>
          <w:trHeight w:val="770"/>
        </w:trPr>
        <w:tc>
          <w:tcPr>
            <w:tcW w:w="4845" w:type="dxa"/>
            <w:tcBorders>
              <w:top w:val="nil"/>
              <w:left w:val="nil"/>
              <w:bottom w:val="nil"/>
              <w:right w:val="single" w:sz="4" w:space="0" w:color="000000"/>
            </w:tcBorders>
            <w:tcMar>
              <w:top w:w="100" w:type="dxa"/>
              <w:left w:w="100" w:type="dxa"/>
              <w:bottom w:w="100" w:type="dxa"/>
              <w:right w:w="100" w:type="dxa"/>
            </w:tcMar>
          </w:tcPr>
          <w:p w14:paraId="24390D1F"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Adjusting classroom activities to cater to diverse learning needs</w:t>
            </w:r>
          </w:p>
        </w:tc>
        <w:tc>
          <w:tcPr>
            <w:tcW w:w="2520" w:type="dxa"/>
            <w:tcBorders>
              <w:top w:val="nil"/>
              <w:left w:val="single" w:sz="4" w:space="0" w:color="000000"/>
              <w:bottom w:val="nil"/>
              <w:right w:val="nil"/>
            </w:tcBorders>
            <w:tcMar>
              <w:top w:w="100" w:type="dxa"/>
              <w:left w:w="100" w:type="dxa"/>
              <w:bottom w:w="100" w:type="dxa"/>
              <w:right w:w="100" w:type="dxa"/>
            </w:tcMar>
          </w:tcPr>
          <w:p w14:paraId="3BB92B97"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42 (65.6%)</w:t>
            </w:r>
          </w:p>
        </w:tc>
        <w:tc>
          <w:tcPr>
            <w:tcW w:w="1995" w:type="dxa"/>
            <w:tcBorders>
              <w:top w:val="nil"/>
              <w:left w:val="nil"/>
              <w:bottom w:val="nil"/>
              <w:right w:val="nil"/>
            </w:tcBorders>
            <w:tcMar>
              <w:top w:w="100" w:type="dxa"/>
              <w:left w:w="100" w:type="dxa"/>
              <w:bottom w:w="100" w:type="dxa"/>
              <w:right w:w="100" w:type="dxa"/>
            </w:tcMar>
          </w:tcPr>
          <w:p w14:paraId="49CA04B7"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22 (34.4%)</w:t>
            </w:r>
          </w:p>
        </w:tc>
      </w:tr>
      <w:tr w:rsidR="00086A58" w14:paraId="11775FFF" w14:textId="77777777">
        <w:trPr>
          <w:trHeight w:val="500"/>
        </w:trPr>
        <w:tc>
          <w:tcPr>
            <w:tcW w:w="4845" w:type="dxa"/>
            <w:tcBorders>
              <w:top w:val="nil"/>
              <w:left w:val="nil"/>
              <w:bottom w:val="nil"/>
              <w:right w:val="single" w:sz="4" w:space="0" w:color="000000"/>
            </w:tcBorders>
            <w:tcMar>
              <w:top w:w="100" w:type="dxa"/>
              <w:left w:w="100" w:type="dxa"/>
              <w:bottom w:w="100" w:type="dxa"/>
              <w:right w:w="100" w:type="dxa"/>
            </w:tcMar>
          </w:tcPr>
          <w:p w14:paraId="03455240"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Screen readers and text-to-speech software</w:t>
            </w:r>
          </w:p>
        </w:tc>
        <w:tc>
          <w:tcPr>
            <w:tcW w:w="2520" w:type="dxa"/>
            <w:tcBorders>
              <w:top w:val="nil"/>
              <w:left w:val="single" w:sz="4" w:space="0" w:color="000000"/>
              <w:bottom w:val="nil"/>
              <w:right w:val="nil"/>
            </w:tcBorders>
            <w:tcMar>
              <w:top w:w="100" w:type="dxa"/>
              <w:left w:w="100" w:type="dxa"/>
              <w:bottom w:w="100" w:type="dxa"/>
              <w:right w:w="100" w:type="dxa"/>
            </w:tcMar>
          </w:tcPr>
          <w:p w14:paraId="1571134E"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38 (59.4%)</w:t>
            </w:r>
          </w:p>
        </w:tc>
        <w:tc>
          <w:tcPr>
            <w:tcW w:w="1995" w:type="dxa"/>
            <w:tcBorders>
              <w:top w:val="nil"/>
              <w:left w:val="nil"/>
              <w:bottom w:val="nil"/>
              <w:right w:val="nil"/>
            </w:tcBorders>
            <w:tcMar>
              <w:top w:w="100" w:type="dxa"/>
              <w:left w:w="100" w:type="dxa"/>
              <w:bottom w:w="100" w:type="dxa"/>
              <w:right w:w="100" w:type="dxa"/>
            </w:tcMar>
          </w:tcPr>
          <w:p w14:paraId="2DFE57B4"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 (40.6%)</w:t>
            </w:r>
          </w:p>
        </w:tc>
      </w:tr>
      <w:tr w:rsidR="00086A58" w14:paraId="71AF31C1" w14:textId="77777777">
        <w:trPr>
          <w:trHeight w:val="500"/>
        </w:trPr>
        <w:tc>
          <w:tcPr>
            <w:tcW w:w="4845" w:type="dxa"/>
            <w:tcBorders>
              <w:top w:val="nil"/>
              <w:left w:val="nil"/>
              <w:bottom w:val="nil"/>
              <w:right w:val="single" w:sz="4" w:space="0" w:color="000000"/>
            </w:tcBorders>
            <w:tcMar>
              <w:top w:w="100" w:type="dxa"/>
              <w:left w:w="100" w:type="dxa"/>
              <w:bottom w:w="100" w:type="dxa"/>
              <w:right w:w="100" w:type="dxa"/>
            </w:tcMar>
          </w:tcPr>
          <w:p w14:paraId="2BAA77AE"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Speech recognition software</w:t>
            </w:r>
          </w:p>
        </w:tc>
        <w:tc>
          <w:tcPr>
            <w:tcW w:w="2520" w:type="dxa"/>
            <w:tcBorders>
              <w:top w:val="nil"/>
              <w:left w:val="single" w:sz="4" w:space="0" w:color="000000"/>
              <w:bottom w:val="nil"/>
              <w:right w:val="nil"/>
            </w:tcBorders>
            <w:tcMar>
              <w:top w:w="100" w:type="dxa"/>
              <w:left w:w="100" w:type="dxa"/>
              <w:bottom w:w="100" w:type="dxa"/>
              <w:right w:w="100" w:type="dxa"/>
            </w:tcMar>
          </w:tcPr>
          <w:p w14:paraId="45BE10F9"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36 (56.3%)</w:t>
            </w:r>
          </w:p>
        </w:tc>
        <w:tc>
          <w:tcPr>
            <w:tcW w:w="1995" w:type="dxa"/>
            <w:tcBorders>
              <w:top w:val="nil"/>
              <w:left w:val="nil"/>
              <w:bottom w:val="nil"/>
              <w:right w:val="nil"/>
            </w:tcBorders>
            <w:tcMar>
              <w:top w:w="100" w:type="dxa"/>
              <w:left w:w="100" w:type="dxa"/>
              <w:bottom w:w="100" w:type="dxa"/>
              <w:right w:w="100" w:type="dxa"/>
            </w:tcMar>
          </w:tcPr>
          <w:p w14:paraId="279DF43B"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 (43.8%)</w:t>
            </w:r>
          </w:p>
        </w:tc>
      </w:tr>
      <w:tr w:rsidR="00086A58" w14:paraId="11B951F2" w14:textId="77777777">
        <w:trPr>
          <w:trHeight w:val="500"/>
        </w:trPr>
        <w:tc>
          <w:tcPr>
            <w:tcW w:w="4845" w:type="dxa"/>
            <w:tcBorders>
              <w:top w:val="nil"/>
              <w:left w:val="nil"/>
              <w:bottom w:val="nil"/>
              <w:right w:val="single" w:sz="4" w:space="0" w:color="000000"/>
            </w:tcBorders>
            <w:tcMar>
              <w:top w:w="100" w:type="dxa"/>
              <w:left w:w="100" w:type="dxa"/>
              <w:bottom w:w="100" w:type="dxa"/>
              <w:right w:w="100" w:type="dxa"/>
            </w:tcMar>
          </w:tcPr>
          <w:p w14:paraId="6914AD66"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Audio</w:t>
            </w:r>
            <w:r>
              <w:rPr>
                <w:rFonts w:ascii="Times New Roman" w:eastAsia="Times New Roman" w:hAnsi="Times New Roman" w:cs="Times New Roman"/>
                <w:sz w:val="24"/>
                <w:szCs w:val="24"/>
                <w:highlight w:val="white"/>
              </w:rPr>
              <w:t xml:space="preserve"> books or book readers</w:t>
            </w:r>
          </w:p>
        </w:tc>
        <w:tc>
          <w:tcPr>
            <w:tcW w:w="2520" w:type="dxa"/>
            <w:tcBorders>
              <w:top w:val="nil"/>
              <w:left w:val="single" w:sz="4" w:space="0" w:color="000000"/>
              <w:bottom w:val="nil"/>
              <w:right w:val="nil"/>
            </w:tcBorders>
            <w:tcMar>
              <w:top w:w="100" w:type="dxa"/>
              <w:left w:w="100" w:type="dxa"/>
              <w:bottom w:w="100" w:type="dxa"/>
              <w:right w:w="100" w:type="dxa"/>
            </w:tcMar>
          </w:tcPr>
          <w:p w14:paraId="594D1EA9"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46 (71.9%)</w:t>
            </w:r>
          </w:p>
        </w:tc>
        <w:tc>
          <w:tcPr>
            <w:tcW w:w="1995" w:type="dxa"/>
            <w:tcBorders>
              <w:top w:val="nil"/>
              <w:left w:val="nil"/>
              <w:bottom w:val="nil"/>
              <w:right w:val="nil"/>
            </w:tcBorders>
            <w:tcMar>
              <w:top w:w="100" w:type="dxa"/>
              <w:left w:w="100" w:type="dxa"/>
              <w:bottom w:w="100" w:type="dxa"/>
              <w:right w:w="100" w:type="dxa"/>
            </w:tcMar>
          </w:tcPr>
          <w:p w14:paraId="7E9E15DA"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18 (28.1%)</w:t>
            </w:r>
          </w:p>
        </w:tc>
      </w:tr>
      <w:tr w:rsidR="00086A58" w14:paraId="63E3498E" w14:textId="77777777">
        <w:trPr>
          <w:trHeight w:val="500"/>
        </w:trPr>
        <w:tc>
          <w:tcPr>
            <w:tcW w:w="4845" w:type="dxa"/>
            <w:tcBorders>
              <w:top w:val="nil"/>
              <w:left w:val="nil"/>
              <w:bottom w:val="single" w:sz="24" w:space="0" w:color="000000"/>
              <w:right w:val="single" w:sz="4" w:space="0" w:color="000000"/>
            </w:tcBorders>
            <w:tcMar>
              <w:top w:w="100" w:type="dxa"/>
              <w:left w:w="100" w:type="dxa"/>
              <w:bottom w:w="100" w:type="dxa"/>
              <w:right w:w="100" w:type="dxa"/>
            </w:tcMar>
          </w:tcPr>
          <w:p w14:paraId="0D896D3C"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Electronic math worksheets and visual math aids</w:t>
            </w:r>
          </w:p>
        </w:tc>
        <w:tc>
          <w:tcPr>
            <w:tcW w:w="2520" w:type="dxa"/>
            <w:tcBorders>
              <w:top w:val="nil"/>
              <w:left w:val="single" w:sz="4" w:space="0" w:color="000000"/>
              <w:bottom w:val="single" w:sz="24" w:space="0" w:color="000000"/>
              <w:right w:val="nil"/>
            </w:tcBorders>
            <w:tcMar>
              <w:top w:w="100" w:type="dxa"/>
              <w:left w:w="100" w:type="dxa"/>
              <w:bottom w:w="100" w:type="dxa"/>
              <w:right w:w="100" w:type="dxa"/>
            </w:tcMar>
          </w:tcPr>
          <w:p w14:paraId="6C3052BD"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38 (59.4%)</w:t>
            </w:r>
          </w:p>
        </w:tc>
        <w:tc>
          <w:tcPr>
            <w:tcW w:w="1995" w:type="dxa"/>
            <w:tcBorders>
              <w:top w:val="nil"/>
              <w:left w:val="nil"/>
              <w:bottom w:val="single" w:sz="24" w:space="0" w:color="000000"/>
              <w:right w:val="nil"/>
            </w:tcBorders>
            <w:tcMar>
              <w:top w:w="100" w:type="dxa"/>
              <w:left w:w="100" w:type="dxa"/>
              <w:bottom w:w="100" w:type="dxa"/>
              <w:right w:w="100" w:type="dxa"/>
            </w:tcMar>
          </w:tcPr>
          <w:p w14:paraId="14E3027E"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 (40.6%)</w:t>
            </w:r>
          </w:p>
        </w:tc>
      </w:tr>
    </w:tbl>
    <w:p w14:paraId="2189A5C1" w14:textId="77777777" w:rsidR="00086A58" w:rsidRDefault="00086A58">
      <w:pPr>
        <w:spacing w:before="240" w:after="240"/>
        <w:jc w:val="both"/>
        <w:rPr>
          <w:rFonts w:ascii="Times New Roman" w:eastAsia="Times New Roman" w:hAnsi="Times New Roman" w:cs="Times New Roman"/>
          <w:sz w:val="24"/>
          <w:szCs w:val="24"/>
          <w:highlight w:val="white"/>
        </w:rPr>
      </w:pPr>
    </w:p>
    <w:p w14:paraId="38A8966F" w14:textId="77777777" w:rsidR="00086A58" w:rsidRDefault="009B1C7A">
      <w:pPr>
        <w:numPr>
          <w:ilvl w:val="0"/>
          <w:numId w:val="4"/>
        </w:num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Training and Professional Development</w:t>
      </w:r>
    </w:p>
    <w:p w14:paraId="369FF871"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findings reveal that a little over half of the participants (54.8%) have received formal </w:t>
      </w:r>
      <w:r>
        <w:rPr>
          <w:rFonts w:ascii="Times New Roman" w:eastAsia="Times New Roman" w:hAnsi="Times New Roman" w:cs="Times New Roman"/>
          <w:sz w:val="24"/>
          <w:szCs w:val="24"/>
          <w:highlight w:val="white"/>
        </w:rPr>
        <w:t>training in inclusive education or special education, while 45.2% have not. This indicates that there is a significant proportion of teachers who may require further training to enhance their knowledge in inclusive education. Regarding the adequacy of thei</w:t>
      </w:r>
      <w:r>
        <w:rPr>
          <w:rFonts w:ascii="Times New Roman" w:eastAsia="Times New Roman" w:hAnsi="Times New Roman" w:cs="Times New Roman"/>
          <w:sz w:val="24"/>
          <w:szCs w:val="24"/>
          <w:highlight w:val="white"/>
        </w:rPr>
        <w:t>r current knowledge, nearly half (46.9%) of the teachers felt confident in their ability to teach children with special needs, whereas the majority (53.1%) believed their knowledge was not sufficient. Notably, a substantial majority (93.2%) expressed a wil</w:t>
      </w:r>
      <w:r>
        <w:rPr>
          <w:rFonts w:ascii="Times New Roman" w:eastAsia="Times New Roman" w:hAnsi="Times New Roman" w:cs="Times New Roman"/>
          <w:sz w:val="24"/>
          <w:szCs w:val="24"/>
          <w:highlight w:val="white"/>
        </w:rPr>
        <w:t>lingness to participate in additional training to improve their skills and knowledge in inclusive education, indicating a strong desire for professional development (see Table 5).</w:t>
      </w:r>
    </w:p>
    <w:p w14:paraId="320AD1E8" w14:textId="77777777" w:rsidR="00086A58" w:rsidRDefault="009B1C7A">
      <w:pPr>
        <w:spacing w:before="240" w:after="240"/>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Table 5: Teachers’ training exposure, self-rated preparedness, and willingne</w:t>
      </w:r>
      <w:r>
        <w:rPr>
          <w:rFonts w:ascii="Times New Roman" w:eastAsia="Times New Roman" w:hAnsi="Times New Roman" w:cs="Times New Roman"/>
          <w:b/>
          <w:bCs/>
          <w:i/>
          <w:iCs/>
          <w:sz w:val="24"/>
          <w:szCs w:val="24"/>
          <w:highlight w:val="white"/>
        </w:rPr>
        <w:t>ss for further development</w:t>
      </w:r>
    </w:p>
    <w:tbl>
      <w:tblPr>
        <w:tblStyle w:val="a9"/>
        <w:tblW w:w="93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80"/>
        <w:gridCol w:w="1700"/>
        <w:gridCol w:w="1565"/>
      </w:tblGrid>
      <w:tr w:rsidR="00086A58" w14:paraId="1C89630B" w14:textId="77777777">
        <w:trPr>
          <w:trHeight w:val="933"/>
        </w:trPr>
        <w:tc>
          <w:tcPr>
            <w:tcW w:w="6080" w:type="dxa"/>
            <w:tcBorders>
              <w:top w:val="single" w:sz="24" w:space="0" w:color="000000"/>
              <w:left w:val="nil"/>
              <w:bottom w:val="single" w:sz="24" w:space="0" w:color="000000"/>
              <w:right w:val="nil"/>
            </w:tcBorders>
            <w:tcMar>
              <w:top w:w="100" w:type="dxa"/>
              <w:left w:w="100" w:type="dxa"/>
              <w:bottom w:w="100" w:type="dxa"/>
              <w:right w:w="100" w:type="dxa"/>
            </w:tcMar>
          </w:tcPr>
          <w:p w14:paraId="6423765D"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Questions</w:t>
            </w:r>
          </w:p>
        </w:tc>
        <w:tc>
          <w:tcPr>
            <w:tcW w:w="1700" w:type="dxa"/>
            <w:tcBorders>
              <w:top w:val="single" w:sz="24" w:space="0" w:color="000000"/>
              <w:left w:val="single" w:sz="4" w:space="0" w:color="000000"/>
              <w:bottom w:val="single" w:sz="24" w:space="0" w:color="000000"/>
              <w:right w:val="nil"/>
            </w:tcBorders>
            <w:tcMar>
              <w:top w:w="100" w:type="dxa"/>
              <w:left w:w="100" w:type="dxa"/>
              <w:bottom w:w="100" w:type="dxa"/>
              <w:right w:w="100" w:type="dxa"/>
            </w:tcMar>
          </w:tcPr>
          <w:p w14:paraId="3F80B9C2" w14:textId="77777777" w:rsidR="00086A58" w:rsidRDefault="009B1C7A">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Responses</w:t>
            </w:r>
          </w:p>
        </w:tc>
        <w:tc>
          <w:tcPr>
            <w:tcW w:w="1565" w:type="dxa"/>
            <w:tcBorders>
              <w:top w:val="single" w:sz="24" w:space="0" w:color="000000"/>
              <w:left w:val="nil"/>
              <w:bottom w:val="single" w:sz="24" w:space="0" w:color="000000"/>
              <w:right w:val="nil"/>
            </w:tcBorders>
            <w:tcMar>
              <w:top w:w="100" w:type="dxa"/>
              <w:left w:w="100" w:type="dxa"/>
              <w:bottom w:w="100" w:type="dxa"/>
              <w:right w:w="100" w:type="dxa"/>
            </w:tcMar>
          </w:tcPr>
          <w:p w14:paraId="48631780" w14:textId="77777777" w:rsidR="00086A58" w:rsidRDefault="00086A58">
            <w:pPr>
              <w:spacing w:before="240" w:after="240"/>
              <w:jc w:val="both"/>
              <w:rPr>
                <w:rFonts w:ascii="Times New Roman" w:eastAsia="Times New Roman" w:hAnsi="Times New Roman" w:cs="Times New Roman"/>
                <w:b/>
                <w:bCs/>
                <w:sz w:val="24"/>
                <w:szCs w:val="24"/>
                <w:highlight w:val="white"/>
              </w:rPr>
            </w:pPr>
          </w:p>
        </w:tc>
      </w:tr>
      <w:tr w:rsidR="00086A58" w14:paraId="57530C40" w14:textId="77777777">
        <w:trPr>
          <w:trHeight w:val="933"/>
        </w:trPr>
        <w:tc>
          <w:tcPr>
            <w:tcW w:w="6080" w:type="dxa"/>
            <w:tcBorders>
              <w:top w:val="single" w:sz="24" w:space="0" w:color="000000"/>
              <w:left w:val="nil"/>
              <w:bottom w:val="nil"/>
              <w:right w:val="nil"/>
            </w:tcBorders>
            <w:tcMar>
              <w:top w:w="100" w:type="dxa"/>
              <w:left w:w="100" w:type="dxa"/>
              <w:bottom w:w="100" w:type="dxa"/>
              <w:right w:w="100" w:type="dxa"/>
            </w:tcMar>
          </w:tcPr>
          <w:p w14:paraId="5DA952CB" w14:textId="77777777" w:rsidR="00086A58" w:rsidRDefault="00086A58">
            <w:pPr>
              <w:spacing w:before="240" w:after="240"/>
              <w:jc w:val="both"/>
              <w:rPr>
                <w:rFonts w:ascii="Times New Roman" w:eastAsia="Times New Roman" w:hAnsi="Times New Roman" w:cs="Times New Roman"/>
                <w:b/>
                <w:bCs/>
                <w:sz w:val="24"/>
                <w:szCs w:val="24"/>
                <w:highlight w:val="white"/>
              </w:rPr>
            </w:pPr>
          </w:p>
        </w:tc>
        <w:tc>
          <w:tcPr>
            <w:tcW w:w="1700" w:type="dxa"/>
            <w:tcBorders>
              <w:top w:val="single" w:sz="24" w:space="0" w:color="000000"/>
              <w:left w:val="single" w:sz="4" w:space="0" w:color="000000"/>
              <w:bottom w:val="nil"/>
              <w:right w:val="nil"/>
            </w:tcBorders>
            <w:tcMar>
              <w:top w:w="100" w:type="dxa"/>
              <w:left w:w="100" w:type="dxa"/>
              <w:bottom w:w="100" w:type="dxa"/>
              <w:right w:w="100" w:type="dxa"/>
            </w:tcMar>
          </w:tcPr>
          <w:p w14:paraId="43DA1F9F" w14:textId="77777777" w:rsidR="00086A58" w:rsidRDefault="009B1C7A">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Yes (Number, %)</w:t>
            </w:r>
          </w:p>
        </w:tc>
        <w:tc>
          <w:tcPr>
            <w:tcW w:w="1565" w:type="dxa"/>
            <w:tcBorders>
              <w:top w:val="single" w:sz="24" w:space="0" w:color="000000"/>
              <w:left w:val="nil"/>
              <w:bottom w:val="nil"/>
              <w:right w:val="nil"/>
            </w:tcBorders>
            <w:tcMar>
              <w:top w:w="100" w:type="dxa"/>
              <w:left w:w="100" w:type="dxa"/>
              <w:bottom w:w="100" w:type="dxa"/>
              <w:right w:w="100" w:type="dxa"/>
            </w:tcMar>
          </w:tcPr>
          <w:p w14:paraId="21FBE37E" w14:textId="77777777" w:rsidR="00086A58" w:rsidRDefault="009B1C7A">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No (Number, %)</w:t>
            </w:r>
          </w:p>
        </w:tc>
      </w:tr>
      <w:tr w:rsidR="00086A58" w14:paraId="7D0F0EF2" w14:textId="77777777">
        <w:trPr>
          <w:trHeight w:val="785"/>
        </w:trPr>
        <w:tc>
          <w:tcPr>
            <w:tcW w:w="6080" w:type="dxa"/>
            <w:tcBorders>
              <w:top w:val="nil"/>
              <w:left w:val="nil"/>
              <w:bottom w:val="nil"/>
              <w:right w:val="single" w:sz="4" w:space="0" w:color="000000"/>
            </w:tcBorders>
            <w:tcMar>
              <w:top w:w="100" w:type="dxa"/>
              <w:left w:w="100" w:type="dxa"/>
              <w:bottom w:w="100" w:type="dxa"/>
              <w:right w:w="100" w:type="dxa"/>
            </w:tcMar>
          </w:tcPr>
          <w:p w14:paraId="2809C4EC"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Have you received formal training in inclusive education or special education?</w:t>
            </w:r>
          </w:p>
        </w:tc>
        <w:tc>
          <w:tcPr>
            <w:tcW w:w="1700" w:type="dxa"/>
            <w:tcBorders>
              <w:top w:val="nil"/>
              <w:left w:val="single" w:sz="4" w:space="0" w:color="000000"/>
              <w:bottom w:val="nil"/>
              <w:right w:val="nil"/>
            </w:tcBorders>
            <w:tcMar>
              <w:top w:w="100" w:type="dxa"/>
              <w:left w:w="100" w:type="dxa"/>
              <w:bottom w:w="100" w:type="dxa"/>
              <w:right w:w="100" w:type="dxa"/>
            </w:tcMar>
          </w:tcPr>
          <w:p w14:paraId="19D46B20"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34 (54.8%)</w:t>
            </w:r>
          </w:p>
        </w:tc>
        <w:tc>
          <w:tcPr>
            <w:tcW w:w="1565" w:type="dxa"/>
            <w:tcBorders>
              <w:top w:val="nil"/>
              <w:left w:val="nil"/>
              <w:bottom w:val="nil"/>
              <w:right w:val="nil"/>
            </w:tcBorders>
            <w:tcMar>
              <w:top w:w="100" w:type="dxa"/>
              <w:left w:w="100" w:type="dxa"/>
              <w:bottom w:w="100" w:type="dxa"/>
              <w:right w:w="100" w:type="dxa"/>
            </w:tcMar>
          </w:tcPr>
          <w:p w14:paraId="051E78DB"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 (45.2%)</w:t>
            </w:r>
          </w:p>
        </w:tc>
      </w:tr>
      <w:tr w:rsidR="00086A58" w14:paraId="4A684C75" w14:textId="77777777">
        <w:trPr>
          <w:trHeight w:val="785"/>
        </w:trPr>
        <w:tc>
          <w:tcPr>
            <w:tcW w:w="6080" w:type="dxa"/>
            <w:tcBorders>
              <w:top w:val="nil"/>
              <w:left w:val="nil"/>
              <w:bottom w:val="nil"/>
              <w:right w:val="single" w:sz="4" w:space="0" w:color="000000"/>
            </w:tcBorders>
            <w:tcMar>
              <w:top w:w="100" w:type="dxa"/>
              <w:left w:w="100" w:type="dxa"/>
              <w:bottom w:w="100" w:type="dxa"/>
              <w:right w:w="100" w:type="dxa"/>
            </w:tcMar>
          </w:tcPr>
          <w:p w14:paraId="45BD4C41"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Is your current level of knowledge about inclusive education adequate </w:t>
            </w:r>
            <w:r>
              <w:rPr>
                <w:rFonts w:ascii="Times New Roman" w:eastAsia="Times New Roman" w:hAnsi="Times New Roman" w:cs="Times New Roman"/>
                <w:sz w:val="24"/>
                <w:szCs w:val="24"/>
                <w:highlight w:val="white"/>
              </w:rPr>
              <w:t>for teaching children with special needs?</w:t>
            </w:r>
          </w:p>
        </w:tc>
        <w:tc>
          <w:tcPr>
            <w:tcW w:w="1700" w:type="dxa"/>
            <w:tcBorders>
              <w:top w:val="nil"/>
              <w:left w:val="single" w:sz="4" w:space="0" w:color="000000"/>
              <w:bottom w:val="nil"/>
              <w:right w:val="nil"/>
            </w:tcBorders>
            <w:tcMar>
              <w:top w:w="100" w:type="dxa"/>
              <w:left w:w="100" w:type="dxa"/>
              <w:bottom w:w="100" w:type="dxa"/>
              <w:right w:w="100" w:type="dxa"/>
            </w:tcMar>
          </w:tcPr>
          <w:p w14:paraId="0A233AA6"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30 (46.9%)</w:t>
            </w:r>
          </w:p>
        </w:tc>
        <w:tc>
          <w:tcPr>
            <w:tcW w:w="1565" w:type="dxa"/>
            <w:tcBorders>
              <w:top w:val="nil"/>
              <w:left w:val="nil"/>
              <w:bottom w:val="nil"/>
              <w:right w:val="nil"/>
            </w:tcBorders>
            <w:tcMar>
              <w:top w:w="100" w:type="dxa"/>
              <w:left w:w="100" w:type="dxa"/>
              <w:bottom w:w="100" w:type="dxa"/>
              <w:right w:w="100" w:type="dxa"/>
            </w:tcMar>
          </w:tcPr>
          <w:p w14:paraId="048DAE67"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34 (53.1%)</w:t>
            </w:r>
          </w:p>
        </w:tc>
      </w:tr>
      <w:tr w:rsidR="00086A58" w14:paraId="161D5D68" w14:textId="77777777">
        <w:trPr>
          <w:trHeight w:val="785"/>
        </w:trPr>
        <w:tc>
          <w:tcPr>
            <w:tcW w:w="6080" w:type="dxa"/>
            <w:tcBorders>
              <w:top w:val="nil"/>
              <w:left w:val="nil"/>
              <w:bottom w:val="single" w:sz="24" w:space="0" w:color="000000"/>
              <w:right w:val="single" w:sz="4" w:space="0" w:color="000000"/>
            </w:tcBorders>
            <w:tcMar>
              <w:top w:w="100" w:type="dxa"/>
              <w:left w:w="100" w:type="dxa"/>
              <w:bottom w:w="100" w:type="dxa"/>
              <w:right w:w="100" w:type="dxa"/>
            </w:tcMar>
          </w:tcPr>
          <w:p w14:paraId="1E49F055"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Are you willing to participate in additional training to improve your knowledge and skills in inclusive education?</w:t>
            </w:r>
          </w:p>
        </w:tc>
        <w:tc>
          <w:tcPr>
            <w:tcW w:w="1700" w:type="dxa"/>
            <w:tcBorders>
              <w:top w:val="nil"/>
              <w:left w:val="single" w:sz="4" w:space="0" w:color="000000"/>
              <w:bottom w:val="single" w:sz="24" w:space="0" w:color="000000"/>
              <w:right w:val="nil"/>
            </w:tcBorders>
            <w:tcMar>
              <w:top w:w="100" w:type="dxa"/>
              <w:left w:w="100" w:type="dxa"/>
              <w:bottom w:w="100" w:type="dxa"/>
              <w:right w:w="100" w:type="dxa"/>
            </w:tcMar>
          </w:tcPr>
          <w:p w14:paraId="1595BFD4"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60 (93.2%)</w:t>
            </w:r>
          </w:p>
        </w:tc>
        <w:tc>
          <w:tcPr>
            <w:tcW w:w="1565" w:type="dxa"/>
            <w:tcBorders>
              <w:top w:val="nil"/>
              <w:left w:val="nil"/>
              <w:bottom w:val="single" w:sz="24" w:space="0" w:color="000000"/>
              <w:right w:val="nil"/>
            </w:tcBorders>
            <w:tcMar>
              <w:top w:w="100" w:type="dxa"/>
              <w:left w:w="100" w:type="dxa"/>
              <w:bottom w:w="100" w:type="dxa"/>
              <w:right w:w="100" w:type="dxa"/>
            </w:tcMar>
          </w:tcPr>
          <w:p w14:paraId="2CECDE6A"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(6.3%)</w:t>
            </w:r>
          </w:p>
        </w:tc>
      </w:tr>
    </w:tbl>
    <w:p w14:paraId="7F950A89" w14:textId="77777777" w:rsidR="00086A58" w:rsidRDefault="00086A58">
      <w:pPr>
        <w:spacing w:before="240" w:after="240"/>
        <w:jc w:val="both"/>
        <w:rPr>
          <w:rFonts w:ascii="Times New Roman" w:eastAsia="Times New Roman" w:hAnsi="Times New Roman" w:cs="Times New Roman"/>
          <w:sz w:val="24"/>
          <w:szCs w:val="24"/>
          <w:highlight w:val="white"/>
        </w:rPr>
      </w:pPr>
    </w:p>
    <w:p w14:paraId="13C22CF9" w14:textId="77777777" w:rsidR="00086A58" w:rsidRDefault="00086A58">
      <w:pPr>
        <w:spacing w:before="240" w:after="240"/>
        <w:jc w:val="both"/>
        <w:rPr>
          <w:rFonts w:ascii="Times New Roman" w:eastAsia="Times New Roman" w:hAnsi="Times New Roman" w:cs="Times New Roman"/>
          <w:sz w:val="24"/>
          <w:szCs w:val="24"/>
          <w:highlight w:val="white"/>
        </w:rPr>
      </w:pPr>
    </w:p>
    <w:p w14:paraId="1B440209" w14:textId="77777777" w:rsidR="00086A58" w:rsidRDefault="00086A58">
      <w:pPr>
        <w:spacing w:before="240" w:after="240"/>
        <w:jc w:val="both"/>
        <w:rPr>
          <w:rFonts w:ascii="Times New Roman" w:eastAsia="Times New Roman" w:hAnsi="Times New Roman" w:cs="Times New Roman"/>
          <w:sz w:val="24"/>
          <w:szCs w:val="24"/>
          <w:highlight w:val="white"/>
        </w:rPr>
      </w:pPr>
    </w:p>
    <w:p w14:paraId="1B0EC1E1" w14:textId="77777777" w:rsidR="00086A58" w:rsidRDefault="009B1C7A">
      <w:pPr>
        <w:numPr>
          <w:ilvl w:val="0"/>
          <w:numId w:val="4"/>
        </w:num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Benefits and Challenges</w:t>
      </w:r>
    </w:p>
    <w:p w14:paraId="20308778"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participants </w:t>
      </w:r>
      <w:r>
        <w:rPr>
          <w:rFonts w:ascii="Times New Roman" w:eastAsia="Times New Roman" w:hAnsi="Times New Roman" w:cs="Times New Roman"/>
          <w:sz w:val="24"/>
          <w:szCs w:val="24"/>
          <w:highlight w:val="white"/>
        </w:rPr>
        <w:t>overwhelmingly recognized the benefits of inclusive education, with the majority (84.4%) agreeing that it leads to increased social inclusion for children with special needs. Furthermore, 75% of respondents noted that inclusive education promotes greater d</w:t>
      </w:r>
      <w:r>
        <w:rPr>
          <w:rFonts w:ascii="Times New Roman" w:eastAsia="Times New Roman" w:hAnsi="Times New Roman" w:cs="Times New Roman"/>
          <w:sz w:val="24"/>
          <w:szCs w:val="24"/>
          <w:highlight w:val="white"/>
        </w:rPr>
        <w:t>iversity in learning environments, and 59.4% observed improved academic performance for all students. While benefits were widely acknowledged, participants also identified several challenges in implementing inclusive education. The most significant challen</w:t>
      </w:r>
      <w:r>
        <w:rPr>
          <w:rFonts w:ascii="Times New Roman" w:eastAsia="Times New Roman" w:hAnsi="Times New Roman" w:cs="Times New Roman"/>
          <w:sz w:val="24"/>
          <w:szCs w:val="24"/>
          <w:highlight w:val="white"/>
        </w:rPr>
        <w:t>ge reported was insufficient resources (90.6%), followed by lack of training (62.5%) and large class sizes (56.3%). Other challenges included limited support from colleagues and lack of administrative support, indicating areas where improvements are needed</w:t>
      </w:r>
      <w:r>
        <w:rPr>
          <w:rFonts w:ascii="Times New Roman" w:eastAsia="Times New Roman" w:hAnsi="Times New Roman" w:cs="Times New Roman"/>
          <w:sz w:val="24"/>
          <w:szCs w:val="24"/>
          <w:highlight w:val="white"/>
        </w:rPr>
        <w:t xml:space="preserve"> to enhance the implementation of inclusive education (see Table 6).</w:t>
      </w:r>
    </w:p>
    <w:p w14:paraId="00C9B8F3" w14:textId="77777777" w:rsidR="00086A58" w:rsidRDefault="009B1C7A">
      <w:pPr>
        <w:spacing w:before="240" w:after="240"/>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Table 6: Perceived benefits of inclusive education and barriers to its implementation</w:t>
      </w:r>
    </w:p>
    <w:tbl>
      <w:tblPr>
        <w:tblStyle w:val="a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30"/>
        <w:gridCol w:w="4320"/>
        <w:gridCol w:w="1665"/>
        <w:gridCol w:w="1545"/>
      </w:tblGrid>
      <w:tr w:rsidR="00086A58" w14:paraId="7115CD6A" w14:textId="77777777">
        <w:trPr>
          <w:trHeight w:val="933"/>
        </w:trPr>
        <w:tc>
          <w:tcPr>
            <w:tcW w:w="1830" w:type="dxa"/>
            <w:tcBorders>
              <w:top w:val="single" w:sz="24" w:space="0" w:color="000000"/>
              <w:left w:val="nil"/>
              <w:bottom w:val="single" w:sz="24" w:space="0" w:color="000000"/>
              <w:right w:val="nil"/>
            </w:tcBorders>
            <w:tcMar>
              <w:top w:w="100" w:type="dxa"/>
              <w:left w:w="100" w:type="dxa"/>
              <w:bottom w:w="100" w:type="dxa"/>
              <w:right w:w="100" w:type="dxa"/>
            </w:tcMar>
          </w:tcPr>
          <w:p w14:paraId="55C8F826" w14:textId="77777777" w:rsidR="00086A58" w:rsidRDefault="009B1C7A">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Questions</w:t>
            </w:r>
          </w:p>
        </w:tc>
        <w:tc>
          <w:tcPr>
            <w:tcW w:w="4320" w:type="dxa"/>
            <w:tcBorders>
              <w:top w:val="single" w:sz="24" w:space="0" w:color="000000"/>
              <w:left w:val="nil"/>
              <w:bottom w:val="single" w:sz="24" w:space="0" w:color="000000"/>
              <w:right w:val="nil"/>
            </w:tcBorders>
            <w:tcMar>
              <w:top w:w="100" w:type="dxa"/>
              <w:left w:w="100" w:type="dxa"/>
              <w:bottom w:w="100" w:type="dxa"/>
              <w:right w:w="100" w:type="dxa"/>
            </w:tcMar>
          </w:tcPr>
          <w:p w14:paraId="19E4BAA7" w14:textId="77777777" w:rsidR="00086A58" w:rsidRDefault="009B1C7A">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Question items</w:t>
            </w:r>
          </w:p>
        </w:tc>
        <w:tc>
          <w:tcPr>
            <w:tcW w:w="1665" w:type="dxa"/>
            <w:tcBorders>
              <w:top w:val="single" w:sz="24" w:space="0" w:color="000000"/>
              <w:left w:val="single" w:sz="4" w:space="0" w:color="000000"/>
              <w:bottom w:val="single" w:sz="24" w:space="0" w:color="000000"/>
              <w:right w:val="nil"/>
            </w:tcBorders>
            <w:tcMar>
              <w:top w:w="100" w:type="dxa"/>
              <w:left w:w="100" w:type="dxa"/>
              <w:bottom w:w="100" w:type="dxa"/>
              <w:right w:w="100" w:type="dxa"/>
            </w:tcMar>
          </w:tcPr>
          <w:p w14:paraId="76D9465F" w14:textId="77777777" w:rsidR="00086A58" w:rsidRDefault="009B1C7A">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Responses</w:t>
            </w:r>
          </w:p>
        </w:tc>
        <w:tc>
          <w:tcPr>
            <w:tcW w:w="1545" w:type="dxa"/>
            <w:tcBorders>
              <w:top w:val="single" w:sz="24" w:space="0" w:color="000000"/>
              <w:left w:val="nil"/>
              <w:bottom w:val="single" w:sz="24" w:space="0" w:color="000000"/>
              <w:right w:val="nil"/>
            </w:tcBorders>
            <w:tcMar>
              <w:top w:w="100" w:type="dxa"/>
              <w:left w:w="100" w:type="dxa"/>
              <w:bottom w:w="100" w:type="dxa"/>
              <w:right w:w="100" w:type="dxa"/>
            </w:tcMar>
          </w:tcPr>
          <w:p w14:paraId="086DA313" w14:textId="77777777" w:rsidR="00086A58" w:rsidRDefault="00086A58">
            <w:pPr>
              <w:spacing w:before="240" w:after="240"/>
              <w:jc w:val="both"/>
              <w:rPr>
                <w:rFonts w:ascii="Times New Roman" w:eastAsia="Times New Roman" w:hAnsi="Times New Roman" w:cs="Times New Roman"/>
                <w:b/>
                <w:bCs/>
                <w:sz w:val="24"/>
                <w:szCs w:val="24"/>
                <w:highlight w:val="white"/>
              </w:rPr>
            </w:pPr>
          </w:p>
        </w:tc>
      </w:tr>
      <w:tr w:rsidR="00086A58" w14:paraId="4AB88129" w14:textId="77777777">
        <w:trPr>
          <w:trHeight w:val="933"/>
        </w:trPr>
        <w:tc>
          <w:tcPr>
            <w:tcW w:w="1830" w:type="dxa"/>
            <w:tcBorders>
              <w:top w:val="single" w:sz="24" w:space="0" w:color="000000"/>
              <w:left w:val="nil"/>
              <w:bottom w:val="nil"/>
              <w:right w:val="nil"/>
            </w:tcBorders>
            <w:tcMar>
              <w:top w:w="100" w:type="dxa"/>
              <w:left w:w="100" w:type="dxa"/>
              <w:bottom w:w="100" w:type="dxa"/>
              <w:right w:w="100" w:type="dxa"/>
            </w:tcMar>
          </w:tcPr>
          <w:p w14:paraId="6C766094" w14:textId="77777777" w:rsidR="00086A58" w:rsidRDefault="00086A58">
            <w:pPr>
              <w:spacing w:before="240" w:after="240"/>
              <w:jc w:val="both"/>
              <w:rPr>
                <w:rFonts w:ascii="Times New Roman" w:eastAsia="Times New Roman" w:hAnsi="Times New Roman" w:cs="Times New Roman"/>
                <w:b/>
                <w:bCs/>
                <w:sz w:val="24"/>
                <w:szCs w:val="24"/>
                <w:highlight w:val="white"/>
              </w:rPr>
            </w:pPr>
          </w:p>
        </w:tc>
        <w:tc>
          <w:tcPr>
            <w:tcW w:w="4320" w:type="dxa"/>
            <w:tcBorders>
              <w:top w:val="single" w:sz="24" w:space="0" w:color="000000"/>
              <w:left w:val="nil"/>
              <w:bottom w:val="nil"/>
              <w:right w:val="nil"/>
            </w:tcBorders>
            <w:tcMar>
              <w:top w:w="100" w:type="dxa"/>
              <w:left w:w="100" w:type="dxa"/>
              <w:bottom w:w="100" w:type="dxa"/>
              <w:right w:w="100" w:type="dxa"/>
            </w:tcMar>
          </w:tcPr>
          <w:p w14:paraId="1463FE63" w14:textId="77777777" w:rsidR="00086A58" w:rsidRDefault="00086A58">
            <w:pPr>
              <w:spacing w:before="240" w:after="240"/>
              <w:jc w:val="both"/>
              <w:rPr>
                <w:rFonts w:ascii="Times New Roman" w:eastAsia="Times New Roman" w:hAnsi="Times New Roman" w:cs="Times New Roman"/>
                <w:b/>
                <w:bCs/>
                <w:sz w:val="24"/>
                <w:szCs w:val="24"/>
                <w:highlight w:val="white"/>
              </w:rPr>
            </w:pPr>
          </w:p>
        </w:tc>
        <w:tc>
          <w:tcPr>
            <w:tcW w:w="1665" w:type="dxa"/>
            <w:tcBorders>
              <w:top w:val="single" w:sz="24" w:space="0" w:color="000000"/>
              <w:left w:val="single" w:sz="4" w:space="0" w:color="000000"/>
              <w:bottom w:val="nil"/>
              <w:right w:val="nil"/>
            </w:tcBorders>
            <w:tcMar>
              <w:top w:w="100" w:type="dxa"/>
              <w:left w:w="100" w:type="dxa"/>
              <w:bottom w:w="100" w:type="dxa"/>
              <w:right w:w="100" w:type="dxa"/>
            </w:tcMar>
          </w:tcPr>
          <w:p w14:paraId="5B22CFBD" w14:textId="77777777" w:rsidR="00086A58" w:rsidRDefault="009B1C7A">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Yes (Number, %)</w:t>
            </w:r>
          </w:p>
        </w:tc>
        <w:tc>
          <w:tcPr>
            <w:tcW w:w="1545" w:type="dxa"/>
            <w:tcBorders>
              <w:top w:val="single" w:sz="24" w:space="0" w:color="000000"/>
              <w:left w:val="nil"/>
              <w:bottom w:val="nil"/>
              <w:right w:val="nil"/>
            </w:tcBorders>
            <w:tcMar>
              <w:top w:w="100" w:type="dxa"/>
              <w:left w:w="100" w:type="dxa"/>
              <w:bottom w:w="100" w:type="dxa"/>
              <w:right w:w="100" w:type="dxa"/>
            </w:tcMar>
          </w:tcPr>
          <w:p w14:paraId="61887334" w14:textId="77777777" w:rsidR="00086A58" w:rsidRDefault="009B1C7A">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No (Number, %)</w:t>
            </w:r>
          </w:p>
        </w:tc>
      </w:tr>
      <w:tr w:rsidR="00086A58" w14:paraId="0F8DC45F" w14:textId="77777777">
        <w:trPr>
          <w:trHeight w:val="785"/>
        </w:trPr>
        <w:tc>
          <w:tcPr>
            <w:tcW w:w="1830" w:type="dxa"/>
            <w:tcBorders>
              <w:top w:val="nil"/>
              <w:left w:val="nil"/>
              <w:bottom w:val="nil"/>
              <w:right w:val="nil"/>
            </w:tcBorders>
            <w:tcMar>
              <w:top w:w="100" w:type="dxa"/>
              <w:left w:w="100" w:type="dxa"/>
              <w:bottom w:w="100" w:type="dxa"/>
              <w:right w:w="100" w:type="dxa"/>
            </w:tcMar>
          </w:tcPr>
          <w:p w14:paraId="233FD19F" w14:textId="77777777" w:rsidR="00086A58" w:rsidRDefault="009B1C7A">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Benefits</w:t>
            </w:r>
          </w:p>
        </w:tc>
        <w:tc>
          <w:tcPr>
            <w:tcW w:w="4320" w:type="dxa"/>
            <w:tcBorders>
              <w:top w:val="nil"/>
              <w:left w:val="nil"/>
              <w:bottom w:val="nil"/>
              <w:right w:val="single" w:sz="4" w:space="0" w:color="000000"/>
            </w:tcBorders>
            <w:tcMar>
              <w:top w:w="100" w:type="dxa"/>
              <w:left w:w="100" w:type="dxa"/>
              <w:bottom w:w="100" w:type="dxa"/>
              <w:right w:w="100" w:type="dxa"/>
            </w:tcMar>
          </w:tcPr>
          <w:p w14:paraId="62597E6D"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Increased social </w:t>
            </w:r>
            <w:r>
              <w:rPr>
                <w:rFonts w:ascii="Times New Roman" w:eastAsia="Times New Roman" w:hAnsi="Times New Roman" w:cs="Times New Roman"/>
                <w:sz w:val="24"/>
                <w:szCs w:val="24"/>
                <w:highlight w:val="white"/>
              </w:rPr>
              <w:t>inclusion for children with special needs</w:t>
            </w:r>
          </w:p>
        </w:tc>
        <w:tc>
          <w:tcPr>
            <w:tcW w:w="1665" w:type="dxa"/>
            <w:tcBorders>
              <w:top w:val="nil"/>
              <w:left w:val="single" w:sz="4" w:space="0" w:color="000000"/>
              <w:bottom w:val="nil"/>
              <w:right w:val="nil"/>
            </w:tcBorders>
            <w:tcMar>
              <w:top w:w="100" w:type="dxa"/>
              <w:left w:w="100" w:type="dxa"/>
              <w:bottom w:w="100" w:type="dxa"/>
              <w:right w:w="100" w:type="dxa"/>
            </w:tcMar>
          </w:tcPr>
          <w:p w14:paraId="1E54083F"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54 (84.4%)</w:t>
            </w:r>
          </w:p>
        </w:tc>
        <w:tc>
          <w:tcPr>
            <w:tcW w:w="1545" w:type="dxa"/>
            <w:tcBorders>
              <w:top w:val="nil"/>
              <w:left w:val="nil"/>
              <w:bottom w:val="nil"/>
              <w:right w:val="nil"/>
            </w:tcBorders>
            <w:tcMar>
              <w:top w:w="100" w:type="dxa"/>
              <w:left w:w="100" w:type="dxa"/>
              <w:bottom w:w="100" w:type="dxa"/>
              <w:right w:w="100" w:type="dxa"/>
            </w:tcMar>
          </w:tcPr>
          <w:p w14:paraId="18CD1AE7"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 (15.6%)</w:t>
            </w:r>
          </w:p>
        </w:tc>
      </w:tr>
      <w:tr w:rsidR="00086A58" w14:paraId="7FEF6B4A" w14:textId="77777777">
        <w:trPr>
          <w:trHeight w:val="785"/>
        </w:trPr>
        <w:tc>
          <w:tcPr>
            <w:tcW w:w="1830" w:type="dxa"/>
            <w:tcBorders>
              <w:top w:val="nil"/>
              <w:left w:val="nil"/>
              <w:bottom w:val="nil"/>
              <w:right w:val="nil"/>
            </w:tcBorders>
            <w:tcMar>
              <w:top w:w="100" w:type="dxa"/>
              <w:left w:w="100" w:type="dxa"/>
              <w:bottom w:w="100" w:type="dxa"/>
              <w:right w:w="100" w:type="dxa"/>
            </w:tcMar>
          </w:tcPr>
          <w:p w14:paraId="4CB329AE" w14:textId="77777777" w:rsidR="00086A58" w:rsidRDefault="00086A58">
            <w:pPr>
              <w:spacing w:before="240" w:after="240"/>
              <w:jc w:val="both"/>
              <w:rPr>
                <w:rFonts w:ascii="Times New Roman" w:eastAsia="Times New Roman" w:hAnsi="Times New Roman" w:cs="Times New Roman"/>
                <w:sz w:val="24"/>
                <w:szCs w:val="24"/>
                <w:highlight w:val="white"/>
              </w:rPr>
            </w:pPr>
          </w:p>
        </w:tc>
        <w:tc>
          <w:tcPr>
            <w:tcW w:w="4320" w:type="dxa"/>
            <w:tcBorders>
              <w:top w:val="nil"/>
              <w:left w:val="nil"/>
              <w:bottom w:val="nil"/>
              <w:right w:val="single" w:sz="4" w:space="0" w:color="000000"/>
            </w:tcBorders>
            <w:tcMar>
              <w:top w:w="100" w:type="dxa"/>
              <w:left w:w="100" w:type="dxa"/>
              <w:bottom w:w="100" w:type="dxa"/>
              <w:right w:w="100" w:type="dxa"/>
            </w:tcMar>
          </w:tcPr>
          <w:p w14:paraId="1052E8C2"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Improved academic performance for all students</w:t>
            </w:r>
          </w:p>
        </w:tc>
        <w:tc>
          <w:tcPr>
            <w:tcW w:w="1665" w:type="dxa"/>
            <w:tcBorders>
              <w:top w:val="nil"/>
              <w:left w:val="single" w:sz="4" w:space="0" w:color="000000"/>
              <w:bottom w:val="nil"/>
              <w:right w:val="nil"/>
            </w:tcBorders>
            <w:tcMar>
              <w:top w:w="100" w:type="dxa"/>
              <w:left w:w="100" w:type="dxa"/>
              <w:bottom w:w="100" w:type="dxa"/>
              <w:right w:w="100" w:type="dxa"/>
            </w:tcMar>
          </w:tcPr>
          <w:p w14:paraId="57B80735"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38 (59.4%)</w:t>
            </w:r>
          </w:p>
        </w:tc>
        <w:tc>
          <w:tcPr>
            <w:tcW w:w="1545" w:type="dxa"/>
            <w:tcBorders>
              <w:top w:val="nil"/>
              <w:left w:val="nil"/>
              <w:bottom w:val="nil"/>
              <w:right w:val="nil"/>
            </w:tcBorders>
            <w:tcMar>
              <w:top w:w="100" w:type="dxa"/>
              <w:left w:w="100" w:type="dxa"/>
              <w:bottom w:w="100" w:type="dxa"/>
              <w:right w:w="100" w:type="dxa"/>
            </w:tcMar>
          </w:tcPr>
          <w:p w14:paraId="49F966F4"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 (40.6%)</w:t>
            </w:r>
          </w:p>
        </w:tc>
      </w:tr>
      <w:tr w:rsidR="00086A58" w14:paraId="096D73C0" w14:textId="77777777">
        <w:trPr>
          <w:trHeight w:val="785"/>
        </w:trPr>
        <w:tc>
          <w:tcPr>
            <w:tcW w:w="1830" w:type="dxa"/>
            <w:tcBorders>
              <w:top w:val="nil"/>
              <w:left w:val="nil"/>
              <w:bottom w:val="nil"/>
              <w:right w:val="nil"/>
            </w:tcBorders>
            <w:tcMar>
              <w:top w:w="100" w:type="dxa"/>
              <w:left w:w="100" w:type="dxa"/>
              <w:bottom w:w="100" w:type="dxa"/>
              <w:right w:w="100" w:type="dxa"/>
            </w:tcMar>
          </w:tcPr>
          <w:p w14:paraId="1EF3EF1F" w14:textId="77777777" w:rsidR="00086A58" w:rsidRDefault="00086A58">
            <w:pPr>
              <w:spacing w:before="240" w:after="240"/>
              <w:jc w:val="both"/>
              <w:rPr>
                <w:rFonts w:ascii="Times New Roman" w:eastAsia="Times New Roman" w:hAnsi="Times New Roman" w:cs="Times New Roman"/>
                <w:sz w:val="24"/>
                <w:szCs w:val="24"/>
                <w:highlight w:val="white"/>
              </w:rPr>
            </w:pPr>
          </w:p>
        </w:tc>
        <w:tc>
          <w:tcPr>
            <w:tcW w:w="4320" w:type="dxa"/>
            <w:tcBorders>
              <w:top w:val="nil"/>
              <w:left w:val="nil"/>
              <w:bottom w:val="nil"/>
              <w:right w:val="single" w:sz="4" w:space="0" w:color="000000"/>
            </w:tcBorders>
            <w:tcMar>
              <w:top w:w="100" w:type="dxa"/>
              <w:left w:w="100" w:type="dxa"/>
              <w:bottom w:w="100" w:type="dxa"/>
              <w:right w:w="100" w:type="dxa"/>
            </w:tcMar>
          </w:tcPr>
          <w:p w14:paraId="0F2927D8"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Greater diversity in learning environments</w:t>
            </w:r>
          </w:p>
        </w:tc>
        <w:tc>
          <w:tcPr>
            <w:tcW w:w="1665" w:type="dxa"/>
            <w:tcBorders>
              <w:top w:val="nil"/>
              <w:left w:val="single" w:sz="4" w:space="0" w:color="000000"/>
              <w:bottom w:val="nil"/>
              <w:right w:val="nil"/>
            </w:tcBorders>
            <w:tcMar>
              <w:top w:w="100" w:type="dxa"/>
              <w:left w:w="100" w:type="dxa"/>
              <w:bottom w:w="100" w:type="dxa"/>
              <w:right w:w="100" w:type="dxa"/>
            </w:tcMar>
          </w:tcPr>
          <w:p w14:paraId="38EA4A0F"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48 (75%)</w:t>
            </w:r>
          </w:p>
        </w:tc>
        <w:tc>
          <w:tcPr>
            <w:tcW w:w="1545" w:type="dxa"/>
            <w:tcBorders>
              <w:top w:val="nil"/>
              <w:left w:val="nil"/>
              <w:bottom w:val="nil"/>
              <w:right w:val="nil"/>
            </w:tcBorders>
            <w:tcMar>
              <w:top w:w="100" w:type="dxa"/>
              <w:left w:w="100" w:type="dxa"/>
              <w:bottom w:w="100" w:type="dxa"/>
              <w:right w:w="100" w:type="dxa"/>
            </w:tcMar>
          </w:tcPr>
          <w:p w14:paraId="0F27EAF5"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 (25.0%)</w:t>
            </w:r>
          </w:p>
        </w:tc>
      </w:tr>
      <w:tr w:rsidR="00086A58" w14:paraId="58AD10CD" w14:textId="77777777">
        <w:trPr>
          <w:trHeight w:val="785"/>
        </w:trPr>
        <w:tc>
          <w:tcPr>
            <w:tcW w:w="1830" w:type="dxa"/>
            <w:tcBorders>
              <w:top w:val="nil"/>
              <w:left w:val="nil"/>
              <w:bottom w:val="single" w:sz="4" w:space="0" w:color="000000"/>
              <w:right w:val="nil"/>
            </w:tcBorders>
            <w:tcMar>
              <w:top w:w="100" w:type="dxa"/>
              <w:left w:w="100" w:type="dxa"/>
              <w:bottom w:w="100" w:type="dxa"/>
              <w:right w:w="100" w:type="dxa"/>
            </w:tcMar>
          </w:tcPr>
          <w:p w14:paraId="46FE4FD0" w14:textId="77777777" w:rsidR="00086A58" w:rsidRDefault="00086A58">
            <w:pPr>
              <w:spacing w:before="240" w:after="240"/>
              <w:jc w:val="both"/>
              <w:rPr>
                <w:rFonts w:ascii="Times New Roman" w:eastAsia="Times New Roman" w:hAnsi="Times New Roman" w:cs="Times New Roman"/>
                <w:sz w:val="24"/>
                <w:szCs w:val="24"/>
                <w:highlight w:val="white"/>
              </w:rPr>
            </w:pPr>
          </w:p>
        </w:tc>
        <w:tc>
          <w:tcPr>
            <w:tcW w:w="4320" w:type="dxa"/>
            <w:tcBorders>
              <w:top w:val="nil"/>
              <w:left w:val="nil"/>
              <w:bottom w:val="single" w:sz="4" w:space="0" w:color="000000"/>
              <w:right w:val="single" w:sz="4" w:space="0" w:color="000000"/>
            </w:tcBorders>
            <w:tcMar>
              <w:top w:w="100" w:type="dxa"/>
              <w:left w:w="100" w:type="dxa"/>
              <w:bottom w:w="100" w:type="dxa"/>
              <w:right w:w="100" w:type="dxa"/>
            </w:tcMar>
          </w:tcPr>
          <w:p w14:paraId="2548A7D8"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Enhanced teacher professional development</w:t>
            </w:r>
          </w:p>
        </w:tc>
        <w:tc>
          <w:tcPr>
            <w:tcW w:w="1665" w:type="dxa"/>
            <w:tcBorders>
              <w:top w:val="nil"/>
              <w:left w:val="single" w:sz="4" w:space="0" w:color="000000"/>
              <w:bottom w:val="single" w:sz="4" w:space="0" w:color="000000"/>
              <w:right w:val="nil"/>
            </w:tcBorders>
            <w:tcMar>
              <w:top w:w="100" w:type="dxa"/>
              <w:left w:w="100" w:type="dxa"/>
              <w:bottom w:w="100" w:type="dxa"/>
              <w:right w:w="100" w:type="dxa"/>
            </w:tcMar>
          </w:tcPr>
          <w:p w14:paraId="6F5BD5AB"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34 (53.1%)</w:t>
            </w:r>
          </w:p>
        </w:tc>
        <w:tc>
          <w:tcPr>
            <w:tcW w:w="1545" w:type="dxa"/>
            <w:tcBorders>
              <w:top w:val="nil"/>
              <w:left w:val="nil"/>
              <w:bottom w:val="single" w:sz="4" w:space="0" w:color="000000"/>
              <w:right w:val="nil"/>
            </w:tcBorders>
            <w:tcMar>
              <w:top w:w="100" w:type="dxa"/>
              <w:left w:w="100" w:type="dxa"/>
              <w:bottom w:w="100" w:type="dxa"/>
              <w:right w:w="100" w:type="dxa"/>
            </w:tcMar>
          </w:tcPr>
          <w:p w14:paraId="3120F6E9"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30 (46.9%)</w:t>
            </w:r>
          </w:p>
        </w:tc>
      </w:tr>
      <w:tr w:rsidR="00086A58" w14:paraId="4C6CBC2E" w14:textId="77777777">
        <w:trPr>
          <w:trHeight w:val="830"/>
        </w:trPr>
        <w:tc>
          <w:tcPr>
            <w:tcW w:w="1830" w:type="dxa"/>
            <w:tcBorders>
              <w:top w:val="single" w:sz="4" w:space="0" w:color="000000"/>
              <w:left w:val="nil"/>
              <w:bottom w:val="nil"/>
              <w:right w:val="nil"/>
            </w:tcBorders>
            <w:tcMar>
              <w:top w:w="100" w:type="dxa"/>
              <w:left w:w="100" w:type="dxa"/>
              <w:bottom w:w="100" w:type="dxa"/>
              <w:right w:w="100" w:type="dxa"/>
            </w:tcMar>
          </w:tcPr>
          <w:p w14:paraId="026A5F3E"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Challenges</w:t>
            </w:r>
          </w:p>
        </w:tc>
        <w:tc>
          <w:tcPr>
            <w:tcW w:w="4320" w:type="dxa"/>
            <w:tcBorders>
              <w:top w:val="single" w:sz="4" w:space="0" w:color="000000"/>
              <w:left w:val="nil"/>
              <w:bottom w:val="nil"/>
              <w:right w:val="single" w:sz="4" w:space="0" w:color="000000"/>
            </w:tcBorders>
            <w:tcMar>
              <w:top w:w="100" w:type="dxa"/>
              <w:left w:w="100" w:type="dxa"/>
              <w:bottom w:w="100" w:type="dxa"/>
              <w:right w:w="100" w:type="dxa"/>
            </w:tcMar>
          </w:tcPr>
          <w:p w14:paraId="45D48E09"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Lack of training</w:t>
            </w:r>
          </w:p>
        </w:tc>
        <w:tc>
          <w:tcPr>
            <w:tcW w:w="1665" w:type="dxa"/>
            <w:tcBorders>
              <w:top w:val="single" w:sz="4" w:space="0" w:color="000000"/>
              <w:left w:val="single" w:sz="4" w:space="0" w:color="000000"/>
              <w:bottom w:val="nil"/>
              <w:right w:val="nil"/>
            </w:tcBorders>
            <w:tcMar>
              <w:top w:w="100" w:type="dxa"/>
              <w:left w:w="100" w:type="dxa"/>
              <w:bottom w:w="100" w:type="dxa"/>
              <w:right w:w="100" w:type="dxa"/>
            </w:tcMar>
          </w:tcPr>
          <w:p w14:paraId="0659D82D"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40 (62.5%)</w:t>
            </w:r>
          </w:p>
        </w:tc>
        <w:tc>
          <w:tcPr>
            <w:tcW w:w="1545" w:type="dxa"/>
            <w:tcBorders>
              <w:top w:val="single" w:sz="4" w:space="0" w:color="000000"/>
              <w:left w:val="nil"/>
              <w:bottom w:val="nil"/>
              <w:right w:val="nil"/>
            </w:tcBorders>
            <w:tcMar>
              <w:top w:w="100" w:type="dxa"/>
              <w:left w:w="100" w:type="dxa"/>
              <w:bottom w:w="100" w:type="dxa"/>
              <w:right w:w="100" w:type="dxa"/>
            </w:tcMar>
          </w:tcPr>
          <w:p w14:paraId="3FC6E5DA"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 (37.5%)</w:t>
            </w:r>
          </w:p>
        </w:tc>
      </w:tr>
      <w:tr w:rsidR="00086A58" w14:paraId="2B00FDF7" w14:textId="77777777">
        <w:trPr>
          <w:trHeight w:val="785"/>
        </w:trPr>
        <w:tc>
          <w:tcPr>
            <w:tcW w:w="1830" w:type="dxa"/>
            <w:tcBorders>
              <w:top w:val="nil"/>
              <w:left w:val="nil"/>
              <w:bottom w:val="nil"/>
              <w:right w:val="nil"/>
            </w:tcBorders>
            <w:tcMar>
              <w:top w:w="100" w:type="dxa"/>
              <w:left w:w="100" w:type="dxa"/>
              <w:bottom w:w="100" w:type="dxa"/>
              <w:right w:w="100" w:type="dxa"/>
            </w:tcMar>
          </w:tcPr>
          <w:p w14:paraId="027BFE57" w14:textId="77777777" w:rsidR="00086A58" w:rsidRDefault="00086A58">
            <w:pPr>
              <w:spacing w:before="240" w:after="240"/>
              <w:jc w:val="both"/>
              <w:rPr>
                <w:rFonts w:ascii="Times New Roman" w:eastAsia="Times New Roman" w:hAnsi="Times New Roman" w:cs="Times New Roman"/>
                <w:b/>
                <w:bCs/>
                <w:sz w:val="24"/>
                <w:szCs w:val="24"/>
                <w:highlight w:val="white"/>
              </w:rPr>
            </w:pPr>
          </w:p>
        </w:tc>
        <w:tc>
          <w:tcPr>
            <w:tcW w:w="4320" w:type="dxa"/>
            <w:tcBorders>
              <w:top w:val="nil"/>
              <w:left w:val="nil"/>
              <w:bottom w:val="nil"/>
              <w:right w:val="single" w:sz="4" w:space="0" w:color="000000"/>
            </w:tcBorders>
            <w:tcMar>
              <w:top w:w="100" w:type="dxa"/>
              <w:left w:w="100" w:type="dxa"/>
              <w:bottom w:w="100" w:type="dxa"/>
              <w:right w:w="100" w:type="dxa"/>
            </w:tcMar>
          </w:tcPr>
          <w:p w14:paraId="69D909F9"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Insufficient resources</w:t>
            </w:r>
          </w:p>
        </w:tc>
        <w:tc>
          <w:tcPr>
            <w:tcW w:w="1665" w:type="dxa"/>
            <w:tcBorders>
              <w:top w:val="nil"/>
              <w:left w:val="single" w:sz="4" w:space="0" w:color="000000"/>
              <w:bottom w:val="nil"/>
              <w:right w:val="nil"/>
            </w:tcBorders>
            <w:tcMar>
              <w:top w:w="100" w:type="dxa"/>
              <w:left w:w="100" w:type="dxa"/>
              <w:bottom w:w="100" w:type="dxa"/>
              <w:right w:w="100" w:type="dxa"/>
            </w:tcMar>
          </w:tcPr>
          <w:p w14:paraId="46608268"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58 (90.6%)</w:t>
            </w:r>
          </w:p>
        </w:tc>
        <w:tc>
          <w:tcPr>
            <w:tcW w:w="1545" w:type="dxa"/>
            <w:tcBorders>
              <w:top w:val="nil"/>
              <w:left w:val="nil"/>
              <w:bottom w:val="nil"/>
              <w:right w:val="nil"/>
            </w:tcBorders>
            <w:tcMar>
              <w:top w:w="100" w:type="dxa"/>
              <w:left w:w="100" w:type="dxa"/>
              <w:bottom w:w="100" w:type="dxa"/>
              <w:right w:w="100" w:type="dxa"/>
            </w:tcMar>
          </w:tcPr>
          <w:p w14:paraId="7F779E4D"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 (9.4%)</w:t>
            </w:r>
          </w:p>
        </w:tc>
      </w:tr>
      <w:tr w:rsidR="00086A58" w14:paraId="195248D2" w14:textId="77777777">
        <w:trPr>
          <w:trHeight w:val="785"/>
        </w:trPr>
        <w:tc>
          <w:tcPr>
            <w:tcW w:w="1830" w:type="dxa"/>
            <w:tcBorders>
              <w:top w:val="nil"/>
              <w:left w:val="nil"/>
              <w:bottom w:val="nil"/>
              <w:right w:val="nil"/>
            </w:tcBorders>
            <w:tcMar>
              <w:top w:w="100" w:type="dxa"/>
              <w:left w:w="100" w:type="dxa"/>
              <w:bottom w:w="100" w:type="dxa"/>
              <w:right w:w="100" w:type="dxa"/>
            </w:tcMar>
          </w:tcPr>
          <w:p w14:paraId="601BA84C" w14:textId="77777777" w:rsidR="00086A58" w:rsidRDefault="00086A58">
            <w:pPr>
              <w:spacing w:before="240" w:after="240"/>
              <w:jc w:val="both"/>
              <w:rPr>
                <w:rFonts w:ascii="Times New Roman" w:eastAsia="Times New Roman" w:hAnsi="Times New Roman" w:cs="Times New Roman"/>
                <w:b/>
                <w:bCs/>
                <w:sz w:val="24"/>
                <w:szCs w:val="24"/>
                <w:highlight w:val="white"/>
              </w:rPr>
            </w:pPr>
          </w:p>
        </w:tc>
        <w:tc>
          <w:tcPr>
            <w:tcW w:w="4320" w:type="dxa"/>
            <w:tcBorders>
              <w:top w:val="nil"/>
              <w:left w:val="nil"/>
              <w:bottom w:val="nil"/>
              <w:right w:val="single" w:sz="4" w:space="0" w:color="000000"/>
            </w:tcBorders>
            <w:tcMar>
              <w:top w:w="100" w:type="dxa"/>
              <w:left w:w="100" w:type="dxa"/>
              <w:bottom w:w="100" w:type="dxa"/>
              <w:right w:w="100" w:type="dxa"/>
            </w:tcMar>
          </w:tcPr>
          <w:p w14:paraId="201454F6"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Large class sizes</w:t>
            </w:r>
          </w:p>
        </w:tc>
        <w:tc>
          <w:tcPr>
            <w:tcW w:w="1665" w:type="dxa"/>
            <w:tcBorders>
              <w:top w:val="nil"/>
              <w:left w:val="single" w:sz="4" w:space="0" w:color="000000"/>
              <w:bottom w:val="nil"/>
              <w:right w:val="nil"/>
            </w:tcBorders>
            <w:tcMar>
              <w:top w:w="100" w:type="dxa"/>
              <w:left w:w="100" w:type="dxa"/>
              <w:bottom w:w="100" w:type="dxa"/>
              <w:right w:w="100" w:type="dxa"/>
            </w:tcMar>
          </w:tcPr>
          <w:p w14:paraId="470C23AE"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36 (56.3%)</w:t>
            </w:r>
          </w:p>
        </w:tc>
        <w:tc>
          <w:tcPr>
            <w:tcW w:w="1545" w:type="dxa"/>
            <w:tcBorders>
              <w:top w:val="nil"/>
              <w:left w:val="nil"/>
              <w:bottom w:val="nil"/>
              <w:right w:val="nil"/>
            </w:tcBorders>
            <w:tcMar>
              <w:top w:w="100" w:type="dxa"/>
              <w:left w:w="100" w:type="dxa"/>
              <w:bottom w:w="100" w:type="dxa"/>
              <w:right w:w="100" w:type="dxa"/>
            </w:tcMar>
          </w:tcPr>
          <w:p w14:paraId="37C19A89"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 (43.8%)</w:t>
            </w:r>
          </w:p>
        </w:tc>
      </w:tr>
      <w:tr w:rsidR="00086A58" w14:paraId="7A7C49E5" w14:textId="77777777">
        <w:trPr>
          <w:trHeight w:val="785"/>
        </w:trPr>
        <w:tc>
          <w:tcPr>
            <w:tcW w:w="1830" w:type="dxa"/>
            <w:tcBorders>
              <w:top w:val="nil"/>
              <w:left w:val="nil"/>
              <w:bottom w:val="nil"/>
              <w:right w:val="nil"/>
            </w:tcBorders>
            <w:tcMar>
              <w:top w:w="100" w:type="dxa"/>
              <w:left w:w="100" w:type="dxa"/>
              <w:bottom w:w="100" w:type="dxa"/>
              <w:right w:w="100" w:type="dxa"/>
            </w:tcMar>
          </w:tcPr>
          <w:p w14:paraId="04C06BF8" w14:textId="77777777" w:rsidR="00086A58" w:rsidRDefault="00086A58">
            <w:pPr>
              <w:spacing w:before="240" w:after="240"/>
              <w:jc w:val="both"/>
              <w:rPr>
                <w:rFonts w:ascii="Times New Roman" w:eastAsia="Times New Roman" w:hAnsi="Times New Roman" w:cs="Times New Roman"/>
                <w:b/>
                <w:bCs/>
                <w:sz w:val="24"/>
                <w:szCs w:val="24"/>
                <w:highlight w:val="white"/>
              </w:rPr>
            </w:pPr>
          </w:p>
        </w:tc>
        <w:tc>
          <w:tcPr>
            <w:tcW w:w="4320" w:type="dxa"/>
            <w:tcBorders>
              <w:top w:val="nil"/>
              <w:left w:val="nil"/>
              <w:bottom w:val="nil"/>
              <w:right w:val="single" w:sz="4" w:space="0" w:color="000000"/>
            </w:tcBorders>
            <w:tcMar>
              <w:top w:w="100" w:type="dxa"/>
              <w:left w:w="100" w:type="dxa"/>
              <w:bottom w:w="100" w:type="dxa"/>
              <w:right w:w="100" w:type="dxa"/>
            </w:tcMar>
          </w:tcPr>
          <w:p w14:paraId="64FACE1A"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Limited support from colleagues</w:t>
            </w:r>
          </w:p>
        </w:tc>
        <w:tc>
          <w:tcPr>
            <w:tcW w:w="1665" w:type="dxa"/>
            <w:tcBorders>
              <w:top w:val="nil"/>
              <w:left w:val="single" w:sz="4" w:space="0" w:color="000000"/>
              <w:bottom w:val="nil"/>
              <w:right w:val="nil"/>
            </w:tcBorders>
            <w:tcMar>
              <w:top w:w="100" w:type="dxa"/>
              <w:left w:w="100" w:type="dxa"/>
              <w:bottom w:w="100" w:type="dxa"/>
              <w:right w:w="100" w:type="dxa"/>
            </w:tcMar>
          </w:tcPr>
          <w:p w14:paraId="04C1A074"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30 (46.9%)</w:t>
            </w:r>
          </w:p>
        </w:tc>
        <w:tc>
          <w:tcPr>
            <w:tcW w:w="1545" w:type="dxa"/>
            <w:tcBorders>
              <w:top w:val="nil"/>
              <w:left w:val="nil"/>
              <w:bottom w:val="nil"/>
              <w:right w:val="nil"/>
            </w:tcBorders>
            <w:tcMar>
              <w:top w:w="100" w:type="dxa"/>
              <w:left w:w="100" w:type="dxa"/>
              <w:bottom w:w="100" w:type="dxa"/>
              <w:right w:w="100" w:type="dxa"/>
            </w:tcMar>
          </w:tcPr>
          <w:p w14:paraId="13352FED"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34 (53.1%)</w:t>
            </w:r>
          </w:p>
        </w:tc>
      </w:tr>
      <w:tr w:rsidR="00086A58" w14:paraId="03CEE925" w14:textId="77777777">
        <w:trPr>
          <w:trHeight w:val="785"/>
        </w:trPr>
        <w:tc>
          <w:tcPr>
            <w:tcW w:w="1830" w:type="dxa"/>
            <w:tcBorders>
              <w:top w:val="nil"/>
              <w:left w:val="nil"/>
              <w:bottom w:val="nil"/>
              <w:right w:val="nil"/>
            </w:tcBorders>
            <w:tcMar>
              <w:top w:w="100" w:type="dxa"/>
              <w:left w:w="100" w:type="dxa"/>
              <w:bottom w:w="100" w:type="dxa"/>
              <w:right w:w="100" w:type="dxa"/>
            </w:tcMar>
          </w:tcPr>
          <w:p w14:paraId="0D2BDC3E" w14:textId="77777777" w:rsidR="00086A58" w:rsidRDefault="00086A58">
            <w:pPr>
              <w:spacing w:before="240" w:after="240"/>
              <w:jc w:val="both"/>
              <w:rPr>
                <w:rFonts w:ascii="Times New Roman" w:eastAsia="Times New Roman" w:hAnsi="Times New Roman" w:cs="Times New Roman"/>
                <w:b/>
                <w:bCs/>
                <w:sz w:val="24"/>
                <w:szCs w:val="24"/>
                <w:highlight w:val="white"/>
              </w:rPr>
            </w:pPr>
          </w:p>
        </w:tc>
        <w:tc>
          <w:tcPr>
            <w:tcW w:w="4320" w:type="dxa"/>
            <w:tcBorders>
              <w:top w:val="nil"/>
              <w:left w:val="nil"/>
              <w:bottom w:val="nil"/>
              <w:right w:val="single" w:sz="4" w:space="0" w:color="000000"/>
            </w:tcBorders>
            <w:tcMar>
              <w:top w:w="100" w:type="dxa"/>
              <w:left w:w="100" w:type="dxa"/>
              <w:bottom w:w="100" w:type="dxa"/>
              <w:right w:w="100" w:type="dxa"/>
            </w:tcMar>
          </w:tcPr>
          <w:p w14:paraId="66ACE859"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Lack of administrative support</w:t>
            </w:r>
          </w:p>
        </w:tc>
        <w:tc>
          <w:tcPr>
            <w:tcW w:w="1665" w:type="dxa"/>
            <w:tcBorders>
              <w:top w:val="nil"/>
              <w:left w:val="single" w:sz="4" w:space="0" w:color="000000"/>
              <w:bottom w:val="nil"/>
              <w:right w:val="nil"/>
            </w:tcBorders>
            <w:tcMar>
              <w:top w:w="100" w:type="dxa"/>
              <w:left w:w="100" w:type="dxa"/>
              <w:bottom w:w="100" w:type="dxa"/>
              <w:right w:w="100" w:type="dxa"/>
            </w:tcMar>
          </w:tcPr>
          <w:p w14:paraId="125A9685"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 (40.6%)</w:t>
            </w:r>
          </w:p>
        </w:tc>
        <w:tc>
          <w:tcPr>
            <w:tcW w:w="1545" w:type="dxa"/>
            <w:tcBorders>
              <w:top w:val="nil"/>
              <w:left w:val="nil"/>
              <w:bottom w:val="nil"/>
              <w:right w:val="nil"/>
            </w:tcBorders>
            <w:tcMar>
              <w:top w:w="100" w:type="dxa"/>
              <w:left w:w="100" w:type="dxa"/>
              <w:bottom w:w="100" w:type="dxa"/>
              <w:right w:w="100" w:type="dxa"/>
            </w:tcMar>
          </w:tcPr>
          <w:p w14:paraId="384D2D48"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38 </w:t>
            </w:r>
            <w:r>
              <w:rPr>
                <w:rFonts w:ascii="Times New Roman" w:eastAsia="Times New Roman" w:hAnsi="Times New Roman" w:cs="Times New Roman"/>
                <w:sz w:val="24"/>
                <w:szCs w:val="24"/>
                <w:highlight w:val="white"/>
              </w:rPr>
              <w:t>(59.4%)</w:t>
            </w:r>
          </w:p>
        </w:tc>
      </w:tr>
      <w:tr w:rsidR="00086A58" w14:paraId="283E2EE0" w14:textId="77777777">
        <w:trPr>
          <w:trHeight w:val="785"/>
        </w:trPr>
        <w:tc>
          <w:tcPr>
            <w:tcW w:w="1830" w:type="dxa"/>
            <w:tcBorders>
              <w:top w:val="nil"/>
              <w:left w:val="nil"/>
              <w:bottom w:val="single" w:sz="24" w:space="0" w:color="000000"/>
              <w:right w:val="nil"/>
            </w:tcBorders>
            <w:tcMar>
              <w:top w:w="100" w:type="dxa"/>
              <w:left w:w="100" w:type="dxa"/>
              <w:bottom w:w="100" w:type="dxa"/>
              <w:right w:w="100" w:type="dxa"/>
            </w:tcMar>
          </w:tcPr>
          <w:p w14:paraId="33D2D695" w14:textId="77777777" w:rsidR="00086A58" w:rsidRDefault="00086A58">
            <w:pPr>
              <w:spacing w:before="240" w:after="240"/>
              <w:jc w:val="both"/>
              <w:rPr>
                <w:rFonts w:ascii="Times New Roman" w:eastAsia="Times New Roman" w:hAnsi="Times New Roman" w:cs="Times New Roman"/>
                <w:b/>
                <w:bCs/>
                <w:sz w:val="24"/>
                <w:szCs w:val="24"/>
                <w:highlight w:val="white"/>
              </w:rPr>
            </w:pPr>
          </w:p>
        </w:tc>
        <w:tc>
          <w:tcPr>
            <w:tcW w:w="4320" w:type="dxa"/>
            <w:tcBorders>
              <w:top w:val="nil"/>
              <w:left w:val="nil"/>
              <w:bottom w:val="single" w:sz="24" w:space="0" w:color="000000"/>
              <w:right w:val="single" w:sz="4" w:space="0" w:color="000000"/>
            </w:tcBorders>
            <w:tcMar>
              <w:top w:w="100" w:type="dxa"/>
              <w:left w:w="100" w:type="dxa"/>
              <w:bottom w:w="100" w:type="dxa"/>
              <w:right w:w="100" w:type="dxa"/>
            </w:tcMar>
          </w:tcPr>
          <w:p w14:paraId="3A7ED710"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Students' behavior</w:t>
            </w:r>
          </w:p>
        </w:tc>
        <w:tc>
          <w:tcPr>
            <w:tcW w:w="1665" w:type="dxa"/>
            <w:tcBorders>
              <w:top w:val="nil"/>
              <w:left w:val="single" w:sz="4" w:space="0" w:color="000000"/>
              <w:bottom w:val="single" w:sz="24" w:space="0" w:color="000000"/>
              <w:right w:val="nil"/>
            </w:tcBorders>
            <w:tcMar>
              <w:top w:w="100" w:type="dxa"/>
              <w:left w:w="100" w:type="dxa"/>
              <w:bottom w:w="100" w:type="dxa"/>
              <w:right w:w="100" w:type="dxa"/>
            </w:tcMar>
          </w:tcPr>
          <w:p w14:paraId="2F0D5ED9"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42 (65.6%)</w:t>
            </w:r>
          </w:p>
        </w:tc>
        <w:tc>
          <w:tcPr>
            <w:tcW w:w="1545" w:type="dxa"/>
            <w:tcBorders>
              <w:top w:val="nil"/>
              <w:left w:val="nil"/>
              <w:bottom w:val="single" w:sz="24" w:space="0" w:color="000000"/>
              <w:right w:val="nil"/>
            </w:tcBorders>
            <w:tcMar>
              <w:top w:w="100" w:type="dxa"/>
              <w:left w:w="100" w:type="dxa"/>
              <w:bottom w:w="100" w:type="dxa"/>
              <w:right w:w="100" w:type="dxa"/>
            </w:tcMar>
          </w:tcPr>
          <w:p w14:paraId="2EFC8319"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22 (34.4%)</w:t>
            </w:r>
          </w:p>
        </w:tc>
      </w:tr>
    </w:tbl>
    <w:p w14:paraId="74990437" w14:textId="77777777" w:rsidR="00086A58" w:rsidRDefault="00086A58">
      <w:pPr>
        <w:spacing w:before="240" w:after="240"/>
        <w:jc w:val="both"/>
        <w:rPr>
          <w:rFonts w:ascii="Times New Roman" w:eastAsia="Times New Roman" w:hAnsi="Times New Roman" w:cs="Times New Roman"/>
          <w:sz w:val="24"/>
          <w:szCs w:val="24"/>
          <w:highlight w:val="white"/>
        </w:rPr>
      </w:pPr>
    </w:p>
    <w:p w14:paraId="2D439EB4" w14:textId="77777777" w:rsidR="00086A58" w:rsidRDefault="00086A58">
      <w:pPr>
        <w:spacing w:before="240" w:after="240"/>
        <w:jc w:val="both"/>
        <w:rPr>
          <w:rFonts w:ascii="Times New Roman" w:eastAsia="Times New Roman" w:hAnsi="Times New Roman" w:cs="Times New Roman"/>
          <w:sz w:val="16"/>
          <w:szCs w:val="16"/>
          <w:highlight w:val="white"/>
        </w:rPr>
      </w:pPr>
    </w:p>
    <w:p w14:paraId="162C2873" w14:textId="77777777" w:rsidR="00086A58" w:rsidRDefault="009B1C7A">
      <w:pPr>
        <w:pStyle w:val="Heading3"/>
        <w:keepNext w:val="0"/>
        <w:keepLines w:val="0"/>
        <w:spacing w:before="280"/>
        <w:rPr>
          <w:rFonts w:ascii="Times New Roman" w:eastAsia="Times New Roman" w:hAnsi="Times New Roman" w:cs="Times New Roman"/>
          <w:b/>
          <w:bCs/>
          <w:color w:val="000000"/>
          <w:sz w:val="32"/>
          <w:szCs w:val="32"/>
          <w:highlight w:val="white"/>
        </w:rPr>
      </w:pPr>
      <w:bookmarkStart w:id="10" w:name="_heading=h.vc45ozu1muef" w:colFirst="0" w:colLast="0"/>
      <w:bookmarkEnd w:id="10"/>
      <w:r>
        <w:rPr>
          <w:rFonts w:ascii="Times New Roman" w:eastAsia="Times New Roman" w:hAnsi="Times New Roman" w:cs="Times New Roman"/>
          <w:b/>
          <w:bCs/>
          <w:color w:val="000000"/>
          <w:sz w:val="32"/>
          <w:szCs w:val="32"/>
          <w:highlight w:val="white"/>
        </w:rPr>
        <w:t>Discussion</w:t>
      </w:r>
    </w:p>
    <w:p w14:paraId="37187B13" w14:textId="77777777" w:rsidR="00086A58" w:rsidRDefault="009B1C7A">
      <w:pPr>
        <w:pStyle w:val="Heading4"/>
        <w:keepNext w:val="0"/>
        <w:keepLines w:val="0"/>
        <w:spacing w:before="240" w:after="40"/>
        <w:rPr>
          <w:rFonts w:ascii="Times New Roman" w:eastAsia="Times New Roman" w:hAnsi="Times New Roman" w:cs="Times New Roman"/>
          <w:b/>
          <w:bCs/>
          <w:color w:val="000000"/>
          <w:sz w:val="28"/>
          <w:szCs w:val="28"/>
          <w:highlight w:val="white"/>
        </w:rPr>
      </w:pPr>
      <w:bookmarkStart w:id="11" w:name="_heading=h.1xlxnry2i8k" w:colFirst="0" w:colLast="0"/>
      <w:bookmarkEnd w:id="11"/>
      <w:r>
        <w:rPr>
          <w:rFonts w:ascii="Times New Roman" w:eastAsia="Times New Roman" w:hAnsi="Times New Roman" w:cs="Times New Roman"/>
          <w:b/>
          <w:bCs/>
          <w:color w:val="000000"/>
          <w:sz w:val="28"/>
          <w:szCs w:val="28"/>
          <w:highlight w:val="white"/>
        </w:rPr>
        <w:t>Main Findings</w:t>
      </w:r>
    </w:p>
    <w:p w14:paraId="413663B1"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findings from this study reveal several important insights into the knowledge of teachers regarding inclusive education for children with special needs. A key finding was </w:t>
      </w:r>
      <w:r>
        <w:rPr>
          <w:rFonts w:ascii="Times New Roman" w:eastAsia="Times New Roman" w:hAnsi="Times New Roman" w:cs="Times New Roman"/>
          <w:sz w:val="24"/>
          <w:szCs w:val="24"/>
          <w:highlight w:val="white"/>
        </w:rPr>
        <w:t>that teachers displayed a solid understanding of the core concepts of inclusive education. Many teachers strongly agreed that inclusive education involves integrating students with special needs into mainstream classrooms, with 46.9% of teachers strongly a</w:t>
      </w:r>
      <w:r>
        <w:rPr>
          <w:rFonts w:ascii="Times New Roman" w:eastAsia="Times New Roman" w:hAnsi="Times New Roman" w:cs="Times New Roman"/>
          <w:sz w:val="24"/>
          <w:szCs w:val="24"/>
          <w:highlight w:val="white"/>
        </w:rPr>
        <w:t>greeing with this concept. Similarly, a majority recognized the importance of providing equitable access to the general curriculum for students with special needs. However, while teachers acknowledged their role in modifying the curriculum to meet the need</w:t>
      </w:r>
      <w:r>
        <w:rPr>
          <w:rFonts w:ascii="Times New Roman" w:eastAsia="Times New Roman" w:hAnsi="Times New Roman" w:cs="Times New Roman"/>
          <w:sz w:val="24"/>
          <w:szCs w:val="24"/>
          <w:highlight w:val="white"/>
        </w:rPr>
        <w:t>s of these students, a slightly smaller proportion felt fully prepared for this responsibility.</w:t>
      </w:r>
    </w:p>
    <w:p w14:paraId="5E9B4455"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terms of strategies for supporting children with special needs, the results highlighted a strong awareness of various teaching methods. Notably, 75% of teach</w:t>
      </w:r>
      <w:r>
        <w:rPr>
          <w:rFonts w:ascii="Times New Roman" w:eastAsia="Times New Roman" w:hAnsi="Times New Roman" w:cs="Times New Roman"/>
          <w:sz w:val="24"/>
          <w:szCs w:val="24"/>
          <w:highlight w:val="white"/>
        </w:rPr>
        <w:t>ers were familiar with one-on-one tutoring or support, and 68.8% recognized the importance of visual aids and graphic organizers. However, there was less familiarity with assistive technologies such as speech recognition software (56.3%) and screen readers</w:t>
      </w:r>
      <w:r>
        <w:rPr>
          <w:rFonts w:ascii="Times New Roman" w:eastAsia="Times New Roman" w:hAnsi="Times New Roman" w:cs="Times New Roman"/>
          <w:sz w:val="24"/>
          <w:szCs w:val="24"/>
          <w:highlight w:val="white"/>
        </w:rPr>
        <w:t xml:space="preserve"> (59.4%), indicating a potential gap in knowledge that may hinder the full implementation of inclusive education practices.</w:t>
      </w:r>
    </w:p>
    <w:p w14:paraId="05995237"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findings also pointed to significant gaps in professional training, with 45.2% of teachers reporting they had not received forma</w:t>
      </w:r>
      <w:r>
        <w:rPr>
          <w:rFonts w:ascii="Times New Roman" w:eastAsia="Times New Roman" w:hAnsi="Times New Roman" w:cs="Times New Roman"/>
          <w:sz w:val="24"/>
          <w:szCs w:val="24"/>
          <w:highlight w:val="white"/>
        </w:rPr>
        <w:t>l training in inclusive education. Despite this, a substantial majority (93.2%) expressed willingness to engage in additional professional development. This reflects an eagerness to enhance their capacity to implement inclusive education practices, undersc</w:t>
      </w:r>
      <w:r>
        <w:rPr>
          <w:rFonts w:ascii="Times New Roman" w:eastAsia="Times New Roman" w:hAnsi="Times New Roman" w:cs="Times New Roman"/>
          <w:sz w:val="24"/>
          <w:szCs w:val="24"/>
          <w:highlight w:val="white"/>
        </w:rPr>
        <w:t>oring the critical role that ongoing professional development can play in improving the quality of education for children with special needs.</w:t>
      </w:r>
    </w:p>
    <w:p w14:paraId="65F3B995" w14:textId="77777777" w:rsidR="00086A58" w:rsidRDefault="009B1C7A">
      <w:pPr>
        <w:pStyle w:val="Heading4"/>
        <w:keepNext w:val="0"/>
        <w:keepLines w:val="0"/>
        <w:spacing w:before="240" w:after="40"/>
        <w:rPr>
          <w:rFonts w:ascii="Times New Roman" w:eastAsia="Times New Roman" w:hAnsi="Times New Roman" w:cs="Times New Roman"/>
          <w:b/>
          <w:bCs/>
          <w:color w:val="000000"/>
          <w:sz w:val="28"/>
          <w:szCs w:val="28"/>
          <w:highlight w:val="white"/>
        </w:rPr>
      </w:pPr>
      <w:bookmarkStart w:id="12" w:name="_heading=h.d935y66lmx84" w:colFirst="0" w:colLast="0"/>
      <w:bookmarkEnd w:id="12"/>
      <w:r>
        <w:rPr>
          <w:rFonts w:ascii="Times New Roman" w:eastAsia="Times New Roman" w:hAnsi="Times New Roman" w:cs="Times New Roman"/>
          <w:b/>
          <w:bCs/>
          <w:color w:val="000000"/>
          <w:sz w:val="28"/>
          <w:szCs w:val="28"/>
          <w:highlight w:val="white"/>
        </w:rPr>
        <w:t>Comparison with Existing Literature</w:t>
      </w:r>
    </w:p>
    <w:p w14:paraId="52236C68"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findings of this study align with existing research, which underscores the</w:t>
      </w:r>
      <w:r>
        <w:rPr>
          <w:rFonts w:ascii="Times New Roman" w:eastAsia="Times New Roman" w:hAnsi="Times New Roman" w:cs="Times New Roman"/>
          <w:sz w:val="24"/>
          <w:szCs w:val="24"/>
          <w:highlight w:val="white"/>
        </w:rPr>
        <w:t xml:space="preserve"> pivotal role that teachers' knowledge and attitudes play in the successful implementation of inclusive education (Cate et al., 2018; Belay, 2025). Teachers' positive attitudes toward inclusive education are strongly correlated with their willingness to ad</w:t>
      </w:r>
      <w:r>
        <w:rPr>
          <w:rFonts w:ascii="Times New Roman" w:eastAsia="Times New Roman" w:hAnsi="Times New Roman" w:cs="Times New Roman"/>
          <w:sz w:val="24"/>
          <w:szCs w:val="24"/>
          <w:highlight w:val="white"/>
        </w:rPr>
        <w:t xml:space="preserve">opt inclusive practices (Diseth, 2025). This study </w:t>
      </w:r>
      <w:r>
        <w:rPr>
          <w:rFonts w:ascii="Times New Roman" w:eastAsia="Times New Roman" w:hAnsi="Times New Roman" w:cs="Times New Roman"/>
          <w:sz w:val="24"/>
          <w:szCs w:val="24"/>
          <w:highlight w:val="white"/>
        </w:rPr>
        <w:lastRenderedPageBreak/>
        <w:t>similarly found that teachers with a solid understanding of inclusive education were more likely to believe in its benefits and were better equipped to modify their teaching practices to accommodate studen</w:t>
      </w:r>
      <w:r>
        <w:rPr>
          <w:rFonts w:ascii="Times New Roman" w:eastAsia="Times New Roman" w:hAnsi="Times New Roman" w:cs="Times New Roman"/>
          <w:sz w:val="24"/>
          <w:szCs w:val="24"/>
          <w:highlight w:val="white"/>
        </w:rPr>
        <w:t>ts with special needs.</w:t>
      </w:r>
    </w:p>
    <w:p w14:paraId="3402C579"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One notable comparison is the study by Arnaiz-Sánchez et al. (2023), which identified insufficient resources and lack of teacher training as significant barriers to implementing inclusive education. This finding resonates with the </w:t>
      </w:r>
      <w:r>
        <w:rPr>
          <w:rFonts w:ascii="Times New Roman" w:eastAsia="Times New Roman" w:hAnsi="Times New Roman" w:cs="Times New Roman"/>
          <w:sz w:val="24"/>
          <w:szCs w:val="24"/>
          <w:highlight w:val="white"/>
        </w:rPr>
        <w:t>results of this study, where the majority of participants cited insufficient resources as a key challenge. Despite this, teachers in both this study and Arnaiz-Sánchez et al. (2023) work expressed a high level of openness to additional training. Similarly,</w:t>
      </w:r>
      <w:r>
        <w:rPr>
          <w:rFonts w:ascii="Times New Roman" w:eastAsia="Times New Roman" w:hAnsi="Times New Roman" w:cs="Times New Roman"/>
          <w:sz w:val="24"/>
          <w:szCs w:val="24"/>
          <w:highlight w:val="white"/>
        </w:rPr>
        <w:t xml:space="preserve"> research by Alhassan et al. (2025) found that despite the awareness of inclusive education’s benefits, teachers often struggled with inadequate support systems, which aligns with the challenges reported by the teachers in this study.</w:t>
      </w:r>
    </w:p>
    <w:p w14:paraId="695E77D0"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gap between teach</w:t>
      </w:r>
      <w:r>
        <w:rPr>
          <w:rFonts w:ascii="Times New Roman" w:eastAsia="Times New Roman" w:hAnsi="Times New Roman" w:cs="Times New Roman"/>
          <w:sz w:val="24"/>
          <w:szCs w:val="24"/>
          <w:highlight w:val="white"/>
        </w:rPr>
        <w:t xml:space="preserve">ers' knowledge and their preparedness to implement inclusive education is also well-documented in other studies. A study by </w:t>
      </w:r>
      <w:proofErr w:type="spellStart"/>
      <w:r>
        <w:rPr>
          <w:rFonts w:ascii="Times New Roman" w:eastAsia="Times New Roman" w:hAnsi="Times New Roman" w:cs="Times New Roman"/>
          <w:sz w:val="24"/>
          <w:szCs w:val="24"/>
          <w:highlight w:val="white"/>
        </w:rPr>
        <w:t>Afriani</w:t>
      </w:r>
      <w:proofErr w:type="spellEnd"/>
      <w:r>
        <w:rPr>
          <w:rFonts w:ascii="Times New Roman" w:eastAsia="Times New Roman" w:hAnsi="Times New Roman" w:cs="Times New Roman"/>
          <w:sz w:val="24"/>
          <w:szCs w:val="24"/>
          <w:highlight w:val="white"/>
        </w:rPr>
        <w:t xml:space="preserve"> (2025) highlights that although teachers in inclusive settings often express positive attitudes toward inclusion, they frequ</w:t>
      </w:r>
      <w:r>
        <w:rPr>
          <w:rFonts w:ascii="Times New Roman" w:eastAsia="Times New Roman" w:hAnsi="Times New Roman" w:cs="Times New Roman"/>
          <w:sz w:val="24"/>
          <w:szCs w:val="24"/>
          <w:highlight w:val="white"/>
        </w:rPr>
        <w:t>ently feel unprepared and lack the necessary skills to meet the needs of students with disabilities. The results of this study support this observation, with many teachers acknowledging the importance of modifying the curriculum but expressing doubts about</w:t>
      </w:r>
      <w:r>
        <w:rPr>
          <w:rFonts w:ascii="Times New Roman" w:eastAsia="Times New Roman" w:hAnsi="Times New Roman" w:cs="Times New Roman"/>
          <w:sz w:val="24"/>
          <w:szCs w:val="24"/>
          <w:highlight w:val="white"/>
        </w:rPr>
        <w:t xml:space="preserve"> their preparedness. This suggests that while there is an understanding of inclusive education, the lack of adequate training, resources, and institutional support creates barriers to effectively putting these principles into practice.</w:t>
      </w:r>
    </w:p>
    <w:p w14:paraId="682763FE"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Furthermore, the fin</w:t>
      </w:r>
      <w:r>
        <w:rPr>
          <w:rFonts w:ascii="Times New Roman" w:eastAsia="Times New Roman" w:hAnsi="Times New Roman" w:cs="Times New Roman"/>
          <w:sz w:val="24"/>
          <w:szCs w:val="24"/>
          <w:highlight w:val="white"/>
        </w:rPr>
        <w:t>dings on assistive technologies align with those of Murillo-Jiménez et al. (2025), who identified the lack of knowledge and familiarity with such tools as a significant hindrance in the implementation of inclusive education. Despite the growing availabilit</w:t>
      </w:r>
      <w:r>
        <w:rPr>
          <w:rFonts w:ascii="Times New Roman" w:eastAsia="Times New Roman" w:hAnsi="Times New Roman" w:cs="Times New Roman"/>
          <w:sz w:val="24"/>
          <w:szCs w:val="24"/>
          <w:highlight w:val="white"/>
        </w:rPr>
        <w:t>y of technologies like screen readers, speech recognition software, and electronic math aids, teachers in this study showed lower levels of familiarity with these technologies. This indicates a pressing need for professional development programs that speci</w:t>
      </w:r>
      <w:r>
        <w:rPr>
          <w:rFonts w:ascii="Times New Roman" w:eastAsia="Times New Roman" w:hAnsi="Times New Roman" w:cs="Times New Roman"/>
          <w:sz w:val="24"/>
          <w:szCs w:val="24"/>
          <w:highlight w:val="white"/>
        </w:rPr>
        <w:t>fically address the use of assistive technologies in the classroom.</w:t>
      </w:r>
    </w:p>
    <w:p w14:paraId="4A33E3A9"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study’s finding that a majority of teachers (90.6%) faced challenges related to insufficient resources further highlights a critical issue identified by Angwaomaodoko (2023) in Nigeri</w:t>
      </w:r>
      <w:r>
        <w:rPr>
          <w:rFonts w:ascii="Times New Roman" w:eastAsia="Times New Roman" w:hAnsi="Times New Roman" w:cs="Times New Roman"/>
          <w:sz w:val="24"/>
          <w:szCs w:val="24"/>
          <w:highlight w:val="white"/>
        </w:rPr>
        <w:t>an schools. The lack of infrastructure and teaching aids, particularly in private schools, continues to pose significant obstacles to the successful integration of children with special needs. These findings underscore the importance of addressing systemic</w:t>
      </w:r>
      <w:r>
        <w:rPr>
          <w:rFonts w:ascii="Times New Roman" w:eastAsia="Times New Roman" w:hAnsi="Times New Roman" w:cs="Times New Roman"/>
          <w:sz w:val="24"/>
          <w:szCs w:val="24"/>
          <w:highlight w:val="white"/>
        </w:rPr>
        <w:t xml:space="preserve"> issues such as resource allocation and administrative support to enable the successful implementation of inclusive education.</w:t>
      </w:r>
    </w:p>
    <w:p w14:paraId="43B1A2CF"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Interestingly, while this study revealed a solid understanding of inclusive education concepts and a high willingness to undergo </w:t>
      </w:r>
      <w:r>
        <w:rPr>
          <w:rFonts w:ascii="Times New Roman" w:eastAsia="Times New Roman" w:hAnsi="Times New Roman" w:cs="Times New Roman"/>
          <w:sz w:val="24"/>
          <w:szCs w:val="24"/>
          <w:highlight w:val="white"/>
        </w:rPr>
        <w:t>further training, the lack of formal training in special education (45.2%) reflects a gap in teacher preparation programs, as noted in the study by Angwaomaodoko (2023). Their research indicated that teachers' preparedness is often undermined by the lack o</w:t>
      </w:r>
      <w:r>
        <w:rPr>
          <w:rFonts w:ascii="Times New Roman" w:eastAsia="Times New Roman" w:hAnsi="Times New Roman" w:cs="Times New Roman"/>
          <w:sz w:val="24"/>
          <w:szCs w:val="24"/>
          <w:highlight w:val="white"/>
        </w:rPr>
        <w:t>f targeted training in inclusive practices, a challenge also highlighted in this study.</w:t>
      </w:r>
    </w:p>
    <w:p w14:paraId="10BFC5EE"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The findings regarding the benefits of inclusive education echo the broader literature that emphasizes the positive impact of inclusive education on both students with </w:t>
      </w:r>
      <w:r>
        <w:rPr>
          <w:rFonts w:ascii="Times New Roman" w:eastAsia="Times New Roman" w:hAnsi="Times New Roman" w:cs="Times New Roman"/>
          <w:sz w:val="24"/>
          <w:szCs w:val="24"/>
          <w:highlight w:val="white"/>
        </w:rPr>
        <w:t>special needs and their peers. The integration of students with special needs into mainstream classrooms promotes social inclusion, enhances self-esteem, and improves academic outcomes for all students (Wang et al., 2023). This study found similar benefits</w:t>
      </w:r>
      <w:r>
        <w:rPr>
          <w:rFonts w:ascii="Times New Roman" w:eastAsia="Times New Roman" w:hAnsi="Times New Roman" w:cs="Times New Roman"/>
          <w:sz w:val="24"/>
          <w:szCs w:val="24"/>
          <w:highlight w:val="white"/>
        </w:rPr>
        <w:t>, with most respondents recognizing increased social inclusion (84.4%) and greater diversity in learning environments (75%) as key advantages.</w:t>
      </w:r>
    </w:p>
    <w:p w14:paraId="2818F010" w14:textId="77777777" w:rsidR="00086A58" w:rsidRDefault="009B1C7A">
      <w:pPr>
        <w:pStyle w:val="Heading4"/>
        <w:keepNext w:val="0"/>
        <w:keepLines w:val="0"/>
        <w:spacing w:before="240" w:after="40"/>
        <w:rPr>
          <w:rFonts w:ascii="Times New Roman" w:eastAsia="Times New Roman" w:hAnsi="Times New Roman" w:cs="Times New Roman"/>
          <w:b/>
          <w:bCs/>
          <w:color w:val="000000"/>
          <w:sz w:val="28"/>
          <w:szCs w:val="28"/>
          <w:highlight w:val="white"/>
        </w:rPr>
      </w:pPr>
      <w:bookmarkStart w:id="13" w:name="_heading=h.mc7ing75hfpe" w:colFirst="0" w:colLast="0"/>
      <w:bookmarkEnd w:id="13"/>
      <w:r>
        <w:rPr>
          <w:rFonts w:ascii="Times New Roman" w:eastAsia="Times New Roman" w:hAnsi="Times New Roman" w:cs="Times New Roman"/>
          <w:b/>
          <w:bCs/>
          <w:color w:val="000000"/>
          <w:sz w:val="28"/>
          <w:szCs w:val="28"/>
          <w:highlight w:val="white"/>
        </w:rPr>
        <w:t>Relevance of the Study Findings and Implementation for Interventional Purposes</w:t>
      </w:r>
    </w:p>
    <w:p w14:paraId="5FBE5CEB"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findings of this study are hig</w:t>
      </w:r>
      <w:r>
        <w:rPr>
          <w:rFonts w:ascii="Times New Roman" w:eastAsia="Times New Roman" w:hAnsi="Times New Roman" w:cs="Times New Roman"/>
          <w:sz w:val="24"/>
          <w:szCs w:val="24"/>
          <w:highlight w:val="white"/>
        </w:rPr>
        <w:t>hly relevant to the ongoing discourse on the need for improved teacher preparation and support for inclusive education in Nigerian schools. Given that a significant proportion of teachers reported insufficient training, a key intervention would be the impl</w:t>
      </w:r>
      <w:r>
        <w:rPr>
          <w:rFonts w:ascii="Times New Roman" w:eastAsia="Times New Roman" w:hAnsi="Times New Roman" w:cs="Times New Roman"/>
          <w:sz w:val="24"/>
          <w:szCs w:val="24"/>
          <w:highlight w:val="white"/>
        </w:rPr>
        <w:t>ementation of robust, targeted professional development programs that focus on inclusive teaching strategies, special needs identification, and the effective use of assistive technologies. The high willingness to participate in further training (93.2%) ind</w:t>
      </w:r>
      <w:r>
        <w:rPr>
          <w:rFonts w:ascii="Times New Roman" w:eastAsia="Times New Roman" w:hAnsi="Times New Roman" w:cs="Times New Roman"/>
          <w:sz w:val="24"/>
          <w:szCs w:val="24"/>
          <w:highlight w:val="white"/>
        </w:rPr>
        <w:t>icates that teachers are open to learning and enhancing their skills, which could be harnessed to design more effective and accessible training programs.</w:t>
      </w:r>
    </w:p>
    <w:p w14:paraId="24FF8BAC"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Additionally, the findings highlight the need for policy interventions that prioritize resource alloca</w:t>
      </w:r>
      <w:r>
        <w:rPr>
          <w:rFonts w:ascii="Times New Roman" w:eastAsia="Times New Roman" w:hAnsi="Times New Roman" w:cs="Times New Roman"/>
          <w:sz w:val="24"/>
          <w:szCs w:val="24"/>
          <w:highlight w:val="white"/>
        </w:rPr>
        <w:t>tion for inclusive education in schools. The overwhelming challenge of insufficient resources (90.6%) suggests that addressing this issue is critical to improving the effectiveness of inclusive education. Policymakers and school administrators must work to</w:t>
      </w:r>
      <w:r>
        <w:rPr>
          <w:rFonts w:ascii="Times New Roman" w:eastAsia="Times New Roman" w:hAnsi="Times New Roman" w:cs="Times New Roman"/>
          <w:sz w:val="24"/>
          <w:szCs w:val="24"/>
          <w:highlight w:val="white"/>
        </w:rPr>
        <w:t xml:space="preserve"> provide the necessary infrastructure, teaching materials, and technologies to support teachers in meeting the needs of students with special needs.</w:t>
      </w:r>
    </w:p>
    <w:p w14:paraId="7A9E1953"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Furthermore, the study emphasizes the importance of fostering a culture of collaboration among teachers, sp</w:t>
      </w:r>
      <w:r>
        <w:rPr>
          <w:rFonts w:ascii="Times New Roman" w:eastAsia="Times New Roman" w:hAnsi="Times New Roman" w:cs="Times New Roman"/>
          <w:sz w:val="24"/>
          <w:szCs w:val="24"/>
          <w:highlight w:val="white"/>
        </w:rPr>
        <w:t>ecial education staff, and administrative bodies. The reported challenges related to limited support from colleagues (46.9%) and lack of administrative support (40.6%) underscore the need for a more integrated approach to inclusive education, where all sta</w:t>
      </w:r>
      <w:r>
        <w:rPr>
          <w:rFonts w:ascii="Times New Roman" w:eastAsia="Times New Roman" w:hAnsi="Times New Roman" w:cs="Times New Roman"/>
          <w:sz w:val="24"/>
          <w:szCs w:val="24"/>
          <w:highlight w:val="white"/>
        </w:rPr>
        <w:t>keholders work together to create an inclusive and supportive learning environment.</w:t>
      </w:r>
    </w:p>
    <w:p w14:paraId="48E18B0A" w14:textId="77777777" w:rsidR="00086A58" w:rsidRDefault="00086A58">
      <w:pPr>
        <w:spacing w:before="240" w:after="240"/>
        <w:jc w:val="both"/>
        <w:rPr>
          <w:rFonts w:ascii="Times New Roman" w:eastAsia="Times New Roman" w:hAnsi="Times New Roman" w:cs="Times New Roman"/>
          <w:sz w:val="16"/>
          <w:szCs w:val="16"/>
          <w:highlight w:val="white"/>
        </w:rPr>
      </w:pPr>
      <w:bookmarkStart w:id="14" w:name="_heading=h.m443i2qgp6zr" w:colFirst="0" w:colLast="0"/>
      <w:bookmarkEnd w:id="14"/>
    </w:p>
    <w:p w14:paraId="0F9FDC73" w14:textId="77777777" w:rsidR="00086A58" w:rsidRDefault="009B1C7A">
      <w:pPr>
        <w:spacing w:before="240" w:after="240"/>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Conclusion</w:t>
      </w:r>
    </w:p>
    <w:p w14:paraId="02D8D03E"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While teachers generally understand the core concepts of inclusive education and its benefits, significant gaps remain in their preparedness and training. Despite a strong willingness for further professional development, many teachers report insufficient </w:t>
      </w:r>
      <w:r>
        <w:rPr>
          <w:rFonts w:ascii="Times New Roman" w:eastAsia="Times New Roman" w:hAnsi="Times New Roman" w:cs="Times New Roman"/>
          <w:sz w:val="24"/>
          <w:szCs w:val="24"/>
          <w:highlight w:val="white"/>
        </w:rPr>
        <w:t xml:space="preserve">training and resources, which hinder their ability to effectively implement inclusive practices. The study calls for targeted professional development programs, enhanced resource allocation, and stronger collaboration among educators and administrators to </w:t>
      </w:r>
      <w:r>
        <w:rPr>
          <w:rFonts w:ascii="Times New Roman" w:eastAsia="Times New Roman" w:hAnsi="Times New Roman" w:cs="Times New Roman"/>
          <w:sz w:val="24"/>
          <w:szCs w:val="24"/>
          <w:highlight w:val="white"/>
        </w:rPr>
        <w:t xml:space="preserve">support inclusive education. Policy changes are needed to address the </w:t>
      </w:r>
      <w:r>
        <w:rPr>
          <w:rFonts w:ascii="Times New Roman" w:eastAsia="Times New Roman" w:hAnsi="Times New Roman" w:cs="Times New Roman"/>
          <w:sz w:val="24"/>
          <w:szCs w:val="24"/>
          <w:highlight w:val="white"/>
        </w:rPr>
        <w:lastRenderedPageBreak/>
        <w:t>systemic challenges, particularly the lack of infrastructure and teaching aids. Future research should explore the direct impact of teachers’ knowledge on student outcomes, further deepe</w:t>
      </w:r>
      <w:r>
        <w:rPr>
          <w:rFonts w:ascii="Times New Roman" w:eastAsia="Times New Roman" w:hAnsi="Times New Roman" w:cs="Times New Roman"/>
          <w:sz w:val="24"/>
          <w:szCs w:val="24"/>
          <w:highlight w:val="white"/>
        </w:rPr>
        <w:t>ning the understanding of the complexities surrounding inclusive education and offering valuable insights for future educational reforms.</w:t>
      </w:r>
    </w:p>
    <w:p w14:paraId="17A19ED7" w14:textId="77777777" w:rsidR="00731E2C" w:rsidRDefault="00731E2C" w:rsidP="00731E2C">
      <w:pPr>
        <w:pStyle w:val="Heading4"/>
        <w:keepNext w:val="0"/>
        <w:keepLines w:val="0"/>
        <w:spacing w:before="240" w:after="40"/>
        <w:rPr>
          <w:rFonts w:ascii="Times New Roman" w:eastAsia="Times New Roman" w:hAnsi="Times New Roman" w:cs="Times New Roman"/>
          <w:b/>
          <w:bCs/>
          <w:color w:val="000000"/>
          <w:sz w:val="28"/>
          <w:szCs w:val="28"/>
          <w:highlight w:val="white"/>
        </w:rPr>
      </w:pPr>
      <w:r>
        <w:rPr>
          <w:rFonts w:ascii="Times New Roman" w:eastAsia="Times New Roman" w:hAnsi="Times New Roman" w:cs="Times New Roman"/>
          <w:b/>
          <w:bCs/>
          <w:color w:val="000000"/>
          <w:sz w:val="28"/>
          <w:szCs w:val="28"/>
          <w:highlight w:val="white"/>
        </w:rPr>
        <w:t>Limitations</w:t>
      </w:r>
    </w:p>
    <w:p w14:paraId="2E576F8E" w14:textId="77777777" w:rsidR="00731E2C" w:rsidRDefault="00731E2C" w:rsidP="00731E2C">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research was conducted in only three (3) private schools in Anambra State, which may limit the generalizability of the findings to other schools in different regions of Nigeria or to public schools. Additionally, the study relied on self-reported data, which may be subject to social desirability bias, where participants may have provided responses they felt were more acceptable or expected. The lack of longitudinal data also limits the ability to assess changes over time in teachers’ knowledge and practices.</w:t>
      </w:r>
    </w:p>
    <w:p w14:paraId="6B5F5F11" w14:textId="77777777" w:rsidR="00731E2C" w:rsidRDefault="00731E2C" w:rsidP="00731E2C">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Furthermore, while the study provides valuable insights into teachers' perceptions and knowledge, it does not directly assess the impact of these perceptions on student outcomes. Future research could explore the relationship between teachers’ knowledge and their effectiveness in implementing inclusive education strategies, as well as the direct impact on students with special needs.</w:t>
      </w:r>
    </w:p>
    <w:p w14:paraId="44CF1021" w14:textId="77777777" w:rsidR="00731E2C" w:rsidRDefault="00731E2C" w:rsidP="00731E2C">
      <w:pPr>
        <w:pStyle w:val="Heading3"/>
        <w:keepNext w:val="0"/>
        <w:keepLines w:val="0"/>
        <w:spacing w:before="280"/>
        <w:rPr>
          <w:rFonts w:ascii="Times New Roman" w:eastAsia="Times New Roman" w:hAnsi="Times New Roman" w:cs="Times New Roman"/>
          <w:b/>
          <w:bCs/>
          <w:color w:val="000000"/>
          <w:highlight w:val="white"/>
        </w:rPr>
      </w:pPr>
      <w:bookmarkStart w:id="15" w:name="_heading=h.owtdjfyg7ga4" w:colFirst="0" w:colLast="0"/>
      <w:bookmarkStart w:id="16" w:name="_heading=h.t8ahpix9ic9l" w:colFirst="0" w:colLast="0"/>
      <w:bookmarkEnd w:id="15"/>
      <w:bookmarkEnd w:id="16"/>
      <w:r>
        <w:rPr>
          <w:rFonts w:ascii="Times New Roman" w:eastAsia="Times New Roman" w:hAnsi="Times New Roman" w:cs="Times New Roman"/>
          <w:b/>
          <w:bCs/>
          <w:color w:val="000000"/>
          <w:highlight w:val="white"/>
        </w:rPr>
        <w:t>Recommendations</w:t>
      </w:r>
    </w:p>
    <w:p w14:paraId="56AA8CB1" w14:textId="77777777" w:rsidR="00731E2C" w:rsidRDefault="00731E2C" w:rsidP="00731E2C">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Based on the findings of this study, several recommendations can be made to improve the implementation of inclusive education in Nigerian schools. First, there is a critical need for targeted professional development programs for teachers. Given that many teachers have not received formal training in inclusive education, it is essential that training sessions are organized to equip teachers with the knowledge and skills to effectively integrate students with special needs. These training programs should include practical strategies, use of assistive technologies, and classroom management techniques.</w:t>
      </w:r>
    </w:p>
    <w:p w14:paraId="67E43FCF" w14:textId="77777777" w:rsidR="00731E2C" w:rsidRDefault="00731E2C" w:rsidP="00731E2C">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Second, it is important for schools and policymakers to address the issue of insufficient resources. This study highlighted the lack of teaching materials and assistive technologies as significant barriers to effective inclusive education. Schools should be provided with the necessary tools, including specialized learning materials, technologies, and physical infrastructure, to better support students with special needs.</w:t>
      </w:r>
    </w:p>
    <w:p w14:paraId="3A70DC6A" w14:textId="77777777" w:rsidR="00731E2C" w:rsidRDefault="00731E2C" w:rsidP="00731E2C">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Additionally, fostering a culture of collaboration among teachers, special education staff, and school administrators is essential. Teachers need more support from their colleagues and administrators to effectively implement inclusive practices. Collaboration can enhance the sharing of resources and ideas, creating a more inclusive and supportive learning environment.</w:t>
      </w:r>
    </w:p>
    <w:p w14:paraId="16C49DC9" w14:textId="77777777" w:rsidR="00731E2C" w:rsidRDefault="00731E2C" w:rsidP="00731E2C">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Lastly, ongoing research into the effectiveness of inclusive education practices is recommended. Future studies should explore the direct impact of teachers’ knowledge and strategies on student outcomes, providing further insight into areas for improvement.</w:t>
      </w:r>
    </w:p>
    <w:p w14:paraId="52B9914C" w14:textId="77777777" w:rsidR="00086A58" w:rsidRDefault="00086A58">
      <w:pPr>
        <w:spacing w:before="240" w:after="240"/>
        <w:jc w:val="both"/>
        <w:rPr>
          <w:rFonts w:ascii="Times New Roman" w:eastAsia="Times New Roman" w:hAnsi="Times New Roman" w:cs="Times New Roman"/>
          <w:sz w:val="24"/>
          <w:szCs w:val="24"/>
          <w:highlight w:val="white"/>
        </w:rPr>
      </w:pPr>
    </w:p>
    <w:p w14:paraId="3407E1FC" w14:textId="77777777" w:rsidR="00086A58" w:rsidRDefault="009B1C7A">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Competing Interests:</w:t>
      </w:r>
      <w:r>
        <w:rPr>
          <w:rFonts w:ascii="Times New Roman" w:eastAsia="Times New Roman" w:hAnsi="Times New Roman" w:cs="Times New Roman"/>
          <w:sz w:val="20"/>
          <w:szCs w:val="20"/>
        </w:rPr>
        <w:t xml:space="preserve"> All the authors declare that they have no conflict of interest.</w:t>
      </w:r>
    </w:p>
    <w:p w14:paraId="2D755511" w14:textId="77777777" w:rsidR="00086A58" w:rsidRDefault="009B1C7A">
      <w:pPr>
        <w:shd w:val="clear" w:color="auto" w:fill="FCFCFC"/>
        <w:spacing w:after="100" w:line="360" w:lineRule="auto"/>
        <w:jc w:val="both"/>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 xml:space="preserve">Consent for publication: </w:t>
      </w:r>
      <w:r>
        <w:rPr>
          <w:rFonts w:ascii="Times New Roman" w:eastAsia="Times New Roman" w:hAnsi="Times New Roman" w:cs="Times New Roman"/>
          <w:sz w:val="20"/>
          <w:szCs w:val="20"/>
          <w:highlight w:val="white"/>
        </w:rPr>
        <w:t>Respondents gave consent for their responses to be utilized provided anonymity was maintained.</w:t>
      </w:r>
    </w:p>
    <w:p w14:paraId="21841924" w14:textId="77777777" w:rsidR="00086A58" w:rsidRDefault="009B1C7A">
      <w:pPr>
        <w:spacing w:before="240" w:after="240"/>
        <w:jc w:val="both"/>
        <w:rPr>
          <w:rFonts w:ascii="Times New Roman" w:eastAsia="Times New Roman" w:hAnsi="Times New Roman" w:cs="Times New Roman"/>
          <w:sz w:val="20"/>
          <w:szCs w:val="20"/>
          <w:highlight w:val="white"/>
        </w:rPr>
      </w:pPr>
      <w:bookmarkStart w:id="17" w:name="_GoBack"/>
      <w:bookmarkEnd w:id="17"/>
      <w:r>
        <w:rPr>
          <w:rFonts w:ascii="Times New Roman" w:eastAsia="Times New Roman" w:hAnsi="Times New Roman" w:cs="Times New Roman"/>
          <w:b/>
          <w:bCs/>
          <w:sz w:val="20"/>
          <w:szCs w:val="20"/>
          <w:highlight w:val="white"/>
        </w:rPr>
        <w:t xml:space="preserve">Ethical Considerations: </w:t>
      </w:r>
      <w:r>
        <w:rPr>
          <w:rFonts w:ascii="Times New Roman" w:eastAsia="Times New Roman" w:hAnsi="Times New Roman" w:cs="Times New Roman"/>
          <w:sz w:val="20"/>
          <w:szCs w:val="20"/>
          <w:highlight w:val="white"/>
        </w:rPr>
        <w:t>This study adhered to ethical guidelines for research involving human participants. Prior to data collection, informed</w:t>
      </w:r>
      <w:r>
        <w:rPr>
          <w:rFonts w:ascii="Times New Roman" w:eastAsia="Times New Roman" w:hAnsi="Times New Roman" w:cs="Times New Roman"/>
          <w:sz w:val="20"/>
          <w:szCs w:val="20"/>
          <w:highlight w:val="white"/>
        </w:rPr>
        <w:t xml:space="preserve"> consent was obtained from all participants, ensuring that they were fully aware of the purpose of the study, the voluntary nature of their participation, and the confidentiality of their responses. Teachers were informed that they could withdraw from the </w:t>
      </w:r>
      <w:r>
        <w:rPr>
          <w:rFonts w:ascii="Times New Roman" w:eastAsia="Times New Roman" w:hAnsi="Times New Roman" w:cs="Times New Roman"/>
          <w:sz w:val="20"/>
          <w:szCs w:val="20"/>
          <w:highlight w:val="white"/>
        </w:rPr>
        <w:t>study at any time without any negative consequences. The study also ensured that the data collected were used solely for research purposes and that the anonymity of the respondents was maintained throughout the study. Approval for the study was obtained fr</w:t>
      </w:r>
      <w:r>
        <w:rPr>
          <w:rFonts w:ascii="Times New Roman" w:eastAsia="Times New Roman" w:hAnsi="Times New Roman" w:cs="Times New Roman"/>
          <w:sz w:val="20"/>
          <w:szCs w:val="20"/>
          <w:highlight w:val="white"/>
        </w:rPr>
        <w:t xml:space="preserve">om the </w:t>
      </w:r>
      <w:proofErr w:type="gramStart"/>
      <w:r>
        <w:rPr>
          <w:rFonts w:ascii="Times New Roman" w:eastAsia="Times New Roman" w:hAnsi="Times New Roman" w:cs="Times New Roman"/>
          <w:sz w:val="20"/>
          <w:szCs w:val="20"/>
          <w:highlight w:val="white"/>
        </w:rPr>
        <w:t>institutional  authority</w:t>
      </w:r>
      <w:proofErr w:type="gramEnd"/>
      <w:r>
        <w:rPr>
          <w:rFonts w:ascii="Times New Roman" w:eastAsia="Times New Roman" w:hAnsi="Times New Roman" w:cs="Times New Roman"/>
          <w:sz w:val="20"/>
          <w:szCs w:val="20"/>
          <w:highlight w:val="white"/>
        </w:rPr>
        <w:t xml:space="preserve"> in the respective schools.</w:t>
      </w:r>
    </w:p>
    <w:p w14:paraId="63C53365" w14:textId="77777777" w:rsidR="00086A58" w:rsidRDefault="00086A58">
      <w:pPr>
        <w:spacing w:before="240" w:after="240"/>
        <w:jc w:val="both"/>
        <w:rPr>
          <w:rFonts w:ascii="Times New Roman" w:eastAsia="Times New Roman" w:hAnsi="Times New Roman" w:cs="Times New Roman"/>
          <w:sz w:val="24"/>
          <w:szCs w:val="24"/>
          <w:highlight w:val="white"/>
        </w:rPr>
      </w:pPr>
    </w:p>
    <w:p w14:paraId="1F51A82C" w14:textId="77777777" w:rsidR="00086A58" w:rsidRDefault="00086A58">
      <w:pPr>
        <w:spacing w:before="240" w:after="240"/>
        <w:jc w:val="both"/>
        <w:rPr>
          <w:rFonts w:ascii="Times New Roman" w:eastAsia="Times New Roman" w:hAnsi="Times New Roman" w:cs="Times New Roman"/>
          <w:sz w:val="24"/>
          <w:szCs w:val="24"/>
          <w:highlight w:val="white"/>
        </w:rPr>
      </w:pPr>
    </w:p>
    <w:p w14:paraId="1AAD6AD7" w14:textId="77777777" w:rsidR="00086A58" w:rsidRDefault="009B1C7A">
      <w:pP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References </w:t>
      </w:r>
    </w:p>
    <w:p w14:paraId="09E87F31" w14:textId="77777777" w:rsidR="00086A58" w:rsidRDefault="00086A58">
      <w:pPr>
        <w:rPr>
          <w:rFonts w:ascii="Times New Roman" w:eastAsia="Times New Roman" w:hAnsi="Times New Roman" w:cs="Times New Roman"/>
          <w:b/>
          <w:bCs/>
          <w:sz w:val="32"/>
          <w:szCs w:val="32"/>
        </w:rPr>
      </w:pPr>
    </w:p>
    <w:p w14:paraId="37644069"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Abeykoon, H. (2024). Challenges Faced </w:t>
      </w:r>
      <w:proofErr w:type="gramStart"/>
      <w:r>
        <w:rPr>
          <w:rFonts w:ascii="Times New Roman" w:eastAsia="Times New Roman" w:hAnsi="Times New Roman" w:cs="Times New Roman"/>
          <w:sz w:val="24"/>
          <w:szCs w:val="24"/>
          <w:highlight w:val="white"/>
        </w:rPr>
        <w:t>By</w:t>
      </w:r>
      <w:proofErr w:type="gramEnd"/>
      <w:r>
        <w:rPr>
          <w:rFonts w:ascii="Times New Roman" w:eastAsia="Times New Roman" w:hAnsi="Times New Roman" w:cs="Times New Roman"/>
          <w:sz w:val="24"/>
          <w:szCs w:val="24"/>
          <w:highlight w:val="white"/>
        </w:rPr>
        <w:t xml:space="preserve"> Educators In Supporting Children With Special Educational Needs And Disabilities In England. International Journal of Education and Research,</w:t>
      </w:r>
      <w:r>
        <w:rPr>
          <w:rFonts w:ascii="Times New Roman" w:eastAsia="Times New Roman" w:hAnsi="Times New Roman" w:cs="Times New Roman"/>
          <w:sz w:val="24"/>
          <w:szCs w:val="24"/>
          <w:highlight w:val="white"/>
        </w:rPr>
        <w:t xml:space="preserve"> 12(12), 63-84. </w:t>
      </w:r>
      <w:hyperlink r:id="rId10">
        <w:r w:rsidR="00086A58">
          <w:rPr>
            <w:rFonts w:ascii="Times New Roman" w:eastAsia="Times New Roman" w:hAnsi="Times New Roman" w:cs="Times New Roman"/>
            <w:sz w:val="24"/>
            <w:szCs w:val="24"/>
            <w:highlight w:val="white"/>
            <w:u w:val="single"/>
          </w:rPr>
          <w:t>https://ijern.com/journal/2024/December-2024/06.pdf</w:t>
        </w:r>
      </w:hyperlink>
    </w:p>
    <w:p w14:paraId="1C07CC2C" w14:textId="77777777" w:rsidR="00086A58" w:rsidRDefault="009B1C7A">
      <w:p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Adesokan</w:t>
      </w:r>
      <w:proofErr w:type="spellEnd"/>
      <w:r>
        <w:rPr>
          <w:rFonts w:ascii="Times New Roman" w:eastAsia="Times New Roman" w:hAnsi="Times New Roman" w:cs="Times New Roman"/>
          <w:sz w:val="24"/>
          <w:szCs w:val="24"/>
          <w:highlight w:val="white"/>
        </w:rPr>
        <w:t xml:space="preserve">, A., &amp; </w:t>
      </w:r>
      <w:proofErr w:type="spellStart"/>
      <w:r>
        <w:rPr>
          <w:rFonts w:ascii="Times New Roman" w:eastAsia="Times New Roman" w:hAnsi="Times New Roman" w:cs="Times New Roman"/>
          <w:sz w:val="24"/>
          <w:szCs w:val="24"/>
          <w:highlight w:val="white"/>
        </w:rPr>
        <w:t>Bojuwoye</w:t>
      </w:r>
      <w:proofErr w:type="spellEnd"/>
      <w:r>
        <w:rPr>
          <w:rFonts w:ascii="Times New Roman" w:eastAsia="Times New Roman" w:hAnsi="Times New Roman" w:cs="Times New Roman"/>
          <w:sz w:val="24"/>
          <w:szCs w:val="24"/>
          <w:highlight w:val="white"/>
        </w:rPr>
        <w:t xml:space="preserve">, O. (2023). Teachers’ perceived barriers to inclusive education. ASEAN Journal of Community </w:t>
      </w:r>
      <w:r>
        <w:rPr>
          <w:rFonts w:ascii="Times New Roman" w:eastAsia="Times New Roman" w:hAnsi="Times New Roman" w:cs="Times New Roman"/>
          <w:sz w:val="24"/>
          <w:szCs w:val="24"/>
          <w:highlight w:val="white"/>
        </w:rPr>
        <w:t xml:space="preserve">and Special Needs Education, 2(2), 91-96. </w:t>
      </w:r>
      <w:hyperlink r:id="rId11">
        <w:r w:rsidR="00086A58">
          <w:rPr>
            <w:rFonts w:ascii="Times New Roman" w:eastAsia="Times New Roman" w:hAnsi="Times New Roman" w:cs="Times New Roman"/>
            <w:sz w:val="24"/>
            <w:szCs w:val="24"/>
            <w:highlight w:val="white"/>
            <w:u w:val="single"/>
          </w:rPr>
          <w:t>https://www.ejournal.bumipublikasinusantara.id/index.php/ajcsne/article/view/335</w:t>
        </w:r>
      </w:hyperlink>
    </w:p>
    <w:p w14:paraId="72306728" w14:textId="77777777" w:rsidR="00086A58" w:rsidRDefault="00086A58">
      <w:pPr>
        <w:ind w:left="720"/>
        <w:jc w:val="both"/>
        <w:rPr>
          <w:rFonts w:ascii="Times New Roman" w:eastAsia="Times New Roman" w:hAnsi="Times New Roman" w:cs="Times New Roman"/>
          <w:sz w:val="24"/>
          <w:szCs w:val="24"/>
          <w:highlight w:val="white"/>
        </w:rPr>
      </w:pPr>
    </w:p>
    <w:p w14:paraId="45F26C0E"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Adigun, O. T. (2021). Inclusive </w:t>
      </w:r>
      <w:r>
        <w:rPr>
          <w:rFonts w:ascii="Times New Roman" w:eastAsia="Times New Roman" w:hAnsi="Times New Roman" w:cs="Times New Roman"/>
          <w:sz w:val="24"/>
          <w:szCs w:val="24"/>
          <w:highlight w:val="white"/>
        </w:rPr>
        <w:t xml:space="preserve">education among pre-service teachers from Nigeria and South Africa: A comparative cross-sectional study. Cogent Education, 8(1). </w:t>
      </w:r>
      <w:hyperlink r:id="rId12">
        <w:r w:rsidR="00086A58">
          <w:rPr>
            <w:rFonts w:ascii="Times New Roman" w:eastAsia="Times New Roman" w:hAnsi="Times New Roman" w:cs="Times New Roman"/>
            <w:sz w:val="24"/>
            <w:szCs w:val="24"/>
            <w:highlight w:val="white"/>
            <w:u w:val="single"/>
          </w:rPr>
          <w:t>https://doi.org/10.1080/2331186X.2021.1930491</w:t>
        </w:r>
      </w:hyperlink>
    </w:p>
    <w:p w14:paraId="00283F1D" w14:textId="77777777" w:rsidR="00086A58" w:rsidRDefault="00086A58">
      <w:pPr>
        <w:ind w:left="720"/>
        <w:jc w:val="both"/>
        <w:rPr>
          <w:rFonts w:ascii="Times New Roman" w:eastAsia="Times New Roman" w:hAnsi="Times New Roman" w:cs="Times New Roman"/>
          <w:sz w:val="24"/>
          <w:szCs w:val="24"/>
          <w:highlight w:val="white"/>
        </w:rPr>
      </w:pPr>
    </w:p>
    <w:p w14:paraId="2309EFD6" w14:textId="77777777" w:rsidR="00086A58" w:rsidRDefault="009B1C7A">
      <w:p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Afriani</w:t>
      </w:r>
      <w:proofErr w:type="spellEnd"/>
      <w:r>
        <w:rPr>
          <w:rFonts w:ascii="Times New Roman" w:eastAsia="Times New Roman" w:hAnsi="Times New Roman" w:cs="Times New Roman"/>
          <w:sz w:val="24"/>
          <w:szCs w:val="24"/>
          <w:highlight w:val="white"/>
        </w:rPr>
        <w:t>, G. (20</w:t>
      </w:r>
      <w:r>
        <w:rPr>
          <w:rFonts w:ascii="Times New Roman" w:eastAsia="Times New Roman" w:hAnsi="Times New Roman" w:cs="Times New Roman"/>
          <w:sz w:val="24"/>
          <w:szCs w:val="24"/>
          <w:highlight w:val="white"/>
        </w:rPr>
        <w:t xml:space="preserve">25). The Role of Teachers in Implementing Inclusive Education for Children with Special Needs in General School </w:t>
      </w:r>
      <w:proofErr w:type="gramStart"/>
      <w:r>
        <w:rPr>
          <w:rFonts w:ascii="Times New Roman" w:eastAsia="Times New Roman" w:hAnsi="Times New Roman" w:cs="Times New Roman"/>
          <w:sz w:val="24"/>
          <w:szCs w:val="24"/>
          <w:highlight w:val="white"/>
        </w:rPr>
        <w:t>Environments .</w:t>
      </w:r>
      <w:proofErr w:type="gramEnd"/>
      <w:r>
        <w:rPr>
          <w:rFonts w:ascii="Times New Roman" w:eastAsia="Times New Roman" w:hAnsi="Times New Roman" w:cs="Times New Roman"/>
          <w:sz w:val="24"/>
          <w:szCs w:val="24"/>
          <w:highlight w:val="white"/>
        </w:rPr>
        <w:t xml:space="preserve"> Global Education Journal, 3(2), 575–583. </w:t>
      </w:r>
      <w:hyperlink r:id="rId13">
        <w:r w:rsidR="00086A58">
          <w:rPr>
            <w:rFonts w:ascii="Times New Roman" w:eastAsia="Times New Roman" w:hAnsi="Times New Roman" w:cs="Times New Roman"/>
            <w:sz w:val="24"/>
            <w:szCs w:val="24"/>
            <w:highlight w:val="white"/>
            <w:u w:val="single"/>
          </w:rPr>
          <w:t>https://doi.org/10.59525/gej.v3i2.751</w:t>
        </w:r>
      </w:hyperlink>
    </w:p>
    <w:p w14:paraId="4F42B657" w14:textId="77777777" w:rsidR="00086A58" w:rsidRDefault="00086A58">
      <w:pPr>
        <w:ind w:left="720"/>
        <w:jc w:val="both"/>
        <w:rPr>
          <w:rFonts w:ascii="Times New Roman" w:eastAsia="Times New Roman" w:hAnsi="Times New Roman" w:cs="Times New Roman"/>
          <w:sz w:val="24"/>
          <w:szCs w:val="24"/>
          <w:highlight w:val="white"/>
        </w:rPr>
      </w:pPr>
    </w:p>
    <w:p w14:paraId="4D5A086A"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Ainscow, M. (2020). Promoting inclusion and equity in education: lessons from international experiences. Nordic Journal of Studies in Educational Policy, 6(1), 7–16. </w:t>
      </w:r>
      <w:hyperlink r:id="rId14">
        <w:r w:rsidR="00086A58">
          <w:rPr>
            <w:rFonts w:ascii="Times New Roman" w:eastAsia="Times New Roman" w:hAnsi="Times New Roman" w:cs="Times New Roman"/>
            <w:sz w:val="24"/>
            <w:szCs w:val="24"/>
            <w:highlight w:val="white"/>
            <w:u w:val="single"/>
          </w:rPr>
          <w:t>https://doi.org/10.1080/20020317.2020.1729587</w:t>
        </w:r>
      </w:hyperlink>
    </w:p>
    <w:p w14:paraId="12019810" w14:textId="77777777" w:rsidR="00086A58" w:rsidRDefault="00086A58">
      <w:pPr>
        <w:ind w:left="720"/>
        <w:jc w:val="both"/>
        <w:rPr>
          <w:rFonts w:ascii="Times New Roman" w:eastAsia="Times New Roman" w:hAnsi="Times New Roman" w:cs="Times New Roman"/>
          <w:sz w:val="24"/>
          <w:szCs w:val="24"/>
          <w:highlight w:val="white"/>
        </w:rPr>
      </w:pPr>
    </w:p>
    <w:p w14:paraId="62335136"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Alhassan, A. M., Solheim, K., </w:t>
      </w:r>
      <w:proofErr w:type="spellStart"/>
      <w:r>
        <w:rPr>
          <w:rFonts w:ascii="Times New Roman" w:eastAsia="Times New Roman" w:hAnsi="Times New Roman" w:cs="Times New Roman"/>
          <w:sz w:val="24"/>
          <w:szCs w:val="24"/>
          <w:highlight w:val="white"/>
        </w:rPr>
        <w:t>Mellemsether</w:t>
      </w:r>
      <w:proofErr w:type="spellEnd"/>
      <w:r>
        <w:rPr>
          <w:rFonts w:ascii="Times New Roman" w:eastAsia="Times New Roman" w:hAnsi="Times New Roman" w:cs="Times New Roman"/>
          <w:sz w:val="24"/>
          <w:szCs w:val="24"/>
          <w:highlight w:val="white"/>
        </w:rPr>
        <w:t xml:space="preserve">, B., &amp; Hall Christensen, M. (2025). Teachers’ perspectives on supporting special needs in inclusive high schools. Educational Research, 67(4), 407–424. </w:t>
      </w:r>
      <w:hyperlink r:id="rId15">
        <w:r w:rsidR="00086A58">
          <w:rPr>
            <w:rFonts w:ascii="Times New Roman" w:eastAsia="Times New Roman" w:hAnsi="Times New Roman" w:cs="Times New Roman"/>
            <w:sz w:val="24"/>
            <w:szCs w:val="24"/>
            <w:highlight w:val="white"/>
            <w:u w:val="single"/>
          </w:rPr>
          <w:t>https://doi.org/10.1080/00131881.2025.2557641</w:t>
        </w:r>
      </w:hyperlink>
    </w:p>
    <w:p w14:paraId="65BF75AF" w14:textId="77777777" w:rsidR="00086A58" w:rsidRDefault="00086A58">
      <w:pPr>
        <w:ind w:left="720"/>
        <w:jc w:val="both"/>
        <w:rPr>
          <w:rFonts w:ascii="Times New Roman" w:eastAsia="Times New Roman" w:hAnsi="Times New Roman" w:cs="Times New Roman"/>
          <w:sz w:val="24"/>
          <w:szCs w:val="24"/>
          <w:highlight w:val="white"/>
        </w:rPr>
      </w:pPr>
    </w:p>
    <w:p w14:paraId="7D129815" w14:textId="77777777" w:rsidR="00086A58" w:rsidRDefault="009B1C7A">
      <w:p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Alkahtani</w:t>
      </w:r>
      <w:proofErr w:type="spellEnd"/>
      <w:r>
        <w:rPr>
          <w:rFonts w:ascii="Times New Roman" w:eastAsia="Times New Roman" w:hAnsi="Times New Roman" w:cs="Times New Roman"/>
          <w:sz w:val="24"/>
          <w:szCs w:val="24"/>
          <w:highlight w:val="white"/>
        </w:rPr>
        <w:t xml:space="preserve"> K. D. F. (2022). Teachers' Knowledge and Attitudes toward Sustainable Inclusive Education for Students with Emotional and Behavioral D</w:t>
      </w:r>
      <w:r>
        <w:rPr>
          <w:rFonts w:ascii="Times New Roman" w:eastAsia="Times New Roman" w:hAnsi="Times New Roman" w:cs="Times New Roman"/>
          <w:sz w:val="24"/>
          <w:szCs w:val="24"/>
          <w:highlight w:val="white"/>
        </w:rPr>
        <w:t xml:space="preserve">isorders. Children (Basel, Switzerland), 9(12), 1940. </w:t>
      </w:r>
      <w:hyperlink r:id="rId16">
        <w:r w:rsidR="00086A58">
          <w:rPr>
            <w:rFonts w:ascii="Times New Roman" w:eastAsia="Times New Roman" w:hAnsi="Times New Roman" w:cs="Times New Roman"/>
            <w:sz w:val="24"/>
            <w:szCs w:val="24"/>
            <w:highlight w:val="white"/>
            <w:u w:val="single"/>
          </w:rPr>
          <w:t>https://doi.org/10.3390/children9121940</w:t>
        </w:r>
      </w:hyperlink>
    </w:p>
    <w:p w14:paraId="4D6151D8" w14:textId="77777777" w:rsidR="00086A58" w:rsidRDefault="00086A58">
      <w:pPr>
        <w:ind w:left="720"/>
        <w:jc w:val="both"/>
        <w:rPr>
          <w:rFonts w:ascii="Times New Roman" w:eastAsia="Times New Roman" w:hAnsi="Times New Roman" w:cs="Times New Roman"/>
          <w:sz w:val="24"/>
          <w:szCs w:val="24"/>
          <w:highlight w:val="white"/>
        </w:rPr>
      </w:pPr>
    </w:p>
    <w:p w14:paraId="298D9AD2" w14:textId="77777777" w:rsidR="00086A58" w:rsidRDefault="009B1C7A">
      <w:p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Alumona</w:t>
      </w:r>
      <w:proofErr w:type="spellEnd"/>
      <w:r>
        <w:rPr>
          <w:rFonts w:ascii="Times New Roman" w:eastAsia="Times New Roman" w:hAnsi="Times New Roman" w:cs="Times New Roman"/>
          <w:sz w:val="24"/>
          <w:szCs w:val="24"/>
          <w:highlight w:val="white"/>
        </w:rPr>
        <w:t>, N. I., &amp; Odoh, C. E. (2025). Assessing the Implementation of Inclusive Education Policies for</w:t>
      </w:r>
      <w:r>
        <w:rPr>
          <w:rFonts w:ascii="Times New Roman" w:eastAsia="Times New Roman" w:hAnsi="Times New Roman" w:cs="Times New Roman"/>
          <w:sz w:val="24"/>
          <w:szCs w:val="24"/>
          <w:highlight w:val="white"/>
        </w:rPr>
        <w:t xml:space="preserve"> Children with Disabilities in Nigerian Public Primary Schools: Challenges, Opportunities, and Strategies for Improvement. UNIZIK Journal of Educational Research and Policy Studies, 20(1). https://www.unijerps.org/index.php/unijerps/article/view/1030</w:t>
      </w:r>
    </w:p>
    <w:p w14:paraId="38792B7A" w14:textId="77777777" w:rsidR="00086A58" w:rsidRDefault="00086A58">
      <w:pPr>
        <w:ind w:left="720"/>
        <w:jc w:val="both"/>
        <w:rPr>
          <w:rFonts w:ascii="Times New Roman" w:eastAsia="Times New Roman" w:hAnsi="Times New Roman" w:cs="Times New Roman"/>
          <w:sz w:val="24"/>
          <w:szCs w:val="24"/>
          <w:highlight w:val="white"/>
        </w:rPr>
      </w:pPr>
    </w:p>
    <w:p w14:paraId="1B85C236"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Angwaomaodoko, E. A. (2023). The challenges and opportunities of inclusive education in Nigeria. </w:t>
      </w:r>
      <w:proofErr w:type="spellStart"/>
      <w:r>
        <w:rPr>
          <w:rFonts w:ascii="Times New Roman" w:eastAsia="Times New Roman" w:hAnsi="Times New Roman" w:cs="Times New Roman"/>
          <w:sz w:val="24"/>
          <w:szCs w:val="24"/>
          <w:highlight w:val="white"/>
        </w:rPr>
        <w:t>Traektoriâ</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Nauki</w:t>
      </w:r>
      <w:proofErr w:type="spellEnd"/>
      <w:r>
        <w:rPr>
          <w:rFonts w:ascii="Times New Roman" w:eastAsia="Times New Roman" w:hAnsi="Times New Roman" w:cs="Times New Roman"/>
          <w:sz w:val="24"/>
          <w:szCs w:val="24"/>
          <w:highlight w:val="white"/>
        </w:rPr>
        <w:t xml:space="preserve">, 9(7), 1001-1009. </w:t>
      </w:r>
      <w:hyperlink r:id="rId17">
        <w:r w:rsidR="00086A58">
          <w:rPr>
            <w:rFonts w:ascii="Times New Roman" w:eastAsia="Times New Roman" w:hAnsi="Times New Roman" w:cs="Times New Roman"/>
            <w:sz w:val="24"/>
            <w:szCs w:val="24"/>
            <w:highlight w:val="white"/>
            <w:u w:val="single"/>
          </w:rPr>
          <w:t>https://doi.org/10.22178/pos.94-1</w:t>
        </w:r>
      </w:hyperlink>
    </w:p>
    <w:p w14:paraId="757851C1" w14:textId="77777777" w:rsidR="00086A58" w:rsidRDefault="00086A58">
      <w:pPr>
        <w:ind w:left="720"/>
        <w:jc w:val="both"/>
        <w:rPr>
          <w:rFonts w:ascii="Times New Roman" w:eastAsia="Times New Roman" w:hAnsi="Times New Roman" w:cs="Times New Roman"/>
          <w:sz w:val="24"/>
          <w:szCs w:val="24"/>
          <w:highlight w:val="white"/>
        </w:rPr>
      </w:pPr>
    </w:p>
    <w:p w14:paraId="23E54589"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Arnaiz-Sánchez, P., De Haro-Rodrígue</w:t>
      </w:r>
      <w:r>
        <w:rPr>
          <w:rFonts w:ascii="Times New Roman" w:eastAsia="Times New Roman" w:hAnsi="Times New Roman" w:cs="Times New Roman"/>
          <w:sz w:val="24"/>
          <w:szCs w:val="24"/>
          <w:highlight w:val="white"/>
        </w:rPr>
        <w:t>z, R., Caballero, C. M., &amp; Martínez-</w:t>
      </w:r>
      <w:proofErr w:type="spellStart"/>
      <w:r>
        <w:rPr>
          <w:rFonts w:ascii="Times New Roman" w:eastAsia="Times New Roman" w:hAnsi="Times New Roman" w:cs="Times New Roman"/>
          <w:sz w:val="24"/>
          <w:szCs w:val="24"/>
          <w:highlight w:val="white"/>
        </w:rPr>
        <w:t>Abellán</w:t>
      </w:r>
      <w:proofErr w:type="spellEnd"/>
      <w:r>
        <w:rPr>
          <w:rFonts w:ascii="Times New Roman" w:eastAsia="Times New Roman" w:hAnsi="Times New Roman" w:cs="Times New Roman"/>
          <w:sz w:val="24"/>
          <w:szCs w:val="24"/>
          <w:highlight w:val="white"/>
        </w:rPr>
        <w:t xml:space="preserve">, R. (2023). Barriers to Educational Inclusion in Initial Teacher Training. Societies, 13(2), 31. </w:t>
      </w:r>
      <w:hyperlink r:id="rId18">
        <w:r w:rsidR="00086A58">
          <w:rPr>
            <w:rFonts w:ascii="Times New Roman" w:eastAsia="Times New Roman" w:hAnsi="Times New Roman" w:cs="Times New Roman"/>
            <w:sz w:val="24"/>
            <w:szCs w:val="24"/>
            <w:highlight w:val="white"/>
            <w:u w:val="single"/>
          </w:rPr>
          <w:t>https://doi.org/10.3390/soc13020031</w:t>
        </w:r>
      </w:hyperlink>
    </w:p>
    <w:p w14:paraId="2DA96C51" w14:textId="77777777" w:rsidR="00086A58" w:rsidRDefault="00086A58">
      <w:pPr>
        <w:ind w:left="720"/>
        <w:jc w:val="both"/>
        <w:rPr>
          <w:rFonts w:ascii="Times New Roman" w:eastAsia="Times New Roman" w:hAnsi="Times New Roman" w:cs="Times New Roman"/>
          <w:sz w:val="24"/>
          <w:szCs w:val="24"/>
          <w:highlight w:val="white"/>
        </w:rPr>
      </w:pPr>
    </w:p>
    <w:p w14:paraId="57AD2735"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Belay, H. D. (2025). Te</w:t>
      </w:r>
      <w:r>
        <w:rPr>
          <w:rFonts w:ascii="Times New Roman" w:eastAsia="Times New Roman" w:hAnsi="Times New Roman" w:cs="Times New Roman"/>
          <w:sz w:val="24"/>
          <w:szCs w:val="24"/>
          <w:highlight w:val="white"/>
        </w:rPr>
        <w:t xml:space="preserve">acher related factors affecting the implementation of inclusive education; </w:t>
      </w:r>
      <w:proofErr w:type="spellStart"/>
      <w:r>
        <w:rPr>
          <w:rFonts w:ascii="Times New Roman" w:eastAsia="Times New Roman" w:hAnsi="Times New Roman" w:cs="Times New Roman"/>
          <w:sz w:val="24"/>
          <w:szCs w:val="24"/>
          <w:highlight w:val="white"/>
        </w:rPr>
        <w:t>Yekegat</w:t>
      </w:r>
      <w:proofErr w:type="spellEnd"/>
      <w:r>
        <w:rPr>
          <w:rFonts w:ascii="Times New Roman" w:eastAsia="Times New Roman" w:hAnsi="Times New Roman" w:cs="Times New Roman"/>
          <w:sz w:val="24"/>
          <w:szCs w:val="24"/>
          <w:highlight w:val="white"/>
        </w:rPr>
        <w:t xml:space="preserve"> Primary School, Debre Elias, Ethiopia. Advances, 6(3) </w:t>
      </w:r>
      <w:hyperlink r:id="rId19">
        <w:r w:rsidR="00086A58">
          <w:rPr>
            <w:rFonts w:ascii="Times New Roman" w:eastAsia="Times New Roman" w:hAnsi="Times New Roman" w:cs="Times New Roman"/>
            <w:sz w:val="24"/>
            <w:szCs w:val="24"/>
            <w:highlight w:val="white"/>
            <w:u w:val="single"/>
          </w:rPr>
          <w:t>https://doi.org/10.11648/j.advances.20250603.11</w:t>
        </w:r>
      </w:hyperlink>
    </w:p>
    <w:p w14:paraId="28C5F68B" w14:textId="77777777" w:rsidR="00086A58" w:rsidRDefault="009B1C7A">
      <w:p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Bess</w:t>
      </w:r>
      <w:r>
        <w:rPr>
          <w:rFonts w:ascii="Times New Roman" w:eastAsia="Times New Roman" w:hAnsi="Times New Roman" w:cs="Times New Roman"/>
          <w:sz w:val="24"/>
          <w:szCs w:val="24"/>
          <w:highlight w:val="white"/>
        </w:rPr>
        <w:t>arab</w:t>
      </w:r>
      <w:proofErr w:type="spellEnd"/>
      <w:r>
        <w:rPr>
          <w:rFonts w:ascii="Times New Roman" w:eastAsia="Times New Roman" w:hAnsi="Times New Roman" w:cs="Times New Roman"/>
          <w:sz w:val="24"/>
          <w:szCs w:val="24"/>
          <w:highlight w:val="white"/>
        </w:rPr>
        <w:t xml:space="preserve">, A., Antonenko, I., </w:t>
      </w:r>
      <w:proofErr w:type="spellStart"/>
      <w:r>
        <w:rPr>
          <w:rFonts w:ascii="Times New Roman" w:eastAsia="Times New Roman" w:hAnsi="Times New Roman" w:cs="Times New Roman"/>
          <w:sz w:val="24"/>
          <w:szCs w:val="24"/>
          <w:highlight w:val="white"/>
        </w:rPr>
        <w:t>Turubarova</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Smoliak</w:t>
      </w:r>
      <w:proofErr w:type="spellEnd"/>
      <w:r>
        <w:rPr>
          <w:rFonts w:ascii="Times New Roman" w:eastAsia="Times New Roman" w:hAnsi="Times New Roman" w:cs="Times New Roman"/>
          <w:sz w:val="24"/>
          <w:szCs w:val="24"/>
          <w:highlight w:val="white"/>
        </w:rPr>
        <w:t xml:space="preserve">, V., &amp; </w:t>
      </w:r>
      <w:proofErr w:type="spellStart"/>
      <w:r>
        <w:rPr>
          <w:rFonts w:ascii="Times New Roman" w:eastAsia="Times New Roman" w:hAnsi="Times New Roman" w:cs="Times New Roman"/>
          <w:sz w:val="24"/>
          <w:szCs w:val="24"/>
          <w:highlight w:val="white"/>
        </w:rPr>
        <w:t>Morenko</w:t>
      </w:r>
      <w:proofErr w:type="spellEnd"/>
      <w:r>
        <w:rPr>
          <w:rFonts w:ascii="Times New Roman" w:eastAsia="Times New Roman" w:hAnsi="Times New Roman" w:cs="Times New Roman"/>
          <w:sz w:val="24"/>
          <w:szCs w:val="24"/>
          <w:highlight w:val="white"/>
        </w:rPr>
        <w:t xml:space="preserve">, O. (2023). Inclusive </w:t>
      </w:r>
      <w:proofErr w:type="gramStart"/>
      <w:r>
        <w:rPr>
          <w:rFonts w:ascii="Times New Roman" w:eastAsia="Times New Roman" w:hAnsi="Times New Roman" w:cs="Times New Roman"/>
          <w:sz w:val="24"/>
          <w:szCs w:val="24"/>
          <w:highlight w:val="white"/>
        </w:rPr>
        <w:t>education::</w:t>
      </w:r>
      <w:proofErr w:type="gramEnd"/>
      <w:r>
        <w:rPr>
          <w:rFonts w:ascii="Times New Roman" w:eastAsia="Times New Roman" w:hAnsi="Times New Roman" w:cs="Times New Roman"/>
          <w:sz w:val="24"/>
          <w:szCs w:val="24"/>
          <w:highlight w:val="white"/>
        </w:rPr>
        <w:t xml:space="preserve"> strategies and methods of implementation in the context of modern pedagogy. </w:t>
      </w:r>
      <w:proofErr w:type="spellStart"/>
      <w:r>
        <w:rPr>
          <w:rFonts w:ascii="Times New Roman" w:eastAsia="Times New Roman" w:hAnsi="Times New Roman" w:cs="Times New Roman"/>
          <w:sz w:val="24"/>
          <w:szCs w:val="24"/>
          <w:highlight w:val="white"/>
        </w:rPr>
        <w:t>Cadernos</w:t>
      </w:r>
      <w:proofErr w:type="spellEnd"/>
      <w:r>
        <w:rPr>
          <w:rFonts w:ascii="Times New Roman" w:eastAsia="Times New Roman" w:hAnsi="Times New Roman" w:cs="Times New Roman"/>
          <w:sz w:val="24"/>
          <w:szCs w:val="24"/>
          <w:highlight w:val="white"/>
        </w:rPr>
        <w:t xml:space="preserve"> de </w:t>
      </w:r>
      <w:proofErr w:type="spellStart"/>
      <w:r>
        <w:rPr>
          <w:rFonts w:ascii="Times New Roman" w:eastAsia="Times New Roman" w:hAnsi="Times New Roman" w:cs="Times New Roman"/>
          <w:sz w:val="24"/>
          <w:szCs w:val="24"/>
          <w:highlight w:val="white"/>
        </w:rPr>
        <w:t>Educação</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Tecnologia</w:t>
      </w:r>
      <w:proofErr w:type="spellEnd"/>
      <w:r>
        <w:rPr>
          <w:rFonts w:ascii="Times New Roman" w:eastAsia="Times New Roman" w:hAnsi="Times New Roman" w:cs="Times New Roman"/>
          <w:sz w:val="24"/>
          <w:szCs w:val="24"/>
          <w:highlight w:val="white"/>
        </w:rPr>
        <w:t xml:space="preserve"> e </w:t>
      </w:r>
      <w:proofErr w:type="spellStart"/>
      <w:r>
        <w:rPr>
          <w:rFonts w:ascii="Times New Roman" w:eastAsia="Times New Roman" w:hAnsi="Times New Roman" w:cs="Times New Roman"/>
          <w:sz w:val="24"/>
          <w:szCs w:val="24"/>
          <w:highlight w:val="white"/>
        </w:rPr>
        <w:t>Sociedade</w:t>
      </w:r>
      <w:proofErr w:type="spellEnd"/>
      <w:r>
        <w:rPr>
          <w:rFonts w:ascii="Times New Roman" w:eastAsia="Times New Roman" w:hAnsi="Times New Roman" w:cs="Times New Roman"/>
          <w:sz w:val="24"/>
          <w:szCs w:val="24"/>
          <w:highlight w:val="white"/>
        </w:rPr>
        <w:t xml:space="preserve">, 16(se2), 165-177. </w:t>
      </w:r>
      <w:hyperlink r:id="rId20">
        <w:r w:rsidR="00086A58">
          <w:rPr>
            <w:rFonts w:ascii="Times New Roman" w:eastAsia="Times New Roman" w:hAnsi="Times New Roman" w:cs="Times New Roman"/>
            <w:sz w:val="24"/>
            <w:szCs w:val="24"/>
            <w:highlight w:val="white"/>
            <w:u w:val="single"/>
          </w:rPr>
          <w:t>https://doi.org/10.14571/brajets.v16.nse2.165-177</w:t>
        </w:r>
      </w:hyperlink>
    </w:p>
    <w:p w14:paraId="4D90079D" w14:textId="77777777" w:rsidR="00086A58" w:rsidRDefault="00086A58">
      <w:pPr>
        <w:ind w:left="720"/>
        <w:jc w:val="both"/>
        <w:rPr>
          <w:rFonts w:ascii="Times New Roman" w:eastAsia="Times New Roman" w:hAnsi="Times New Roman" w:cs="Times New Roman"/>
          <w:sz w:val="24"/>
          <w:szCs w:val="24"/>
          <w:highlight w:val="white"/>
        </w:rPr>
      </w:pPr>
    </w:p>
    <w:p w14:paraId="2980F910"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Cate, P. T., Ineke, M., Markova, M., Krischler, M., &amp; Krolak-Schwerdt, S. (2018). Promoting Inclusive Education: The Role of Teachers' Competence and Attit</w:t>
      </w:r>
      <w:r>
        <w:rPr>
          <w:rFonts w:ascii="Times New Roman" w:eastAsia="Times New Roman" w:hAnsi="Times New Roman" w:cs="Times New Roman"/>
          <w:sz w:val="24"/>
          <w:szCs w:val="24"/>
          <w:highlight w:val="white"/>
        </w:rPr>
        <w:t xml:space="preserve">udes. Insights into Learning Disabilities, 15(1), 49-63. </w:t>
      </w:r>
      <w:hyperlink r:id="rId21">
        <w:r w:rsidR="00086A58">
          <w:rPr>
            <w:rFonts w:ascii="Times New Roman" w:eastAsia="Times New Roman" w:hAnsi="Times New Roman" w:cs="Times New Roman"/>
            <w:sz w:val="24"/>
            <w:szCs w:val="24"/>
            <w:highlight w:val="white"/>
            <w:u w:val="single"/>
          </w:rPr>
          <w:t>https://files.eric.ed.gov/fulltext/EJ1182863.pdf</w:t>
        </w:r>
      </w:hyperlink>
    </w:p>
    <w:p w14:paraId="53DFAB49" w14:textId="77777777" w:rsidR="00086A58" w:rsidRDefault="00086A58">
      <w:pPr>
        <w:ind w:left="720"/>
        <w:jc w:val="both"/>
        <w:rPr>
          <w:rFonts w:ascii="Times New Roman" w:eastAsia="Times New Roman" w:hAnsi="Times New Roman" w:cs="Times New Roman"/>
          <w:sz w:val="24"/>
          <w:szCs w:val="24"/>
          <w:highlight w:val="white"/>
        </w:rPr>
      </w:pPr>
    </w:p>
    <w:p w14:paraId="46BAEC81" w14:textId="77777777" w:rsidR="00086A58" w:rsidRDefault="009B1C7A">
      <w:p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Charitaki</w:t>
      </w:r>
      <w:proofErr w:type="spellEnd"/>
      <w:r>
        <w:rPr>
          <w:rFonts w:ascii="Times New Roman" w:eastAsia="Times New Roman" w:hAnsi="Times New Roman" w:cs="Times New Roman"/>
          <w:sz w:val="24"/>
          <w:szCs w:val="24"/>
          <w:highlight w:val="white"/>
        </w:rPr>
        <w:t xml:space="preserve">, G., Kourti, I., Gregory, J. L., Ozturk, M., Ismail, Z., </w:t>
      </w:r>
      <w:proofErr w:type="spellStart"/>
      <w:r>
        <w:rPr>
          <w:rFonts w:ascii="Times New Roman" w:eastAsia="Times New Roman" w:hAnsi="Times New Roman" w:cs="Times New Roman"/>
          <w:sz w:val="24"/>
          <w:szCs w:val="24"/>
          <w:highlight w:val="white"/>
        </w:rPr>
        <w:t>Alevriadou</w:t>
      </w:r>
      <w:proofErr w:type="spellEnd"/>
      <w:r>
        <w:rPr>
          <w:rFonts w:ascii="Times New Roman" w:eastAsia="Times New Roman" w:hAnsi="Times New Roman" w:cs="Times New Roman"/>
          <w:sz w:val="24"/>
          <w:szCs w:val="24"/>
          <w:highlight w:val="white"/>
        </w:rPr>
        <w:t>, A.</w:t>
      </w:r>
      <w:r>
        <w:rPr>
          <w:rFonts w:ascii="Times New Roman" w:eastAsia="Times New Roman" w:hAnsi="Times New Roman" w:cs="Times New Roman"/>
          <w:sz w:val="24"/>
          <w:szCs w:val="24"/>
          <w:highlight w:val="white"/>
        </w:rPr>
        <w:t xml:space="preserve">, Soulis, S. G., </w:t>
      </w:r>
      <w:proofErr w:type="spellStart"/>
      <w:r>
        <w:rPr>
          <w:rFonts w:ascii="Times New Roman" w:eastAsia="Times New Roman" w:hAnsi="Times New Roman" w:cs="Times New Roman"/>
          <w:sz w:val="24"/>
          <w:szCs w:val="24"/>
          <w:highlight w:val="white"/>
        </w:rPr>
        <w:t>Sakici</w:t>
      </w:r>
      <w:proofErr w:type="spellEnd"/>
      <w:r>
        <w:rPr>
          <w:rFonts w:ascii="Times New Roman" w:eastAsia="Times New Roman" w:hAnsi="Times New Roman" w:cs="Times New Roman"/>
          <w:sz w:val="24"/>
          <w:szCs w:val="24"/>
          <w:highlight w:val="white"/>
        </w:rPr>
        <w:t xml:space="preserve">, Ş., &amp; Demirel, C. (2022). Teachers' Attitudes Towards Inclusive Education: </w:t>
      </w:r>
      <w:proofErr w:type="gramStart"/>
      <w:r>
        <w:rPr>
          <w:rFonts w:ascii="Times New Roman" w:eastAsia="Times New Roman" w:hAnsi="Times New Roman" w:cs="Times New Roman"/>
          <w:sz w:val="24"/>
          <w:szCs w:val="24"/>
          <w:highlight w:val="white"/>
        </w:rPr>
        <w:t>a</w:t>
      </w:r>
      <w:proofErr w:type="gramEnd"/>
      <w:r>
        <w:rPr>
          <w:rFonts w:ascii="Times New Roman" w:eastAsia="Times New Roman" w:hAnsi="Times New Roman" w:cs="Times New Roman"/>
          <w:sz w:val="24"/>
          <w:szCs w:val="24"/>
          <w:highlight w:val="white"/>
        </w:rPr>
        <w:t xml:space="preserve"> Cross-National Exploration. Trends in psychology, 1–28. Advance online publication. https://doi.org/10.1007/s43076-022-00240-0</w:t>
      </w:r>
    </w:p>
    <w:p w14:paraId="0C0FFAAA" w14:textId="77777777" w:rsidR="00086A58" w:rsidRDefault="00086A58">
      <w:pPr>
        <w:ind w:left="720"/>
        <w:jc w:val="both"/>
        <w:rPr>
          <w:rFonts w:ascii="Times New Roman" w:eastAsia="Times New Roman" w:hAnsi="Times New Roman" w:cs="Times New Roman"/>
          <w:sz w:val="24"/>
          <w:szCs w:val="24"/>
          <w:highlight w:val="white"/>
        </w:rPr>
      </w:pPr>
    </w:p>
    <w:p w14:paraId="5C101184"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Chow, W. S. E., de Bruin, </w:t>
      </w:r>
      <w:r>
        <w:rPr>
          <w:rFonts w:ascii="Times New Roman" w:eastAsia="Times New Roman" w:hAnsi="Times New Roman" w:cs="Times New Roman"/>
          <w:sz w:val="24"/>
          <w:szCs w:val="24"/>
          <w:highlight w:val="white"/>
        </w:rPr>
        <w:t xml:space="preserve">K., &amp; Sharma, U. (2024). A scoping review of perceived support needs of teachers for implementing inclusive education. International Journal of Inclusive Education, 28(13), 3321–3340. </w:t>
      </w:r>
      <w:hyperlink r:id="rId22">
        <w:r w:rsidR="00086A58">
          <w:rPr>
            <w:rFonts w:ascii="Times New Roman" w:eastAsia="Times New Roman" w:hAnsi="Times New Roman" w:cs="Times New Roman"/>
            <w:sz w:val="24"/>
            <w:szCs w:val="24"/>
            <w:highlight w:val="white"/>
            <w:u w:val="single"/>
          </w:rPr>
          <w:t>https://doi.org/10.1080/13603116.2023.2244956</w:t>
        </w:r>
      </w:hyperlink>
    </w:p>
    <w:p w14:paraId="6F7CD2E9" w14:textId="77777777" w:rsidR="00086A58" w:rsidRDefault="00086A58">
      <w:pPr>
        <w:ind w:left="720"/>
        <w:jc w:val="both"/>
        <w:rPr>
          <w:rFonts w:ascii="Times New Roman" w:eastAsia="Times New Roman" w:hAnsi="Times New Roman" w:cs="Times New Roman"/>
          <w:sz w:val="24"/>
          <w:szCs w:val="24"/>
          <w:highlight w:val="white"/>
        </w:rPr>
      </w:pPr>
    </w:p>
    <w:p w14:paraId="22B42C4F"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Diseth, Å. (2025). Teachers’ attitudes toward inclusion, levels of self-efficacy and beliefs about a strength-based approach to education. International Journal of Inclusive Education, 1–19. </w:t>
      </w:r>
      <w:hyperlink r:id="rId23">
        <w:r w:rsidR="00086A58">
          <w:rPr>
            <w:rFonts w:ascii="Times New Roman" w:eastAsia="Times New Roman" w:hAnsi="Times New Roman" w:cs="Times New Roman"/>
            <w:sz w:val="24"/>
            <w:szCs w:val="24"/>
            <w:highlight w:val="white"/>
            <w:u w:val="single"/>
          </w:rPr>
          <w:t>https://doi.org/10.1080/13603116.2025.2593561</w:t>
        </w:r>
      </w:hyperlink>
    </w:p>
    <w:p w14:paraId="75148952" w14:textId="77777777" w:rsidR="00086A58" w:rsidRDefault="00086A58">
      <w:pPr>
        <w:ind w:left="720"/>
        <w:jc w:val="both"/>
        <w:rPr>
          <w:rFonts w:ascii="Times New Roman" w:eastAsia="Times New Roman" w:hAnsi="Times New Roman" w:cs="Times New Roman"/>
          <w:sz w:val="24"/>
          <w:szCs w:val="24"/>
          <w:highlight w:val="white"/>
        </w:rPr>
      </w:pPr>
    </w:p>
    <w:p w14:paraId="2FE4F897"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Doyle, A. J., O'Toole, M., Cassidy, D., &amp; Condron, C. M. (2025). Universal Design for Learning (UDL) in simulation-based health professions education. Advances in simula</w:t>
      </w:r>
      <w:r>
        <w:rPr>
          <w:rFonts w:ascii="Times New Roman" w:eastAsia="Times New Roman" w:hAnsi="Times New Roman" w:cs="Times New Roman"/>
          <w:sz w:val="24"/>
          <w:szCs w:val="24"/>
          <w:highlight w:val="white"/>
        </w:rPr>
        <w:t xml:space="preserve">tion (London, England), 10(1), 33. </w:t>
      </w:r>
      <w:hyperlink r:id="rId24">
        <w:r w:rsidR="00086A58">
          <w:rPr>
            <w:rFonts w:ascii="Times New Roman" w:eastAsia="Times New Roman" w:hAnsi="Times New Roman" w:cs="Times New Roman"/>
            <w:sz w:val="24"/>
            <w:szCs w:val="24"/>
            <w:highlight w:val="white"/>
            <w:u w:val="single"/>
          </w:rPr>
          <w:t>https://doi.org/10.1186/s41077-025-00361-3</w:t>
        </w:r>
      </w:hyperlink>
    </w:p>
    <w:p w14:paraId="7E217E9C" w14:textId="77777777" w:rsidR="00086A58" w:rsidRDefault="00086A58">
      <w:pPr>
        <w:ind w:left="720"/>
        <w:jc w:val="both"/>
        <w:rPr>
          <w:rFonts w:ascii="Times New Roman" w:eastAsia="Times New Roman" w:hAnsi="Times New Roman" w:cs="Times New Roman"/>
          <w:sz w:val="24"/>
          <w:szCs w:val="24"/>
          <w:highlight w:val="white"/>
        </w:rPr>
      </w:pPr>
    </w:p>
    <w:p w14:paraId="66032AFE"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European Agency for Special Needs and Inclusive Education. (2025). Teacher professional learning in Finland and Ire</w:t>
      </w:r>
      <w:r>
        <w:rPr>
          <w:rFonts w:ascii="Times New Roman" w:eastAsia="Times New Roman" w:hAnsi="Times New Roman" w:cs="Times New Roman"/>
          <w:sz w:val="24"/>
          <w:szCs w:val="24"/>
          <w:highlight w:val="white"/>
        </w:rPr>
        <w:t xml:space="preserve">land: Findings report. </w:t>
      </w:r>
      <w:hyperlink r:id="rId25">
        <w:r w:rsidR="00086A58">
          <w:rPr>
            <w:rFonts w:ascii="Times New Roman" w:eastAsia="Times New Roman" w:hAnsi="Times New Roman" w:cs="Times New Roman"/>
            <w:sz w:val="24"/>
            <w:szCs w:val="24"/>
            <w:highlight w:val="white"/>
            <w:u w:val="single"/>
          </w:rPr>
          <w:t>https://www.european-agency.org/sites/default/files/Findings_Report_on_Teacher_Professional_Learning.pdf</w:t>
        </w:r>
      </w:hyperlink>
    </w:p>
    <w:p w14:paraId="22954A16" w14:textId="77777777" w:rsidR="00086A58" w:rsidRDefault="00086A58">
      <w:pPr>
        <w:ind w:left="720"/>
        <w:jc w:val="both"/>
        <w:rPr>
          <w:rFonts w:ascii="Times New Roman" w:eastAsia="Times New Roman" w:hAnsi="Times New Roman" w:cs="Times New Roman"/>
          <w:sz w:val="24"/>
          <w:szCs w:val="24"/>
          <w:highlight w:val="white"/>
        </w:rPr>
      </w:pPr>
    </w:p>
    <w:p w14:paraId="5447F27A"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Eur</w:t>
      </w:r>
      <w:r>
        <w:rPr>
          <w:rFonts w:ascii="Times New Roman" w:eastAsia="Times New Roman" w:hAnsi="Times New Roman" w:cs="Times New Roman"/>
          <w:sz w:val="24"/>
          <w:szCs w:val="24"/>
          <w:highlight w:val="white"/>
        </w:rPr>
        <w:t xml:space="preserve">opean Association of Service Providers for Persons with Disabilities. (2023). Transition from special education to inclusive education systems. </w:t>
      </w:r>
      <w:hyperlink r:id="rId26">
        <w:r w:rsidR="00086A58">
          <w:rPr>
            <w:rFonts w:ascii="Times New Roman" w:eastAsia="Times New Roman" w:hAnsi="Times New Roman" w:cs="Times New Roman"/>
            <w:sz w:val="24"/>
            <w:szCs w:val="24"/>
            <w:highlight w:val="white"/>
            <w:u w:val="single"/>
          </w:rPr>
          <w:t>https://easpd.eu/fileadmin/user_upload/Publications/EASPD-Transfer_of_Knowlege_23_pr.pdf</w:t>
        </w:r>
      </w:hyperlink>
    </w:p>
    <w:p w14:paraId="672E0CE8" w14:textId="77777777" w:rsidR="00086A58" w:rsidRDefault="00086A58">
      <w:pPr>
        <w:ind w:left="720"/>
        <w:jc w:val="both"/>
        <w:rPr>
          <w:rFonts w:ascii="Times New Roman" w:eastAsia="Times New Roman" w:hAnsi="Times New Roman" w:cs="Times New Roman"/>
          <w:sz w:val="24"/>
          <w:szCs w:val="24"/>
          <w:highlight w:val="white"/>
        </w:rPr>
      </w:pPr>
    </w:p>
    <w:p w14:paraId="6CB21145"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Goyibova, N., </w:t>
      </w:r>
      <w:proofErr w:type="spellStart"/>
      <w:r>
        <w:rPr>
          <w:rFonts w:ascii="Times New Roman" w:eastAsia="Times New Roman" w:hAnsi="Times New Roman" w:cs="Times New Roman"/>
          <w:sz w:val="24"/>
          <w:szCs w:val="24"/>
          <w:highlight w:val="white"/>
        </w:rPr>
        <w:t>Muslimov</w:t>
      </w:r>
      <w:proofErr w:type="spellEnd"/>
      <w:r>
        <w:rPr>
          <w:rFonts w:ascii="Times New Roman" w:eastAsia="Times New Roman" w:hAnsi="Times New Roman" w:cs="Times New Roman"/>
          <w:sz w:val="24"/>
          <w:szCs w:val="24"/>
          <w:highlight w:val="white"/>
        </w:rPr>
        <w:t xml:space="preserve">, N., Sabirova, G., Kadirova, N., &amp; </w:t>
      </w:r>
      <w:proofErr w:type="spellStart"/>
      <w:r>
        <w:rPr>
          <w:rFonts w:ascii="Times New Roman" w:eastAsia="Times New Roman" w:hAnsi="Times New Roman" w:cs="Times New Roman"/>
          <w:sz w:val="24"/>
          <w:szCs w:val="24"/>
          <w:highlight w:val="white"/>
        </w:rPr>
        <w:t>Samatova</w:t>
      </w:r>
      <w:proofErr w:type="spellEnd"/>
      <w:r>
        <w:rPr>
          <w:rFonts w:ascii="Times New Roman" w:eastAsia="Times New Roman" w:hAnsi="Times New Roman" w:cs="Times New Roman"/>
          <w:sz w:val="24"/>
          <w:szCs w:val="24"/>
          <w:highlight w:val="white"/>
        </w:rPr>
        <w:t>, B. (2025). Differentiation approach in education: Tailoring instruction for diverse learner needs.</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MethodsX</w:t>
      </w:r>
      <w:proofErr w:type="spellEnd"/>
      <w:r>
        <w:rPr>
          <w:rFonts w:ascii="Times New Roman" w:eastAsia="Times New Roman" w:hAnsi="Times New Roman" w:cs="Times New Roman"/>
          <w:sz w:val="24"/>
          <w:szCs w:val="24"/>
          <w:highlight w:val="white"/>
        </w:rPr>
        <w:t xml:space="preserve">, 14, 103163. </w:t>
      </w:r>
      <w:hyperlink r:id="rId27">
        <w:r w:rsidR="00086A58">
          <w:rPr>
            <w:rFonts w:ascii="Times New Roman" w:eastAsia="Times New Roman" w:hAnsi="Times New Roman" w:cs="Times New Roman"/>
            <w:sz w:val="24"/>
            <w:szCs w:val="24"/>
            <w:highlight w:val="white"/>
            <w:u w:val="single"/>
          </w:rPr>
          <w:t>https://doi.org/10.1016/j.mex.2025.103163</w:t>
        </w:r>
      </w:hyperlink>
    </w:p>
    <w:p w14:paraId="064D80FA" w14:textId="77777777" w:rsidR="00086A58" w:rsidRDefault="00086A58">
      <w:pPr>
        <w:ind w:left="720"/>
        <w:jc w:val="both"/>
        <w:rPr>
          <w:rFonts w:ascii="Times New Roman" w:eastAsia="Times New Roman" w:hAnsi="Times New Roman" w:cs="Times New Roman"/>
          <w:sz w:val="24"/>
          <w:szCs w:val="24"/>
          <w:highlight w:val="white"/>
        </w:rPr>
      </w:pPr>
    </w:p>
    <w:p w14:paraId="6659A280"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Isaac, S. J., Ajiboye, S. O., &amp; Kusika, M. E. (2025). Inclusive Education for Students with Special Need in Nigeria: Rhetoric or </w:t>
      </w:r>
      <w:proofErr w:type="gramStart"/>
      <w:r>
        <w:rPr>
          <w:rFonts w:ascii="Times New Roman" w:eastAsia="Times New Roman" w:hAnsi="Times New Roman" w:cs="Times New Roman"/>
          <w:sz w:val="24"/>
          <w:szCs w:val="24"/>
          <w:highlight w:val="white"/>
        </w:rPr>
        <w:t>Reality?.</w:t>
      </w:r>
      <w:proofErr w:type="gramEnd"/>
      <w:r>
        <w:rPr>
          <w:rFonts w:ascii="Times New Roman" w:eastAsia="Times New Roman" w:hAnsi="Times New Roman" w:cs="Times New Roman"/>
          <w:sz w:val="24"/>
          <w:szCs w:val="24"/>
          <w:highlight w:val="white"/>
        </w:rPr>
        <w:t xml:space="preserve"> International Journal of Sub-Saharan African Research, 3(4), 181-192. </w:t>
      </w:r>
      <w:hyperlink r:id="rId28">
        <w:r w:rsidR="00086A58">
          <w:rPr>
            <w:rFonts w:ascii="Times New Roman" w:eastAsia="Times New Roman" w:hAnsi="Times New Roman" w:cs="Times New Roman"/>
            <w:sz w:val="24"/>
            <w:szCs w:val="24"/>
            <w:highlight w:val="white"/>
            <w:u w:val="single"/>
          </w:rPr>
          <w:t>https://www.ijssar.com/uploads/711065_1767191301.pdf</w:t>
        </w:r>
      </w:hyperlink>
    </w:p>
    <w:p w14:paraId="17BC04BC" w14:textId="77777777" w:rsidR="00086A58" w:rsidRDefault="00086A58">
      <w:pPr>
        <w:ind w:left="720"/>
        <w:jc w:val="both"/>
        <w:rPr>
          <w:rFonts w:ascii="Times New Roman" w:eastAsia="Times New Roman" w:hAnsi="Times New Roman" w:cs="Times New Roman"/>
          <w:sz w:val="24"/>
          <w:szCs w:val="24"/>
          <w:highlight w:val="white"/>
        </w:rPr>
      </w:pPr>
    </w:p>
    <w:p w14:paraId="230E59EB"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Jabri, A., </w:t>
      </w:r>
      <w:proofErr w:type="spellStart"/>
      <w:r>
        <w:rPr>
          <w:rFonts w:ascii="Times New Roman" w:eastAsia="Times New Roman" w:hAnsi="Times New Roman" w:cs="Times New Roman"/>
          <w:sz w:val="24"/>
          <w:szCs w:val="24"/>
          <w:highlight w:val="white"/>
        </w:rPr>
        <w:t>Alodat</w:t>
      </w:r>
      <w:proofErr w:type="spellEnd"/>
      <w:r>
        <w:rPr>
          <w:rFonts w:ascii="Times New Roman" w:eastAsia="Times New Roman" w:hAnsi="Times New Roman" w:cs="Times New Roman"/>
          <w:sz w:val="24"/>
          <w:szCs w:val="24"/>
          <w:highlight w:val="white"/>
        </w:rPr>
        <w:t>, A. M., Al-Hendawi, M., &amp; Iannie</w:t>
      </w:r>
      <w:r>
        <w:rPr>
          <w:rFonts w:ascii="Times New Roman" w:eastAsia="Times New Roman" w:hAnsi="Times New Roman" w:cs="Times New Roman"/>
          <w:sz w:val="24"/>
          <w:szCs w:val="24"/>
          <w:highlight w:val="white"/>
        </w:rPr>
        <w:t xml:space="preserve">llo, A. (2025, August). Challenges facing general education teachers in inclusive classrooms in Qatar. In Frontiers in Education (Vol. 10, p. 1623453). Frontiers Media SA. </w:t>
      </w:r>
      <w:hyperlink r:id="rId29">
        <w:r w:rsidR="00086A58">
          <w:rPr>
            <w:rFonts w:ascii="Times New Roman" w:eastAsia="Times New Roman" w:hAnsi="Times New Roman" w:cs="Times New Roman"/>
            <w:sz w:val="24"/>
            <w:szCs w:val="24"/>
            <w:highlight w:val="white"/>
            <w:u w:val="single"/>
          </w:rPr>
          <w:t>https://doi.org/10.3389/feduc.2025.1623453</w:t>
        </w:r>
      </w:hyperlink>
    </w:p>
    <w:p w14:paraId="789C59FE" w14:textId="77777777" w:rsidR="00086A58" w:rsidRDefault="00086A58">
      <w:pPr>
        <w:ind w:left="720"/>
        <w:jc w:val="both"/>
        <w:rPr>
          <w:rFonts w:ascii="Times New Roman" w:eastAsia="Times New Roman" w:hAnsi="Times New Roman" w:cs="Times New Roman"/>
          <w:sz w:val="24"/>
          <w:szCs w:val="24"/>
          <w:highlight w:val="white"/>
        </w:rPr>
      </w:pPr>
    </w:p>
    <w:p w14:paraId="21356C5F"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Jardinez, M. J., &amp; Natividad, L. R. (2024). The Advantages and Challenges of Inclusive Education: Striving for Equity in the Classroom. </w:t>
      </w:r>
      <w:proofErr w:type="spellStart"/>
      <w:r>
        <w:rPr>
          <w:rFonts w:ascii="Times New Roman" w:eastAsia="Times New Roman" w:hAnsi="Times New Roman" w:cs="Times New Roman"/>
          <w:sz w:val="24"/>
          <w:szCs w:val="24"/>
          <w:highlight w:val="white"/>
        </w:rPr>
        <w:t>Shanlax</w:t>
      </w:r>
      <w:proofErr w:type="spellEnd"/>
      <w:r>
        <w:rPr>
          <w:rFonts w:ascii="Times New Roman" w:eastAsia="Times New Roman" w:hAnsi="Times New Roman" w:cs="Times New Roman"/>
          <w:sz w:val="24"/>
          <w:szCs w:val="24"/>
          <w:highlight w:val="white"/>
        </w:rPr>
        <w:t xml:space="preserve"> International Journal of Education, 12(2), 57-65. </w:t>
      </w:r>
      <w:hyperlink r:id="rId30">
        <w:r w:rsidR="00086A58">
          <w:rPr>
            <w:rFonts w:ascii="Times New Roman" w:eastAsia="Times New Roman" w:hAnsi="Times New Roman" w:cs="Times New Roman"/>
            <w:sz w:val="24"/>
            <w:szCs w:val="24"/>
            <w:highlight w:val="white"/>
            <w:u w:val="single"/>
          </w:rPr>
          <w:t>https://doi.org/10.34293/education.v12i2.7182</w:t>
        </w:r>
      </w:hyperlink>
    </w:p>
    <w:p w14:paraId="198B3F2C" w14:textId="77777777" w:rsidR="00086A58" w:rsidRDefault="00086A58">
      <w:pPr>
        <w:ind w:left="720"/>
        <w:jc w:val="both"/>
        <w:rPr>
          <w:rFonts w:ascii="Times New Roman" w:eastAsia="Times New Roman" w:hAnsi="Times New Roman" w:cs="Times New Roman"/>
          <w:sz w:val="24"/>
          <w:szCs w:val="24"/>
          <w:highlight w:val="white"/>
        </w:rPr>
      </w:pPr>
    </w:p>
    <w:p w14:paraId="0E03397A"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Julien, G. (2025). The Importance of Inclusive Education and Correlation with Self-Concept among Students: A Conceptual Literature Review. Journal</w:t>
      </w:r>
      <w:r>
        <w:rPr>
          <w:rFonts w:ascii="Times New Roman" w:eastAsia="Times New Roman" w:hAnsi="Times New Roman" w:cs="Times New Roman"/>
          <w:sz w:val="24"/>
          <w:szCs w:val="24"/>
          <w:highlight w:val="white"/>
        </w:rPr>
        <w:t xml:space="preserve"> of Educational Research and Practice, 3(2), 182-203. </w:t>
      </w:r>
      <w:hyperlink r:id="rId31">
        <w:r w:rsidR="00086A58">
          <w:rPr>
            <w:rFonts w:ascii="Times New Roman" w:eastAsia="Times New Roman" w:hAnsi="Times New Roman" w:cs="Times New Roman"/>
            <w:sz w:val="24"/>
            <w:szCs w:val="24"/>
            <w:highlight w:val="white"/>
            <w:u w:val="single"/>
          </w:rPr>
          <w:t>https://doi.org/10.70376/jerp.v3i2.367</w:t>
        </w:r>
      </w:hyperlink>
    </w:p>
    <w:p w14:paraId="2CC0C388" w14:textId="77777777" w:rsidR="00086A58" w:rsidRDefault="00086A58">
      <w:pPr>
        <w:ind w:left="720"/>
        <w:jc w:val="both"/>
        <w:rPr>
          <w:rFonts w:ascii="Times New Roman" w:eastAsia="Times New Roman" w:hAnsi="Times New Roman" w:cs="Times New Roman"/>
          <w:sz w:val="24"/>
          <w:szCs w:val="24"/>
          <w:highlight w:val="white"/>
        </w:rPr>
      </w:pPr>
    </w:p>
    <w:p w14:paraId="7A19F372"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Kazmi, A. B., Kamran, M., &amp; Siddiqui, S. (2023). The effect of teacher’s attitudes in supporting inclusi</w:t>
      </w:r>
      <w:r>
        <w:rPr>
          <w:rFonts w:ascii="Times New Roman" w:eastAsia="Times New Roman" w:hAnsi="Times New Roman" w:cs="Times New Roman"/>
          <w:sz w:val="24"/>
          <w:szCs w:val="24"/>
          <w:highlight w:val="white"/>
        </w:rPr>
        <w:t xml:space="preserve">ve education by catering to diverse learners. In Frontiers in Education (Vol. 8, p. 1083963). Frontiers Media SA. </w:t>
      </w:r>
      <w:hyperlink r:id="rId32">
        <w:r w:rsidR="00086A58">
          <w:rPr>
            <w:rFonts w:ascii="Times New Roman" w:eastAsia="Times New Roman" w:hAnsi="Times New Roman" w:cs="Times New Roman"/>
            <w:sz w:val="24"/>
            <w:szCs w:val="24"/>
            <w:highlight w:val="white"/>
            <w:u w:val="single"/>
          </w:rPr>
          <w:t>https://doi.org/10.3389/feduc.2023.1083963</w:t>
        </w:r>
      </w:hyperlink>
    </w:p>
    <w:p w14:paraId="509D61B6" w14:textId="77777777" w:rsidR="00086A58" w:rsidRDefault="00086A58">
      <w:pPr>
        <w:ind w:left="720"/>
        <w:jc w:val="both"/>
        <w:rPr>
          <w:rFonts w:ascii="Times New Roman" w:eastAsia="Times New Roman" w:hAnsi="Times New Roman" w:cs="Times New Roman"/>
          <w:sz w:val="24"/>
          <w:szCs w:val="24"/>
          <w:highlight w:val="white"/>
        </w:rPr>
      </w:pPr>
    </w:p>
    <w:p w14:paraId="40BA625A"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Murillo-Jiménez, H., Centeno-Alarcón</w:t>
      </w:r>
      <w:r>
        <w:rPr>
          <w:rFonts w:ascii="Times New Roman" w:eastAsia="Times New Roman" w:hAnsi="Times New Roman" w:cs="Times New Roman"/>
          <w:sz w:val="24"/>
          <w:szCs w:val="24"/>
          <w:highlight w:val="white"/>
        </w:rPr>
        <w:t xml:space="preserve">, M., Buele, J., &amp; </w:t>
      </w:r>
      <w:proofErr w:type="spellStart"/>
      <w:r>
        <w:rPr>
          <w:rFonts w:ascii="Times New Roman" w:eastAsia="Times New Roman" w:hAnsi="Times New Roman" w:cs="Times New Roman"/>
          <w:sz w:val="24"/>
          <w:szCs w:val="24"/>
          <w:highlight w:val="white"/>
        </w:rPr>
        <w:t>Yumbla</w:t>
      </w:r>
      <w:proofErr w:type="spellEnd"/>
      <w:r>
        <w:rPr>
          <w:rFonts w:ascii="Times New Roman" w:eastAsia="Times New Roman" w:hAnsi="Times New Roman" w:cs="Times New Roman"/>
          <w:sz w:val="24"/>
          <w:szCs w:val="24"/>
          <w:highlight w:val="white"/>
        </w:rPr>
        <w:t xml:space="preserve">, F. (2025, November). Analyzing barriers to the effective implementation of technological tools in inclusive education: a scoping review. In Frontiers in Education (Vol. 10, p. 1687664). Frontiers Media SA. </w:t>
      </w:r>
      <w:hyperlink r:id="rId33">
        <w:r w:rsidR="00086A58">
          <w:rPr>
            <w:rFonts w:ascii="Times New Roman" w:eastAsia="Times New Roman" w:hAnsi="Times New Roman" w:cs="Times New Roman"/>
            <w:sz w:val="24"/>
            <w:szCs w:val="24"/>
            <w:highlight w:val="white"/>
            <w:u w:val="single"/>
          </w:rPr>
          <w:t>https://doi.org/10.3389/feduc.2025.1687664</w:t>
        </w:r>
      </w:hyperlink>
    </w:p>
    <w:p w14:paraId="495BEB5D" w14:textId="77777777" w:rsidR="00086A58" w:rsidRDefault="00086A58">
      <w:pPr>
        <w:ind w:left="720"/>
        <w:jc w:val="both"/>
        <w:rPr>
          <w:rFonts w:ascii="Times New Roman" w:eastAsia="Times New Roman" w:hAnsi="Times New Roman" w:cs="Times New Roman"/>
          <w:sz w:val="24"/>
          <w:szCs w:val="24"/>
          <w:highlight w:val="white"/>
        </w:rPr>
      </w:pPr>
    </w:p>
    <w:p w14:paraId="6661325D" w14:textId="77777777" w:rsidR="00086A58" w:rsidRDefault="009B1C7A">
      <w:p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Orlunga</w:t>
      </w:r>
      <w:proofErr w:type="spellEnd"/>
      <w:r>
        <w:rPr>
          <w:rFonts w:ascii="Times New Roman" w:eastAsia="Times New Roman" w:hAnsi="Times New Roman" w:cs="Times New Roman"/>
          <w:sz w:val="24"/>
          <w:szCs w:val="24"/>
          <w:highlight w:val="white"/>
        </w:rPr>
        <w:t xml:space="preserve">, B. G., &amp; </w:t>
      </w:r>
      <w:proofErr w:type="spellStart"/>
      <w:r>
        <w:rPr>
          <w:rFonts w:ascii="Times New Roman" w:eastAsia="Times New Roman" w:hAnsi="Times New Roman" w:cs="Times New Roman"/>
          <w:sz w:val="24"/>
          <w:szCs w:val="24"/>
          <w:highlight w:val="white"/>
        </w:rPr>
        <w:t>Alikor</w:t>
      </w:r>
      <w:proofErr w:type="spellEnd"/>
      <w:r>
        <w:rPr>
          <w:rFonts w:ascii="Times New Roman" w:eastAsia="Times New Roman" w:hAnsi="Times New Roman" w:cs="Times New Roman"/>
          <w:sz w:val="24"/>
          <w:szCs w:val="24"/>
          <w:highlight w:val="white"/>
        </w:rPr>
        <w:t>, O. (2023). Inclusive education and policy implementation in Nigeria: An implication for educational development in the 21st century. European Journ</w:t>
      </w:r>
      <w:r>
        <w:rPr>
          <w:rFonts w:ascii="Times New Roman" w:eastAsia="Times New Roman" w:hAnsi="Times New Roman" w:cs="Times New Roman"/>
          <w:sz w:val="24"/>
          <w:szCs w:val="24"/>
          <w:highlight w:val="white"/>
        </w:rPr>
        <w:t xml:space="preserve">al of Education Studies, 10(11). </w:t>
      </w:r>
      <w:hyperlink r:id="rId34">
        <w:r w:rsidR="00086A58">
          <w:rPr>
            <w:rFonts w:ascii="Times New Roman" w:eastAsia="Times New Roman" w:hAnsi="Times New Roman" w:cs="Times New Roman"/>
            <w:sz w:val="24"/>
            <w:szCs w:val="24"/>
            <w:highlight w:val="white"/>
            <w:u w:val="single"/>
          </w:rPr>
          <w:t>https://doi.org/10.46827/ejes.v10i11.5076</w:t>
        </w:r>
      </w:hyperlink>
    </w:p>
    <w:p w14:paraId="39D602FC" w14:textId="77777777" w:rsidR="00086A58" w:rsidRDefault="00086A58">
      <w:pPr>
        <w:ind w:left="720"/>
        <w:jc w:val="both"/>
        <w:rPr>
          <w:rFonts w:ascii="Times New Roman" w:eastAsia="Times New Roman" w:hAnsi="Times New Roman" w:cs="Times New Roman"/>
          <w:sz w:val="24"/>
          <w:szCs w:val="24"/>
          <w:highlight w:val="white"/>
        </w:rPr>
      </w:pPr>
    </w:p>
    <w:p w14:paraId="623D5849"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UNICEF. (n.d.). Inclusive education. Retrieved from: </w:t>
      </w:r>
      <w:hyperlink r:id="rId35">
        <w:r w:rsidR="00086A58">
          <w:rPr>
            <w:rFonts w:ascii="Times New Roman" w:eastAsia="Times New Roman" w:hAnsi="Times New Roman" w:cs="Times New Roman"/>
            <w:sz w:val="24"/>
            <w:szCs w:val="24"/>
            <w:highlight w:val="white"/>
            <w:u w:val="single"/>
          </w:rPr>
          <w:t>https://www.unicef.org/education/inclusive-education</w:t>
        </w:r>
      </w:hyperlink>
    </w:p>
    <w:p w14:paraId="6670C115" w14:textId="77777777" w:rsidR="00086A58" w:rsidRDefault="00086A58">
      <w:pPr>
        <w:ind w:left="720"/>
        <w:jc w:val="both"/>
        <w:rPr>
          <w:rFonts w:ascii="Times New Roman" w:eastAsia="Times New Roman" w:hAnsi="Times New Roman" w:cs="Times New Roman"/>
          <w:sz w:val="24"/>
          <w:szCs w:val="24"/>
          <w:highlight w:val="white"/>
        </w:rPr>
      </w:pPr>
    </w:p>
    <w:p w14:paraId="0EAC374C"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United Nations Educational, Scientific and Cultural Organization (UNESCO). (1994). The Salamanca statement and framework for action on special needs education. </w:t>
      </w:r>
      <w:hyperlink r:id="rId36">
        <w:r w:rsidR="00086A58">
          <w:rPr>
            <w:rFonts w:ascii="Times New Roman" w:eastAsia="Times New Roman" w:hAnsi="Times New Roman" w:cs="Times New Roman"/>
            <w:sz w:val="24"/>
            <w:szCs w:val="24"/>
            <w:highlight w:val="white"/>
            <w:u w:val="single"/>
          </w:rPr>
          <w:t>https://unesdoc.unesco.org/ark:/48223/pf0000098427</w:t>
        </w:r>
      </w:hyperlink>
    </w:p>
    <w:p w14:paraId="7FD20AF7" w14:textId="77777777" w:rsidR="00086A58" w:rsidRDefault="00086A58">
      <w:pPr>
        <w:ind w:left="720"/>
        <w:jc w:val="both"/>
        <w:rPr>
          <w:rFonts w:ascii="Times New Roman" w:eastAsia="Times New Roman" w:hAnsi="Times New Roman" w:cs="Times New Roman"/>
          <w:sz w:val="24"/>
          <w:szCs w:val="24"/>
          <w:highlight w:val="white"/>
        </w:rPr>
      </w:pPr>
    </w:p>
    <w:p w14:paraId="37FB93F3"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Valle-Flórez, R. E., de Caso Fuertes, A. M., Baelo, R., &amp; Marcos-Santiago, R. (2022). Inclusive Culture in Compulsory Education Centers: Values, Participation and Teacher</w:t>
      </w:r>
      <w:r>
        <w:rPr>
          <w:rFonts w:ascii="Times New Roman" w:eastAsia="Times New Roman" w:hAnsi="Times New Roman" w:cs="Times New Roman"/>
          <w:sz w:val="24"/>
          <w:szCs w:val="24"/>
          <w:highlight w:val="white"/>
        </w:rPr>
        <w:t xml:space="preserve">s' Perceptions. Children (Basel, Switzerland), 9(6), 813. </w:t>
      </w:r>
      <w:hyperlink r:id="rId37">
        <w:r w:rsidR="00086A58">
          <w:rPr>
            <w:rFonts w:ascii="Times New Roman" w:eastAsia="Times New Roman" w:hAnsi="Times New Roman" w:cs="Times New Roman"/>
            <w:sz w:val="24"/>
            <w:szCs w:val="24"/>
            <w:highlight w:val="white"/>
            <w:u w:val="single"/>
          </w:rPr>
          <w:t>https://doi.org/10.3390/children9060813</w:t>
        </w:r>
      </w:hyperlink>
    </w:p>
    <w:p w14:paraId="4967B29C" w14:textId="77777777" w:rsidR="00086A58" w:rsidRDefault="00086A58">
      <w:pPr>
        <w:ind w:left="720"/>
        <w:jc w:val="both"/>
        <w:rPr>
          <w:rFonts w:ascii="Times New Roman" w:eastAsia="Times New Roman" w:hAnsi="Times New Roman" w:cs="Times New Roman"/>
          <w:sz w:val="24"/>
          <w:szCs w:val="24"/>
          <w:highlight w:val="white"/>
        </w:rPr>
      </w:pPr>
    </w:p>
    <w:p w14:paraId="2A3BE2A4"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Van Steen, T., &amp; Wilson, C. (2020). Individual and cultural factors in teachers’ attitudes towards</w:t>
      </w:r>
      <w:r>
        <w:rPr>
          <w:rFonts w:ascii="Times New Roman" w:eastAsia="Times New Roman" w:hAnsi="Times New Roman" w:cs="Times New Roman"/>
          <w:sz w:val="24"/>
          <w:szCs w:val="24"/>
          <w:highlight w:val="white"/>
        </w:rPr>
        <w:t xml:space="preserve"> inclusion: A meta-analysis. Teaching and Teacher Education, 95, 103127. </w:t>
      </w:r>
      <w:hyperlink r:id="rId38">
        <w:r w:rsidR="00086A58">
          <w:rPr>
            <w:rFonts w:ascii="Times New Roman" w:eastAsia="Times New Roman" w:hAnsi="Times New Roman" w:cs="Times New Roman"/>
            <w:sz w:val="24"/>
            <w:szCs w:val="24"/>
            <w:highlight w:val="white"/>
            <w:u w:val="single"/>
          </w:rPr>
          <w:t>https://doi.org/10.1016/j.tate.2020.103127</w:t>
        </w:r>
      </w:hyperlink>
    </w:p>
    <w:p w14:paraId="56726A7E" w14:textId="77777777" w:rsidR="00086A58" w:rsidRDefault="00086A58">
      <w:pPr>
        <w:ind w:left="720"/>
        <w:jc w:val="both"/>
        <w:rPr>
          <w:rFonts w:ascii="Times New Roman" w:eastAsia="Times New Roman" w:hAnsi="Times New Roman" w:cs="Times New Roman"/>
          <w:sz w:val="24"/>
          <w:szCs w:val="24"/>
          <w:highlight w:val="white"/>
        </w:rPr>
      </w:pPr>
    </w:p>
    <w:p w14:paraId="7E6C5776" w14:textId="77777777" w:rsidR="00086A58" w:rsidRDefault="009B1C7A">
      <w:p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Walelgn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Asres</w:t>
      </w:r>
      <w:proofErr w:type="spellEnd"/>
      <w:r>
        <w:rPr>
          <w:rFonts w:ascii="Times New Roman" w:eastAsia="Times New Roman" w:hAnsi="Times New Roman" w:cs="Times New Roman"/>
          <w:sz w:val="24"/>
          <w:szCs w:val="24"/>
          <w:highlight w:val="white"/>
        </w:rPr>
        <w:t>, G. (2025). Inclusive education practices and their legal frame</w:t>
      </w:r>
      <w:r>
        <w:rPr>
          <w:rFonts w:ascii="Times New Roman" w:eastAsia="Times New Roman" w:hAnsi="Times New Roman" w:cs="Times New Roman"/>
          <w:sz w:val="24"/>
          <w:szCs w:val="24"/>
          <w:highlight w:val="white"/>
        </w:rPr>
        <w:t xml:space="preserve">works for special needs students in Ethiopia. International Journal of Inclusive Education, 1–24. </w:t>
      </w:r>
      <w:hyperlink r:id="rId39">
        <w:r w:rsidR="00086A58">
          <w:rPr>
            <w:rFonts w:ascii="Times New Roman" w:eastAsia="Times New Roman" w:hAnsi="Times New Roman" w:cs="Times New Roman"/>
            <w:sz w:val="24"/>
            <w:szCs w:val="24"/>
            <w:highlight w:val="white"/>
            <w:u w:val="single"/>
          </w:rPr>
          <w:t>https://doi.org/10.1080/13603116.2025.2552932</w:t>
        </w:r>
      </w:hyperlink>
    </w:p>
    <w:p w14:paraId="1D643518" w14:textId="77777777" w:rsidR="00086A58" w:rsidRDefault="00086A58">
      <w:pPr>
        <w:ind w:left="720"/>
        <w:jc w:val="both"/>
        <w:rPr>
          <w:rFonts w:ascii="Times New Roman" w:eastAsia="Times New Roman" w:hAnsi="Times New Roman" w:cs="Times New Roman"/>
          <w:sz w:val="24"/>
          <w:szCs w:val="24"/>
          <w:highlight w:val="white"/>
        </w:rPr>
      </w:pPr>
    </w:p>
    <w:p w14:paraId="28558A80"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Wang, Z., Huang, J., Wang, L., &amp; Liu, C. </w:t>
      </w:r>
      <w:r>
        <w:rPr>
          <w:rFonts w:ascii="Times New Roman" w:eastAsia="Times New Roman" w:hAnsi="Times New Roman" w:cs="Times New Roman"/>
          <w:sz w:val="24"/>
          <w:szCs w:val="24"/>
          <w:highlight w:val="white"/>
        </w:rPr>
        <w:t>(2023). Social participation for students with special needs in inclusive schools: a scoping review. International journal of developmental disabilities, 71(5), 643–662. https://doi.org/10.1080/20473869.2023.2277602</w:t>
      </w:r>
    </w:p>
    <w:p w14:paraId="74AF0D7D" w14:textId="77777777" w:rsidR="00086A58" w:rsidRDefault="00086A58">
      <w:pPr>
        <w:ind w:left="720"/>
        <w:jc w:val="both"/>
        <w:rPr>
          <w:rFonts w:ascii="Times New Roman" w:eastAsia="Times New Roman" w:hAnsi="Times New Roman" w:cs="Times New Roman"/>
          <w:sz w:val="24"/>
          <w:szCs w:val="24"/>
          <w:highlight w:val="white"/>
        </w:rPr>
      </w:pPr>
    </w:p>
    <w:p w14:paraId="7AA56F11"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Woodcock, S., Sharma, U., Subban, P., &amp;</w:t>
      </w:r>
      <w:r>
        <w:rPr>
          <w:rFonts w:ascii="Times New Roman" w:eastAsia="Times New Roman" w:hAnsi="Times New Roman" w:cs="Times New Roman"/>
          <w:sz w:val="24"/>
          <w:szCs w:val="24"/>
          <w:highlight w:val="white"/>
        </w:rPr>
        <w:t xml:space="preserve"> Hitches, E. (2022). Teacher self-efficacy and inclusive education practices: Rethinking teachers’ engagement with inclusive practices. Teaching and teacher education, 117, 103802. </w:t>
      </w:r>
      <w:hyperlink r:id="rId40">
        <w:r w:rsidR="00086A58">
          <w:rPr>
            <w:rFonts w:ascii="Times New Roman" w:eastAsia="Times New Roman" w:hAnsi="Times New Roman" w:cs="Times New Roman"/>
            <w:sz w:val="24"/>
            <w:szCs w:val="24"/>
            <w:highlight w:val="white"/>
            <w:u w:val="single"/>
          </w:rPr>
          <w:t>https://doi.org/10.1016/j.tate.2022.103802</w:t>
        </w:r>
      </w:hyperlink>
    </w:p>
    <w:p w14:paraId="37A2C65A" w14:textId="77777777" w:rsidR="00086A58" w:rsidRDefault="00086A58">
      <w:pPr>
        <w:ind w:left="720"/>
        <w:jc w:val="both"/>
        <w:rPr>
          <w:rFonts w:ascii="Times New Roman" w:eastAsia="Times New Roman" w:hAnsi="Times New Roman" w:cs="Times New Roman"/>
          <w:sz w:val="24"/>
          <w:szCs w:val="24"/>
          <w:highlight w:val="white"/>
        </w:rPr>
      </w:pPr>
    </w:p>
    <w:p w14:paraId="7AA0492D" w14:textId="77777777" w:rsidR="00086A58" w:rsidRDefault="009B1C7A">
      <w:pPr>
        <w:jc w:val="both"/>
      </w:pPr>
      <w:r>
        <w:rPr>
          <w:rFonts w:ascii="Times New Roman" w:eastAsia="Times New Roman" w:hAnsi="Times New Roman" w:cs="Times New Roman"/>
          <w:sz w:val="24"/>
          <w:szCs w:val="24"/>
          <w:highlight w:val="white"/>
        </w:rPr>
        <w:t xml:space="preserve">World Bank. (2025). Inclusive education. </w:t>
      </w:r>
      <w:hyperlink r:id="rId41">
        <w:r w:rsidR="00086A58">
          <w:rPr>
            <w:rFonts w:ascii="Times New Roman" w:eastAsia="Times New Roman" w:hAnsi="Times New Roman" w:cs="Times New Roman"/>
            <w:sz w:val="24"/>
            <w:szCs w:val="24"/>
            <w:highlight w:val="white"/>
            <w:u w:val="single"/>
          </w:rPr>
          <w:t>https://www.worldbank.org/en/topic/education/brief/inclusive-education</w:t>
        </w:r>
      </w:hyperlink>
    </w:p>
    <w:sectPr w:rsidR="00086A58">
      <w:headerReference w:type="even" r:id="rId42"/>
      <w:headerReference w:type="default" r:id="rId43"/>
      <w:footerReference w:type="even" r:id="rId44"/>
      <w:footerReference w:type="default" r:id="rId45"/>
      <w:headerReference w:type="first" r:id="rId46"/>
      <w:footerReference w:type="first" r:id="rId4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D97D48" w14:textId="77777777" w:rsidR="009B1C7A" w:rsidRDefault="009B1C7A" w:rsidP="00137E57">
      <w:pPr>
        <w:spacing w:line="240" w:lineRule="auto"/>
      </w:pPr>
      <w:r>
        <w:separator/>
      </w:r>
    </w:p>
  </w:endnote>
  <w:endnote w:type="continuationSeparator" w:id="0">
    <w:p w14:paraId="203768A3" w14:textId="77777777" w:rsidR="009B1C7A" w:rsidRDefault="009B1C7A" w:rsidP="00137E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embedRegular r:id="rId1" w:fontKey="{51F82B74-AE06-445C-9167-DFE465EB3171}"/>
  </w:font>
  <w:font w:name="Calibri">
    <w:panose1 w:val="020F0502020204030204"/>
    <w:charset w:val="00"/>
    <w:family w:val="swiss"/>
    <w:pitch w:val="variable"/>
    <w:sig w:usb0="E4002EFF" w:usb1="C000247B" w:usb2="00000009" w:usb3="00000000" w:csb0="000001FF" w:csb1="00000000"/>
    <w:embedRegular r:id="rId2" w:fontKey="{3D21D4F2-15BC-457E-8D88-A734497A7EF2}"/>
  </w:font>
  <w:font w:name="Cambria">
    <w:panose1 w:val="02040503050406030204"/>
    <w:charset w:val="00"/>
    <w:family w:val="roman"/>
    <w:pitch w:val="variable"/>
    <w:sig w:usb0="E00006FF" w:usb1="420024FF" w:usb2="02000000" w:usb3="00000000" w:csb0="0000019F" w:csb1="00000000"/>
    <w:embedRegular r:id="rId3" w:fontKey="{0FCB402A-38B0-4F6D-AA83-D350203C16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6226B" w14:textId="77777777" w:rsidR="00137E57" w:rsidRDefault="00137E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F6CA5" w14:textId="77777777" w:rsidR="00137E57" w:rsidRDefault="00137E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1E9F4" w14:textId="77777777" w:rsidR="00137E57" w:rsidRDefault="00137E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C1C09E" w14:textId="77777777" w:rsidR="009B1C7A" w:rsidRDefault="009B1C7A" w:rsidP="00137E57">
      <w:pPr>
        <w:spacing w:line="240" w:lineRule="auto"/>
      </w:pPr>
      <w:r>
        <w:separator/>
      </w:r>
    </w:p>
  </w:footnote>
  <w:footnote w:type="continuationSeparator" w:id="0">
    <w:p w14:paraId="6475731F" w14:textId="77777777" w:rsidR="009B1C7A" w:rsidRDefault="009B1C7A" w:rsidP="00137E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8F90E" w14:textId="0B4F3CF8" w:rsidR="00137E57" w:rsidRDefault="00137E57">
    <w:pPr>
      <w:pStyle w:val="Header"/>
    </w:pPr>
    <w:r>
      <w:rPr>
        <w:noProof/>
      </w:rPr>
      <w:pict w14:anchorId="7D539A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92782"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27206" w14:textId="069DA328" w:rsidR="00137E57" w:rsidRDefault="00137E57">
    <w:pPr>
      <w:pStyle w:val="Header"/>
    </w:pPr>
    <w:r>
      <w:rPr>
        <w:noProof/>
      </w:rPr>
      <w:pict w14:anchorId="5F34C6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92783"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C8F53" w14:textId="79BDAF80" w:rsidR="00137E57" w:rsidRDefault="00137E57">
    <w:pPr>
      <w:pStyle w:val="Header"/>
    </w:pPr>
    <w:r>
      <w:rPr>
        <w:noProof/>
      </w:rPr>
      <w:pict w14:anchorId="645A5D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92781"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8341F3"/>
    <w:multiLevelType w:val="multilevel"/>
    <w:tmpl w:val="880825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1003FC6"/>
    <w:multiLevelType w:val="multilevel"/>
    <w:tmpl w:val="93A246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2B3C4EA4"/>
    <w:multiLevelType w:val="multilevel"/>
    <w:tmpl w:val="7326FF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B8D5F5B"/>
    <w:multiLevelType w:val="multilevel"/>
    <w:tmpl w:val="E4B0CFD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A58"/>
    <w:rsid w:val="00086A58"/>
    <w:rsid w:val="00137E57"/>
    <w:rsid w:val="00731E2C"/>
    <w:rsid w:val="009B1C7A"/>
    <w:rsid w:val="00A31B3E"/>
    <w:rsid w:val="00F345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8EC447"/>
  <w15:docId w15:val="{6B73D6B5-EADD-44C5-8ADA-BCF82A163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character" w:styleId="Hyperlink">
    <w:name w:val="Hyperlink"/>
    <w:basedOn w:val="DefaultParagraphFont"/>
    <w:uiPriority w:val="99"/>
    <w:unhideWhenUsed/>
    <w:rsid w:val="00731E2C"/>
    <w:rPr>
      <w:color w:val="0000FF" w:themeColor="hyperlink"/>
      <w:u w:val="single"/>
    </w:rPr>
  </w:style>
  <w:style w:type="character" w:styleId="UnresolvedMention">
    <w:name w:val="Unresolved Mention"/>
    <w:basedOn w:val="DefaultParagraphFont"/>
    <w:uiPriority w:val="99"/>
    <w:semiHidden/>
    <w:unhideWhenUsed/>
    <w:rsid w:val="00731E2C"/>
    <w:rPr>
      <w:color w:val="605E5C"/>
      <w:shd w:val="clear" w:color="auto" w:fill="E1DFDD"/>
    </w:rPr>
  </w:style>
  <w:style w:type="paragraph" w:styleId="Header">
    <w:name w:val="header"/>
    <w:basedOn w:val="Normal"/>
    <w:link w:val="HeaderChar"/>
    <w:uiPriority w:val="99"/>
    <w:unhideWhenUsed/>
    <w:rsid w:val="00137E57"/>
    <w:pPr>
      <w:tabs>
        <w:tab w:val="center" w:pos="4680"/>
        <w:tab w:val="right" w:pos="9360"/>
      </w:tabs>
      <w:spacing w:line="240" w:lineRule="auto"/>
    </w:pPr>
  </w:style>
  <w:style w:type="character" w:customStyle="1" w:styleId="HeaderChar">
    <w:name w:val="Header Char"/>
    <w:basedOn w:val="DefaultParagraphFont"/>
    <w:link w:val="Header"/>
    <w:uiPriority w:val="99"/>
    <w:rsid w:val="00137E57"/>
  </w:style>
  <w:style w:type="paragraph" w:styleId="Footer">
    <w:name w:val="footer"/>
    <w:basedOn w:val="Normal"/>
    <w:link w:val="FooterChar"/>
    <w:uiPriority w:val="99"/>
    <w:unhideWhenUsed/>
    <w:rsid w:val="00137E57"/>
    <w:pPr>
      <w:tabs>
        <w:tab w:val="center" w:pos="4680"/>
        <w:tab w:val="right" w:pos="9360"/>
      </w:tabs>
      <w:spacing w:line="240" w:lineRule="auto"/>
    </w:pPr>
  </w:style>
  <w:style w:type="character" w:customStyle="1" w:styleId="FooterChar">
    <w:name w:val="Footer Char"/>
    <w:basedOn w:val="DefaultParagraphFont"/>
    <w:link w:val="Footer"/>
    <w:uiPriority w:val="99"/>
    <w:rsid w:val="00137E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59525/gej.v3i2.751" TargetMode="External"/><Relationship Id="rId18" Type="http://schemas.openxmlformats.org/officeDocument/2006/relationships/hyperlink" Target="https://doi.org/10.3390/soc13020031" TargetMode="External"/><Relationship Id="rId26" Type="http://schemas.openxmlformats.org/officeDocument/2006/relationships/hyperlink" Target="https://easpd.eu/fileadmin/user_upload/Publications/EASPD-Transfer_of_Knowlege_23_pr.pdf" TargetMode="External"/><Relationship Id="rId39" Type="http://schemas.openxmlformats.org/officeDocument/2006/relationships/hyperlink" Target="https://doi.org/10.1080/13603116.2025.2552932" TargetMode="External"/><Relationship Id="rId21" Type="http://schemas.openxmlformats.org/officeDocument/2006/relationships/hyperlink" Target="https://files.eric.ed.gov/fulltext/EJ1182863.pdf" TargetMode="External"/><Relationship Id="rId34" Type="http://schemas.openxmlformats.org/officeDocument/2006/relationships/hyperlink" Target="https://doi.org/10.46827/ejes.v10i11.5076"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3390/children9121940" TargetMode="External"/><Relationship Id="rId29" Type="http://schemas.openxmlformats.org/officeDocument/2006/relationships/hyperlink" Target="https://doi.org/10.3389/feduc.2025.1623453" TargetMode="External"/><Relationship Id="rId11" Type="http://schemas.openxmlformats.org/officeDocument/2006/relationships/hyperlink" Target="https://www.ejournal.bumipublikasinusantara.id/index.php/ajcsne/article/view/335" TargetMode="External"/><Relationship Id="rId24" Type="http://schemas.openxmlformats.org/officeDocument/2006/relationships/hyperlink" Target="https://doi.org/10.1186/s41077-025-00361-3" TargetMode="External"/><Relationship Id="rId32" Type="http://schemas.openxmlformats.org/officeDocument/2006/relationships/hyperlink" Target="https://doi.org/10.3389/feduc.2023.1083963" TargetMode="External"/><Relationship Id="rId37" Type="http://schemas.openxmlformats.org/officeDocument/2006/relationships/hyperlink" Target="https://doi.org/10.3390/children9060813" TargetMode="External"/><Relationship Id="rId40" Type="http://schemas.openxmlformats.org/officeDocument/2006/relationships/hyperlink" Target="https://doi.org/10.1016/j.tate.2022.103802"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1080/00131881.2025.2557641" TargetMode="External"/><Relationship Id="rId23" Type="http://schemas.openxmlformats.org/officeDocument/2006/relationships/hyperlink" Target="https://doi.org/10.1080/13603116.2025.2593561" TargetMode="External"/><Relationship Id="rId28" Type="http://schemas.openxmlformats.org/officeDocument/2006/relationships/hyperlink" Target="https://www.ijssar.com/uploads/711065_1767191301.pdf" TargetMode="External"/><Relationship Id="rId36" Type="http://schemas.openxmlformats.org/officeDocument/2006/relationships/hyperlink" Target="https://unesdoc.unesco.org/ark:/48223/pf0000098427" TargetMode="External"/><Relationship Id="rId49" Type="http://schemas.openxmlformats.org/officeDocument/2006/relationships/theme" Target="theme/theme1.xml"/><Relationship Id="rId10" Type="http://schemas.openxmlformats.org/officeDocument/2006/relationships/hyperlink" Target="https://ijern.com/journal/2024/December-2024/06.pdf" TargetMode="External"/><Relationship Id="rId19" Type="http://schemas.openxmlformats.org/officeDocument/2006/relationships/hyperlink" Target="https://doi.org/10.11648/j.advances.20250603.11" TargetMode="External"/><Relationship Id="rId31" Type="http://schemas.openxmlformats.org/officeDocument/2006/relationships/hyperlink" Target="https://doi.org/10.70376/jerp.v3i2.367"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80/20020317.2020.1729587" TargetMode="External"/><Relationship Id="rId22" Type="http://schemas.openxmlformats.org/officeDocument/2006/relationships/hyperlink" Target="https://doi.org/10.1080/13603116.2023.2244956" TargetMode="External"/><Relationship Id="rId27" Type="http://schemas.openxmlformats.org/officeDocument/2006/relationships/hyperlink" Target="https://doi.org/10.1016/j.mex.2025.103163" TargetMode="External"/><Relationship Id="rId30" Type="http://schemas.openxmlformats.org/officeDocument/2006/relationships/hyperlink" Target="https://doi.org/10.34293/education.v12i2.7182" TargetMode="External"/><Relationship Id="rId35" Type="http://schemas.openxmlformats.org/officeDocument/2006/relationships/hyperlink" Target="https://www.unicef.org/education/inclusive-education"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doi.org/10.1080/2331186X.2021.1930491" TargetMode="External"/><Relationship Id="rId17" Type="http://schemas.openxmlformats.org/officeDocument/2006/relationships/hyperlink" Target="https://doi.org/10.22178/pos.94-1" TargetMode="External"/><Relationship Id="rId25" Type="http://schemas.openxmlformats.org/officeDocument/2006/relationships/hyperlink" Target="https://www.european-agency.org/sites/default/files/Findings_Report_on_Teacher_Professional_Learning.pdf" TargetMode="External"/><Relationship Id="rId33" Type="http://schemas.openxmlformats.org/officeDocument/2006/relationships/hyperlink" Target="https://doi.org/10.3389/feduc.2025.1687664" TargetMode="External"/><Relationship Id="rId38" Type="http://schemas.openxmlformats.org/officeDocument/2006/relationships/hyperlink" Target="https://doi.org/10.1016/j.tate.2020.103127" TargetMode="External"/><Relationship Id="rId46" Type="http://schemas.openxmlformats.org/officeDocument/2006/relationships/header" Target="header3.xml"/><Relationship Id="rId20" Type="http://schemas.openxmlformats.org/officeDocument/2006/relationships/hyperlink" Target="https://doi.org/10.14571/brajets.v16.nse2.165-177" TargetMode="External"/><Relationship Id="rId41" Type="http://schemas.openxmlformats.org/officeDocument/2006/relationships/hyperlink" Target="https://www.worldbank.org/en/topic/education/brief/inclusive-education"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LjtUGSakJU8Yn8P2DLqY1Ey/rg==">CgMxLjAyDmguZ3MyZjQ0dnRpZnIxMg5oLjdzNTlsbG4zdnZ2MzIOaC44dWRnZnpzdDB0YXUyDmguc2J3YnJ3cWtrdDVrMg5oLnA5NHVoY2F1MzAwNzIOaC43OTJnZ25rZmV2azAyDmgubW1ocGFpbGp3ZDhkMg5oLjQ5OWIybnJiYmp1MDIOaC5hOXZtOWpiZmhncmMyDmguczgwdDZseTR2eGVrMg5oLnVjdHZjeGhsM21mdTIOaC52YzQ1b3p1MW11ZWYyDWguMXhseG5yeTJpOGsyDmguZDkzNXk2NmxteDg0Mg5oLm1jN2luZzc1aGZwZTIOaC5tNDQzaTJxZ3A2enIyDmgub3d0ZGpmeWc3Z2E0Mg5oLjhucnVkNG1icnhxdDIOaC50OGFocGl4OWljOWwyDmgudDhhaHBpeDlpYzlsOAByITFLN3FpVmxWMlJqck5sNWUwZFZ0SmtfYlRKRFE5ejJX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27</Pages>
  <Words>7683</Words>
  <Characters>43798</Characters>
  <Application>Microsoft Office Word</Application>
  <DocSecurity>0</DocSecurity>
  <Lines>364</Lines>
  <Paragraphs>102</Paragraphs>
  <ScaleCrop>false</ScaleCrop>
  <Company/>
  <LinksUpToDate>false</LinksUpToDate>
  <CharactersWithSpaces>51379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4</cp:revision>
  <dcterms:created xsi:type="dcterms:W3CDTF">2026-04-11T10:41:00Z</dcterms:created>
  <dcterms:modified xsi:type="dcterms:W3CDTF">2026-04-11T12:57:00Z</dcterms:modified>
</cp:coreProperties>
</file>