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83B48" w14:textId="644ACFB6" w:rsidR="006817EB" w:rsidRPr="008C58FF" w:rsidRDefault="006817EB" w:rsidP="0022011E">
      <w:pPr>
        <w:spacing w:after="0" w:line="360" w:lineRule="auto"/>
        <w:rPr>
          <w:rFonts w:ascii="Times New Roman" w:hAnsi="Times New Roman" w:cs="Times New Roman"/>
          <w:b/>
          <w:bCs/>
          <w:sz w:val="24"/>
          <w:szCs w:val="24"/>
        </w:rPr>
      </w:pPr>
      <w:r w:rsidRPr="008C58FF">
        <w:rPr>
          <w:rFonts w:ascii="Times New Roman" w:hAnsi="Times New Roman" w:cs="Times New Roman"/>
          <w:b/>
          <w:bCs/>
          <w:sz w:val="24"/>
          <w:szCs w:val="24"/>
        </w:rPr>
        <w:t>Evaluation of dietary inclusion of red seaweed (</w:t>
      </w:r>
      <w:r w:rsidRPr="008C58FF">
        <w:rPr>
          <w:rFonts w:ascii="Times New Roman" w:hAnsi="Times New Roman" w:cs="Times New Roman"/>
          <w:b/>
          <w:bCs/>
          <w:i/>
          <w:iCs/>
          <w:sz w:val="24"/>
          <w:szCs w:val="24"/>
        </w:rPr>
        <w:t>Gracilaria tenuistipitata</w:t>
      </w:r>
      <w:r w:rsidRPr="008C58FF">
        <w:rPr>
          <w:rFonts w:ascii="Times New Roman" w:hAnsi="Times New Roman" w:cs="Times New Roman"/>
          <w:b/>
          <w:bCs/>
          <w:sz w:val="24"/>
          <w:szCs w:val="24"/>
        </w:rPr>
        <w:t xml:space="preserve">) on </w:t>
      </w:r>
      <w:r w:rsidR="0022011E" w:rsidRPr="008C58FF">
        <w:rPr>
          <w:rFonts w:ascii="Times New Roman" w:hAnsi="Times New Roman" w:cs="Times New Roman"/>
          <w:b/>
          <w:bCs/>
          <w:sz w:val="24"/>
          <w:szCs w:val="24"/>
        </w:rPr>
        <w:t>c</w:t>
      </w:r>
      <w:r w:rsidRPr="008C58FF">
        <w:rPr>
          <w:rFonts w:ascii="Times New Roman" w:hAnsi="Times New Roman" w:cs="Times New Roman"/>
          <w:b/>
          <w:bCs/>
          <w:sz w:val="24"/>
          <w:szCs w:val="24"/>
        </w:rPr>
        <w:t>arcass characteristics, relative organ weights and economic performance of commercial broiler chickens</w:t>
      </w:r>
    </w:p>
    <w:p w14:paraId="4D2963F1" w14:textId="77777777" w:rsidR="008C58FF" w:rsidRPr="008C58FF" w:rsidRDefault="008C58FF" w:rsidP="0022011E">
      <w:pPr>
        <w:spacing w:after="0" w:line="360" w:lineRule="auto"/>
        <w:rPr>
          <w:rFonts w:ascii="Times New Roman" w:hAnsi="Times New Roman" w:cs="Times New Roman"/>
          <w:b/>
          <w:bCs/>
          <w:sz w:val="24"/>
          <w:szCs w:val="24"/>
        </w:rPr>
      </w:pPr>
    </w:p>
    <w:p w14:paraId="2BB94AD9" w14:textId="77777777" w:rsidR="008C58FF" w:rsidRPr="008C58FF" w:rsidRDefault="008C58FF" w:rsidP="0022011E">
      <w:pPr>
        <w:spacing w:after="0" w:line="360" w:lineRule="auto"/>
        <w:rPr>
          <w:rFonts w:ascii="Times New Roman" w:hAnsi="Times New Roman" w:cs="Times New Roman"/>
          <w:b/>
          <w:bCs/>
          <w:sz w:val="24"/>
          <w:szCs w:val="24"/>
        </w:rPr>
      </w:pPr>
    </w:p>
    <w:p w14:paraId="4F002E5B" w14:textId="54FF4960" w:rsidR="008C58FF" w:rsidRPr="008C58FF" w:rsidRDefault="008C58FF" w:rsidP="0022011E">
      <w:pPr>
        <w:spacing w:after="0" w:line="360" w:lineRule="auto"/>
        <w:rPr>
          <w:rFonts w:ascii="Times New Roman" w:hAnsi="Times New Roman" w:cs="Times New Roman"/>
          <w:b/>
          <w:bCs/>
          <w:sz w:val="24"/>
          <w:szCs w:val="24"/>
        </w:rPr>
      </w:pPr>
    </w:p>
    <w:p w14:paraId="26DCAD0B" w14:textId="77777777" w:rsidR="00865804" w:rsidRPr="008C58FF" w:rsidRDefault="00865804" w:rsidP="0022011E">
      <w:pPr>
        <w:pStyle w:val="BodyText"/>
        <w:spacing w:line="360" w:lineRule="auto"/>
        <w:jc w:val="center"/>
        <w:rPr>
          <w:b/>
          <w:bCs/>
          <w:color w:val="221F1F"/>
          <w:lang w:val="en-IN"/>
        </w:rPr>
      </w:pPr>
      <w:r w:rsidRPr="008C58FF">
        <w:rPr>
          <w:b/>
          <w:bCs/>
          <w:color w:val="221F1F"/>
          <w:lang w:val="en-IN"/>
        </w:rPr>
        <w:t>Abstract</w:t>
      </w:r>
    </w:p>
    <w:p w14:paraId="6B69E75D" w14:textId="53535789" w:rsidR="007B4BA3" w:rsidRDefault="006817EB" w:rsidP="0022011E">
      <w:pPr>
        <w:pStyle w:val="BodyText"/>
        <w:spacing w:line="360" w:lineRule="auto"/>
        <w:ind w:right="91" w:firstLine="720"/>
        <w:jc w:val="both"/>
      </w:pPr>
      <w:r w:rsidRPr="008C58FF">
        <w:t>This study was conducted to evaluate the effects of graded dietary inclusion of red seaweed (</w:t>
      </w:r>
      <w:r w:rsidRPr="008C58FF">
        <w:rPr>
          <w:rStyle w:val="Emphasis"/>
          <w:rFonts w:eastAsiaTheme="majorEastAsia"/>
        </w:rPr>
        <w:t>Gracilaria tenuistipitata</w:t>
      </w:r>
      <w:r w:rsidRPr="008C58FF">
        <w:t xml:space="preserve">) on carcass characteristics, relative organ weights and economic performance in commercial broiler chickens. A total of </w:t>
      </w:r>
      <w:proofErr w:type="gramStart"/>
      <w:r w:rsidRPr="008C58FF">
        <w:t>200 day-old</w:t>
      </w:r>
      <w:proofErr w:type="gramEnd"/>
      <w:r w:rsidRPr="008C58FF">
        <w:t xml:space="preserve"> Vencobb 430Y broiler chicks were randomly assigned to four dietary treatments with five replicates of ten birds each: 0% (T1, control), 1% (T2), 2% (T3) and 4% (T4) red seaweed. The feeding trial was conducted for 35 days. Carcass evaluation showed no significant (P&gt;0.05) differences among treatments in pre-slaughter live weight, eviscerated carcass yield, giblet yield, or ready-to-cook yield. However, weight after bleeding and New York dressed yield were significantly (P&lt;0.01) higher in the control group (97.53% and 92.47%, respectively) than in T2 (94.45% and 89.42%). Among cut-up parts, neck yield was significantly (P&lt;0.01) higher in T4 (6.79%) compared with T1 (4.89%) and T2 (5.62%), while breast, back, thigh, drumstick and wing yields were unaffected (P&gt;0.05). Relative weights of heart, liver, gizzard, spleen and thymus did not differ among treatments; however, the bursa of Fabricius was significantly </w:t>
      </w:r>
      <w:r w:rsidR="00BC0FFA" w:rsidRPr="008C58FF">
        <w:t xml:space="preserve">(P&lt;0.05) </w:t>
      </w:r>
      <w:r w:rsidRPr="008C58FF">
        <w:t>heavier in T4 (0.3</w:t>
      </w:r>
      <w:r w:rsidR="001E7C89">
        <w:t>1</w:t>
      </w:r>
      <w:r w:rsidRPr="008C58FF">
        <w:t>%) than in all other groups, indicating potential immunomodulatory effects.</w:t>
      </w:r>
      <w:r w:rsidR="007B4BA3">
        <w:t xml:space="preserve"> Economic analysis showed that although 4% inclusion had the lowest production cost per bird, the highest net return and economic efficiency were achieved at 2% inclusion due to its </w:t>
      </w:r>
      <w:proofErr w:type="spellStart"/>
      <w:r w:rsidR="007B4BA3">
        <w:t>favourable</w:t>
      </w:r>
      <w:proofErr w:type="spellEnd"/>
      <w:r w:rsidR="007B4BA3">
        <w:t xml:space="preserve"> sale value and 100% livability. Higher inclusion reduced profitability despite lower feed costs because of decreased live and dressed weights. Thus, </w:t>
      </w:r>
      <w:r w:rsidR="007B4BA3">
        <w:rPr>
          <w:rStyle w:val="Emphasis"/>
          <w:rFonts w:eastAsiaTheme="majorEastAsia"/>
        </w:rPr>
        <w:t>G. tenuistipitata</w:t>
      </w:r>
      <w:r w:rsidR="007B4BA3">
        <w:t xml:space="preserve"> at 1–2% can be safely adopted, with 2% being the most economically viable level.</w:t>
      </w:r>
    </w:p>
    <w:p w14:paraId="7C0386F5" w14:textId="77777777" w:rsidR="007B4BA3" w:rsidRPr="008C58FF" w:rsidRDefault="007B4BA3" w:rsidP="0022011E">
      <w:pPr>
        <w:pStyle w:val="BodyText"/>
        <w:spacing w:line="360" w:lineRule="auto"/>
        <w:ind w:right="91" w:firstLine="720"/>
        <w:jc w:val="both"/>
        <w:rPr>
          <w:color w:val="181717"/>
          <w:kern w:val="2"/>
          <w:lang w:eastAsia="en-IN" w:bidi="ta-IN"/>
          <w14:ligatures w14:val="standardContextual"/>
        </w:rPr>
      </w:pPr>
    </w:p>
    <w:p w14:paraId="3E4C172C" w14:textId="2008831B" w:rsidR="004B41AF" w:rsidRDefault="004B41AF" w:rsidP="0022011E">
      <w:pPr>
        <w:pStyle w:val="BodyText"/>
        <w:spacing w:line="360" w:lineRule="auto"/>
        <w:ind w:right="112"/>
        <w:jc w:val="both"/>
        <w:rPr>
          <w:color w:val="181717"/>
          <w:kern w:val="2"/>
          <w:lang w:val="en-IN" w:eastAsia="en-IN" w:bidi="ta-IN"/>
          <w14:ligatures w14:val="standardContextual"/>
        </w:rPr>
      </w:pPr>
      <w:r w:rsidRPr="008C58FF">
        <w:rPr>
          <w:b/>
          <w:bCs/>
        </w:rPr>
        <w:t>Keyword:</w:t>
      </w:r>
      <w:r w:rsidRPr="008C58FF">
        <w:t xml:space="preserve"> Red seaweed, </w:t>
      </w:r>
      <w:r w:rsidR="008C58FF">
        <w:t xml:space="preserve">broiler chicken, </w:t>
      </w:r>
      <w:r w:rsidR="00166779" w:rsidRPr="008C58FF">
        <w:rPr>
          <w:color w:val="181717"/>
          <w:kern w:val="2"/>
          <w:lang w:val="en-IN" w:eastAsia="en-IN" w:bidi="ta-IN"/>
          <w14:ligatures w14:val="standardContextual"/>
        </w:rPr>
        <w:t xml:space="preserve">carcass characteristics, </w:t>
      </w:r>
      <w:r w:rsidR="008C58FF">
        <w:rPr>
          <w:color w:val="181717"/>
          <w:kern w:val="2"/>
          <w:lang w:val="en-IN" w:eastAsia="en-IN" w:bidi="ta-IN"/>
          <w14:ligatures w14:val="standardContextual"/>
        </w:rPr>
        <w:t xml:space="preserve">cut-up parts, </w:t>
      </w:r>
      <w:r w:rsidR="00166779" w:rsidRPr="008C58FF">
        <w:rPr>
          <w:color w:val="181717"/>
          <w:kern w:val="2"/>
          <w:lang w:val="en-IN" w:eastAsia="en-IN" w:bidi="ta-IN"/>
          <w14:ligatures w14:val="standardContextual"/>
        </w:rPr>
        <w:t>economic</w:t>
      </w:r>
      <w:r w:rsidR="008C58FF">
        <w:rPr>
          <w:color w:val="181717"/>
          <w:kern w:val="2"/>
          <w:lang w:val="en-IN" w:eastAsia="en-IN" w:bidi="ta-IN"/>
          <w14:ligatures w14:val="standardContextual"/>
        </w:rPr>
        <w:t xml:space="preserve"> efficiency</w:t>
      </w:r>
      <w:r w:rsidR="00166779" w:rsidRPr="008C58FF">
        <w:rPr>
          <w:color w:val="181717"/>
          <w:kern w:val="2"/>
          <w:lang w:val="en-IN" w:eastAsia="en-IN" w:bidi="ta-IN"/>
          <w14:ligatures w14:val="standardContextual"/>
        </w:rPr>
        <w:t xml:space="preserve">, </w:t>
      </w:r>
      <w:r w:rsidR="008C58FF">
        <w:rPr>
          <w:color w:val="181717"/>
          <w:kern w:val="2"/>
          <w:lang w:val="en-IN" w:eastAsia="en-IN" w:bidi="ta-IN"/>
          <w14:ligatures w14:val="standardContextual"/>
        </w:rPr>
        <w:t>b</w:t>
      </w:r>
      <w:r w:rsidR="00166779" w:rsidRPr="008C58FF">
        <w:rPr>
          <w:color w:val="181717"/>
          <w:kern w:val="2"/>
          <w:lang w:val="en-IN" w:eastAsia="en-IN" w:bidi="ta-IN"/>
          <w14:ligatures w14:val="standardContextual"/>
        </w:rPr>
        <w:t>ursa of Fabricius</w:t>
      </w:r>
    </w:p>
    <w:p w14:paraId="12B23B74" w14:textId="77777777" w:rsidR="008C58FF" w:rsidRPr="008C58FF" w:rsidRDefault="008C58FF" w:rsidP="0022011E">
      <w:pPr>
        <w:pStyle w:val="BodyText"/>
        <w:spacing w:line="360" w:lineRule="auto"/>
        <w:ind w:right="112"/>
        <w:jc w:val="both"/>
      </w:pPr>
    </w:p>
    <w:p w14:paraId="54685D23" w14:textId="59B8032B" w:rsidR="004F4A5E" w:rsidRPr="008C58FF" w:rsidRDefault="0022011E" w:rsidP="008C58FF">
      <w:pPr>
        <w:spacing w:after="0" w:line="360" w:lineRule="auto"/>
        <w:ind w:left="0"/>
        <w:rPr>
          <w:rFonts w:ascii="Times New Roman" w:eastAsia="Times New Roman" w:hAnsi="Times New Roman" w:cs="Times New Roman"/>
          <w:b/>
          <w:bCs/>
          <w:kern w:val="0"/>
          <w:sz w:val="24"/>
          <w:szCs w:val="24"/>
          <w14:ligatures w14:val="none"/>
        </w:rPr>
      </w:pPr>
      <w:r w:rsidRPr="008C58FF">
        <w:rPr>
          <w:rFonts w:ascii="Times New Roman" w:eastAsia="Times New Roman" w:hAnsi="Times New Roman" w:cs="Times New Roman"/>
          <w:b/>
          <w:bCs/>
          <w:kern w:val="0"/>
          <w:sz w:val="24"/>
          <w:szCs w:val="24"/>
          <w14:ligatures w14:val="none"/>
        </w:rPr>
        <w:t>INTRODUCTION</w:t>
      </w:r>
    </w:p>
    <w:p w14:paraId="244929F5" w14:textId="25E3E5C8"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India ranks </w:t>
      </w:r>
      <w:r w:rsidR="001E7C89">
        <w:rPr>
          <w:rFonts w:ascii="Times New Roman" w:eastAsia="Times New Roman" w:hAnsi="Times New Roman" w:cs="Times New Roman"/>
          <w:kern w:val="0"/>
          <w:sz w:val="24"/>
          <w:szCs w:val="24"/>
          <w:lang w:eastAsia="en-IN" w:bidi="ta-IN"/>
          <w14:ligatures w14:val="none"/>
        </w:rPr>
        <w:t>fourth</w:t>
      </w:r>
      <w:r w:rsidRPr="008C58FF">
        <w:rPr>
          <w:rFonts w:ascii="Times New Roman" w:eastAsia="Times New Roman" w:hAnsi="Times New Roman" w:cs="Times New Roman"/>
          <w:kern w:val="0"/>
          <w:sz w:val="24"/>
          <w:szCs w:val="24"/>
          <w:lang w:eastAsia="en-IN" w:bidi="ta-IN"/>
          <w14:ligatures w14:val="none"/>
        </w:rPr>
        <w:t xml:space="preserve"> globally in poultry meat production, with an annual output of approximately </w:t>
      </w:r>
      <w:r w:rsidR="001E7C89">
        <w:rPr>
          <w:rFonts w:ascii="Times New Roman" w:eastAsia="Times New Roman" w:hAnsi="Times New Roman" w:cs="Times New Roman"/>
          <w:kern w:val="0"/>
          <w:sz w:val="24"/>
          <w:szCs w:val="24"/>
          <w:lang w:eastAsia="en-IN" w:bidi="ta-IN"/>
          <w14:ligatures w14:val="none"/>
        </w:rPr>
        <w:t>5.18</w:t>
      </w:r>
      <w:r w:rsidRPr="008C58FF">
        <w:rPr>
          <w:rFonts w:ascii="Times New Roman" w:eastAsia="Times New Roman" w:hAnsi="Times New Roman" w:cs="Times New Roman"/>
          <w:kern w:val="0"/>
          <w:sz w:val="24"/>
          <w:szCs w:val="24"/>
          <w:lang w:eastAsia="en-IN" w:bidi="ta-IN"/>
          <w14:ligatures w14:val="none"/>
        </w:rPr>
        <w:t xml:space="preserve"> million tonnes, reflecting the rapid expansion of commercial broiler farming, which accounts for nearly half of the total meat produced in the country (Churchil, </w:t>
      </w:r>
      <w:r w:rsidRPr="008C58FF">
        <w:rPr>
          <w:rFonts w:ascii="Times New Roman" w:eastAsia="Times New Roman" w:hAnsi="Times New Roman" w:cs="Times New Roman"/>
          <w:kern w:val="0"/>
          <w:sz w:val="24"/>
          <w:szCs w:val="24"/>
          <w:lang w:eastAsia="en-IN" w:bidi="ta-IN"/>
          <w14:ligatures w14:val="none"/>
        </w:rPr>
        <w:lastRenderedPageBreak/>
        <w:t xml:space="preserve">2022). </w:t>
      </w:r>
      <w:r w:rsidR="00961767" w:rsidRPr="00961767">
        <w:rPr>
          <w:rFonts w:ascii="Times New Roman" w:eastAsia="Times New Roman" w:hAnsi="Times New Roman" w:cs="Times New Roman"/>
          <w:kern w:val="0"/>
          <w:sz w:val="24"/>
          <w:szCs w:val="24"/>
          <w:lang w:eastAsia="en-IN" w:bidi="ta-IN"/>
          <w14:ligatures w14:val="none"/>
        </w:rPr>
        <w:t xml:space="preserve">A major structural weakness of the Indian poultry industry is the high, rapidly escalating and highly volatile prices of key feed ingredients, particularly maize and soybean, which substantially increase production costs and undermine profitability. (Churchil, 2022). </w:t>
      </w:r>
      <w:r w:rsidRPr="008C58FF">
        <w:rPr>
          <w:rFonts w:ascii="Times New Roman" w:eastAsia="Times New Roman" w:hAnsi="Times New Roman" w:cs="Times New Roman"/>
          <w:kern w:val="0"/>
          <w:sz w:val="24"/>
          <w:szCs w:val="24"/>
          <w:lang w:eastAsia="en-IN" w:bidi="ta-IN"/>
          <w14:ligatures w14:val="none"/>
        </w:rPr>
        <w:t>The continuous growth of the poultry industry has intensified the search for alternative feed ingredients that can enhance productivity, sustain bird health and improve economic efficiency while reducing reliance on conventional feed resources. This necessitates the evaluation of locally available, cost-effective non-conventional feed ingredients (</w:t>
      </w:r>
      <w:r w:rsidR="00107C4A" w:rsidRPr="008C58FF">
        <w:rPr>
          <w:rFonts w:ascii="Times New Roman" w:hAnsi="Times New Roman" w:cs="Times New Roman"/>
          <w:sz w:val="24"/>
          <w:szCs w:val="24"/>
        </w:rPr>
        <w:t>Saleh</w:t>
      </w:r>
      <w:r w:rsidR="00107C4A"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w:t>
      </w:r>
      <w:r w:rsidR="00107C4A" w:rsidRPr="008C58FF">
        <w:rPr>
          <w:rFonts w:ascii="Times New Roman" w:eastAsia="Times New Roman" w:hAnsi="Times New Roman" w:cs="Times New Roman"/>
          <w:kern w:val="0"/>
          <w:sz w:val="24"/>
          <w:szCs w:val="24"/>
          <w:lang w:eastAsia="en-IN" w:bidi="ta-IN"/>
          <w14:ligatures w14:val="none"/>
        </w:rPr>
        <w:t>25</w:t>
      </w:r>
      <w:r w:rsidRPr="008C58FF">
        <w:rPr>
          <w:rFonts w:ascii="Times New Roman" w:eastAsia="Times New Roman" w:hAnsi="Times New Roman" w:cs="Times New Roman"/>
          <w:kern w:val="0"/>
          <w:sz w:val="24"/>
          <w:szCs w:val="24"/>
          <w:lang w:eastAsia="en-IN" w:bidi="ta-IN"/>
          <w14:ligatures w14:val="none"/>
        </w:rPr>
        <w:t>). Although genetics provide the foundation for bird performance, the realization of optimal productivity in commercial poultry depends largely on the implementation of modern nutritional strategies (Churchil &amp; Suresh, 2021). Nutritional manipulation is therefore a key approach for improving carcass yield and breast muscle accretion in broilers (</w:t>
      </w:r>
      <w:proofErr w:type="spellStart"/>
      <w:r w:rsidRPr="008C58FF">
        <w:rPr>
          <w:rFonts w:ascii="Times New Roman" w:eastAsia="Times New Roman" w:hAnsi="Times New Roman" w:cs="Times New Roman"/>
          <w:kern w:val="0"/>
          <w:sz w:val="24"/>
          <w:szCs w:val="24"/>
          <w:lang w:eastAsia="en-IN" w:bidi="ta-IN"/>
          <w14:ligatures w14:val="none"/>
        </w:rPr>
        <w:t>Kanagaraju</w:t>
      </w:r>
      <w:proofErr w:type="spellEnd"/>
      <w:r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2019). In this context, previous studies using phytogenic and enzymatic feed additives have demonstrated that natural dietary interventions can modify carcass yield and cut-up part distribution without compromising organ development (</w:t>
      </w:r>
      <w:proofErr w:type="spellStart"/>
      <w:r w:rsidRPr="008C58FF">
        <w:rPr>
          <w:rFonts w:ascii="Times New Roman" w:eastAsia="Times New Roman" w:hAnsi="Times New Roman" w:cs="Times New Roman"/>
          <w:kern w:val="0"/>
          <w:sz w:val="24"/>
          <w:szCs w:val="24"/>
          <w:lang w:eastAsia="en-IN" w:bidi="ta-IN"/>
          <w14:ligatures w14:val="none"/>
        </w:rPr>
        <w:t>Sangilimadan</w:t>
      </w:r>
      <w:proofErr w:type="spellEnd"/>
      <w:r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2014; </w:t>
      </w:r>
      <w:proofErr w:type="spellStart"/>
      <w:r w:rsidRPr="008C58FF">
        <w:rPr>
          <w:rFonts w:ascii="Times New Roman" w:eastAsia="Times New Roman" w:hAnsi="Times New Roman" w:cs="Times New Roman"/>
          <w:kern w:val="0"/>
          <w:sz w:val="24"/>
          <w:szCs w:val="24"/>
          <w:lang w:eastAsia="en-IN" w:bidi="ta-IN"/>
          <w14:ligatures w14:val="none"/>
        </w:rPr>
        <w:t>Sangilimadan</w:t>
      </w:r>
      <w:proofErr w:type="spellEnd"/>
      <w:r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2020).</w:t>
      </w:r>
    </w:p>
    <w:p w14:paraId="25DB68CF" w14:textId="180A9DBB"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Against this background, marine macroalgae (seaweeds) have emerged as promising non-conventional feed ingredients owing to their rich nutritional composition and functional bioactive compounds. Seaweeds contain a wide array of nutrients, including proteins, peptides, vitamins, minerals, essential fatty acids, carotenoids, dietary fibre, phlorotannins, oxylipins and sulphated polysaccharides, which collectively contribute to their antioxidant, antimicrobial and immunomodulatory properties (Victor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2022). When incorporated at low dietary levels, seaweeds have been reported to improve growth performance, product quality and immune status in poultry, largely through modulation of gut microbiota and enhancement of intestinal health.</w:t>
      </w:r>
    </w:p>
    <w:p w14:paraId="6D5087A4" w14:textId="5EFAB809"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Among marine macroalgae, red seaweeds (Rhodophyta) possess a particularly favourable nutritional and functional profile. They are characterized by high concentrations of polyunsaturated fatty acids, notably eicosapentaenoic acid (EPA, ω-3) and arachidonic acid (AA, ω-6), with palmitic acid (C16:0) as the predominant saturated fatty acid and oleic acid as the major monounsaturated fatty acid (Moreda-Piñeiro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2012). Red seaweeds are also rich in macro- and micro-minerals such as sodium, potassium, calcium, magnesium, iron, zinc, </w:t>
      </w:r>
      <w:proofErr w:type="spellStart"/>
      <w:proofErr w:type="gramStart"/>
      <w:r w:rsidRPr="008C58FF">
        <w:rPr>
          <w:rFonts w:ascii="Times New Roman" w:eastAsia="Times New Roman" w:hAnsi="Times New Roman" w:cs="Times New Roman"/>
          <w:kern w:val="0"/>
          <w:sz w:val="24"/>
          <w:szCs w:val="24"/>
          <w:lang w:eastAsia="en-IN" w:bidi="ta-IN"/>
          <w14:ligatures w14:val="none"/>
        </w:rPr>
        <w:t>manganese,and</w:t>
      </w:r>
      <w:proofErr w:type="spellEnd"/>
      <w:proofErr w:type="gramEnd"/>
      <w:r w:rsidRPr="008C58FF">
        <w:rPr>
          <w:rFonts w:ascii="Times New Roman" w:eastAsia="Times New Roman" w:hAnsi="Times New Roman" w:cs="Times New Roman"/>
          <w:kern w:val="0"/>
          <w:sz w:val="24"/>
          <w:szCs w:val="24"/>
          <w:lang w:eastAsia="en-IN" w:bidi="ta-IN"/>
          <w14:ligatures w14:val="none"/>
        </w:rPr>
        <w:t xml:space="preserve"> copper, along with appreciable levels of iodine in certain species (Hayes, 2015). In addition, they provide water-soluble vitamins (B-complex and vitamin C) and lipid-soluble pigments including α- and β-carotene, zeaxanthin and lutein (Dawczynski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2007; Hayes, 2015).</w:t>
      </w:r>
    </w:p>
    <w:p w14:paraId="4570927E" w14:textId="22EBEECD"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lastRenderedPageBreak/>
        <w:t xml:space="preserve">Red seaweeds of the genus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are widely distributed in tropical and subtropical coastal regions and are increasingly explored as functional feed ingredients in poultry nutrition. These seaweeds contain moderate levels of crude protein, high concentrations of essential minerals (particularly calcium, iron, zinc and manganese) and structurally diverse polysaccharides with prebiotic and immunomodulatory properties (Morais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Sulphated galactans and other soluble fibres present in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species have been shown to beneficially influence gut microbial balance, nutrient absorption and immune response in poultry, thereby contributing to improved growth performance and overall health status (Balasubramanian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2021). Such functional attributes suggest that dietary inclusion of red seaweed may exert positive effects on growth, carcass development and internal organ morphology in broiler chickens.</w:t>
      </w:r>
    </w:p>
    <w:p w14:paraId="0AB0C59E" w14:textId="5034E758"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Carcass characteristics and cut-up part yields are key determinants of the commercial value of broilers. Several studies have reported favourable effects of algal supplementation on carcass traits. Ali and Memon (2014) observed improvements in meat quality when green seaweed was incorporated at levels below 3% in broiler diets, attributing enhanced dressing and breast yield to the provision of high-quality protein and essential amino acids, particularly methionine. Similarly, Abudabos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(2013) reported increased dressing percentage and breast yield, along with reduced abdominal fat, in broilers fed diets containing 3% green seaweed. In contrast, Cañedo-Castro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found no significant differences in carcass yield or meat quality in broilers fed </w:t>
      </w:r>
      <w:r w:rsidRPr="008C58FF">
        <w:rPr>
          <w:rFonts w:ascii="Times New Roman" w:eastAsia="Times New Roman" w:hAnsi="Times New Roman" w:cs="Times New Roman"/>
          <w:i/>
          <w:iCs/>
          <w:kern w:val="0"/>
          <w:sz w:val="24"/>
          <w:szCs w:val="24"/>
          <w:lang w:eastAsia="en-IN" w:bidi="ta-IN"/>
          <w14:ligatures w14:val="none"/>
        </w:rPr>
        <w:t>Ulva</w:t>
      </w:r>
      <w:r w:rsidRPr="008C58FF">
        <w:rPr>
          <w:rFonts w:ascii="Times New Roman" w:eastAsia="Times New Roman" w:hAnsi="Times New Roman" w:cs="Times New Roman"/>
          <w:kern w:val="0"/>
          <w:sz w:val="24"/>
          <w:szCs w:val="24"/>
          <w:lang w:eastAsia="en-IN" w:bidi="ta-IN"/>
          <w14:ligatures w14:val="none"/>
        </w:rPr>
        <w:t xml:space="preserve"> spp. at inclusion levels of 2–6%. Other reports also indicate minimal or inconsistent effects of seaweed supplementation on meat quality parameters (Barbut, 2007;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2020), suggesting that responses may vary depending on algal species, processing method, inclusion level and bird genotype.</w:t>
      </w:r>
    </w:p>
    <w:p w14:paraId="3A99E9B5" w14:textId="314523CC"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Despite the growing interest in algal feed additives, information on the effects of </w:t>
      </w:r>
      <w:r w:rsidRPr="008C58FF">
        <w:rPr>
          <w:rFonts w:ascii="Times New Roman" w:eastAsia="Times New Roman" w:hAnsi="Times New Roman" w:cs="Times New Roman"/>
          <w:i/>
          <w:iCs/>
          <w:kern w:val="0"/>
          <w:sz w:val="24"/>
          <w:szCs w:val="24"/>
          <w:lang w:eastAsia="en-IN" w:bidi="ta-IN"/>
          <w14:ligatures w14:val="none"/>
        </w:rPr>
        <w:t>Gracilaria tenuistipitata</w:t>
      </w:r>
      <w:r w:rsidRPr="008C58FF">
        <w:rPr>
          <w:rFonts w:ascii="Times New Roman" w:eastAsia="Times New Roman" w:hAnsi="Times New Roman" w:cs="Times New Roman"/>
          <w:kern w:val="0"/>
          <w:sz w:val="24"/>
          <w:szCs w:val="24"/>
          <w:lang w:eastAsia="en-IN" w:bidi="ta-IN"/>
          <w14:ligatures w14:val="none"/>
        </w:rPr>
        <w:t xml:space="preserve"> on carcass characteristics, relative organ weights and economic efficiency in commercial broilers remains limited. In particular, systematic evaluation of both biological performance and cost–benefit outcomes </w:t>
      </w:r>
      <w:proofErr w:type="gramStart"/>
      <w:r w:rsidRPr="008C58FF">
        <w:rPr>
          <w:rFonts w:ascii="Times New Roman" w:eastAsia="Times New Roman" w:hAnsi="Times New Roman" w:cs="Times New Roman"/>
          <w:kern w:val="0"/>
          <w:sz w:val="24"/>
          <w:szCs w:val="24"/>
          <w:lang w:eastAsia="en-IN" w:bidi="ta-IN"/>
          <w14:ligatures w14:val="none"/>
        </w:rPr>
        <w:t>is</w:t>
      </w:r>
      <w:proofErr w:type="gramEnd"/>
      <w:r w:rsidRPr="008C58FF">
        <w:rPr>
          <w:rFonts w:ascii="Times New Roman" w:eastAsia="Times New Roman" w:hAnsi="Times New Roman" w:cs="Times New Roman"/>
          <w:kern w:val="0"/>
          <w:sz w:val="24"/>
          <w:szCs w:val="24"/>
          <w:lang w:eastAsia="en-IN" w:bidi="ta-IN"/>
          <w14:ligatures w14:val="none"/>
        </w:rPr>
        <w:t xml:space="preserve"> scarce. Therefore, the present study was undertaken to evaluate the effects of graded dietary inclusion of red seaweed (</w:t>
      </w:r>
      <w:r w:rsidRPr="008C58FF">
        <w:rPr>
          <w:rFonts w:ascii="Times New Roman" w:eastAsia="Times New Roman" w:hAnsi="Times New Roman" w:cs="Times New Roman"/>
          <w:i/>
          <w:iCs/>
          <w:kern w:val="0"/>
          <w:sz w:val="24"/>
          <w:szCs w:val="24"/>
          <w:lang w:eastAsia="en-IN" w:bidi="ta-IN"/>
          <w14:ligatures w14:val="none"/>
        </w:rPr>
        <w:t>G. tenuistipitata</w:t>
      </w:r>
      <w:r w:rsidRPr="008C58FF">
        <w:rPr>
          <w:rFonts w:ascii="Times New Roman" w:eastAsia="Times New Roman" w:hAnsi="Times New Roman" w:cs="Times New Roman"/>
          <w:kern w:val="0"/>
          <w:sz w:val="24"/>
          <w:szCs w:val="24"/>
          <w:lang w:eastAsia="en-IN" w:bidi="ta-IN"/>
          <w14:ligatures w14:val="none"/>
        </w:rPr>
        <w:t>) on carcass traits, visceral organ development and cost–benefit ratio in commercial broiler chickens, with the aim of assessing its potential as a functional and economically viable feed ingredient in intensive poultry production systems.</w:t>
      </w:r>
    </w:p>
    <w:p w14:paraId="0C0B7561" w14:textId="168A78D8" w:rsidR="00865804" w:rsidRPr="008C58FF" w:rsidRDefault="004B41AF" w:rsidP="008C58FF">
      <w:pPr>
        <w:pStyle w:val="BodyText"/>
        <w:spacing w:line="360" w:lineRule="auto"/>
        <w:ind w:right="91"/>
        <w:jc w:val="center"/>
        <w:rPr>
          <w:b/>
          <w:bCs/>
          <w:lang w:val="en-IN"/>
        </w:rPr>
      </w:pPr>
      <w:r w:rsidRPr="008C58FF">
        <w:rPr>
          <w:b/>
          <w:bCs/>
          <w:lang w:val="en-IN"/>
        </w:rPr>
        <w:t>MATERIALS AND METHODS</w:t>
      </w:r>
    </w:p>
    <w:p w14:paraId="05063B6C" w14:textId="77777777" w:rsidR="00FF4BDF" w:rsidRPr="008C58F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lastRenderedPageBreak/>
        <w:t>The study was conducted in the poultry shed of the ICAR–Experiential Learning Programme on Broiler Production, Department of Poultry Science, Madras Veterinary College, Chennai–07, India.</w:t>
      </w:r>
    </w:p>
    <w:p w14:paraId="5B224485" w14:textId="447B0BF2"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Birds, treatments and experimental design</w:t>
      </w:r>
    </w:p>
    <w:p w14:paraId="1AF05F3C" w14:textId="3F861DA7" w:rsidR="004741D7" w:rsidRPr="008C58FF" w:rsidRDefault="00FF4BDF" w:rsidP="0022011E">
      <w:pPr>
        <w:spacing w:after="0" w:line="360" w:lineRule="auto"/>
        <w:ind w:left="0" w:firstLine="567"/>
        <w:jc w:val="both"/>
        <w:rPr>
          <w:rFonts w:ascii="Times New Roman" w:hAnsi="Times New Roman" w:cs="Times New Roman"/>
          <w:color w:val="181717"/>
          <w:sz w:val="24"/>
          <w:szCs w:val="24"/>
          <w:lang w:eastAsia="en-IN" w:bidi="ta-IN"/>
        </w:rPr>
      </w:pPr>
      <w:r w:rsidRPr="008C58FF">
        <w:rPr>
          <w:rFonts w:ascii="Times New Roman" w:hAnsi="Times New Roman" w:cs="Times New Roman"/>
          <w:sz w:val="24"/>
          <w:szCs w:val="24"/>
        </w:rPr>
        <w:t xml:space="preserve">The experiment was carried out using a total of 200 day-old Vencobb 430Y broiler chicks, which were randomly allotted to four dietary treatment groups, each comprising five replicates of ten birds. The treatments consisted of a basal diet supplemented with red seaweed at inclusion levels of 0% (T1, control), 1% (T2), 2% (T3) and 4% (T4). The feeding trial was conducted for 35 days. Four isocaloric and isonitrogenous experimental diets were formulated in accordance with BIS (2024) specifications (Table 1) and fed to the birds from 0 to 35 days of age. Birds were provided </w:t>
      </w:r>
      <w:r w:rsidRPr="001E7C89">
        <w:rPr>
          <w:rFonts w:ascii="Times New Roman" w:hAnsi="Times New Roman" w:cs="Times New Roman"/>
          <w:i/>
          <w:sz w:val="24"/>
          <w:szCs w:val="24"/>
        </w:rPr>
        <w:t>ad libitum</w:t>
      </w:r>
      <w:r w:rsidRPr="008C58FF">
        <w:rPr>
          <w:rFonts w:ascii="Times New Roman" w:hAnsi="Times New Roman" w:cs="Times New Roman"/>
          <w:sz w:val="24"/>
          <w:szCs w:val="24"/>
        </w:rPr>
        <w:t xml:space="preserve"> access to feed and water and were maintained under standard management conditions, including adherence to the recommended vaccination schedule</w:t>
      </w:r>
      <w:r w:rsidR="001E7C89">
        <w:rPr>
          <w:rFonts w:ascii="Times New Roman" w:hAnsi="Times New Roman" w:cs="Times New Roman"/>
          <w:sz w:val="24"/>
          <w:szCs w:val="24"/>
        </w:rPr>
        <w:t>.</w:t>
      </w:r>
      <w:r w:rsidRPr="008C58FF">
        <w:rPr>
          <w:rFonts w:ascii="Times New Roman" w:hAnsi="Times New Roman" w:cs="Times New Roman"/>
          <w:sz w:val="24"/>
          <w:szCs w:val="24"/>
        </w:rPr>
        <w:t xml:space="preserve"> </w:t>
      </w:r>
    </w:p>
    <w:p w14:paraId="3899B6DF" w14:textId="172C683C"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Carcass characteristics, cut-up part yields and relative organ weights</w:t>
      </w:r>
    </w:p>
    <w:p w14:paraId="7C095F67" w14:textId="528D87B1" w:rsidR="00FF4BDF" w:rsidRPr="008C58F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t>At the end of the 35-day experimental period, six birds (three males and three females) were randomly selected from each treatment group (6 × 4 = 24 birds) and slaughtered by severing the jugular vein. Data were recorded on pre-slaughter live weight, New York dressed weight, eviscerated carcass weight, ready-to-cook weight and giblet weight. The weights of cut-up parts, including breast, back, thighs, drumsticks, neck and wings, were also measured. In addition, the relative weights of internal organs such as the liver, spleen, thymus and bursa of Fabricius were recorded.</w:t>
      </w:r>
    </w:p>
    <w:p w14:paraId="0B29B77C" w14:textId="77777777"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Economic analysis</w:t>
      </w:r>
    </w:p>
    <w:p w14:paraId="5A70CADD" w14:textId="4A93A605" w:rsidR="00FF4BD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t>Net return was calculated by deducting the cost of production from the gross income obtained from each bird. Production cost included chick cost, feed cost</w:t>
      </w:r>
      <w:r w:rsidR="001E7C89">
        <w:rPr>
          <w:rFonts w:ascii="Times New Roman" w:hAnsi="Times New Roman" w:cs="Times New Roman"/>
          <w:sz w:val="24"/>
          <w:szCs w:val="24"/>
        </w:rPr>
        <w:t xml:space="preserve"> inclusive of cost of seaweed</w:t>
      </w:r>
      <w:r w:rsidRPr="008C58FF">
        <w:rPr>
          <w:rFonts w:ascii="Times New Roman" w:hAnsi="Times New Roman" w:cs="Times New Roman"/>
          <w:sz w:val="24"/>
          <w:szCs w:val="24"/>
        </w:rPr>
        <w:t xml:space="preserve"> and the </w:t>
      </w:r>
      <w:r w:rsidR="001E7C89">
        <w:rPr>
          <w:rFonts w:ascii="Times New Roman" w:hAnsi="Times New Roman" w:cs="Times New Roman"/>
          <w:sz w:val="24"/>
          <w:szCs w:val="24"/>
        </w:rPr>
        <w:t xml:space="preserve">miscellaneous </w:t>
      </w:r>
      <w:r w:rsidRPr="008C58FF">
        <w:rPr>
          <w:rFonts w:ascii="Times New Roman" w:hAnsi="Times New Roman" w:cs="Times New Roman"/>
          <w:sz w:val="24"/>
          <w:szCs w:val="24"/>
        </w:rPr>
        <w:t>cost. Economic efficiency was calculated as net return per unit production cost and relative economic efficiency was computed as:</w:t>
      </w:r>
    </w:p>
    <w:p w14:paraId="67CA3748" w14:textId="1DF81071" w:rsidR="00961767" w:rsidRPr="00C67D60" w:rsidRDefault="00BC0FFA" w:rsidP="00961767">
      <w:pPr>
        <w:spacing w:after="0" w:line="360" w:lineRule="auto"/>
        <w:ind w:left="0"/>
        <w:jc w:val="both"/>
        <w:rPr>
          <w:rFonts w:ascii="Times New Roman" w:hAnsi="Times New Roman" w:cs="Times New Roman"/>
          <w:sz w:val="24"/>
          <w:szCs w:val="24"/>
        </w:rPr>
      </w:pPr>
      <m:oMathPara>
        <m:oMath>
          <m:r>
            <m:rPr>
              <m:sty m:val="p"/>
            </m:rPr>
            <w:rPr>
              <w:rFonts w:ascii="Cambria Math" w:hAnsi="Cambria Math" w:cs="Times New Roman"/>
              <w:sz w:val="24"/>
              <w:szCs w:val="24"/>
            </w:rPr>
            <m:t>Relative economic efficiency</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Economic efficiency of treatment</m:t>
              </m:r>
            </m:num>
            <m:den>
              <m:r>
                <m:rPr>
                  <m:sty m:val="p"/>
                </m:rPr>
                <w:rPr>
                  <w:rFonts w:ascii="Cambria Math" w:hAnsi="Cambria Math" w:cs="Times New Roman"/>
                  <w:sz w:val="24"/>
                  <w:szCs w:val="24"/>
                </w:rPr>
                <m:t>Economic efficiency of control</m:t>
              </m:r>
            </m:den>
          </m:f>
          <m:r>
            <w:rPr>
              <w:rFonts w:ascii="Cambria Math" w:hAnsi="Cambria Math" w:cs="Times New Roman"/>
              <w:sz w:val="24"/>
              <w:szCs w:val="24"/>
            </w:rPr>
            <m:t xml:space="preserve"> </m:t>
          </m:r>
          <m:r>
            <m:rPr>
              <m:sty m:val="p"/>
            </m:rPr>
            <w:rPr>
              <w:rFonts w:ascii="Cambria Math" w:hAnsi="Cambria Math" w:cs="Times New Roman"/>
              <w:sz w:val="24"/>
              <w:szCs w:val="24"/>
            </w:rPr>
            <m:t>× 100</m:t>
          </m:r>
        </m:oMath>
      </m:oMathPara>
    </w:p>
    <w:p w14:paraId="4EA6885F" w14:textId="77777777"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Statistical analysis</w:t>
      </w:r>
    </w:p>
    <w:p w14:paraId="65CA7116" w14:textId="77777777" w:rsidR="00FF4BDF" w:rsidRPr="008C58F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t>Data pertaining to the various parameters were subjected to statistical analysis using Analysis of Variance (ANOVA) as described by Snedecor and Cochran (1990). Differences among treatment means were tested for significance using Duncan’s Multiple Range Test (DMRT) as modified by Kramer (1956).</w:t>
      </w:r>
    </w:p>
    <w:p w14:paraId="57407ABA" w14:textId="77777777" w:rsidR="00FF4BDF" w:rsidRPr="008C58FF" w:rsidRDefault="00FF4BDF" w:rsidP="0022011E">
      <w:pPr>
        <w:pStyle w:val="BodyText"/>
        <w:spacing w:line="360" w:lineRule="auto"/>
        <w:jc w:val="center"/>
        <w:rPr>
          <w:b/>
          <w:bCs/>
          <w:color w:val="221F1F"/>
          <w:lang w:val="en-IN"/>
        </w:rPr>
      </w:pPr>
    </w:p>
    <w:p w14:paraId="0FEB285A" w14:textId="75DDC0F5" w:rsidR="00C54D41" w:rsidRPr="008C58FF" w:rsidRDefault="00A55FA5" w:rsidP="0022011E">
      <w:pPr>
        <w:pStyle w:val="BodyText"/>
        <w:spacing w:line="360" w:lineRule="auto"/>
        <w:jc w:val="center"/>
        <w:rPr>
          <w:b/>
          <w:bCs/>
          <w:color w:val="221F1F"/>
          <w:lang w:val="en-IN"/>
        </w:rPr>
      </w:pPr>
      <w:r w:rsidRPr="008C58FF">
        <w:rPr>
          <w:b/>
          <w:bCs/>
          <w:color w:val="221F1F"/>
          <w:lang w:val="en-IN"/>
        </w:rPr>
        <w:t>RESULTS AND DISCUSSION</w:t>
      </w:r>
    </w:p>
    <w:p w14:paraId="71AAA214" w14:textId="77777777" w:rsidR="00A40150" w:rsidRPr="008C58FF" w:rsidRDefault="00A40150" w:rsidP="0022011E">
      <w:pPr>
        <w:pStyle w:val="BodyText"/>
        <w:spacing w:line="360" w:lineRule="auto"/>
        <w:jc w:val="both"/>
        <w:rPr>
          <w:b/>
          <w:bCs/>
          <w:color w:val="221F1F"/>
          <w:lang w:val="en-IN"/>
        </w:rPr>
      </w:pPr>
      <w:r w:rsidRPr="008C58FF">
        <w:rPr>
          <w:b/>
          <w:bCs/>
          <w:color w:val="221F1F"/>
          <w:lang w:val="en-IN"/>
        </w:rPr>
        <w:lastRenderedPageBreak/>
        <w:t>Carcass characteristics</w:t>
      </w:r>
    </w:p>
    <w:p w14:paraId="4C9C1136" w14:textId="1A9B728F"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The effects of dietary red seaweed on carcass traits are presented in Table 2. Overall, red seaweed supplementation exerted minimal influence on most carcass parameters. Weight after bleeding and New York dressed carcass yield differed significantly (P&lt;0.0</w:t>
      </w:r>
      <w:r w:rsidR="00BC0FFA">
        <w:rPr>
          <w:rFonts w:ascii="Times New Roman" w:eastAsia="Times New Roman" w:hAnsi="Times New Roman" w:cs="Times New Roman"/>
          <w:kern w:val="0"/>
          <w:sz w:val="24"/>
          <w:szCs w:val="24"/>
          <w:lang w:eastAsia="en-IN" w:bidi="ta-IN"/>
          <w14:ligatures w14:val="none"/>
        </w:rPr>
        <w:t>1</w:t>
      </w:r>
      <w:r w:rsidRPr="008C58FF">
        <w:rPr>
          <w:rFonts w:ascii="Times New Roman" w:eastAsia="Times New Roman" w:hAnsi="Times New Roman" w:cs="Times New Roman"/>
          <w:kern w:val="0"/>
          <w:sz w:val="24"/>
          <w:szCs w:val="24"/>
          <w:lang w:eastAsia="en-IN" w:bidi="ta-IN"/>
          <w14:ligatures w14:val="none"/>
        </w:rPr>
        <w:t xml:space="preserve">) among treatments, with higher values observed in the control group (T1) compared with the 1% inclusion group (T2). New York dressed yield at the 1% and 2% inclusion levels was also significantly </w:t>
      </w:r>
      <w:r w:rsidR="00BC0FFA"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lower than that of the control. In contrast, pre-slaughter live weight, eviscerated carcass yield, ready-to-cook yield and giblet yield were not affected (P&gt;0.05) by dietary treatment, indicating that red seaweed inclusion did not adversely influence overall carcass composition.</w:t>
      </w:r>
    </w:p>
    <w:p w14:paraId="1C2039F8" w14:textId="5886A8F2"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These findings are consistent with earlier reports demonstrating negligible effects of seaweed supplementation on carcass yield.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observed no significant changes in carcass traits in broilers fed 2.0–3.5% green seaweed, while Cañedo-Castro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reported no effect of </w:t>
      </w:r>
      <w:r w:rsidRPr="008C58FF">
        <w:rPr>
          <w:rFonts w:ascii="Times New Roman" w:eastAsia="Times New Roman" w:hAnsi="Times New Roman" w:cs="Times New Roman"/>
          <w:i/>
          <w:iCs/>
          <w:kern w:val="0"/>
          <w:sz w:val="24"/>
          <w:szCs w:val="24"/>
          <w:lang w:eastAsia="en-IN" w:bidi="ta-IN"/>
          <w14:ligatures w14:val="none"/>
        </w:rPr>
        <w:t>Ulva rigida</w:t>
      </w:r>
      <w:r w:rsidRPr="008C58FF">
        <w:rPr>
          <w:rFonts w:ascii="Times New Roman" w:eastAsia="Times New Roman" w:hAnsi="Times New Roman" w:cs="Times New Roman"/>
          <w:kern w:val="0"/>
          <w:sz w:val="24"/>
          <w:szCs w:val="24"/>
          <w:lang w:eastAsia="en-IN" w:bidi="ta-IN"/>
          <w14:ligatures w14:val="none"/>
        </w:rPr>
        <w:t xml:space="preserve"> up to 6% inclusion. Similarly, Reski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(2021) found that brown seaweed at levels up to 10% did not alter carcass yield in Arbor Acres broilers and Paul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(2024) reported no effects of 0.25–1.0 g/kg </w:t>
      </w:r>
      <w:r w:rsidRPr="008C58FF">
        <w:rPr>
          <w:rFonts w:ascii="Times New Roman" w:eastAsia="Times New Roman" w:hAnsi="Times New Roman" w:cs="Times New Roman"/>
          <w:i/>
          <w:iCs/>
          <w:kern w:val="0"/>
          <w:sz w:val="24"/>
          <w:szCs w:val="24"/>
          <w:lang w:eastAsia="en-IN" w:bidi="ta-IN"/>
          <w14:ligatures w14:val="none"/>
        </w:rPr>
        <w:t>Eucheuma denticulatum</w:t>
      </w:r>
      <w:r w:rsidRPr="008C58FF">
        <w:rPr>
          <w:rFonts w:ascii="Times New Roman" w:eastAsia="Times New Roman" w:hAnsi="Times New Roman" w:cs="Times New Roman"/>
          <w:kern w:val="0"/>
          <w:sz w:val="24"/>
          <w:szCs w:val="24"/>
          <w:lang w:eastAsia="en-IN" w:bidi="ta-IN"/>
          <w14:ligatures w14:val="none"/>
        </w:rPr>
        <w:t xml:space="preserve"> extract on carcass characteristics. El-Naga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(2018) also documented unchanged relative carcass yield following </w:t>
      </w:r>
      <w:r w:rsidRPr="008C58FF">
        <w:rPr>
          <w:rFonts w:ascii="Times New Roman" w:eastAsia="Times New Roman" w:hAnsi="Times New Roman" w:cs="Times New Roman"/>
          <w:i/>
          <w:iCs/>
          <w:kern w:val="0"/>
          <w:sz w:val="24"/>
          <w:szCs w:val="24"/>
          <w:lang w:eastAsia="en-IN" w:bidi="ta-IN"/>
          <w14:ligatures w14:val="none"/>
        </w:rPr>
        <w:t>Ascophyllum nodosum</w:t>
      </w:r>
      <w:r w:rsidRPr="008C58FF">
        <w:rPr>
          <w:rFonts w:ascii="Times New Roman" w:eastAsia="Times New Roman" w:hAnsi="Times New Roman" w:cs="Times New Roman"/>
          <w:kern w:val="0"/>
          <w:sz w:val="24"/>
          <w:szCs w:val="24"/>
          <w:lang w:eastAsia="en-IN" w:bidi="ta-IN"/>
          <w14:ligatures w14:val="none"/>
        </w:rPr>
        <w:t xml:space="preserve"> extract supplementation.</w:t>
      </w:r>
    </w:p>
    <w:p w14:paraId="415C368A" w14:textId="0BE674F8"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Conversely, some studies have reported improvements in commercially important carcass traits at lower inclusion levels. Chavan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noted significant increases in ready-to-cook yield with 0.07–0.13% brown seaweed, while Mohammadigheisar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reported a quadratic increase in breast yield with 0.5–2.0% seaweed blend supplementation. Likewise,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(2019) demonstrated improved carcass and breast yields with 0.30% red algae.</w:t>
      </w:r>
    </w:p>
    <w:p w14:paraId="1B9673F2" w14:textId="6B270DC8"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variability in carcass responses among studies likely reflects differences in seaweed species, inclusion level, processing and bioactive composition. In the present study, dietary inclusion of red seaweed maintained normal carcass quality but did not enhance yield, suggesting that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spp. can be incorporated without compromising carcass traits, although yield-promoting effects may be limited relative to certain other algal species.</w:t>
      </w:r>
    </w:p>
    <w:p w14:paraId="0033ECC6" w14:textId="671D1F0A" w:rsidR="004E2596" w:rsidRPr="008C58FF" w:rsidRDefault="004E2596" w:rsidP="0022011E">
      <w:pPr>
        <w:pStyle w:val="BodyText"/>
        <w:spacing w:line="360" w:lineRule="auto"/>
        <w:jc w:val="both"/>
        <w:rPr>
          <w:b/>
          <w:bCs/>
          <w:color w:val="221F1F"/>
          <w:lang w:val="en-IN"/>
        </w:rPr>
      </w:pPr>
      <w:bookmarkStart w:id="0" w:name="_Hlk217130109"/>
      <w:r w:rsidRPr="008C58FF">
        <w:rPr>
          <w:b/>
          <w:bCs/>
          <w:color w:val="221F1F"/>
          <w:lang w:val="en-IN"/>
        </w:rPr>
        <w:t>Cut-up parts</w:t>
      </w:r>
    </w:p>
    <w:p w14:paraId="15BC7BCB" w14:textId="3E579BAC"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effects of dietary red seaweed on cut-up part yields are shown in Table </w:t>
      </w:r>
      <w:r w:rsidR="00FD00A0" w:rsidRPr="008C58FF">
        <w:rPr>
          <w:rFonts w:ascii="Times New Roman" w:eastAsia="Times New Roman" w:hAnsi="Times New Roman" w:cs="Times New Roman"/>
          <w:kern w:val="0"/>
          <w:sz w:val="24"/>
          <w:szCs w:val="24"/>
          <w:lang w:eastAsia="en-IN" w:bidi="ta-IN"/>
          <w14:ligatures w14:val="none"/>
        </w:rPr>
        <w:t>2</w:t>
      </w:r>
      <w:r w:rsidRPr="008C58FF">
        <w:rPr>
          <w:rFonts w:ascii="Times New Roman" w:eastAsia="Times New Roman" w:hAnsi="Times New Roman" w:cs="Times New Roman"/>
          <w:kern w:val="0"/>
          <w:sz w:val="24"/>
          <w:szCs w:val="24"/>
          <w:lang w:eastAsia="en-IN" w:bidi="ta-IN"/>
          <w14:ligatures w14:val="none"/>
        </w:rPr>
        <w:t xml:space="preserve">. Red seaweed supplementation significantly </w:t>
      </w:r>
      <w:r w:rsidR="00BC0FFA" w:rsidRPr="008C58FF">
        <w:rPr>
          <w:rFonts w:ascii="Times New Roman" w:eastAsia="Times New Roman" w:hAnsi="Times New Roman" w:cs="Times New Roman"/>
          <w:kern w:val="0"/>
          <w:sz w:val="24"/>
          <w:szCs w:val="24"/>
          <w:lang w:eastAsia="en-IN" w:bidi="ta-IN"/>
          <w14:ligatures w14:val="none"/>
        </w:rPr>
        <w:t xml:space="preserve">(P&lt;0.01) </w:t>
      </w:r>
      <w:r w:rsidRPr="008C58FF">
        <w:rPr>
          <w:rFonts w:ascii="Times New Roman" w:eastAsia="Times New Roman" w:hAnsi="Times New Roman" w:cs="Times New Roman"/>
          <w:kern w:val="0"/>
          <w:sz w:val="24"/>
          <w:szCs w:val="24"/>
          <w:lang w:eastAsia="en-IN" w:bidi="ta-IN"/>
          <w14:ligatures w14:val="none"/>
        </w:rPr>
        <w:t>affected neck yield, with the highest percentage observed in birds fed 4% inclusion (T4), which was greater (P&lt;0.05) than the control (T1); intermediate values occurred at 1% and 2% inclusion. Ho</w:t>
      </w:r>
      <w:r w:rsidR="006325D7" w:rsidRPr="008C58FF">
        <w:rPr>
          <w:rFonts w:ascii="Times New Roman" w:eastAsia="Times New Roman" w:hAnsi="Times New Roman" w:cs="Times New Roman"/>
          <w:kern w:val="0"/>
          <w:sz w:val="24"/>
          <w:szCs w:val="24"/>
          <w:lang w:eastAsia="en-IN" w:bidi="ta-IN"/>
          <w14:ligatures w14:val="none"/>
        </w:rPr>
        <w:t>w</w:t>
      </w:r>
      <w:r w:rsidRPr="008C58FF">
        <w:rPr>
          <w:rFonts w:ascii="Times New Roman" w:eastAsia="Times New Roman" w:hAnsi="Times New Roman" w:cs="Times New Roman"/>
          <w:kern w:val="0"/>
          <w:sz w:val="24"/>
          <w:szCs w:val="24"/>
          <w:lang w:eastAsia="en-IN" w:bidi="ta-IN"/>
          <w14:ligatures w14:val="none"/>
        </w:rPr>
        <w:t xml:space="preserve">ever, no significant differences were detected among treatments for breast, back, thigh, drumstick, or wing percentages. Thus, </w:t>
      </w:r>
      <w:r w:rsidRPr="008C58FF">
        <w:rPr>
          <w:rFonts w:ascii="Times New Roman" w:eastAsia="Times New Roman" w:hAnsi="Times New Roman" w:cs="Times New Roman"/>
          <w:kern w:val="0"/>
          <w:sz w:val="24"/>
          <w:szCs w:val="24"/>
          <w:lang w:eastAsia="en-IN" w:bidi="ta-IN"/>
          <w14:ligatures w14:val="none"/>
        </w:rPr>
        <w:lastRenderedPageBreak/>
        <w:t>red seaweed primarily influenced a less economically important component (neck) without altering the distribution of major commercial cuts.</w:t>
      </w:r>
    </w:p>
    <w:p w14:paraId="0CC8B4A8" w14:textId="410C3351"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These results agree with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who reported no significant effects of 2.0–3.5% green seaweed on major cut-up parts in broilers. Similarly,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observed no change in thigh/leg weights with 0.30% red algae and El-Naga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(2018) found no differences in principal cuts despite increased overall carcass weight, indicating stable carcass partitioning with algal inclusion.</w:t>
      </w:r>
    </w:p>
    <w:p w14:paraId="7200F1F5" w14:textId="0C197761"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Conversely, Chavan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showed that low-level brown seaweed (0.13%) significantly </w:t>
      </w:r>
      <w:r w:rsidR="0095032D"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 xml:space="preserve">increased breast, drumstick and thigh yields, while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also reported improved breast yield with 0.30% red algae. Notably,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(2019) reported no effect on neck yield, contrasting with the present study.</w:t>
      </w:r>
    </w:p>
    <w:p w14:paraId="294F47BB" w14:textId="431DBAD6"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Overall, variability among studies likely reflects differences in seaweed species, inclusion level, processing and bioactive composition that influence muscle deposition and carcass partitioning. In the present experiment, red seaweed affected mainly skeletal components without </w:t>
      </w:r>
      <w:r w:rsidR="0000079B">
        <w:rPr>
          <w:rFonts w:ascii="Times New Roman" w:eastAsia="Times New Roman" w:hAnsi="Times New Roman" w:cs="Times New Roman"/>
          <w:kern w:val="0"/>
          <w:sz w:val="24"/>
          <w:szCs w:val="24"/>
          <w:lang w:eastAsia="en-IN" w:bidi="ta-IN"/>
          <w14:ligatures w14:val="none"/>
        </w:rPr>
        <w:t>causing any negative impact</w:t>
      </w:r>
      <w:r w:rsidR="001E1864">
        <w:rPr>
          <w:rFonts w:ascii="Times New Roman" w:eastAsia="Times New Roman" w:hAnsi="Times New Roman" w:cs="Times New Roman"/>
          <w:kern w:val="0"/>
          <w:sz w:val="24"/>
          <w:szCs w:val="24"/>
          <w:lang w:eastAsia="en-IN" w:bidi="ta-IN"/>
          <w14:ligatures w14:val="none"/>
        </w:rPr>
        <w:t xml:space="preserve"> on the</w:t>
      </w:r>
      <w:r w:rsidRPr="008C58FF">
        <w:rPr>
          <w:rFonts w:ascii="Times New Roman" w:eastAsia="Times New Roman" w:hAnsi="Times New Roman" w:cs="Times New Roman"/>
          <w:kern w:val="0"/>
          <w:sz w:val="24"/>
          <w:szCs w:val="24"/>
          <w:lang w:eastAsia="en-IN" w:bidi="ta-IN"/>
          <w14:ligatures w14:val="none"/>
        </w:rPr>
        <w:t xml:space="preserve"> yields of commercially important cuts, indicating that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spp. can be included without adverse effects on major meat portions.</w:t>
      </w:r>
    </w:p>
    <w:p w14:paraId="79D2B3AD" w14:textId="77777777" w:rsidR="00CF0FFB" w:rsidRPr="008C58FF" w:rsidRDefault="00CF0FFB" w:rsidP="0022011E">
      <w:pPr>
        <w:pStyle w:val="BodyText"/>
        <w:spacing w:line="360" w:lineRule="auto"/>
        <w:ind w:right="91" w:firstLine="720"/>
        <w:jc w:val="both"/>
        <w:rPr>
          <w:color w:val="181717"/>
          <w:kern w:val="2"/>
          <w:lang w:eastAsia="en-IN" w:bidi="ta-IN"/>
          <w14:ligatures w14:val="standardContextual"/>
        </w:rPr>
      </w:pPr>
    </w:p>
    <w:bookmarkEnd w:id="0"/>
    <w:p w14:paraId="5EF777F7" w14:textId="448594A3" w:rsidR="004E2596" w:rsidRPr="008C58FF" w:rsidRDefault="004E2596" w:rsidP="0022011E">
      <w:pPr>
        <w:pStyle w:val="BodyText"/>
        <w:spacing w:line="360" w:lineRule="auto"/>
        <w:jc w:val="both"/>
        <w:rPr>
          <w:b/>
          <w:bCs/>
          <w:color w:val="221F1F"/>
          <w:lang w:val="en-IN"/>
        </w:rPr>
      </w:pPr>
      <w:r w:rsidRPr="008C58FF">
        <w:rPr>
          <w:b/>
          <w:bCs/>
          <w:color w:val="221F1F"/>
          <w:lang w:val="en-IN"/>
        </w:rPr>
        <w:t>Relative organ weights</w:t>
      </w:r>
    </w:p>
    <w:p w14:paraId="6E047429" w14:textId="546D4E22" w:rsidR="0095032D" w:rsidRPr="008C58FF" w:rsidRDefault="0095032D"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effects of dietary red seaweed on relative organ weights are presented in Table </w:t>
      </w:r>
      <w:r w:rsidR="00FD00A0" w:rsidRPr="008C58FF">
        <w:rPr>
          <w:rFonts w:ascii="Times New Roman" w:eastAsia="Times New Roman" w:hAnsi="Times New Roman" w:cs="Times New Roman"/>
          <w:kern w:val="0"/>
          <w:sz w:val="24"/>
          <w:szCs w:val="24"/>
          <w:lang w:eastAsia="en-IN" w:bidi="ta-IN"/>
          <w14:ligatures w14:val="none"/>
        </w:rPr>
        <w:t>2</w:t>
      </w:r>
      <w:r w:rsidRPr="008C58FF">
        <w:rPr>
          <w:rFonts w:ascii="Times New Roman" w:eastAsia="Times New Roman" w:hAnsi="Times New Roman" w:cs="Times New Roman"/>
          <w:kern w:val="0"/>
          <w:sz w:val="24"/>
          <w:szCs w:val="24"/>
          <w:lang w:eastAsia="en-IN" w:bidi="ta-IN"/>
          <w14:ligatures w14:val="none"/>
        </w:rPr>
        <w:t xml:space="preserve">. Red seaweed supplementation significantly </w:t>
      </w:r>
      <w:r w:rsidR="00BC0FFA"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 xml:space="preserve">affected the weight of the bursa of Fabricius, with birds fed 4% inclusion (T4) exhibiting a significantly </w:t>
      </w:r>
      <w:r w:rsidR="00BC0FFA"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higher bursal weight than all other treatments. In contrast, no significant differences (P&gt;0.05) were observed among treatments for the relative weights of heart, liver, gizzard, spleen, or thymus. These findings indicate that higher levels of red seaweed selectively enhanced the development of the bursa of Fabricius, a primary lymphoid organ, without affecting other visceral organs.</w:t>
      </w:r>
    </w:p>
    <w:p w14:paraId="4B6BD130" w14:textId="4B3E622B" w:rsidR="00281385" w:rsidRPr="008C58FF" w:rsidRDefault="00281385"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present results are partially consistent with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who reported that 0.40% red algae significantly increased thymus and bursal weights in broilers, supporting the immunomodulatory potential of red seaweeds. Similarly, Paul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(2024) found that 0.25–1.0 g/kg of </w:t>
      </w:r>
      <w:r w:rsidRPr="008C58FF">
        <w:rPr>
          <w:rFonts w:ascii="Times New Roman" w:eastAsia="Times New Roman" w:hAnsi="Times New Roman" w:cs="Times New Roman"/>
          <w:i/>
          <w:iCs/>
          <w:kern w:val="0"/>
          <w:sz w:val="24"/>
          <w:szCs w:val="24"/>
          <w:lang w:eastAsia="en-IN" w:bidi="ta-IN"/>
          <w14:ligatures w14:val="none"/>
        </w:rPr>
        <w:t>Eucheuma denticulatum</w:t>
      </w:r>
      <w:r w:rsidRPr="008C58FF">
        <w:rPr>
          <w:rFonts w:ascii="Times New Roman" w:eastAsia="Times New Roman" w:hAnsi="Times New Roman" w:cs="Times New Roman"/>
          <w:kern w:val="0"/>
          <w:sz w:val="24"/>
          <w:szCs w:val="24"/>
          <w:lang w:eastAsia="en-IN" w:bidi="ta-IN"/>
          <w14:ligatures w14:val="none"/>
        </w:rPr>
        <w:t xml:space="preserve"> extract had no significant effect on liver, spleen, or gizzard weights, while El-Naga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(2018) reported no changes in heart, liver, or gizzard weights with </w:t>
      </w:r>
      <w:r w:rsidRPr="008C58FF">
        <w:rPr>
          <w:rFonts w:ascii="Times New Roman" w:eastAsia="Times New Roman" w:hAnsi="Times New Roman" w:cs="Times New Roman"/>
          <w:i/>
          <w:iCs/>
          <w:kern w:val="0"/>
          <w:sz w:val="24"/>
          <w:szCs w:val="24"/>
          <w:lang w:eastAsia="en-IN" w:bidi="ta-IN"/>
          <w14:ligatures w14:val="none"/>
        </w:rPr>
        <w:t>Ascophyllum nodosum</w:t>
      </w:r>
      <w:r w:rsidRPr="008C58FF">
        <w:rPr>
          <w:rFonts w:ascii="Times New Roman" w:eastAsia="Times New Roman" w:hAnsi="Times New Roman" w:cs="Times New Roman"/>
          <w:kern w:val="0"/>
          <w:sz w:val="24"/>
          <w:szCs w:val="24"/>
          <w:lang w:eastAsia="en-IN" w:bidi="ta-IN"/>
          <w14:ligatures w14:val="none"/>
        </w:rPr>
        <w:t xml:space="preserve"> supplementation, confirming that seaweed inclusion generally does not impair visceral organ development.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also observed no effect of </w:t>
      </w:r>
      <w:r w:rsidRPr="008C58FF">
        <w:rPr>
          <w:rFonts w:ascii="Times New Roman" w:eastAsia="Times New Roman" w:hAnsi="Times New Roman" w:cs="Times New Roman"/>
          <w:i/>
          <w:iCs/>
          <w:kern w:val="0"/>
          <w:sz w:val="24"/>
          <w:szCs w:val="24"/>
          <w:lang w:eastAsia="en-IN" w:bidi="ta-IN"/>
          <w14:ligatures w14:val="none"/>
        </w:rPr>
        <w:t>Ulva</w:t>
      </w:r>
      <w:r w:rsidRPr="008C58FF">
        <w:rPr>
          <w:rFonts w:ascii="Times New Roman" w:eastAsia="Times New Roman" w:hAnsi="Times New Roman" w:cs="Times New Roman"/>
          <w:kern w:val="0"/>
          <w:sz w:val="24"/>
          <w:szCs w:val="24"/>
          <w:lang w:eastAsia="en-IN" w:bidi="ta-IN"/>
          <w14:ligatures w14:val="none"/>
        </w:rPr>
        <w:t xml:space="preserve"> spp. on liver weight, consistent with the present findings.</w:t>
      </w:r>
    </w:p>
    <w:p w14:paraId="2E77D19B" w14:textId="17F07513" w:rsidR="00281385" w:rsidRPr="008C58FF" w:rsidRDefault="00281385"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lastRenderedPageBreak/>
        <w:t xml:space="preserve">Conversely,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reported a linear decrease in spleen weight with increasing green seaweed inclusion and Costa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found reduced liver weight at very high inclusion levels (15% </w:t>
      </w:r>
      <w:r w:rsidRPr="008C58FF">
        <w:rPr>
          <w:rFonts w:ascii="Times New Roman" w:eastAsia="Times New Roman" w:hAnsi="Times New Roman" w:cs="Times New Roman"/>
          <w:i/>
          <w:iCs/>
          <w:kern w:val="0"/>
          <w:sz w:val="24"/>
          <w:szCs w:val="24"/>
          <w:lang w:eastAsia="en-IN" w:bidi="ta-IN"/>
          <w14:ligatures w14:val="none"/>
        </w:rPr>
        <w:t>Ulva lactuca</w:t>
      </w:r>
      <w:r w:rsidRPr="008C58FF">
        <w:rPr>
          <w:rFonts w:ascii="Times New Roman" w:eastAsia="Times New Roman" w:hAnsi="Times New Roman" w:cs="Times New Roman"/>
          <w:kern w:val="0"/>
          <w:sz w:val="24"/>
          <w:szCs w:val="24"/>
          <w:lang w:eastAsia="en-IN" w:bidi="ta-IN"/>
          <w14:ligatures w14:val="none"/>
        </w:rPr>
        <w:t xml:space="preserve">), suggesting that excessive inclusion may negatively influence certain organs. In contrast, Paul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(2024) observed no effect on bursal weight, differing from the present results.</w:t>
      </w:r>
    </w:p>
    <w:p w14:paraId="58C3EE60" w14:textId="77777777" w:rsidR="0095032D" w:rsidRPr="008C58FF" w:rsidRDefault="0095032D"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Overall, the selective increase in bursa of Fabricius at the highest inclusion level likely reflects the immunomodulatory action of red seaweed bioactive compounds, particularly polysaccharides that influence lymphoid tissue development. These findings suggest that red seaweed can enhance immune organ development without adversely affecting digestive or metabolic organs in broiler chickens.</w:t>
      </w:r>
    </w:p>
    <w:p w14:paraId="12F3B0D7" w14:textId="77777777" w:rsidR="00477384" w:rsidRPr="00477384" w:rsidRDefault="00477384" w:rsidP="00477384">
      <w:pPr>
        <w:ind w:left="0"/>
        <w:jc w:val="both"/>
        <w:rPr>
          <w:rFonts w:ascii="Times New Roman" w:hAnsi="Times New Roman" w:cs="Times New Roman"/>
          <w:b/>
          <w:sz w:val="24"/>
          <w:szCs w:val="24"/>
        </w:rPr>
      </w:pPr>
      <w:r w:rsidRPr="00477384">
        <w:rPr>
          <w:rFonts w:ascii="Times New Roman" w:hAnsi="Times New Roman" w:cs="Times New Roman"/>
          <w:b/>
          <w:sz w:val="24"/>
          <w:szCs w:val="24"/>
        </w:rPr>
        <w:t>Economic evaluation</w:t>
      </w:r>
    </w:p>
    <w:p w14:paraId="29D3D404" w14:textId="6ABD1904" w:rsidR="00477384" w:rsidRPr="00477384" w:rsidRDefault="00477384"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 xml:space="preserve">The economic evaluation of dietary red seaweed inclusion, adjusted for livability, is presented in Table 3. Total production cost per bird declined progressively with increasing levels of red seaweed, from Rs. 206.39 in the control group (T1) to Rs. 198.85 at 4% inclusion (T4), primarily due to reduced feed consumption. However, when sale price was corrected for livability, the 2% inclusion group recorded the highest net sale price per bird (Rs. 339.78), owing to 100% livability compared with 96% in </w:t>
      </w:r>
      <w:r w:rsidR="00CE647C">
        <w:rPr>
          <w:rFonts w:ascii="Times New Roman" w:hAnsi="Times New Roman" w:cs="Times New Roman"/>
          <w:sz w:val="24"/>
          <w:szCs w:val="24"/>
        </w:rPr>
        <w:t>0 and 1% inclusion of seaweed</w:t>
      </w:r>
      <w:r w:rsidRPr="00477384">
        <w:rPr>
          <w:rFonts w:ascii="Times New Roman" w:hAnsi="Times New Roman" w:cs="Times New Roman"/>
          <w:sz w:val="24"/>
          <w:szCs w:val="24"/>
        </w:rPr>
        <w:t xml:space="preserve">. Consequently, net return per kilogram of dressed meat and overall economic efficiency were highest in </w:t>
      </w:r>
      <w:r w:rsidR="00CE647C">
        <w:rPr>
          <w:rFonts w:ascii="Times New Roman" w:hAnsi="Times New Roman" w:cs="Times New Roman"/>
          <w:sz w:val="24"/>
          <w:szCs w:val="24"/>
        </w:rPr>
        <w:t xml:space="preserve">2% inclusion of seaweed </w:t>
      </w:r>
      <w:r w:rsidRPr="00477384">
        <w:rPr>
          <w:rFonts w:ascii="Times New Roman" w:hAnsi="Times New Roman" w:cs="Times New Roman"/>
          <w:sz w:val="24"/>
          <w:szCs w:val="24"/>
        </w:rPr>
        <w:t xml:space="preserve">(Rs. 136.77/kg; efficiency 0.67), followed by the control (Rs. 133.11/kg; efficiency 0.65). Relative economic efficiency was also superior in </w:t>
      </w:r>
      <w:r w:rsidR="00CE647C">
        <w:rPr>
          <w:rFonts w:ascii="Times New Roman" w:hAnsi="Times New Roman" w:cs="Times New Roman"/>
          <w:sz w:val="24"/>
          <w:szCs w:val="24"/>
        </w:rPr>
        <w:t>2% inclusion</w:t>
      </w:r>
      <w:r w:rsidRPr="00477384">
        <w:rPr>
          <w:rFonts w:ascii="Times New Roman" w:hAnsi="Times New Roman" w:cs="Times New Roman"/>
          <w:sz w:val="24"/>
          <w:szCs w:val="24"/>
        </w:rPr>
        <w:t xml:space="preserve"> (103.08%) compared with </w:t>
      </w:r>
      <w:r w:rsidR="00CE647C">
        <w:rPr>
          <w:rFonts w:ascii="Times New Roman" w:hAnsi="Times New Roman" w:cs="Times New Roman"/>
          <w:sz w:val="24"/>
          <w:szCs w:val="24"/>
        </w:rPr>
        <w:t>0%</w:t>
      </w:r>
      <w:r w:rsidRPr="00477384">
        <w:rPr>
          <w:rFonts w:ascii="Times New Roman" w:hAnsi="Times New Roman" w:cs="Times New Roman"/>
          <w:sz w:val="24"/>
          <w:szCs w:val="24"/>
        </w:rPr>
        <w:t xml:space="preserve"> (100%), </w:t>
      </w:r>
      <w:r w:rsidR="00CE647C">
        <w:rPr>
          <w:rFonts w:ascii="Times New Roman" w:hAnsi="Times New Roman" w:cs="Times New Roman"/>
          <w:sz w:val="24"/>
          <w:szCs w:val="24"/>
        </w:rPr>
        <w:t>1%</w:t>
      </w:r>
      <w:r w:rsidRPr="00477384">
        <w:rPr>
          <w:rFonts w:ascii="Times New Roman" w:hAnsi="Times New Roman" w:cs="Times New Roman"/>
          <w:sz w:val="24"/>
          <w:szCs w:val="24"/>
        </w:rPr>
        <w:t xml:space="preserve"> (95.38%), and </w:t>
      </w:r>
      <w:r w:rsidR="00CE647C">
        <w:rPr>
          <w:rFonts w:ascii="Times New Roman" w:hAnsi="Times New Roman" w:cs="Times New Roman"/>
          <w:sz w:val="24"/>
          <w:szCs w:val="24"/>
        </w:rPr>
        <w:t>4%</w:t>
      </w:r>
      <w:r w:rsidRPr="00477384">
        <w:rPr>
          <w:rFonts w:ascii="Times New Roman" w:hAnsi="Times New Roman" w:cs="Times New Roman"/>
          <w:sz w:val="24"/>
          <w:szCs w:val="24"/>
        </w:rPr>
        <w:t xml:space="preserve"> (96.92%). Although </w:t>
      </w:r>
      <w:r w:rsidR="00CE647C">
        <w:rPr>
          <w:rFonts w:ascii="Times New Roman" w:hAnsi="Times New Roman" w:cs="Times New Roman"/>
          <w:sz w:val="24"/>
          <w:szCs w:val="24"/>
        </w:rPr>
        <w:t>4% included group</w:t>
      </w:r>
      <w:r w:rsidRPr="00477384">
        <w:rPr>
          <w:rFonts w:ascii="Times New Roman" w:hAnsi="Times New Roman" w:cs="Times New Roman"/>
          <w:sz w:val="24"/>
          <w:szCs w:val="24"/>
        </w:rPr>
        <w:t xml:space="preserve"> exhibited the lowest production cost, the reduction in dressed weight resulted in lower sale value and net return, making it economically less favourable than T3.</w:t>
      </w:r>
    </w:p>
    <w:p w14:paraId="0632A03E" w14:textId="77777777" w:rsidR="00CE647C" w:rsidRPr="00477384" w:rsidRDefault="00CE647C"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The present findings partially agree with Hassan et al. (2022), who reported that economic and relative economic efficiency declined at sub-optimal or higher inclusion levels of algal supplements, emphasizing the importance of identifying an optimal dosage. In the current study, moderate inclusion (2%) achieved better profitability than both lower (1%) and higher (4%) levels, highlighting that economic responses are not linearly related to feed cost alone.</w:t>
      </w:r>
    </w:p>
    <w:p w14:paraId="530B1E44" w14:textId="30041843" w:rsidR="00CE647C" w:rsidRPr="00477384" w:rsidRDefault="00CE647C"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 xml:space="preserve">In contrast, several studies have reported improved economic returns with low-level algal supplementation. Abou-Zeid et al. (2015) observed a 12.5% increase in economic efficiency with 0.1% Spirulina supplementation, while El-Naga et al. (2018) reported the highest relative economic efficiency in broilers receiving brown algae extract in drinking water. Hassan et al. </w:t>
      </w:r>
      <w:r w:rsidRPr="00477384">
        <w:rPr>
          <w:rFonts w:ascii="Times New Roman" w:hAnsi="Times New Roman" w:cs="Times New Roman"/>
          <w:sz w:val="24"/>
          <w:szCs w:val="24"/>
        </w:rPr>
        <w:lastRenderedPageBreak/>
        <w:t xml:space="preserve">(2022) also documented superior economic efficiency </w:t>
      </w:r>
      <w:r w:rsidRPr="00CE647C">
        <w:rPr>
          <w:rFonts w:ascii="Times New Roman" w:hAnsi="Times New Roman" w:cs="Times New Roman"/>
          <w:sz w:val="24"/>
          <w:szCs w:val="24"/>
        </w:rPr>
        <w:t>in Fayoumi broilers</w:t>
      </w:r>
      <w:r w:rsidRPr="00477384">
        <w:rPr>
          <w:rFonts w:ascii="Times New Roman" w:hAnsi="Times New Roman" w:cs="Times New Roman"/>
          <w:sz w:val="24"/>
          <w:szCs w:val="24"/>
        </w:rPr>
        <w:t xml:space="preserve"> at 0.25% Spirulina inclusion, largely attributed to enhanced growth performance and carcass yield.</w:t>
      </w:r>
    </w:p>
    <w:p w14:paraId="44BB18AB" w14:textId="77777777" w:rsidR="00477384" w:rsidRPr="00477384" w:rsidRDefault="00477384"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In the present study, although higher red seaweed inclusion reduced production costs through lower feed intake, the associated decline in live and dressed weights at 4% offset these savings. Conversely, inclusion at 2% achieved the most favourable balance between cost, sale value, and survivability, resulting in superior net returns and economic efficiency. These findings indicate that the economic viability of algal supplementation depends on the type of algae, inclusion level, and combined effects on growth performance and livability rather than feed cost alone.</w:t>
      </w:r>
    </w:p>
    <w:p w14:paraId="6649F078" w14:textId="4B8C4737" w:rsidR="00EC4DA2" w:rsidRPr="008C58FF" w:rsidRDefault="006826FE" w:rsidP="00EB7189">
      <w:pPr>
        <w:pStyle w:val="BodyText"/>
        <w:spacing w:line="360" w:lineRule="auto"/>
        <w:jc w:val="center"/>
        <w:rPr>
          <w:b/>
          <w:bCs/>
          <w:color w:val="221F1F"/>
          <w:lang w:val="en-IN"/>
        </w:rPr>
      </w:pPr>
      <w:r w:rsidRPr="008C58FF">
        <w:rPr>
          <w:b/>
          <w:bCs/>
          <w:color w:val="221F1F"/>
          <w:lang w:val="en-IN"/>
        </w:rPr>
        <w:t>CONCLUSION</w:t>
      </w:r>
    </w:p>
    <w:p w14:paraId="1A204302" w14:textId="43547FB6" w:rsidR="00197D7E" w:rsidRDefault="00197D7E" w:rsidP="0022011E">
      <w:pPr>
        <w:spacing w:after="0" w:line="360" w:lineRule="auto"/>
        <w:ind w:left="0" w:firstLine="567"/>
        <w:jc w:val="both"/>
        <w:rPr>
          <w:rFonts w:ascii="Times New Roman" w:eastAsia="Times New Roman" w:hAnsi="Times New Roman" w:cs="Times New Roman"/>
          <w:kern w:val="0"/>
          <w:sz w:val="24"/>
          <w:szCs w:val="24"/>
          <w:lang w:val="en-US" w:eastAsia="en-IN" w:bidi="ta-IN"/>
          <w14:ligatures w14:val="none"/>
        </w:rPr>
      </w:pPr>
      <w:r w:rsidRPr="008C58FF">
        <w:rPr>
          <w:rFonts w:ascii="Times New Roman" w:eastAsia="Times New Roman" w:hAnsi="Times New Roman" w:cs="Times New Roman"/>
          <w:kern w:val="0"/>
          <w:sz w:val="24"/>
          <w:szCs w:val="24"/>
          <w:lang w:eastAsia="en-IN" w:bidi="ta-IN"/>
          <w14:ligatures w14:val="none"/>
        </w:rPr>
        <w:t>Dietary inclusion of red seaweed at 1–2% maintained carcass characteristics and cut-up part yields comparable to the control, indicating that moderate supplementation does not compromise commercially important meat traits. Inclusion at 4% selectively increased the relative weight of the bursa of Fabricius, suggesting potential immunomodulatory benefits, without adversely affecting other visceral organs. However, red seaweed did not enhance yields of major meat portions such as breast, thigh, or drumstick and only a marginal increase in the less economically important neck portion was observed at the highest inclusion level.</w:t>
      </w:r>
    </w:p>
    <w:p w14:paraId="1BB454B7" w14:textId="56A6D344" w:rsidR="007B4BA3" w:rsidRPr="007B4BA3" w:rsidRDefault="007B4BA3"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7B4BA3">
        <w:rPr>
          <w:rFonts w:ascii="Times New Roman" w:eastAsia="Times New Roman" w:hAnsi="Times New Roman" w:cs="Times New Roman"/>
          <w:kern w:val="0"/>
          <w:sz w:val="24"/>
          <w:szCs w:val="24"/>
          <w:lang w:eastAsia="en-IN" w:bidi="ta-IN"/>
          <w14:ligatures w14:val="none"/>
        </w:rPr>
        <w:t>Economic evaluation, adjusted for livability, showed that although production costs declined with increasing red seaweed levels due to reduced feed intake, profitability was determined by the combined effects on sale value and survivability rather than feed cost alone. While higher inclusion (4%) reduced production costs, the associated decrease in live and dressed weights lowered net returns. In contrast, the 2% inclusion level achieved the highest net return and economic efficiency owing to its favourable balance between production cost, sale value, and 100% livability. These findings indicate that red seaweed can be safely incorporated at low to moderate levels, with 2% inclusion representing the most economically viable level under the conditions of this study, whereas higher inclusion offers no economic advantage.</w:t>
      </w:r>
    </w:p>
    <w:p w14:paraId="136AC1AC" w14:textId="77777777" w:rsidR="00FD4F45" w:rsidRPr="008C58FF" w:rsidRDefault="00FD4F45" w:rsidP="0022011E">
      <w:pPr>
        <w:pStyle w:val="BodyText"/>
        <w:spacing w:line="360" w:lineRule="auto"/>
        <w:ind w:firstLine="567"/>
        <w:jc w:val="both"/>
        <w:rPr>
          <w:color w:val="181717"/>
          <w:kern w:val="2"/>
          <w:lang w:val="en-IN" w:eastAsia="en-IN" w:bidi="ta-IN"/>
          <w14:ligatures w14:val="standardContextual"/>
        </w:rPr>
      </w:pPr>
    </w:p>
    <w:p w14:paraId="69B8001D" w14:textId="77777777" w:rsidR="00CE5CB2" w:rsidRDefault="00CE5CB2" w:rsidP="0022011E">
      <w:pPr>
        <w:spacing w:after="0" w:line="360" w:lineRule="auto"/>
        <w:ind w:left="0" w:right="35"/>
        <w:rPr>
          <w:rFonts w:ascii="Times New Roman" w:eastAsia="Times New Roman" w:hAnsi="Times New Roman" w:cs="Times New Roman"/>
          <w:b/>
          <w:bCs/>
          <w:color w:val="000000"/>
          <w:sz w:val="24"/>
          <w:szCs w:val="24"/>
          <w:lang w:eastAsia="en-IN" w:bidi="ta-IN"/>
        </w:rPr>
      </w:pPr>
    </w:p>
    <w:p w14:paraId="3DB69021" w14:textId="18D97707" w:rsidR="00C75265" w:rsidRPr="008C58FF" w:rsidRDefault="006826FE" w:rsidP="0022011E">
      <w:pPr>
        <w:spacing w:after="0" w:line="360" w:lineRule="auto"/>
        <w:ind w:left="0" w:right="35"/>
        <w:rPr>
          <w:rFonts w:ascii="Times New Roman" w:eastAsia="Times New Roman" w:hAnsi="Times New Roman" w:cs="Times New Roman"/>
          <w:b/>
          <w:bCs/>
          <w:color w:val="000000"/>
          <w:sz w:val="24"/>
          <w:szCs w:val="24"/>
          <w:lang w:eastAsia="en-IN" w:bidi="ta-IN"/>
        </w:rPr>
      </w:pPr>
      <w:r w:rsidRPr="008C58FF">
        <w:rPr>
          <w:rFonts w:ascii="Times New Roman" w:eastAsia="Times New Roman" w:hAnsi="Times New Roman" w:cs="Times New Roman"/>
          <w:b/>
          <w:bCs/>
          <w:color w:val="000000"/>
          <w:sz w:val="24"/>
          <w:szCs w:val="24"/>
          <w:lang w:eastAsia="en-IN" w:bidi="ta-IN"/>
        </w:rPr>
        <w:t xml:space="preserve">CONFLICT OF INTEREST </w:t>
      </w:r>
    </w:p>
    <w:p w14:paraId="59291CB8" w14:textId="75BD1F95" w:rsidR="00C75265" w:rsidRDefault="00C75265" w:rsidP="0022011E">
      <w:pPr>
        <w:pStyle w:val="BodyText"/>
        <w:spacing w:line="360" w:lineRule="auto"/>
        <w:ind w:right="91" w:firstLine="720"/>
        <w:jc w:val="both"/>
        <w:rPr>
          <w:color w:val="181717"/>
          <w:kern w:val="2"/>
          <w:lang w:val="en-IN" w:eastAsia="en-IN" w:bidi="ta-IN"/>
          <w14:ligatures w14:val="standardContextual"/>
        </w:rPr>
      </w:pPr>
      <w:r w:rsidRPr="008C58FF">
        <w:rPr>
          <w:color w:val="181717"/>
          <w:kern w:val="2"/>
          <w:lang w:val="en-IN" w:eastAsia="en-IN" w:bidi="ta-IN"/>
          <w14:ligatures w14:val="standardContextual"/>
        </w:rPr>
        <w:t>The authors declare that they have no conflict of interest regarding the publication of this article.</w:t>
      </w:r>
    </w:p>
    <w:p w14:paraId="73719588" w14:textId="67826CBA" w:rsidR="008D0D3E" w:rsidRDefault="008D0D3E" w:rsidP="0022011E">
      <w:pPr>
        <w:pStyle w:val="BodyText"/>
        <w:spacing w:line="360" w:lineRule="auto"/>
        <w:ind w:right="91" w:firstLine="720"/>
        <w:jc w:val="both"/>
        <w:rPr>
          <w:color w:val="181717"/>
          <w:kern w:val="2"/>
          <w:lang w:val="en-IN" w:eastAsia="en-IN" w:bidi="ta-IN"/>
          <w14:ligatures w14:val="standardContextual"/>
        </w:rPr>
      </w:pPr>
    </w:p>
    <w:p w14:paraId="1E2C09FB" w14:textId="77777777" w:rsidR="008D0D3E" w:rsidRPr="008D0D3E" w:rsidRDefault="008D0D3E" w:rsidP="008D0D3E">
      <w:pPr>
        <w:pStyle w:val="BodyText"/>
        <w:spacing w:line="360" w:lineRule="auto"/>
        <w:ind w:right="91" w:firstLine="720"/>
        <w:jc w:val="both"/>
        <w:rPr>
          <w:color w:val="181717"/>
          <w:kern w:val="2"/>
          <w:lang w:val="en-IN" w:eastAsia="en-IN" w:bidi="ta-IN"/>
          <w14:ligatures w14:val="standardContextual"/>
        </w:rPr>
      </w:pPr>
      <w:r w:rsidRPr="008D0D3E">
        <w:rPr>
          <w:color w:val="181717"/>
          <w:kern w:val="2"/>
          <w:lang w:val="en-IN" w:eastAsia="en-IN" w:bidi="ta-IN"/>
          <w14:ligatures w14:val="standardContextual"/>
        </w:rPr>
        <w:t>COMPETING INTERESTS DISCLAIMER:</w:t>
      </w:r>
    </w:p>
    <w:p w14:paraId="1A87B3A2" w14:textId="77777777" w:rsidR="008D0D3E" w:rsidRPr="008D0D3E" w:rsidRDefault="008D0D3E" w:rsidP="008D0D3E">
      <w:pPr>
        <w:pStyle w:val="BodyText"/>
        <w:spacing w:line="360" w:lineRule="auto"/>
        <w:ind w:right="91" w:firstLine="720"/>
        <w:jc w:val="both"/>
        <w:rPr>
          <w:color w:val="181717"/>
          <w:kern w:val="2"/>
          <w:lang w:val="en-IN" w:eastAsia="en-IN" w:bidi="ta-IN"/>
          <w14:ligatures w14:val="standardContextual"/>
        </w:rPr>
      </w:pPr>
    </w:p>
    <w:p w14:paraId="1192122F" w14:textId="63031256" w:rsidR="008D0D3E" w:rsidRPr="008C58FF" w:rsidRDefault="008D0D3E" w:rsidP="008D0D3E">
      <w:pPr>
        <w:pStyle w:val="BodyText"/>
        <w:spacing w:line="360" w:lineRule="auto"/>
        <w:ind w:right="91" w:firstLine="720"/>
        <w:jc w:val="both"/>
        <w:rPr>
          <w:color w:val="181717"/>
          <w:kern w:val="2"/>
          <w:lang w:val="en-IN" w:eastAsia="en-IN" w:bidi="ta-IN"/>
          <w14:ligatures w14:val="standardContextual"/>
        </w:rPr>
      </w:pPr>
      <w:r w:rsidRPr="008D0D3E">
        <w:rPr>
          <w:color w:val="181717"/>
          <w:kern w:val="2"/>
          <w:lang w:val="en-IN" w:eastAsia="en-IN" w:bidi="ta-IN"/>
          <w14:ligatures w14:val="standardContextual"/>
        </w:rPr>
        <w:t>Authors have declared that they have no known competing financial interests OR non-financial interests OR personal relationships that could have appeared to influence the work reported in this paper.</w:t>
      </w:r>
    </w:p>
    <w:p w14:paraId="7672DF80" w14:textId="6B89BE15" w:rsidR="002D6E21" w:rsidRPr="008C58FF" w:rsidRDefault="006826FE" w:rsidP="0022011E">
      <w:pPr>
        <w:pStyle w:val="BodyText"/>
        <w:spacing w:line="360" w:lineRule="auto"/>
        <w:ind w:right="91" w:firstLine="426"/>
        <w:jc w:val="center"/>
        <w:rPr>
          <w:b/>
          <w:bCs/>
          <w:lang w:val="en-IN"/>
        </w:rPr>
      </w:pPr>
      <w:r w:rsidRPr="008C58FF">
        <w:rPr>
          <w:b/>
          <w:bCs/>
          <w:lang w:val="en-IN"/>
        </w:rPr>
        <w:t>REFERENCE</w:t>
      </w:r>
    </w:p>
    <w:p w14:paraId="2FC906F3" w14:textId="77777777" w:rsidR="0022011E" w:rsidRPr="008C58FF" w:rsidRDefault="0022011E" w:rsidP="0022011E">
      <w:pPr>
        <w:spacing w:after="0" w:line="360" w:lineRule="auto"/>
        <w:ind w:left="567" w:hanging="567"/>
        <w:rPr>
          <w:rFonts w:ascii="Times New Roman" w:hAnsi="Times New Roman" w:cs="Times New Roman"/>
          <w:sz w:val="24"/>
          <w:szCs w:val="24"/>
          <w:lang w:val="en-US"/>
        </w:rPr>
      </w:pPr>
    </w:p>
    <w:p w14:paraId="53C049E5"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Abou-Zeid, A.E., S.Z. El-Damarawy, Y.A. Mariey and M.M. El-Mansy, 2015. Effect of using </w:t>
      </w:r>
      <w:r w:rsidRPr="008C58FF">
        <w:rPr>
          <w:i/>
          <w:iCs/>
          <w:color w:val="0D0D0D"/>
        </w:rPr>
        <w:t>spirulina platensis</w:t>
      </w:r>
      <w:r w:rsidRPr="008C58FF">
        <w:rPr>
          <w:color w:val="0D0D0D"/>
        </w:rPr>
        <w:t xml:space="preserve"> and/or </w:t>
      </w:r>
      <w:r w:rsidRPr="008C58FF">
        <w:rPr>
          <w:i/>
          <w:iCs/>
          <w:color w:val="0D0D0D"/>
        </w:rPr>
        <w:t>chlorella vulgaris</w:t>
      </w:r>
      <w:r w:rsidRPr="008C58FF">
        <w:rPr>
          <w:color w:val="0D0D0D"/>
        </w:rPr>
        <w:t xml:space="preserve"> algae as feed additives on productive performance of broiler chicks. </w:t>
      </w:r>
      <w:r w:rsidRPr="008C58FF">
        <w:rPr>
          <w:i/>
          <w:iCs/>
          <w:color w:val="0D0D0D"/>
        </w:rPr>
        <w:t>J. Anim. Poult. Prod.</w:t>
      </w:r>
      <w:r w:rsidRPr="008C58FF">
        <w:rPr>
          <w:color w:val="0D0D0D"/>
        </w:rPr>
        <w:t> </w:t>
      </w:r>
      <w:r w:rsidRPr="008C58FF">
        <w:rPr>
          <w:b/>
          <w:bCs/>
          <w:color w:val="0D0D0D"/>
        </w:rPr>
        <w:t>6</w:t>
      </w:r>
      <w:r w:rsidRPr="008C58FF">
        <w:rPr>
          <w:color w:val="0D0D0D"/>
        </w:rPr>
        <w:t>(10): 623-634.</w:t>
      </w:r>
    </w:p>
    <w:p w14:paraId="12DFBD12" w14:textId="77777777" w:rsidR="00C7680B" w:rsidRPr="008C58FF" w:rsidRDefault="00C7680B" w:rsidP="00C14F65">
      <w:pPr>
        <w:pStyle w:val="BodyText"/>
        <w:spacing w:line="360" w:lineRule="auto"/>
        <w:ind w:left="567" w:right="178" w:hanging="567"/>
        <w:jc w:val="both"/>
        <w:rPr>
          <w:color w:val="0D0D0D"/>
        </w:rPr>
      </w:pPr>
      <w:r w:rsidRPr="008C58FF">
        <w:rPr>
          <w:color w:val="0D0D0D"/>
        </w:rPr>
        <w:t>Abudabos, A.M., A.B. Okab, R.S. Aljumaah, E.M. Samara, K.A. Abdoun and A.A. Al-Haidary, 2013. Nutritional value of green seaweed (</w:t>
      </w:r>
      <w:r w:rsidRPr="008C58FF">
        <w:rPr>
          <w:i/>
          <w:iCs/>
          <w:color w:val="0D0D0D"/>
        </w:rPr>
        <w:t>Ulva lactuca</w:t>
      </w:r>
      <w:r w:rsidRPr="008C58FF">
        <w:rPr>
          <w:color w:val="0D0D0D"/>
        </w:rPr>
        <w:t>) for broiler chicken. </w:t>
      </w:r>
      <w:r w:rsidRPr="008C58FF">
        <w:rPr>
          <w:i/>
          <w:iCs/>
          <w:color w:val="0D0D0D"/>
        </w:rPr>
        <w:t>Ital. J. Anim. Sci</w:t>
      </w:r>
      <w:r w:rsidRPr="008C58FF">
        <w:rPr>
          <w:color w:val="0D0D0D"/>
        </w:rPr>
        <w:t>. </w:t>
      </w:r>
      <w:r w:rsidRPr="008C58FF">
        <w:rPr>
          <w:b/>
          <w:bCs/>
          <w:color w:val="0D0D0D"/>
        </w:rPr>
        <w:t>12</w:t>
      </w:r>
      <w:r w:rsidRPr="008C58FF">
        <w:rPr>
          <w:color w:val="0D0D0D"/>
        </w:rPr>
        <w:t xml:space="preserve">(2): 177-181. </w:t>
      </w:r>
      <w:hyperlink r:id="rId8" w:history="1">
        <w:r w:rsidRPr="008C58FF">
          <w:rPr>
            <w:rStyle w:val="Hyperlink"/>
          </w:rPr>
          <w:t>https://doi.org/10.4081/ijas.2013.e28</w:t>
        </w:r>
      </w:hyperlink>
      <w:r w:rsidRPr="008C58FF">
        <w:rPr>
          <w:color w:val="0D0D0D"/>
        </w:rPr>
        <w:t>.</w:t>
      </w:r>
    </w:p>
    <w:p w14:paraId="2C651E14"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Ali, A., and M.S. Memon, 2014. Green seaweed as component of poultry feed. </w:t>
      </w:r>
      <w:r w:rsidRPr="008C58FF">
        <w:rPr>
          <w:i/>
          <w:iCs/>
          <w:color w:val="0D0D0D"/>
        </w:rPr>
        <w:t>Int. J. Biol. Biotechn</w:t>
      </w:r>
      <w:r w:rsidRPr="008C58FF">
        <w:rPr>
          <w:color w:val="0D0D0D"/>
        </w:rPr>
        <w:t xml:space="preserve">. </w:t>
      </w:r>
      <w:r w:rsidRPr="008C58FF">
        <w:rPr>
          <w:b/>
          <w:bCs/>
          <w:color w:val="0D0D0D"/>
        </w:rPr>
        <w:t>5</w:t>
      </w:r>
      <w:r w:rsidRPr="008C58FF">
        <w:rPr>
          <w:color w:val="0D0D0D"/>
        </w:rPr>
        <w:t xml:space="preserve">: 211-214. </w:t>
      </w:r>
    </w:p>
    <w:p w14:paraId="3E3FA422" w14:textId="77777777" w:rsidR="00C7680B" w:rsidRPr="008C58FF" w:rsidRDefault="00C7680B" w:rsidP="00C14F65">
      <w:pPr>
        <w:pStyle w:val="BodyText"/>
        <w:spacing w:line="360" w:lineRule="auto"/>
        <w:ind w:left="567" w:right="178" w:hanging="567"/>
        <w:jc w:val="both"/>
        <w:rPr>
          <w:color w:val="0D0D0D"/>
          <w:lang w:val="en-IN"/>
        </w:rPr>
      </w:pPr>
      <w:bookmarkStart w:id="1" w:name="_Hlk212461945"/>
      <w:r w:rsidRPr="008C58FF">
        <w:rPr>
          <w:color w:val="0D0D0D"/>
        </w:rPr>
        <w:t>Balasubramanian</w:t>
      </w:r>
      <w:bookmarkEnd w:id="1"/>
      <w:r w:rsidRPr="008C58FF">
        <w:rPr>
          <w:color w:val="0D0D0D"/>
        </w:rPr>
        <w:t>, B., S. Shanmugam, S. Park, N. Recharla, J.S. Koo, I. Andretta and I.H. Kim, 2021. Supplemental impact of marine red seaweed (</w:t>
      </w:r>
      <w:r w:rsidRPr="008C58FF">
        <w:rPr>
          <w:i/>
          <w:iCs/>
          <w:color w:val="0D0D0D"/>
        </w:rPr>
        <w:t>Halymenia</w:t>
      </w:r>
      <w:r w:rsidRPr="008C58FF">
        <w:rPr>
          <w:i/>
          <w:iCs/>
          <w:color w:val="0D0D0D"/>
        </w:rPr>
        <w:tab/>
        <w:t xml:space="preserve"> palmata</w:t>
      </w:r>
      <w:r w:rsidRPr="008C58FF">
        <w:rPr>
          <w:color w:val="0D0D0D"/>
        </w:rPr>
        <w:t xml:space="preserve">) on the growth performance, total tract nutrient digestibility, blood profiles, intestine histomorphology, meat quality, fecal gas emission, and microbial counts in broilers.  </w:t>
      </w:r>
      <w:r w:rsidRPr="008C58FF">
        <w:rPr>
          <w:i/>
          <w:iCs/>
          <w:color w:val="0D0D0D"/>
          <w:lang w:val="en-IN"/>
        </w:rPr>
        <w:t>Animals</w:t>
      </w:r>
      <w:r w:rsidRPr="008C58FF">
        <w:rPr>
          <w:color w:val="0D0D0D"/>
          <w:lang w:val="en-IN"/>
        </w:rPr>
        <w:t>. </w:t>
      </w:r>
      <w:r w:rsidRPr="008C58FF">
        <w:rPr>
          <w:b/>
          <w:bCs/>
          <w:color w:val="0D0D0D"/>
          <w:lang w:val="en-IN"/>
        </w:rPr>
        <w:t>11</w:t>
      </w:r>
      <w:r w:rsidRPr="008C58FF">
        <w:rPr>
          <w:color w:val="0D0D0D"/>
          <w:lang w:val="en-IN"/>
        </w:rPr>
        <w:t xml:space="preserve">(5): 1244: </w:t>
      </w:r>
      <w:hyperlink r:id="rId9" w:history="1">
        <w:r w:rsidRPr="008C58FF">
          <w:rPr>
            <w:color w:val="0D0D0D"/>
            <w:lang w:val="en-IN"/>
          </w:rPr>
          <w:t>https: // doi.org / 10.3390 / ani11051244</w:t>
        </w:r>
      </w:hyperlink>
      <w:r w:rsidRPr="008C58FF">
        <w:rPr>
          <w:color w:val="0D0D0D"/>
          <w:lang w:val="en-IN"/>
        </w:rPr>
        <w:t>.</w:t>
      </w:r>
    </w:p>
    <w:p w14:paraId="2A886F0A" w14:textId="00D245D3" w:rsidR="00C7680B" w:rsidRDefault="00C7680B" w:rsidP="00C14F65">
      <w:pPr>
        <w:pStyle w:val="BodyText"/>
        <w:spacing w:line="360" w:lineRule="auto"/>
        <w:ind w:left="567" w:right="178" w:hanging="567"/>
        <w:jc w:val="both"/>
        <w:rPr>
          <w:color w:val="0D0D0D"/>
          <w:lang w:val="en-IN"/>
        </w:rPr>
      </w:pPr>
      <w:r w:rsidRPr="008C58FF">
        <w:rPr>
          <w:color w:val="0D0D0D"/>
        </w:rPr>
        <w:t>Barbut, S., 2007. Problem of pale soft exudative meat in broiler chickens.</w:t>
      </w:r>
      <w:r w:rsidRPr="008C58FF">
        <w:rPr>
          <w:i/>
          <w:iCs/>
          <w:color w:val="0D0D0D"/>
        </w:rPr>
        <w:t xml:space="preserve"> </w:t>
      </w:r>
      <w:r w:rsidRPr="008C58FF">
        <w:rPr>
          <w:i/>
          <w:iCs/>
          <w:color w:val="0D0D0D"/>
          <w:lang w:val="en-IN"/>
        </w:rPr>
        <w:t>Br. Poult. Sci</w:t>
      </w:r>
      <w:r w:rsidRPr="008C58FF">
        <w:rPr>
          <w:color w:val="0D0D0D"/>
          <w:lang w:val="en-IN"/>
        </w:rPr>
        <w:t xml:space="preserve">. </w:t>
      </w:r>
      <w:r w:rsidRPr="008C58FF">
        <w:rPr>
          <w:b/>
          <w:bCs/>
          <w:color w:val="0D0D0D"/>
          <w:lang w:val="en-IN"/>
        </w:rPr>
        <w:t>38</w:t>
      </w:r>
      <w:r w:rsidRPr="008C58FF">
        <w:rPr>
          <w:color w:val="0D0D0D"/>
          <w:lang w:val="en-IN"/>
        </w:rPr>
        <w:t>(4): 355-358.</w:t>
      </w:r>
    </w:p>
    <w:p w14:paraId="1DCD5592" w14:textId="69587211" w:rsidR="00C14F65" w:rsidRPr="008C58FF" w:rsidRDefault="00C14F65" w:rsidP="00C14F65">
      <w:pPr>
        <w:pStyle w:val="BodyText"/>
        <w:spacing w:line="360" w:lineRule="auto"/>
        <w:ind w:left="567" w:right="178" w:hanging="567"/>
        <w:jc w:val="both"/>
        <w:rPr>
          <w:color w:val="0D0D0D"/>
          <w:lang w:val="en-IN"/>
        </w:rPr>
      </w:pPr>
      <w:r w:rsidRPr="00C14F65">
        <w:rPr>
          <w:color w:val="0D0D0D"/>
        </w:rPr>
        <w:t xml:space="preserve">BAHS, 2025. </w:t>
      </w:r>
      <w:r w:rsidRPr="00C14F65">
        <w:rPr>
          <w:i/>
          <w:iCs/>
          <w:color w:val="0D0D0D"/>
        </w:rPr>
        <w:t xml:space="preserve">Basic animal husbandry statistics 2025, </w:t>
      </w:r>
      <w:r w:rsidRPr="00C14F65">
        <w:rPr>
          <w:color w:val="0D0D0D"/>
        </w:rPr>
        <w:t>Department of Animal Husbandry and Dairying. Ministry of Fisheries, Animal Husbandry and Dairying, Government of India.</w:t>
      </w:r>
    </w:p>
    <w:p w14:paraId="4F189F6F" w14:textId="77777777" w:rsidR="00C7680B" w:rsidRPr="008C58FF" w:rsidRDefault="00C7680B" w:rsidP="00C14F65">
      <w:pPr>
        <w:pStyle w:val="BodyText"/>
        <w:spacing w:line="360" w:lineRule="auto"/>
        <w:ind w:left="567" w:right="178" w:hanging="567"/>
        <w:jc w:val="both"/>
        <w:rPr>
          <w:color w:val="0D0D0D"/>
          <w:lang w:val="en-IN"/>
        </w:rPr>
      </w:pPr>
      <w:r w:rsidRPr="008C58FF">
        <w:rPr>
          <w:rFonts w:eastAsiaTheme="minorHAnsi"/>
          <w:kern w:val="2"/>
          <w:lang w:val="en-IN" w:eastAsia="en-IN"/>
          <w14:ligatures w14:val="standardContextual"/>
        </w:rPr>
        <w:t>BIS, 2024. Bureau of Indian Standards. Indian Standard Poultry feed specification (6</w:t>
      </w:r>
      <w:r w:rsidRPr="008C58FF">
        <w:rPr>
          <w:rFonts w:eastAsiaTheme="minorHAnsi"/>
          <w:kern w:val="2"/>
          <w:vertAlign w:val="superscript"/>
          <w:lang w:val="en-IN" w:eastAsia="en-IN"/>
          <w14:ligatures w14:val="standardContextual"/>
        </w:rPr>
        <w:t>th</w:t>
      </w:r>
      <w:r w:rsidRPr="008C58FF">
        <w:rPr>
          <w:rFonts w:eastAsiaTheme="minorHAnsi"/>
          <w:kern w:val="2"/>
          <w:lang w:val="en-IN" w:eastAsia="en-IN"/>
          <w14:ligatures w14:val="standardContextual"/>
        </w:rPr>
        <w:t xml:space="preserve"> Revision). Manak Bhavan, 9 Bahadur Shah Zafar Marg, New Delhi – 110002.</w:t>
      </w:r>
    </w:p>
    <w:p w14:paraId="7EA94621" w14:textId="77777777" w:rsidR="00C7680B" w:rsidRPr="008C58FF" w:rsidRDefault="00C7680B" w:rsidP="00C14F65">
      <w:pPr>
        <w:pStyle w:val="BodyText"/>
        <w:spacing w:line="360" w:lineRule="auto"/>
        <w:ind w:left="567" w:right="178" w:hanging="567"/>
        <w:jc w:val="both"/>
        <w:rPr>
          <w:color w:val="0D0D0D"/>
        </w:rPr>
      </w:pPr>
      <w:r w:rsidRPr="008C58FF">
        <w:rPr>
          <w:color w:val="0D0D0D"/>
          <w:lang w:val="en-IN"/>
        </w:rPr>
        <w:t xml:space="preserve">Cañedo-Castro, B., A. </w:t>
      </w:r>
      <w:proofErr w:type="spellStart"/>
      <w:r w:rsidRPr="008C58FF">
        <w:rPr>
          <w:color w:val="0D0D0D"/>
          <w:lang w:val="en-IN"/>
        </w:rPr>
        <w:t>Piñón-Gimate</w:t>
      </w:r>
      <w:proofErr w:type="spellEnd"/>
      <w:r w:rsidRPr="008C58FF">
        <w:rPr>
          <w:color w:val="0D0D0D"/>
          <w:lang w:val="en-IN"/>
        </w:rPr>
        <w:t xml:space="preserve">, S. Carrillo, D. Ramos and M. Casas-Valdez, 2019. </w:t>
      </w:r>
      <w:r w:rsidRPr="008C58FF">
        <w:rPr>
          <w:color w:val="0D0D0D"/>
        </w:rPr>
        <w:t xml:space="preserve">Prebiotic effect of </w:t>
      </w:r>
      <w:r w:rsidRPr="008C58FF">
        <w:rPr>
          <w:i/>
          <w:iCs/>
          <w:color w:val="0D0D0D"/>
        </w:rPr>
        <w:t>Ulva rigida</w:t>
      </w:r>
      <w:r w:rsidRPr="008C58FF">
        <w:rPr>
          <w:color w:val="0D0D0D"/>
        </w:rPr>
        <w:t xml:space="preserve"> meal on the intestinal integrity and serum cholesterol and triglyceride content in broilers</w:t>
      </w:r>
      <w:r w:rsidRPr="008C58FF">
        <w:rPr>
          <w:i/>
          <w:iCs/>
          <w:color w:val="0D0D0D"/>
        </w:rPr>
        <w:t>. J. Appl. Phycol.</w:t>
      </w:r>
      <w:r w:rsidRPr="008C58FF">
        <w:rPr>
          <w:color w:val="0D0D0D"/>
        </w:rPr>
        <w:t> </w:t>
      </w:r>
      <w:r w:rsidRPr="008C58FF">
        <w:rPr>
          <w:b/>
          <w:bCs/>
          <w:color w:val="0D0D0D"/>
        </w:rPr>
        <w:t>31</w:t>
      </w:r>
      <w:r w:rsidRPr="008C58FF">
        <w:rPr>
          <w:color w:val="0D0D0D"/>
        </w:rPr>
        <w:t>(5): 3265-3273.</w:t>
      </w:r>
    </w:p>
    <w:p w14:paraId="3EF453E7" w14:textId="77777777" w:rsidR="00C7680B" w:rsidRPr="00362C26" w:rsidRDefault="00C7680B" w:rsidP="00C14F65">
      <w:pPr>
        <w:pStyle w:val="BodyText"/>
        <w:spacing w:line="360" w:lineRule="auto"/>
        <w:ind w:left="567" w:right="178" w:hanging="567"/>
        <w:jc w:val="both"/>
        <w:rPr>
          <w:color w:val="0D0D0D"/>
          <w:lang w:val="en-IN"/>
        </w:rPr>
      </w:pPr>
      <w:r w:rsidRPr="008C58FF">
        <w:rPr>
          <w:color w:val="0D0D0D"/>
        </w:rPr>
        <w:t>Chavan, V., R.C. Kulkarni, S.P. Awandkar, S.G. Chavhan, N.Z. Gaikwad, R.D. Suryawanshi and S. Satapathy, 2022. Effect of dietary supplementation of brown seaweed on performance of broiler chicken. </w:t>
      </w:r>
      <w:r w:rsidRPr="00362C26">
        <w:rPr>
          <w:i/>
          <w:iCs/>
          <w:color w:val="0D0D0D"/>
          <w:lang w:val="en-IN"/>
        </w:rPr>
        <w:t>Indian J. Mar. Sci</w:t>
      </w:r>
      <w:r w:rsidRPr="00362C26">
        <w:rPr>
          <w:color w:val="0D0D0D"/>
          <w:lang w:val="en-IN"/>
        </w:rPr>
        <w:t>. </w:t>
      </w:r>
      <w:r w:rsidRPr="00362C26">
        <w:rPr>
          <w:b/>
          <w:bCs/>
          <w:color w:val="0D0D0D"/>
          <w:lang w:val="en-IN"/>
        </w:rPr>
        <w:t>92</w:t>
      </w:r>
      <w:r w:rsidRPr="00362C26">
        <w:rPr>
          <w:color w:val="0D0D0D"/>
          <w:lang w:val="en-IN"/>
        </w:rPr>
        <w:t>(8). 999-1005.</w:t>
      </w:r>
    </w:p>
    <w:p w14:paraId="3E439EC2" w14:textId="77777777" w:rsidR="00C7680B" w:rsidRPr="008C58FF" w:rsidRDefault="00C7680B" w:rsidP="00C14F65">
      <w:pPr>
        <w:pStyle w:val="BodyText"/>
        <w:spacing w:line="360" w:lineRule="auto"/>
        <w:ind w:left="567" w:right="91" w:hanging="567"/>
        <w:jc w:val="both"/>
        <w:rPr>
          <w:color w:val="181717"/>
          <w:kern w:val="2"/>
          <w:lang w:eastAsia="en-IN" w:bidi="ta-IN"/>
          <w14:ligatures w14:val="standardContextual"/>
        </w:rPr>
      </w:pPr>
      <w:proofErr w:type="spellStart"/>
      <w:r w:rsidRPr="008C58FF">
        <w:rPr>
          <w:color w:val="181717"/>
          <w:kern w:val="2"/>
          <w:lang w:eastAsia="en-IN" w:bidi="ta-IN"/>
          <w14:ligatures w14:val="standardContextual"/>
        </w:rPr>
        <w:t>Churchil</w:t>
      </w:r>
      <w:proofErr w:type="spellEnd"/>
      <w:r w:rsidRPr="008C58FF">
        <w:rPr>
          <w:color w:val="181717"/>
          <w:kern w:val="2"/>
          <w:lang w:eastAsia="en-IN" w:bidi="ta-IN"/>
          <w14:ligatures w14:val="standardContextual"/>
        </w:rPr>
        <w:t xml:space="preserve">, R </w:t>
      </w:r>
      <w:proofErr w:type="spellStart"/>
      <w:r w:rsidRPr="008C58FF">
        <w:rPr>
          <w:color w:val="181717"/>
          <w:kern w:val="2"/>
          <w:lang w:eastAsia="en-IN" w:bidi="ta-IN"/>
          <w14:ligatures w14:val="standardContextual"/>
        </w:rPr>
        <w:t>R</w:t>
      </w:r>
      <w:proofErr w:type="spellEnd"/>
      <w:r w:rsidRPr="008C58FF">
        <w:rPr>
          <w:color w:val="181717"/>
          <w:kern w:val="2"/>
          <w:lang w:eastAsia="en-IN" w:bidi="ta-IN"/>
          <w14:ligatures w14:val="standardContextual"/>
        </w:rPr>
        <w:t>. and Suresh, R. (2021). Current concepts in nutrition and feeding of hybrid layer chicken. Indian Journal of Veterinary and Animal Sciences Research, 50(6): 1-16.</w:t>
      </w:r>
    </w:p>
    <w:p w14:paraId="432E4A26" w14:textId="77777777" w:rsidR="00C7680B" w:rsidRPr="008C58FF" w:rsidRDefault="00C7680B" w:rsidP="00C14F65">
      <w:pPr>
        <w:pStyle w:val="BodyText"/>
        <w:spacing w:line="360" w:lineRule="auto"/>
        <w:ind w:left="567" w:right="91" w:hanging="567"/>
        <w:jc w:val="both"/>
      </w:pPr>
      <w:r w:rsidRPr="008C58FF">
        <w:rPr>
          <w:rStyle w:val="Strong"/>
          <w:rFonts w:eastAsiaTheme="majorEastAsia"/>
          <w:b w:val="0"/>
          <w:bCs w:val="0"/>
        </w:rPr>
        <w:t xml:space="preserve">Churchil, R. R. (2022). </w:t>
      </w:r>
      <w:r w:rsidRPr="008C58FF">
        <w:t xml:space="preserve">Growth, structure and strength of Indian poultry industry: A review. </w:t>
      </w:r>
      <w:r w:rsidRPr="008C58FF">
        <w:rPr>
          <w:rStyle w:val="Emphasis"/>
          <w:rFonts w:eastAsiaTheme="majorEastAsia"/>
        </w:rPr>
        <w:lastRenderedPageBreak/>
        <w:t>Indian Journal of Poultry Science, 57</w:t>
      </w:r>
      <w:r w:rsidRPr="008C58FF">
        <w:t>(1), 1–10.</w:t>
      </w:r>
    </w:p>
    <w:p w14:paraId="61DF6D31" w14:textId="77777777" w:rsidR="00C7680B" w:rsidRPr="008C58FF" w:rsidRDefault="00C7680B" w:rsidP="00C14F65">
      <w:pPr>
        <w:pStyle w:val="BodyText"/>
        <w:spacing w:line="360" w:lineRule="auto"/>
        <w:ind w:left="567" w:right="178" w:hanging="567"/>
        <w:jc w:val="both"/>
        <w:rPr>
          <w:color w:val="0D0D0D"/>
        </w:rPr>
      </w:pPr>
      <w:r w:rsidRPr="00362C26">
        <w:rPr>
          <w:color w:val="0D0D0D"/>
        </w:rPr>
        <w:t xml:space="preserve">Costa, M.M., J.M. Pestana, P. Carvalho, C.M. Alfaia, C.F. Martins, D. Carvalho and J.A. Prates, 2022. </w:t>
      </w:r>
      <w:r w:rsidRPr="008C58FF">
        <w:rPr>
          <w:color w:val="0D0D0D"/>
        </w:rPr>
        <w:t xml:space="preserve">Effect on broiler production performance and meat quality of feeding </w:t>
      </w:r>
      <w:r w:rsidRPr="008C58FF">
        <w:rPr>
          <w:i/>
          <w:iCs/>
          <w:color w:val="0D0D0D"/>
        </w:rPr>
        <w:t>Ulva lactuca</w:t>
      </w:r>
      <w:r w:rsidRPr="008C58FF">
        <w:rPr>
          <w:color w:val="0D0D0D"/>
        </w:rPr>
        <w:t xml:space="preserve"> supplemented with carbohydrases. </w:t>
      </w:r>
      <w:r w:rsidRPr="008C58FF">
        <w:rPr>
          <w:i/>
          <w:iCs/>
          <w:color w:val="0D0D0D"/>
        </w:rPr>
        <w:t>Animals</w:t>
      </w:r>
      <w:r w:rsidRPr="008C58FF">
        <w:rPr>
          <w:color w:val="0D0D0D"/>
        </w:rPr>
        <w:t>. </w:t>
      </w:r>
      <w:r w:rsidRPr="008C58FF">
        <w:rPr>
          <w:b/>
          <w:bCs/>
          <w:color w:val="0D0D0D"/>
        </w:rPr>
        <w:t>12</w:t>
      </w:r>
      <w:r w:rsidRPr="008C58FF">
        <w:rPr>
          <w:color w:val="0D0D0D"/>
        </w:rPr>
        <w:t xml:space="preserve">(13):1720.  </w:t>
      </w:r>
    </w:p>
    <w:p w14:paraId="536CE563" w14:textId="77777777" w:rsidR="00C7680B" w:rsidRPr="008C58FF" w:rsidRDefault="00C7680B" w:rsidP="00C14F65">
      <w:pPr>
        <w:pStyle w:val="BodyText"/>
        <w:spacing w:line="360" w:lineRule="auto"/>
        <w:ind w:left="567" w:right="178" w:hanging="567"/>
        <w:jc w:val="both"/>
        <w:rPr>
          <w:color w:val="0D0D0D"/>
        </w:rPr>
      </w:pPr>
      <w:r w:rsidRPr="008C58FF">
        <w:rPr>
          <w:color w:val="0D0D0D"/>
        </w:rPr>
        <w:t>Dawczynski, C., R. Schubert, G. Jahreis, 2007. Amino acids, fatty acids, and dietary fibre in edible seaweed products. </w:t>
      </w:r>
      <w:r w:rsidRPr="008C58FF">
        <w:rPr>
          <w:i/>
          <w:iCs/>
          <w:color w:val="0D0D0D"/>
        </w:rPr>
        <w:t>Food Chem</w:t>
      </w:r>
      <w:r w:rsidRPr="008C58FF">
        <w:rPr>
          <w:color w:val="0D0D0D"/>
        </w:rPr>
        <w:t>.</w:t>
      </w:r>
      <w:r w:rsidRPr="008C58FF">
        <w:rPr>
          <w:b/>
          <w:bCs/>
          <w:color w:val="0D0D0D"/>
        </w:rPr>
        <w:t>103</w:t>
      </w:r>
      <w:r w:rsidRPr="008C58FF">
        <w:rPr>
          <w:color w:val="0D0D0D"/>
        </w:rPr>
        <w:t>: 891–899.</w:t>
      </w:r>
    </w:p>
    <w:p w14:paraId="13A8F915" w14:textId="77777777" w:rsidR="00C7680B" w:rsidRPr="008C58FF" w:rsidRDefault="00C7680B" w:rsidP="00C14F65">
      <w:pPr>
        <w:pStyle w:val="BodyText"/>
        <w:spacing w:line="360" w:lineRule="auto"/>
        <w:ind w:left="567" w:right="178" w:hanging="567"/>
        <w:jc w:val="both"/>
        <w:rPr>
          <w:color w:val="0D0D0D"/>
        </w:rPr>
      </w:pPr>
      <w:r w:rsidRPr="008C58FF">
        <w:rPr>
          <w:color w:val="0D0D0D"/>
        </w:rPr>
        <w:t>El-naga, A., K. Manal and M.M. Megahed, 2018. Impact of brown algae supplementation in drinking water on growth performance and intestine histological changes of broiler chicks. </w:t>
      </w:r>
      <w:r w:rsidRPr="008C58FF">
        <w:rPr>
          <w:i/>
          <w:iCs/>
          <w:color w:val="0D0D0D"/>
        </w:rPr>
        <w:t>Egypt. J. Nutr. Feeds</w:t>
      </w:r>
      <w:r w:rsidRPr="008C58FF">
        <w:rPr>
          <w:color w:val="0D0D0D"/>
        </w:rPr>
        <w:t>. </w:t>
      </w:r>
      <w:r w:rsidRPr="008C58FF">
        <w:rPr>
          <w:b/>
          <w:bCs/>
          <w:color w:val="0D0D0D"/>
        </w:rPr>
        <w:t>21</w:t>
      </w:r>
      <w:r w:rsidRPr="008C58FF">
        <w:rPr>
          <w:color w:val="0D0D0D"/>
        </w:rPr>
        <w:t>(2), 495-507.</w:t>
      </w:r>
    </w:p>
    <w:p w14:paraId="5468669B" w14:textId="77777777" w:rsidR="00C7680B" w:rsidRPr="008C58FF" w:rsidRDefault="00C7680B" w:rsidP="00C14F65">
      <w:pPr>
        <w:pStyle w:val="BodyText"/>
        <w:spacing w:line="360" w:lineRule="auto"/>
        <w:ind w:left="567" w:right="178" w:hanging="567"/>
        <w:jc w:val="both"/>
        <w:rPr>
          <w:color w:val="0D0D0D"/>
        </w:rPr>
      </w:pPr>
      <w:r w:rsidRPr="008C58FF">
        <w:rPr>
          <w:color w:val="0D0D0D"/>
        </w:rPr>
        <w:t>Hassan, R.I., M.S. Refaie, R.D. El-Shoukary, I.F. Rehan, F. Zigo, V. Karaffová and H.Y. Amer, 2022. Effect of dietary microalgae (</w:t>
      </w:r>
      <w:r w:rsidRPr="008C58FF">
        <w:rPr>
          <w:i/>
          <w:iCs/>
          <w:color w:val="0D0D0D"/>
        </w:rPr>
        <w:t>Spirulina platensis</w:t>
      </w:r>
      <w:r w:rsidRPr="008C58FF">
        <w:rPr>
          <w:color w:val="0D0D0D"/>
        </w:rPr>
        <w:t>) on growth performance, ingestive behavior, hemato-biochemical parameters, and economic efficiency of Fayoumi broilers. </w:t>
      </w:r>
      <w:r w:rsidRPr="008C58FF">
        <w:rPr>
          <w:i/>
          <w:iCs/>
          <w:color w:val="0D0D0D"/>
        </w:rPr>
        <w:t>Life</w:t>
      </w:r>
      <w:r w:rsidRPr="008C58FF">
        <w:rPr>
          <w:color w:val="0D0D0D"/>
        </w:rPr>
        <w:t>. </w:t>
      </w:r>
      <w:r w:rsidRPr="008C58FF">
        <w:rPr>
          <w:b/>
          <w:bCs/>
          <w:color w:val="0D0D0D"/>
        </w:rPr>
        <w:t>12</w:t>
      </w:r>
      <w:r w:rsidRPr="008C58FF">
        <w:rPr>
          <w:color w:val="0D0D0D"/>
        </w:rPr>
        <w:t>(11): 1892.</w:t>
      </w:r>
    </w:p>
    <w:p w14:paraId="44352931" w14:textId="77777777" w:rsidR="00C7680B" w:rsidRPr="008C58FF" w:rsidRDefault="00C7680B" w:rsidP="00C14F65">
      <w:pPr>
        <w:pStyle w:val="BodyText"/>
        <w:spacing w:line="360" w:lineRule="auto"/>
        <w:ind w:left="567" w:right="178" w:hanging="567"/>
        <w:jc w:val="both"/>
        <w:rPr>
          <w:color w:val="0D0D0D"/>
        </w:rPr>
      </w:pPr>
      <w:r w:rsidRPr="008C58FF">
        <w:rPr>
          <w:rFonts w:eastAsiaTheme="majorEastAsia"/>
        </w:rPr>
        <w:t>Hayes, M. (2015).</w:t>
      </w:r>
      <w:r w:rsidRPr="008C58FF">
        <w:t xml:space="preserve"> Seaweeds: A nutraceutical and health food. In B. K. Tiwari &amp; D. J. Troy (Eds.), </w:t>
      </w:r>
      <w:r w:rsidRPr="008C58FF">
        <w:rPr>
          <w:rStyle w:val="Emphasis"/>
          <w:rFonts w:eastAsiaTheme="majorEastAsia"/>
        </w:rPr>
        <w:t>Seaweed sustainability</w:t>
      </w:r>
      <w:r w:rsidRPr="008C58FF">
        <w:t xml:space="preserve"> (pp. 365–387). Academic Press. </w:t>
      </w:r>
      <w:hyperlink r:id="rId10" w:tgtFrame="_new" w:history="1">
        <w:r w:rsidRPr="008C58FF">
          <w:rPr>
            <w:rStyle w:val="Hyperlink"/>
            <w:rFonts w:eastAsiaTheme="majorEastAsia"/>
          </w:rPr>
          <w:t>https://doi.org/10.1016/B978-0-12-418697-2.00014-3</w:t>
        </w:r>
      </w:hyperlink>
      <w:r w:rsidRPr="008C58FF">
        <w:rPr>
          <w:color w:val="0D0D0D"/>
        </w:rPr>
        <w:t xml:space="preserve">. </w:t>
      </w:r>
    </w:p>
    <w:p w14:paraId="467A1152" w14:textId="77777777" w:rsidR="00C7680B" w:rsidRPr="008C58FF" w:rsidRDefault="00C7680B" w:rsidP="00C14F65">
      <w:pPr>
        <w:pStyle w:val="BodyText"/>
        <w:spacing w:line="360" w:lineRule="auto"/>
        <w:ind w:left="567" w:right="91" w:hanging="567"/>
        <w:jc w:val="both"/>
      </w:pPr>
      <w:proofErr w:type="spellStart"/>
      <w:r w:rsidRPr="008C58FF">
        <w:rPr>
          <w:rStyle w:val="Strong"/>
          <w:rFonts w:eastAsiaTheme="majorEastAsia"/>
          <w:b w:val="0"/>
          <w:bCs w:val="0"/>
        </w:rPr>
        <w:t>Kanagaraju</w:t>
      </w:r>
      <w:proofErr w:type="spellEnd"/>
      <w:r w:rsidRPr="008C58FF">
        <w:rPr>
          <w:rStyle w:val="Strong"/>
          <w:rFonts w:eastAsiaTheme="majorEastAsia"/>
          <w:b w:val="0"/>
          <w:bCs w:val="0"/>
        </w:rPr>
        <w:t xml:space="preserve">, P., </w:t>
      </w:r>
      <w:proofErr w:type="spellStart"/>
      <w:r w:rsidRPr="008C58FF">
        <w:rPr>
          <w:rStyle w:val="Strong"/>
          <w:rFonts w:eastAsiaTheme="majorEastAsia"/>
          <w:b w:val="0"/>
          <w:bCs w:val="0"/>
        </w:rPr>
        <w:t>Rathnapraba</w:t>
      </w:r>
      <w:proofErr w:type="spellEnd"/>
      <w:r w:rsidRPr="008C58FF">
        <w:rPr>
          <w:rStyle w:val="Strong"/>
          <w:rFonts w:eastAsiaTheme="majorEastAsia"/>
          <w:b w:val="0"/>
          <w:bCs w:val="0"/>
        </w:rPr>
        <w:t>, S., Churchil, R. R., Madhan Kumar, N., &amp; Swapnil, S. (2019).</w:t>
      </w:r>
      <w:r w:rsidRPr="008C58FF">
        <w:t xml:space="preserve"> Nutritional interventions to improve breast meat yield in broilers: A review. </w:t>
      </w:r>
      <w:r w:rsidRPr="008C58FF">
        <w:rPr>
          <w:rStyle w:val="Emphasis"/>
          <w:rFonts w:eastAsiaTheme="majorEastAsia"/>
        </w:rPr>
        <w:t>International Journal of Livestock Research, 9</w:t>
      </w:r>
      <w:r w:rsidRPr="008C58FF">
        <w:t>(8), 49–61.</w:t>
      </w:r>
    </w:p>
    <w:p w14:paraId="53F74C6E" w14:textId="77777777" w:rsidR="00C7680B" w:rsidRPr="008C58FF" w:rsidRDefault="00C7680B" w:rsidP="00C14F65">
      <w:pPr>
        <w:pStyle w:val="BodyText"/>
        <w:spacing w:line="360" w:lineRule="auto"/>
        <w:ind w:left="567" w:right="178" w:hanging="567"/>
        <w:jc w:val="both"/>
        <w:rPr>
          <w:color w:val="0D0D0D"/>
          <w:lang w:val="pt-BR"/>
        </w:rPr>
      </w:pPr>
      <w:r w:rsidRPr="008C58FF">
        <w:t xml:space="preserve">Kramer, C.Y., 1956. Extension of multiple range tests to group means with unequal numbers of replications. </w:t>
      </w:r>
      <w:r w:rsidRPr="008C58FF">
        <w:rPr>
          <w:i/>
          <w:color w:val="0A0A0A"/>
          <w:shd w:val="clear" w:color="auto" w:fill="FFFFFF"/>
          <w:lang w:val="pt-BR"/>
        </w:rPr>
        <w:t>Biom</w:t>
      </w:r>
      <w:r w:rsidRPr="008C58FF">
        <w:rPr>
          <w:lang w:val="pt-BR"/>
        </w:rPr>
        <w:t xml:space="preserve">. </w:t>
      </w:r>
      <w:r w:rsidRPr="008C58FF">
        <w:rPr>
          <w:b/>
          <w:lang w:val="pt-BR"/>
        </w:rPr>
        <w:t>12</w:t>
      </w:r>
      <w:r w:rsidRPr="008C58FF">
        <w:rPr>
          <w:lang w:val="pt-BR"/>
        </w:rPr>
        <w:t>(3): 307-310.</w:t>
      </w:r>
    </w:p>
    <w:p w14:paraId="513C0967" w14:textId="77777777" w:rsidR="00C7680B" w:rsidRPr="008C58FF" w:rsidRDefault="00C7680B" w:rsidP="00C14F65">
      <w:pPr>
        <w:pStyle w:val="BodyText"/>
        <w:spacing w:line="360" w:lineRule="auto"/>
        <w:ind w:left="567" w:right="178" w:hanging="567"/>
        <w:jc w:val="both"/>
        <w:rPr>
          <w:color w:val="0D0D0D"/>
        </w:rPr>
      </w:pPr>
      <w:r w:rsidRPr="008C58FF">
        <w:rPr>
          <w:color w:val="0D0D0D"/>
          <w:lang w:val="pt-BR"/>
        </w:rPr>
        <w:t xml:space="preserve">Martínez, Y., L. Ayala, C. Hurtado, D. Más and R. Rodríguez, 2019. </w:t>
      </w:r>
      <w:r w:rsidRPr="008C58FF">
        <w:rPr>
          <w:color w:val="0D0D0D"/>
        </w:rPr>
        <w:t>Effects of dietary supplementation with red algae powder (</w:t>
      </w:r>
      <w:r w:rsidRPr="008C58FF">
        <w:rPr>
          <w:i/>
          <w:iCs/>
          <w:color w:val="0D0D0D"/>
        </w:rPr>
        <w:t>Chondrus crispus</w:t>
      </w:r>
      <w:r w:rsidRPr="008C58FF">
        <w:rPr>
          <w:color w:val="0D0D0D"/>
        </w:rPr>
        <w:t>) on growth performance, carcass traits, lymphoid organ weights and intestinal pH in broilers. </w:t>
      </w:r>
      <w:r w:rsidRPr="008C58FF">
        <w:rPr>
          <w:i/>
          <w:iCs/>
          <w:color w:val="0D0D0D"/>
          <w:lang w:val="en-IN"/>
        </w:rPr>
        <w:t>Braz. J. Poultry. Sci.</w:t>
      </w:r>
      <w:r w:rsidRPr="008C58FF">
        <w:rPr>
          <w:color w:val="0D0D0D"/>
          <w:lang w:val="en-IN"/>
        </w:rPr>
        <w:t> </w:t>
      </w:r>
      <w:r w:rsidRPr="008C58FF">
        <w:rPr>
          <w:b/>
          <w:bCs/>
          <w:color w:val="0D0D0D"/>
          <w:lang w:val="en-IN"/>
        </w:rPr>
        <w:t>21</w:t>
      </w:r>
      <w:r w:rsidRPr="008C58FF">
        <w:rPr>
          <w:color w:val="0D0D0D"/>
          <w:lang w:val="en-IN"/>
        </w:rPr>
        <w:t xml:space="preserve">(04); </w:t>
      </w:r>
      <w:hyperlink r:id="rId11" w:history="1">
        <w:r w:rsidRPr="008C58FF">
          <w:rPr>
            <w:color w:val="0D0D0D"/>
            <w:lang w:val="en-IN"/>
          </w:rPr>
          <w:t>https://doi.org/10.1590/1806-9061-2019-1015</w:t>
        </w:r>
      </w:hyperlink>
      <w:r w:rsidRPr="008C58FF">
        <w:rPr>
          <w:color w:val="0D0D0D"/>
          <w:lang w:val="en-IN"/>
        </w:rPr>
        <w:t>.</w:t>
      </w:r>
    </w:p>
    <w:p w14:paraId="07418E69" w14:textId="77777777" w:rsidR="00C7680B" w:rsidRPr="008C58FF" w:rsidRDefault="00C7680B" w:rsidP="00C14F65">
      <w:pPr>
        <w:pStyle w:val="BodyText"/>
        <w:spacing w:line="360" w:lineRule="auto"/>
        <w:ind w:left="567" w:right="178" w:hanging="567"/>
        <w:jc w:val="both"/>
        <w:rPr>
          <w:color w:val="0D0D0D"/>
        </w:rPr>
      </w:pPr>
      <w:r w:rsidRPr="008C58FF">
        <w:rPr>
          <w:color w:val="0D0D0D"/>
        </w:rPr>
        <w:t>Matshogo, T.B., C.M. Mnisi and V. Mlambo, 2020. Dietary green seaweed compromises overall feed conversion efficiency but not blood parameters and meat quality and stability in broiler chickens. </w:t>
      </w:r>
      <w:r w:rsidRPr="008C58FF">
        <w:rPr>
          <w:i/>
          <w:iCs/>
          <w:color w:val="0D0D0D"/>
        </w:rPr>
        <w:t>Agriculture</w:t>
      </w:r>
      <w:r w:rsidRPr="008C58FF">
        <w:rPr>
          <w:color w:val="0D0D0D"/>
        </w:rPr>
        <w:t>. </w:t>
      </w:r>
      <w:r w:rsidRPr="008C58FF">
        <w:rPr>
          <w:b/>
          <w:bCs/>
          <w:color w:val="0D0D0D"/>
        </w:rPr>
        <w:t>10</w:t>
      </w:r>
      <w:r w:rsidRPr="008C58FF">
        <w:rPr>
          <w:color w:val="0D0D0D"/>
        </w:rPr>
        <w:t>(11), 547.</w:t>
      </w:r>
    </w:p>
    <w:p w14:paraId="79010B63" w14:textId="77777777" w:rsidR="00C7680B" w:rsidRPr="008C58FF" w:rsidRDefault="00C7680B" w:rsidP="00C14F65">
      <w:pPr>
        <w:pStyle w:val="BodyText"/>
        <w:spacing w:line="360" w:lineRule="auto"/>
        <w:ind w:left="567" w:right="178" w:hanging="567"/>
        <w:jc w:val="both"/>
        <w:rPr>
          <w:color w:val="0D0D0D"/>
          <w:lang w:val="pt-BR"/>
        </w:rPr>
      </w:pPr>
      <w:bookmarkStart w:id="2" w:name="_Hlk212469431"/>
      <w:r w:rsidRPr="008C58FF">
        <w:rPr>
          <w:color w:val="0D0D0D"/>
        </w:rPr>
        <w:t>Mohammadigheisar</w:t>
      </w:r>
      <w:bookmarkEnd w:id="2"/>
      <w:r w:rsidRPr="008C58FF">
        <w:rPr>
          <w:color w:val="0D0D0D"/>
        </w:rPr>
        <w:t>, M., V.L. Shouldice, J.S. Sands, D. Lepp, M.S. Diarra and E.G. Kiarie, 2020. Growth performance, breast yield, gastrointestinal ecology and plasma biochemical profile in broiler chickens fed multiple doses of a blend of red, brown and green seaweeds. </w:t>
      </w:r>
      <w:r w:rsidRPr="008C58FF">
        <w:rPr>
          <w:i/>
          <w:iCs/>
          <w:color w:val="0D0D0D"/>
          <w:lang w:val="pt-BR"/>
        </w:rPr>
        <w:t>Br. Poult. Sci.</w:t>
      </w:r>
      <w:r w:rsidRPr="008C58FF">
        <w:rPr>
          <w:color w:val="0D0D0D"/>
          <w:lang w:val="pt-BR"/>
        </w:rPr>
        <w:t> </w:t>
      </w:r>
      <w:r w:rsidRPr="008C58FF">
        <w:rPr>
          <w:b/>
          <w:bCs/>
          <w:color w:val="0D0D0D"/>
          <w:lang w:val="pt-BR"/>
        </w:rPr>
        <w:t>61</w:t>
      </w:r>
      <w:r w:rsidRPr="008C58FF">
        <w:rPr>
          <w:color w:val="0D0D0D"/>
          <w:lang w:val="pt-BR"/>
        </w:rPr>
        <w:t>(5), 590-598.</w:t>
      </w:r>
    </w:p>
    <w:p w14:paraId="381ECC7A" w14:textId="77777777" w:rsidR="00C7680B" w:rsidRPr="008C58FF" w:rsidRDefault="00C7680B" w:rsidP="00C14F65">
      <w:pPr>
        <w:pStyle w:val="BodyText"/>
        <w:spacing w:line="360" w:lineRule="auto"/>
        <w:ind w:left="567" w:right="178" w:hanging="567"/>
        <w:jc w:val="both"/>
        <w:rPr>
          <w:color w:val="0D0D0D"/>
          <w:lang w:val="en-IN"/>
        </w:rPr>
      </w:pPr>
      <w:r w:rsidRPr="008C58FF">
        <w:rPr>
          <w:color w:val="0D0D0D"/>
          <w:lang w:val="pt-BR"/>
        </w:rPr>
        <w:t xml:space="preserve">Morais, T., A. Inácio, T. Coutinho, M. Ministro, J. Cotas, L. Pereira and K. Bahcevandziev, (2020). </w:t>
      </w:r>
      <w:r w:rsidRPr="008C58FF">
        <w:rPr>
          <w:color w:val="0D0D0D"/>
          <w:lang w:val="en-IN"/>
        </w:rPr>
        <w:t>Seaweed potential in the animal feed: A review. </w:t>
      </w:r>
      <w:r w:rsidRPr="008C58FF">
        <w:rPr>
          <w:i/>
          <w:iCs/>
          <w:color w:val="0D0D0D"/>
          <w:lang w:val="en-IN"/>
        </w:rPr>
        <w:t>J. mar. sci. eng.</w:t>
      </w:r>
      <w:r w:rsidRPr="008C58FF">
        <w:rPr>
          <w:color w:val="0D0D0D"/>
          <w:lang w:val="en-IN"/>
        </w:rPr>
        <w:t> </w:t>
      </w:r>
      <w:r w:rsidRPr="008C58FF">
        <w:rPr>
          <w:b/>
          <w:bCs/>
          <w:i/>
          <w:iCs/>
          <w:color w:val="0D0D0D"/>
          <w:lang w:val="en-IN"/>
        </w:rPr>
        <w:t>8</w:t>
      </w:r>
      <w:r w:rsidRPr="008C58FF">
        <w:rPr>
          <w:color w:val="0D0D0D"/>
          <w:lang w:val="en-IN"/>
        </w:rPr>
        <w:t>(8): 559.</w:t>
      </w:r>
    </w:p>
    <w:p w14:paraId="1097335F" w14:textId="77777777" w:rsidR="00C7680B" w:rsidRPr="008C58FF" w:rsidRDefault="00C7680B" w:rsidP="00C14F65">
      <w:pPr>
        <w:pStyle w:val="BodyText"/>
        <w:spacing w:line="360" w:lineRule="auto"/>
        <w:ind w:left="567" w:right="178" w:hanging="567"/>
        <w:jc w:val="both"/>
        <w:rPr>
          <w:color w:val="0D0D0D"/>
        </w:rPr>
      </w:pPr>
      <w:r w:rsidRPr="008C58FF">
        <w:rPr>
          <w:color w:val="0D0D0D"/>
          <w:lang w:val="pt-BR"/>
        </w:rPr>
        <w:lastRenderedPageBreak/>
        <w:t xml:space="preserve">Moreda-Piñeiro, J., A. Moreda-Piñeiro, V. Romarís-Hortas, R. Domínguez-González, E. Alonso-Rodríguez, P. López-Mahía, S. Muniategui-Lorenzo, D. Prada-Rodríguez, P. Bermejo-Barrera, 2012. </w:t>
      </w:r>
      <w:r w:rsidRPr="008C58FF">
        <w:rPr>
          <w:color w:val="0D0D0D"/>
        </w:rPr>
        <w:t>Trace metals in marine foodstuff: Bioavailability estimation and effect of major food constituents. </w:t>
      </w:r>
      <w:r w:rsidRPr="008C58FF">
        <w:rPr>
          <w:i/>
          <w:iCs/>
          <w:color w:val="0D0D0D"/>
        </w:rPr>
        <w:t>Food Chem</w:t>
      </w:r>
      <w:r w:rsidRPr="008C58FF">
        <w:rPr>
          <w:color w:val="0D0D0D"/>
        </w:rPr>
        <w:t>. </w:t>
      </w:r>
      <w:r w:rsidRPr="008C58FF">
        <w:rPr>
          <w:b/>
          <w:bCs/>
          <w:color w:val="0D0D0D"/>
        </w:rPr>
        <w:t>134</w:t>
      </w:r>
      <w:r w:rsidRPr="008C58FF">
        <w:rPr>
          <w:color w:val="0D0D0D"/>
        </w:rPr>
        <w:t>: 339–345.</w:t>
      </w:r>
    </w:p>
    <w:p w14:paraId="139A8F31"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Paul, S.S., K.T. Ramasamy, H.G.R.V. Venkata, S.V.R. Rao, M.V.L.N. Raju, S. Ramanan and R.N. Chatterjee, 2024. Evaluation of the potential of extract of seaweed </w:t>
      </w:r>
      <w:r w:rsidRPr="008C58FF">
        <w:rPr>
          <w:i/>
          <w:iCs/>
          <w:color w:val="0D0D0D"/>
        </w:rPr>
        <w:t>Eucheuma denticulatum</w:t>
      </w:r>
      <w:r w:rsidRPr="008C58FF">
        <w:rPr>
          <w:color w:val="0D0D0D"/>
        </w:rPr>
        <w:t xml:space="preserve"> as an alternative to antibiotic growth promoter in broiler chickens. </w:t>
      </w:r>
      <w:r w:rsidRPr="008C58FF">
        <w:rPr>
          <w:i/>
          <w:iCs/>
          <w:color w:val="0D0D0D"/>
        </w:rPr>
        <w:t>Heliyon.</w:t>
      </w:r>
      <w:r w:rsidRPr="008C58FF">
        <w:rPr>
          <w:color w:val="0D0D0D"/>
        </w:rPr>
        <w:t> </w:t>
      </w:r>
      <w:r w:rsidRPr="008C58FF">
        <w:rPr>
          <w:b/>
          <w:bCs/>
          <w:color w:val="0D0D0D"/>
        </w:rPr>
        <w:t>10</w:t>
      </w:r>
      <w:r w:rsidRPr="008C58FF">
        <w:rPr>
          <w:color w:val="0D0D0D"/>
        </w:rPr>
        <w:t>(3).</w:t>
      </w:r>
    </w:p>
    <w:p w14:paraId="2B740FD0" w14:textId="77777777" w:rsidR="00C7680B" w:rsidRPr="008C58FF" w:rsidRDefault="00C7680B" w:rsidP="00C14F65">
      <w:pPr>
        <w:pStyle w:val="BodyText"/>
        <w:spacing w:line="360" w:lineRule="auto"/>
        <w:ind w:left="567" w:right="178" w:hanging="567"/>
        <w:jc w:val="both"/>
        <w:rPr>
          <w:color w:val="0D0D0D"/>
        </w:rPr>
      </w:pPr>
      <w:r w:rsidRPr="008C58FF">
        <w:rPr>
          <w:color w:val="0D0D0D"/>
        </w:rPr>
        <w:t>Reski, S., M.E. Mahata, Y. Rizal and R. Pazla, 2021. Influence of brown seaweed (</w:t>
      </w:r>
      <w:r w:rsidRPr="008C58FF">
        <w:rPr>
          <w:i/>
          <w:iCs/>
          <w:color w:val="0D0D0D"/>
        </w:rPr>
        <w:t>Turbinaria murayana</w:t>
      </w:r>
      <w:r w:rsidRPr="008C58FF">
        <w:rPr>
          <w:color w:val="0D0D0D"/>
        </w:rPr>
        <w:t>) in optimizing performance and carcass quality characteristics in broiler chickens. </w:t>
      </w:r>
      <w:r w:rsidRPr="008C58FF">
        <w:rPr>
          <w:i/>
          <w:iCs/>
          <w:color w:val="0D0D0D"/>
        </w:rPr>
        <w:t>Adv. Anim. Vet. Sci</w:t>
      </w:r>
      <w:r w:rsidRPr="008C58FF">
        <w:rPr>
          <w:color w:val="0D0D0D"/>
        </w:rPr>
        <w:t>. </w:t>
      </w:r>
      <w:r w:rsidRPr="008C58FF">
        <w:rPr>
          <w:b/>
          <w:bCs/>
          <w:color w:val="0D0D0D"/>
        </w:rPr>
        <w:t>9</w:t>
      </w:r>
      <w:r w:rsidRPr="008C58FF">
        <w:rPr>
          <w:color w:val="0D0D0D"/>
        </w:rPr>
        <w:t>(3), 407-415.</w:t>
      </w:r>
    </w:p>
    <w:p w14:paraId="218F82D8" w14:textId="77777777" w:rsidR="008B4FEB" w:rsidRPr="008C58FF" w:rsidRDefault="00C7680B" w:rsidP="00C14F65">
      <w:pPr>
        <w:ind w:left="567" w:hanging="567"/>
        <w:jc w:val="both"/>
        <w:rPr>
          <w:rFonts w:ascii="Times New Roman" w:hAnsi="Times New Roman" w:cs="Times New Roman"/>
          <w:sz w:val="24"/>
          <w:szCs w:val="24"/>
        </w:rPr>
      </w:pPr>
      <w:r w:rsidRPr="008C58FF">
        <w:rPr>
          <w:rFonts w:ascii="Times New Roman" w:hAnsi="Times New Roman" w:cs="Times New Roman"/>
          <w:sz w:val="24"/>
          <w:szCs w:val="24"/>
        </w:rPr>
        <w:t xml:space="preserve">Saleh, A. A., </w:t>
      </w:r>
      <w:proofErr w:type="spellStart"/>
      <w:r w:rsidRPr="008C58FF">
        <w:rPr>
          <w:rFonts w:ascii="Times New Roman" w:hAnsi="Times New Roman" w:cs="Times New Roman"/>
          <w:sz w:val="24"/>
          <w:szCs w:val="24"/>
        </w:rPr>
        <w:t>Alawam</w:t>
      </w:r>
      <w:proofErr w:type="spellEnd"/>
      <w:r w:rsidRPr="008C58FF">
        <w:rPr>
          <w:rFonts w:ascii="Times New Roman" w:hAnsi="Times New Roman" w:cs="Times New Roman"/>
          <w:sz w:val="24"/>
          <w:szCs w:val="24"/>
        </w:rPr>
        <w:t xml:space="preserve">, A. S., Ebeid, T. A., </w:t>
      </w:r>
      <w:proofErr w:type="spellStart"/>
      <w:r w:rsidRPr="008C58FF">
        <w:rPr>
          <w:rFonts w:ascii="Times New Roman" w:hAnsi="Times New Roman" w:cs="Times New Roman"/>
          <w:sz w:val="24"/>
          <w:szCs w:val="24"/>
        </w:rPr>
        <w:t>Nusairat</w:t>
      </w:r>
      <w:proofErr w:type="spellEnd"/>
      <w:r w:rsidRPr="008C58FF">
        <w:rPr>
          <w:rFonts w:ascii="Times New Roman" w:hAnsi="Times New Roman" w:cs="Times New Roman"/>
          <w:sz w:val="24"/>
          <w:szCs w:val="24"/>
        </w:rPr>
        <w:t xml:space="preserve">, B., El-Kholy, M. S., </w:t>
      </w:r>
      <w:proofErr w:type="spellStart"/>
      <w:r w:rsidRPr="008C58FF">
        <w:rPr>
          <w:rFonts w:ascii="Times New Roman" w:hAnsi="Times New Roman" w:cs="Times New Roman"/>
          <w:sz w:val="24"/>
          <w:szCs w:val="24"/>
        </w:rPr>
        <w:t>Rudayni</w:t>
      </w:r>
      <w:proofErr w:type="spellEnd"/>
      <w:r w:rsidRPr="008C58FF">
        <w:rPr>
          <w:rFonts w:ascii="Times New Roman" w:hAnsi="Times New Roman" w:cs="Times New Roman"/>
          <w:sz w:val="24"/>
          <w:szCs w:val="24"/>
        </w:rPr>
        <w:t xml:space="preserve">, H. A., Allam, A. A., &amp; </w:t>
      </w:r>
      <w:proofErr w:type="spellStart"/>
      <w:r w:rsidRPr="008C58FF">
        <w:rPr>
          <w:rFonts w:ascii="Times New Roman" w:hAnsi="Times New Roman" w:cs="Times New Roman"/>
          <w:sz w:val="24"/>
          <w:szCs w:val="24"/>
        </w:rPr>
        <w:t>Alagawany</w:t>
      </w:r>
      <w:proofErr w:type="spellEnd"/>
      <w:r w:rsidRPr="008C58FF">
        <w:rPr>
          <w:rFonts w:ascii="Times New Roman" w:hAnsi="Times New Roman" w:cs="Times New Roman"/>
          <w:sz w:val="24"/>
          <w:szCs w:val="24"/>
        </w:rPr>
        <w:t xml:space="preserve">, M. (2025). Alternative feed ingredients for yellow corn and soybean meal in poultry. Annals of Animal Science. https://doi.org/10.2478/aoas-2025-0047 </w:t>
      </w:r>
    </w:p>
    <w:p w14:paraId="7CF76808" w14:textId="77777777" w:rsidR="00C7680B" w:rsidRPr="008C58FF" w:rsidRDefault="00C7680B" w:rsidP="00C14F65">
      <w:pPr>
        <w:pStyle w:val="BodyText"/>
        <w:spacing w:line="360" w:lineRule="auto"/>
        <w:ind w:left="567" w:right="91" w:hanging="567"/>
        <w:jc w:val="both"/>
      </w:pPr>
      <w:proofErr w:type="spellStart"/>
      <w:r w:rsidRPr="008C58FF">
        <w:rPr>
          <w:rStyle w:val="Strong"/>
          <w:rFonts w:eastAsiaTheme="majorEastAsia"/>
          <w:b w:val="0"/>
          <w:bCs w:val="0"/>
        </w:rPr>
        <w:t>Sangilimadan</w:t>
      </w:r>
      <w:proofErr w:type="spellEnd"/>
      <w:r w:rsidRPr="008C58FF">
        <w:rPr>
          <w:rStyle w:val="Strong"/>
          <w:rFonts w:eastAsiaTheme="majorEastAsia"/>
          <w:b w:val="0"/>
          <w:bCs w:val="0"/>
        </w:rPr>
        <w:t xml:space="preserve">, K., Churchil, R. R., </w:t>
      </w:r>
      <w:proofErr w:type="spellStart"/>
      <w:r w:rsidRPr="008C58FF">
        <w:rPr>
          <w:rStyle w:val="Strong"/>
          <w:rFonts w:eastAsiaTheme="majorEastAsia"/>
          <w:b w:val="0"/>
          <w:bCs w:val="0"/>
        </w:rPr>
        <w:t>Premavalli</w:t>
      </w:r>
      <w:proofErr w:type="spellEnd"/>
      <w:r w:rsidRPr="008C58FF">
        <w:rPr>
          <w:rStyle w:val="Strong"/>
          <w:rFonts w:eastAsiaTheme="majorEastAsia"/>
          <w:b w:val="0"/>
          <w:bCs w:val="0"/>
        </w:rPr>
        <w:t>, K., Selvan, S. T., &amp; Omprakash, A. V. (2020).</w:t>
      </w:r>
      <w:r w:rsidRPr="008C58FF">
        <w:t xml:space="preserve"> Effect of phytobiotics supplementation on carcass characteristics of Nandanam Broiler-3 chicken. </w:t>
      </w:r>
      <w:r w:rsidRPr="008C58FF">
        <w:rPr>
          <w:rStyle w:val="Emphasis"/>
          <w:rFonts w:eastAsiaTheme="majorEastAsia"/>
        </w:rPr>
        <w:t>International Journal of Current Microbiology and Applied Sciences, 9</w:t>
      </w:r>
      <w:r w:rsidRPr="008C58FF">
        <w:t>(5), 1349–1358.</w:t>
      </w:r>
    </w:p>
    <w:p w14:paraId="3A5EFA6F" w14:textId="77777777" w:rsidR="00C7680B" w:rsidRPr="008C58FF" w:rsidRDefault="00C7680B" w:rsidP="00C14F65">
      <w:pPr>
        <w:pStyle w:val="BodyText"/>
        <w:spacing w:line="360" w:lineRule="auto"/>
        <w:ind w:left="567" w:right="91" w:hanging="567"/>
        <w:jc w:val="both"/>
      </w:pPr>
      <w:proofErr w:type="spellStart"/>
      <w:r w:rsidRPr="008C58FF">
        <w:rPr>
          <w:rStyle w:val="Strong"/>
          <w:rFonts w:eastAsiaTheme="majorEastAsia"/>
          <w:b w:val="0"/>
          <w:bCs w:val="0"/>
        </w:rPr>
        <w:t>Sangilimadan</w:t>
      </w:r>
      <w:proofErr w:type="spellEnd"/>
      <w:r w:rsidRPr="008C58FF">
        <w:rPr>
          <w:rStyle w:val="Strong"/>
          <w:rFonts w:eastAsiaTheme="majorEastAsia"/>
          <w:b w:val="0"/>
          <w:bCs w:val="0"/>
        </w:rPr>
        <w:t>, K., Omprakash, A. V., Premavalli, K., Pandian, C., &amp; Churchil, R. R. (2014).</w:t>
      </w:r>
      <w:r w:rsidRPr="008C58FF">
        <w:t xml:space="preserve"> Effect of multi-enzyme on production performance and carcass traits of Nandanam Broiler-2 chickens. </w:t>
      </w:r>
      <w:r w:rsidRPr="008C58FF">
        <w:rPr>
          <w:rStyle w:val="Emphasis"/>
          <w:rFonts w:eastAsiaTheme="majorEastAsia"/>
        </w:rPr>
        <w:t>Indian Journal of Veterinary and Animal Sciences Research, 43</w:t>
      </w:r>
      <w:r w:rsidRPr="008C58FF">
        <w:t>(1), 28–32.</w:t>
      </w:r>
    </w:p>
    <w:p w14:paraId="68BA5428" w14:textId="77777777" w:rsidR="00C7680B" w:rsidRPr="008C58FF" w:rsidRDefault="00C7680B" w:rsidP="00C14F65">
      <w:pPr>
        <w:pStyle w:val="BodyText"/>
        <w:spacing w:line="360" w:lineRule="auto"/>
        <w:ind w:left="567" w:right="178" w:hanging="567"/>
        <w:jc w:val="both"/>
      </w:pPr>
      <w:r w:rsidRPr="008C58FF">
        <w:t>Snedecor, G.W. and W.G. Cochran, 1990. Statistical methods. 8th Ed. Iowa State University Press, Ames, Iowa, USA.</w:t>
      </w:r>
    </w:p>
    <w:p w14:paraId="4F3B6895"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Victor, M., M.M. Caven, B.M. Tumisang and M. Godfrey, 2022. Prospects of dietary seaweeds and their bioactive compounds in sustainable poultry production systems: A symphony of good things? </w:t>
      </w:r>
      <w:r w:rsidRPr="008C58FF">
        <w:rPr>
          <w:i/>
          <w:iCs/>
          <w:color w:val="0D0D0D"/>
        </w:rPr>
        <w:t>Front. Anim. Sci.</w:t>
      </w:r>
      <w:r w:rsidRPr="008C58FF">
        <w:rPr>
          <w:color w:val="0D0D0D"/>
        </w:rPr>
        <w:t xml:space="preserve"> </w:t>
      </w:r>
      <w:r w:rsidRPr="008C58FF">
        <w:rPr>
          <w:b/>
          <w:bCs/>
          <w:color w:val="0D0D0D"/>
        </w:rPr>
        <w:t>3</w:t>
      </w:r>
      <w:r w:rsidRPr="008C58FF">
        <w:rPr>
          <w:color w:val="0D0D0D"/>
        </w:rPr>
        <w:t>: 998042.</w:t>
      </w:r>
    </w:p>
    <w:p w14:paraId="06F305C4" w14:textId="77777777" w:rsidR="001E7C89" w:rsidRDefault="001E7C89" w:rsidP="001E7C89">
      <w:pPr>
        <w:tabs>
          <w:tab w:val="left" w:pos="1402"/>
          <w:tab w:val="center" w:pos="4898"/>
        </w:tabs>
        <w:spacing w:after="0" w:line="360" w:lineRule="auto"/>
        <w:ind w:left="0"/>
        <w:jc w:val="left"/>
        <w:rPr>
          <w:rFonts w:ascii="Times New Roman" w:hAnsi="Times New Roman" w:cs="Times New Roman"/>
          <w:sz w:val="24"/>
          <w:szCs w:val="24"/>
          <w:lang w:val="en-US"/>
        </w:rPr>
      </w:pPr>
    </w:p>
    <w:p w14:paraId="05CFA2FB" w14:textId="38F74301" w:rsidR="001E7C89" w:rsidRDefault="001E7C89" w:rsidP="00C14F65">
      <w:pPr>
        <w:pStyle w:val="BodyText"/>
        <w:spacing w:line="360" w:lineRule="auto"/>
        <w:ind w:left="567" w:right="178" w:hanging="567"/>
        <w:rPr>
          <w:color w:val="0D0D0D"/>
        </w:rPr>
      </w:pPr>
    </w:p>
    <w:p w14:paraId="2BB6F509" w14:textId="77777777" w:rsidR="00C14F65" w:rsidRDefault="00C14F65" w:rsidP="00C14F65">
      <w:pPr>
        <w:pStyle w:val="BodyText"/>
        <w:spacing w:line="360" w:lineRule="auto"/>
        <w:ind w:left="567" w:right="178" w:hanging="567"/>
        <w:rPr>
          <w:color w:val="0D0D0D"/>
        </w:rPr>
      </w:pPr>
    </w:p>
    <w:p w14:paraId="1EDDEBD4" w14:textId="09AC2292" w:rsidR="00C14F65" w:rsidRPr="00C14F65" w:rsidRDefault="00C14F65" w:rsidP="00C14F65">
      <w:pPr>
        <w:pStyle w:val="BodyText"/>
        <w:spacing w:line="360" w:lineRule="auto"/>
        <w:ind w:left="567" w:right="178" w:hanging="567"/>
        <w:rPr>
          <w:color w:val="0D0D0D"/>
        </w:rPr>
        <w:sectPr w:rsidR="00C14F65" w:rsidRPr="00C14F65" w:rsidSect="00CE08AF">
          <w:headerReference w:type="even" r:id="rId12"/>
          <w:headerReference w:type="default" r:id="rId13"/>
          <w:footerReference w:type="even" r:id="rId14"/>
          <w:footerReference w:type="default" r:id="rId15"/>
          <w:headerReference w:type="first" r:id="rId16"/>
          <w:footerReference w:type="first" r:id="rId17"/>
          <w:pgSz w:w="11910" w:h="16840" w:code="9"/>
          <w:pgMar w:top="1411" w:right="1411" w:bottom="1411" w:left="1411" w:header="720" w:footer="720" w:gutter="0"/>
          <w:cols w:space="708"/>
          <w:docGrid w:linePitch="299"/>
        </w:sectPr>
      </w:pPr>
    </w:p>
    <w:p w14:paraId="1C595D70" w14:textId="60874B4B" w:rsidR="00611AF0" w:rsidRPr="008C58FF" w:rsidRDefault="00611AF0" w:rsidP="0022011E">
      <w:pPr>
        <w:widowControl w:val="0"/>
        <w:autoSpaceDE w:val="0"/>
        <w:autoSpaceDN w:val="0"/>
        <w:spacing w:after="0" w:line="360" w:lineRule="auto"/>
        <w:ind w:left="0"/>
        <w:jc w:val="both"/>
        <w:rPr>
          <w:rFonts w:ascii="Times New Roman" w:eastAsia="Times New Roman" w:hAnsi="Times New Roman" w:cs="Times New Roman"/>
          <w:b/>
          <w:bCs/>
          <w:color w:val="000000"/>
          <w:kern w:val="0"/>
          <w:sz w:val="24"/>
          <w:szCs w:val="24"/>
          <w:lang w:val="en-US" w:eastAsia="en-IN"/>
          <w14:ligatures w14:val="none"/>
        </w:rPr>
      </w:pPr>
      <w:r w:rsidRPr="008C58FF">
        <w:rPr>
          <w:rFonts w:ascii="Times New Roman" w:eastAsia="Times New Roman" w:hAnsi="Times New Roman" w:cs="Times New Roman"/>
          <w:b/>
          <w:kern w:val="0"/>
          <w:sz w:val="24"/>
          <w:szCs w:val="24"/>
          <w14:ligatures w14:val="none"/>
        </w:rPr>
        <w:lastRenderedPageBreak/>
        <w:t xml:space="preserve">Table </w:t>
      </w:r>
      <w:r w:rsidR="00FF4BDF" w:rsidRPr="008C58FF">
        <w:rPr>
          <w:rFonts w:ascii="Times New Roman" w:eastAsia="Times New Roman" w:hAnsi="Times New Roman" w:cs="Times New Roman"/>
          <w:b/>
          <w:kern w:val="0"/>
          <w:sz w:val="24"/>
          <w:szCs w:val="24"/>
          <w14:ligatures w14:val="none"/>
        </w:rPr>
        <w:t>1</w:t>
      </w:r>
      <w:r w:rsidRPr="008C58FF">
        <w:rPr>
          <w:rFonts w:ascii="Times New Roman" w:eastAsia="Times New Roman" w:hAnsi="Times New Roman" w:cs="Times New Roman"/>
          <w:b/>
          <w:kern w:val="0"/>
          <w:sz w:val="24"/>
          <w:szCs w:val="24"/>
          <w14:ligatures w14:val="none"/>
        </w:rPr>
        <w:t xml:space="preserve"> </w:t>
      </w:r>
      <w:r w:rsidR="00FF4BDF" w:rsidRPr="008C58FF">
        <w:rPr>
          <w:rFonts w:ascii="Times New Roman" w:eastAsia="Times New Roman" w:hAnsi="Times New Roman" w:cs="Times New Roman"/>
          <w:b/>
          <w:bCs/>
          <w:color w:val="000000"/>
          <w:kern w:val="0"/>
          <w:sz w:val="24"/>
          <w:szCs w:val="24"/>
          <w:lang w:val="en-US" w:eastAsia="en-IN"/>
          <w14:ligatures w14:val="none"/>
        </w:rPr>
        <w:t>Physical and chemical</w:t>
      </w:r>
      <w:r w:rsidRPr="008C58FF">
        <w:rPr>
          <w:rFonts w:ascii="Times New Roman" w:eastAsia="Times New Roman" w:hAnsi="Times New Roman" w:cs="Times New Roman"/>
          <w:b/>
          <w:bCs/>
          <w:color w:val="000000"/>
          <w:kern w:val="0"/>
          <w:sz w:val="24"/>
          <w:szCs w:val="24"/>
          <w:lang w:val="en-US" w:eastAsia="en-IN"/>
          <w14:ligatures w14:val="none"/>
        </w:rPr>
        <w:t xml:space="preserve"> composition of experimental diets (dry matter basis)</w:t>
      </w:r>
    </w:p>
    <w:tbl>
      <w:tblPr>
        <w:tblW w:w="1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014"/>
        <w:gridCol w:w="1013"/>
        <w:gridCol w:w="1013"/>
        <w:gridCol w:w="931"/>
        <w:gridCol w:w="931"/>
        <w:gridCol w:w="931"/>
        <w:gridCol w:w="990"/>
        <w:gridCol w:w="990"/>
        <w:gridCol w:w="931"/>
        <w:gridCol w:w="931"/>
        <w:gridCol w:w="931"/>
        <w:gridCol w:w="931"/>
      </w:tblGrid>
      <w:tr w:rsidR="00611AF0" w:rsidRPr="008C58FF" w14:paraId="4CF33EC7" w14:textId="77777777" w:rsidTr="00FF4BDF">
        <w:trPr>
          <w:trHeight w:val="312"/>
          <w:jc w:val="center"/>
        </w:trPr>
        <w:tc>
          <w:tcPr>
            <w:tcW w:w="2123" w:type="dxa"/>
            <w:vMerge w:val="restart"/>
            <w:tcBorders>
              <w:top w:val="single" w:sz="4" w:space="0" w:color="auto"/>
              <w:left w:val="single" w:sz="4" w:space="0" w:color="auto"/>
              <w:bottom w:val="single" w:sz="4" w:space="0" w:color="auto"/>
              <w:right w:val="single" w:sz="4" w:space="0" w:color="auto"/>
            </w:tcBorders>
            <w:noWrap/>
            <w:vAlign w:val="center"/>
            <w:hideMark/>
          </w:tcPr>
          <w:p w14:paraId="2B62452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Ingredients/</w:t>
            </w:r>
          </w:p>
          <w:p w14:paraId="74042DE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Supplements</w:t>
            </w:r>
          </w:p>
        </w:tc>
        <w:tc>
          <w:tcPr>
            <w:tcW w:w="3971" w:type="dxa"/>
            <w:gridSpan w:val="4"/>
            <w:tcBorders>
              <w:top w:val="single" w:sz="4" w:space="0" w:color="auto"/>
              <w:left w:val="single" w:sz="4" w:space="0" w:color="auto"/>
              <w:bottom w:val="single" w:sz="4" w:space="0" w:color="auto"/>
              <w:right w:val="single" w:sz="4" w:space="0" w:color="auto"/>
            </w:tcBorders>
            <w:noWrap/>
            <w:vAlign w:val="center"/>
            <w:hideMark/>
          </w:tcPr>
          <w:p w14:paraId="5F62DCD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Starter (0-7 days)</w:t>
            </w:r>
          </w:p>
        </w:tc>
        <w:tc>
          <w:tcPr>
            <w:tcW w:w="3842" w:type="dxa"/>
            <w:gridSpan w:val="4"/>
            <w:tcBorders>
              <w:top w:val="single" w:sz="4" w:space="0" w:color="auto"/>
              <w:left w:val="single" w:sz="4" w:space="0" w:color="auto"/>
              <w:bottom w:val="single" w:sz="4" w:space="0" w:color="auto"/>
              <w:right w:val="single" w:sz="4" w:space="0" w:color="auto"/>
            </w:tcBorders>
            <w:noWrap/>
            <w:vAlign w:val="center"/>
            <w:hideMark/>
          </w:tcPr>
          <w:p w14:paraId="6EBF657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Grower (8-21 days)</w:t>
            </w:r>
          </w:p>
        </w:tc>
        <w:tc>
          <w:tcPr>
            <w:tcW w:w="3724" w:type="dxa"/>
            <w:gridSpan w:val="4"/>
            <w:tcBorders>
              <w:top w:val="single" w:sz="4" w:space="0" w:color="auto"/>
              <w:left w:val="single" w:sz="4" w:space="0" w:color="auto"/>
              <w:bottom w:val="single" w:sz="4" w:space="0" w:color="auto"/>
              <w:right w:val="single" w:sz="4" w:space="0" w:color="auto"/>
            </w:tcBorders>
            <w:noWrap/>
            <w:vAlign w:val="center"/>
            <w:hideMark/>
          </w:tcPr>
          <w:p w14:paraId="3FA58BD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Finisher (22-35 days)</w:t>
            </w:r>
          </w:p>
        </w:tc>
      </w:tr>
      <w:tr w:rsidR="00611AF0" w:rsidRPr="008C58FF" w14:paraId="3C2254FA" w14:textId="77777777" w:rsidTr="00FF4BDF">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C398D" w14:textId="77777777" w:rsidR="00611AF0" w:rsidRPr="008C58FF" w:rsidRDefault="00611AF0" w:rsidP="0022011E">
            <w:pPr>
              <w:spacing w:after="0" w:line="360" w:lineRule="auto"/>
              <w:ind w:left="0"/>
              <w:rPr>
                <w:rFonts w:ascii="Times New Roman" w:eastAsia="Times New Roman" w:hAnsi="Times New Roman" w:cs="Times New Roman"/>
                <w:b/>
                <w:bCs/>
                <w:color w:val="000000"/>
                <w:kern w:val="0"/>
                <w:lang w:val="en-US" w:eastAsia="en-IN"/>
                <w14:ligatures w14:val="none"/>
              </w:rPr>
            </w:pP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1F8A73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T1  </w:t>
            </w:r>
          </w:p>
          <w:p w14:paraId="0B33F6C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38DCA5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T2  </w:t>
            </w:r>
          </w:p>
          <w:p w14:paraId="519833F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70F363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T3  </w:t>
            </w:r>
          </w:p>
          <w:p w14:paraId="7D9FDCD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8E8A79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T4 </w:t>
            </w:r>
          </w:p>
          <w:p w14:paraId="1071D9D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ABFF24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T1  </w:t>
            </w:r>
          </w:p>
          <w:p w14:paraId="30BED62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42A64E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T2  </w:t>
            </w:r>
          </w:p>
          <w:p w14:paraId="096E618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AA0C0A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T3  </w:t>
            </w:r>
          </w:p>
          <w:p w14:paraId="340A9DA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64E0BB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T4 </w:t>
            </w:r>
          </w:p>
          <w:p w14:paraId="4B2470B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04819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T1  </w:t>
            </w:r>
          </w:p>
          <w:p w14:paraId="57EC02F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43A0B9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T2  </w:t>
            </w:r>
          </w:p>
          <w:p w14:paraId="11DBFF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FDDACC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T3  </w:t>
            </w:r>
          </w:p>
          <w:p w14:paraId="363906A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C2459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T4 </w:t>
            </w:r>
          </w:p>
          <w:p w14:paraId="6BF549E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(4%)</w:t>
            </w:r>
          </w:p>
        </w:tc>
      </w:tr>
      <w:tr w:rsidR="00FF4BDF" w:rsidRPr="008C58FF" w14:paraId="7029B715" w14:textId="77777777" w:rsidTr="006817EB">
        <w:trPr>
          <w:trHeight w:val="312"/>
          <w:jc w:val="center"/>
        </w:trPr>
        <w:tc>
          <w:tcPr>
            <w:tcW w:w="13660" w:type="dxa"/>
            <w:gridSpan w:val="13"/>
            <w:tcBorders>
              <w:top w:val="single" w:sz="4" w:space="0" w:color="auto"/>
              <w:left w:val="single" w:sz="4" w:space="0" w:color="auto"/>
              <w:bottom w:val="single" w:sz="4" w:space="0" w:color="auto"/>
              <w:right w:val="single" w:sz="4" w:space="0" w:color="auto"/>
            </w:tcBorders>
            <w:vAlign w:val="center"/>
          </w:tcPr>
          <w:p w14:paraId="494ED40C" w14:textId="44E4DC0A" w:rsidR="00FF4BDF" w:rsidRPr="008C58FF" w:rsidRDefault="00FF4BDF" w:rsidP="0022011E">
            <w:pPr>
              <w:widowControl w:val="0"/>
              <w:autoSpaceDE w:val="0"/>
              <w:autoSpaceDN w:val="0"/>
              <w:spacing w:after="0" w:line="360" w:lineRule="auto"/>
              <w:ind w:left="0"/>
              <w:jc w:val="both"/>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Physical composition</w:t>
            </w:r>
          </w:p>
        </w:tc>
      </w:tr>
      <w:tr w:rsidR="00611AF0" w:rsidRPr="008C58FF" w14:paraId="048B368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0C22DE1B"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Maize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30AF58C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47.00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1ED68C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46.10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BD9E47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45.60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1DEC2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45.00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3F9DFA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51.20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406B03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49.70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A2E29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48.70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6DB353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46.30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96272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53.90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5699DC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53.40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D77AA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52.20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88D62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50.39</w:t>
            </w:r>
          </w:p>
        </w:tc>
      </w:tr>
      <w:tr w:rsidR="00611AF0" w:rsidRPr="008C58FF" w14:paraId="40193C1A"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6BB6EB7F"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Sea Weed</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37551E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26D42B5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48F7E5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EE083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BD626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1749C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B1263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13E47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A30BD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DA96B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ED5250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1FB488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r>
      <w:tr w:rsidR="00611AF0" w:rsidRPr="008C58FF" w14:paraId="49CD208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232396FA"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Vegetable oil</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2763AD0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5.80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5F1552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5.90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65BDBA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D06A1D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5.80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27C48F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090A7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6.10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E3816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6.20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0E7FDC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6.50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00497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0FF3B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4065D7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6.40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33CAD3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6.60</w:t>
            </w:r>
          </w:p>
        </w:tc>
      </w:tr>
      <w:tr w:rsidR="00611AF0" w:rsidRPr="008C58FF" w14:paraId="3D3BFFF7"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5D65617D"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Deoiled Rice Bran</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559DAB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3.20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328844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3.20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4689EC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C9FBDC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3FC5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2.99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48E22A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3.50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BD561F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3.70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1B80F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4.24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2F6D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C953F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B790C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13A1B7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r>
      <w:tr w:rsidR="00611AF0" w:rsidRPr="008C58FF" w14:paraId="6D947134"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41D783DE"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Soyabean OC</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3EAAD0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39.19</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CFC7CB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38.99</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D4897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38.79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E4082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38.40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B18B40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35.10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DC03D4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34.89</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2FC801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34.59</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BCA2F4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6853AA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27A31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BA83FF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30.70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0AB7AD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30.20</w:t>
            </w:r>
          </w:p>
        </w:tc>
      </w:tr>
      <w:tr w:rsidR="00611AF0" w:rsidRPr="008C58FF" w14:paraId="712C51FD"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2C7D5B1"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Calcite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775DE69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864932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56E776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9E8107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6CBD7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523C7D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8B7600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DEC826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528AC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AA3797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C78B84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417B8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r>
      <w:tr w:rsidR="00611AF0" w:rsidRPr="008C58FF" w14:paraId="3D8B087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4C524B59"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DCP</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C2179A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B452A8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277E3B1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AEA3E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6D36D2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80F318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9EC09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F30489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5EBDB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A04FD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2501A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BDC71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r>
      <w:tr w:rsidR="00611AF0" w:rsidRPr="008C58FF" w14:paraId="7C057BE2"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19D04134"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Salt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56233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35B6D5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57D369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FA3C58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8DD85E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66380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D7F060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D16426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FF6FA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6AE62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B0D595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A2A18C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r>
      <w:tr w:rsidR="00611AF0" w:rsidRPr="008C58FF" w14:paraId="19C3A29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96E7506"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Lysine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8C64F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2E0AF07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4B8B63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D3233E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9FE882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4BAFD0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48A488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80DC32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304940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1AF706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7767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9C5867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r>
      <w:tr w:rsidR="00611AF0" w:rsidRPr="008C58FF" w14:paraId="113FE88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0140AF1B"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Methionine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298A602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C97544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4889E7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83410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06F8CD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7AFA7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2E738F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B821D9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9B7432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6996DF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71C7B5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AB5887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r>
      <w:tr w:rsidR="00611AF0" w:rsidRPr="008C58FF" w14:paraId="023DCEE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5BC7A96D"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kern w:val="0"/>
                <w:lang w:val="en-US"/>
                <w14:ligatures w14:val="none"/>
              </w:rPr>
              <w:t>Ultravit</w:t>
            </w:r>
            <w:r w:rsidRPr="008C58FF">
              <w:rPr>
                <w:rFonts w:ascii="Times New Roman" w:eastAsia="Arial MT" w:hAnsi="Times New Roman" w:cs="Times New Roman"/>
                <w:bCs/>
                <w:spacing w:val="-1"/>
                <w:kern w:val="0"/>
                <w:lang w:val="en-US"/>
                <w14:ligatures w14:val="none"/>
              </w:rPr>
              <w:t xml:space="preserve"> </w:t>
            </w:r>
            <w:r w:rsidRPr="008C58FF">
              <w:rPr>
                <w:rFonts w:ascii="Times New Roman" w:eastAsia="Arial MT" w:hAnsi="Times New Roman" w:cs="Times New Roman"/>
                <w:bCs/>
                <w:kern w:val="0"/>
                <w:lang w:val="en-US"/>
                <w14:ligatures w14:val="none"/>
              </w:rPr>
              <w:t>-M</w:t>
            </w:r>
            <w:r w:rsidRPr="008C58FF">
              <w:rPr>
                <w:rFonts w:ascii="Times New Roman" w:eastAsia="Arial MT" w:hAnsi="Times New Roman" w:cs="Times New Roman"/>
                <w:bCs/>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5BBB18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C95AC2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4FB466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6C8307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8F7F94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C24086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D62C31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0E400C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5FDE8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8CA37E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0CF431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4E206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r>
      <w:tr w:rsidR="00611AF0" w:rsidRPr="008C58FF" w14:paraId="6D57019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1836882D"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spacing w:val="-2"/>
                <w:kern w:val="0"/>
                <w:lang w:val="en-US"/>
                <w14:ligatures w14:val="none"/>
              </w:rPr>
              <w:t>Cosmodot</w:t>
            </w:r>
            <w:bookmarkStart w:id="3" w:name="_GoBack"/>
            <w:r w:rsidRPr="008C58FF">
              <w:rPr>
                <w:rFonts w:ascii="Times New Roman" w:eastAsia="Arial MT" w:hAnsi="Times New Roman" w:cs="Times New Roman"/>
                <w:bCs/>
                <w:spacing w:val="-2"/>
                <w:kern w:val="0"/>
                <w:vertAlign w:val="superscript"/>
                <w:lang w:val="en-US"/>
                <w14:ligatures w14:val="none"/>
              </w:rPr>
              <w:t>@</w:t>
            </w:r>
            <w:bookmarkEnd w:id="3"/>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7F12D22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016298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D43A21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6AD3C5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EF0D17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7A07F6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34341B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3DF4E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1E85A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9DCD81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5A08C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110674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7660E3ED"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3DE49576"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spacing w:val="-2"/>
                <w:kern w:val="0"/>
                <w:lang w:val="pt-BR"/>
                <w14:ligatures w14:val="none"/>
              </w:rPr>
              <w:t>Ultrasil</w:t>
            </w:r>
            <w:r w:rsidRPr="008C58FF">
              <w:rPr>
                <w:rFonts w:ascii="Times New Roman" w:eastAsia="Arial MT" w:hAnsi="Times New Roman" w:cs="Times New Roman"/>
                <w:bCs/>
                <w:spacing w:val="-2"/>
                <w:kern w:val="0"/>
                <w:vertAlign w:val="superscript"/>
                <w:lang w:val="pt-BR"/>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546974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026363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4FBABE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5FDE24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DDC81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25199C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846FE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C6F01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8F5EBF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D6B1AE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0F31F0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F9272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57EE9D21"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E150197"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kern w:val="0"/>
                <w:lang w:val="en-US"/>
                <w14:ligatures w14:val="none"/>
              </w:rPr>
              <w:t>Spectra</w:t>
            </w:r>
            <w:r w:rsidRPr="008C58FF">
              <w:rPr>
                <w:rFonts w:ascii="Times New Roman" w:eastAsia="Arial MT" w:hAnsi="Times New Roman" w:cs="Times New Roman"/>
                <w:bCs/>
                <w:spacing w:val="-4"/>
                <w:kern w:val="0"/>
                <w:lang w:val="en-US"/>
                <w14:ligatures w14:val="none"/>
              </w:rPr>
              <w:t xml:space="preserve"> </w:t>
            </w:r>
            <w:r w:rsidRPr="008C58FF">
              <w:rPr>
                <w:rFonts w:ascii="Times New Roman" w:eastAsia="Arial MT" w:hAnsi="Times New Roman" w:cs="Times New Roman"/>
                <w:bCs/>
                <w:kern w:val="0"/>
                <w:lang w:val="en-US"/>
                <w14:ligatures w14:val="none"/>
              </w:rPr>
              <w:t>DFM</w:t>
            </w:r>
            <w:r w:rsidRPr="008C58FF">
              <w:rPr>
                <w:rFonts w:ascii="Times New Roman" w:eastAsia="Arial MT" w:hAnsi="Times New Roman" w:cs="Times New Roman"/>
                <w:bCs/>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6EAFFD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066541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0B4E6E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70AD8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626517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710110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E6B233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F33131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56FCA2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CAACC2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F66BE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3A40F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6C13FE74"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80EF139"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spacing w:val="-2"/>
                <w:kern w:val="0"/>
                <w:lang w:val="en-US"/>
                <w14:ligatures w14:val="none"/>
              </w:rPr>
              <w:t>Vitroliv</w:t>
            </w:r>
            <w:r w:rsidRPr="008C58FF">
              <w:rPr>
                <w:rFonts w:ascii="Times New Roman" w:eastAsia="Arial MT" w:hAnsi="Times New Roman" w:cs="Times New Roman"/>
                <w:bCs/>
                <w:spacing w:val="-2"/>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704909A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D04EFF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176A08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F97E6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47274E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5FBBE8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5C8F72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9BDFF7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8FE347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B2FE1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6E2E43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959260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59A69F8F"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56159F5A"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Endox-T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68F193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AC7EEF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32716E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DA5827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18AE91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91C294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868B5E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1642D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50F249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0FBCA0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682ADF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E5979E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r>
      <w:tr w:rsidR="00611AF0" w:rsidRPr="008C58FF" w14:paraId="41DAA6D6"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68440877"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Lyso forte extend</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5059D1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36754D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E2F8B4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0FE4F2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7302FE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EAAF12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EF380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EA1F5F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6650FD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1D9D8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30DF2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AEE450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4905330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C3F274C"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Acifed</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D37A5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509D6B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57E11C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07CD21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F948B4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AF20B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9870B8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CD3493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AB80E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E7D7FF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FA3740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CA74B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6DA6DA20"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678316EA"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lastRenderedPageBreak/>
              <w:t>Total</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2B12EF8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07B72F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AF7648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D831E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3FE96C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8EB047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B164D1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197AC9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C4084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57E37D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631840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4A3740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r>
      <w:tr w:rsidR="00FF4BDF" w:rsidRPr="008C58FF" w14:paraId="480F504C" w14:textId="77777777" w:rsidTr="00FF4BDF">
        <w:trPr>
          <w:trHeight w:val="312"/>
          <w:jc w:val="center"/>
        </w:trPr>
        <w:tc>
          <w:tcPr>
            <w:tcW w:w="13660" w:type="dxa"/>
            <w:gridSpan w:val="13"/>
            <w:tcBorders>
              <w:top w:val="single" w:sz="4" w:space="0" w:color="auto"/>
              <w:left w:val="single" w:sz="4" w:space="0" w:color="auto"/>
              <w:bottom w:val="single" w:sz="4" w:space="0" w:color="auto"/>
              <w:right w:val="single" w:sz="4" w:space="0" w:color="auto"/>
            </w:tcBorders>
            <w:noWrap/>
            <w:vAlign w:val="center"/>
          </w:tcPr>
          <w:p w14:paraId="0A1E50D2" w14:textId="0F56959C" w:rsidR="00FF4BDF" w:rsidRPr="008C58FF" w:rsidRDefault="00FF4BDF" w:rsidP="0022011E">
            <w:pPr>
              <w:widowControl w:val="0"/>
              <w:autoSpaceDE w:val="0"/>
              <w:autoSpaceDN w:val="0"/>
              <w:spacing w:after="0" w:line="360" w:lineRule="auto"/>
              <w:ind w:left="0"/>
              <w:jc w:val="both"/>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Chemical composition (Calculated values)</w:t>
            </w:r>
          </w:p>
        </w:tc>
      </w:tr>
      <w:tr w:rsidR="00FF4BDF" w:rsidRPr="008C58FF" w14:paraId="2017257B"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274C74D5" w14:textId="3B99EB57" w:rsidR="00FF4BDF" w:rsidRPr="008C58FF" w:rsidRDefault="00FF4BDF"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ME (Kcal/kg)</w:t>
            </w:r>
          </w:p>
        </w:tc>
        <w:tc>
          <w:tcPr>
            <w:tcW w:w="1014" w:type="dxa"/>
            <w:tcBorders>
              <w:top w:val="single" w:sz="4" w:space="0" w:color="auto"/>
              <w:left w:val="single" w:sz="4" w:space="0" w:color="auto"/>
              <w:bottom w:val="single" w:sz="4" w:space="0" w:color="auto"/>
              <w:right w:val="single" w:sz="4" w:space="0" w:color="auto"/>
            </w:tcBorders>
            <w:noWrap/>
            <w:vAlign w:val="center"/>
          </w:tcPr>
          <w:p w14:paraId="3B2ACF98" w14:textId="1AE64CCA"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3000.78</w:t>
            </w:r>
          </w:p>
        </w:tc>
        <w:tc>
          <w:tcPr>
            <w:tcW w:w="1013" w:type="dxa"/>
            <w:tcBorders>
              <w:top w:val="single" w:sz="4" w:space="0" w:color="auto"/>
              <w:left w:val="single" w:sz="4" w:space="0" w:color="auto"/>
              <w:bottom w:val="single" w:sz="4" w:space="0" w:color="auto"/>
              <w:right w:val="single" w:sz="4" w:space="0" w:color="auto"/>
            </w:tcBorders>
            <w:noWrap/>
            <w:vAlign w:val="center"/>
          </w:tcPr>
          <w:p w14:paraId="746AC73E" w14:textId="101C8F3E"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3002.40</w:t>
            </w:r>
          </w:p>
        </w:tc>
        <w:tc>
          <w:tcPr>
            <w:tcW w:w="1013" w:type="dxa"/>
            <w:tcBorders>
              <w:top w:val="single" w:sz="4" w:space="0" w:color="auto"/>
              <w:left w:val="single" w:sz="4" w:space="0" w:color="auto"/>
              <w:bottom w:val="single" w:sz="4" w:space="0" w:color="auto"/>
              <w:right w:val="single" w:sz="4" w:space="0" w:color="auto"/>
            </w:tcBorders>
            <w:noWrap/>
            <w:vAlign w:val="center"/>
          </w:tcPr>
          <w:p w14:paraId="3F6A8B3C" w14:textId="32AFF74B"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3003.02</w:t>
            </w:r>
          </w:p>
        </w:tc>
        <w:tc>
          <w:tcPr>
            <w:tcW w:w="931" w:type="dxa"/>
            <w:tcBorders>
              <w:top w:val="single" w:sz="4" w:space="0" w:color="auto"/>
              <w:left w:val="single" w:sz="4" w:space="0" w:color="auto"/>
              <w:bottom w:val="single" w:sz="4" w:space="0" w:color="auto"/>
              <w:right w:val="single" w:sz="4" w:space="0" w:color="auto"/>
            </w:tcBorders>
            <w:noWrap/>
            <w:vAlign w:val="center"/>
          </w:tcPr>
          <w:p w14:paraId="756C646B" w14:textId="23AED3CF"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3002.40</w:t>
            </w:r>
          </w:p>
        </w:tc>
        <w:tc>
          <w:tcPr>
            <w:tcW w:w="931" w:type="dxa"/>
            <w:tcBorders>
              <w:top w:val="single" w:sz="4" w:space="0" w:color="auto"/>
              <w:left w:val="single" w:sz="4" w:space="0" w:color="auto"/>
              <w:bottom w:val="single" w:sz="4" w:space="0" w:color="auto"/>
              <w:right w:val="single" w:sz="4" w:space="0" w:color="auto"/>
            </w:tcBorders>
            <w:noWrap/>
            <w:vAlign w:val="center"/>
          </w:tcPr>
          <w:p w14:paraId="5A556517" w14:textId="050084B2"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3052.37</w:t>
            </w:r>
          </w:p>
        </w:tc>
        <w:tc>
          <w:tcPr>
            <w:tcW w:w="931" w:type="dxa"/>
            <w:tcBorders>
              <w:top w:val="single" w:sz="4" w:space="0" w:color="auto"/>
              <w:left w:val="single" w:sz="4" w:space="0" w:color="auto"/>
              <w:bottom w:val="single" w:sz="4" w:space="0" w:color="auto"/>
              <w:right w:val="single" w:sz="4" w:space="0" w:color="auto"/>
            </w:tcBorders>
            <w:noWrap/>
            <w:vAlign w:val="center"/>
          </w:tcPr>
          <w:p w14:paraId="191405E4" w14:textId="7FEF41A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3051.95</w:t>
            </w:r>
          </w:p>
        </w:tc>
        <w:tc>
          <w:tcPr>
            <w:tcW w:w="990" w:type="dxa"/>
            <w:tcBorders>
              <w:top w:val="single" w:sz="4" w:space="0" w:color="auto"/>
              <w:left w:val="single" w:sz="4" w:space="0" w:color="auto"/>
              <w:bottom w:val="single" w:sz="4" w:space="0" w:color="auto"/>
              <w:right w:val="single" w:sz="4" w:space="0" w:color="auto"/>
            </w:tcBorders>
            <w:noWrap/>
            <w:vAlign w:val="center"/>
          </w:tcPr>
          <w:p w14:paraId="3032A9D6" w14:textId="18B5BAB2"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3051.62</w:t>
            </w:r>
          </w:p>
        </w:tc>
        <w:tc>
          <w:tcPr>
            <w:tcW w:w="990" w:type="dxa"/>
            <w:tcBorders>
              <w:top w:val="single" w:sz="4" w:space="0" w:color="auto"/>
              <w:left w:val="single" w:sz="4" w:space="0" w:color="auto"/>
              <w:bottom w:val="single" w:sz="4" w:space="0" w:color="auto"/>
              <w:right w:val="single" w:sz="4" w:space="0" w:color="auto"/>
            </w:tcBorders>
            <w:noWrap/>
            <w:vAlign w:val="center"/>
          </w:tcPr>
          <w:p w14:paraId="22AA3E73" w14:textId="0EC80639"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3051.55</w:t>
            </w:r>
          </w:p>
        </w:tc>
        <w:tc>
          <w:tcPr>
            <w:tcW w:w="931" w:type="dxa"/>
            <w:tcBorders>
              <w:top w:val="single" w:sz="4" w:space="0" w:color="auto"/>
              <w:left w:val="single" w:sz="4" w:space="0" w:color="auto"/>
              <w:bottom w:val="single" w:sz="4" w:space="0" w:color="auto"/>
              <w:right w:val="single" w:sz="4" w:space="0" w:color="auto"/>
            </w:tcBorders>
            <w:noWrap/>
            <w:vAlign w:val="center"/>
          </w:tcPr>
          <w:p w14:paraId="782A9518" w14:textId="2AA37E18"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3102.87</w:t>
            </w:r>
          </w:p>
        </w:tc>
        <w:tc>
          <w:tcPr>
            <w:tcW w:w="931" w:type="dxa"/>
            <w:tcBorders>
              <w:top w:val="single" w:sz="4" w:space="0" w:color="auto"/>
              <w:left w:val="single" w:sz="4" w:space="0" w:color="auto"/>
              <w:bottom w:val="single" w:sz="4" w:space="0" w:color="auto"/>
              <w:right w:val="single" w:sz="4" w:space="0" w:color="auto"/>
            </w:tcBorders>
            <w:noWrap/>
            <w:vAlign w:val="center"/>
          </w:tcPr>
          <w:p w14:paraId="14A6B953" w14:textId="5D2919D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3103.94</w:t>
            </w:r>
          </w:p>
        </w:tc>
        <w:tc>
          <w:tcPr>
            <w:tcW w:w="931" w:type="dxa"/>
            <w:tcBorders>
              <w:top w:val="single" w:sz="4" w:space="0" w:color="auto"/>
              <w:left w:val="single" w:sz="4" w:space="0" w:color="auto"/>
              <w:bottom w:val="single" w:sz="4" w:space="0" w:color="auto"/>
              <w:right w:val="single" w:sz="4" w:space="0" w:color="auto"/>
            </w:tcBorders>
            <w:noWrap/>
            <w:vAlign w:val="center"/>
          </w:tcPr>
          <w:p w14:paraId="5B206584" w14:textId="0CD10CA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3100.61</w:t>
            </w:r>
          </w:p>
        </w:tc>
        <w:tc>
          <w:tcPr>
            <w:tcW w:w="931" w:type="dxa"/>
            <w:tcBorders>
              <w:top w:val="single" w:sz="4" w:space="0" w:color="auto"/>
              <w:left w:val="single" w:sz="4" w:space="0" w:color="auto"/>
              <w:bottom w:val="single" w:sz="4" w:space="0" w:color="auto"/>
              <w:right w:val="single" w:sz="4" w:space="0" w:color="auto"/>
            </w:tcBorders>
            <w:noWrap/>
            <w:vAlign w:val="center"/>
          </w:tcPr>
          <w:p w14:paraId="04E353EC" w14:textId="4ADEF0FB"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3103.25</w:t>
            </w:r>
          </w:p>
        </w:tc>
      </w:tr>
      <w:tr w:rsidR="00FF4BDF" w:rsidRPr="008C58FF" w14:paraId="20CA822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300F9DBC" w14:textId="65CF9B42" w:rsidR="00FF4BDF" w:rsidRPr="008C58FF" w:rsidRDefault="00FF4BDF"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CP (%)</w:t>
            </w:r>
          </w:p>
        </w:tc>
        <w:tc>
          <w:tcPr>
            <w:tcW w:w="1014" w:type="dxa"/>
            <w:tcBorders>
              <w:top w:val="single" w:sz="4" w:space="0" w:color="auto"/>
              <w:left w:val="single" w:sz="4" w:space="0" w:color="auto"/>
              <w:bottom w:val="single" w:sz="4" w:space="0" w:color="auto"/>
              <w:right w:val="single" w:sz="4" w:space="0" w:color="auto"/>
            </w:tcBorders>
            <w:noWrap/>
            <w:vAlign w:val="center"/>
          </w:tcPr>
          <w:p w14:paraId="62230D1C" w14:textId="68841727"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22.51</w:t>
            </w:r>
          </w:p>
        </w:tc>
        <w:tc>
          <w:tcPr>
            <w:tcW w:w="1013" w:type="dxa"/>
            <w:tcBorders>
              <w:top w:val="single" w:sz="4" w:space="0" w:color="auto"/>
              <w:left w:val="single" w:sz="4" w:space="0" w:color="auto"/>
              <w:bottom w:val="single" w:sz="4" w:space="0" w:color="auto"/>
              <w:right w:val="single" w:sz="4" w:space="0" w:color="auto"/>
            </w:tcBorders>
            <w:noWrap/>
            <w:vAlign w:val="center"/>
          </w:tcPr>
          <w:p w14:paraId="75BAE6E0" w14:textId="2E792DC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22.52</w:t>
            </w:r>
          </w:p>
        </w:tc>
        <w:tc>
          <w:tcPr>
            <w:tcW w:w="1013" w:type="dxa"/>
            <w:tcBorders>
              <w:top w:val="single" w:sz="4" w:space="0" w:color="auto"/>
              <w:left w:val="single" w:sz="4" w:space="0" w:color="auto"/>
              <w:bottom w:val="single" w:sz="4" w:space="0" w:color="auto"/>
              <w:right w:val="single" w:sz="4" w:space="0" w:color="auto"/>
            </w:tcBorders>
            <w:noWrap/>
            <w:vAlign w:val="center"/>
          </w:tcPr>
          <w:p w14:paraId="1E381B4F" w14:textId="79DCFEE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22.52</w:t>
            </w:r>
          </w:p>
        </w:tc>
        <w:tc>
          <w:tcPr>
            <w:tcW w:w="931" w:type="dxa"/>
            <w:tcBorders>
              <w:top w:val="single" w:sz="4" w:space="0" w:color="auto"/>
              <w:left w:val="single" w:sz="4" w:space="0" w:color="auto"/>
              <w:bottom w:val="single" w:sz="4" w:space="0" w:color="auto"/>
              <w:right w:val="single" w:sz="4" w:space="0" w:color="auto"/>
            </w:tcBorders>
            <w:noWrap/>
            <w:vAlign w:val="center"/>
          </w:tcPr>
          <w:p w14:paraId="697C69F5" w14:textId="2E2AFFAA"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22.50</w:t>
            </w:r>
          </w:p>
        </w:tc>
        <w:tc>
          <w:tcPr>
            <w:tcW w:w="931" w:type="dxa"/>
            <w:tcBorders>
              <w:top w:val="single" w:sz="4" w:space="0" w:color="auto"/>
              <w:left w:val="single" w:sz="4" w:space="0" w:color="auto"/>
              <w:bottom w:val="single" w:sz="4" w:space="0" w:color="auto"/>
              <w:right w:val="single" w:sz="4" w:space="0" w:color="auto"/>
            </w:tcBorders>
            <w:noWrap/>
            <w:vAlign w:val="center"/>
          </w:tcPr>
          <w:p w14:paraId="64F9C80C" w14:textId="429EF56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21.00</w:t>
            </w:r>
          </w:p>
        </w:tc>
        <w:tc>
          <w:tcPr>
            <w:tcW w:w="931" w:type="dxa"/>
            <w:tcBorders>
              <w:top w:val="single" w:sz="4" w:space="0" w:color="auto"/>
              <w:left w:val="single" w:sz="4" w:space="0" w:color="auto"/>
              <w:bottom w:val="single" w:sz="4" w:space="0" w:color="auto"/>
              <w:right w:val="single" w:sz="4" w:space="0" w:color="auto"/>
            </w:tcBorders>
            <w:noWrap/>
            <w:vAlign w:val="center"/>
          </w:tcPr>
          <w:p w14:paraId="5D7C71B7" w14:textId="67391F52"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21.02</w:t>
            </w:r>
          </w:p>
        </w:tc>
        <w:tc>
          <w:tcPr>
            <w:tcW w:w="990" w:type="dxa"/>
            <w:tcBorders>
              <w:top w:val="single" w:sz="4" w:space="0" w:color="auto"/>
              <w:left w:val="single" w:sz="4" w:space="0" w:color="auto"/>
              <w:bottom w:val="single" w:sz="4" w:space="0" w:color="auto"/>
              <w:right w:val="single" w:sz="4" w:space="0" w:color="auto"/>
            </w:tcBorders>
            <w:noWrap/>
            <w:vAlign w:val="center"/>
          </w:tcPr>
          <w:p w14:paraId="0A234EE7" w14:textId="157381C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21.01</w:t>
            </w:r>
          </w:p>
        </w:tc>
        <w:tc>
          <w:tcPr>
            <w:tcW w:w="990" w:type="dxa"/>
            <w:tcBorders>
              <w:top w:val="single" w:sz="4" w:space="0" w:color="auto"/>
              <w:left w:val="single" w:sz="4" w:space="0" w:color="auto"/>
              <w:bottom w:val="single" w:sz="4" w:space="0" w:color="auto"/>
              <w:right w:val="single" w:sz="4" w:space="0" w:color="auto"/>
            </w:tcBorders>
            <w:noWrap/>
            <w:vAlign w:val="center"/>
          </w:tcPr>
          <w:p w14:paraId="0796AA18" w14:textId="0B459159"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21.01</w:t>
            </w:r>
          </w:p>
        </w:tc>
        <w:tc>
          <w:tcPr>
            <w:tcW w:w="931" w:type="dxa"/>
            <w:tcBorders>
              <w:top w:val="single" w:sz="4" w:space="0" w:color="auto"/>
              <w:left w:val="single" w:sz="4" w:space="0" w:color="auto"/>
              <w:bottom w:val="single" w:sz="4" w:space="0" w:color="auto"/>
              <w:right w:val="single" w:sz="4" w:space="0" w:color="auto"/>
            </w:tcBorders>
            <w:noWrap/>
            <w:vAlign w:val="center"/>
          </w:tcPr>
          <w:p w14:paraId="3A081AB5" w14:textId="06E5BAB5"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19.56</w:t>
            </w:r>
          </w:p>
        </w:tc>
        <w:tc>
          <w:tcPr>
            <w:tcW w:w="931" w:type="dxa"/>
            <w:tcBorders>
              <w:top w:val="single" w:sz="4" w:space="0" w:color="auto"/>
              <w:left w:val="single" w:sz="4" w:space="0" w:color="auto"/>
              <w:bottom w:val="single" w:sz="4" w:space="0" w:color="auto"/>
              <w:right w:val="single" w:sz="4" w:space="0" w:color="auto"/>
            </w:tcBorders>
            <w:noWrap/>
            <w:vAlign w:val="center"/>
          </w:tcPr>
          <w:p w14:paraId="63F5703D" w14:textId="36386E2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19.59</w:t>
            </w:r>
          </w:p>
        </w:tc>
        <w:tc>
          <w:tcPr>
            <w:tcW w:w="931" w:type="dxa"/>
            <w:tcBorders>
              <w:top w:val="single" w:sz="4" w:space="0" w:color="auto"/>
              <w:left w:val="single" w:sz="4" w:space="0" w:color="auto"/>
              <w:bottom w:val="single" w:sz="4" w:space="0" w:color="auto"/>
              <w:right w:val="single" w:sz="4" w:space="0" w:color="auto"/>
            </w:tcBorders>
            <w:noWrap/>
            <w:vAlign w:val="center"/>
          </w:tcPr>
          <w:p w14:paraId="59DFAFDF" w14:textId="2DE66AB8"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19.59</w:t>
            </w:r>
          </w:p>
        </w:tc>
        <w:tc>
          <w:tcPr>
            <w:tcW w:w="931" w:type="dxa"/>
            <w:tcBorders>
              <w:top w:val="single" w:sz="4" w:space="0" w:color="auto"/>
              <w:left w:val="single" w:sz="4" w:space="0" w:color="auto"/>
              <w:bottom w:val="single" w:sz="4" w:space="0" w:color="auto"/>
              <w:right w:val="single" w:sz="4" w:space="0" w:color="auto"/>
            </w:tcBorders>
            <w:noWrap/>
            <w:vAlign w:val="center"/>
          </w:tcPr>
          <w:p w14:paraId="756AE470" w14:textId="7B98D02F"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19.57</w:t>
            </w:r>
          </w:p>
        </w:tc>
      </w:tr>
    </w:tbl>
    <w:p w14:paraId="350AF68F" w14:textId="77777777" w:rsidR="00611AF0" w:rsidRPr="008C58FF" w:rsidRDefault="00611AF0" w:rsidP="0022011E">
      <w:pPr>
        <w:widowControl w:val="0"/>
        <w:autoSpaceDE w:val="0"/>
        <w:autoSpaceDN w:val="0"/>
        <w:spacing w:after="0" w:line="360" w:lineRule="auto"/>
        <w:ind w:left="630" w:hanging="1561"/>
        <w:jc w:val="both"/>
        <w:rPr>
          <w:rFonts w:ascii="Times New Roman" w:eastAsia="Times New Roman" w:hAnsi="Times New Roman" w:cs="Times New Roman"/>
          <w:kern w:val="0"/>
          <w:sz w:val="24"/>
          <w:szCs w:val="24"/>
          <w:lang w:val="en-US"/>
          <w14:ligatures w14:val="none"/>
        </w:rPr>
      </w:pPr>
      <w:r w:rsidRPr="008C58FF">
        <w:rPr>
          <w:rFonts w:ascii="Times New Roman" w:eastAsia="Times New Roman" w:hAnsi="Times New Roman" w:cs="Times New Roman"/>
          <w:bCs/>
          <w:kern w:val="0"/>
          <w:sz w:val="24"/>
          <w:szCs w:val="24"/>
          <w:vertAlign w:val="superscript"/>
          <w:lang w:val="en-US"/>
          <w14:ligatures w14:val="none"/>
        </w:rPr>
        <w:t xml:space="preserve">                                           +</w:t>
      </w:r>
      <w:r w:rsidRPr="008C58FF">
        <w:rPr>
          <w:rFonts w:ascii="Times New Roman" w:eastAsia="Times New Roman" w:hAnsi="Times New Roman" w:cs="Times New Roman"/>
          <w:b/>
          <w:kern w:val="0"/>
          <w:sz w:val="24"/>
          <w:szCs w:val="24"/>
          <w:lang w:val="en-US"/>
          <w14:ligatures w14:val="none"/>
        </w:rPr>
        <w:t>Ultravit</w:t>
      </w:r>
      <w:r w:rsidRPr="008C58FF">
        <w:rPr>
          <w:rFonts w:ascii="Times New Roman" w:eastAsia="Times New Roman" w:hAnsi="Times New Roman" w:cs="Times New Roman"/>
          <w:b/>
          <w:spacing w:val="-1"/>
          <w:kern w:val="0"/>
          <w:sz w:val="24"/>
          <w:szCs w:val="24"/>
          <w:lang w:val="en-US"/>
          <w14:ligatures w14:val="none"/>
        </w:rPr>
        <w:t xml:space="preserve"> </w:t>
      </w:r>
      <w:r w:rsidRPr="008C58FF">
        <w:rPr>
          <w:rFonts w:ascii="Times New Roman" w:eastAsia="Times New Roman" w:hAnsi="Times New Roman" w:cs="Times New Roman"/>
          <w:b/>
          <w:kern w:val="0"/>
          <w:sz w:val="24"/>
          <w:szCs w:val="24"/>
          <w:lang w:val="en-US"/>
          <w14:ligatures w14:val="none"/>
        </w:rPr>
        <w:t>-M</w:t>
      </w:r>
      <w:r w:rsidRPr="008C58FF">
        <w:rPr>
          <w:rFonts w:ascii="Times New Roman" w:eastAsia="Times New Roman" w:hAnsi="Times New Roman" w:cs="Times New Roman"/>
          <w:b/>
          <w:spacing w:val="80"/>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w:t>
      </w:r>
      <w:r w:rsidRPr="008C58FF">
        <w:rPr>
          <w:rFonts w:ascii="Times New Roman" w:eastAsia="Times New Roman" w:hAnsi="Times New Roman" w:cs="Times New Roman"/>
          <w:spacing w:val="-8"/>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Each</w:t>
      </w:r>
      <w:r w:rsidRPr="008C58FF">
        <w:rPr>
          <w:rFonts w:ascii="Times New Roman" w:eastAsia="Times New Roman" w:hAnsi="Times New Roman" w:cs="Times New Roman"/>
          <w:spacing w:val="-9"/>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2.5</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kg</w:t>
      </w:r>
      <w:r w:rsidRPr="008C58FF">
        <w:rPr>
          <w:rFonts w:ascii="Times New Roman" w:eastAsia="Times New Roman" w:hAnsi="Times New Roman" w:cs="Times New Roman"/>
          <w:spacing w:val="-9"/>
          <w:kern w:val="0"/>
          <w:sz w:val="24"/>
          <w:szCs w:val="24"/>
          <w:lang w:val="en-US"/>
          <w14:ligatures w14:val="none"/>
        </w:rPr>
        <w:t xml:space="preserve"> of </w:t>
      </w:r>
      <w:r w:rsidRPr="008C58FF">
        <w:rPr>
          <w:rFonts w:ascii="Times New Roman" w:eastAsia="Times New Roman" w:hAnsi="Times New Roman" w:cs="Times New Roman"/>
          <w:kern w:val="0"/>
          <w:sz w:val="24"/>
          <w:szCs w:val="24"/>
          <w:lang w:val="en-US"/>
          <w14:ligatures w14:val="none"/>
        </w:rPr>
        <w:t>Mineral Vitamin premix contains</w:t>
      </w:r>
      <w:r w:rsidRPr="008C58FF">
        <w:rPr>
          <w:rFonts w:ascii="Times New Roman" w:eastAsia="Times New Roman" w:hAnsi="Times New Roman" w:cs="Times New Roman"/>
          <w:spacing w:val="-5"/>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w:t>
      </w:r>
      <w:r w:rsidRPr="008C58FF">
        <w:rPr>
          <w:rFonts w:ascii="Times New Roman" w:eastAsia="Times New Roman" w:hAnsi="Times New Roman" w:cs="Times New Roman"/>
          <w:spacing w:val="-1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 - 1,250,000</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IU,</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D</w:t>
      </w:r>
      <w:r w:rsidRPr="008C58FF">
        <w:rPr>
          <w:rFonts w:ascii="Times New Roman" w:eastAsia="Times New Roman" w:hAnsi="Times New Roman" w:cs="Times New Roman"/>
          <w:kern w:val="0"/>
          <w:sz w:val="24"/>
          <w:szCs w:val="24"/>
          <w:vertAlign w:val="subscript"/>
          <w:lang w:val="en-US"/>
          <w14:ligatures w14:val="none"/>
        </w:rPr>
        <w:t>3</w:t>
      </w:r>
      <w:r w:rsidRPr="008C58FF">
        <w:rPr>
          <w:rFonts w:ascii="Times New Roman" w:eastAsia="Times New Roman" w:hAnsi="Times New Roman" w:cs="Times New Roman"/>
          <w:kern w:val="0"/>
          <w:sz w:val="24"/>
          <w:szCs w:val="24"/>
          <w:lang w:val="en-US"/>
          <w14:ligatures w14:val="none"/>
        </w:rPr>
        <w:t xml:space="preserve"> - 250,000</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IU,</w:t>
      </w:r>
      <w:r w:rsidRPr="008C58FF">
        <w:rPr>
          <w:rFonts w:ascii="Times New Roman" w:eastAsia="Times New Roman" w:hAnsi="Times New Roman" w:cs="Times New Roman"/>
          <w:spacing w:val="-3"/>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1</w:t>
      </w:r>
      <w:r w:rsidRPr="008C58FF">
        <w:rPr>
          <w:rFonts w:ascii="Times New Roman" w:eastAsia="Times New Roman" w:hAnsi="Times New Roman" w:cs="Times New Roman"/>
          <w:kern w:val="0"/>
          <w:sz w:val="24"/>
          <w:szCs w:val="24"/>
          <w:lang w:val="en-US"/>
          <w14:ligatures w14:val="none"/>
        </w:rPr>
        <w:t xml:space="preserve"> - 1g,</w:t>
      </w:r>
      <w:r w:rsidRPr="008C58FF">
        <w:rPr>
          <w:rFonts w:ascii="Times New Roman" w:eastAsia="Times New Roman" w:hAnsi="Times New Roman" w:cs="Times New Roman"/>
          <w:spacing w:val="-7"/>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2</w:t>
      </w:r>
      <w:r w:rsidRPr="008C58FF">
        <w:rPr>
          <w:rFonts w:ascii="Times New Roman" w:eastAsia="Times New Roman" w:hAnsi="Times New Roman" w:cs="Times New Roman"/>
          <w:kern w:val="0"/>
          <w:sz w:val="24"/>
          <w:szCs w:val="24"/>
          <w:lang w:val="en-US"/>
          <w14:ligatures w14:val="none"/>
        </w:rPr>
        <w:t xml:space="preserve"> - 5g,</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6</w:t>
      </w:r>
      <w:r w:rsidRPr="008C58FF">
        <w:rPr>
          <w:rFonts w:ascii="Times New Roman" w:eastAsia="Times New Roman" w:hAnsi="Times New Roman" w:cs="Times New Roman"/>
          <w:kern w:val="0"/>
          <w:sz w:val="24"/>
          <w:szCs w:val="24"/>
          <w:lang w:val="en-US"/>
          <w14:ligatures w14:val="none"/>
        </w:rPr>
        <w:t xml:space="preserve"> - 0.4</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w:t>
      </w:r>
      <w:r w:rsidRPr="008C58FF">
        <w:rPr>
          <w:rFonts w:ascii="Times New Roman" w:eastAsia="Times New Roman" w:hAnsi="Times New Roman" w:cs="Times New Roman"/>
          <w:spacing w:val="-7"/>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12</w:t>
      </w:r>
      <w:r w:rsidRPr="008C58FF">
        <w:rPr>
          <w:rFonts w:ascii="Times New Roman" w:eastAsia="Times New Roman" w:hAnsi="Times New Roman" w:cs="Times New Roman"/>
          <w:kern w:val="0"/>
          <w:sz w:val="24"/>
          <w:szCs w:val="24"/>
          <w:lang w:val="en-US"/>
          <w14:ligatures w14:val="none"/>
        </w:rPr>
        <w:t xml:space="preserve"> - 15mg, Vitamin E - 800 IU, Vitamin K - 2 g, Folic acid - 0.5 g, Niacinamide - 10 g, Calcium d-Pantothenate - 4 g. Minerals:</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Calcium - 450</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Phosphorus - 48</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Copper- 2g,</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Iodine- 2g,</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iron - 20</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 Manganese - 55</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 Zinc - 52 g, Selenium - 0.3 g and Chromium - 0.1 g.</w:t>
      </w:r>
    </w:p>
    <w:p w14:paraId="00A1AC63" w14:textId="77777777" w:rsidR="00611AF0" w:rsidRPr="008C58FF" w:rsidRDefault="00611AF0" w:rsidP="0022011E">
      <w:pPr>
        <w:widowControl w:val="0"/>
        <w:tabs>
          <w:tab w:val="left" w:pos="1761"/>
        </w:tabs>
        <w:autoSpaceDE w:val="0"/>
        <w:autoSpaceDN w:val="0"/>
        <w:spacing w:after="0" w:line="360" w:lineRule="auto"/>
        <w:ind w:left="630"/>
        <w:jc w:val="both"/>
        <w:rPr>
          <w:rFonts w:ascii="Times New Roman" w:eastAsia="Times New Roman" w:hAnsi="Times New Roman" w:cs="Times New Roman"/>
          <w:spacing w:val="-2"/>
          <w:kern w:val="0"/>
          <w:sz w:val="24"/>
          <w:szCs w:val="24"/>
          <w:lang w:val="en-US"/>
          <w14:ligatures w14:val="none"/>
        </w:rPr>
      </w:pPr>
      <w:r w:rsidRPr="008C58FF">
        <w:rPr>
          <w:rFonts w:ascii="Times New Roman" w:eastAsia="Times New Roman" w:hAnsi="Times New Roman" w:cs="Times New Roman"/>
          <w:bCs/>
          <w:spacing w:val="-2"/>
          <w:kern w:val="0"/>
          <w:sz w:val="24"/>
          <w:szCs w:val="24"/>
          <w:vertAlign w:val="superscript"/>
          <w:lang w:val="en-US"/>
          <w14:ligatures w14:val="none"/>
        </w:rPr>
        <w:t>@</w:t>
      </w:r>
      <w:r w:rsidRPr="008C58FF">
        <w:rPr>
          <w:rFonts w:ascii="Times New Roman" w:eastAsia="Times New Roman" w:hAnsi="Times New Roman" w:cs="Times New Roman"/>
          <w:b/>
          <w:spacing w:val="-2"/>
          <w:kern w:val="0"/>
          <w:sz w:val="24"/>
          <w:szCs w:val="24"/>
          <w:lang w:val="en-US"/>
          <w14:ligatures w14:val="none"/>
        </w:rPr>
        <w:t>Cosmodot</w:t>
      </w:r>
      <w:r w:rsidRPr="008C58FF">
        <w:rPr>
          <w:rFonts w:ascii="Times New Roman" w:eastAsia="Times New Roman" w:hAnsi="Times New Roman" w:cs="Times New Roman"/>
          <w:kern w:val="0"/>
          <w:sz w:val="24"/>
          <w:szCs w:val="24"/>
          <w:lang w:val="en-US"/>
          <w14:ligatures w14:val="none"/>
        </w:rPr>
        <w:t>:</w:t>
      </w:r>
      <w:r w:rsidRPr="008C58FF">
        <w:rPr>
          <w:rFonts w:ascii="Times New Roman" w:eastAsia="Times New Roman" w:hAnsi="Times New Roman" w:cs="Times New Roman"/>
          <w:spacing w:val="46"/>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3.5</w:t>
      </w:r>
      <w:r w:rsidRPr="008C58FF">
        <w:rPr>
          <w:rFonts w:ascii="Times New Roman" w:eastAsia="Times New Roman" w:hAnsi="Times New Roman" w:cs="Times New Roman"/>
          <w:spacing w:val="-8"/>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Dinitro-O-Toluamide:</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25%</w:t>
      </w:r>
      <w:r w:rsidRPr="008C58FF">
        <w:rPr>
          <w:rFonts w:ascii="Times New Roman" w:eastAsia="Times New Roman" w:hAnsi="Times New Roman" w:cs="Times New Roman"/>
          <w:spacing w:val="-7"/>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W/W,</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Ethopabate:</w:t>
      </w:r>
      <w:r w:rsidRPr="008C58FF">
        <w:rPr>
          <w:rFonts w:ascii="Times New Roman" w:eastAsia="Times New Roman" w:hAnsi="Times New Roman" w:cs="Times New Roman"/>
          <w:spacing w:val="-8"/>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1.6</w:t>
      </w:r>
      <w:r w:rsidRPr="008C58FF">
        <w:rPr>
          <w:rFonts w:ascii="Times New Roman" w:eastAsia="Times New Roman" w:hAnsi="Times New Roman" w:cs="Times New Roman"/>
          <w:spacing w:val="-9"/>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w:t>
      </w:r>
      <w:r w:rsidRPr="008C58FF">
        <w:rPr>
          <w:rFonts w:ascii="Times New Roman" w:eastAsia="Times New Roman" w:hAnsi="Times New Roman" w:cs="Times New Roman"/>
          <w:spacing w:val="-6"/>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W/W</w:t>
      </w:r>
      <w:r w:rsidRPr="008C58FF">
        <w:rPr>
          <w:rFonts w:ascii="Times New Roman" w:eastAsia="Times New Roman" w:hAnsi="Times New Roman" w:cs="Times New Roman"/>
          <w:spacing w:val="-12"/>
          <w:kern w:val="0"/>
          <w:sz w:val="24"/>
          <w:szCs w:val="24"/>
          <w:lang w:val="en-US"/>
          <w14:ligatures w14:val="none"/>
        </w:rPr>
        <w:t xml:space="preserve"> </w:t>
      </w:r>
      <w:r w:rsidRPr="008C58FF">
        <w:rPr>
          <w:rFonts w:ascii="Times New Roman" w:eastAsia="Times New Roman" w:hAnsi="Times New Roman" w:cs="Times New Roman"/>
          <w:spacing w:val="-2"/>
          <w:kern w:val="0"/>
          <w:sz w:val="24"/>
          <w:szCs w:val="24"/>
          <w:lang w:val="en-US"/>
          <w14:ligatures w14:val="none"/>
        </w:rPr>
        <w:t>(Coccidiostat)</w:t>
      </w:r>
    </w:p>
    <w:p w14:paraId="555EFCAC" w14:textId="77777777" w:rsidR="00611AF0" w:rsidRPr="008C58FF" w:rsidRDefault="00611AF0" w:rsidP="0022011E">
      <w:pPr>
        <w:widowControl w:val="0"/>
        <w:tabs>
          <w:tab w:val="left" w:pos="1795"/>
        </w:tabs>
        <w:autoSpaceDE w:val="0"/>
        <w:autoSpaceDN w:val="0"/>
        <w:spacing w:after="0" w:line="360" w:lineRule="auto"/>
        <w:ind w:left="630"/>
        <w:jc w:val="left"/>
        <w:rPr>
          <w:rFonts w:ascii="Times New Roman" w:eastAsia="Times New Roman" w:hAnsi="Times New Roman" w:cs="Times New Roman"/>
          <w:kern w:val="0"/>
          <w:sz w:val="24"/>
          <w:szCs w:val="24"/>
          <w:lang w:val="en-US"/>
          <w14:ligatures w14:val="none"/>
        </w:rPr>
      </w:pPr>
      <w:r w:rsidRPr="008C58FF">
        <w:rPr>
          <w:rFonts w:ascii="Times New Roman" w:eastAsia="Times New Roman" w:hAnsi="Times New Roman" w:cs="Times New Roman"/>
          <w:bCs/>
          <w:spacing w:val="-2"/>
          <w:kern w:val="0"/>
          <w:sz w:val="24"/>
          <w:szCs w:val="24"/>
          <w:vertAlign w:val="superscript"/>
          <w:lang w:val="en-US"/>
          <w14:ligatures w14:val="none"/>
        </w:rPr>
        <w:t>#</w:t>
      </w:r>
      <w:r w:rsidRPr="008C58FF">
        <w:rPr>
          <w:rFonts w:ascii="Times New Roman" w:eastAsia="Times New Roman" w:hAnsi="Times New Roman" w:cs="Times New Roman"/>
          <w:b/>
          <w:spacing w:val="-2"/>
          <w:kern w:val="0"/>
          <w:sz w:val="24"/>
          <w:szCs w:val="24"/>
          <w:lang w:val="en-US"/>
          <w14:ligatures w14:val="none"/>
        </w:rPr>
        <w:t>Ultrasil</w:t>
      </w:r>
      <w:r w:rsidRPr="008C58FF">
        <w:rPr>
          <w:rFonts w:ascii="Times New Roman" w:eastAsia="Times New Roman" w:hAnsi="Times New Roman" w:cs="Times New Roman"/>
          <w:kern w:val="0"/>
          <w:sz w:val="24"/>
          <w:szCs w:val="24"/>
          <w:lang w:val="en-US"/>
          <w14:ligatures w14:val="none"/>
        </w:rPr>
        <w:t>:</w:t>
      </w:r>
      <w:r w:rsidRPr="008C58FF">
        <w:rPr>
          <w:rFonts w:ascii="Times New Roman" w:eastAsia="Times New Roman" w:hAnsi="Times New Roman" w:cs="Times New Roman"/>
          <w:spacing w:val="30"/>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Aluminosilicates</w:t>
      </w:r>
      <w:r w:rsidRPr="008C58FF">
        <w:rPr>
          <w:rFonts w:ascii="Times New Roman" w:eastAsia="Times New Roman" w:hAnsi="Times New Roman" w:cs="Times New Roman"/>
          <w:spacing w:val="-8"/>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and</w:t>
      </w:r>
      <w:r w:rsidRPr="008C58FF">
        <w:rPr>
          <w:rFonts w:ascii="Times New Roman" w:eastAsia="Times New Roman" w:hAnsi="Times New Roman" w:cs="Times New Roman"/>
          <w:spacing w:val="-6"/>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organic</w:t>
      </w:r>
      <w:r w:rsidRPr="008C58FF">
        <w:rPr>
          <w:rFonts w:ascii="Times New Roman" w:eastAsia="Times New Roman" w:hAnsi="Times New Roman" w:cs="Times New Roman"/>
          <w:spacing w:val="-6"/>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acids</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(Toxin</w:t>
      </w:r>
      <w:r w:rsidRPr="008C58FF">
        <w:rPr>
          <w:rFonts w:ascii="Times New Roman" w:eastAsia="Times New Roman" w:hAnsi="Times New Roman" w:cs="Times New Roman"/>
          <w:spacing w:val="-5"/>
          <w:kern w:val="0"/>
          <w:sz w:val="24"/>
          <w:szCs w:val="24"/>
          <w:lang w:val="en-US"/>
          <w14:ligatures w14:val="none"/>
        </w:rPr>
        <w:t xml:space="preserve"> </w:t>
      </w:r>
      <w:r w:rsidRPr="008C58FF">
        <w:rPr>
          <w:rFonts w:ascii="Times New Roman" w:eastAsia="Times New Roman" w:hAnsi="Times New Roman" w:cs="Times New Roman"/>
          <w:spacing w:val="-2"/>
          <w:kern w:val="0"/>
          <w:sz w:val="24"/>
          <w:szCs w:val="24"/>
          <w:lang w:val="en-US"/>
          <w14:ligatures w14:val="none"/>
        </w:rPr>
        <w:t>binder)</w:t>
      </w:r>
    </w:p>
    <w:p w14:paraId="381040DB" w14:textId="77777777" w:rsidR="00611AF0" w:rsidRPr="008C58FF" w:rsidRDefault="00611AF0" w:rsidP="0022011E">
      <w:pPr>
        <w:widowControl w:val="0"/>
        <w:autoSpaceDE w:val="0"/>
        <w:autoSpaceDN w:val="0"/>
        <w:spacing w:after="0" w:line="360" w:lineRule="auto"/>
        <w:ind w:left="630"/>
        <w:jc w:val="both"/>
        <w:rPr>
          <w:rFonts w:ascii="Times New Roman" w:eastAsia="Arial MT" w:hAnsi="Times New Roman" w:cs="Times New Roman"/>
          <w:kern w:val="0"/>
          <w:sz w:val="24"/>
          <w:szCs w:val="24"/>
          <w:lang w:val="en-US"/>
          <w14:ligatures w14:val="none"/>
        </w:rPr>
      </w:pPr>
      <w:r w:rsidRPr="008C58FF">
        <w:rPr>
          <w:rFonts w:ascii="Times New Roman" w:eastAsia="Arial MT" w:hAnsi="Times New Roman" w:cs="Times New Roman"/>
          <w:bCs/>
          <w:kern w:val="0"/>
          <w:sz w:val="24"/>
          <w:szCs w:val="24"/>
          <w:vertAlign w:val="superscript"/>
          <w:lang w:val="en-US"/>
          <w14:ligatures w14:val="none"/>
        </w:rPr>
        <w:t>$</w:t>
      </w:r>
      <w:r w:rsidRPr="008C58FF">
        <w:rPr>
          <w:rFonts w:ascii="Times New Roman" w:eastAsia="Arial MT" w:hAnsi="Times New Roman" w:cs="Times New Roman"/>
          <w:b/>
          <w:kern w:val="0"/>
          <w:sz w:val="24"/>
          <w:szCs w:val="24"/>
          <w:lang w:val="en-US"/>
          <w14:ligatures w14:val="none"/>
        </w:rPr>
        <w:t>Spectra</w:t>
      </w:r>
      <w:r w:rsidRPr="008C58FF">
        <w:rPr>
          <w:rFonts w:ascii="Times New Roman" w:eastAsia="Arial MT" w:hAnsi="Times New Roman" w:cs="Times New Roman"/>
          <w:b/>
          <w:spacing w:val="-4"/>
          <w:kern w:val="0"/>
          <w:sz w:val="24"/>
          <w:szCs w:val="24"/>
          <w:lang w:val="en-US"/>
          <w14:ligatures w14:val="none"/>
        </w:rPr>
        <w:t xml:space="preserve"> </w:t>
      </w:r>
      <w:r w:rsidRPr="008C58FF">
        <w:rPr>
          <w:rFonts w:ascii="Times New Roman" w:eastAsia="Arial MT" w:hAnsi="Times New Roman" w:cs="Times New Roman"/>
          <w:b/>
          <w:kern w:val="0"/>
          <w:sz w:val="24"/>
          <w:szCs w:val="24"/>
          <w:lang w:val="en-US"/>
          <w14:ligatures w14:val="none"/>
        </w:rPr>
        <w:t>DFM</w:t>
      </w:r>
      <w:r w:rsidRPr="008C58FF">
        <w:rPr>
          <w:rFonts w:ascii="Times New Roman" w:eastAsia="Arial MT" w:hAnsi="Times New Roman" w:cs="Times New Roman"/>
          <w:kern w:val="0"/>
          <w:sz w:val="24"/>
          <w:szCs w:val="24"/>
          <w:lang w:val="en-US"/>
          <w14:ligatures w14:val="none"/>
        </w:rPr>
        <w:t>:</w:t>
      </w:r>
      <w:r w:rsidRPr="008C58FF">
        <w:rPr>
          <w:rFonts w:ascii="Times New Roman" w:eastAsia="Arial MT" w:hAnsi="Times New Roman" w:cs="Times New Roman"/>
          <w:spacing w:val="5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Pediococcus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acidilactici</w:t>
      </w:r>
      <w:r w:rsidRPr="008C58FF">
        <w:rPr>
          <w:rFonts w:ascii="Times New Roman" w:eastAsia="Arial MT" w:hAnsi="Times New Roman" w:cs="Times New Roman"/>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Enterococcus</w:t>
      </w:r>
      <w:r w:rsidRPr="008C58FF">
        <w:rPr>
          <w:rFonts w:ascii="Times New Roman" w:eastAsia="Arial MT" w:hAnsi="Times New Roman" w:cs="Times New Roman"/>
          <w:i/>
          <w:spacing w:val="-6"/>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faecium,</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Bacillus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subtilis,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Lactobacillus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spp,</w:t>
      </w:r>
      <w:r w:rsidRPr="008C58FF">
        <w:rPr>
          <w:rFonts w:ascii="Times New Roman" w:eastAsia="Arial MT" w:hAnsi="Times New Roman" w:cs="Times New Roman"/>
          <w:i/>
          <w:spacing w:val="-6"/>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Bacillus</w:t>
      </w:r>
      <w:r w:rsidRPr="008C58FF">
        <w:rPr>
          <w:rFonts w:ascii="Times New Roman" w:eastAsia="Arial MT" w:hAnsi="Times New Roman" w:cs="Times New Roman"/>
          <w:i/>
          <w:spacing w:val="-4"/>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licheniformis</w:t>
      </w:r>
      <w:r w:rsidRPr="008C58FF">
        <w:rPr>
          <w:rFonts w:ascii="Times New Roman" w:eastAsia="Arial MT" w:hAnsi="Times New Roman" w:cs="Times New Roman"/>
          <w:i/>
          <w:spacing w:val="1"/>
          <w:kern w:val="0"/>
          <w:sz w:val="24"/>
          <w:szCs w:val="24"/>
          <w:lang w:val="en-US"/>
          <w14:ligatures w14:val="none"/>
        </w:rPr>
        <w:t xml:space="preserve"> </w:t>
      </w:r>
      <w:r w:rsidRPr="008C58FF">
        <w:rPr>
          <w:rFonts w:ascii="Times New Roman" w:eastAsia="Arial MT" w:hAnsi="Times New Roman" w:cs="Times New Roman"/>
          <w:spacing w:val="-2"/>
          <w:kern w:val="0"/>
          <w:sz w:val="24"/>
          <w:szCs w:val="24"/>
          <w:lang w:val="en-US"/>
          <w14:ligatures w14:val="none"/>
        </w:rPr>
        <w:t>(Probiotics)</w:t>
      </w:r>
    </w:p>
    <w:p w14:paraId="6294E5DA" w14:textId="77777777" w:rsidR="00611AF0" w:rsidRPr="008C58FF" w:rsidRDefault="00611AF0" w:rsidP="0022011E">
      <w:pPr>
        <w:spacing w:after="0" w:line="360" w:lineRule="auto"/>
        <w:ind w:left="630"/>
        <w:jc w:val="both"/>
        <w:rPr>
          <w:rFonts w:ascii="Times New Roman" w:eastAsia="Times New Roman" w:hAnsi="Times New Roman" w:cs="Times New Roman"/>
          <w:kern w:val="0"/>
          <w:sz w:val="24"/>
          <w:szCs w:val="24"/>
          <w:lang w:val="en-US"/>
          <w14:ligatures w14:val="none"/>
        </w:rPr>
      </w:pPr>
      <w:r w:rsidRPr="008C58FF">
        <w:rPr>
          <w:rFonts w:ascii="Times New Roman" w:eastAsia="Arial MT" w:hAnsi="Times New Roman" w:cs="Times New Roman"/>
          <w:bCs/>
          <w:spacing w:val="-2"/>
          <w:kern w:val="0"/>
          <w:sz w:val="24"/>
          <w:szCs w:val="24"/>
          <w:vertAlign w:val="superscript"/>
          <w:lang w:val="en-US"/>
          <w14:ligatures w14:val="none"/>
        </w:rPr>
        <w:t>*</w:t>
      </w:r>
      <w:r w:rsidRPr="008C58FF">
        <w:rPr>
          <w:rFonts w:ascii="Times New Roman" w:eastAsia="Arial MT" w:hAnsi="Times New Roman" w:cs="Times New Roman"/>
          <w:b/>
          <w:spacing w:val="-2"/>
          <w:kern w:val="0"/>
          <w:sz w:val="24"/>
          <w:szCs w:val="24"/>
          <w:lang w:val="en-US"/>
          <w14:ligatures w14:val="none"/>
        </w:rPr>
        <w:t>Vitroliv</w:t>
      </w:r>
      <w:r w:rsidRPr="008C58FF">
        <w:rPr>
          <w:rFonts w:ascii="Times New Roman" w:eastAsia="Arial MT" w:hAnsi="Times New Roman" w:cs="Times New Roman"/>
          <w:kern w:val="0"/>
          <w:sz w:val="24"/>
          <w:szCs w:val="24"/>
          <w:lang w:val="en-US"/>
          <w14:ligatures w14:val="none"/>
        </w:rPr>
        <w:t>:</w:t>
      </w:r>
      <w:r w:rsidRPr="008C58FF">
        <w:rPr>
          <w:rFonts w:ascii="Times New Roman" w:eastAsia="Arial MT" w:hAnsi="Times New Roman" w:cs="Times New Roman"/>
          <w:spacing w:val="-7"/>
          <w:kern w:val="0"/>
          <w:sz w:val="24"/>
          <w:szCs w:val="24"/>
          <w:lang w:val="en-US"/>
          <w14:ligatures w14:val="none"/>
        </w:rPr>
        <w:t xml:space="preserve"> </w:t>
      </w:r>
      <w:r w:rsidRPr="008C58FF">
        <w:rPr>
          <w:rFonts w:ascii="Times New Roman" w:eastAsia="Arial MT" w:hAnsi="Times New Roman" w:cs="Times New Roman"/>
          <w:kern w:val="0"/>
          <w:sz w:val="24"/>
          <w:szCs w:val="24"/>
          <w:lang w:val="en-US"/>
          <w14:ligatures w14:val="none"/>
        </w:rPr>
        <w:t>Liver</w:t>
      </w:r>
      <w:r w:rsidRPr="008C58FF">
        <w:rPr>
          <w:rFonts w:ascii="Times New Roman" w:eastAsia="Arial MT" w:hAnsi="Times New Roman" w:cs="Times New Roman"/>
          <w:spacing w:val="-1"/>
          <w:kern w:val="0"/>
          <w:sz w:val="24"/>
          <w:szCs w:val="24"/>
          <w:lang w:val="en-US"/>
          <w14:ligatures w14:val="none"/>
        </w:rPr>
        <w:t xml:space="preserve"> </w:t>
      </w:r>
      <w:r w:rsidRPr="008C58FF">
        <w:rPr>
          <w:rFonts w:ascii="Times New Roman" w:eastAsia="Arial MT" w:hAnsi="Times New Roman" w:cs="Times New Roman"/>
          <w:spacing w:val="-2"/>
          <w:kern w:val="0"/>
          <w:sz w:val="24"/>
          <w:szCs w:val="24"/>
          <w:lang w:val="en-US"/>
          <w14:ligatures w14:val="none"/>
        </w:rPr>
        <w:t>supplement</w:t>
      </w:r>
      <w:r w:rsidRPr="008C58FF">
        <w:rPr>
          <w:rFonts w:ascii="Times New Roman" w:eastAsia="Arial MT" w:hAnsi="Times New Roman" w:cs="Times New Roman"/>
          <w:kern w:val="0"/>
          <w:sz w:val="24"/>
          <w:szCs w:val="24"/>
          <w:lang w:val="en-US"/>
          <w14:ligatures w14:val="none"/>
        </w:rPr>
        <w:br w:type="page"/>
      </w:r>
    </w:p>
    <w:p w14:paraId="1B6D149E" w14:textId="77777777" w:rsidR="00705E95" w:rsidRPr="008C58FF" w:rsidRDefault="00705E95" w:rsidP="0022011E">
      <w:pPr>
        <w:tabs>
          <w:tab w:val="center" w:pos="4898"/>
        </w:tabs>
        <w:spacing w:after="0" w:line="360" w:lineRule="auto"/>
        <w:ind w:left="0"/>
        <w:jc w:val="left"/>
        <w:rPr>
          <w:rFonts w:ascii="Times New Roman" w:hAnsi="Times New Roman" w:cs="Times New Roman"/>
          <w:sz w:val="24"/>
          <w:szCs w:val="24"/>
          <w:lang w:val="en-US"/>
        </w:rPr>
        <w:sectPr w:rsidR="00705E95" w:rsidRPr="008C58FF" w:rsidSect="00611AF0">
          <w:pgSz w:w="16840" w:h="11910" w:orient="landscape" w:code="9"/>
          <w:pgMar w:top="1412" w:right="1412" w:bottom="1412" w:left="1412" w:header="720" w:footer="720" w:gutter="0"/>
          <w:cols w:space="708"/>
          <w:docGrid w:linePitch="299"/>
        </w:sectPr>
      </w:pPr>
    </w:p>
    <w:p w14:paraId="42BCB608" w14:textId="43AEF28D" w:rsidR="00705E95" w:rsidRPr="008C58FF" w:rsidRDefault="00705E95" w:rsidP="0022011E">
      <w:pPr>
        <w:pStyle w:val="BodyText"/>
        <w:spacing w:line="360" w:lineRule="auto"/>
        <w:ind w:right="91"/>
        <w:jc w:val="both"/>
        <w:rPr>
          <w:b/>
          <w:bCs/>
        </w:rPr>
      </w:pPr>
      <w:r w:rsidRPr="008C58FF">
        <w:rPr>
          <w:b/>
          <w:bCs/>
        </w:rPr>
        <w:lastRenderedPageBreak/>
        <w:t xml:space="preserve">Table </w:t>
      </w:r>
      <w:r w:rsidR="00C131A5" w:rsidRPr="008C58FF">
        <w:rPr>
          <w:b/>
          <w:bCs/>
        </w:rPr>
        <w:t>2</w:t>
      </w:r>
      <w:r w:rsidRPr="008C58FF">
        <w:rPr>
          <w:b/>
          <w:bCs/>
        </w:rPr>
        <w:t xml:space="preserve">. Effect of inclusion of red seaweed of commercial broiler chicken on </w:t>
      </w:r>
      <w:r w:rsidRPr="008C58FF">
        <w:rPr>
          <w:b/>
          <w:bCs/>
          <w:color w:val="221F1F"/>
          <w:lang w:val="en-IN"/>
        </w:rPr>
        <w:t xml:space="preserve">carcass characters </w:t>
      </w:r>
      <w:r w:rsidRPr="008C58FF">
        <w:rPr>
          <w:b/>
          <w:bCs/>
        </w:rPr>
        <w:t>at 5 weeks of age (n=6)</w:t>
      </w:r>
    </w:p>
    <w:tbl>
      <w:tblPr>
        <w:tblStyle w:val="TableGrid"/>
        <w:tblW w:w="10780" w:type="dxa"/>
        <w:tblLook w:val="04A0" w:firstRow="1" w:lastRow="0" w:firstColumn="1" w:lastColumn="0" w:noHBand="0" w:noVBand="1"/>
      </w:tblPr>
      <w:tblGrid>
        <w:gridCol w:w="2985"/>
        <w:gridCol w:w="1871"/>
        <w:gridCol w:w="1668"/>
        <w:gridCol w:w="1548"/>
        <w:gridCol w:w="1788"/>
        <w:gridCol w:w="920"/>
      </w:tblGrid>
      <w:tr w:rsidR="00705E95" w:rsidRPr="008C58FF" w14:paraId="7C8DB112" w14:textId="77777777" w:rsidTr="008B4FEB">
        <w:trPr>
          <w:trHeight w:val="200"/>
        </w:trPr>
        <w:tc>
          <w:tcPr>
            <w:tcW w:w="2985" w:type="dxa"/>
            <w:vMerge w:val="restart"/>
            <w:vAlign w:val="center"/>
          </w:tcPr>
          <w:p w14:paraId="5CA0396E" w14:textId="77777777" w:rsidR="00705E95" w:rsidRPr="008C58FF" w:rsidRDefault="00705E95" w:rsidP="00CE647C">
            <w:pPr>
              <w:pStyle w:val="BodyText"/>
              <w:jc w:val="center"/>
              <w:rPr>
                <w:b/>
                <w:bCs/>
                <w:color w:val="221F1F"/>
                <w:lang w:val="en-IN"/>
              </w:rPr>
            </w:pPr>
            <w:r w:rsidRPr="008C58FF">
              <w:rPr>
                <w:b/>
                <w:bCs/>
                <w:color w:val="221F1F"/>
                <w:lang w:val="en-IN"/>
              </w:rPr>
              <w:t>Items</w:t>
            </w:r>
          </w:p>
        </w:tc>
        <w:tc>
          <w:tcPr>
            <w:tcW w:w="6875" w:type="dxa"/>
            <w:gridSpan w:val="4"/>
            <w:vAlign w:val="center"/>
          </w:tcPr>
          <w:p w14:paraId="09C819B7" w14:textId="77777777" w:rsidR="00705E95" w:rsidRPr="008C58FF" w:rsidRDefault="00705E95" w:rsidP="00CE647C">
            <w:pPr>
              <w:pStyle w:val="BodyText"/>
              <w:jc w:val="center"/>
              <w:rPr>
                <w:b/>
                <w:bCs/>
                <w:color w:val="221F1F"/>
                <w:lang w:val="en-IN"/>
              </w:rPr>
            </w:pPr>
            <w:r w:rsidRPr="008C58FF">
              <w:rPr>
                <w:b/>
                <w:bCs/>
                <w:color w:val="221F1F"/>
                <w:lang w:val="en-IN"/>
              </w:rPr>
              <w:t>Treatments</w:t>
            </w:r>
          </w:p>
        </w:tc>
        <w:tc>
          <w:tcPr>
            <w:tcW w:w="0" w:type="auto"/>
            <w:vMerge w:val="restart"/>
            <w:vAlign w:val="center"/>
          </w:tcPr>
          <w:p w14:paraId="5C8F3268" w14:textId="77777777" w:rsidR="00705E95" w:rsidRPr="008C58FF" w:rsidRDefault="00705E95" w:rsidP="00CE647C">
            <w:pPr>
              <w:pStyle w:val="BodyText"/>
              <w:jc w:val="center"/>
              <w:rPr>
                <w:b/>
                <w:bCs/>
                <w:color w:val="221F1F"/>
                <w:lang w:val="en-IN"/>
              </w:rPr>
            </w:pPr>
            <w:r w:rsidRPr="008C58FF">
              <w:rPr>
                <w:b/>
                <w:bCs/>
                <w:color w:val="221F1F"/>
                <w:lang w:val="en-IN"/>
              </w:rPr>
              <w:t>F value</w:t>
            </w:r>
          </w:p>
        </w:tc>
      </w:tr>
      <w:tr w:rsidR="00705E95" w:rsidRPr="008C58FF" w14:paraId="074CF22E" w14:textId="77777777" w:rsidTr="008B4FEB">
        <w:trPr>
          <w:trHeight w:val="107"/>
        </w:trPr>
        <w:tc>
          <w:tcPr>
            <w:tcW w:w="2985" w:type="dxa"/>
            <w:vMerge/>
            <w:vAlign w:val="center"/>
          </w:tcPr>
          <w:p w14:paraId="62CEF1F4" w14:textId="77777777" w:rsidR="00705E95" w:rsidRPr="008C58FF" w:rsidRDefault="00705E95" w:rsidP="00CE647C">
            <w:pPr>
              <w:pStyle w:val="BodyText"/>
              <w:jc w:val="center"/>
              <w:rPr>
                <w:color w:val="221F1F"/>
                <w:lang w:val="en-IN"/>
              </w:rPr>
            </w:pPr>
          </w:p>
        </w:tc>
        <w:tc>
          <w:tcPr>
            <w:tcW w:w="1871" w:type="dxa"/>
            <w:vAlign w:val="center"/>
          </w:tcPr>
          <w:p w14:paraId="38250591" w14:textId="7913E7D2" w:rsidR="00705E95" w:rsidRPr="008C58FF" w:rsidRDefault="00705E95" w:rsidP="00CE647C">
            <w:pPr>
              <w:pStyle w:val="BodyText"/>
              <w:jc w:val="center"/>
              <w:rPr>
                <w:b/>
                <w:color w:val="221F1F"/>
                <w:lang w:val="en-IN"/>
              </w:rPr>
            </w:pPr>
            <w:r w:rsidRPr="008C58FF">
              <w:rPr>
                <w:b/>
              </w:rPr>
              <w:t xml:space="preserve">T1 </w:t>
            </w:r>
            <w:r w:rsidRPr="008C58FF">
              <w:rPr>
                <w:b/>
                <w:spacing w:val="-2"/>
              </w:rPr>
              <w:t>(</w:t>
            </w:r>
            <w:r w:rsidR="00BE7CCF" w:rsidRPr="008C58FF">
              <w:rPr>
                <w:b/>
                <w:spacing w:val="-2"/>
              </w:rPr>
              <w:t>0 %</w:t>
            </w:r>
            <w:r w:rsidRPr="008C58FF">
              <w:rPr>
                <w:b/>
                <w:spacing w:val="-2"/>
              </w:rPr>
              <w:t>)</w:t>
            </w:r>
          </w:p>
        </w:tc>
        <w:tc>
          <w:tcPr>
            <w:tcW w:w="0" w:type="auto"/>
            <w:vAlign w:val="center"/>
          </w:tcPr>
          <w:p w14:paraId="7F53630A" w14:textId="77777777" w:rsidR="00705E95" w:rsidRPr="008C58FF" w:rsidRDefault="00705E95" w:rsidP="00CE647C">
            <w:pPr>
              <w:pStyle w:val="BodyText"/>
              <w:jc w:val="center"/>
              <w:rPr>
                <w:b/>
                <w:color w:val="221F1F"/>
                <w:lang w:val="en-IN"/>
              </w:rPr>
            </w:pPr>
            <w:r w:rsidRPr="008C58FF">
              <w:rPr>
                <w:b/>
              </w:rPr>
              <w:t>T2</w:t>
            </w:r>
            <w:r w:rsidRPr="008C58FF">
              <w:rPr>
                <w:b/>
                <w:spacing w:val="1"/>
              </w:rPr>
              <w:t xml:space="preserve"> </w:t>
            </w:r>
            <w:r w:rsidRPr="008C58FF">
              <w:rPr>
                <w:b/>
              </w:rPr>
              <w:t>(1</w:t>
            </w:r>
            <w:r w:rsidRPr="008C58FF">
              <w:rPr>
                <w:b/>
                <w:spacing w:val="2"/>
              </w:rPr>
              <w:t xml:space="preserve"> </w:t>
            </w:r>
            <w:r w:rsidRPr="008C58FF">
              <w:rPr>
                <w:b/>
                <w:spacing w:val="-5"/>
              </w:rPr>
              <w:t>%)</w:t>
            </w:r>
          </w:p>
        </w:tc>
        <w:tc>
          <w:tcPr>
            <w:tcW w:w="0" w:type="auto"/>
            <w:vAlign w:val="center"/>
          </w:tcPr>
          <w:p w14:paraId="3D0B6EE5" w14:textId="77777777" w:rsidR="00705E95" w:rsidRPr="008C58FF" w:rsidRDefault="00705E95" w:rsidP="00CE647C">
            <w:pPr>
              <w:pStyle w:val="BodyText"/>
              <w:jc w:val="center"/>
              <w:rPr>
                <w:b/>
                <w:color w:val="221F1F"/>
                <w:lang w:val="en-IN"/>
              </w:rPr>
            </w:pPr>
            <w:r w:rsidRPr="008C58FF">
              <w:rPr>
                <w:b/>
              </w:rPr>
              <w:t>T3</w:t>
            </w:r>
            <w:r w:rsidRPr="008C58FF">
              <w:rPr>
                <w:b/>
                <w:spacing w:val="1"/>
              </w:rPr>
              <w:t xml:space="preserve"> </w:t>
            </w:r>
            <w:r w:rsidRPr="008C58FF">
              <w:rPr>
                <w:b/>
              </w:rPr>
              <w:t>(2</w:t>
            </w:r>
            <w:r w:rsidRPr="008C58FF">
              <w:rPr>
                <w:b/>
                <w:spacing w:val="2"/>
              </w:rPr>
              <w:t xml:space="preserve"> </w:t>
            </w:r>
            <w:r w:rsidRPr="008C58FF">
              <w:rPr>
                <w:b/>
                <w:spacing w:val="-5"/>
              </w:rPr>
              <w:t>%)</w:t>
            </w:r>
          </w:p>
        </w:tc>
        <w:tc>
          <w:tcPr>
            <w:tcW w:w="0" w:type="auto"/>
            <w:vAlign w:val="center"/>
          </w:tcPr>
          <w:p w14:paraId="7AAA0F32" w14:textId="77777777" w:rsidR="00705E95" w:rsidRPr="008C58FF" w:rsidRDefault="00705E95" w:rsidP="00CE647C">
            <w:pPr>
              <w:pStyle w:val="BodyText"/>
              <w:jc w:val="center"/>
              <w:rPr>
                <w:b/>
                <w:color w:val="221F1F"/>
                <w:lang w:val="en-IN"/>
              </w:rPr>
            </w:pPr>
            <w:r w:rsidRPr="008C58FF">
              <w:rPr>
                <w:b/>
              </w:rPr>
              <w:t>T4</w:t>
            </w:r>
            <w:r w:rsidRPr="008C58FF">
              <w:rPr>
                <w:b/>
                <w:spacing w:val="1"/>
              </w:rPr>
              <w:t xml:space="preserve"> </w:t>
            </w:r>
            <w:r w:rsidRPr="008C58FF">
              <w:rPr>
                <w:b/>
              </w:rPr>
              <w:t>(4</w:t>
            </w:r>
            <w:r w:rsidRPr="008C58FF">
              <w:rPr>
                <w:b/>
                <w:spacing w:val="2"/>
              </w:rPr>
              <w:t xml:space="preserve"> </w:t>
            </w:r>
            <w:r w:rsidRPr="008C58FF">
              <w:rPr>
                <w:b/>
                <w:spacing w:val="-5"/>
              </w:rPr>
              <w:t>%)</w:t>
            </w:r>
          </w:p>
        </w:tc>
        <w:tc>
          <w:tcPr>
            <w:tcW w:w="0" w:type="auto"/>
            <w:vMerge/>
            <w:vAlign w:val="center"/>
          </w:tcPr>
          <w:p w14:paraId="6915E05B" w14:textId="77777777" w:rsidR="00705E95" w:rsidRPr="008C58FF" w:rsidRDefault="00705E95" w:rsidP="00CE647C">
            <w:pPr>
              <w:pStyle w:val="BodyText"/>
              <w:jc w:val="center"/>
              <w:rPr>
                <w:color w:val="221F1F"/>
                <w:lang w:val="en-IN"/>
              </w:rPr>
            </w:pPr>
          </w:p>
        </w:tc>
      </w:tr>
      <w:tr w:rsidR="008B4FEB" w:rsidRPr="008C58FF" w14:paraId="6327F463" w14:textId="77777777" w:rsidTr="008B4FEB">
        <w:trPr>
          <w:trHeight w:val="107"/>
        </w:trPr>
        <w:tc>
          <w:tcPr>
            <w:tcW w:w="10780" w:type="dxa"/>
            <w:gridSpan w:val="6"/>
            <w:vAlign w:val="center"/>
          </w:tcPr>
          <w:p w14:paraId="249AD69C" w14:textId="1D47638D" w:rsidR="008B4FEB" w:rsidRPr="008C58FF" w:rsidRDefault="008B4FEB" w:rsidP="00CE647C">
            <w:pPr>
              <w:pStyle w:val="BodyText"/>
              <w:rPr>
                <w:b/>
                <w:bCs/>
                <w:color w:val="221F1F"/>
                <w:lang w:val="en-IN"/>
              </w:rPr>
            </w:pPr>
            <w:r w:rsidRPr="008C58FF">
              <w:rPr>
                <w:b/>
                <w:bCs/>
                <w:color w:val="221F1F"/>
                <w:lang w:val="en-IN"/>
              </w:rPr>
              <w:t>Processing yields</w:t>
            </w:r>
          </w:p>
        </w:tc>
      </w:tr>
      <w:tr w:rsidR="00705E95" w:rsidRPr="008C58FF" w14:paraId="39D2DC40" w14:textId="77777777" w:rsidTr="008B4FEB">
        <w:trPr>
          <w:trHeight w:val="411"/>
        </w:trPr>
        <w:tc>
          <w:tcPr>
            <w:tcW w:w="2985" w:type="dxa"/>
            <w:vAlign w:val="center"/>
          </w:tcPr>
          <w:p w14:paraId="2DF39080" w14:textId="77777777" w:rsidR="00705E95" w:rsidRPr="008C58FF" w:rsidRDefault="00705E95" w:rsidP="00CE647C">
            <w:pPr>
              <w:pStyle w:val="BodyText"/>
              <w:rPr>
                <w:color w:val="221F1F"/>
                <w:lang w:val="en-IN"/>
              </w:rPr>
            </w:pPr>
            <w:r w:rsidRPr="008C58FF">
              <w:rPr>
                <w:color w:val="000000"/>
                <w:spacing w:val="-2"/>
              </w:rPr>
              <w:t>Preslaughter live wt. (g)</w:t>
            </w:r>
          </w:p>
        </w:tc>
        <w:tc>
          <w:tcPr>
            <w:tcW w:w="1871" w:type="dxa"/>
            <w:vAlign w:val="center"/>
          </w:tcPr>
          <w:p w14:paraId="73FB4468" w14:textId="77777777" w:rsidR="00705E95" w:rsidRPr="008C58FF" w:rsidRDefault="00705E95" w:rsidP="00CE647C">
            <w:pPr>
              <w:pStyle w:val="BodyText"/>
              <w:jc w:val="center"/>
              <w:rPr>
                <w:color w:val="221F1F"/>
                <w:lang w:val="en-IN"/>
              </w:rPr>
            </w:pPr>
            <w:r w:rsidRPr="008C58FF">
              <w:rPr>
                <w:color w:val="000000"/>
              </w:rPr>
              <w:t>2353.67±119.86</w:t>
            </w:r>
          </w:p>
        </w:tc>
        <w:tc>
          <w:tcPr>
            <w:tcW w:w="0" w:type="auto"/>
            <w:vAlign w:val="center"/>
          </w:tcPr>
          <w:p w14:paraId="097C35AF" w14:textId="77777777" w:rsidR="00705E95" w:rsidRPr="008C58FF" w:rsidRDefault="00705E95" w:rsidP="00CE647C">
            <w:pPr>
              <w:pStyle w:val="BodyText"/>
              <w:jc w:val="center"/>
              <w:rPr>
                <w:color w:val="221F1F"/>
                <w:lang w:val="en-IN"/>
              </w:rPr>
            </w:pPr>
            <w:r w:rsidRPr="008C58FF">
              <w:rPr>
                <w:color w:val="000000"/>
              </w:rPr>
              <w:t>2475.67±84.25</w:t>
            </w:r>
          </w:p>
        </w:tc>
        <w:tc>
          <w:tcPr>
            <w:tcW w:w="0" w:type="auto"/>
            <w:vAlign w:val="center"/>
          </w:tcPr>
          <w:p w14:paraId="7D241D43" w14:textId="77777777" w:rsidR="00705E95" w:rsidRPr="008C58FF" w:rsidRDefault="00705E95" w:rsidP="00CE647C">
            <w:pPr>
              <w:pStyle w:val="BodyText"/>
              <w:jc w:val="center"/>
              <w:rPr>
                <w:color w:val="221F1F"/>
                <w:lang w:val="en-IN"/>
              </w:rPr>
            </w:pPr>
            <w:r w:rsidRPr="008C58FF">
              <w:rPr>
                <w:color w:val="000000"/>
              </w:rPr>
              <w:t>2317.5±74.45</w:t>
            </w:r>
          </w:p>
        </w:tc>
        <w:tc>
          <w:tcPr>
            <w:tcW w:w="0" w:type="auto"/>
            <w:vAlign w:val="center"/>
          </w:tcPr>
          <w:p w14:paraId="6D83975C" w14:textId="77777777" w:rsidR="00705E95" w:rsidRPr="008C58FF" w:rsidRDefault="00705E95" w:rsidP="00CE647C">
            <w:pPr>
              <w:pStyle w:val="BodyText"/>
              <w:jc w:val="center"/>
              <w:rPr>
                <w:color w:val="221F1F"/>
                <w:lang w:val="en-IN"/>
              </w:rPr>
            </w:pPr>
            <w:r w:rsidRPr="008C58FF">
              <w:rPr>
                <w:color w:val="000000"/>
              </w:rPr>
              <w:t>2278.33±104.68</w:t>
            </w:r>
          </w:p>
        </w:tc>
        <w:tc>
          <w:tcPr>
            <w:tcW w:w="0" w:type="auto"/>
            <w:vAlign w:val="center"/>
          </w:tcPr>
          <w:p w14:paraId="6C52A6B8" w14:textId="77777777" w:rsidR="00705E95" w:rsidRPr="008C58FF" w:rsidRDefault="00705E95" w:rsidP="00CE647C">
            <w:pPr>
              <w:pStyle w:val="BodyText"/>
              <w:jc w:val="center"/>
              <w:rPr>
                <w:color w:val="221F1F"/>
                <w:lang w:val="en-IN"/>
              </w:rPr>
            </w:pPr>
            <w:r w:rsidRPr="008C58FF">
              <w:rPr>
                <w:color w:val="000000"/>
              </w:rPr>
              <w:t>0.77</w:t>
            </w:r>
            <w:r w:rsidRPr="008C58FF">
              <w:rPr>
                <w:b/>
                <w:bCs/>
                <w:color w:val="000000"/>
                <w:vertAlign w:val="superscript"/>
                <w:lang w:eastAsia="en-IN" w:bidi="ta-IN"/>
              </w:rPr>
              <w:t>NS</w:t>
            </w:r>
          </w:p>
        </w:tc>
      </w:tr>
      <w:tr w:rsidR="00705E95" w:rsidRPr="008C58FF" w14:paraId="58252CAB" w14:textId="77777777" w:rsidTr="00FD00A0">
        <w:trPr>
          <w:trHeight w:val="425"/>
        </w:trPr>
        <w:tc>
          <w:tcPr>
            <w:tcW w:w="2985" w:type="dxa"/>
            <w:vAlign w:val="center"/>
          </w:tcPr>
          <w:p w14:paraId="69586361" w14:textId="77777777" w:rsidR="00705E95" w:rsidRPr="008C58FF" w:rsidRDefault="00705E95" w:rsidP="00CE647C">
            <w:pPr>
              <w:pStyle w:val="BodyText"/>
              <w:rPr>
                <w:color w:val="221F1F"/>
                <w:lang w:val="en-IN"/>
              </w:rPr>
            </w:pPr>
            <w:r w:rsidRPr="008C58FF">
              <w:rPr>
                <w:color w:val="000000"/>
                <w:spacing w:val="-2"/>
              </w:rPr>
              <w:t>Weight after bleeding (</w:t>
            </w:r>
            <w:r w:rsidRPr="008C58FF">
              <w:rPr>
                <w:color w:val="000000"/>
              </w:rPr>
              <w:t>%)</w:t>
            </w:r>
          </w:p>
        </w:tc>
        <w:tc>
          <w:tcPr>
            <w:tcW w:w="1871" w:type="dxa"/>
            <w:vAlign w:val="center"/>
          </w:tcPr>
          <w:p w14:paraId="7EE98229" w14:textId="77777777" w:rsidR="00705E95" w:rsidRPr="008C58FF" w:rsidRDefault="00705E95" w:rsidP="00CE647C">
            <w:pPr>
              <w:pStyle w:val="BodyText"/>
              <w:jc w:val="center"/>
              <w:rPr>
                <w:color w:val="221F1F"/>
                <w:lang w:val="en-IN"/>
              </w:rPr>
            </w:pPr>
            <w:r w:rsidRPr="008C58FF">
              <w:rPr>
                <w:color w:val="000000"/>
              </w:rPr>
              <w:t>97.53</w:t>
            </w:r>
            <w:r w:rsidRPr="008C58FF">
              <w:rPr>
                <w:color w:val="000000"/>
                <w:vertAlign w:val="superscript"/>
              </w:rPr>
              <w:t>a</w:t>
            </w:r>
            <w:r w:rsidRPr="008C58FF">
              <w:rPr>
                <w:color w:val="000000"/>
              </w:rPr>
              <w:t>±0.53</w:t>
            </w:r>
          </w:p>
        </w:tc>
        <w:tc>
          <w:tcPr>
            <w:tcW w:w="0" w:type="auto"/>
            <w:vAlign w:val="center"/>
          </w:tcPr>
          <w:p w14:paraId="5F335DBF" w14:textId="77777777" w:rsidR="00705E95" w:rsidRPr="008C58FF" w:rsidRDefault="00705E95" w:rsidP="00CE647C">
            <w:pPr>
              <w:pStyle w:val="BodyText"/>
              <w:jc w:val="center"/>
              <w:rPr>
                <w:color w:val="221F1F"/>
                <w:lang w:val="en-IN"/>
              </w:rPr>
            </w:pPr>
            <w:r w:rsidRPr="008C58FF">
              <w:rPr>
                <w:color w:val="000000"/>
              </w:rPr>
              <w:t>94.45</w:t>
            </w:r>
            <w:r w:rsidRPr="008C58FF">
              <w:rPr>
                <w:color w:val="000000"/>
                <w:vertAlign w:val="superscript"/>
              </w:rPr>
              <w:t>b</w:t>
            </w:r>
            <w:r w:rsidRPr="008C58FF">
              <w:rPr>
                <w:color w:val="000000"/>
              </w:rPr>
              <w:t>±0.91</w:t>
            </w:r>
          </w:p>
        </w:tc>
        <w:tc>
          <w:tcPr>
            <w:tcW w:w="0" w:type="auto"/>
            <w:vAlign w:val="center"/>
          </w:tcPr>
          <w:p w14:paraId="50A05628" w14:textId="77777777" w:rsidR="00705E95" w:rsidRPr="008C58FF" w:rsidRDefault="00705E95" w:rsidP="00CE647C">
            <w:pPr>
              <w:pStyle w:val="BodyText"/>
              <w:jc w:val="center"/>
              <w:rPr>
                <w:color w:val="221F1F"/>
                <w:lang w:val="en-IN"/>
              </w:rPr>
            </w:pPr>
            <w:r w:rsidRPr="008C58FF">
              <w:rPr>
                <w:color w:val="000000"/>
              </w:rPr>
              <w:t>95.92</w:t>
            </w:r>
            <w:r w:rsidRPr="008C58FF">
              <w:rPr>
                <w:color w:val="000000"/>
                <w:vertAlign w:val="superscript"/>
              </w:rPr>
              <w:t>ab</w:t>
            </w:r>
            <w:r w:rsidRPr="008C58FF">
              <w:rPr>
                <w:color w:val="000000"/>
              </w:rPr>
              <w:t>±0.17</w:t>
            </w:r>
          </w:p>
        </w:tc>
        <w:tc>
          <w:tcPr>
            <w:tcW w:w="0" w:type="auto"/>
            <w:vAlign w:val="center"/>
          </w:tcPr>
          <w:p w14:paraId="32161A58" w14:textId="77777777" w:rsidR="00705E95" w:rsidRPr="008C58FF" w:rsidRDefault="00705E95" w:rsidP="00CE647C">
            <w:pPr>
              <w:pStyle w:val="BodyText"/>
              <w:jc w:val="center"/>
              <w:rPr>
                <w:color w:val="221F1F"/>
                <w:lang w:val="en-IN"/>
              </w:rPr>
            </w:pPr>
            <w:r w:rsidRPr="008C58FF">
              <w:rPr>
                <w:color w:val="000000"/>
              </w:rPr>
              <w:t>95.94</w:t>
            </w:r>
            <w:r w:rsidRPr="008C58FF">
              <w:rPr>
                <w:color w:val="000000"/>
                <w:vertAlign w:val="superscript"/>
              </w:rPr>
              <w:t>ab</w:t>
            </w:r>
            <w:r w:rsidRPr="008C58FF">
              <w:rPr>
                <w:color w:val="000000"/>
              </w:rPr>
              <w:t>±0.24</w:t>
            </w:r>
          </w:p>
        </w:tc>
        <w:tc>
          <w:tcPr>
            <w:tcW w:w="0" w:type="auto"/>
            <w:vAlign w:val="center"/>
          </w:tcPr>
          <w:p w14:paraId="14FD6555" w14:textId="77777777" w:rsidR="00705E95" w:rsidRPr="008C58FF" w:rsidRDefault="00705E95" w:rsidP="00CE647C">
            <w:pPr>
              <w:pStyle w:val="BodyText"/>
              <w:jc w:val="center"/>
              <w:rPr>
                <w:color w:val="221F1F"/>
                <w:lang w:val="en-IN"/>
              </w:rPr>
            </w:pPr>
            <w:r w:rsidRPr="008C58FF">
              <w:rPr>
                <w:color w:val="000000"/>
              </w:rPr>
              <w:t>5.31</w:t>
            </w:r>
            <w:r w:rsidRPr="008C58FF">
              <w:rPr>
                <w:b/>
                <w:bCs/>
                <w:color w:val="000000"/>
                <w:vertAlign w:val="superscript"/>
                <w:lang w:eastAsia="en-IN" w:bidi="ta-IN"/>
              </w:rPr>
              <w:t>**</w:t>
            </w:r>
          </w:p>
        </w:tc>
      </w:tr>
      <w:tr w:rsidR="00705E95" w:rsidRPr="008C58FF" w14:paraId="1105FE43" w14:textId="77777777" w:rsidTr="00FD00A0">
        <w:trPr>
          <w:trHeight w:val="403"/>
        </w:trPr>
        <w:tc>
          <w:tcPr>
            <w:tcW w:w="2985" w:type="dxa"/>
            <w:vAlign w:val="center"/>
          </w:tcPr>
          <w:p w14:paraId="252F7E34" w14:textId="77777777" w:rsidR="00705E95" w:rsidRPr="008C58FF" w:rsidRDefault="00705E95" w:rsidP="00CE647C">
            <w:pPr>
              <w:pStyle w:val="BodyText"/>
              <w:rPr>
                <w:color w:val="221F1F"/>
                <w:lang w:val="en-IN"/>
              </w:rPr>
            </w:pPr>
            <w:r w:rsidRPr="008C58FF">
              <w:rPr>
                <w:color w:val="000000"/>
                <w:spacing w:val="-2"/>
              </w:rPr>
              <w:t>New York dressed wt. (</w:t>
            </w:r>
            <w:r w:rsidRPr="008C58FF">
              <w:rPr>
                <w:color w:val="000000"/>
              </w:rPr>
              <w:t>%)</w:t>
            </w:r>
          </w:p>
        </w:tc>
        <w:tc>
          <w:tcPr>
            <w:tcW w:w="1871" w:type="dxa"/>
            <w:vAlign w:val="center"/>
          </w:tcPr>
          <w:p w14:paraId="2A0961D1" w14:textId="77777777" w:rsidR="00705E95" w:rsidRPr="008C58FF" w:rsidRDefault="00705E95" w:rsidP="00CE647C">
            <w:pPr>
              <w:pStyle w:val="BodyText"/>
              <w:jc w:val="center"/>
              <w:rPr>
                <w:color w:val="221F1F"/>
                <w:lang w:val="en-IN"/>
              </w:rPr>
            </w:pPr>
            <w:r w:rsidRPr="008C58FF">
              <w:rPr>
                <w:color w:val="000000"/>
              </w:rPr>
              <w:t>92.47</w:t>
            </w:r>
            <w:r w:rsidRPr="008C58FF">
              <w:rPr>
                <w:color w:val="000000"/>
                <w:vertAlign w:val="superscript"/>
              </w:rPr>
              <w:t>a</w:t>
            </w:r>
            <w:r w:rsidRPr="008C58FF">
              <w:rPr>
                <w:color w:val="000000"/>
              </w:rPr>
              <w:t>±0.6</w:t>
            </w:r>
          </w:p>
        </w:tc>
        <w:tc>
          <w:tcPr>
            <w:tcW w:w="0" w:type="auto"/>
            <w:vAlign w:val="center"/>
          </w:tcPr>
          <w:p w14:paraId="44FA48FF" w14:textId="77777777" w:rsidR="00705E95" w:rsidRPr="008C58FF" w:rsidRDefault="00705E95" w:rsidP="00CE647C">
            <w:pPr>
              <w:pStyle w:val="BodyText"/>
              <w:jc w:val="center"/>
              <w:rPr>
                <w:color w:val="221F1F"/>
                <w:lang w:val="en-IN"/>
              </w:rPr>
            </w:pPr>
            <w:r w:rsidRPr="008C58FF">
              <w:rPr>
                <w:color w:val="000000"/>
              </w:rPr>
              <w:t>89.42</w:t>
            </w:r>
            <w:r w:rsidRPr="008C58FF">
              <w:rPr>
                <w:color w:val="000000"/>
                <w:vertAlign w:val="superscript"/>
              </w:rPr>
              <w:t>c</w:t>
            </w:r>
            <w:r w:rsidRPr="008C58FF">
              <w:rPr>
                <w:color w:val="000000"/>
              </w:rPr>
              <w:t>±0.82</w:t>
            </w:r>
          </w:p>
        </w:tc>
        <w:tc>
          <w:tcPr>
            <w:tcW w:w="0" w:type="auto"/>
            <w:vAlign w:val="center"/>
          </w:tcPr>
          <w:p w14:paraId="50CF2FB5" w14:textId="77777777" w:rsidR="00705E95" w:rsidRPr="008C58FF" w:rsidRDefault="00705E95" w:rsidP="00CE647C">
            <w:pPr>
              <w:pStyle w:val="BodyText"/>
              <w:jc w:val="center"/>
              <w:rPr>
                <w:color w:val="221F1F"/>
                <w:lang w:val="en-IN"/>
              </w:rPr>
            </w:pPr>
            <w:r w:rsidRPr="008C58FF">
              <w:rPr>
                <w:color w:val="000000"/>
              </w:rPr>
              <w:t>90.59</w:t>
            </w:r>
            <w:r w:rsidRPr="008C58FF">
              <w:rPr>
                <w:color w:val="000000"/>
                <w:vertAlign w:val="superscript"/>
              </w:rPr>
              <w:t>bc</w:t>
            </w:r>
            <w:r w:rsidRPr="008C58FF">
              <w:rPr>
                <w:color w:val="000000"/>
              </w:rPr>
              <w:t>±0.31</w:t>
            </w:r>
          </w:p>
        </w:tc>
        <w:tc>
          <w:tcPr>
            <w:tcW w:w="0" w:type="auto"/>
            <w:vAlign w:val="center"/>
          </w:tcPr>
          <w:p w14:paraId="37662120" w14:textId="77777777" w:rsidR="00705E95" w:rsidRPr="008C58FF" w:rsidRDefault="00705E95" w:rsidP="00CE647C">
            <w:pPr>
              <w:pStyle w:val="BodyText"/>
              <w:jc w:val="center"/>
              <w:rPr>
                <w:color w:val="221F1F"/>
                <w:lang w:val="en-IN"/>
              </w:rPr>
            </w:pPr>
            <w:r w:rsidRPr="008C58FF">
              <w:rPr>
                <w:color w:val="000000"/>
              </w:rPr>
              <w:t>91.79</w:t>
            </w:r>
            <w:r w:rsidRPr="008C58FF">
              <w:rPr>
                <w:color w:val="000000"/>
                <w:vertAlign w:val="superscript"/>
              </w:rPr>
              <w:t>ab</w:t>
            </w:r>
            <w:r w:rsidRPr="008C58FF">
              <w:rPr>
                <w:color w:val="000000"/>
              </w:rPr>
              <w:t>±0.16</w:t>
            </w:r>
          </w:p>
        </w:tc>
        <w:tc>
          <w:tcPr>
            <w:tcW w:w="0" w:type="auto"/>
            <w:vAlign w:val="center"/>
          </w:tcPr>
          <w:p w14:paraId="64119174" w14:textId="77777777" w:rsidR="00705E95" w:rsidRPr="008C58FF" w:rsidRDefault="00705E95" w:rsidP="00CE647C">
            <w:pPr>
              <w:pStyle w:val="BodyText"/>
              <w:jc w:val="center"/>
              <w:rPr>
                <w:color w:val="221F1F"/>
                <w:lang w:val="en-IN"/>
              </w:rPr>
            </w:pPr>
            <w:r w:rsidRPr="008C58FF">
              <w:rPr>
                <w:color w:val="000000"/>
              </w:rPr>
              <w:t>6.28</w:t>
            </w:r>
            <w:r w:rsidRPr="008C58FF">
              <w:rPr>
                <w:b/>
                <w:bCs/>
                <w:color w:val="000000"/>
                <w:vertAlign w:val="superscript"/>
                <w:lang w:eastAsia="en-IN" w:bidi="ta-IN"/>
              </w:rPr>
              <w:t>**</w:t>
            </w:r>
          </w:p>
        </w:tc>
      </w:tr>
      <w:tr w:rsidR="00705E95" w:rsidRPr="008C58FF" w14:paraId="08359529" w14:textId="77777777" w:rsidTr="00FD00A0">
        <w:trPr>
          <w:trHeight w:val="409"/>
        </w:trPr>
        <w:tc>
          <w:tcPr>
            <w:tcW w:w="2985" w:type="dxa"/>
            <w:vAlign w:val="center"/>
          </w:tcPr>
          <w:p w14:paraId="2DF81221" w14:textId="77777777" w:rsidR="00705E95" w:rsidRPr="008C58FF" w:rsidRDefault="00705E95" w:rsidP="00CE647C">
            <w:pPr>
              <w:pStyle w:val="BodyText"/>
              <w:rPr>
                <w:color w:val="221F1F"/>
                <w:lang w:val="en-IN"/>
              </w:rPr>
            </w:pPr>
            <w:r w:rsidRPr="008C58FF">
              <w:rPr>
                <w:color w:val="000000"/>
              </w:rPr>
              <w:t xml:space="preserve">Eviscerated carcass wt. </w:t>
            </w:r>
            <w:r w:rsidRPr="008C58FF">
              <w:rPr>
                <w:color w:val="000000"/>
                <w:spacing w:val="-2"/>
              </w:rPr>
              <w:t>(</w:t>
            </w:r>
            <w:r w:rsidRPr="008C58FF">
              <w:rPr>
                <w:color w:val="000000"/>
              </w:rPr>
              <w:t>%)</w:t>
            </w:r>
          </w:p>
        </w:tc>
        <w:tc>
          <w:tcPr>
            <w:tcW w:w="1871" w:type="dxa"/>
            <w:vAlign w:val="center"/>
          </w:tcPr>
          <w:p w14:paraId="20DC41E6" w14:textId="77777777" w:rsidR="00705E95" w:rsidRPr="008C58FF" w:rsidRDefault="00705E95" w:rsidP="00CE647C">
            <w:pPr>
              <w:pStyle w:val="BodyText"/>
              <w:jc w:val="center"/>
              <w:rPr>
                <w:color w:val="221F1F"/>
                <w:lang w:val="en-IN"/>
              </w:rPr>
            </w:pPr>
            <w:r w:rsidRPr="008C58FF">
              <w:rPr>
                <w:color w:val="000000"/>
              </w:rPr>
              <w:t>75.27±0.62</w:t>
            </w:r>
          </w:p>
        </w:tc>
        <w:tc>
          <w:tcPr>
            <w:tcW w:w="0" w:type="auto"/>
            <w:vAlign w:val="center"/>
          </w:tcPr>
          <w:p w14:paraId="3CD8DA17" w14:textId="77777777" w:rsidR="00705E95" w:rsidRPr="008C58FF" w:rsidRDefault="00705E95" w:rsidP="00CE647C">
            <w:pPr>
              <w:pStyle w:val="BodyText"/>
              <w:jc w:val="center"/>
              <w:rPr>
                <w:color w:val="221F1F"/>
                <w:lang w:val="en-IN"/>
              </w:rPr>
            </w:pPr>
            <w:r w:rsidRPr="008C58FF">
              <w:rPr>
                <w:color w:val="000000"/>
              </w:rPr>
              <w:t>72.21±1.55</w:t>
            </w:r>
          </w:p>
        </w:tc>
        <w:tc>
          <w:tcPr>
            <w:tcW w:w="0" w:type="auto"/>
            <w:vAlign w:val="center"/>
          </w:tcPr>
          <w:p w14:paraId="66336D69" w14:textId="77777777" w:rsidR="00705E95" w:rsidRPr="008C58FF" w:rsidRDefault="00705E95" w:rsidP="00CE647C">
            <w:pPr>
              <w:pStyle w:val="BodyText"/>
              <w:jc w:val="center"/>
              <w:rPr>
                <w:color w:val="221F1F"/>
                <w:lang w:val="en-IN"/>
              </w:rPr>
            </w:pPr>
            <w:r w:rsidRPr="008C58FF">
              <w:rPr>
                <w:color w:val="000000"/>
              </w:rPr>
              <w:t>73.42±0.47</w:t>
            </w:r>
          </w:p>
        </w:tc>
        <w:tc>
          <w:tcPr>
            <w:tcW w:w="0" w:type="auto"/>
            <w:vAlign w:val="center"/>
          </w:tcPr>
          <w:p w14:paraId="5DF932CE" w14:textId="77777777" w:rsidR="00705E95" w:rsidRPr="008C58FF" w:rsidRDefault="00705E95" w:rsidP="00CE647C">
            <w:pPr>
              <w:pStyle w:val="BodyText"/>
              <w:jc w:val="center"/>
              <w:rPr>
                <w:color w:val="221F1F"/>
                <w:lang w:val="en-IN"/>
              </w:rPr>
            </w:pPr>
            <w:r w:rsidRPr="008C58FF">
              <w:rPr>
                <w:color w:val="000000"/>
              </w:rPr>
              <w:t>74.34±0.45</w:t>
            </w:r>
          </w:p>
        </w:tc>
        <w:tc>
          <w:tcPr>
            <w:tcW w:w="0" w:type="auto"/>
            <w:vAlign w:val="center"/>
          </w:tcPr>
          <w:p w14:paraId="3C1EE4A0" w14:textId="77777777" w:rsidR="00705E95" w:rsidRPr="008C58FF" w:rsidRDefault="00705E95" w:rsidP="00CE647C">
            <w:pPr>
              <w:pStyle w:val="BodyText"/>
              <w:jc w:val="center"/>
              <w:rPr>
                <w:color w:val="221F1F"/>
                <w:lang w:val="en-IN"/>
              </w:rPr>
            </w:pPr>
            <w:r w:rsidRPr="008C58FF">
              <w:rPr>
                <w:color w:val="000000"/>
              </w:rPr>
              <w:t>2.12</w:t>
            </w:r>
            <w:r w:rsidRPr="008C58FF">
              <w:rPr>
                <w:b/>
                <w:bCs/>
                <w:color w:val="000000"/>
                <w:vertAlign w:val="superscript"/>
                <w:lang w:eastAsia="en-IN" w:bidi="ta-IN"/>
              </w:rPr>
              <w:t>NS</w:t>
            </w:r>
          </w:p>
        </w:tc>
      </w:tr>
      <w:tr w:rsidR="00705E95" w:rsidRPr="008C58FF" w14:paraId="074DA1F9" w14:textId="77777777" w:rsidTr="008B4FEB">
        <w:trPr>
          <w:trHeight w:val="411"/>
        </w:trPr>
        <w:tc>
          <w:tcPr>
            <w:tcW w:w="2985" w:type="dxa"/>
            <w:vAlign w:val="center"/>
          </w:tcPr>
          <w:p w14:paraId="0AA800DE" w14:textId="77777777" w:rsidR="00705E95" w:rsidRPr="008C58FF" w:rsidRDefault="00705E95" w:rsidP="00CE647C">
            <w:pPr>
              <w:pStyle w:val="BodyText"/>
              <w:rPr>
                <w:color w:val="221F1F"/>
                <w:lang w:val="en-IN"/>
              </w:rPr>
            </w:pPr>
            <w:r w:rsidRPr="008C58FF">
              <w:rPr>
                <w:color w:val="000000"/>
              </w:rPr>
              <w:t xml:space="preserve">Giblet wt. </w:t>
            </w:r>
            <w:r w:rsidRPr="008C58FF">
              <w:rPr>
                <w:color w:val="000000"/>
                <w:spacing w:val="-2"/>
              </w:rPr>
              <w:t>(</w:t>
            </w:r>
            <w:r w:rsidRPr="008C58FF">
              <w:rPr>
                <w:color w:val="000000"/>
              </w:rPr>
              <w:t>%)</w:t>
            </w:r>
          </w:p>
        </w:tc>
        <w:tc>
          <w:tcPr>
            <w:tcW w:w="1871" w:type="dxa"/>
            <w:vAlign w:val="center"/>
          </w:tcPr>
          <w:p w14:paraId="6A35F640" w14:textId="77777777" w:rsidR="00705E95" w:rsidRPr="008C58FF" w:rsidRDefault="00705E95" w:rsidP="00CE647C">
            <w:pPr>
              <w:pStyle w:val="BodyText"/>
              <w:jc w:val="center"/>
              <w:rPr>
                <w:color w:val="221F1F"/>
                <w:lang w:val="en-IN"/>
              </w:rPr>
            </w:pPr>
            <w:r w:rsidRPr="008C58FF">
              <w:rPr>
                <w:color w:val="000000"/>
              </w:rPr>
              <w:t>4.45±0.12</w:t>
            </w:r>
          </w:p>
        </w:tc>
        <w:tc>
          <w:tcPr>
            <w:tcW w:w="0" w:type="auto"/>
            <w:vAlign w:val="center"/>
          </w:tcPr>
          <w:p w14:paraId="3334D888" w14:textId="77777777" w:rsidR="00705E95" w:rsidRPr="008C58FF" w:rsidRDefault="00705E95" w:rsidP="00CE647C">
            <w:pPr>
              <w:pStyle w:val="BodyText"/>
              <w:jc w:val="center"/>
              <w:rPr>
                <w:color w:val="221F1F"/>
                <w:lang w:val="en-IN"/>
              </w:rPr>
            </w:pPr>
            <w:r w:rsidRPr="008C58FF">
              <w:rPr>
                <w:color w:val="000000"/>
              </w:rPr>
              <w:t>4.05±0.15</w:t>
            </w:r>
          </w:p>
        </w:tc>
        <w:tc>
          <w:tcPr>
            <w:tcW w:w="0" w:type="auto"/>
            <w:vAlign w:val="center"/>
          </w:tcPr>
          <w:p w14:paraId="0D63A6BC" w14:textId="77777777" w:rsidR="00705E95" w:rsidRPr="008C58FF" w:rsidRDefault="00705E95" w:rsidP="00CE647C">
            <w:pPr>
              <w:pStyle w:val="BodyText"/>
              <w:jc w:val="center"/>
              <w:rPr>
                <w:color w:val="221F1F"/>
                <w:lang w:val="en-IN"/>
              </w:rPr>
            </w:pPr>
            <w:r w:rsidRPr="008C58FF">
              <w:rPr>
                <w:color w:val="000000"/>
              </w:rPr>
              <w:t>4.31±0.14</w:t>
            </w:r>
          </w:p>
        </w:tc>
        <w:tc>
          <w:tcPr>
            <w:tcW w:w="0" w:type="auto"/>
            <w:vAlign w:val="center"/>
          </w:tcPr>
          <w:p w14:paraId="43003F28" w14:textId="77777777" w:rsidR="00705E95" w:rsidRPr="008C58FF" w:rsidRDefault="00705E95" w:rsidP="00CE647C">
            <w:pPr>
              <w:pStyle w:val="BodyText"/>
              <w:jc w:val="center"/>
              <w:rPr>
                <w:color w:val="221F1F"/>
                <w:lang w:val="en-IN"/>
              </w:rPr>
            </w:pPr>
            <w:r w:rsidRPr="008C58FF">
              <w:rPr>
                <w:color w:val="000000"/>
              </w:rPr>
              <w:t>4.09±0.08</w:t>
            </w:r>
          </w:p>
        </w:tc>
        <w:tc>
          <w:tcPr>
            <w:tcW w:w="0" w:type="auto"/>
            <w:vAlign w:val="center"/>
          </w:tcPr>
          <w:p w14:paraId="7B83B898" w14:textId="77777777" w:rsidR="00705E95" w:rsidRPr="008C58FF" w:rsidRDefault="00705E95" w:rsidP="00CE647C">
            <w:pPr>
              <w:pStyle w:val="BodyText"/>
              <w:jc w:val="center"/>
              <w:rPr>
                <w:color w:val="221F1F"/>
                <w:lang w:val="en-IN"/>
              </w:rPr>
            </w:pPr>
            <w:r w:rsidRPr="008C58FF">
              <w:rPr>
                <w:color w:val="000000"/>
              </w:rPr>
              <w:t>2.31</w:t>
            </w:r>
            <w:r w:rsidRPr="008C58FF">
              <w:rPr>
                <w:b/>
                <w:bCs/>
                <w:color w:val="000000"/>
                <w:vertAlign w:val="superscript"/>
                <w:lang w:eastAsia="en-IN" w:bidi="ta-IN"/>
              </w:rPr>
              <w:t>NS</w:t>
            </w:r>
          </w:p>
        </w:tc>
      </w:tr>
      <w:tr w:rsidR="00705E95" w:rsidRPr="008C58FF" w14:paraId="393A0075" w14:textId="77777777" w:rsidTr="00FD00A0">
        <w:trPr>
          <w:trHeight w:val="421"/>
        </w:trPr>
        <w:tc>
          <w:tcPr>
            <w:tcW w:w="2985" w:type="dxa"/>
            <w:vAlign w:val="center"/>
          </w:tcPr>
          <w:p w14:paraId="484B7F95" w14:textId="77777777" w:rsidR="00705E95" w:rsidRPr="008C58FF" w:rsidRDefault="00705E95" w:rsidP="00CE647C">
            <w:pPr>
              <w:pStyle w:val="BodyText"/>
              <w:rPr>
                <w:color w:val="221F1F"/>
                <w:lang w:val="en-IN"/>
              </w:rPr>
            </w:pPr>
            <w:r w:rsidRPr="008C58FF">
              <w:rPr>
                <w:color w:val="000000"/>
              </w:rPr>
              <w:t xml:space="preserve">Ready to cook wt. </w:t>
            </w:r>
            <w:r w:rsidRPr="008C58FF">
              <w:rPr>
                <w:color w:val="000000"/>
                <w:spacing w:val="-2"/>
              </w:rPr>
              <w:t>(</w:t>
            </w:r>
            <w:r w:rsidRPr="008C58FF">
              <w:rPr>
                <w:color w:val="000000"/>
              </w:rPr>
              <w:t>%)</w:t>
            </w:r>
          </w:p>
        </w:tc>
        <w:tc>
          <w:tcPr>
            <w:tcW w:w="1871" w:type="dxa"/>
            <w:vAlign w:val="center"/>
          </w:tcPr>
          <w:p w14:paraId="136A64D4" w14:textId="77777777" w:rsidR="00705E95" w:rsidRPr="008C58FF" w:rsidRDefault="00705E95" w:rsidP="00CE647C">
            <w:pPr>
              <w:pStyle w:val="BodyText"/>
              <w:jc w:val="center"/>
              <w:rPr>
                <w:color w:val="221F1F"/>
                <w:lang w:val="en-IN"/>
              </w:rPr>
            </w:pPr>
            <w:r w:rsidRPr="008C58FF">
              <w:rPr>
                <w:color w:val="000000"/>
              </w:rPr>
              <w:t>79.72±0.72</w:t>
            </w:r>
          </w:p>
        </w:tc>
        <w:tc>
          <w:tcPr>
            <w:tcW w:w="0" w:type="auto"/>
            <w:vAlign w:val="center"/>
          </w:tcPr>
          <w:p w14:paraId="73AAC97E" w14:textId="77777777" w:rsidR="00705E95" w:rsidRPr="008C58FF" w:rsidRDefault="00705E95" w:rsidP="00CE647C">
            <w:pPr>
              <w:pStyle w:val="BodyText"/>
              <w:jc w:val="center"/>
              <w:rPr>
                <w:color w:val="221F1F"/>
                <w:lang w:val="en-IN"/>
              </w:rPr>
            </w:pPr>
            <w:r w:rsidRPr="008C58FF">
              <w:rPr>
                <w:color w:val="000000"/>
              </w:rPr>
              <w:t>76.26±1.61</w:t>
            </w:r>
          </w:p>
        </w:tc>
        <w:tc>
          <w:tcPr>
            <w:tcW w:w="0" w:type="auto"/>
            <w:vAlign w:val="center"/>
          </w:tcPr>
          <w:p w14:paraId="7A00D49D" w14:textId="77777777" w:rsidR="00705E95" w:rsidRPr="008C58FF" w:rsidRDefault="00705E95" w:rsidP="00CE647C">
            <w:pPr>
              <w:pStyle w:val="BodyText"/>
              <w:jc w:val="center"/>
              <w:rPr>
                <w:color w:val="221F1F"/>
                <w:lang w:val="en-IN"/>
              </w:rPr>
            </w:pPr>
            <w:r w:rsidRPr="008C58FF">
              <w:rPr>
                <w:color w:val="000000"/>
              </w:rPr>
              <w:t>77.74±0.44</w:t>
            </w:r>
          </w:p>
        </w:tc>
        <w:tc>
          <w:tcPr>
            <w:tcW w:w="0" w:type="auto"/>
            <w:vAlign w:val="center"/>
          </w:tcPr>
          <w:p w14:paraId="0CE99655" w14:textId="77777777" w:rsidR="00705E95" w:rsidRPr="008C58FF" w:rsidRDefault="00705E95" w:rsidP="00CE647C">
            <w:pPr>
              <w:pStyle w:val="BodyText"/>
              <w:jc w:val="center"/>
              <w:rPr>
                <w:color w:val="221F1F"/>
                <w:lang w:val="en-IN"/>
              </w:rPr>
            </w:pPr>
            <w:r w:rsidRPr="008C58FF">
              <w:rPr>
                <w:color w:val="000000"/>
              </w:rPr>
              <w:t>78.43±0.40</w:t>
            </w:r>
          </w:p>
        </w:tc>
        <w:tc>
          <w:tcPr>
            <w:tcW w:w="0" w:type="auto"/>
            <w:vAlign w:val="center"/>
          </w:tcPr>
          <w:p w14:paraId="7838E1C3" w14:textId="77777777" w:rsidR="00705E95" w:rsidRPr="008C58FF" w:rsidRDefault="00705E95" w:rsidP="00CE647C">
            <w:pPr>
              <w:pStyle w:val="BodyText"/>
              <w:jc w:val="center"/>
              <w:rPr>
                <w:color w:val="221F1F"/>
                <w:lang w:val="en-IN"/>
              </w:rPr>
            </w:pPr>
            <w:r w:rsidRPr="008C58FF">
              <w:rPr>
                <w:color w:val="000000"/>
              </w:rPr>
              <w:t>2.38</w:t>
            </w:r>
            <w:r w:rsidRPr="008C58FF">
              <w:rPr>
                <w:b/>
                <w:bCs/>
                <w:color w:val="000000"/>
                <w:vertAlign w:val="superscript"/>
                <w:lang w:eastAsia="en-IN" w:bidi="ta-IN"/>
              </w:rPr>
              <w:t>NS</w:t>
            </w:r>
          </w:p>
        </w:tc>
      </w:tr>
      <w:tr w:rsidR="008B4FEB" w:rsidRPr="008C58FF" w14:paraId="09E9C18F" w14:textId="77777777" w:rsidTr="00BE7CCF">
        <w:trPr>
          <w:trHeight w:val="427"/>
        </w:trPr>
        <w:tc>
          <w:tcPr>
            <w:tcW w:w="10780" w:type="dxa"/>
            <w:gridSpan w:val="6"/>
            <w:vAlign w:val="center"/>
          </w:tcPr>
          <w:p w14:paraId="7155F6CB" w14:textId="04DC7759" w:rsidR="008B4FEB" w:rsidRPr="008C58FF" w:rsidRDefault="008B4FEB" w:rsidP="00CE647C">
            <w:pPr>
              <w:pStyle w:val="BodyText"/>
              <w:rPr>
                <w:b/>
                <w:bCs/>
                <w:color w:val="000000"/>
              </w:rPr>
            </w:pPr>
            <w:r w:rsidRPr="008C58FF">
              <w:rPr>
                <w:b/>
                <w:bCs/>
                <w:color w:val="000000"/>
              </w:rPr>
              <w:t>Cut-up parts (%)</w:t>
            </w:r>
          </w:p>
        </w:tc>
      </w:tr>
      <w:tr w:rsidR="008B4FEB" w:rsidRPr="008C58FF" w14:paraId="49ED122D" w14:textId="77777777" w:rsidTr="00CE647C">
        <w:trPr>
          <w:trHeight w:val="419"/>
        </w:trPr>
        <w:tc>
          <w:tcPr>
            <w:tcW w:w="2985" w:type="dxa"/>
            <w:vAlign w:val="center"/>
          </w:tcPr>
          <w:p w14:paraId="5B9B4C67" w14:textId="087B01ED" w:rsidR="008B4FEB" w:rsidRPr="008C58FF" w:rsidRDefault="008B4FEB" w:rsidP="00CE647C">
            <w:pPr>
              <w:pStyle w:val="BodyText"/>
              <w:rPr>
                <w:color w:val="000000"/>
              </w:rPr>
            </w:pPr>
            <w:r w:rsidRPr="008C58FF">
              <w:rPr>
                <w:color w:val="000000"/>
                <w:spacing w:val="-2"/>
              </w:rPr>
              <w:t xml:space="preserve">Breast weight </w:t>
            </w:r>
          </w:p>
        </w:tc>
        <w:tc>
          <w:tcPr>
            <w:tcW w:w="1871" w:type="dxa"/>
            <w:vAlign w:val="bottom"/>
          </w:tcPr>
          <w:p w14:paraId="6FCEEE3F" w14:textId="720587AF" w:rsidR="008B4FEB" w:rsidRPr="008C58FF" w:rsidRDefault="008B4FEB" w:rsidP="00CE647C">
            <w:pPr>
              <w:pStyle w:val="BodyText"/>
              <w:jc w:val="center"/>
              <w:rPr>
                <w:color w:val="000000"/>
              </w:rPr>
            </w:pPr>
            <w:r w:rsidRPr="008C58FF">
              <w:rPr>
                <w:color w:val="000000"/>
              </w:rPr>
              <w:t>38.90±0.73</w:t>
            </w:r>
          </w:p>
        </w:tc>
        <w:tc>
          <w:tcPr>
            <w:tcW w:w="0" w:type="auto"/>
            <w:vAlign w:val="bottom"/>
          </w:tcPr>
          <w:p w14:paraId="7096D720" w14:textId="59333351" w:rsidR="008B4FEB" w:rsidRPr="008C58FF" w:rsidRDefault="008B4FEB" w:rsidP="00CE647C">
            <w:pPr>
              <w:pStyle w:val="BodyText"/>
              <w:jc w:val="center"/>
              <w:rPr>
                <w:color w:val="000000"/>
              </w:rPr>
            </w:pPr>
            <w:r w:rsidRPr="008C58FF">
              <w:rPr>
                <w:color w:val="000000"/>
              </w:rPr>
              <w:t>39.09±0.67</w:t>
            </w:r>
          </w:p>
        </w:tc>
        <w:tc>
          <w:tcPr>
            <w:tcW w:w="0" w:type="auto"/>
            <w:vAlign w:val="bottom"/>
          </w:tcPr>
          <w:p w14:paraId="65C7EAB9" w14:textId="1C449640" w:rsidR="008B4FEB" w:rsidRPr="008C58FF" w:rsidRDefault="008B4FEB" w:rsidP="00CE647C">
            <w:pPr>
              <w:pStyle w:val="BodyText"/>
              <w:jc w:val="center"/>
              <w:rPr>
                <w:color w:val="000000"/>
              </w:rPr>
            </w:pPr>
            <w:r w:rsidRPr="008C58FF">
              <w:rPr>
                <w:color w:val="000000"/>
              </w:rPr>
              <w:t>37.29±1.02</w:t>
            </w:r>
          </w:p>
        </w:tc>
        <w:tc>
          <w:tcPr>
            <w:tcW w:w="0" w:type="auto"/>
            <w:vAlign w:val="bottom"/>
          </w:tcPr>
          <w:p w14:paraId="41849E0A" w14:textId="0E44D757" w:rsidR="008B4FEB" w:rsidRPr="008C58FF" w:rsidRDefault="008B4FEB" w:rsidP="00CE647C">
            <w:pPr>
              <w:pStyle w:val="BodyText"/>
              <w:jc w:val="center"/>
              <w:rPr>
                <w:color w:val="000000"/>
              </w:rPr>
            </w:pPr>
            <w:r w:rsidRPr="008C58FF">
              <w:rPr>
                <w:color w:val="000000"/>
              </w:rPr>
              <w:t>37.33±1.25</w:t>
            </w:r>
          </w:p>
        </w:tc>
        <w:tc>
          <w:tcPr>
            <w:tcW w:w="0" w:type="auto"/>
            <w:vAlign w:val="bottom"/>
          </w:tcPr>
          <w:p w14:paraId="17AFAF84" w14:textId="0205E007" w:rsidR="008B4FEB" w:rsidRPr="008C58FF" w:rsidRDefault="008B4FEB" w:rsidP="00CE647C">
            <w:pPr>
              <w:pStyle w:val="BodyText"/>
              <w:jc w:val="center"/>
              <w:rPr>
                <w:color w:val="000000"/>
              </w:rPr>
            </w:pPr>
            <w:r w:rsidRPr="008C58FF">
              <w:rPr>
                <w:color w:val="000000"/>
              </w:rPr>
              <w:t>1.06</w:t>
            </w:r>
            <w:r w:rsidRPr="008C58FF">
              <w:rPr>
                <w:b/>
                <w:bCs/>
                <w:color w:val="000000"/>
                <w:vertAlign w:val="superscript"/>
                <w:lang w:eastAsia="en-IN" w:bidi="ta-IN"/>
              </w:rPr>
              <w:t>NS</w:t>
            </w:r>
          </w:p>
        </w:tc>
      </w:tr>
      <w:tr w:rsidR="008B4FEB" w:rsidRPr="008C58FF" w14:paraId="08290FC0" w14:textId="77777777" w:rsidTr="00CE647C">
        <w:trPr>
          <w:trHeight w:val="411"/>
        </w:trPr>
        <w:tc>
          <w:tcPr>
            <w:tcW w:w="2985" w:type="dxa"/>
            <w:vAlign w:val="center"/>
          </w:tcPr>
          <w:p w14:paraId="5DF817B6" w14:textId="36702198" w:rsidR="008B4FEB" w:rsidRPr="008C58FF" w:rsidRDefault="008B4FEB" w:rsidP="00CE647C">
            <w:pPr>
              <w:pStyle w:val="BodyText"/>
              <w:rPr>
                <w:color w:val="000000"/>
              </w:rPr>
            </w:pPr>
            <w:r w:rsidRPr="008C58FF">
              <w:rPr>
                <w:color w:val="000000"/>
                <w:spacing w:val="-2"/>
              </w:rPr>
              <w:t xml:space="preserve">Back weight </w:t>
            </w:r>
          </w:p>
        </w:tc>
        <w:tc>
          <w:tcPr>
            <w:tcW w:w="1871" w:type="dxa"/>
            <w:vAlign w:val="bottom"/>
          </w:tcPr>
          <w:p w14:paraId="11B2823A" w14:textId="06C58EC7" w:rsidR="008B4FEB" w:rsidRPr="008C58FF" w:rsidRDefault="008B4FEB" w:rsidP="00CE647C">
            <w:pPr>
              <w:pStyle w:val="BodyText"/>
              <w:jc w:val="center"/>
              <w:rPr>
                <w:color w:val="000000"/>
              </w:rPr>
            </w:pPr>
            <w:r w:rsidRPr="008C58FF">
              <w:rPr>
                <w:color w:val="000000"/>
              </w:rPr>
              <w:t>19.34±0.53</w:t>
            </w:r>
          </w:p>
        </w:tc>
        <w:tc>
          <w:tcPr>
            <w:tcW w:w="0" w:type="auto"/>
            <w:vAlign w:val="bottom"/>
          </w:tcPr>
          <w:p w14:paraId="083AAE23" w14:textId="64032881" w:rsidR="008B4FEB" w:rsidRPr="008C58FF" w:rsidRDefault="008B4FEB" w:rsidP="00CE647C">
            <w:pPr>
              <w:pStyle w:val="BodyText"/>
              <w:jc w:val="center"/>
              <w:rPr>
                <w:color w:val="000000"/>
              </w:rPr>
            </w:pPr>
            <w:r w:rsidRPr="008C58FF">
              <w:rPr>
                <w:color w:val="000000"/>
              </w:rPr>
              <w:t>19.52±0.46</w:t>
            </w:r>
          </w:p>
        </w:tc>
        <w:tc>
          <w:tcPr>
            <w:tcW w:w="0" w:type="auto"/>
            <w:vAlign w:val="bottom"/>
          </w:tcPr>
          <w:p w14:paraId="4E3717A2" w14:textId="6835D040" w:rsidR="008B4FEB" w:rsidRPr="008C58FF" w:rsidRDefault="008B4FEB" w:rsidP="00CE647C">
            <w:pPr>
              <w:pStyle w:val="BodyText"/>
              <w:jc w:val="center"/>
              <w:rPr>
                <w:color w:val="000000"/>
              </w:rPr>
            </w:pPr>
            <w:r w:rsidRPr="008C58FF">
              <w:rPr>
                <w:color w:val="000000"/>
              </w:rPr>
              <w:t>19.66±1.24</w:t>
            </w:r>
          </w:p>
        </w:tc>
        <w:tc>
          <w:tcPr>
            <w:tcW w:w="0" w:type="auto"/>
            <w:vAlign w:val="bottom"/>
          </w:tcPr>
          <w:p w14:paraId="32926E0E" w14:textId="73831CF6" w:rsidR="008B4FEB" w:rsidRPr="008C58FF" w:rsidRDefault="008B4FEB" w:rsidP="00CE647C">
            <w:pPr>
              <w:pStyle w:val="BodyText"/>
              <w:jc w:val="center"/>
              <w:rPr>
                <w:color w:val="000000"/>
              </w:rPr>
            </w:pPr>
            <w:r w:rsidRPr="008C58FF">
              <w:rPr>
                <w:color w:val="000000"/>
              </w:rPr>
              <w:t>19.63±0.48</w:t>
            </w:r>
          </w:p>
        </w:tc>
        <w:tc>
          <w:tcPr>
            <w:tcW w:w="0" w:type="auto"/>
            <w:vAlign w:val="bottom"/>
          </w:tcPr>
          <w:p w14:paraId="3694DE83" w14:textId="07FAF0EC" w:rsidR="008B4FEB" w:rsidRPr="008C58FF" w:rsidRDefault="008B4FEB" w:rsidP="00CE647C">
            <w:pPr>
              <w:pStyle w:val="BodyText"/>
              <w:jc w:val="center"/>
              <w:rPr>
                <w:color w:val="000000"/>
              </w:rPr>
            </w:pPr>
            <w:r w:rsidRPr="008C58FF">
              <w:rPr>
                <w:color w:val="000000"/>
              </w:rPr>
              <w:t>0.04</w:t>
            </w:r>
            <w:r w:rsidRPr="008C58FF">
              <w:rPr>
                <w:b/>
                <w:bCs/>
                <w:color w:val="000000"/>
                <w:vertAlign w:val="superscript"/>
                <w:lang w:eastAsia="en-IN" w:bidi="ta-IN"/>
              </w:rPr>
              <w:t>NS</w:t>
            </w:r>
          </w:p>
        </w:tc>
      </w:tr>
      <w:tr w:rsidR="008B4FEB" w:rsidRPr="008C58FF" w14:paraId="26C9F406" w14:textId="77777777" w:rsidTr="00FD00A0">
        <w:trPr>
          <w:trHeight w:val="407"/>
        </w:trPr>
        <w:tc>
          <w:tcPr>
            <w:tcW w:w="2985" w:type="dxa"/>
            <w:vAlign w:val="center"/>
          </w:tcPr>
          <w:p w14:paraId="3E42E2C5" w14:textId="40F94269" w:rsidR="008B4FEB" w:rsidRPr="008C58FF" w:rsidRDefault="008B4FEB" w:rsidP="00CE647C">
            <w:pPr>
              <w:pStyle w:val="BodyText"/>
              <w:rPr>
                <w:color w:val="000000"/>
              </w:rPr>
            </w:pPr>
            <w:r w:rsidRPr="008C58FF">
              <w:rPr>
                <w:color w:val="000000"/>
                <w:spacing w:val="-2"/>
              </w:rPr>
              <w:t xml:space="preserve">Thigh weight </w:t>
            </w:r>
          </w:p>
        </w:tc>
        <w:tc>
          <w:tcPr>
            <w:tcW w:w="1871" w:type="dxa"/>
            <w:vAlign w:val="bottom"/>
          </w:tcPr>
          <w:p w14:paraId="27028818" w14:textId="35758439" w:rsidR="008B4FEB" w:rsidRPr="008C58FF" w:rsidRDefault="008B4FEB" w:rsidP="00CE647C">
            <w:pPr>
              <w:pStyle w:val="BodyText"/>
              <w:jc w:val="center"/>
              <w:rPr>
                <w:color w:val="000000"/>
              </w:rPr>
            </w:pPr>
            <w:r w:rsidRPr="008C58FF">
              <w:rPr>
                <w:color w:val="000000"/>
              </w:rPr>
              <w:t>14.13±0.45</w:t>
            </w:r>
          </w:p>
        </w:tc>
        <w:tc>
          <w:tcPr>
            <w:tcW w:w="0" w:type="auto"/>
            <w:vAlign w:val="bottom"/>
          </w:tcPr>
          <w:p w14:paraId="272BC31B" w14:textId="785E3C85" w:rsidR="008B4FEB" w:rsidRPr="008C58FF" w:rsidRDefault="008B4FEB" w:rsidP="00CE647C">
            <w:pPr>
              <w:pStyle w:val="BodyText"/>
              <w:jc w:val="center"/>
              <w:rPr>
                <w:color w:val="000000"/>
              </w:rPr>
            </w:pPr>
            <w:r w:rsidRPr="008C58FF">
              <w:rPr>
                <w:color w:val="000000"/>
              </w:rPr>
              <w:t>13.16±0.10</w:t>
            </w:r>
          </w:p>
        </w:tc>
        <w:tc>
          <w:tcPr>
            <w:tcW w:w="0" w:type="auto"/>
            <w:vAlign w:val="bottom"/>
          </w:tcPr>
          <w:p w14:paraId="54E8BA19" w14:textId="5244B4E6" w:rsidR="008B4FEB" w:rsidRPr="008C58FF" w:rsidRDefault="008B4FEB" w:rsidP="00CE647C">
            <w:pPr>
              <w:pStyle w:val="BodyText"/>
              <w:jc w:val="center"/>
              <w:rPr>
                <w:color w:val="000000"/>
              </w:rPr>
            </w:pPr>
            <w:r w:rsidRPr="008C58FF">
              <w:rPr>
                <w:color w:val="000000"/>
              </w:rPr>
              <w:t>13.57±0.71</w:t>
            </w:r>
          </w:p>
        </w:tc>
        <w:tc>
          <w:tcPr>
            <w:tcW w:w="0" w:type="auto"/>
            <w:vAlign w:val="bottom"/>
          </w:tcPr>
          <w:p w14:paraId="7F38425F" w14:textId="30DCBBB0" w:rsidR="008B4FEB" w:rsidRPr="008C58FF" w:rsidRDefault="008B4FEB" w:rsidP="00CE647C">
            <w:pPr>
              <w:pStyle w:val="BodyText"/>
              <w:jc w:val="center"/>
              <w:rPr>
                <w:color w:val="000000"/>
              </w:rPr>
            </w:pPr>
            <w:r w:rsidRPr="008C58FF">
              <w:rPr>
                <w:color w:val="000000"/>
              </w:rPr>
              <w:t>12.82±0.39</w:t>
            </w:r>
          </w:p>
        </w:tc>
        <w:tc>
          <w:tcPr>
            <w:tcW w:w="0" w:type="auto"/>
            <w:vAlign w:val="bottom"/>
          </w:tcPr>
          <w:p w14:paraId="2C5728EE" w14:textId="1F192A81" w:rsidR="008B4FEB" w:rsidRPr="008C58FF" w:rsidRDefault="008B4FEB" w:rsidP="00CE647C">
            <w:pPr>
              <w:pStyle w:val="BodyText"/>
              <w:jc w:val="center"/>
              <w:rPr>
                <w:color w:val="000000"/>
              </w:rPr>
            </w:pPr>
            <w:r w:rsidRPr="008C58FF">
              <w:rPr>
                <w:color w:val="000000"/>
              </w:rPr>
              <w:t>1.46</w:t>
            </w:r>
            <w:r w:rsidRPr="008C58FF">
              <w:rPr>
                <w:b/>
                <w:bCs/>
                <w:color w:val="000000"/>
                <w:vertAlign w:val="superscript"/>
                <w:lang w:eastAsia="en-IN" w:bidi="ta-IN"/>
              </w:rPr>
              <w:t>NS</w:t>
            </w:r>
          </w:p>
        </w:tc>
      </w:tr>
      <w:tr w:rsidR="008B4FEB" w:rsidRPr="008C58FF" w14:paraId="05176A25" w14:textId="77777777" w:rsidTr="00BE7CCF">
        <w:trPr>
          <w:trHeight w:val="412"/>
        </w:trPr>
        <w:tc>
          <w:tcPr>
            <w:tcW w:w="2985" w:type="dxa"/>
            <w:vAlign w:val="center"/>
          </w:tcPr>
          <w:p w14:paraId="17978E4E" w14:textId="238048FE" w:rsidR="008B4FEB" w:rsidRPr="008C58FF" w:rsidRDefault="008B4FEB" w:rsidP="00CE647C">
            <w:pPr>
              <w:pStyle w:val="BodyText"/>
              <w:rPr>
                <w:color w:val="000000"/>
              </w:rPr>
            </w:pPr>
            <w:r w:rsidRPr="008C58FF">
              <w:rPr>
                <w:color w:val="000000"/>
                <w:spacing w:val="-2"/>
              </w:rPr>
              <w:t xml:space="preserve">Drumstick weight </w:t>
            </w:r>
          </w:p>
        </w:tc>
        <w:tc>
          <w:tcPr>
            <w:tcW w:w="1871" w:type="dxa"/>
            <w:vAlign w:val="bottom"/>
          </w:tcPr>
          <w:p w14:paraId="2C3AF611" w14:textId="0B7CFF9C" w:rsidR="008B4FEB" w:rsidRPr="008C58FF" w:rsidRDefault="008B4FEB" w:rsidP="00CE647C">
            <w:pPr>
              <w:pStyle w:val="BodyText"/>
              <w:jc w:val="center"/>
              <w:rPr>
                <w:color w:val="000000"/>
              </w:rPr>
            </w:pPr>
            <w:r w:rsidRPr="008C58FF">
              <w:rPr>
                <w:color w:val="000000"/>
              </w:rPr>
              <w:t>12.91±0.33</w:t>
            </w:r>
          </w:p>
        </w:tc>
        <w:tc>
          <w:tcPr>
            <w:tcW w:w="0" w:type="auto"/>
            <w:vAlign w:val="bottom"/>
          </w:tcPr>
          <w:p w14:paraId="6CFEB8B3" w14:textId="5566B426" w:rsidR="008B4FEB" w:rsidRPr="008C58FF" w:rsidRDefault="008B4FEB" w:rsidP="00CE647C">
            <w:pPr>
              <w:pStyle w:val="BodyText"/>
              <w:jc w:val="center"/>
              <w:rPr>
                <w:color w:val="000000"/>
              </w:rPr>
            </w:pPr>
            <w:r w:rsidRPr="008C58FF">
              <w:rPr>
                <w:color w:val="000000"/>
              </w:rPr>
              <w:t>12.52±0.33</w:t>
            </w:r>
          </w:p>
        </w:tc>
        <w:tc>
          <w:tcPr>
            <w:tcW w:w="0" w:type="auto"/>
            <w:vAlign w:val="bottom"/>
          </w:tcPr>
          <w:p w14:paraId="030092A8" w14:textId="601A03A6" w:rsidR="008B4FEB" w:rsidRPr="008C58FF" w:rsidRDefault="008B4FEB" w:rsidP="00CE647C">
            <w:pPr>
              <w:pStyle w:val="BodyText"/>
              <w:jc w:val="center"/>
              <w:rPr>
                <w:color w:val="000000"/>
              </w:rPr>
            </w:pPr>
            <w:r w:rsidRPr="008C58FF">
              <w:rPr>
                <w:color w:val="000000"/>
              </w:rPr>
              <w:t>13.12±0.77</w:t>
            </w:r>
          </w:p>
        </w:tc>
        <w:tc>
          <w:tcPr>
            <w:tcW w:w="0" w:type="auto"/>
            <w:vAlign w:val="bottom"/>
          </w:tcPr>
          <w:p w14:paraId="4806F299" w14:textId="610ADC15" w:rsidR="008B4FEB" w:rsidRPr="008C58FF" w:rsidRDefault="008B4FEB" w:rsidP="00CE647C">
            <w:pPr>
              <w:pStyle w:val="BodyText"/>
              <w:jc w:val="center"/>
              <w:rPr>
                <w:color w:val="000000"/>
              </w:rPr>
            </w:pPr>
            <w:r w:rsidRPr="008C58FF">
              <w:rPr>
                <w:color w:val="000000"/>
              </w:rPr>
              <w:t>12.95±0.43</w:t>
            </w:r>
          </w:p>
        </w:tc>
        <w:tc>
          <w:tcPr>
            <w:tcW w:w="0" w:type="auto"/>
            <w:vAlign w:val="bottom"/>
          </w:tcPr>
          <w:p w14:paraId="4D95C0EF" w14:textId="78A9F73B" w:rsidR="008B4FEB" w:rsidRPr="008C58FF" w:rsidRDefault="008B4FEB" w:rsidP="00CE647C">
            <w:pPr>
              <w:pStyle w:val="BodyText"/>
              <w:jc w:val="center"/>
              <w:rPr>
                <w:color w:val="000000"/>
              </w:rPr>
            </w:pPr>
            <w:r w:rsidRPr="008C58FF">
              <w:rPr>
                <w:color w:val="000000"/>
              </w:rPr>
              <w:t>0.26</w:t>
            </w:r>
            <w:r w:rsidRPr="008C58FF">
              <w:rPr>
                <w:b/>
                <w:bCs/>
                <w:color w:val="000000"/>
                <w:vertAlign w:val="superscript"/>
                <w:lang w:eastAsia="en-IN" w:bidi="ta-IN"/>
              </w:rPr>
              <w:t>NS</w:t>
            </w:r>
          </w:p>
        </w:tc>
      </w:tr>
      <w:tr w:rsidR="008B4FEB" w:rsidRPr="008C58FF" w14:paraId="6F4BA44B" w14:textId="77777777" w:rsidTr="00BE7CCF">
        <w:trPr>
          <w:trHeight w:val="345"/>
        </w:trPr>
        <w:tc>
          <w:tcPr>
            <w:tcW w:w="2985" w:type="dxa"/>
            <w:vAlign w:val="center"/>
          </w:tcPr>
          <w:p w14:paraId="6BB967DD" w14:textId="2B7E77F7" w:rsidR="008B4FEB" w:rsidRPr="008C58FF" w:rsidRDefault="008B4FEB" w:rsidP="00CE647C">
            <w:pPr>
              <w:pStyle w:val="BodyText"/>
              <w:rPr>
                <w:color w:val="000000"/>
              </w:rPr>
            </w:pPr>
            <w:r w:rsidRPr="008C58FF">
              <w:rPr>
                <w:color w:val="000000"/>
                <w:spacing w:val="-2"/>
              </w:rPr>
              <w:t xml:space="preserve">Wing weight </w:t>
            </w:r>
          </w:p>
        </w:tc>
        <w:tc>
          <w:tcPr>
            <w:tcW w:w="1871" w:type="dxa"/>
            <w:vAlign w:val="bottom"/>
          </w:tcPr>
          <w:p w14:paraId="42D28405" w14:textId="2DCCF701" w:rsidR="008B4FEB" w:rsidRPr="008C58FF" w:rsidRDefault="008B4FEB" w:rsidP="00CE647C">
            <w:pPr>
              <w:pStyle w:val="BodyText"/>
              <w:jc w:val="center"/>
              <w:rPr>
                <w:color w:val="000000"/>
              </w:rPr>
            </w:pPr>
            <w:r w:rsidRPr="008C58FF">
              <w:rPr>
                <w:color w:val="000000"/>
              </w:rPr>
              <w:t>9.82±0.26</w:t>
            </w:r>
          </w:p>
        </w:tc>
        <w:tc>
          <w:tcPr>
            <w:tcW w:w="0" w:type="auto"/>
            <w:vAlign w:val="bottom"/>
          </w:tcPr>
          <w:p w14:paraId="211F7BAD" w14:textId="2B2CA4A7" w:rsidR="008B4FEB" w:rsidRPr="008C58FF" w:rsidRDefault="008B4FEB" w:rsidP="00CE647C">
            <w:pPr>
              <w:pStyle w:val="BodyText"/>
              <w:jc w:val="center"/>
              <w:rPr>
                <w:color w:val="000000"/>
              </w:rPr>
            </w:pPr>
            <w:r w:rsidRPr="008C58FF">
              <w:rPr>
                <w:color w:val="000000"/>
              </w:rPr>
              <w:t>10.10±0.25</w:t>
            </w:r>
          </w:p>
        </w:tc>
        <w:tc>
          <w:tcPr>
            <w:tcW w:w="0" w:type="auto"/>
            <w:vAlign w:val="bottom"/>
          </w:tcPr>
          <w:p w14:paraId="4FD856BE" w14:textId="6AB5527D" w:rsidR="008B4FEB" w:rsidRPr="008C58FF" w:rsidRDefault="008B4FEB" w:rsidP="00CE647C">
            <w:pPr>
              <w:pStyle w:val="BodyText"/>
              <w:jc w:val="center"/>
              <w:rPr>
                <w:color w:val="000000"/>
              </w:rPr>
            </w:pPr>
            <w:r w:rsidRPr="008C58FF">
              <w:rPr>
                <w:color w:val="000000"/>
              </w:rPr>
              <w:t>9.93±0.11</w:t>
            </w:r>
          </w:p>
        </w:tc>
        <w:tc>
          <w:tcPr>
            <w:tcW w:w="0" w:type="auto"/>
            <w:vAlign w:val="bottom"/>
          </w:tcPr>
          <w:p w14:paraId="39848806" w14:textId="492A6B9D" w:rsidR="008B4FEB" w:rsidRPr="008C58FF" w:rsidRDefault="008B4FEB" w:rsidP="00CE647C">
            <w:pPr>
              <w:pStyle w:val="BodyText"/>
              <w:jc w:val="center"/>
              <w:rPr>
                <w:color w:val="000000"/>
              </w:rPr>
            </w:pPr>
            <w:r w:rsidRPr="008C58FF">
              <w:rPr>
                <w:color w:val="000000"/>
              </w:rPr>
              <w:t>10.48±0.26</w:t>
            </w:r>
          </w:p>
        </w:tc>
        <w:tc>
          <w:tcPr>
            <w:tcW w:w="0" w:type="auto"/>
            <w:vAlign w:val="bottom"/>
          </w:tcPr>
          <w:p w14:paraId="2C630F38" w14:textId="7B6F3694" w:rsidR="008B4FEB" w:rsidRPr="008C58FF" w:rsidRDefault="008B4FEB" w:rsidP="00CE647C">
            <w:pPr>
              <w:pStyle w:val="BodyText"/>
              <w:jc w:val="center"/>
              <w:rPr>
                <w:color w:val="000000"/>
              </w:rPr>
            </w:pPr>
            <w:r w:rsidRPr="008C58FF">
              <w:rPr>
                <w:color w:val="000000"/>
              </w:rPr>
              <w:t>1.59</w:t>
            </w:r>
            <w:r w:rsidRPr="008C58FF">
              <w:rPr>
                <w:b/>
                <w:bCs/>
                <w:color w:val="000000"/>
                <w:vertAlign w:val="superscript"/>
                <w:lang w:eastAsia="en-IN" w:bidi="ta-IN"/>
              </w:rPr>
              <w:t>NS</w:t>
            </w:r>
          </w:p>
        </w:tc>
      </w:tr>
      <w:tr w:rsidR="008B4FEB" w:rsidRPr="008C58FF" w14:paraId="70818EA3" w14:textId="77777777" w:rsidTr="00BE7CCF">
        <w:trPr>
          <w:trHeight w:val="407"/>
        </w:trPr>
        <w:tc>
          <w:tcPr>
            <w:tcW w:w="2985" w:type="dxa"/>
            <w:vAlign w:val="center"/>
          </w:tcPr>
          <w:p w14:paraId="5EC954D4" w14:textId="748DD615" w:rsidR="008B4FEB" w:rsidRPr="008C58FF" w:rsidRDefault="008B4FEB" w:rsidP="00CE647C">
            <w:pPr>
              <w:pStyle w:val="BodyText"/>
              <w:rPr>
                <w:color w:val="000000"/>
              </w:rPr>
            </w:pPr>
            <w:r w:rsidRPr="008C58FF">
              <w:rPr>
                <w:color w:val="000000"/>
                <w:spacing w:val="-2"/>
              </w:rPr>
              <w:t xml:space="preserve">Neck weight </w:t>
            </w:r>
          </w:p>
        </w:tc>
        <w:tc>
          <w:tcPr>
            <w:tcW w:w="1871" w:type="dxa"/>
            <w:vAlign w:val="bottom"/>
          </w:tcPr>
          <w:p w14:paraId="6CC83150" w14:textId="005AC976" w:rsidR="008B4FEB" w:rsidRPr="008C58FF" w:rsidRDefault="008B4FEB" w:rsidP="00CE647C">
            <w:pPr>
              <w:pStyle w:val="BodyText"/>
              <w:jc w:val="center"/>
              <w:rPr>
                <w:color w:val="000000"/>
              </w:rPr>
            </w:pPr>
            <w:r w:rsidRPr="008C58FF">
              <w:rPr>
                <w:color w:val="000000"/>
              </w:rPr>
              <w:t>4.89</w:t>
            </w:r>
            <w:r w:rsidRPr="008C58FF">
              <w:rPr>
                <w:color w:val="000000"/>
                <w:vertAlign w:val="superscript"/>
              </w:rPr>
              <w:t>c</w:t>
            </w:r>
            <w:r w:rsidRPr="008C58FF">
              <w:rPr>
                <w:color w:val="000000"/>
              </w:rPr>
              <w:t>±0.24</w:t>
            </w:r>
          </w:p>
        </w:tc>
        <w:tc>
          <w:tcPr>
            <w:tcW w:w="0" w:type="auto"/>
            <w:vAlign w:val="bottom"/>
          </w:tcPr>
          <w:p w14:paraId="5718C445" w14:textId="35EF61A6" w:rsidR="008B4FEB" w:rsidRPr="008C58FF" w:rsidRDefault="008B4FEB" w:rsidP="00CE647C">
            <w:pPr>
              <w:pStyle w:val="BodyText"/>
              <w:jc w:val="center"/>
              <w:rPr>
                <w:color w:val="000000"/>
              </w:rPr>
            </w:pPr>
            <w:r w:rsidRPr="008C58FF">
              <w:rPr>
                <w:color w:val="000000"/>
              </w:rPr>
              <w:t>5.62</w:t>
            </w:r>
            <w:r w:rsidRPr="008C58FF">
              <w:rPr>
                <w:color w:val="000000"/>
                <w:vertAlign w:val="superscript"/>
              </w:rPr>
              <w:t>bc</w:t>
            </w:r>
            <w:r w:rsidRPr="008C58FF">
              <w:rPr>
                <w:color w:val="000000"/>
              </w:rPr>
              <w:t>±0.32</w:t>
            </w:r>
          </w:p>
        </w:tc>
        <w:tc>
          <w:tcPr>
            <w:tcW w:w="0" w:type="auto"/>
            <w:vAlign w:val="bottom"/>
          </w:tcPr>
          <w:p w14:paraId="6C2E6ECB" w14:textId="3B81F679" w:rsidR="008B4FEB" w:rsidRPr="008C58FF" w:rsidRDefault="008B4FEB" w:rsidP="00CE647C">
            <w:pPr>
              <w:pStyle w:val="BodyText"/>
              <w:jc w:val="center"/>
              <w:rPr>
                <w:color w:val="000000"/>
              </w:rPr>
            </w:pPr>
            <w:r w:rsidRPr="008C58FF">
              <w:rPr>
                <w:color w:val="000000"/>
              </w:rPr>
              <w:t>6.43</w:t>
            </w:r>
            <w:r w:rsidRPr="008C58FF">
              <w:rPr>
                <w:color w:val="000000"/>
                <w:vertAlign w:val="superscript"/>
              </w:rPr>
              <w:t>ab</w:t>
            </w:r>
            <w:r w:rsidRPr="008C58FF">
              <w:rPr>
                <w:color w:val="000000"/>
              </w:rPr>
              <w:t>±0.40</w:t>
            </w:r>
          </w:p>
        </w:tc>
        <w:tc>
          <w:tcPr>
            <w:tcW w:w="0" w:type="auto"/>
            <w:vAlign w:val="bottom"/>
          </w:tcPr>
          <w:p w14:paraId="4C5D58E2" w14:textId="03D947AB" w:rsidR="008B4FEB" w:rsidRPr="008C58FF" w:rsidRDefault="008B4FEB" w:rsidP="00CE647C">
            <w:pPr>
              <w:pStyle w:val="BodyText"/>
              <w:jc w:val="center"/>
              <w:rPr>
                <w:color w:val="000000"/>
              </w:rPr>
            </w:pPr>
            <w:r w:rsidRPr="008C58FF">
              <w:rPr>
                <w:color w:val="000000"/>
              </w:rPr>
              <w:t>6.79</w:t>
            </w:r>
            <w:r w:rsidRPr="008C58FF">
              <w:rPr>
                <w:color w:val="000000"/>
                <w:vertAlign w:val="superscript"/>
              </w:rPr>
              <w:t>a</w:t>
            </w:r>
            <w:r w:rsidRPr="008C58FF">
              <w:rPr>
                <w:color w:val="000000"/>
              </w:rPr>
              <w:t>±0.38</w:t>
            </w:r>
          </w:p>
        </w:tc>
        <w:tc>
          <w:tcPr>
            <w:tcW w:w="0" w:type="auto"/>
            <w:vAlign w:val="bottom"/>
          </w:tcPr>
          <w:p w14:paraId="3427A8C0" w14:textId="419F1814" w:rsidR="008B4FEB" w:rsidRPr="008C58FF" w:rsidRDefault="008B4FEB" w:rsidP="00CE647C">
            <w:pPr>
              <w:pStyle w:val="BodyText"/>
              <w:jc w:val="center"/>
              <w:rPr>
                <w:color w:val="000000"/>
              </w:rPr>
            </w:pPr>
            <w:r w:rsidRPr="008C58FF">
              <w:rPr>
                <w:color w:val="000000"/>
              </w:rPr>
              <w:t>6.19</w:t>
            </w:r>
            <w:r w:rsidRPr="008C58FF">
              <w:rPr>
                <w:b/>
                <w:bCs/>
                <w:color w:val="000000"/>
                <w:vertAlign w:val="superscript"/>
                <w:lang w:eastAsia="en-IN" w:bidi="ta-IN"/>
              </w:rPr>
              <w:t>**</w:t>
            </w:r>
          </w:p>
        </w:tc>
      </w:tr>
      <w:tr w:rsidR="008B4FEB" w:rsidRPr="008C58FF" w14:paraId="6A021287" w14:textId="77777777" w:rsidTr="008B4FEB">
        <w:trPr>
          <w:trHeight w:val="622"/>
        </w:trPr>
        <w:tc>
          <w:tcPr>
            <w:tcW w:w="10780" w:type="dxa"/>
            <w:gridSpan w:val="6"/>
            <w:vAlign w:val="center"/>
          </w:tcPr>
          <w:p w14:paraId="5D5A3DCF" w14:textId="734558E1" w:rsidR="008B4FEB" w:rsidRPr="008C58FF" w:rsidRDefault="008B4FEB" w:rsidP="00CE647C">
            <w:pPr>
              <w:pStyle w:val="BodyText"/>
              <w:rPr>
                <w:b/>
                <w:bCs/>
                <w:color w:val="000000"/>
              </w:rPr>
            </w:pPr>
            <w:r w:rsidRPr="008C58FF">
              <w:rPr>
                <w:b/>
                <w:bCs/>
                <w:color w:val="000000"/>
              </w:rPr>
              <w:t>Relative organ weight (%)</w:t>
            </w:r>
          </w:p>
        </w:tc>
      </w:tr>
      <w:tr w:rsidR="008B4FEB" w:rsidRPr="008C58FF" w14:paraId="46659E9C" w14:textId="77777777" w:rsidTr="00BE7CCF">
        <w:trPr>
          <w:trHeight w:val="492"/>
        </w:trPr>
        <w:tc>
          <w:tcPr>
            <w:tcW w:w="2985" w:type="dxa"/>
            <w:vAlign w:val="center"/>
          </w:tcPr>
          <w:p w14:paraId="319D5186" w14:textId="7366193B" w:rsidR="008B4FEB" w:rsidRPr="008C58FF" w:rsidRDefault="008B4FEB" w:rsidP="00CE647C">
            <w:pPr>
              <w:pStyle w:val="BodyText"/>
              <w:rPr>
                <w:color w:val="000000"/>
              </w:rPr>
            </w:pPr>
            <w:r w:rsidRPr="008C58FF">
              <w:rPr>
                <w:color w:val="000000"/>
                <w:lang w:eastAsia="en-IN" w:bidi="ta-IN"/>
              </w:rPr>
              <w:t xml:space="preserve">Heart </w:t>
            </w:r>
          </w:p>
        </w:tc>
        <w:tc>
          <w:tcPr>
            <w:tcW w:w="1871" w:type="dxa"/>
            <w:vAlign w:val="bottom"/>
          </w:tcPr>
          <w:p w14:paraId="7B4D591E" w14:textId="2EE2D3E9" w:rsidR="008B4FEB" w:rsidRPr="008C58FF" w:rsidRDefault="008B4FEB" w:rsidP="00CE647C">
            <w:pPr>
              <w:pStyle w:val="BodyText"/>
              <w:jc w:val="center"/>
              <w:rPr>
                <w:color w:val="000000"/>
              </w:rPr>
            </w:pPr>
            <w:r w:rsidRPr="008C58FF">
              <w:rPr>
                <w:color w:val="000000"/>
              </w:rPr>
              <w:t>0.64±0.04</w:t>
            </w:r>
          </w:p>
        </w:tc>
        <w:tc>
          <w:tcPr>
            <w:tcW w:w="0" w:type="auto"/>
            <w:vAlign w:val="bottom"/>
          </w:tcPr>
          <w:p w14:paraId="6160D320" w14:textId="4EE865A3" w:rsidR="008B4FEB" w:rsidRPr="008C58FF" w:rsidRDefault="008B4FEB" w:rsidP="00CE647C">
            <w:pPr>
              <w:pStyle w:val="BodyText"/>
              <w:jc w:val="center"/>
              <w:rPr>
                <w:color w:val="000000"/>
              </w:rPr>
            </w:pPr>
            <w:r w:rsidRPr="008C58FF">
              <w:rPr>
                <w:color w:val="000000"/>
              </w:rPr>
              <w:t>0.58±0.03</w:t>
            </w:r>
          </w:p>
        </w:tc>
        <w:tc>
          <w:tcPr>
            <w:tcW w:w="0" w:type="auto"/>
            <w:vAlign w:val="bottom"/>
          </w:tcPr>
          <w:p w14:paraId="5A905CF2" w14:textId="44900FCE" w:rsidR="008B4FEB" w:rsidRPr="008C58FF" w:rsidRDefault="008B4FEB" w:rsidP="00CE647C">
            <w:pPr>
              <w:pStyle w:val="BodyText"/>
              <w:jc w:val="center"/>
              <w:rPr>
                <w:color w:val="000000"/>
              </w:rPr>
            </w:pPr>
            <w:r w:rsidRPr="008C58FF">
              <w:rPr>
                <w:color w:val="000000"/>
              </w:rPr>
              <w:t>0.56±0.03</w:t>
            </w:r>
          </w:p>
        </w:tc>
        <w:tc>
          <w:tcPr>
            <w:tcW w:w="0" w:type="auto"/>
            <w:vAlign w:val="bottom"/>
          </w:tcPr>
          <w:p w14:paraId="6F4AA673" w14:textId="65BB39C2" w:rsidR="008B4FEB" w:rsidRPr="008C58FF" w:rsidRDefault="008B4FEB" w:rsidP="00CE647C">
            <w:pPr>
              <w:pStyle w:val="BodyText"/>
              <w:jc w:val="center"/>
              <w:rPr>
                <w:color w:val="000000"/>
              </w:rPr>
            </w:pPr>
            <w:r w:rsidRPr="008C58FF">
              <w:rPr>
                <w:color w:val="000000"/>
              </w:rPr>
              <w:t>0.57±0.02</w:t>
            </w:r>
          </w:p>
        </w:tc>
        <w:tc>
          <w:tcPr>
            <w:tcW w:w="0" w:type="auto"/>
            <w:vAlign w:val="bottom"/>
          </w:tcPr>
          <w:p w14:paraId="1DE07141" w14:textId="5AA3C534" w:rsidR="008B4FEB" w:rsidRPr="008C58FF" w:rsidRDefault="008B4FEB" w:rsidP="00CE647C">
            <w:pPr>
              <w:pStyle w:val="BodyText"/>
              <w:jc w:val="center"/>
              <w:rPr>
                <w:color w:val="000000"/>
              </w:rPr>
            </w:pPr>
            <w:r w:rsidRPr="008C58FF">
              <w:rPr>
                <w:color w:val="000000"/>
              </w:rPr>
              <w:t>1.30</w:t>
            </w:r>
            <w:r w:rsidRPr="008C58FF">
              <w:rPr>
                <w:b/>
                <w:bCs/>
                <w:color w:val="000000"/>
                <w:vertAlign w:val="superscript"/>
                <w:lang w:eastAsia="en-IN" w:bidi="ta-IN"/>
              </w:rPr>
              <w:t>NS</w:t>
            </w:r>
          </w:p>
        </w:tc>
      </w:tr>
      <w:tr w:rsidR="008B4FEB" w:rsidRPr="008C58FF" w14:paraId="37E4E327" w14:textId="77777777" w:rsidTr="00BE7CCF">
        <w:trPr>
          <w:trHeight w:val="466"/>
        </w:trPr>
        <w:tc>
          <w:tcPr>
            <w:tcW w:w="2985" w:type="dxa"/>
            <w:vAlign w:val="center"/>
          </w:tcPr>
          <w:p w14:paraId="67455CF4" w14:textId="57D15426" w:rsidR="008B4FEB" w:rsidRPr="008C58FF" w:rsidRDefault="008B4FEB" w:rsidP="00CE647C">
            <w:pPr>
              <w:pStyle w:val="BodyText"/>
              <w:rPr>
                <w:color w:val="000000"/>
              </w:rPr>
            </w:pPr>
            <w:r w:rsidRPr="008C58FF">
              <w:rPr>
                <w:color w:val="000000"/>
                <w:lang w:eastAsia="en-IN" w:bidi="ta-IN"/>
              </w:rPr>
              <w:t xml:space="preserve">Liver </w:t>
            </w:r>
          </w:p>
        </w:tc>
        <w:tc>
          <w:tcPr>
            <w:tcW w:w="1871" w:type="dxa"/>
            <w:vAlign w:val="bottom"/>
          </w:tcPr>
          <w:p w14:paraId="6B0BE6AA" w14:textId="1496241A" w:rsidR="008B4FEB" w:rsidRPr="008C58FF" w:rsidRDefault="008B4FEB" w:rsidP="00CE647C">
            <w:pPr>
              <w:pStyle w:val="BodyText"/>
              <w:jc w:val="center"/>
              <w:rPr>
                <w:color w:val="000000"/>
              </w:rPr>
            </w:pPr>
            <w:r w:rsidRPr="008C58FF">
              <w:rPr>
                <w:color w:val="000000"/>
              </w:rPr>
              <w:t>1.87±0.14</w:t>
            </w:r>
          </w:p>
        </w:tc>
        <w:tc>
          <w:tcPr>
            <w:tcW w:w="0" w:type="auto"/>
            <w:vAlign w:val="bottom"/>
          </w:tcPr>
          <w:p w14:paraId="429CF96D" w14:textId="5EF3BB4E" w:rsidR="008B4FEB" w:rsidRPr="008C58FF" w:rsidRDefault="008B4FEB" w:rsidP="00CE647C">
            <w:pPr>
              <w:pStyle w:val="BodyText"/>
              <w:jc w:val="center"/>
              <w:rPr>
                <w:color w:val="000000"/>
              </w:rPr>
            </w:pPr>
            <w:r w:rsidRPr="008C58FF">
              <w:rPr>
                <w:color w:val="000000"/>
              </w:rPr>
              <w:t>1.73±0.08</w:t>
            </w:r>
          </w:p>
        </w:tc>
        <w:tc>
          <w:tcPr>
            <w:tcW w:w="0" w:type="auto"/>
            <w:vAlign w:val="bottom"/>
          </w:tcPr>
          <w:p w14:paraId="1B199335" w14:textId="47659293" w:rsidR="008B4FEB" w:rsidRPr="008C58FF" w:rsidRDefault="008B4FEB" w:rsidP="00CE647C">
            <w:pPr>
              <w:pStyle w:val="BodyText"/>
              <w:jc w:val="center"/>
              <w:rPr>
                <w:color w:val="000000"/>
              </w:rPr>
            </w:pPr>
            <w:r w:rsidRPr="008C58FF">
              <w:rPr>
                <w:color w:val="000000"/>
              </w:rPr>
              <w:t>1.93±0.08</w:t>
            </w:r>
          </w:p>
        </w:tc>
        <w:tc>
          <w:tcPr>
            <w:tcW w:w="0" w:type="auto"/>
            <w:vAlign w:val="bottom"/>
          </w:tcPr>
          <w:p w14:paraId="3F310C1B" w14:textId="1EB4F92E" w:rsidR="008B4FEB" w:rsidRPr="008C58FF" w:rsidRDefault="008B4FEB" w:rsidP="00CE647C">
            <w:pPr>
              <w:pStyle w:val="BodyText"/>
              <w:jc w:val="center"/>
              <w:rPr>
                <w:color w:val="000000"/>
              </w:rPr>
            </w:pPr>
            <w:r w:rsidRPr="008C58FF">
              <w:rPr>
                <w:color w:val="000000"/>
              </w:rPr>
              <w:t>1.73±0.06</w:t>
            </w:r>
          </w:p>
        </w:tc>
        <w:tc>
          <w:tcPr>
            <w:tcW w:w="0" w:type="auto"/>
            <w:vAlign w:val="bottom"/>
          </w:tcPr>
          <w:p w14:paraId="57AA35F5" w14:textId="1FC82325" w:rsidR="008B4FEB" w:rsidRPr="008C58FF" w:rsidRDefault="008B4FEB" w:rsidP="00CE647C">
            <w:pPr>
              <w:pStyle w:val="BodyText"/>
              <w:jc w:val="center"/>
              <w:rPr>
                <w:color w:val="000000"/>
              </w:rPr>
            </w:pPr>
            <w:r w:rsidRPr="008C58FF">
              <w:rPr>
                <w:color w:val="000000"/>
              </w:rPr>
              <w:t>1.09</w:t>
            </w:r>
            <w:r w:rsidRPr="008C58FF">
              <w:rPr>
                <w:b/>
                <w:bCs/>
                <w:color w:val="000000"/>
                <w:vertAlign w:val="superscript"/>
                <w:lang w:eastAsia="en-IN" w:bidi="ta-IN"/>
              </w:rPr>
              <w:t>NS</w:t>
            </w:r>
          </w:p>
        </w:tc>
      </w:tr>
      <w:tr w:rsidR="008B4FEB" w:rsidRPr="008C58FF" w14:paraId="48F3EBDA" w14:textId="77777777" w:rsidTr="00BE7CCF">
        <w:trPr>
          <w:trHeight w:val="430"/>
        </w:trPr>
        <w:tc>
          <w:tcPr>
            <w:tcW w:w="2985" w:type="dxa"/>
            <w:vAlign w:val="center"/>
          </w:tcPr>
          <w:p w14:paraId="0E9425F9" w14:textId="5BF8F637" w:rsidR="008B4FEB" w:rsidRPr="008C58FF" w:rsidRDefault="008B4FEB" w:rsidP="00CE647C">
            <w:pPr>
              <w:pStyle w:val="BodyText"/>
              <w:rPr>
                <w:color w:val="000000"/>
              </w:rPr>
            </w:pPr>
            <w:r w:rsidRPr="008C58FF">
              <w:rPr>
                <w:color w:val="000000"/>
                <w:lang w:eastAsia="en-IN" w:bidi="ta-IN"/>
              </w:rPr>
              <w:t xml:space="preserve">Gizzard </w:t>
            </w:r>
          </w:p>
        </w:tc>
        <w:tc>
          <w:tcPr>
            <w:tcW w:w="1871" w:type="dxa"/>
            <w:vAlign w:val="bottom"/>
          </w:tcPr>
          <w:p w14:paraId="64817142" w14:textId="790A8986" w:rsidR="008B4FEB" w:rsidRPr="008C58FF" w:rsidRDefault="008B4FEB" w:rsidP="00CE647C">
            <w:pPr>
              <w:pStyle w:val="BodyText"/>
              <w:jc w:val="center"/>
              <w:rPr>
                <w:color w:val="000000"/>
              </w:rPr>
            </w:pPr>
            <w:r w:rsidRPr="008C58FF">
              <w:rPr>
                <w:color w:val="000000"/>
              </w:rPr>
              <w:t>1.94±0.12</w:t>
            </w:r>
          </w:p>
        </w:tc>
        <w:tc>
          <w:tcPr>
            <w:tcW w:w="0" w:type="auto"/>
            <w:vAlign w:val="bottom"/>
          </w:tcPr>
          <w:p w14:paraId="54E2ECD5" w14:textId="244AC8F3" w:rsidR="008B4FEB" w:rsidRPr="008C58FF" w:rsidRDefault="008B4FEB" w:rsidP="00CE647C">
            <w:pPr>
              <w:pStyle w:val="BodyText"/>
              <w:jc w:val="center"/>
              <w:rPr>
                <w:color w:val="000000"/>
              </w:rPr>
            </w:pPr>
            <w:r w:rsidRPr="008C58FF">
              <w:rPr>
                <w:color w:val="000000"/>
              </w:rPr>
              <w:t>1.74±0.14</w:t>
            </w:r>
          </w:p>
        </w:tc>
        <w:tc>
          <w:tcPr>
            <w:tcW w:w="0" w:type="auto"/>
            <w:vAlign w:val="bottom"/>
          </w:tcPr>
          <w:p w14:paraId="20A48AE3" w14:textId="640BE213" w:rsidR="008B4FEB" w:rsidRPr="008C58FF" w:rsidRDefault="008B4FEB" w:rsidP="00CE647C">
            <w:pPr>
              <w:pStyle w:val="BodyText"/>
              <w:jc w:val="center"/>
              <w:rPr>
                <w:color w:val="000000"/>
              </w:rPr>
            </w:pPr>
            <w:r w:rsidRPr="008C58FF">
              <w:rPr>
                <w:color w:val="000000"/>
              </w:rPr>
              <w:t>1.83±0.06</w:t>
            </w:r>
          </w:p>
        </w:tc>
        <w:tc>
          <w:tcPr>
            <w:tcW w:w="0" w:type="auto"/>
            <w:vAlign w:val="bottom"/>
          </w:tcPr>
          <w:p w14:paraId="6370E255" w14:textId="36ECDDE7" w:rsidR="008B4FEB" w:rsidRPr="008C58FF" w:rsidRDefault="008B4FEB" w:rsidP="00CE647C">
            <w:pPr>
              <w:pStyle w:val="BodyText"/>
              <w:jc w:val="center"/>
              <w:rPr>
                <w:color w:val="000000"/>
              </w:rPr>
            </w:pPr>
            <w:r w:rsidRPr="008C58FF">
              <w:rPr>
                <w:color w:val="000000"/>
              </w:rPr>
              <w:t>1.79±0.12</w:t>
            </w:r>
          </w:p>
        </w:tc>
        <w:tc>
          <w:tcPr>
            <w:tcW w:w="0" w:type="auto"/>
            <w:vAlign w:val="bottom"/>
          </w:tcPr>
          <w:p w14:paraId="7CA7B5BC" w14:textId="3809A915" w:rsidR="008B4FEB" w:rsidRPr="008C58FF" w:rsidRDefault="008B4FEB" w:rsidP="00CE647C">
            <w:pPr>
              <w:pStyle w:val="BodyText"/>
              <w:jc w:val="center"/>
              <w:rPr>
                <w:color w:val="000000"/>
              </w:rPr>
            </w:pPr>
            <w:r w:rsidRPr="008C58FF">
              <w:rPr>
                <w:color w:val="000000"/>
              </w:rPr>
              <w:t>0.54</w:t>
            </w:r>
            <w:r w:rsidRPr="008C58FF">
              <w:rPr>
                <w:b/>
                <w:bCs/>
                <w:color w:val="000000"/>
                <w:vertAlign w:val="superscript"/>
                <w:lang w:eastAsia="en-IN" w:bidi="ta-IN"/>
              </w:rPr>
              <w:t>NS</w:t>
            </w:r>
          </w:p>
        </w:tc>
      </w:tr>
      <w:tr w:rsidR="008B4FEB" w:rsidRPr="008C58FF" w14:paraId="2602232D" w14:textId="77777777" w:rsidTr="00BE7CCF">
        <w:trPr>
          <w:trHeight w:val="407"/>
        </w:trPr>
        <w:tc>
          <w:tcPr>
            <w:tcW w:w="2985" w:type="dxa"/>
            <w:vAlign w:val="center"/>
          </w:tcPr>
          <w:p w14:paraId="7D685DD9" w14:textId="65A84D03" w:rsidR="008B4FEB" w:rsidRPr="008C58FF" w:rsidRDefault="008B4FEB" w:rsidP="00CE647C">
            <w:pPr>
              <w:pStyle w:val="BodyText"/>
              <w:rPr>
                <w:color w:val="000000"/>
              </w:rPr>
            </w:pPr>
            <w:r w:rsidRPr="008C58FF">
              <w:rPr>
                <w:color w:val="000000"/>
                <w:lang w:eastAsia="en-IN" w:bidi="ta-IN"/>
              </w:rPr>
              <w:lastRenderedPageBreak/>
              <w:t xml:space="preserve">Spleen </w:t>
            </w:r>
          </w:p>
        </w:tc>
        <w:tc>
          <w:tcPr>
            <w:tcW w:w="1871" w:type="dxa"/>
            <w:vAlign w:val="bottom"/>
          </w:tcPr>
          <w:p w14:paraId="27E55BF9" w14:textId="049F69C0" w:rsidR="008B4FEB" w:rsidRPr="008C58FF" w:rsidRDefault="008B4FEB" w:rsidP="00CE647C">
            <w:pPr>
              <w:pStyle w:val="BodyText"/>
              <w:jc w:val="center"/>
              <w:rPr>
                <w:color w:val="000000"/>
              </w:rPr>
            </w:pPr>
            <w:r w:rsidRPr="008C58FF">
              <w:rPr>
                <w:color w:val="000000"/>
              </w:rPr>
              <w:t>0.10±0.01</w:t>
            </w:r>
          </w:p>
        </w:tc>
        <w:tc>
          <w:tcPr>
            <w:tcW w:w="0" w:type="auto"/>
            <w:vAlign w:val="bottom"/>
          </w:tcPr>
          <w:p w14:paraId="250628F7" w14:textId="72A88F50" w:rsidR="008B4FEB" w:rsidRPr="008C58FF" w:rsidRDefault="008B4FEB" w:rsidP="00CE647C">
            <w:pPr>
              <w:pStyle w:val="BodyText"/>
              <w:jc w:val="center"/>
              <w:rPr>
                <w:color w:val="000000"/>
              </w:rPr>
            </w:pPr>
            <w:r w:rsidRPr="008C58FF">
              <w:rPr>
                <w:color w:val="000000"/>
              </w:rPr>
              <w:t>0.08±0.01</w:t>
            </w:r>
          </w:p>
        </w:tc>
        <w:tc>
          <w:tcPr>
            <w:tcW w:w="0" w:type="auto"/>
            <w:vAlign w:val="bottom"/>
          </w:tcPr>
          <w:p w14:paraId="785E4679" w14:textId="478EE27A" w:rsidR="008B4FEB" w:rsidRPr="008C58FF" w:rsidRDefault="008B4FEB" w:rsidP="00CE647C">
            <w:pPr>
              <w:pStyle w:val="BodyText"/>
              <w:jc w:val="center"/>
              <w:rPr>
                <w:color w:val="000000"/>
              </w:rPr>
            </w:pPr>
            <w:r w:rsidRPr="008C58FF">
              <w:rPr>
                <w:color w:val="000000"/>
              </w:rPr>
              <w:t>0.11±0.02</w:t>
            </w:r>
          </w:p>
        </w:tc>
        <w:tc>
          <w:tcPr>
            <w:tcW w:w="0" w:type="auto"/>
            <w:vAlign w:val="bottom"/>
          </w:tcPr>
          <w:p w14:paraId="53C27961" w14:textId="4F934A3F" w:rsidR="008B4FEB" w:rsidRPr="008C58FF" w:rsidRDefault="008B4FEB" w:rsidP="00CE647C">
            <w:pPr>
              <w:pStyle w:val="BodyText"/>
              <w:jc w:val="center"/>
              <w:rPr>
                <w:color w:val="000000"/>
              </w:rPr>
            </w:pPr>
            <w:r w:rsidRPr="008C58FF">
              <w:rPr>
                <w:color w:val="000000"/>
              </w:rPr>
              <w:t>0.11±0.02</w:t>
            </w:r>
          </w:p>
        </w:tc>
        <w:tc>
          <w:tcPr>
            <w:tcW w:w="0" w:type="auto"/>
            <w:vAlign w:val="bottom"/>
          </w:tcPr>
          <w:p w14:paraId="66B76DF4" w14:textId="60942A40" w:rsidR="008B4FEB" w:rsidRPr="008C58FF" w:rsidRDefault="008B4FEB" w:rsidP="00CE647C">
            <w:pPr>
              <w:pStyle w:val="BodyText"/>
              <w:jc w:val="center"/>
              <w:rPr>
                <w:color w:val="000000"/>
              </w:rPr>
            </w:pPr>
            <w:r w:rsidRPr="008C58FF">
              <w:rPr>
                <w:color w:val="000000"/>
              </w:rPr>
              <w:t>0.82</w:t>
            </w:r>
            <w:r w:rsidRPr="008C58FF">
              <w:rPr>
                <w:b/>
                <w:bCs/>
                <w:color w:val="000000"/>
                <w:vertAlign w:val="superscript"/>
                <w:lang w:eastAsia="en-IN" w:bidi="ta-IN"/>
              </w:rPr>
              <w:t>NS</w:t>
            </w:r>
          </w:p>
        </w:tc>
      </w:tr>
      <w:tr w:rsidR="008B4FEB" w:rsidRPr="008C58FF" w14:paraId="0017FB81" w14:textId="77777777" w:rsidTr="00BE7CCF">
        <w:trPr>
          <w:trHeight w:val="426"/>
        </w:trPr>
        <w:tc>
          <w:tcPr>
            <w:tcW w:w="2985" w:type="dxa"/>
            <w:vAlign w:val="center"/>
          </w:tcPr>
          <w:p w14:paraId="3CBDF9D3" w14:textId="2F25D183" w:rsidR="008B4FEB" w:rsidRPr="008C58FF" w:rsidRDefault="008B4FEB" w:rsidP="00CE647C">
            <w:pPr>
              <w:pStyle w:val="BodyText"/>
              <w:rPr>
                <w:color w:val="000000"/>
              </w:rPr>
            </w:pPr>
            <w:r w:rsidRPr="008C58FF">
              <w:rPr>
                <w:color w:val="000000"/>
                <w:lang w:eastAsia="en-IN" w:bidi="ta-IN"/>
              </w:rPr>
              <w:t xml:space="preserve">Thymus </w:t>
            </w:r>
          </w:p>
        </w:tc>
        <w:tc>
          <w:tcPr>
            <w:tcW w:w="1871" w:type="dxa"/>
            <w:vAlign w:val="bottom"/>
          </w:tcPr>
          <w:p w14:paraId="5F25D596" w14:textId="58E35685" w:rsidR="008B4FEB" w:rsidRPr="008C58FF" w:rsidRDefault="008B4FEB" w:rsidP="00CE647C">
            <w:pPr>
              <w:pStyle w:val="BodyText"/>
              <w:jc w:val="center"/>
              <w:rPr>
                <w:color w:val="000000"/>
              </w:rPr>
            </w:pPr>
            <w:r w:rsidRPr="008C58FF">
              <w:rPr>
                <w:color w:val="000000"/>
              </w:rPr>
              <w:t>0.30±0.07</w:t>
            </w:r>
          </w:p>
        </w:tc>
        <w:tc>
          <w:tcPr>
            <w:tcW w:w="0" w:type="auto"/>
            <w:vAlign w:val="bottom"/>
          </w:tcPr>
          <w:p w14:paraId="497FD5B3" w14:textId="247B148B" w:rsidR="008B4FEB" w:rsidRPr="008C58FF" w:rsidRDefault="008B4FEB" w:rsidP="00CE647C">
            <w:pPr>
              <w:pStyle w:val="BodyText"/>
              <w:jc w:val="center"/>
              <w:rPr>
                <w:color w:val="000000"/>
              </w:rPr>
            </w:pPr>
            <w:r w:rsidRPr="008C58FF">
              <w:rPr>
                <w:color w:val="000000"/>
              </w:rPr>
              <w:t>0.27±0.05</w:t>
            </w:r>
          </w:p>
        </w:tc>
        <w:tc>
          <w:tcPr>
            <w:tcW w:w="0" w:type="auto"/>
            <w:vAlign w:val="bottom"/>
          </w:tcPr>
          <w:p w14:paraId="483617AF" w14:textId="20CFE560" w:rsidR="008B4FEB" w:rsidRPr="008C58FF" w:rsidRDefault="008B4FEB" w:rsidP="00CE647C">
            <w:pPr>
              <w:pStyle w:val="BodyText"/>
              <w:jc w:val="center"/>
              <w:rPr>
                <w:color w:val="000000"/>
              </w:rPr>
            </w:pPr>
            <w:r w:rsidRPr="008C58FF">
              <w:rPr>
                <w:color w:val="000000"/>
              </w:rPr>
              <w:t>0.29±0.04</w:t>
            </w:r>
          </w:p>
        </w:tc>
        <w:tc>
          <w:tcPr>
            <w:tcW w:w="0" w:type="auto"/>
            <w:vAlign w:val="bottom"/>
          </w:tcPr>
          <w:p w14:paraId="5E375E61" w14:textId="629F5549" w:rsidR="008B4FEB" w:rsidRPr="008C58FF" w:rsidRDefault="008B4FEB" w:rsidP="00CE647C">
            <w:pPr>
              <w:pStyle w:val="BodyText"/>
              <w:jc w:val="center"/>
              <w:rPr>
                <w:color w:val="000000"/>
              </w:rPr>
            </w:pPr>
            <w:r w:rsidRPr="008C58FF">
              <w:rPr>
                <w:color w:val="000000"/>
              </w:rPr>
              <w:t>0.22±0.04</w:t>
            </w:r>
          </w:p>
        </w:tc>
        <w:tc>
          <w:tcPr>
            <w:tcW w:w="0" w:type="auto"/>
            <w:vAlign w:val="bottom"/>
          </w:tcPr>
          <w:p w14:paraId="0D2C85DC" w14:textId="1597C151" w:rsidR="008B4FEB" w:rsidRPr="008C58FF" w:rsidRDefault="008B4FEB" w:rsidP="00CE647C">
            <w:pPr>
              <w:pStyle w:val="BodyText"/>
              <w:jc w:val="center"/>
              <w:rPr>
                <w:color w:val="000000"/>
              </w:rPr>
            </w:pPr>
            <w:r w:rsidRPr="008C58FF">
              <w:rPr>
                <w:color w:val="000000"/>
              </w:rPr>
              <w:t>0.43</w:t>
            </w:r>
            <w:r w:rsidRPr="008C58FF">
              <w:rPr>
                <w:b/>
                <w:bCs/>
                <w:color w:val="000000"/>
                <w:vertAlign w:val="superscript"/>
                <w:lang w:eastAsia="en-IN" w:bidi="ta-IN"/>
              </w:rPr>
              <w:t>NS</w:t>
            </w:r>
          </w:p>
        </w:tc>
      </w:tr>
      <w:tr w:rsidR="008B4FEB" w:rsidRPr="008C58FF" w14:paraId="67D2DD32" w14:textId="77777777" w:rsidTr="00BE7CCF">
        <w:trPr>
          <w:trHeight w:val="405"/>
        </w:trPr>
        <w:tc>
          <w:tcPr>
            <w:tcW w:w="2985" w:type="dxa"/>
            <w:vAlign w:val="center"/>
          </w:tcPr>
          <w:p w14:paraId="24E83393" w14:textId="79DFF433" w:rsidR="008B4FEB" w:rsidRPr="008C58FF" w:rsidRDefault="008B4FEB" w:rsidP="00CE647C">
            <w:pPr>
              <w:pStyle w:val="BodyText"/>
              <w:rPr>
                <w:color w:val="000000"/>
              </w:rPr>
            </w:pPr>
            <w:r w:rsidRPr="008C58FF">
              <w:rPr>
                <w:color w:val="000000"/>
                <w:lang w:eastAsia="en-IN" w:bidi="ta-IN"/>
              </w:rPr>
              <w:t xml:space="preserve">Bursa of Fabricius </w:t>
            </w:r>
          </w:p>
        </w:tc>
        <w:tc>
          <w:tcPr>
            <w:tcW w:w="1871" w:type="dxa"/>
            <w:vAlign w:val="bottom"/>
          </w:tcPr>
          <w:p w14:paraId="7B0F66F7" w14:textId="1FA83613" w:rsidR="008B4FEB" w:rsidRPr="008C58FF" w:rsidRDefault="008B4FEB" w:rsidP="00CE647C">
            <w:pPr>
              <w:pStyle w:val="BodyText"/>
              <w:jc w:val="center"/>
              <w:rPr>
                <w:color w:val="000000"/>
              </w:rPr>
            </w:pPr>
            <w:r w:rsidRPr="008C58FF">
              <w:rPr>
                <w:color w:val="000000"/>
              </w:rPr>
              <w:t>0.19</w:t>
            </w:r>
            <w:r w:rsidRPr="008C58FF">
              <w:rPr>
                <w:color w:val="000000"/>
                <w:vertAlign w:val="superscript"/>
              </w:rPr>
              <w:t>b</w:t>
            </w:r>
            <w:r w:rsidRPr="008C58FF">
              <w:rPr>
                <w:color w:val="000000"/>
              </w:rPr>
              <w:t>±0.03</w:t>
            </w:r>
          </w:p>
        </w:tc>
        <w:tc>
          <w:tcPr>
            <w:tcW w:w="0" w:type="auto"/>
            <w:vAlign w:val="bottom"/>
          </w:tcPr>
          <w:p w14:paraId="18EE0666" w14:textId="132F3FF6" w:rsidR="008B4FEB" w:rsidRPr="008C58FF" w:rsidRDefault="008B4FEB" w:rsidP="00CE647C">
            <w:pPr>
              <w:pStyle w:val="BodyText"/>
              <w:jc w:val="center"/>
              <w:rPr>
                <w:color w:val="000000"/>
              </w:rPr>
            </w:pPr>
            <w:r w:rsidRPr="008C58FF">
              <w:rPr>
                <w:color w:val="000000"/>
              </w:rPr>
              <w:t>0.20</w:t>
            </w:r>
            <w:r w:rsidRPr="008C58FF">
              <w:rPr>
                <w:color w:val="000000"/>
                <w:vertAlign w:val="superscript"/>
              </w:rPr>
              <w:t>b</w:t>
            </w:r>
            <w:r w:rsidRPr="008C58FF">
              <w:rPr>
                <w:color w:val="000000"/>
              </w:rPr>
              <w:t>±0.04</w:t>
            </w:r>
          </w:p>
        </w:tc>
        <w:tc>
          <w:tcPr>
            <w:tcW w:w="0" w:type="auto"/>
            <w:vAlign w:val="bottom"/>
          </w:tcPr>
          <w:p w14:paraId="7E78237C" w14:textId="16B577AB" w:rsidR="008B4FEB" w:rsidRPr="008C58FF" w:rsidRDefault="008B4FEB" w:rsidP="00CE647C">
            <w:pPr>
              <w:pStyle w:val="BodyText"/>
              <w:jc w:val="center"/>
              <w:rPr>
                <w:color w:val="000000"/>
              </w:rPr>
            </w:pPr>
            <w:r w:rsidRPr="008C58FF">
              <w:rPr>
                <w:color w:val="000000"/>
              </w:rPr>
              <w:t>0.17</w:t>
            </w:r>
            <w:r w:rsidRPr="008C58FF">
              <w:rPr>
                <w:color w:val="000000"/>
                <w:vertAlign w:val="superscript"/>
              </w:rPr>
              <w:t>b</w:t>
            </w:r>
            <w:r w:rsidRPr="008C58FF">
              <w:rPr>
                <w:color w:val="000000"/>
              </w:rPr>
              <w:t>±0.02</w:t>
            </w:r>
          </w:p>
        </w:tc>
        <w:tc>
          <w:tcPr>
            <w:tcW w:w="0" w:type="auto"/>
            <w:vAlign w:val="bottom"/>
          </w:tcPr>
          <w:p w14:paraId="61F6413C" w14:textId="4ABC908B" w:rsidR="008B4FEB" w:rsidRPr="008C58FF" w:rsidRDefault="008B4FEB" w:rsidP="00CE647C">
            <w:pPr>
              <w:pStyle w:val="BodyText"/>
              <w:jc w:val="center"/>
              <w:rPr>
                <w:color w:val="000000"/>
              </w:rPr>
            </w:pPr>
            <w:r w:rsidRPr="008C58FF">
              <w:rPr>
                <w:color w:val="000000"/>
              </w:rPr>
              <w:t>0.31</w:t>
            </w:r>
            <w:r w:rsidRPr="008C58FF">
              <w:rPr>
                <w:color w:val="000000"/>
                <w:vertAlign w:val="superscript"/>
              </w:rPr>
              <w:t>a</w:t>
            </w:r>
            <w:r w:rsidRPr="008C58FF">
              <w:rPr>
                <w:color w:val="000000"/>
              </w:rPr>
              <w:t>±0.04</w:t>
            </w:r>
          </w:p>
        </w:tc>
        <w:tc>
          <w:tcPr>
            <w:tcW w:w="0" w:type="auto"/>
            <w:vAlign w:val="bottom"/>
          </w:tcPr>
          <w:p w14:paraId="3F3177EF" w14:textId="3F0211E4" w:rsidR="008B4FEB" w:rsidRPr="008C58FF" w:rsidRDefault="008B4FEB" w:rsidP="00CE647C">
            <w:pPr>
              <w:pStyle w:val="BodyText"/>
              <w:jc w:val="center"/>
              <w:rPr>
                <w:color w:val="000000"/>
              </w:rPr>
            </w:pPr>
            <w:r w:rsidRPr="008C58FF">
              <w:rPr>
                <w:color w:val="000000"/>
              </w:rPr>
              <w:t>3.14</w:t>
            </w:r>
            <w:r w:rsidRPr="008C58FF">
              <w:rPr>
                <w:b/>
                <w:bCs/>
                <w:color w:val="000000"/>
                <w:vertAlign w:val="superscript"/>
                <w:lang w:eastAsia="en-IN" w:bidi="ta-IN"/>
              </w:rPr>
              <w:t>*</w:t>
            </w:r>
          </w:p>
        </w:tc>
      </w:tr>
    </w:tbl>
    <w:p w14:paraId="013063D8" w14:textId="53736BE1" w:rsidR="00705E95" w:rsidRPr="008C58FF" w:rsidRDefault="00705E95" w:rsidP="0022011E">
      <w:pPr>
        <w:pStyle w:val="BodyText"/>
        <w:spacing w:line="360" w:lineRule="auto"/>
      </w:pPr>
      <w:r w:rsidRPr="008C58FF">
        <w:rPr>
          <w:vertAlign w:val="superscript"/>
        </w:rPr>
        <w:t>NS</w:t>
      </w:r>
      <w:r w:rsidRPr="008C58FF">
        <w:t xml:space="preserve"> Not significant, </w:t>
      </w:r>
      <w:r w:rsidR="00BA3385" w:rsidRPr="008C58FF">
        <w:t xml:space="preserve">* Significant (P&lt;0.05); </w:t>
      </w:r>
      <w:r w:rsidRPr="008C58FF">
        <w:t>** Significant (P&lt;0.01)</w:t>
      </w:r>
    </w:p>
    <w:p w14:paraId="3873190E" w14:textId="77777777" w:rsidR="00705E95" w:rsidRPr="008C58FF" w:rsidRDefault="00705E95" w:rsidP="0022011E">
      <w:pPr>
        <w:pStyle w:val="BodyText"/>
        <w:spacing w:line="360" w:lineRule="auto"/>
      </w:pPr>
      <w:r w:rsidRPr="008C58FF">
        <w:t>abc - Means bearing different superscripts within a row differ significantly (P&lt;0.05)</w:t>
      </w:r>
    </w:p>
    <w:p w14:paraId="608110FC" w14:textId="77777777" w:rsidR="00705E95" w:rsidRPr="008C58FF" w:rsidRDefault="00705E95" w:rsidP="0022011E">
      <w:pPr>
        <w:pStyle w:val="BodyText"/>
        <w:spacing w:line="360" w:lineRule="auto"/>
        <w:ind w:right="91" w:firstLine="720"/>
        <w:jc w:val="both"/>
        <w:rPr>
          <w:color w:val="181717"/>
          <w:kern w:val="2"/>
          <w:lang w:eastAsia="en-IN" w:bidi="ta-IN"/>
          <w14:ligatures w14:val="standardContextual"/>
        </w:rPr>
      </w:pPr>
    </w:p>
    <w:p w14:paraId="4D68CC8B" w14:textId="77777777" w:rsidR="00CE647C" w:rsidRDefault="00CE64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C5CFCAF" w14:textId="591D2031" w:rsidR="00705E95" w:rsidRPr="008C58FF" w:rsidRDefault="00705E95"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lastRenderedPageBreak/>
        <w:t xml:space="preserve">Table </w:t>
      </w:r>
      <w:r w:rsidR="008B4FEB" w:rsidRPr="008C58FF">
        <w:rPr>
          <w:rFonts w:ascii="Times New Roman" w:hAnsi="Times New Roman" w:cs="Times New Roman"/>
          <w:b/>
          <w:bCs/>
          <w:sz w:val="24"/>
          <w:szCs w:val="24"/>
        </w:rPr>
        <w:t>3</w:t>
      </w:r>
      <w:r w:rsidRPr="008C58FF">
        <w:rPr>
          <w:rFonts w:ascii="Times New Roman" w:hAnsi="Times New Roman" w:cs="Times New Roman"/>
          <w:b/>
          <w:bCs/>
          <w:sz w:val="24"/>
          <w:szCs w:val="24"/>
        </w:rPr>
        <w:t xml:space="preserve">. Effect of feeding of different levels of red seaweed on the cost-benefit analysis of commercial broiler chicken at 5 weeks of age  </w:t>
      </w:r>
    </w:p>
    <w:tbl>
      <w:tblPr>
        <w:tblStyle w:val="TableGrid"/>
        <w:tblW w:w="9966" w:type="dxa"/>
        <w:tblLook w:val="04A0" w:firstRow="1" w:lastRow="0" w:firstColumn="1" w:lastColumn="0" w:noHBand="0" w:noVBand="1"/>
      </w:tblPr>
      <w:tblGrid>
        <w:gridCol w:w="5375"/>
        <w:gridCol w:w="1195"/>
        <w:gridCol w:w="1132"/>
        <w:gridCol w:w="1132"/>
        <w:gridCol w:w="1132"/>
      </w:tblGrid>
      <w:tr w:rsidR="00705E95" w:rsidRPr="008C58FF" w14:paraId="216925FB" w14:textId="77777777" w:rsidTr="00252DE3">
        <w:trPr>
          <w:trHeight w:val="321"/>
        </w:trPr>
        <w:tc>
          <w:tcPr>
            <w:tcW w:w="5375" w:type="dxa"/>
            <w:vAlign w:val="center"/>
          </w:tcPr>
          <w:p w14:paraId="7656B165"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Items</w:t>
            </w:r>
          </w:p>
        </w:tc>
        <w:tc>
          <w:tcPr>
            <w:tcW w:w="0" w:type="auto"/>
            <w:vAlign w:val="center"/>
          </w:tcPr>
          <w:p w14:paraId="76E05823" w14:textId="1AB8D989"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T1 (</w:t>
            </w:r>
            <w:r w:rsidR="00BE7CCF" w:rsidRPr="008C58FF">
              <w:rPr>
                <w:rFonts w:ascii="Times New Roman" w:eastAsia="Times New Roman" w:hAnsi="Times New Roman" w:cs="Times New Roman"/>
                <w:b/>
                <w:bCs/>
                <w:color w:val="000000"/>
                <w:kern w:val="0"/>
                <w:sz w:val="24"/>
                <w:szCs w:val="24"/>
                <w:lang w:eastAsia="en-IN" w:bidi="ta-IN"/>
                <w14:ligatures w14:val="none"/>
              </w:rPr>
              <w:t>0 %</w:t>
            </w:r>
            <w:r w:rsidRPr="008C58FF">
              <w:rPr>
                <w:rFonts w:ascii="Times New Roman" w:eastAsia="Times New Roman" w:hAnsi="Times New Roman" w:cs="Times New Roman"/>
                <w:b/>
                <w:bCs/>
                <w:color w:val="000000"/>
                <w:kern w:val="0"/>
                <w:sz w:val="24"/>
                <w:szCs w:val="24"/>
                <w:lang w:eastAsia="en-IN" w:bidi="ta-IN"/>
                <w14:ligatures w14:val="none"/>
              </w:rPr>
              <w:t>)</w:t>
            </w:r>
          </w:p>
        </w:tc>
        <w:tc>
          <w:tcPr>
            <w:tcW w:w="0" w:type="auto"/>
            <w:vAlign w:val="center"/>
          </w:tcPr>
          <w:p w14:paraId="17A23F0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T2 (1%)</w:t>
            </w:r>
          </w:p>
        </w:tc>
        <w:tc>
          <w:tcPr>
            <w:tcW w:w="0" w:type="auto"/>
            <w:vAlign w:val="center"/>
          </w:tcPr>
          <w:p w14:paraId="46581927"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T3 (2%)</w:t>
            </w:r>
          </w:p>
        </w:tc>
        <w:tc>
          <w:tcPr>
            <w:tcW w:w="0" w:type="auto"/>
            <w:vAlign w:val="center"/>
          </w:tcPr>
          <w:p w14:paraId="3CC9B67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T4 (4%)</w:t>
            </w:r>
          </w:p>
        </w:tc>
      </w:tr>
      <w:tr w:rsidR="00705E95" w:rsidRPr="008C58FF" w14:paraId="7DEBAA58" w14:textId="77777777" w:rsidTr="00252DE3">
        <w:trPr>
          <w:trHeight w:val="296"/>
        </w:trPr>
        <w:tc>
          <w:tcPr>
            <w:tcW w:w="5375" w:type="dxa"/>
            <w:vAlign w:val="center"/>
          </w:tcPr>
          <w:p w14:paraId="59E2DD9B" w14:textId="77777777"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Live weight (g)</w:t>
            </w:r>
          </w:p>
        </w:tc>
        <w:tc>
          <w:tcPr>
            <w:tcW w:w="0" w:type="auto"/>
            <w:vAlign w:val="center"/>
          </w:tcPr>
          <w:p w14:paraId="6F5C71D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2389.52</w:t>
            </w:r>
          </w:p>
        </w:tc>
        <w:tc>
          <w:tcPr>
            <w:tcW w:w="0" w:type="auto"/>
            <w:vAlign w:val="center"/>
          </w:tcPr>
          <w:p w14:paraId="4887A8C8"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2340.13</w:t>
            </w:r>
          </w:p>
        </w:tc>
        <w:tc>
          <w:tcPr>
            <w:tcW w:w="0" w:type="auto"/>
            <w:vAlign w:val="center"/>
          </w:tcPr>
          <w:p w14:paraId="1762E7AF"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2295.78</w:t>
            </w:r>
          </w:p>
        </w:tc>
        <w:tc>
          <w:tcPr>
            <w:tcW w:w="0" w:type="auto"/>
            <w:vAlign w:val="center"/>
          </w:tcPr>
          <w:p w14:paraId="485EF50C"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2185.04</w:t>
            </w:r>
          </w:p>
        </w:tc>
      </w:tr>
      <w:tr w:rsidR="00705E95" w:rsidRPr="008C58FF" w14:paraId="229652B7" w14:textId="77777777" w:rsidTr="00252DE3">
        <w:trPr>
          <w:trHeight w:val="375"/>
        </w:trPr>
        <w:tc>
          <w:tcPr>
            <w:tcW w:w="5375" w:type="dxa"/>
            <w:vAlign w:val="center"/>
          </w:tcPr>
          <w:p w14:paraId="54F2DBC4" w14:textId="77777777"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Dressed weight (g)</w:t>
            </w:r>
          </w:p>
        </w:tc>
        <w:tc>
          <w:tcPr>
            <w:tcW w:w="0" w:type="auto"/>
            <w:vAlign w:val="center"/>
          </w:tcPr>
          <w:p w14:paraId="03E5DA5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1768.24</w:t>
            </w:r>
          </w:p>
        </w:tc>
        <w:tc>
          <w:tcPr>
            <w:tcW w:w="0" w:type="auto"/>
            <w:vAlign w:val="center"/>
          </w:tcPr>
          <w:p w14:paraId="23F5801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1731.70</w:t>
            </w:r>
          </w:p>
        </w:tc>
        <w:tc>
          <w:tcPr>
            <w:tcW w:w="0" w:type="auto"/>
            <w:vAlign w:val="center"/>
          </w:tcPr>
          <w:p w14:paraId="1C40A9D6"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1698.88</w:t>
            </w:r>
          </w:p>
        </w:tc>
        <w:tc>
          <w:tcPr>
            <w:tcW w:w="0" w:type="auto"/>
            <w:vAlign w:val="center"/>
          </w:tcPr>
          <w:p w14:paraId="77C02D49"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1616.93</w:t>
            </w:r>
          </w:p>
        </w:tc>
      </w:tr>
      <w:tr w:rsidR="00705E95" w:rsidRPr="008C58FF" w14:paraId="623C8128" w14:textId="77777777" w:rsidTr="00252DE3">
        <w:trPr>
          <w:trHeight w:val="375"/>
        </w:trPr>
        <w:tc>
          <w:tcPr>
            <w:tcW w:w="5375" w:type="dxa"/>
            <w:vAlign w:val="center"/>
          </w:tcPr>
          <w:p w14:paraId="7BF0006E" w14:textId="77777777"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Chick cost (Rs.)</w:t>
            </w:r>
          </w:p>
        </w:tc>
        <w:tc>
          <w:tcPr>
            <w:tcW w:w="0" w:type="auto"/>
            <w:vAlign w:val="center"/>
          </w:tcPr>
          <w:p w14:paraId="414D86E1"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c>
          <w:tcPr>
            <w:tcW w:w="0" w:type="auto"/>
            <w:vAlign w:val="center"/>
          </w:tcPr>
          <w:p w14:paraId="563C3696"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c>
          <w:tcPr>
            <w:tcW w:w="0" w:type="auto"/>
            <w:vAlign w:val="center"/>
          </w:tcPr>
          <w:p w14:paraId="5F06F1F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c>
          <w:tcPr>
            <w:tcW w:w="0" w:type="auto"/>
            <w:vAlign w:val="center"/>
          </w:tcPr>
          <w:p w14:paraId="287D193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r>
      <w:tr w:rsidR="00705E95" w:rsidRPr="008C58FF" w14:paraId="178121CE" w14:textId="77777777" w:rsidTr="00252DE3">
        <w:trPr>
          <w:trHeight w:val="149"/>
        </w:trPr>
        <w:tc>
          <w:tcPr>
            <w:tcW w:w="5375" w:type="dxa"/>
            <w:vAlign w:val="center"/>
          </w:tcPr>
          <w:p w14:paraId="4C7C243F" w14:textId="1CBBA868" w:rsidR="00705E95" w:rsidRPr="008C58FF" w:rsidRDefault="00705E95" w:rsidP="00BE7CCF">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Cost of red seaweed/kg feed</w:t>
            </w:r>
            <w:r w:rsidR="00BE7CCF" w:rsidRPr="008C58FF">
              <w:rPr>
                <w:rFonts w:ascii="Times New Roman" w:eastAsia="Times New Roman" w:hAnsi="Times New Roman" w:cs="Times New Roman"/>
                <w:color w:val="000000"/>
                <w:kern w:val="0"/>
                <w:sz w:val="24"/>
                <w:szCs w:val="24"/>
                <w:lang w:eastAsia="en-IN" w:bidi="ta-IN"/>
                <w14:ligatures w14:val="none"/>
              </w:rPr>
              <w:t xml:space="preserve"> </w:t>
            </w:r>
            <w:r w:rsidRPr="008C58FF">
              <w:rPr>
                <w:rFonts w:ascii="Times New Roman" w:eastAsia="Times New Roman" w:hAnsi="Times New Roman" w:cs="Times New Roman"/>
                <w:color w:val="000000"/>
                <w:kern w:val="0"/>
                <w:sz w:val="24"/>
                <w:szCs w:val="24"/>
                <w:lang w:eastAsia="en-IN" w:bidi="ta-IN"/>
                <w14:ligatures w14:val="none"/>
              </w:rPr>
              <w:t>(Rs.60/kg dry weight)</w:t>
            </w:r>
          </w:p>
        </w:tc>
        <w:tc>
          <w:tcPr>
            <w:tcW w:w="0" w:type="auto"/>
            <w:vAlign w:val="center"/>
          </w:tcPr>
          <w:p w14:paraId="51876B2A"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0.00</w:t>
            </w:r>
          </w:p>
        </w:tc>
        <w:tc>
          <w:tcPr>
            <w:tcW w:w="0" w:type="auto"/>
            <w:vAlign w:val="center"/>
          </w:tcPr>
          <w:p w14:paraId="532701C6"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0.60</w:t>
            </w:r>
          </w:p>
        </w:tc>
        <w:tc>
          <w:tcPr>
            <w:tcW w:w="0" w:type="auto"/>
            <w:vAlign w:val="center"/>
          </w:tcPr>
          <w:p w14:paraId="1A7BE8C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1.20</w:t>
            </w:r>
          </w:p>
        </w:tc>
        <w:tc>
          <w:tcPr>
            <w:tcW w:w="0" w:type="auto"/>
            <w:vAlign w:val="center"/>
          </w:tcPr>
          <w:p w14:paraId="1E9D66E5"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2.40</w:t>
            </w:r>
          </w:p>
        </w:tc>
      </w:tr>
      <w:tr w:rsidR="00473586" w:rsidRPr="008C58FF" w14:paraId="5A272C71" w14:textId="77777777" w:rsidTr="00252DE3">
        <w:trPr>
          <w:trHeight w:val="375"/>
        </w:trPr>
        <w:tc>
          <w:tcPr>
            <w:tcW w:w="5375" w:type="dxa"/>
            <w:vAlign w:val="center"/>
          </w:tcPr>
          <w:p w14:paraId="0AF46EAB" w14:textId="13E68FD3" w:rsidR="00473586" w:rsidRPr="008C58FF" w:rsidRDefault="00473586" w:rsidP="008B4FEB">
            <w:pPr>
              <w:spacing w:after="0" w:line="360" w:lineRule="auto"/>
              <w:ind w:left="0"/>
              <w:jc w:val="left"/>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Feed consumption per bird (g)</w:t>
            </w:r>
          </w:p>
        </w:tc>
        <w:tc>
          <w:tcPr>
            <w:tcW w:w="0" w:type="auto"/>
            <w:vAlign w:val="center"/>
          </w:tcPr>
          <w:p w14:paraId="5E46488C" w14:textId="0875E460"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3469.20</w:t>
            </w:r>
          </w:p>
        </w:tc>
        <w:tc>
          <w:tcPr>
            <w:tcW w:w="0" w:type="auto"/>
            <w:vAlign w:val="center"/>
          </w:tcPr>
          <w:p w14:paraId="495A0610" w14:textId="029B7702"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3437.00</w:t>
            </w:r>
          </w:p>
        </w:tc>
        <w:tc>
          <w:tcPr>
            <w:tcW w:w="0" w:type="auto"/>
            <w:vAlign w:val="center"/>
          </w:tcPr>
          <w:p w14:paraId="1DA78089" w14:textId="101A3C88"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3387.82</w:t>
            </w:r>
          </w:p>
        </w:tc>
        <w:tc>
          <w:tcPr>
            <w:tcW w:w="0" w:type="auto"/>
            <w:vAlign w:val="center"/>
          </w:tcPr>
          <w:p w14:paraId="3DFAD0C0" w14:textId="6BA4E951"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3280.64</w:t>
            </w:r>
          </w:p>
        </w:tc>
      </w:tr>
      <w:tr w:rsidR="00705E95" w:rsidRPr="008C58FF" w14:paraId="1AEC978D" w14:textId="77777777" w:rsidTr="00252DE3">
        <w:trPr>
          <w:trHeight w:val="375"/>
        </w:trPr>
        <w:tc>
          <w:tcPr>
            <w:tcW w:w="5375" w:type="dxa"/>
            <w:vAlign w:val="center"/>
          </w:tcPr>
          <w:p w14:paraId="32489FA3" w14:textId="3D78A5E3"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 xml:space="preserve">Total feed cost / bird </w:t>
            </w:r>
            <w:r w:rsidR="00252DE3">
              <w:rPr>
                <w:rFonts w:ascii="Times New Roman" w:eastAsia="Times New Roman" w:hAnsi="Times New Roman" w:cs="Times New Roman"/>
                <w:color w:val="000000"/>
                <w:kern w:val="0"/>
                <w:sz w:val="24"/>
                <w:szCs w:val="24"/>
                <w:lang w:eastAsia="en-IN" w:bidi="ta-IN"/>
                <w14:ligatures w14:val="none"/>
              </w:rPr>
              <w:t xml:space="preserve">inclusive of seaweed cost </w:t>
            </w:r>
            <w:r w:rsidRPr="008C58FF">
              <w:rPr>
                <w:rFonts w:ascii="Times New Roman" w:eastAsia="Times New Roman" w:hAnsi="Times New Roman" w:cs="Times New Roman"/>
                <w:color w:val="000000"/>
                <w:kern w:val="0"/>
                <w:sz w:val="24"/>
                <w:szCs w:val="24"/>
                <w:lang w:eastAsia="en-IN" w:bidi="ta-IN"/>
                <w14:ligatures w14:val="none"/>
              </w:rPr>
              <w:t>(Rs.)</w:t>
            </w:r>
          </w:p>
        </w:tc>
        <w:tc>
          <w:tcPr>
            <w:tcW w:w="0" w:type="auto"/>
            <w:vAlign w:val="center"/>
          </w:tcPr>
          <w:p w14:paraId="2721033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134.97</w:t>
            </w:r>
          </w:p>
        </w:tc>
        <w:tc>
          <w:tcPr>
            <w:tcW w:w="0" w:type="auto"/>
            <w:vAlign w:val="center"/>
          </w:tcPr>
          <w:p w14:paraId="3885F887"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133.87</w:t>
            </w:r>
          </w:p>
        </w:tc>
        <w:tc>
          <w:tcPr>
            <w:tcW w:w="0" w:type="auto"/>
            <w:vAlign w:val="center"/>
          </w:tcPr>
          <w:p w14:paraId="069C23D2"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132.03</w:t>
            </w:r>
          </w:p>
        </w:tc>
        <w:tc>
          <w:tcPr>
            <w:tcW w:w="0" w:type="auto"/>
            <w:vAlign w:val="center"/>
          </w:tcPr>
          <w:p w14:paraId="2F16DB6C"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128.41</w:t>
            </w:r>
          </w:p>
        </w:tc>
      </w:tr>
      <w:tr w:rsidR="00705E95" w:rsidRPr="008C58FF" w14:paraId="156D2E3A" w14:textId="77777777" w:rsidTr="00252DE3">
        <w:trPr>
          <w:trHeight w:val="375"/>
        </w:trPr>
        <w:tc>
          <w:tcPr>
            <w:tcW w:w="5375" w:type="dxa"/>
            <w:vAlign w:val="center"/>
          </w:tcPr>
          <w:p w14:paraId="017EC37C" w14:textId="11815424"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Miscellaneous cost /bird (Rs.)</w:t>
            </w:r>
          </w:p>
        </w:tc>
        <w:tc>
          <w:tcPr>
            <w:tcW w:w="0" w:type="auto"/>
            <w:vAlign w:val="center"/>
          </w:tcPr>
          <w:p w14:paraId="771E158E"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26.92</w:t>
            </w:r>
          </w:p>
        </w:tc>
        <w:tc>
          <w:tcPr>
            <w:tcW w:w="0" w:type="auto"/>
            <w:vAlign w:val="center"/>
          </w:tcPr>
          <w:p w14:paraId="582DDA8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26.76</w:t>
            </w:r>
          </w:p>
        </w:tc>
        <w:tc>
          <w:tcPr>
            <w:tcW w:w="0" w:type="auto"/>
            <w:vAlign w:val="center"/>
          </w:tcPr>
          <w:p w14:paraId="7226433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26.48</w:t>
            </w:r>
          </w:p>
        </w:tc>
        <w:tc>
          <w:tcPr>
            <w:tcW w:w="0" w:type="auto"/>
            <w:vAlign w:val="center"/>
          </w:tcPr>
          <w:p w14:paraId="40EE6A3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25.94</w:t>
            </w:r>
          </w:p>
        </w:tc>
      </w:tr>
      <w:tr w:rsidR="00473586" w:rsidRPr="00473586" w14:paraId="2A35DB6B" w14:textId="77777777" w:rsidTr="00252DE3">
        <w:trPr>
          <w:trHeight w:val="283"/>
        </w:trPr>
        <w:tc>
          <w:tcPr>
            <w:tcW w:w="5375" w:type="dxa"/>
            <w:vAlign w:val="center"/>
          </w:tcPr>
          <w:p w14:paraId="189318AD" w14:textId="77777777" w:rsidR="00705E95" w:rsidRPr="00473586" w:rsidRDefault="00705E95" w:rsidP="008B4FEB">
            <w:pPr>
              <w:spacing w:after="0" w:line="360" w:lineRule="auto"/>
              <w:ind w:left="0"/>
              <w:jc w:val="left"/>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Total cost of production /bird (Rs.)</w:t>
            </w:r>
          </w:p>
        </w:tc>
        <w:tc>
          <w:tcPr>
            <w:tcW w:w="0" w:type="auto"/>
            <w:vAlign w:val="center"/>
          </w:tcPr>
          <w:p w14:paraId="5E2661C3"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206.39</w:t>
            </w:r>
          </w:p>
        </w:tc>
        <w:tc>
          <w:tcPr>
            <w:tcW w:w="0" w:type="auto"/>
            <w:vAlign w:val="center"/>
          </w:tcPr>
          <w:p w14:paraId="01816989"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205.13</w:t>
            </w:r>
          </w:p>
        </w:tc>
        <w:tc>
          <w:tcPr>
            <w:tcW w:w="0" w:type="auto"/>
            <w:vAlign w:val="center"/>
          </w:tcPr>
          <w:p w14:paraId="5CBA4B44"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203.01</w:t>
            </w:r>
          </w:p>
        </w:tc>
        <w:tc>
          <w:tcPr>
            <w:tcW w:w="0" w:type="auto"/>
            <w:vAlign w:val="center"/>
          </w:tcPr>
          <w:p w14:paraId="71E646C5"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198.85</w:t>
            </w:r>
          </w:p>
        </w:tc>
      </w:tr>
      <w:tr w:rsidR="00473586" w:rsidRPr="007F75A9" w14:paraId="188E1A82" w14:textId="77777777" w:rsidTr="00252DE3">
        <w:trPr>
          <w:trHeight w:val="417"/>
        </w:trPr>
        <w:tc>
          <w:tcPr>
            <w:tcW w:w="5375" w:type="dxa"/>
            <w:vAlign w:val="center"/>
          </w:tcPr>
          <w:p w14:paraId="6F2F686B" w14:textId="77777777" w:rsidR="00705E95" w:rsidRPr="007F75A9" w:rsidRDefault="00705E95" w:rsidP="008B4FEB">
            <w:pPr>
              <w:spacing w:after="0" w:line="360" w:lineRule="auto"/>
              <w:ind w:left="0"/>
              <w:jc w:val="left"/>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Sale price / bird @ Rs. 200 /kg dressed wt.</w:t>
            </w:r>
          </w:p>
        </w:tc>
        <w:tc>
          <w:tcPr>
            <w:tcW w:w="0" w:type="auto"/>
            <w:vAlign w:val="center"/>
          </w:tcPr>
          <w:p w14:paraId="08C5B4D4"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353.65</w:t>
            </w:r>
          </w:p>
        </w:tc>
        <w:tc>
          <w:tcPr>
            <w:tcW w:w="0" w:type="auto"/>
            <w:vAlign w:val="center"/>
          </w:tcPr>
          <w:p w14:paraId="23B6E87B"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346.34</w:t>
            </w:r>
          </w:p>
        </w:tc>
        <w:tc>
          <w:tcPr>
            <w:tcW w:w="0" w:type="auto"/>
            <w:vAlign w:val="center"/>
          </w:tcPr>
          <w:p w14:paraId="3B018AC1"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339.78</w:t>
            </w:r>
          </w:p>
        </w:tc>
        <w:tc>
          <w:tcPr>
            <w:tcW w:w="0" w:type="auto"/>
            <w:vAlign w:val="center"/>
          </w:tcPr>
          <w:p w14:paraId="4534E04F"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323.39</w:t>
            </w:r>
          </w:p>
        </w:tc>
      </w:tr>
      <w:tr w:rsidR="00473586" w:rsidRPr="007F75A9" w14:paraId="7ACAA42A" w14:textId="77777777" w:rsidTr="00252DE3">
        <w:trPr>
          <w:trHeight w:val="417"/>
        </w:trPr>
        <w:tc>
          <w:tcPr>
            <w:tcW w:w="5375" w:type="dxa"/>
            <w:vAlign w:val="center"/>
          </w:tcPr>
          <w:p w14:paraId="6CEDA9C3" w14:textId="7017EE79" w:rsidR="003C4626" w:rsidRPr="007F75A9" w:rsidRDefault="003C4626" w:rsidP="003C4626">
            <w:pPr>
              <w:spacing w:after="0" w:line="360" w:lineRule="auto"/>
              <w:ind w:left="0"/>
              <w:jc w:val="left"/>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Liveability (%)</w:t>
            </w:r>
          </w:p>
        </w:tc>
        <w:tc>
          <w:tcPr>
            <w:tcW w:w="0" w:type="auto"/>
            <w:vAlign w:val="center"/>
          </w:tcPr>
          <w:p w14:paraId="7496865D" w14:textId="1AFF5880"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96.00</w:t>
            </w:r>
          </w:p>
        </w:tc>
        <w:tc>
          <w:tcPr>
            <w:tcW w:w="0" w:type="auto"/>
            <w:vAlign w:val="center"/>
          </w:tcPr>
          <w:p w14:paraId="4DAD869C" w14:textId="7D54963E"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96.00</w:t>
            </w:r>
          </w:p>
        </w:tc>
        <w:tc>
          <w:tcPr>
            <w:tcW w:w="0" w:type="auto"/>
            <w:vAlign w:val="center"/>
          </w:tcPr>
          <w:p w14:paraId="1511ED02" w14:textId="369D1B1D"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100.00</w:t>
            </w:r>
          </w:p>
        </w:tc>
        <w:tc>
          <w:tcPr>
            <w:tcW w:w="0" w:type="auto"/>
            <w:vAlign w:val="center"/>
          </w:tcPr>
          <w:p w14:paraId="6BBE3380" w14:textId="765F30DC"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100.00</w:t>
            </w:r>
          </w:p>
        </w:tc>
      </w:tr>
      <w:tr w:rsidR="00473586" w:rsidRPr="00473586" w14:paraId="66C7003B" w14:textId="77777777" w:rsidTr="00252DE3">
        <w:trPr>
          <w:trHeight w:val="417"/>
        </w:trPr>
        <w:tc>
          <w:tcPr>
            <w:tcW w:w="5375" w:type="dxa"/>
            <w:vAlign w:val="center"/>
          </w:tcPr>
          <w:p w14:paraId="024383BC" w14:textId="0C6C707B" w:rsidR="003C4626" w:rsidRPr="00473586" w:rsidRDefault="003C4626" w:rsidP="003C4626">
            <w:pPr>
              <w:spacing w:after="0" w:line="360" w:lineRule="auto"/>
              <w:ind w:left="0"/>
              <w:jc w:val="left"/>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Net sale price/ bird (liveability corrected)</w:t>
            </w:r>
          </w:p>
        </w:tc>
        <w:tc>
          <w:tcPr>
            <w:tcW w:w="0" w:type="auto"/>
            <w:vAlign w:val="center"/>
          </w:tcPr>
          <w:p w14:paraId="73216636" w14:textId="33B238E4"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339.50</w:t>
            </w:r>
          </w:p>
        </w:tc>
        <w:tc>
          <w:tcPr>
            <w:tcW w:w="0" w:type="auto"/>
            <w:vAlign w:val="center"/>
          </w:tcPr>
          <w:p w14:paraId="635B182F" w14:textId="6ACCCD57"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332.49</w:t>
            </w:r>
          </w:p>
        </w:tc>
        <w:tc>
          <w:tcPr>
            <w:tcW w:w="0" w:type="auto"/>
            <w:vAlign w:val="center"/>
          </w:tcPr>
          <w:p w14:paraId="38BBA981" w14:textId="11D8CA82"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339.78</w:t>
            </w:r>
          </w:p>
        </w:tc>
        <w:tc>
          <w:tcPr>
            <w:tcW w:w="0" w:type="auto"/>
            <w:vAlign w:val="center"/>
          </w:tcPr>
          <w:p w14:paraId="126278F5" w14:textId="747018FC"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323.</w:t>
            </w:r>
            <w:r w:rsidR="007F75A9" w:rsidRPr="00473586">
              <w:rPr>
                <w:rFonts w:ascii="Times New Roman" w:eastAsia="Times New Roman" w:hAnsi="Times New Roman" w:cs="Times New Roman"/>
                <w:b/>
                <w:kern w:val="0"/>
                <w:sz w:val="24"/>
                <w:szCs w:val="24"/>
                <w:lang w:eastAsia="en-IN" w:bidi="ta-IN"/>
                <w14:ligatures w14:val="none"/>
              </w:rPr>
              <w:t>39</w:t>
            </w:r>
          </w:p>
        </w:tc>
      </w:tr>
      <w:tr w:rsidR="00473586" w:rsidRPr="007F75A9" w14:paraId="009C9A45" w14:textId="77777777" w:rsidTr="00252DE3">
        <w:trPr>
          <w:trHeight w:val="267"/>
        </w:trPr>
        <w:tc>
          <w:tcPr>
            <w:tcW w:w="5375" w:type="dxa"/>
            <w:vAlign w:val="center"/>
          </w:tcPr>
          <w:p w14:paraId="1E9B9E9B" w14:textId="77777777" w:rsidR="003C4626" w:rsidRPr="007F75A9" w:rsidRDefault="003C4626" w:rsidP="003C4626">
            <w:pPr>
              <w:spacing w:after="0" w:line="360" w:lineRule="auto"/>
              <w:ind w:left="0"/>
              <w:jc w:val="left"/>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Net return per kg of dressed meat (Rs. )</w:t>
            </w:r>
          </w:p>
        </w:tc>
        <w:tc>
          <w:tcPr>
            <w:tcW w:w="0" w:type="auto"/>
            <w:vAlign w:val="center"/>
          </w:tcPr>
          <w:p w14:paraId="53206EAF" w14:textId="0618B140" w:rsidR="003C4626" w:rsidRPr="007F75A9" w:rsidRDefault="003C4626"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133.11</w:t>
            </w:r>
          </w:p>
        </w:tc>
        <w:tc>
          <w:tcPr>
            <w:tcW w:w="0" w:type="auto"/>
            <w:vAlign w:val="center"/>
          </w:tcPr>
          <w:p w14:paraId="1E430944" w14:textId="147A21A1" w:rsidR="003C4626" w:rsidRPr="007F75A9" w:rsidRDefault="007F75A9"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127.36</w:t>
            </w:r>
          </w:p>
        </w:tc>
        <w:tc>
          <w:tcPr>
            <w:tcW w:w="0" w:type="auto"/>
            <w:vAlign w:val="center"/>
          </w:tcPr>
          <w:p w14:paraId="0CC73971" w14:textId="77777777" w:rsidR="003C4626" w:rsidRPr="007F75A9" w:rsidRDefault="003C4626"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136.77</w:t>
            </w:r>
          </w:p>
        </w:tc>
        <w:tc>
          <w:tcPr>
            <w:tcW w:w="0" w:type="auto"/>
            <w:vAlign w:val="center"/>
          </w:tcPr>
          <w:p w14:paraId="51F35F51" w14:textId="77777777" w:rsidR="003C4626" w:rsidRPr="007F75A9" w:rsidRDefault="003C4626"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124.54</w:t>
            </w:r>
          </w:p>
        </w:tc>
      </w:tr>
      <w:tr w:rsidR="003C4626" w:rsidRPr="008C58FF" w14:paraId="7D32504A" w14:textId="77777777" w:rsidTr="00252DE3">
        <w:trPr>
          <w:trHeight w:val="375"/>
        </w:trPr>
        <w:tc>
          <w:tcPr>
            <w:tcW w:w="5375" w:type="dxa"/>
            <w:vAlign w:val="center"/>
          </w:tcPr>
          <w:p w14:paraId="12D6F581" w14:textId="77777777" w:rsidR="003C4626" w:rsidRPr="008C58FF" w:rsidRDefault="003C4626" w:rsidP="003C4626">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Economic efficiency</w:t>
            </w:r>
          </w:p>
        </w:tc>
        <w:tc>
          <w:tcPr>
            <w:tcW w:w="0" w:type="auto"/>
            <w:vAlign w:val="center"/>
          </w:tcPr>
          <w:p w14:paraId="5B94FE53" w14:textId="1A4BA7F4" w:rsidR="003C4626" w:rsidRPr="008C58FF" w:rsidRDefault="007F75A9" w:rsidP="003C4626">
            <w:pPr>
              <w:spacing w:after="0" w:line="360" w:lineRule="auto"/>
              <w:ind w:left="0"/>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n-IN" w:bidi="ta-IN"/>
                <w14:ligatures w14:val="none"/>
              </w:rPr>
              <w:t>0.65</w:t>
            </w:r>
          </w:p>
        </w:tc>
        <w:tc>
          <w:tcPr>
            <w:tcW w:w="0" w:type="auto"/>
            <w:vAlign w:val="center"/>
          </w:tcPr>
          <w:p w14:paraId="7DED9EC9" w14:textId="6424EA8D" w:rsidR="003C4626" w:rsidRPr="008C58FF" w:rsidRDefault="003C4626" w:rsidP="003C4626">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w:t>
            </w:r>
            <w:r w:rsidR="007F75A9">
              <w:rPr>
                <w:rFonts w:ascii="Times New Roman" w:eastAsia="Times New Roman" w:hAnsi="Times New Roman" w:cs="Times New Roman"/>
                <w:color w:val="000000"/>
                <w:kern w:val="0"/>
                <w:sz w:val="24"/>
                <w:szCs w:val="24"/>
                <w:lang w:eastAsia="en-IN" w:bidi="ta-IN"/>
                <w14:ligatures w14:val="none"/>
              </w:rPr>
              <w:t>2</w:t>
            </w:r>
          </w:p>
        </w:tc>
        <w:tc>
          <w:tcPr>
            <w:tcW w:w="0" w:type="auto"/>
            <w:vAlign w:val="center"/>
          </w:tcPr>
          <w:p w14:paraId="1FF18B71" w14:textId="77777777" w:rsidR="003C4626" w:rsidRPr="008C58FF" w:rsidRDefault="003C4626" w:rsidP="003C4626">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0.67</w:t>
            </w:r>
          </w:p>
        </w:tc>
        <w:tc>
          <w:tcPr>
            <w:tcW w:w="0" w:type="auto"/>
            <w:vAlign w:val="center"/>
          </w:tcPr>
          <w:p w14:paraId="107F42CC" w14:textId="77777777" w:rsidR="003C4626" w:rsidRPr="008C58FF" w:rsidRDefault="003C4626" w:rsidP="003C4626">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0.63</w:t>
            </w:r>
          </w:p>
        </w:tc>
      </w:tr>
      <w:tr w:rsidR="003C4626" w:rsidRPr="00473586" w14:paraId="080757B6" w14:textId="77777777" w:rsidTr="00252DE3">
        <w:trPr>
          <w:trHeight w:val="421"/>
        </w:trPr>
        <w:tc>
          <w:tcPr>
            <w:tcW w:w="5375" w:type="dxa"/>
            <w:vAlign w:val="center"/>
          </w:tcPr>
          <w:p w14:paraId="0E3F3254" w14:textId="77777777" w:rsidR="003C4626" w:rsidRPr="00473586" w:rsidRDefault="003C4626" w:rsidP="003C4626">
            <w:pPr>
              <w:spacing w:after="0" w:line="360" w:lineRule="auto"/>
              <w:ind w:left="0"/>
              <w:jc w:val="left"/>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Relative economic efficiency (</w:t>
            </w:r>
            <w:r w:rsidRPr="00473586">
              <w:rPr>
                <w:rFonts w:ascii="Times New Roman" w:hAnsi="Times New Roman" w:cs="Times New Roman"/>
                <w:b/>
                <w:sz w:val="24"/>
                <w:szCs w:val="24"/>
              </w:rPr>
              <w:t>%)</w:t>
            </w:r>
          </w:p>
        </w:tc>
        <w:tc>
          <w:tcPr>
            <w:tcW w:w="0" w:type="auto"/>
            <w:vAlign w:val="center"/>
          </w:tcPr>
          <w:p w14:paraId="297A7557" w14:textId="77777777" w:rsidR="003C4626" w:rsidRPr="00473586" w:rsidRDefault="003C4626" w:rsidP="003C4626">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100.00</w:t>
            </w:r>
          </w:p>
        </w:tc>
        <w:tc>
          <w:tcPr>
            <w:tcW w:w="0" w:type="auto"/>
            <w:vAlign w:val="center"/>
          </w:tcPr>
          <w:p w14:paraId="59F4669E" w14:textId="330C9D51" w:rsidR="003C4626" w:rsidRPr="00473586" w:rsidRDefault="007F75A9" w:rsidP="003C4626">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95.38</w:t>
            </w:r>
          </w:p>
        </w:tc>
        <w:tc>
          <w:tcPr>
            <w:tcW w:w="0" w:type="auto"/>
            <w:vAlign w:val="center"/>
          </w:tcPr>
          <w:p w14:paraId="10119757" w14:textId="7E32D9CB" w:rsidR="003C4626" w:rsidRPr="00473586" w:rsidRDefault="007F75A9" w:rsidP="003C4626">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103</w:t>
            </w:r>
            <w:r w:rsidR="003C4626" w:rsidRPr="00473586">
              <w:rPr>
                <w:rFonts w:ascii="Times New Roman" w:eastAsia="Times New Roman" w:hAnsi="Times New Roman" w:cs="Times New Roman"/>
                <w:b/>
                <w:color w:val="000000"/>
                <w:kern w:val="0"/>
                <w:sz w:val="24"/>
                <w:szCs w:val="24"/>
                <w:lang w:eastAsia="en-IN" w:bidi="ta-IN"/>
                <w14:ligatures w14:val="none"/>
              </w:rPr>
              <w:t>.</w:t>
            </w:r>
            <w:r w:rsidRPr="00473586">
              <w:rPr>
                <w:rFonts w:ascii="Times New Roman" w:eastAsia="Times New Roman" w:hAnsi="Times New Roman" w:cs="Times New Roman"/>
                <w:b/>
                <w:color w:val="000000"/>
                <w:kern w:val="0"/>
                <w:sz w:val="24"/>
                <w:szCs w:val="24"/>
                <w:lang w:eastAsia="en-IN" w:bidi="ta-IN"/>
                <w14:ligatures w14:val="none"/>
              </w:rPr>
              <w:t>08</w:t>
            </w:r>
          </w:p>
        </w:tc>
        <w:tc>
          <w:tcPr>
            <w:tcW w:w="0" w:type="auto"/>
            <w:vAlign w:val="center"/>
          </w:tcPr>
          <w:p w14:paraId="0DE79337" w14:textId="3A8D8488" w:rsidR="003C4626" w:rsidRPr="00473586" w:rsidRDefault="007F75A9" w:rsidP="003C4626">
            <w:pPr>
              <w:spacing w:after="0" w:line="360" w:lineRule="auto"/>
              <w:ind w:left="0"/>
              <w:rPr>
                <w:rFonts w:ascii="Times New Roman" w:hAnsi="Times New Roman" w:cs="Times New Roman"/>
                <w:b/>
                <w:bCs/>
                <w:sz w:val="24"/>
                <w:szCs w:val="24"/>
                <w:lang w:val="en-US"/>
              </w:rPr>
            </w:pPr>
            <w:r w:rsidRPr="00473586">
              <w:rPr>
                <w:rFonts w:ascii="Times New Roman" w:eastAsia="Times New Roman" w:hAnsi="Times New Roman" w:cs="Times New Roman"/>
                <w:b/>
                <w:color w:val="000000"/>
                <w:kern w:val="0"/>
                <w:sz w:val="24"/>
                <w:szCs w:val="24"/>
                <w:lang w:eastAsia="en-IN" w:bidi="ta-IN"/>
                <w14:ligatures w14:val="none"/>
              </w:rPr>
              <w:t>96.92</w:t>
            </w:r>
          </w:p>
        </w:tc>
      </w:tr>
    </w:tbl>
    <w:p w14:paraId="1CBC9379" w14:textId="77777777" w:rsidR="00705E95" w:rsidRPr="0022011E" w:rsidRDefault="00705E95" w:rsidP="0022011E">
      <w:pPr>
        <w:pStyle w:val="BodyText"/>
        <w:spacing w:line="360" w:lineRule="auto"/>
        <w:ind w:right="91" w:firstLine="720"/>
        <w:jc w:val="both"/>
        <w:rPr>
          <w:color w:val="181717"/>
          <w:kern w:val="2"/>
          <w:lang w:val="en-IN" w:eastAsia="en-IN" w:bidi="ta-IN"/>
          <w14:ligatures w14:val="standardContextual"/>
        </w:rPr>
      </w:pPr>
    </w:p>
    <w:p w14:paraId="7009C719" w14:textId="363B4905" w:rsidR="00744BBC" w:rsidRPr="0022011E" w:rsidRDefault="00611AF0" w:rsidP="0022011E">
      <w:pPr>
        <w:tabs>
          <w:tab w:val="center" w:pos="4898"/>
        </w:tabs>
        <w:spacing w:after="0" w:line="360" w:lineRule="auto"/>
        <w:ind w:left="0"/>
        <w:jc w:val="left"/>
        <w:rPr>
          <w:rFonts w:ascii="Times New Roman" w:hAnsi="Times New Roman" w:cs="Times New Roman"/>
          <w:sz w:val="24"/>
          <w:szCs w:val="24"/>
          <w:lang w:val="en-US"/>
        </w:rPr>
      </w:pPr>
      <w:r w:rsidRPr="0022011E">
        <w:rPr>
          <w:rFonts w:ascii="Times New Roman" w:hAnsi="Times New Roman" w:cs="Times New Roman"/>
          <w:sz w:val="24"/>
          <w:szCs w:val="24"/>
          <w:lang w:val="en-US"/>
        </w:rPr>
        <w:tab/>
      </w:r>
      <w:r w:rsidRPr="0022011E">
        <w:rPr>
          <w:rFonts w:ascii="Times New Roman" w:hAnsi="Times New Roman" w:cs="Times New Roman"/>
          <w:sz w:val="24"/>
          <w:szCs w:val="24"/>
          <w:lang w:val="en-US"/>
        </w:rPr>
        <w:tab/>
      </w:r>
      <w:r w:rsidRPr="0022011E">
        <w:rPr>
          <w:rFonts w:ascii="Times New Roman" w:hAnsi="Times New Roman" w:cs="Times New Roman"/>
          <w:sz w:val="24"/>
          <w:szCs w:val="24"/>
          <w:lang w:val="en-US"/>
        </w:rPr>
        <w:tab/>
      </w:r>
    </w:p>
    <w:sectPr w:rsidR="00744BBC" w:rsidRPr="0022011E" w:rsidSect="008B4FEB">
      <w:pgSz w:w="16840" w:h="11910" w:orient="landscape" w:code="9"/>
      <w:pgMar w:top="1412" w:right="1412" w:bottom="1412" w:left="1412"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128F5" w14:textId="77777777" w:rsidR="00287EF7" w:rsidRDefault="00287EF7" w:rsidP="00CF0FFB">
      <w:pPr>
        <w:spacing w:after="0" w:line="240" w:lineRule="auto"/>
      </w:pPr>
      <w:r>
        <w:separator/>
      </w:r>
    </w:p>
  </w:endnote>
  <w:endnote w:type="continuationSeparator" w:id="0">
    <w:p w14:paraId="57510B51" w14:textId="77777777" w:rsidR="00287EF7" w:rsidRDefault="00287EF7" w:rsidP="00CF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67CC" w14:textId="77777777" w:rsidR="00CE5CB2" w:rsidRDefault="00CE5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5930" w14:textId="77777777" w:rsidR="00CE5CB2" w:rsidRDefault="00CE5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7A98" w14:textId="77777777" w:rsidR="00CE5CB2" w:rsidRDefault="00CE5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E9856" w14:textId="77777777" w:rsidR="00287EF7" w:rsidRDefault="00287EF7" w:rsidP="00CF0FFB">
      <w:pPr>
        <w:spacing w:after="0" w:line="240" w:lineRule="auto"/>
      </w:pPr>
      <w:r>
        <w:separator/>
      </w:r>
    </w:p>
  </w:footnote>
  <w:footnote w:type="continuationSeparator" w:id="0">
    <w:p w14:paraId="27FB7AE4" w14:textId="77777777" w:rsidR="00287EF7" w:rsidRDefault="00287EF7" w:rsidP="00CF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BE94" w14:textId="54A526E3" w:rsidR="00CE5CB2" w:rsidRDefault="00CE5CB2">
    <w:pPr>
      <w:pStyle w:val="Header"/>
    </w:pPr>
    <w:r>
      <w:rPr>
        <w:noProof/>
      </w:rPr>
      <w:pict w14:anchorId="483F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7422" o:spid="_x0000_s2050" type="#_x0000_t136" style="position:absolute;left:0;text-align:left;margin-left:0;margin-top:0;width:539.5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7949" w14:textId="757EB457" w:rsidR="00CE5CB2" w:rsidRDefault="00CE5CB2">
    <w:pPr>
      <w:pStyle w:val="Header"/>
    </w:pPr>
    <w:r>
      <w:rPr>
        <w:noProof/>
      </w:rPr>
      <w:pict w14:anchorId="14FAD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7423" o:spid="_x0000_s2051" type="#_x0000_t136" style="position:absolute;left:0;text-align:left;margin-left:0;margin-top:0;width:539.5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1331" w14:textId="3C29CC3D" w:rsidR="00CE5CB2" w:rsidRDefault="00CE5CB2">
    <w:pPr>
      <w:pStyle w:val="Header"/>
    </w:pPr>
    <w:r>
      <w:rPr>
        <w:noProof/>
      </w:rPr>
      <w:pict w14:anchorId="11C1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7421" o:spid="_x0000_s2049" type="#_x0000_t136" style="position:absolute;left:0;text-align:left;margin-left:0;margin-top:0;width:539.5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57AB5"/>
    <w:multiLevelType w:val="multilevel"/>
    <w:tmpl w:val="A42C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6C2E97"/>
    <w:multiLevelType w:val="multilevel"/>
    <w:tmpl w:val="411AE53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04"/>
    <w:rsid w:val="000003FD"/>
    <w:rsid w:val="0000079B"/>
    <w:rsid w:val="00012103"/>
    <w:rsid w:val="000C161F"/>
    <w:rsid w:val="000D7E1E"/>
    <w:rsid w:val="000E7F9A"/>
    <w:rsid w:val="000F0338"/>
    <w:rsid w:val="000F63EC"/>
    <w:rsid w:val="00107C4A"/>
    <w:rsid w:val="00111523"/>
    <w:rsid w:val="00144788"/>
    <w:rsid w:val="00166779"/>
    <w:rsid w:val="00190F5C"/>
    <w:rsid w:val="00197D7E"/>
    <w:rsid w:val="001B3E67"/>
    <w:rsid w:val="001D14F2"/>
    <w:rsid w:val="001D56A4"/>
    <w:rsid w:val="001E1864"/>
    <w:rsid w:val="001E7C89"/>
    <w:rsid w:val="001F63AD"/>
    <w:rsid w:val="00201C86"/>
    <w:rsid w:val="0022011E"/>
    <w:rsid w:val="00243049"/>
    <w:rsid w:val="00243AF2"/>
    <w:rsid w:val="00252DE3"/>
    <w:rsid w:val="00281385"/>
    <w:rsid w:val="00287EF7"/>
    <w:rsid w:val="002917D7"/>
    <w:rsid w:val="002966AE"/>
    <w:rsid w:val="002B5EC6"/>
    <w:rsid w:val="002C3DA6"/>
    <w:rsid w:val="002D6E21"/>
    <w:rsid w:val="00301B3C"/>
    <w:rsid w:val="00335097"/>
    <w:rsid w:val="00335D2C"/>
    <w:rsid w:val="00354CD4"/>
    <w:rsid w:val="00361606"/>
    <w:rsid w:val="00362C26"/>
    <w:rsid w:val="003B49F1"/>
    <w:rsid w:val="003C4626"/>
    <w:rsid w:val="003F1516"/>
    <w:rsid w:val="00461FD8"/>
    <w:rsid w:val="00473586"/>
    <w:rsid w:val="004741D7"/>
    <w:rsid w:val="00477384"/>
    <w:rsid w:val="00484BB0"/>
    <w:rsid w:val="004B41AF"/>
    <w:rsid w:val="004C0141"/>
    <w:rsid w:val="004E2596"/>
    <w:rsid w:val="004E53B2"/>
    <w:rsid w:val="004F4A5E"/>
    <w:rsid w:val="005106B7"/>
    <w:rsid w:val="00542E7C"/>
    <w:rsid w:val="00547A7F"/>
    <w:rsid w:val="00574A22"/>
    <w:rsid w:val="005A2053"/>
    <w:rsid w:val="005C72C1"/>
    <w:rsid w:val="005E61A8"/>
    <w:rsid w:val="00611AF0"/>
    <w:rsid w:val="00616405"/>
    <w:rsid w:val="006325D7"/>
    <w:rsid w:val="006817EB"/>
    <w:rsid w:val="006826FE"/>
    <w:rsid w:val="006A3253"/>
    <w:rsid w:val="006E4524"/>
    <w:rsid w:val="0070084D"/>
    <w:rsid w:val="00705E95"/>
    <w:rsid w:val="00731E60"/>
    <w:rsid w:val="00744BBC"/>
    <w:rsid w:val="00751E24"/>
    <w:rsid w:val="007574EB"/>
    <w:rsid w:val="00764627"/>
    <w:rsid w:val="007A2994"/>
    <w:rsid w:val="007B4BA3"/>
    <w:rsid w:val="007C0224"/>
    <w:rsid w:val="007E0A81"/>
    <w:rsid w:val="007E2B6D"/>
    <w:rsid w:val="007F0066"/>
    <w:rsid w:val="007F75A9"/>
    <w:rsid w:val="00804044"/>
    <w:rsid w:val="008345AA"/>
    <w:rsid w:val="00854F08"/>
    <w:rsid w:val="00865804"/>
    <w:rsid w:val="00877134"/>
    <w:rsid w:val="00881024"/>
    <w:rsid w:val="008974D7"/>
    <w:rsid w:val="008A778F"/>
    <w:rsid w:val="008B4FEB"/>
    <w:rsid w:val="008C58FF"/>
    <w:rsid w:val="008C6768"/>
    <w:rsid w:val="008D0D3E"/>
    <w:rsid w:val="008E6089"/>
    <w:rsid w:val="008E7692"/>
    <w:rsid w:val="00905B5D"/>
    <w:rsid w:val="0094316D"/>
    <w:rsid w:val="0095032D"/>
    <w:rsid w:val="00951A00"/>
    <w:rsid w:val="009609A0"/>
    <w:rsid w:val="00961767"/>
    <w:rsid w:val="00980A0C"/>
    <w:rsid w:val="0098452D"/>
    <w:rsid w:val="009D1E50"/>
    <w:rsid w:val="009F2EE3"/>
    <w:rsid w:val="009F6934"/>
    <w:rsid w:val="00A06E5C"/>
    <w:rsid w:val="00A1557C"/>
    <w:rsid w:val="00A30C67"/>
    <w:rsid w:val="00A40150"/>
    <w:rsid w:val="00A50911"/>
    <w:rsid w:val="00A50D91"/>
    <w:rsid w:val="00A55FA5"/>
    <w:rsid w:val="00A63D2B"/>
    <w:rsid w:val="00A71681"/>
    <w:rsid w:val="00A91426"/>
    <w:rsid w:val="00AB6BF5"/>
    <w:rsid w:val="00B021F5"/>
    <w:rsid w:val="00B22446"/>
    <w:rsid w:val="00B37BD0"/>
    <w:rsid w:val="00B47E9D"/>
    <w:rsid w:val="00B662BA"/>
    <w:rsid w:val="00B970A5"/>
    <w:rsid w:val="00BA3385"/>
    <w:rsid w:val="00BC0FFA"/>
    <w:rsid w:val="00BE7CCF"/>
    <w:rsid w:val="00BF654A"/>
    <w:rsid w:val="00C03F84"/>
    <w:rsid w:val="00C11365"/>
    <w:rsid w:val="00C131A5"/>
    <w:rsid w:val="00C14DE4"/>
    <w:rsid w:val="00C14F65"/>
    <w:rsid w:val="00C17FFB"/>
    <w:rsid w:val="00C54D41"/>
    <w:rsid w:val="00C552B3"/>
    <w:rsid w:val="00C565AE"/>
    <w:rsid w:val="00C67D60"/>
    <w:rsid w:val="00C72A12"/>
    <w:rsid w:val="00C75265"/>
    <w:rsid w:val="00C7680B"/>
    <w:rsid w:val="00CE08AF"/>
    <w:rsid w:val="00CE444B"/>
    <w:rsid w:val="00CE5CB2"/>
    <w:rsid w:val="00CE647C"/>
    <w:rsid w:val="00CF0FFB"/>
    <w:rsid w:val="00D03B17"/>
    <w:rsid w:val="00D17703"/>
    <w:rsid w:val="00D27B1B"/>
    <w:rsid w:val="00D27C16"/>
    <w:rsid w:val="00D33B80"/>
    <w:rsid w:val="00D72F40"/>
    <w:rsid w:val="00DB548D"/>
    <w:rsid w:val="00DF1D0C"/>
    <w:rsid w:val="00E20C3C"/>
    <w:rsid w:val="00E3717E"/>
    <w:rsid w:val="00E5100B"/>
    <w:rsid w:val="00EB7189"/>
    <w:rsid w:val="00EC4DA2"/>
    <w:rsid w:val="00F0398F"/>
    <w:rsid w:val="00F163AB"/>
    <w:rsid w:val="00F50705"/>
    <w:rsid w:val="00F51602"/>
    <w:rsid w:val="00F66C8F"/>
    <w:rsid w:val="00F75EE6"/>
    <w:rsid w:val="00FB25B2"/>
    <w:rsid w:val="00FB5D8B"/>
    <w:rsid w:val="00FC05FC"/>
    <w:rsid w:val="00FC14B1"/>
    <w:rsid w:val="00FD00A0"/>
    <w:rsid w:val="00FD4F45"/>
    <w:rsid w:val="00FF1BCD"/>
    <w:rsid w:val="00FF4BD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DAAC4"/>
  <w15:chartTrackingRefBased/>
  <w15:docId w15:val="{106F8210-2629-4368-8D29-FF66FF19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ind w:left="709"/>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C26"/>
    <w:pPr>
      <w:spacing w:after="200" w:line="276" w:lineRule="auto"/>
    </w:pPr>
  </w:style>
  <w:style w:type="paragraph" w:styleId="Heading1">
    <w:name w:val="heading 1"/>
    <w:basedOn w:val="Normal"/>
    <w:next w:val="Normal"/>
    <w:link w:val="Heading1Char"/>
    <w:uiPriority w:val="9"/>
    <w:qFormat/>
    <w:rsid w:val="00865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8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8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804"/>
    <w:rPr>
      <w:rFonts w:eastAsiaTheme="majorEastAsia" w:cstheme="majorBidi"/>
      <w:color w:val="272727" w:themeColor="text1" w:themeTint="D8"/>
    </w:rPr>
  </w:style>
  <w:style w:type="paragraph" w:styleId="Title">
    <w:name w:val="Title"/>
    <w:basedOn w:val="Normal"/>
    <w:next w:val="Normal"/>
    <w:link w:val="TitleChar"/>
    <w:uiPriority w:val="10"/>
    <w:qFormat/>
    <w:rsid w:val="0086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804"/>
    <w:pPr>
      <w:numPr>
        <w:ilvl w:val="1"/>
      </w:numPr>
      <w:spacing w:after="160"/>
      <w:ind w:left="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804"/>
    <w:pPr>
      <w:spacing w:before="160" w:after="160"/>
    </w:pPr>
    <w:rPr>
      <w:i/>
      <w:iCs/>
      <w:color w:val="404040" w:themeColor="text1" w:themeTint="BF"/>
    </w:rPr>
  </w:style>
  <w:style w:type="character" w:customStyle="1" w:styleId="QuoteChar">
    <w:name w:val="Quote Char"/>
    <w:basedOn w:val="DefaultParagraphFont"/>
    <w:link w:val="Quote"/>
    <w:uiPriority w:val="29"/>
    <w:rsid w:val="00865804"/>
    <w:rPr>
      <w:i/>
      <w:iCs/>
      <w:color w:val="404040" w:themeColor="text1" w:themeTint="BF"/>
    </w:rPr>
  </w:style>
  <w:style w:type="paragraph" w:styleId="ListParagraph">
    <w:name w:val="List Paragraph"/>
    <w:basedOn w:val="Normal"/>
    <w:uiPriority w:val="34"/>
    <w:qFormat/>
    <w:rsid w:val="00865804"/>
    <w:pPr>
      <w:ind w:left="720"/>
      <w:contextualSpacing/>
    </w:pPr>
  </w:style>
  <w:style w:type="character" w:styleId="IntenseEmphasis">
    <w:name w:val="Intense Emphasis"/>
    <w:basedOn w:val="DefaultParagraphFont"/>
    <w:uiPriority w:val="21"/>
    <w:qFormat/>
    <w:rsid w:val="00865804"/>
    <w:rPr>
      <w:i/>
      <w:iCs/>
      <w:color w:val="2F5496" w:themeColor="accent1" w:themeShade="BF"/>
    </w:rPr>
  </w:style>
  <w:style w:type="paragraph" w:styleId="IntenseQuote">
    <w:name w:val="Intense Quote"/>
    <w:basedOn w:val="Normal"/>
    <w:next w:val="Normal"/>
    <w:link w:val="IntenseQuoteChar"/>
    <w:uiPriority w:val="30"/>
    <w:qFormat/>
    <w:rsid w:val="0086580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65804"/>
    <w:rPr>
      <w:i/>
      <w:iCs/>
      <w:color w:val="2F5496" w:themeColor="accent1" w:themeShade="BF"/>
    </w:rPr>
  </w:style>
  <w:style w:type="character" w:styleId="IntenseReference">
    <w:name w:val="Intense Reference"/>
    <w:basedOn w:val="DefaultParagraphFont"/>
    <w:uiPriority w:val="32"/>
    <w:qFormat/>
    <w:rsid w:val="00865804"/>
    <w:rPr>
      <w:b/>
      <w:bCs/>
      <w:smallCaps/>
      <w:color w:val="2F5496" w:themeColor="accent1" w:themeShade="BF"/>
      <w:spacing w:val="5"/>
    </w:rPr>
  </w:style>
  <w:style w:type="paragraph" w:styleId="BodyText">
    <w:name w:val="Body Text"/>
    <w:basedOn w:val="Normal"/>
    <w:link w:val="BodyTextChar"/>
    <w:uiPriority w:val="1"/>
    <w:qFormat/>
    <w:rsid w:val="00865804"/>
    <w:pPr>
      <w:widowControl w:val="0"/>
      <w:autoSpaceDE w:val="0"/>
      <w:autoSpaceDN w:val="0"/>
      <w:spacing w:after="0" w:line="240" w:lineRule="auto"/>
      <w:ind w:left="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6580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5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5FA5"/>
    <w:rPr>
      <w:color w:val="0000FF"/>
      <w:u w:val="single"/>
    </w:rPr>
  </w:style>
  <w:style w:type="character" w:styleId="Strong">
    <w:name w:val="Strong"/>
    <w:basedOn w:val="DefaultParagraphFont"/>
    <w:uiPriority w:val="22"/>
    <w:qFormat/>
    <w:rsid w:val="004E53B2"/>
    <w:rPr>
      <w:b/>
      <w:bCs/>
    </w:rPr>
  </w:style>
  <w:style w:type="paragraph" w:styleId="NormalWeb">
    <w:name w:val="Normal (Web)"/>
    <w:basedOn w:val="Normal"/>
    <w:uiPriority w:val="99"/>
    <w:semiHidden/>
    <w:unhideWhenUsed/>
    <w:rsid w:val="00E5100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A3253"/>
    <w:rPr>
      <w:color w:val="605E5C"/>
      <w:shd w:val="clear" w:color="auto" w:fill="E1DFDD"/>
    </w:rPr>
  </w:style>
  <w:style w:type="character" w:styleId="Emphasis">
    <w:name w:val="Emphasis"/>
    <w:basedOn w:val="DefaultParagraphFont"/>
    <w:uiPriority w:val="20"/>
    <w:qFormat/>
    <w:rsid w:val="004F4A5E"/>
    <w:rPr>
      <w:i/>
      <w:iCs/>
    </w:rPr>
  </w:style>
  <w:style w:type="paragraph" w:styleId="Header">
    <w:name w:val="header"/>
    <w:basedOn w:val="Normal"/>
    <w:link w:val="HeaderChar"/>
    <w:uiPriority w:val="99"/>
    <w:unhideWhenUsed/>
    <w:rsid w:val="00CF0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FB"/>
  </w:style>
  <w:style w:type="paragraph" w:styleId="Footer">
    <w:name w:val="footer"/>
    <w:basedOn w:val="Normal"/>
    <w:link w:val="FooterChar"/>
    <w:uiPriority w:val="99"/>
    <w:unhideWhenUsed/>
    <w:rsid w:val="00CF0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FB"/>
  </w:style>
  <w:style w:type="paragraph" w:styleId="BalloonText">
    <w:name w:val="Balloon Text"/>
    <w:basedOn w:val="Normal"/>
    <w:link w:val="BalloonTextChar"/>
    <w:uiPriority w:val="99"/>
    <w:semiHidden/>
    <w:unhideWhenUsed/>
    <w:rsid w:val="000F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73615">
      <w:bodyDiv w:val="1"/>
      <w:marLeft w:val="0"/>
      <w:marRight w:val="0"/>
      <w:marTop w:val="0"/>
      <w:marBottom w:val="0"/>
      <w:divBdr>
        <w:top w:val="none" w:sz="0" w:space="0" w:color="auto"/>
        <w:left w:val="none" w:sz="0" w:space="0" w:color="auto"/>
        <w:bottom w:val="none" w:sz="0" w:space="0" w:color="auto"/>
        <w:right w:val="none" w:sz="0" w:space="0" w:color="auto"/>
      </w:divBdr>
    </w:div>
    <w:div w:id="466551597">
      <w:bodyDiv w:val="1"/>
      <w:marLeft w:val="0"/>
      <w:marRight w:val="0"/>
      <w:marTop w:val="0"/>
      <w:marBottom w:val="0"/>
      <w:divBdr>
        <w:top w:val="none" w:sz="0" w:space="0" w:color="auto"/>
        <w:left w:val="none" w:sz="0" w:space="0" w:color="auto"/>
        <w:bottom w:val="none" w:sz="0" w:space="0" w:color="auto"/>
        <w:right w:val="none" w:sz="0" w:space="0" w:color="auto"/>
      </w:divBdr>
    </w:div>
    <w:div w:id="488789321">
      <w:bodyDiv w:val="1"/>
      <w:marLeft w:val="0"/>
      <w:marRight w:val="0"/>
      <w:marTop w:val="0"/>
      <w:marBottom w:val="0"/>
      <w:divBdr>
        <w:top w:val="none" w:sz="0" w:space="0" w:color="auto"/>
        <w:left w:val="none" w:sz="0" w:space="0" w:color="auto"/>
        <w:bottom w:val="none" w:sz="0" w:space="0" w:color="auto"/>
        <w:right w:val="none" w:sz="0" w:space="0" w:color="auto"/>
      </w:divBdr>
    </w:div>
    <w:div w:id="611518567">
      <w:bodyDiv w:val="1"/>
      <w:marLeft w:val="0"/>
      <w:marRight w:val="0"/>
      <w:marTop w:val="0"/>
      <w:marBottom w:val="0"/>
      <w:divBdr>
        <w:top w:val="none" w:sz="0" w:space="0" w:color="auto"/>
        <w:left w:val="none" w:sz="0" w:space="0" w:color="auto"/>
        <w:bottom w:val="none" w:sz="0" w:space="0" w:color="auto"/>
        <w:right w:val="none" w:sz="0" w:space="0" w:color="auto"/>
      </w:divBdr>
    </w:div>
    <w:div w:id="874805773">
      <w:bodyDiv w:val="1"/>
      <w:marLeft w:val="0"/>
      <w:marRight w:val="0"/>
      <w:marTop w:val="0"/>
      <w:marBottom w:val="0"/>
      <w:divBdr>
        <w:top w:val="none" w:sz="0" w:space="0" w:color="auto"/>
        <w:left w:val="none" w:sz="0" w:space="0" w:color="auto"/>
        <w:bottom w:val="none" w:sz="0" w:space="0" w:color="auto"/>
        <w:right w:val="none" w:sz="0" w:space="0" w:color="auto"/>
      </w:divBdr>
    </w:div>
    <w:div w:id="970674067">
      <w:bodyDiv w:val="1"/>
      <w:marLeft w:val="0"/>
      <w:marRight w:val="0"/>
      <w:marTop w:val="0"/>
      <w:marBottom w:val="0"/>
      <w:divBdr>
        <w:top w:val="none" w:sz="0" w:space="0" w:color="auto"/>
        <w:left w:val="none" w:sz="0" w:space="0" w:color="auto"/>
        <w:bottom w:val="none" w:sz="0" w:space="0" w:color="auto"/>
        <w:right w:val="none" w:sz="0" w:space="0" w:color="auto"/>
      </w:divBdr>
    </w:div>
    <w:div w:id="1111901015">
      <w:bodyDiv w:val="1"/>
      <w:marLeft w:val="0"/>
      <w:marRight w:val="0"/>
      <w:marTop w:val="0"/>
      <w:marBottom w:val="0"/>
      <w:divBdr>
        <w:top w:val="none" w:sz="0" w:space="0" w:color="auto"/>
        <w:left w:val="none" w:sz="0" w:space="0" w:color="auto"/>
        <w:bottom w:val="none" w:sz="0" w:space="0" w:color="auto"/>
        <w:right w:val="none" w:sz="0" w:space="0" w:color="auto"/>
      </w:divBdr>
    </w:div>
    <w:div w:id="1139155493">
      <w:bodyDiv w:val="1"/>
      <w:marLeft w:val="0"/>
      <w:marRight w:val="0"/>
      <w:marTop w:val="0"/>
      <w:marBottom w:val="0"/>
      <w:divBdr>
        <w:top w:val="none" w:sz="0" w:space="0" w:color="auto"/>
        <w:left w:val="none" w:sz="0" w:space="0" w:color="auto"/>
        <w:bottom w:val="none" w:sz="0" w:space="0" w:color="auto"/>
        <w:right w:val="none" w:sz="0" w:space="0" w:color="auto"/>
      </w:divBdr>
    </w:div>
    <w:div w:id="1193690582">
      <w:bodyDiv w:val="1"/>
      <w:marLeft w:val="0"/>
      <w:marRight w:val="0"/>
      <w:marTop w:val="0"/>
      <w:marBottom w:val="0"/>
      <w:divBdr>
        <w:top w:val="none" w:sz="0" w:space="0" w:color="auto"/>
        <w:left w:val="none" w:sz="0" w:space="0" w:color="auto"/>
        <w:bottom w:val="none" w:sz="0" w:space="0" w:color="auto"/>
        <w:right w:val="none" w:sz="0" w:space="0" w:color="auto"/>
      </w:divBdr>
    </w:div>
    <w:div w:id="1245603428">
      <w:bodyDiv w:val="1"/>
      <w:marLeft w:val="0"/>
      <w:marRight w:val="0"/>
      <w:marTop w:val="0"/>
      <w:marBottom w:val="0"/>
      <w:divBdr>
        <w:top w:val="none" w:sz="0" w:space="0" w:color="auto"/>
        <w:left w:val="none" w:sz="0" w:space="0" w:color="auto"/>
        <w:bottom w:val="none" w:sz="0" w:space="0" w:color="auto"/>
        <w:right w:val="none" w:sz="0" w:space="0" w:color="auto"/>
      </w:divBdr>
    </w:div>
    <w:div w:id="1459491355">
      <w:bodyDiv w:val="1"/>
      <w:marLeft w:val="0"/>
      <w:marRight w:val="0"/>
      <w:marTop w:val="0"/>
      <w:marBottom w:val="0"/>
      <w:divBdr>
        <w:top w:val="none" w:sz="0" w:space="0" w:color="auto"/>
        <w:left w:val="none" w:sz="0" w:space="0" w:color="auto"/>
        <w:bottom w:val="none" w:sz="0" w:space="0" w:color="auto"/>
        <w:right w:val="none" w:sz="0" w:space="0" w:color="auto"/>
      </w:divBdr>
    </w:div>
    <w:div w:id="1510410964">
      <w:bodyDiv w:val="1"/>
      <w:marLeft w:val="0"/>
      <w:marRight w:val="0"/>
      <w:marTop w:val="0"/>
      <w:marBottom w:val="0"/>
      <w:divBdr>
        <w:top w:val="none" w:sz="0" w:space="0" w:color="auto"/>
        <w:left w:val="none" w:sz="0" w:space="0" w:color="auto"/>
        <w:bottom w:val="none" w:sz="0" w:space="0" w:color="auto"/>
        <w:right w:val="none" w:sz="0" w:space="0" w:color="auto"/>
      </w:divBdr>
    </w:div>
    <w:div w:id="1558468792">
      <w:bodyDiv w:val="1"/>
      <w:marLeft w:val="0"/>
      <w:marRight w:val="0"/>
      <w:marTop w:val="0"/>
      <w:marBottom w:val="0"/>
      <w:divBdr>
        <w:top w:val="none" w:sz="0" w:space="0" w:color="auto"/>
        <w:left w:val="none" w:sz="0" w:space="0" w:color="auto"/>
        <w:bottom w:val="none" w:sz="0" w:space="0" w:color="auto"/>
        <w:right w:val="none" w:sz="0" w:space="0" w:color="auto"/>
      </w:divBdr>
    </w:div>
    <w:div w:id="1935357094">
      <w:bodyDiv w:val="1"/>
      <w:marLeft w:val="0"/>
      <w:marRight w:val="0"/>
      <w:marTop w:val="0"/>
      <w:marBottom w:val="0"/>
      <w:divBdr>
        <w:top w:val="none" w:sz="0" w:space="0" w:color="auto"/>
        <w:left w:val="none" w:sz="0" w:space="0" w:color="auto"/>
        <w:bottom w:val="none" w:sz="0" w:space="0" w:color="auto"/>
        <w:right w:val="none" w:sz="0" w:space="0" w:color="auto"/>
      </w:divBdr>
    </w:div>
    <w:div w:id="1996840861">
      <w:bodyDiv w:val="1"/>
      <w:marLeft w:val="0"/>
      <w:marRight w:val="0"/>
      <w:marTop w:val="0"/>
      <w:marBottom w:val="0"/>
      <w:divBdr>
        <w:top w:val="none" w:sz="0" w:space="0" w:color="auto"/>
        <w:left w:val="none" w:sz="0" w:space="0" w:color="auto"/>
        <w:bottom w:val="none" w:sz="0" w:space="0" w:color="auto"/>
        <w:right w:val="none" w:sz="0" w:space="0" w:color="auto"/>
      </w:divBdr>
    </w:div>
    <w:div w:id="20245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81/ijas.2013.e2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806-9061-2019-10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B978-0-12-418697-2.0001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ani110512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68B4-0007-4BA6-9AD9-1DA4C957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16</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PRASANTH A</dc:creator>
  <cp:keywords/>
  <dc:description/>
  <cp:lastModifiedBy>SDI 1166</cp:lastModifiedBy>
  <cp:revision>61</cp:revision>
  <cp:lastPrinted>2026-01-14T08:55:00Z</cp:lastPrinted>
  <dcterms:created xsi:type="dcterms:W3CDTF">2025-12-23T08:20:00Z</dcterms:created>
  <dcterms:modified xsi:type="dcterms:W3CDTF">2026-04-07T10:34:00Z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401a70ce-cce2-4c51-b07e-673225d7f3f6</vt:lpwstr>
  </property>
</Properties>
</file>