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58CFC" w14:textId="77777777" w:rsidR="000643FA" w:rsidRPr="00E42D74" w:rsidRDefault="000643FA" w:rsidP="00760ABA">
      <w:pPr>
        <w:jc w:val="both"/>
        <w:rPr>
          <w:rFonts w:ascii="Times New Roman" w:hAnsi="Times New Roman" w:cs="Times New Roman"/>
          <w:b/>
          <w:bCs/>
        </w:rPr>
      </w:pPr>
      <w:r w:rsidRPr="00E42D74">
        <w:rPr>
          <w:rFonts w:ascii="Times New Roman" w:hAnsi="Times New Roman" w:cs="Times New Roman"/>
          <w:b/>
          <w:bCs/>
        </w:rPr>
        <w:t>Bridging the Rural Precision Medicine Gap: An Infrastructure-Adaptive Framework for Pharmacogenomics Implementation</w:t>
      </w:r>
    </w:p>
    <w:p w14:paraId="476A1FB8" w14:textId="05596F64" w:rsidR="008744F5" w:rsidRDefault="008744F5" w:rsidP="00760ABA">
      <w:pPr>
        <w:jc w:val="both"/>
        <w:rPr>
          <w:rFonts w:ascii="Times New Roman" w:hAnsi="Times New Roman" w:cs="Times New Roman"/>
          <w:i/>
          <w:iCs/>
        </w:rPr>
      </w:pPr>
    </w:p>
    <w:p w14:paraId="5312FC49" w14:textId="77777777" w:rsidR="00692F06" w:rsidRPr="00E42D74" w:rsidRDefault="00692F06" w:rsidP="00760ABA">
      <w:pPr>
        <w:jc w:val="both"/>
        <w:rPr>
          <w:rFonts w:ascii="Times New Roman" w:hAnsi="Times New Roman" w:cs="Times New Roman"/>
          <w:i/>
          <w:iCs/>
        </w:rPr>
      </w:pPr>
    </w:p>
    <w:p w14:paraId="4D4FB647" w14:textId="77777777" w:rsidR="00DB723B" w:rsidRPr="00E42D74" w:rsidRDefault="00DB723B" w:rsidP="00760ABA">
      <w:pPr>
        <w:jc w:val="both"/>
        <w:rPr>
          <w:rFonts w:ascii="Times New Roman" w:hAnsi="Times New Roman" w:cs="Times New Roman"/>
          <w:b/>
          <w:bCs/>
        </w:rPr>
      </w:pPr>
      <w:r w:rsidRPr="00E42D74">
        <w:rPr>
          <w:rFonts w:ascii="Times New Roman" w:hAnsi="Times New Roman" w:cs="Times New Roman"/>
          <w:b/>
          <w:bCs/>
        </w:rPr>
        <w:t>Abstract</w:t>
      </w:r>
    </w:p>
    <w:p w14:paraId="061092DF" w14:textId="77777777" w:rsidR="00DB723B" w:rsidRPr="00E42D74" w:rsidRDefault="00DB723B" w:rsidP="00760ABA">
      <w:pPr>
        <w:jc w:val="both"/>
        <w:rPr>
          <w:rFonts w:ascii="Times New Roman" w:hAnsi="Times New Roman" w:cs="Times New Roman"/>
        </w:rPr>
      </w:pPr>
      <w:r w:rsidRPr="00E42D74">
        <w:rPr>
          <w:rFonts w:ascii="Times New Roman" w:hAnsi="Times New Roman" w:cs="Times New Roman"/>
        </w:rPr>
        <w:t xml:space="preserve">Pharmacogenomics (PGx) enables genotype-guided prescribing to improve medication safety and efficacy, yet its clinical adoption remains uneven and concentrated in well-resourced academic centers. Rural and underserved populations, which experience a disproportionate burden of adverse drug reactions and limited access to specialist care, have been largely excluded from these advances. This review synthesizes current evidence on PGx implementation and examines structural barriers that limit uptake across heterogeneous healthcare settings, including workforce limitations, infrastructure variability, geographic access constraints, patient engagement challenges, and inconsistent reimbursement. Existing implementation models are typically designed for specific institutional contexts and often assume a uniform level of infrastructure, restricting their scalability and applicability. To address this gap, an infrastructure-adaptive framework is proposed that aligns PGx delivery strategies with institutional capacity. The model includes three tiers: centralized testing with </w:t>
      </w:r>
      <w:proofErr w:type="spellStart"/>
      <w:r w:rsidRPr="00E42D74">
        <w:rPr>
          <w:rFonts w:ascii="Times New Roman" w:hAnsi="Times New Roman" w:cs="Times New Roman"/>
        </w:rPr>
        <w:t>telepharmacist</w:t>
      </w:r>
      <w:proofErr w:type="spellEnd"/>
      <w:r w:rsidRPr="00E42D74">
        <w:rPr>
          <w:rFonts w:ascii="Times New Roman" w:hAnsi="Times New Roman" w:cs="Times New Roman"/>
        </w:rPr>
        <w:t xml:space="preserve"> support for low-resource settings, point-of-care testing with integrated clinical decision support for moderate-resource systems, and mobile outreach models for communities without fixed healthcare access. By matching implementation strategies to system capacity, this approach provides a scalable pathway for integrating pharmacogenomics into routine care and advancing equity in precision medicine.</w:t>
      </w:r>
    </w:p>
    <w:p w14:paraId="44DF16A8" w14:textId="77777777" w:rsidR="00DB723B" w:rsidRPr="00E42D74" w:rsidRDefault="00DB723B" w:rsidP="00760ABA">
      <w:pPr>
        <w:jc w:val="both"/>
        <w:rPr>
          <w:rFonts w:ascii="Times New Roman" w:hAnsi="Times New Roman" w:cs="Times New Roman"/>
          <w:b/>
          <w:bCs/>
        </w:rPr>
      </w:pPr>
      <w:r w:rsidRPr="00E42D74">
        <w:rPr>
          <w:rFonts w:ascii="Times New Roman" w:hAnsi="Times New Roman" w:cs="Times New Roman"/>
          <w:b/>
          <w:bCs/>
        </w:rPr>
        <w:t xml:space="preserve">Keywords: </w:t>
      </w:r>
      <w:r w:rsidRPr="00E42D74">
        <w:rPr>
          <w:rFonts w:ascii="Times New Roman" w:hAnsi="Times New Roman" w:cs="Times New Roman"/>
        </w:rPr>
        <w:t>Pharmacogenomics</w:t>
      </w:r>
      <w:r w:rsidRPr="00E42D74">
        <w:rPr>
          <w:rFonts w:ascii="Times New Roman" w:hAnsi="Times New Roman" w:cs="Times New Roman"/>
          <w:b/>
          <w:bCs/>
        </w:rPr>
        <w:t xml:space="preserve">, </w:t>
      </w:r>
      <w:r w:rsidRPr="00E42D74">
        <w:rPr>
          <w:rFonts w:ascii="Times New Roman" w:hAnsi="Times New Roman" w:cs="Times New Roman"/>
        </w:rPr>
        <w:t>Rural health</w:t>
      </w:r>
      <w:r w:rsidRPr="00E42D74">
        <w:rPr>
          <w:rFonts w:ascii="Times New Roman" w:hAnsi="Times New Roman" w:cs="Times New Roman"/>
          <w:b/>
          <w:bCs/>
        </w:rPr>
        <w:t xml:space="preserve">, </w:t>
      </w:r>
      <w:r w:rsidRPr="00E42D74">
        <w:rPr>
          <w:rFonts w:ascii="Times New Roman" w:hAnsi="Times New Roman" w:cs="Times New Roman"/>
        </w:rPr>
        <w:t>Precision medicine</w:t>
      </w:r>
      <w:r w:rsidRPr="00E42D74">
        <w:rPr>
          <w:rFonts w:ascii="Times New Roman" w:hAnsi="Times New Roman" w:cs="Times New Roman"/>
          <w:b/>
          <w:bCs/>
        </w:rPr>
        <w:t xml:space="preserve">, </w:t>
      </w:r>
      <w:r w:rsidRPr="00E42D74">
        <w:rPr>
          <w:rFonts w:ascii="Times New Roman" w:hAnsi="Times New Roman" w:cs="Times New Roman"/>
        </w:rPr>
        <w:t>Implementation science</w:t>
      </w:r>
      <w:r w:rsidRPr="00E42D74">
        <w:rPr>
          <w:rFonts w:ascii="Times New Roman" w:hAnsi="Times New Roman" w:cs="Times New Roman"/>
          <w:b/>
          <w:bCs/>
        </w:rPr>
        <w:t xml:space="preserve">, </w:t>
      </w:r>
      <w:r w:rsidRPr="00E42D74">
        <w:rPr>
          <w:rFonts w:ascii="Times New Roman" w:hAnsi="Times New Roman" w:cs="Times New Roman"/>
        </w:rPr>
        <w:t>Health disparities</w:t>
      </w:r>
    </w:p>
    <w:p w14:paraId="3D74F3DD" w14:textId="77777777" w:rsidR="000643FA" w:rsidRPr="00E42D74" w:rsidRDefault="000643FA" w:rsidP="00760ABA">
      <w:pPr>
        <w:jc w:val="both"/>
        <w:rPr>
          <w:rFonts w:ascii="Times New Roman" w:hAnsi="Times New Roman" w:cs="Times New Roman"/>
          <w:b/>
          <w:bCs/>
        </w:rPr>
      </w:pPr>
      <w:r w:rsidRPr="00E42D74">
        <w:rPr>
          <w:rFonts w:ascii="Times New Roman" w:hAnsi="Times New Roman" w:cs="Times New Roman"/>
          <w:b/>
          <w:bCs/>
        </w:rPr>
        <w:t>1. Introduction: The Implementation Paradox</w:t>
      </w:r>
    </w:p>
    <w:p w14:paraId="4ABC2E0A"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t>Precision medicine has emerged as a central priority in contemporary healthcare, aiming to align therapeutic decisions with individual patient characteristics, including genetic variation. Pharmacogenomics (PGx), one of the most clinically advanced domains within precision medicine, provides actionable insights into drug efficacy and toxicity by linking genetic polymorphisms to drug response</w:t>
      </w:r>
      <w:r w:rsidR="0083175E" w:rsidRPr="00E42D74">
        <w:rPr>
          <w:rFonts w:ascii="Times New Roman" w:hAnsi="Times New Roman" w:cs="Times New Roman"/>
        </w:rPr>
        <w:fldChar w:fldCharType="begin"/>
      </w:r>
      <w:r w:rsidR="0083175E" w:rsidRPr="00E42D74">
        <w:rPr>
          <w:rFonts w:ascii="Times New Roman" w:hAnsi="Times New Roman" w:cs="Times New Roman"/>
        </w:rPr>
        <w:instrText xml:space="preserve"> ADDIN ZOTERO_ITEM CSL_CITATION {"citationID":"Y764xPwb","properties":{"formattedCitation":"[1,2]","plainCitation":"[1,2]","noteIndex":0},"citationItems":[{"id":17326,"uris":["http://zotero.org/users/16652950/items/MB6RTQQS"],"itemData":{"id":17326,"type":"article-journal","abstract":"Pharmacogenomics (PGx) is often promoted as the domain of precision medicine with the greatest potential to readily impact everyday healthcare. Rapid advances in PGx knowledge derived from extensive basic and clinical research along with decreasing costs of laboratory testing have led to an increased interest in PGx and expectations of imminent clinical translation with substantial clinical impact. However, the implementation of PGx into clinical workflows is neither simple nor straightforward, and comprehensive processes and multidisciplinary collaboration are required. Several national and international institutions have pioneered models for implementing clinical PGx, and these initial models have led to a better understanding of unresolved challenges. In this review, we have categorized and explored the most relevant of these challenges to highlight potential gaps and present possible solutions. We describe the ongoing need for basic and clinical research to drive further developments in evidence-based medicine. Integration into daily clinical workflows introduces new challenges requiring innovative solutions; specifically those related to the electronic health record and embedded clinical decision support. We describe advances in PGx testing and result reporting and describe the critical need for increased standardization in these areas across laboratories. We also explore the complexity of the PGx knowledge required for clinical practice and the need for educational strategies to ensure adequate understanding among members of current and future healthcare teams. Finally, we evaluate knowledge obtained from previous implementation efforts and discuss how to best apply these learnings to future projects. Despite these challenges, the future of precision medicine appears promising due to the rapidity of recent advances in the field and current multidisciplinary efforts to effectively translate PGx to everyday clinical practice.","container-title":"Pharmacogenomics and Personalized Medicine","DOI":"10.2147/PGPM.S193185","ISSN":"1178-7066","journalAbbreviation":"Pharmgenomics Pers Med","note":"PMID: 31802928\nPMCID: PMC6826176","page":"305-318","source":"PubMed Central","title":"Concepts Driving Pharmacogenomics Implementation Into Everyday Healthcare","volume":"12","author":[{"family":"Giri","given":"Jyothsna"},{"family":"Moyer","given":"Ann M"},{"family":"Bielinski","given":"Suzette J"},{"family":"Caraballo","given":"Pedro J"}],"issued":{"date-parts":[["2019",10,30]]}}},{"id":17328,"uris":["http://zotero.org/users/16652950/items/U9D348DY"],"itemData":{"id":17328,"type":"article-journal","abstract":"The landscape of medical treatments is undergoing a transformative shift. Precision medicine has ushered in a revolutionary era in healthcare by indiv...","container-title":"Pharmaceutics","DOI":"10.3390/pharmaceutics16030332","ISSN":"1999-4923","issue":"3","language":"en","license":"http://creativecommons.org/licenses/by/3.0/","note":"publisher: Multidisciplinary Digital Publishing Institute","source":"www.mdpi.com","title":"Advancing Precision Medicine: A Review of Innovative In Silico Approaches for Drug Development, Clinical Pharmacology and Personalized Healthcare","title-short":"Advancing Precision Medicine","URL":"https://www.mdpi.com/1999-4923/16/3/332","volume":"16","author":[{"family":"Marques","given":"Lara"},{"family":"Costa","given":"Bárbara"},{"family":"Pereira","given":"Mariana"},{"family":"Silva","given":"Abigail"},{"family":"Santos","given":"Joana"},{"family":"Saldanha","given":"Leonor"},{"family":"Silva","given":"Isabel"},{"family":"Magalhães","given":"Paulo"},{"family":"Schmidt","given":"Stephan"},{"family":"Vale","given":"Nuno"}],"accessed":{"date-parts":[["2026",4,15]]},"issued":{"date-parts":[["2024",2,26]]}}}],"schema":"https://github.com/citation-style-language/schema/raw/master/csl-citation.json"} </w:instrText>
      </w:r>
      <w:r w:rsidR="0083175E" w:rsidRPr="00E42D74">
        <w:rPr>
          <w:rFonts w:ascii="Times New Roman" w:hAnsi="Times New Roman" w:cs="Times New Roman"/>
        </w:rPr>
        <w:fldChar w:fldCharType="separate"/>
      </w:r>
      <w:r w:rsidR="0083175E" w:rsidRPr="00E42D74">
        <w:rPr>
          <w:rFonts w:ascii="Times New Roman" w:hAnsi="Times New Roman" w:cs="Times New Roman"/>
        </w:rPr>
        <w:t>[1,2]</w:t>
      </w:r>
      <w:r w:rsidR="0083175E" w:rsidRPr="00E42D74">
        <w:rPr>
          <w:rFonts w:ascii="Times New Roman" w:hAnsi="Times New Roman" w:cs="Times New Roman"/>
        </w:rPr>
        <w:fldChar w:fldCharType="end"/>
      </w:r>
      <w:r w:rsidRPr="00E42D74">
        <w:rPr>
          <w:rFonts w:ascii="Times New Roman" w:hAnsi="Times New Roman" w:cs="Times New Roman"/>
        </w:rPr>
        <w:t>. Over the past decade, the evidence base supporting PGx-guided prescribing has matured substantially, with the Clinical Pharmacogenetics Implementation Consortium (CPIC) publishing standardized, peer-reviewed guidelines for more than 100 gene–drug pairs, the U.S. Food and Drug Administration incorporating pharmacogenomic information into the labeling of hundreds of medications, and the Pharmacogenomics Knowledgebase (</w:t>
      </w:r>
      <w:proofErr w:type="spellStart"/>
      <w:r w:rsidRPr="00E42D74">
        <w:rPr>
          <w:rFonts w:ascii="Times New Roman" w:hAnsi="Times New Roman" w:cs="Times New Roman"/>
        </w:rPr>
        <w:t>PharmGKB</w:t>
      </w:r>
      <w:proofErr w:type="spellEnd"/>
      <w:r w:rsidRPr="00E42D74">
        <w:rPr>
          <w:rFonts w:ascii="Times New Roman" w:hAnsi="Times New Roman" w:cs="Times New Roman"/>
        </w:rPr>
        <w:t>) curating a comprehensive repository of clinically relevant gene–drug associations. Collectively, these resources establish PGx as a clinically implementable, rather than experimental, component of modern therapeutics</w:t>
      </w:r>
      <w:r w:rsidR="0083175E" w:rsidRPr="00E42D74">
        <w:rPr>
          <w:rFonts w:ascii="Times New Roman" w:hAnsi="Times New Roman" w:cs="Times New Roman"/>
        </w:rPr>
        <w:fldChar w:fldCharType="begin"/>
      </w:r>
      <w:r w:rsidR="0083175E" w:rsidRPr="00E42D74">
        <w:rPr>
          <w:rFonts w:ascii="Times New Roman" w:hAnsi="Times New Roman" w:cs="Times New Roman"/>
        </w:rPr>
        <w:instrText xml:space="preserve"> ADDIN ZOTERO_ITEM CSL_CITATION {"citationID":"M190AqWI","properties":{"formattedCitation":"[3\\uc0\\u8211{}5]","plainCitation":"[3–5]","noteIndex":0},"citationItems":[{"id":17330,"uris":["http://zotero.org/users/16652950/items/SXVWWMDG"],"itemData":{"id":17330,"type":"article-journal","abstract":"Pharmacogenomics (PGx) helps to explain variability in drug response, including adverse drug reactions. Functional variants in genes affecting drug absorption, distribution, metabolism, and excretion (ADME) have been described. Despite PGx guidelines (e.g., CPIC and DPWG) enabling genotype‐guided drug and dose selection, preemptive implementation remains challenging due to various issues including standardized result communication and integration into electronic health record (EHR) systems. We implemented PGx testing as well as drug–drug interaction (DDI) screening in a German academic hospital and assessed their impact on physicians, general practitioners (GPs), and patients. A novel PGx workflow was established using a 60‐genetic variant panel. CPIC/DPWG guideline‐based PGx reports were integrated into the EHR system and provided as a mobile and web application for patients through a genetic information system. Medication profiles and questionnaires evaluated PGx‐based decisions 3 months post‐discharge. Among 255 patients, 95% had at least one actionable PGx variant, most commonly affecting statins, 5‐fluorouracil, irinotecan, and pantoprazole. Actionable recommendations were provided in 21.5%, with hospital physicians modifying treatment subsequently in 75.5%. We identified 57 clinically significant DDIs, including PGx drugs in 21%. GPs maintained optimized treatment in 77% of those patients with a medication change initiated during hospitalization. One in 10 patients discussed results with their GPs. GPs favored PGx for future prescriptions and requested training. We showed that preemptive PGx testing can be successfully implemented in a German hospital with high acceptance among physicians and GPs, and that PGx integration into the EHR supports broader adoption in precision medicine., Overview of the implemented pharmacogenomics (PGx) process in clinical routine at the Robert Bosch Hospital: from patient enrollment via the hospital information system, DNA detection using a customized TaqMan OpenArray panel and qPCR for CNV assessment, to clinical translation of genotyping results into PGx guideline‐based recommendations using a genetic information management system (GIMS). The workflow includes the assessment of results by clinical pharmacologists or pharmacists, taking into account patients’ medication profiles for potential drug‐drug interactions (DDIs). Final reports are communicated into the hospital’s electronic health record (EHR) system, and are also provided to patients via a secure online portal accessible through web and mobile app. Finally, the response to optimized PGx treatments was investigated in the outpatient setting, focusing on feedback from general practitioners, who received PGx results via discharge summaries or directly from patients. Key results from this study are highlighted.","container-title":"Clinical Pharmacology and Therapeutics","DOI":"10.1002/cpt.70083","ISSN":"0009-9236","issue":"1","journalAbbreviation":"Clin Pharmacol Ther","note":"PMID: 41074844\nPMCID: PMC12746526","page":"241-254","source":"PubMed Central","title":"Clinical Implementation of Pharmacogenomics and Drug–Drug Interaction Screening in a German Academic Teaching Hospital and Outpatient Follow‐Up","volume":"119","author":[{"family":"Tremmel","given":"Roman"},{"family":"Schreeck","given":"Filippa"},{"family":"Jaeger","given":"Simon"},{"family":"Schricker","given":"Severin"},{"family":"Schaeffeler","given":"Elke"},{"family":"Igel","given":"Svitlana"},{"family":"Steinberger","given":"Daniela"},{"family":"Pagitz","given":"Manuel"},{"family":"Latus","given":"Jörg"},{"family":"Ketteler","given":"Markus"},{"family":"Bühl","given":"Kerstin"},{"family":"Dahlke","given":"Marc‐H."},{"family":"Kopp","given":"Hans‐Georg"},{"family":"Schwab","given":"Matthias"}],"issued":{"date-parts":[["2025",10,11]]}}},{"id":17333,"uris":["http://zotero.org/users/16652950/items/2QN2H3UM"],"itemData":{"id":17333,"type":"article-journal","abstract":"Anti-infective drugs have profoundly transformed the history of medicine. Yet, with the presence of approximately 4.1-5 million inter-individual genomic variants in human genomes, it is expected that patients do not respond equally to the same anti-infective drug. This genetic variability, together with non-genetic factors, influences therapeutic outcomes and contributes to drug-induced adverse events in predisposed individuals. Historically, the identification of HLA-B*57:01 as a predictor of abacavir hypersensitivity in HIV patients represented the first successful clinical application of pharmacogenomics (PGx) in infectious diseases (IDs). Since then, the field has continued to evolve, as evidenced by the discovery of several clinically relevant gene-drug pairs, primarily related to immune responses, drug metabolism, and drug transport pathways. The evidence gathered so far has clarified a small number of mandatory (HLA-B*57:01-abacavir) and actionable (MT-RNR1-aminoglycosides, CYP2B6-efavirenz, G6PD-nitrofurantoin, G6PD-nalidixic acid, and G6PD-sulfone) gene-drug pairs, whereas most other associations remain informative or exploratory with no established clinical relevance. Despite this progress, robust PGx evidence remains concentrated in anti-HIV, anti-HCV, and selected antimicrobial classes, such as β-lactams, aminoglycosides, sulfonamides, and anti-tuberculosis drugs. For many other anti-infective drugs, current evidence suggests that host genetic variation may have limited impact on efficacy or safety, or that existing studies remain insufficiently powered or replicated to support clinical translation. The narrow ancestral diversity in PGx studies and clinical trials has also restricted the breadth of the knowledge gained and, consequently, the development of inclusive guidelines. This review summarizes the current PGx landscape of antibacterial and antiviral drugs and highlights key challenges and opportunities to advance clinical actionability. Greater inclusion of previously underrepresented populations, coupled with integrative multi-omics approaches powered by artificial intelligence (AI) and machine learning (ML) may accelerate PGx marker identification, validation, and integration into personalized patient care.","container-title":"Pharmacological Reviews","DOI":"10.1016/j.pharmr.2026.100136","ISSN":"0031-6997","journalAbbreviation":"Pharmacological Reviews","page":"100136","source":"ScienceDirect","title":"Pharmacogenomics of Antibacterial and Antiviral Therapies: Clinical Actionability, Evidence Gaps, and Future Directions","title-short":"Pharmacogenomics of Antibacterial and Antiviral Therapies","author":[{"family":"Smatti","given":"Maria K."},{"family":"Jan","given":"Zainab"},{"family":"Yassine","given":"Hadi M."}],"issued":{"date-parts":[["2026",4,10]]}}},{"id":17335,"uris":["http://zotero.org/users/16652950/items/5WSZHLHB"],"itemData":{"id":17335,"type":"article-journal","abstract":"Adverse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schema":"https://github.com/citation-style-language/schema/raw/master/csl-citation.json"} </w:instrText>
      </w:r>
      <w:r w:rsidR="0083175E" w:rsidRPr="00E42D74">
        <w:rPr>
          <w:rFonts w:ascii="Times New Roman" w:hAnsi="Times New Roman" w:cs="Times New Roman"/>
        </w:rPr>
        <w:fldChar w:fldCharType="separate"/>
      </w:r>
      <w:r w:rsidR="0083175E" w:rsidRPr="00E42D74">
        <w:rPr>
          <w:rFonts w:ascii="Times New Roman" w:hAnsi="Times New Roman" w:cs="Times New Roman"/>
          <w:kern w:val="0"/>
        </w:rPr>
        <w:t>[3–5]</w:t>
      </w:r>
      <w:r w:rsidR="0083175E" w:rsidRPr="00E42D74">
        <w:rPr>
          <w:rFonts w:ascii="Times New Roman" w:hAnsi="Times New Roman" w:cs="Times New Roman"/>
        </w:rPr>
        <w:fldChar w:fldCharType="end"/>
      </w:r>
      <w:r w:rsidRPr="00E42D74">
        <w:rPr>
          <w:rFonts w:ascii="Times New Roman" w:hAnsi="Times New Roman" w:cs="Times New Roman"/>
        </w:rPr>
        <w:t>.</w:t>
      </w:r>
    </w:p>
    <w:p w14:paraId="303F1DC9"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lastRenderedPageBreak/>
        <w:t>Despite this maturity, the integration of PGx into routine clinical practice remains uneven. Implementation has been concentrated in large academic medical centers with dedicated infrastructure, including specialized laboratories, informatics support, and trained personnel. In contrast, uptake in rural and underserved settings has been limited, even though these populations experience a disproportionate burden of adverse drug reactions, higher rates of multimorbidity, and reduced access to specialist care. This disparity reflects not a lack of clinical need, but a mismatch between existing implementation models and the structural realities of resource-constrained healthcare environments</w:t>
      </w:r>
      <w:r w:rsidR="00FA37CB" w:rsidRPr="00E42D74">
        <w:rPr>
          <w:rFonts w:ascii="Times New Roman" w:hAnsi="Times New Roman" w:cs="Times New Roman"/>
        </w:rPr>
        <w:fldChar w:fldCharType="begin"/>
      </w:r>
      <w:r w:rsidR="00FA37CB" w:rsidRPr="00E42D74">
        <w:rPr>
          <w:rFonts w:ascii="Times New Roman" w:hAnsi="Times New Roman" w:cs="Times New Roman"/>
        </w:rPr>
        <w:instrText xml:space="preserve"> ADDIN ZOTERO_ITEM CSL_CITATION {"citationID":"LjpAA3C0","properties":{"formattedCitation":"[6]","plainCitation":"[6]","noteIndex":0},"citationItems":[{"id":17337,"uris":["http://zotero.org/users/16652950/items/6GPVD2RC"],"itemData":{"id":17337,"type":"article-journal","abstract":"Background/Objectives: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schema":"https://github.com/citation-style-language/schema/raw/master/csl-citation.json"} </w:instrText>
      </w:r>
      <w:r w:rsidR="00FA37CB" w:rsidRPr="00E42D74">
        <w:rPr>
          <w:rFonts w:ascii="Times New Roman" w:hAnsi="Times New Roman" w:cs="Times New Roman"/>
        </w:rPr>
        <w:fldChar w:fldCharType="separate"/>
      </w:r>
      <w:r w:rsidR="00FA37CB" w:rsidRPr="00E42D74">
        <w:rPr>
          <w:rFonts w:ascii="Times New Roman" w:hAnsi="Times New Roman" w:cs="Times New Roman"/>
        </w:rPr>
        <w:t>[6]</w:t>
      </w:r>
      <w:r w:rsidR="00FA37CB" w:rsidRPr="00E42D74">
        <w:rPr>
          <w:rFonts w:ascii="Times New Roman" w:hAnsi="Times New Roman" w:cs="Times New Roman"/>
        </w:rPr>
        <w:fldChar w:fldCharType="end"/>
      </w:r>
      <w:r w:rsidRPr="00E42D74">
        <w:rPr>
          <w:rFonts w:ascii="Times New Roman" w:hAnsi="Times New Roman" w:cs="Times New Roman"/>
        </w:rPr>
        <w:t>.</w:t>
      </w:r>
    </w:p>
    <w:p w14:paraId="00666DEF"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t>A critical limitation of the current literature is the implicit treatment of “rural” settings as a homogeneous category. In practice, rural healthcare delivery spans a wide spectrum of infrastructure capacity, ranging from small clinics without on-site laboratory services to community hospitals with electronic health record systems and limited diagnostic capabilities, as well as geographically isolated populations lacking consistent access to fixed healthcare facilities. Implementation strategies that do not account for this heterogeneity risk being either infeasible or ineffective when applied outside the specific contexts in which they were developed</w:t>
      </w:r>
      <w:r w:rsidR="00FA37CB" w:rsidRPr="00E42D74">
        <w:rPr>
          <w:rFonts w:ascii="Times New Roman" w:hAnsi="Times New Roman" w:cs="Times New Roman"/>
        </w:rPr>
        <w:fldChar w:fldCharType="begin"/>
      </w:r>
      <w:r w:rsidR="00FA37CB" w:rsidRPr="00E42D74">
        <w:rPr>
          <w:rFonts w:ascii="Times New Roman" w:hAnsi="Times New Roman" w:cs="Times New Roman"/>
        </w:rPr>
        <w:instrText xml:space="preserve"> ADDIN ZOTERO_ITEM CSL_CITATION {"citationID":"kW9NHeKY","properties":{"formattedCitation":"[7,8]","plainCitation":"[7,8]","noteIndex":0},"citationItems":[{"id":17339,"uris":["http://zotero.org/users/16652950/items/JZVGKEM2"],"itemData":{"id":17339,"type":"article-journal","abstract":"Medical deserts have become an increasingly prominent expression of unequal access to healthcare, yet the literature addressing this phenomenon remain...","container-title":"Standards","DOI":"10.3390/standards6010006","ISSN":"2305-6703","issue":"1","language":"en","license":"http://creativecommons.org/licenses/by/3.0/","note":"publisher: Multidisciplinary Digital Publishing Institute","source":"www.mdpi.com","title":"Navigating Unserved Areas: A Comprehensive Review of Medical Deserts","title-short":"Navigating Unserved Areas","URL":"https://www.mdpi.com/2305-6703/6/1/6","volume":"6","author":[{"family":"Costa","given":"Davide"},{"family":"Ielapi","given":"Nicola"},{"family":"Serra","given":"Raffaele"}],"accessed":{"date-parts":[["2026",4,15]]},"issued":{"date-parts":[["2026",1,29]]}}},{"id":17341,"uris":["http://zotero.org/users/16652950/items/E9CHXP6Q"],"itemData":{"id":17341,"type":"chapter","abstract":"The 10 Key Informants (KIs) were generally in agreement about the proposed methods for this Technical Brief. They helped to identify frameworks, models, or theories (other than the Integrated Framework) that describe how organizational characteristics may influence cancer care (screening, diagnosis, or treatment) or healthcare delivery in general. KIs called attention to relevant reports that might not be found in the traditional peer-reviewed literature. Some of the KIs suggested that we use additional terms in our search strategy and abstract additional details about organizations (e.g., level, ownership, and number of organizations in the participating study) and patient populations from relevant studies (see Appendix C for summary of the discussion and themes).","container-title":"Measuring Healthcare Organization Characteristics in Cancer Care Delivery Research [Internet]","language":"en","publisher":"Agency for Healthcare Research and Quality (US)","source":"www.ncbi.nlm.nih.gov","title":"Findings","URL":"https://www.ncbi.nlm.nih.gov/books/NBK594588/","author":[{"family":"Marsteller","given":"Jill A."},{"family":"Dukhanin","given":"Vadim"},{"family":"Kang","given":"So-Yeon"},{"family":"Russell","given":"Lauren E."},{"family":"Vass","given":"Montrell"},{"family":"Zhang","given":"Allen"},{"family":"Sharma","given":"Ritu"},{"family":"Bass","given":"Eric B."},{"family":"Snyder","given":"Claire"}],"accessed":{"date-parts":[["2026",4,15]]},"issued":{"date-parts":[["2023",6]]}}}],"schema":"https://github.com/citation-style-language/schema/raw/master/csl-citation.json"} </w:instrText>
      </w:r>
      <w:r w:rsidR="00FA37CB" w:rsidRPr="00E42D74">
        <w:rPr>
          <w:rFonts w:ascii="Times New Roman" w:hAnsi="Times New Roman" w:cs="Times New Roman"/>
        </w:rPr>
        <w:fldChar w:fldCharType="separate"/>
      </w:r>
      <w:r w:rsidR="00FA37CB" w:rsidRPr="00E42D74">
        <w:rPr>
          <w:rFonts w:ascii="Times New Roman" w:hAnsi="Times New Roman" w:cs="Times New Roman"/>
        </w:rPr>
        <w:t>[7,8]</w:t>
      </w:r>
      <w:r w:rsidR="00FA37CB" w:rsidRPr="00E42D74">
        <w:rPr>
          <w:rFonts w:ascii="Times New Roman" w:hAnsi="Times New Roman" w:cs="Times New Roman"/>
        </w:rPr>
        <w:fldChar w:fldCharType="end"/>
      </w:r>
      <w:r w:rsidRPr="00E42D74">
        <w:rPr>
          <w:rFonts w:ascii="Times New Roman" w:hAnsi="Times New Roman" w:cs="Times New Roman"/>
        </w:rPr>
        <w:t>.</w:t>
      </w:r>
    </w:p>
    <w:p w14:paraId="749408FE" w14:textId="77777777" w:rsidR="000643FA" w:rsidRPr="00E42D74" w:rsidRDefault="000643FA" w:rsidP="00760ABA">
      <w:pPr>
        <w:jc w:val="both"/>
        <w:rPr>
          <w:rFonts w:ascii="Times New Roman" w:hAnsi="Times New Roman" w:cs="Times New Roman"/>
        </w:rPr>
      </w:pPr>
      <w:r w:rsidRPr="00E42D74">
        <w:rPr>
          <w:rFonts w:ascii="Times New Roman" w:hAnsi="Times New Roman" w:cs="Times New Roman"/>
        </w:rPr>
        <w:t>This review addresses that gap by synthesizing existing evidence on PGx implementation and proposing an infrastructure-adaptive framework that aligns delivery strategies with institutional capacity across underserved settings. By explicitly incorporating variability in healthcare infrastructure into the design of implementation models, this approach aims to advance scalable, equitable integration of pharmacogenomics into routine care.</w:t>
      </w:r>
    </w:p>
    <w:p w14:paraId="6E29E7B1" w14:textId="77777777" w:rsidR="00796268" w:rsidRPr="00E42D74" w:rsidRDefault="00796268" w:rsidP="00760ABA">
      <w:pPr>
        <w:jc w:val="both"/>
        <w:rPr>
          <w:rFonts w:ascii="Times New Roman" w:hAnsi="Times New Roman" w:cs="Times New Roman"/>
          <w:b/>
          <w:bCs/>
        </w:rPr>
      </w:pPr>
      <w:r w:rsidRPr="00E42D74">
        <w:rPr>
          <w:rFonts w:ascii="Times New Roman" w:hAnsi="Times New Roman" w:cs="Times New Roman"/>
          <w:b/>
          <w:bCs/>
        </w:rPr>
        <w:t>2. Evidence Synthesis Approach</w:t>
      </w:r>
    </w:p>
    <w:p w14:paraId="58AA5D6C" w14:textId="77777777" w:rsidR="00796268" w:rsidRPr="00E42D74" w:rsidRDefault="00796268" w:rsidP="00760ABA">
      <w:pPr>
        <w:jc w:val="both"/>
        <w:rPr>
          <w:rFonts w:ascii="Times New Roman" w:hAnsi="Times New Roman" w:cs="Times New Roman"/>
          <w:b/>
          <w:bCs/>
        </w:rPr>
      </w:pPr>
      <w:r w:rsidRPr="00E42D74">
        <w:rPr>
          <w:rFonts w:ascii="Times New Roman" w:hAnsi="Times New Roman" w:cs="Times New Roman"/>
          <w:b/>
          <w:bCs/>
        </w:rPr>
        <w:t>2.1 Data Sources</w:t>
      </w:r>
    </w:p>
    <w:p w14:paraId="1ACED646"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This review draws on multiple complementary data sources to capture the current state of pharmacogenomics (PGx) implementation and its variability across healthcare settings. Core evidence was derived from guideline repositories, including the Clinical Pharmacogenetics Implementation Consortium (CPIC), which provides peer-reviewed, gene–drug–specific prescribing recommendations, and the Pharmacogenomics Knowledgebase (</w:t>
      </w:r>
      <w:proofErr w:type="spellStart"/>
      <w:r w:rsidRPr="00E42D74">
        <w:rPr>
          <w:rFonts w:ascii="Times New Roman" w:hAnsi="Times New Roman" w:cs="Times New Roman"/>
        </w:rPr>
        <w:t>PharmGKB</w:t>
      </w:r>
      <w:proofErr w:type="spellEnd"/>
      <w:r w:rsidRPr="00E42D74">
        <w:rPr>
          <w:rFonts w:ascii="Times New Roman" w:hAnsi="Times New Roman" w:cs="Times New Roman"/>
        </w:rPr>
        <w:t>), which curates clinically annotated gene–drug associations and supporting evidence. Regulatory context was obtained from pharmacogenomic labeling information published by the U.S. Food and Drug Administration, reflecting the integration of genomic data into approved drug prescribing information.</w:t>
      </w:r>
    </w:p>
    <w:p w14:paraId="0BFEED56"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 xml:space="preserve">To assess real-world implementation, published studies describing PGx integration in rural and underserved settings were reviewed, including pharmacist-led models, telehealth-enabled programs, and pilot implementation studies in primary care and community-based systems. Additional sources included provider workforce surveys and reports addressing knowledge, training, and adoption barriers relevant to PGx in non-urban environments. Together, these sources </w:t>
      </w:r>
      <w:r w:rsidRPr="00E42D74">
        <w:rPr>
          <w:rFonts w:ascii="Times New Roman" w:hAnsi="Times New Roman" w:cs="Times New Roman"/>
        </w:rPr>
        <w:lastRenderedPageBreak/>
        <w:t>were selected to reflect both the evidentiary foundation of PGx-guided prescribing and the practical constraints shaping its implementation across diverse healthcare contexts.</w:t>
      </w:r>
    </w:p>
    <w:p w14:paraId="4DE3AEAB" w14:textId="77777777" w:rsidR="00796268" w:rsidRPr="00E42D74" w:rsidRDefault="00796268" w:rsidP="00760ABA">
      <w:pPr>
        <w:jc w:val="both"/>
        <w:rPr>
          <w:rFonts w:ascii="Times New Roman" w:hAnsi="Times New Roman" w:cs="Times New Roman"/>
          <w:b/>
          <w:bCs/>
        </w:rPr>
      </w:pPr>
      <w:r w:rsidRPr="00E42D74">
        <w:rPr>
          <w:rFonts w:ascii="Times New Roman" w:hAnsi="Times New Roman" w:cs="Times New Roman"/>
          <w:b/>
          <w:bCs/>
        </w:rPr>
        <w:t>2.2 Study Selection Strategy</w:t>
      </w:r>
    </w:p>
    <w:p w14:paraId="32B0B954"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Sources were selected using a structured, purposive approach designed to capture heterogeneity in implementation environments rather than to achieve exhaustive coverage. Inclusion criteria prioritized studies and reports that described (1) pharmacogenomic implementation strategies in clinical practice, (2) healthcare settings characterized by resource limitations or rural designation, and (3) operational features such as testing workflows, workforce roles, and integration into clinical decision-making. Particular emphasis was placed on identifying variation in institutional infrastructure, including laboratory capacity, availability of electronic health records, and access to specialist support.</w:t>
      </w:r>
    </w:p>
    <w:p w14:paraId="40C291E0"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Studies focused exclusively on highly resourced academic medical centers without relevance to broader health system applicability were deprioritized unless they contributed transferable implementation insights. This approach enabled comparative analysis across settings with differing levels of infrastructure, facilitating identification of patterns and gaps not apparent in single-site or homogeneous studies.</w:t>
      </w:r>
    </w:p>
    <w:p w14:paraId="0363075C" w14:textId="77777777" w:rsidR="00796268" w:rsidRPr="00E42D74" w:rsidRDefault="00796268" w:rsidP="00760ABA">
      <w:pPr>
        <w:jc w:val="both"/>
        <w:rPr>
          <w:rFonts w:ascii="Times New Roman" w:hAnsi="Times New Roman" w:cs="Times New Roman"/>
          <w:b/>
          <w:bCs/>
        </w:rPr>
      </w:pPr>
      <w:r w:rsidRPr="00E42D74">
        <w:rPr>
          <w:rFonts w:ascii="Times New Roman" w:hAnsi="Times New Roman" w:cs="Times New Roman"/>
          <w:b/>
          <w:bCs/>
        </w:rPr>
        <w:t>2.3 Analytical Framework</w:t>
      </w:r>
    </w:p>
    <w:p w14:paraId="091E04C1"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Findings were synthesized using a thematic framework centered on three interrelated domains: infrastructure capacity, delivery model, and clinical integration. Infrastructure capacity was defined in terms of available laboratory services, informatics systems, and workforce expertise. Delivery models were categorized according to how PGx testing and interpretation were operationalized, including centralized laboratory testing, point-of-care genotyping, and mobile or outreach-based approaches. Clinical integration encompassed the mechanisms by which PGx results informed prescribing, including pharmacist-led consultation, telemedicine support, and electronic clinical decision support systems.</w:t>
      </w:r>
    </w:p>
    <w:p w14:paraId="5FA919A8" w14:textId="77777777" w:rsidR="00796268" w:rsidRPr="00E42D74" w:rsidRDefault="00796268" w:rsidP="00760ABA">
      <w:pPr>
        <w:jc w:val="both"/>
        <w:rPr>
          <w:rFonts w:ascii="Times New Roman" w:hAnsi="Times New Roman" w:cs="Times New Roman"/>
        </w:rPr>
      </w:pPr>
      <w:r w:rsidRPr="00E42D74">
        <w:rPr>
          <w:rFonts w:ascii="Times New Roman" w:hAnsi="Times New Roman" w:cs="Times New Roman"/>
        </w:rPr>
        <w:t>This structured synthesis enabled comparison of implementation strategies across heterogeneous settings and informed the development of an infrastructure-adaptive framework that aligns PGx delivery with institutional capacity.</w:t>
      </w:r>
    </w:p>
    <w:p w14:paraId="754A2F0D"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3. Clinical and Economic Imperative for Pharmacogenomics</w:t>
      </w:r>
    </w:p>
    <w:p w14:paraId="39FBEA9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Adverse drug reactions (ADRs) remain a substantial and persistent source of morbidity, mortality, and healthcare utilization. Estimates from U.S. data indicate that serious ADRs affect millions of patients annually and contribute significantly to hospitalizations and healthcare costs. A proportion of these events is attributable to predictable variability in drug metabolism and response driven by genetic differences, particularly in enzymes responsible for drug biotransformation. Pharmacogenomic (PGx) testing offers a mechanism to identify these risks prospectively and to guide medication selection and dosing before harm occurs</w:t>
      </w:r>
      <w:r w:rsidR="00385E22" w:rsidRPr="00E42D74">
        <w:rPr>
          <w:rFonts w:ascii="Times New Roman" w:hAnsi="Times New Roman" w:cs="Times New Roman"/>
        </w:rPr>
        <w:fldChar w:fldCharType="begin"/>
      </w:r>
      <w:r w:rsidR="00385E22" w:rsidRPr="00E42D74">
        <w:rPr>
          <w:rFonts w:ascii="Times New Roman" w:hAnsi="Times New Roman" w:cs="Times New Roman"/>
        </w:rPr>
        <w:instrText xml:space="preserve"> ADDIN ZOTERO_ITEM CSL_CITATION {"citationID":"vb5vftxE","properties":{"formattedCitation":"[9,10]","plainCitation":"[9,10]","noteIndex":0},"citationItems":[{"id":17343,"uris":["http://zotero.org/users/16652950/items/MDGRTTFC"],"itemData":{"id":17343,"type":"chapter","abstract":"An adverse drug reaction (ADR) refers to an untoward reaction to a medication. ADRs are common and constitute a significant healthcare burden. The most robust database of ADRs available is the U.S. Food and Drug Administration's Adverse Event Reporting System (FAERS). In 2022, there were over 1.25 million serious adverse events reported and nearly 175,000 deaths. [FDA. FDA Adverse Event Reporting System. Accessed January 1st, 2024]. There are 6 emergency department (ED) visits for therapeutic and nontherapeutic medication harms per 1,000 patients, and about 38% of such visits subsequently require hospitalization. Additionally, in 3 out of every 1000 hospital admissions, a patient dies due to an ADR.  Thus, ADRs increase morbidity, mortality, hospitalizations, and healthcare costs. Therefore, healthcare professionals must be ready to identify and treat ADRs and prioritize efforts to prevent their occurrence. ADR Definitions The International Conference on Harmonization of Technical Requirements for Registration of Pharmaceuticals for Human Use, of which the World Health Organization (WHO) and the United States Food and Drug Administration (FDA) are members, defines an ADR as \"A response to a drug which is noxious and unintended, and which occurs at doses normally used for prophylaxis, diagnosis, or therapy of disease or the modification of physiologic function.\"  An adverse drug event, on the other hand, is defined as: \"Any untoward medical occurrence that may present during treatment with a pharmaceutical product, but which does not necessarily have a causal relationship with this treatment.\"  Therefore, an ADR is an adverse event with a causal connection to a drug.   Edwards et al suggested that the above definition is not all-inclusive and defines an ADR as \"an appreciably harmful or unpleasant reaction, resulting from an intervention related to the use of a medicinal product, which predicts hazard from future administration and warrants prevention or specific treatment, or alteration of the dosage regimen, or withdrawal of the product.\" Multiple organizations have offered other definitions for ADRs, though the above will be used for the purposes of this evidence-based resource.","call-number":"NBK599521","container-title":"StatPearls","event-place":"Treasure Island (FL)","language":"eng","license":"Copyright © 2026, StatPearls Publishing LLC.","note":"PMID: 38261714","publisher":"StatPearls Publishing","publisher-place":"Treasure Island (FL)","source":"PubMed","title":"Adverse Drug Reactions","URL":"http://www.ncbi.nlm.nih.gov/books/NBK599521/","author":[{"family":"Kommu","given":"Sharath"},{"family":"Carter","given":"Christopher"},{"family":"Whitfield","given":"Philip"}],"accessed":{"date-parts":[["2026",4,15]]},"issued":{"date-parts":[["2026"]]}}},{"id":17345,"uris":["http://zotero.org/users/16652950/items/7CCFI5ZA"],"itemData":{"id":17345,"type":"article-journal","abstract":"Background\nSerious Adverse Drug Reactions (ADRs) represent a critical challenge in contemporary healthcare, necessitating comprehensive investigation and analysis. Within Central India, where healthcare systems grapple with unique demographic, epidemiological, and infrastructural dynamics, understanding the landscape of serious ADRs is paramount.\nObjective\nThis study aimed to evaluate serious ADRs related to age, gender, most implicated class of drugs &amp; single drug, hospital admission, most affected system organ classes, causality and outcome of reactions and fatalities.\nMethods\nThis retrospective study analysed serious individual case safety reports (ICSRs) recorded from January 2016 to December 2019 at the Department of Pharmacology, Pt. JNM Medical College, Raipur (ADR monitoring centre), and submitted to the Pharmacovigilance Programme of India database using VigiFlow® for further process. ADRs were collected from Dr. BRAM Hospital and DKS Hospital and recorded using the standard suspected ADR reporting form (version 1.4). Cases were classified as serious if they met at least one criterion from the WHO-UMC scale, with some cases meeting multiple criteria. Causality was assessed using the WHO-UMC scale, ensuring patient and reporter confidentiality. Descriptive statistics such as number and frequency were used to analyse serious ADRs.\nResults\nA total of 762 ICSRs were entered into VigiFlow® during the study period, of which 239 (31.36 %) were classified as serious ADRs. The demographic distribution revealed a slight preponderance of females 125 (52.30 %) over males 113 (47.28 %). The hospital admissions due to ADRs were 57 (23.84 %). Antibiotics were the most commonly associated drug class (52.30 %), followed by Non-Steroidal Anti-Inflammatory Drugs (11.29 %). Among individual drugs, ceftriaxone and phenytoin were the most common drugs involved in serious ADRs. Adults were the most affected, 185 (77.40 %) compared to other age groups. The skin and subcutaneous tissue disorders, system organ class (SOC)155 (46.55 %) was highly affected, while erythematous and maculopapular rashes were the most common. Eleven Stevens-Johnson syndrome cases and three toxic epidermal necrolysis cases, like specific ADRs, were also obtained. The most ADRs were probable 121 (50.60 %) and possible 100 (41.84 %) category.\nConclusion\nThis study highlights the significant burden of serious ADRs within Central India, emphasising the need for heightened pharmacovigilance and targeted interventions, especially among adults. The prevalence of serious ADRs in females and adults and the impact on hospitalisations emphasise the need for cautious drug use, especially in inpatient settings. Limited understanding and reporting exist regarding the profile of serious ADRs in resource-limited countries. The findings will contribute to developing strategies for shaping future policies to promote the safer use of medicines. The under-reporting of ADRs in our setting and low-income countries is also a concern. Therefore, it is imperative to raise awareness about ADR reporting by healthcare professionals as well as patients to promote the safe utilisation of drugs.","container-title":"Exploratory Research in Clinical and Social Pharmacy","DOI":"10.1016/j.rcsop.2025.100579","ISSN":"2667-2766","journalAbbreviation":"Exploratory Research in Clinical and Social Pharmacy","page":"100579","source":"ScienceDirect","title":"Probing the in-depth analysis of Serious Adverse Drug Reactions in a tertiary care hospital of Central India","volume":"17","author":[{"family":"Singh","given":"Preeti"},{"family":"Verma","given":"Shekhar"},{"family":"Vaishnav","given":"Yogesh"},{"family":"Joshi","given":"Usha"},{"family":"Agrawal","given":"Manju"}],"issued":{"date-parts":[["2025",3,1]]}}}],"schema":"https://github.com/citation-style-language/schema/raw/master/csl-citation.json"} </w:instrText>
      </w:r>
      <w:r w:rsidR="00385E22" w:rsidRPr="00E42D74">
        <w:rPr>
          <w:rFonts w:ascii="Times New Roman" w:hAnsi="Times New Roman" w:cs="Times New Roman"/>
        </w:rPr>
        <w:fldChar w:fldCharType="separate"/>
      </w:r>
      <w:r w:rsidR="00385E22" w:rsidRPr="00E42D74">
        <w:rPr>
          <w:rFonts w:ascii="Times New Roman" w:hAnsi="Times New Roman" w:cs="Times New Roman"/>
        </w:rPr>
        <w:t>[9,10]</w:t>
      </w:r>
      <w:r w:rsidR="00385E22" w:rsidRPr="00E42D74">
        <w:rPr>
          <w:rFonts w:ascii="Times New Roman" w:hAnsi="Times New Roman" w:cs="Times New Roman"/>
        </w:rPr>
        <w:fldChar w:fldCharType="end"/>
      </w:r>
      <w:r w:rsidRPr="00E42D74">
        <w:rPr>
          <w:rFonts w:ascii="Times New Roman" w:hAnsi="Times New Roman" w:cs="Times New Roman"/>
        </w:rPr>
        <w:t>.</w:t>
      </w:r>
    </w:p>
    <w:p w14:paraId="1062F62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The economic implications of medication-related harm are similarly significant. Drug-related morbidity and mortality have been associated with substantial direct and indirect costs, including hospital admissions, prolonged length of stay, additional treatments, and lost productivity. While PGx testing introduces upfront costs, these must be considered in the context of downstream cost avoidance through the prevention of severe ADRs, treatment failures, and iterative prescribing. As testing costs decline and panel-based approaches provide multi-drug relevance from a single assay, the value proposition of PGx becomes increasingly favorable, particularly in populations with high medication burden</w:t>
      </w:r>
      <w:r w:rsidR="00C076C4" w:rsidRPr="00E42D74">
        <w:rPr>
          <w:rFonts w:ascii="Times New Roman" w:hAnsi="Times New Roman" w:cs="Times New Roman"/>
        </w:rPr>
        <w:fldChar w:fldCharType="begin"/>
      </w:r>
      <w:r w:rsidR="00C076C4" w:rsidRPr="00E42D74">
        <w:rPr>
          <w:rFonts w:ascii="Times New Roman" w:hAnsi="Times New Roman" w:cs="Times New Roman"/>
        </w:rPr>
        <w:instrText xml:space="preserve"> ADDIN ZOTERO_ITEM CSL_CITATION {"citationID":"W51Cizuu","properties":{"formattedCitation":"[11,12]","plainCitation":"[11,12]","noteIndex":0},"citationItems":[{"id":17347,"uris":["http://zotero.org/users/16652950/items/86BEZDWG"],"itemData":{"id":17347,"type":"article-journal","abstract":"Objectives\nThe purpose of this study was to assess the clinical and economic impact of adverse drug reactions (ADRs) among patients admitted to the University of Gondar Comprehensive Specialized Hospital (UoGCSH).\n\nDesign and setting\nA prospective nested case–control study was conducted at the UoGCSH among admitted adult patients with (cases) and without ADRs (controls) between May and October 2022.\n\nParticipants\nAll eligible adult patients admitted in the medical ward of the UoGCSH during the study period were included in this study.\n\nMain outcome measures\nThe outcome variables were the clinical and economic outcomes. Length of hospital stay, visits to intensive care units (ICU) and in-hospital mortality were used to measure and compare clinical outcomes in patients with and without ADRs. The economic outcome was also assessed using direct medical-related costs and compared for the two groups. Paired samples t-test and McNemar tests were used to compare measurable outcomes between the two groups. A p value &lt;0.05 at the 95% CI was considered statistically significant.\n\nResults\nOut of a total of 214 eligible enrolled patients, 206 (103 with and 103 without ADRs) with a 96.3% response rate were included in the cohort. The length of hospital stay was much longer in patients with ADRs than without ADRs (19.8 vs 15.2 days, p&lt;0.001). Similarly, ICU visits (11.2% vs 6.8%, p&lt;0.001) and in-hospital mortality (4.4% vs 1.9%, p=0.012) were significantly higher in patients with ADRs compared with those without ADRs. Patients with ADRs were significantly charged with higher direct medical costs compared with those without ADRs (6237.2 vs 5256.3 Ethiopian birr; p&lt;0.001).\n\nConclusion\nThis study concluded that ADRs had a significant impact on patients’ clinical and medical costs. Healthcare providers should strictly follow the patients to minimise ADR-related clinical and economic adverse outcomes.","container-title":"BMJ Open","DOI":"10.1136/bmjopen-2023-073777","ISSN":"2044-6055","issue":"6","journalAbbreviation":"BMJ Open","note":"PMID: 37280017\nPMCID: PMC10255243","page":"e073777","source":"PubMed Central","title":"Clinical and economic impact of adverse drug reactions in hospitalised patients: prospective matched nested case–control study in Ethiopia","title-short":"Clinical and economic impact of adverse drug reactions in hospitalised patients","volume":"13","author":[{"family":"Sendekie","given":"Ashenafi Kibret"},{"family":"Kasahun","given":"Asmamaw Emagn"},{"family":"Limenh","given":"Liknaw Workie"},{"family":"Dagnaw","given":"Abera Dessie"},{"family":"Belachew","given":"Eyayaw Ashete"}],"issued":{"date-parts":[["2023",6,6]]}}},{"id":17350,"uris":["http://zotero.org/users/16652950/items/RJ7U5U8V"],"itemData":{"id":17350,"type":"article-journal","abstract":"This study aimed to systematically review and explore the impact of study methods on the cost of managing adverse drug reactions (ADRs) among hospital...","container-title":"Pharmacoepidemiology","DOI":"10.3390/pharma2020012","ISSN":"2813-0618","issue":"2","language":"en","license":"http://creativecommons.org/licenses/by/3.0/","note":"publisher: Multidisciplinary Digital Publishing Institute","page":"120-139","source":"www.mdpi.com","title":"Cost Estimations of Managing Adverse Drug Reactions in Hospitalized Patients: A Systematic Review of Study Methods and Their Influences","title-short":"Cost Estimations of Managing Adverse Drug Reactions in Hospitalized Patients","volume":"2","author":[{"family":"Abu","given":"Siti Fauziah"},{"family":"Shafie","given":"Asrul Akmal"},{"family":"Chandriah","given":"Haarathi"}],"issued":{"date-parts":[["2023",4,29]]}}}],"schema":"https://github.com/citation-style-language/schema/raw/master/csl-citation.json"} </w:instrText>
      </w:r>
      <w:r w:rsidR="00C076C4" w:rsidRPr="00E42D74">
        <w:rPr>
          <w:rFonts w:ascii="Times New Roman" w:hAnsi="Times New Roman" w:cs="Times New Roman"/>
        </w:rPr>
        <w:fldChar w:fldCharType="separate"/>
      </w:r>
      <w:r w:rsidR="00C076C4" w:rsidRPr="00E42D74">
        <w:rPr>
          <w:rFonts w:ascii="Times New Roman" w:hAnsi="Times New Roman" w:cs="Times New Roman"/>
        </w:rPr>
        <w:t>[11,12]</w:t>
      </w:r>
      <w:r w:rsidR="00C076C4" w:rsidRPr="00E42D74">
        <w:rPr>
          <w:rFonts w:ascii="Times New Roman" w:hAnsi="Times New Roman" w:cs="Times New Roman"/>
        </w:rPr>
        <w:fldChar w:fldCharType="end"/>
      </w:r>
      <w:r w:rsidRPr="00E42D74">
        <w:rPr>
          <w:rFonts w:ascii="Times New Roman" w:hAnsi="Times New Roman" w:cs="Times New Roman"/>
        </w:rPr>
        <w:t>.</w:t>
      </w:r>
    </w:p>
    <w:p w14:paraId="3F88F29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clinical applicability of PGx is broad and continues to expand. Evidence-based guidelines now cover more than 100 gene–drug pairs across multiple therapeutic areas, including cardiovascular disease, psychiatry, oncology, pain management, and transplant medicine. Many commonly prescribed medications</w:t>
      </w:r>
      <w:r w:rsidR="00C076C4" w:rsidRPr="00E42D74">
        <w:rPr>
          <w:rFonts w:ascii="Times New Roman" w:hAnsi="Times New Roman" w:cs="Times New Roman"/>
        </w:rPr>
        <w:t xml:space="preserve"> </w:t>
      </w:r>
      <w:r w:rsidRPr="00E42D74">
        <w:rPr>
          <w:rFonts w:ascii="Times New Roman" w:hAnsi="Times New Roman" w:cs="Times New Roman"/>
        </w:rPr>
        <w:t>such as antiplatelet agents, antidepressants, opioids, and anticoagulants—have well-characterized pharmacogenomic associations with actionable prescribing recommendations</w:t>
      </w:r>
      <w:r w:rsidR="00C076C4" w:rsidRPr="00E42D74">
        <w:rPr>
          <w:rFonts w:ascii="Times New Roman" w:hAnsi="Times New Roman" w:cs="Times New Roman"/>
        </w:rPr>
        <w:fldChar w:fldCharType="begin"/>
      </w:r>
      <w:r w:rsidR="00C076C4" w:rsidRPr="00E42D74">
        <w:rPr>
          <w:rFonts w:ascii="Times New Roman" w:hAnsi="Times New Roman" w:cs="Times New Roman"/>
        </w:rPr>
        <w:instrText xml:space="preserve"> ADDIN ZOTERO_ITEM CSL_CITATION {"citationID":"YgVsXoRR","properties":{"formattedCitation":"[3,13]","plainCitation":"[3,13]","noteIndex":0},"citationItems":[{"id":17330,"uris":["http://zotero.org/users/16652950/items/SXVWWMDG"],"itemData":{"id":17330,"type":"article-journal","abstract":"Pharmacogenomics (PGx) helps to explain variability in drug response, including adverse drug reactions. Functional variants in genes affecting drug absorption, distribution, metabolism, and excretion (ADME) have been described. Despite PGx guidelines (e.g., CPIC and DPWG) enabling genotype‐guided drug and dose selection, preemptive implementation remains challenging due to various issues including standardized result communication and integration into electronic health record (EHR) systems. We implemented PGx testing as well as drug–drug interaction (DDI) screening in a German academic hospital and assessed their impact on physicians, general practitioners (GPs), and patients. A novel PGx workflow was established using a 60‐genetic variant panel. CPIC/DPWG guideline‐based PGx reports were integrated into the EHR system and provided as a mobile and web application for patients through a genetic information system. Medication profiles and questionnaires evaluated PGx‐based decisions 3 months post‐discharge. Among 255 patients, 95% had at least one actionable PGx variant, most commonly affecting statins, 5‐fluorouracil, irinotecan, and pantoprazole. Actionable recommendations were provided in 21.5%, with hospital physicians modifying treatment subsequently in 75.5%. We identified 57 clinically significant DDIs, including PGx drugs in 21%. GPs maintained optimized treatment in 77% of those patients with a medication change initiated during hospitalization. One in 10 patients discussed results with their GPs. GPs favored PGx for future prescriptions and requested training. We showed that preemptive PGx testing can be successfully implemented in a German hospital with high acceptance among physicians and GPs, and that PGx integration into the EHR supports broader adoption in precision medicine., Overview of the implemented pharmacogenomics (PGx) process in clinical routine at the Robert Bosch Hospital: from patient enrollment via the hospital information system, DNA detection using a customized TaqMan OpenArray panel and qPCR for CNV assessment, to clinical translation of genotyping results into PGx guideline‐based recommendations using a genetic information management system (GIMS). The workflow includes the assessment of results by clinical pharmacologists or pharmacists, taking into account patients’ medication profiles for potential drug‐drug interactions (DDIs). Final reports are communicated into the hospital’s electronic health record (EHR) system, and are also provided to patients via a secure online portal accessible through web and mobile app. Finally, the response to optimized PGx treatments was investigated in the outpatient setting, focusing on feedback from general practitioners, who received PGx results via discharge summaries or directly from patients. Key results from this study are highlighted.","container-title":"Clinical Pharmacology and Therapeutics","DOI":"10.1002/cpt.70083","ISSN":"0009-9236","issue":"1","journalAbbreviation":"Clin Pharmacol Ther","note":"PMID: 41074844\nPMCID: PMC12746526","page":"241-254","source":"PubMed Central","title":"Clinical Implementation of Pharmacogenomics and Drug–Drug Interaction Screening in a German Academic Teaching Hospital and Outpatient Follow‐Up","volume":"119","author":[{"family":"Tremmel","given":"Roman"},{"family":"Schreeck","given":"Filippa"},{"family":"Jaeger","given":"Simon"},{"family":"Schricker","given":"Severin"},{"family":"Schaeffeler","given":"Elke"},{"family":"Igel","given":"Svitlana"},{"family":"Steinberger","given":"Daniela"},{"family":"Pagitz","given":"Manuel"},{"family":"Latus","given":"Jörg"},{"family":"Ketteler","given":"Markus"},{"family":"Bühl","given":"Kerstin"},{"family":"Dahlke","given":"Marc‐H."},{"family":"Kopp","given":"Hans‐Georg"},{"family":"Schwab","given":"Matthias"}],"issued":{"date-parts":[["2025",10,11]]}}},{"id":17352,"uris":["http://zotero.org/users/16652950/items/Y49JNJCL"],"itemData":{"id":17352,"type":"article-journal","abstract":"Pharmacogenomics (PGx) testing improves medication safety and efficacy by identifying genetic variants that affect drug response. However, current technologies often fail to resolve complex loci, detect structural variants, or phase alleles accurately. Here, we present an end-to-end PGx workflow based on Targeted Adaptive Sampling-Long Read Sequencing (TAS-LRS), integrating a streamlined laboratory protocol with a bioinformatics pipeline that includes a novel CYP2D6 caller. Using 1,000 ng of DNA and three-sample multiplexing on a single PromethION flow cell, the assay achieves consistent on-target (25x) and off-target (3x) coverage, enabling accurate, haplotype-resolved testing of 35 pharmacogenes alongside genome-wide genotyping from off-target reads. We further developed the workflow into a clinically ready service and validated its performance across 17 reference and clinical samples. The assay demonstrated high concordance for small variants (99.9%) and structural variants (&gt; 95%), with phased diplotypes and metabolizer phenotypes reaching 97.7% and 98.0% concordance, respectively. Improved calls were observed in 12 genes due to enhanced genotyping, phasing, or novel allele detection. In addition, off-target reads supported accurate genome-wide imputation, comparable to short-read sequencing and superior to microarrays. These results establish the feasibility of long-read sequencing for clinical PGx testing and position TAS-LRS as a scalable solution combining both targeted and genome-wide utility.","container-title":"Scientific Reports","DOI":"10.1038/s41598-025-22941-z","ISSN":"2045-2322","issue":"1","journalAbbreviation":"Sci Rep","language":"en","license":"2025 The Author(s)","note":"publisher: Nature Publishing Group","page":"39346","source":"www.nature.com","title":"Targeted adaptive sampling enables clinical pharmacogenomics testing and genome-wide genotyping","volume":"15","author":[{"family":"Gan","given":"Pamela Hui Peng"},{"family":"Yeo","given":"Han Lin"},{"family":"Bin Hajis","given":"Muhammad Irfan"},{"family":"Maulana","given":"Yusuf"},{"family":"Ng","given":"Audrey Qi Hui"},{"family":"Ramanto","given":"Kevin Nathanael"},{"family":"Dewanggana","given":"Marta Nisita"},{"family":"Irwanto","given":"Astrid"},{"family":"Sani","given":"Levana"},{"family":"Goh","given":"Liuh Ling"},{"family":"Gonzalez-Porta","given":"Mar"}],"issued":{"date-parts":[["2025",11,10]]}}}],"schema":"https://github.com/citation-style-language/schema/raw/master/csl-citation.json"} </w:instrText>
      </w:r>
      <w:r w:rsidR="00C076C4" w:rsidRPr="00E42D74">
        <w:rPr>
          <w:rFonts w:ascii="Times New Roman" w:hAnsi="Times New Roman" w:cs="Times New Roman"/>
        </w:rPr>
        <w:fldChar w:fldCharType="separate"/>
      </w:r>
      <w:r w:rsidR="00C076C4" w:rsidRPr="00E42D74">
        <w:rPr>
          <w:rFonts w:ascii="Times New Roman" w:hAnsi="Times New Roman" w:cs="Times New Roman"/>
        </w:rPr>
        <w:t>[3,13]</w:t>
      </w:r>
      <w:r w:rsidR="00C076C4" w:rsidRPr="00E42D74">
        <w:rPr>
          <w:rFonts w:ascii="Times New Roman" w:hAnsi="Times New Roman" w:cs="Times New Roman"/>
        </w:rPr>
        <w:fldChar w:fldCharType="end"/>
      </w:r>
      <w:r w:rsidRPr="00E42D74">
        <w:rPr>
          <w:rFonts w:ascii="Times New Roman" w:hAnsi="Times New Roman" w:cs="Times New Roman"/>
        </w:rPr>
        <w:t>. This breadth underscores that PGx is not confined to a niche specialty but is relevant to routine prescribing across diverse clinical settings.</w:t>
      </w:r>
    </w:p>
    <w:p w14:paraId="03CFFB0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Importantly, the utility of PGx spans multiple points in the care continuum, from acute prescribing decisions to long-term medication management. Preemptive testing models, in which genetic information is obtained once and applied across future prescribing decisions, further enhance clinical efficiency and longitudinal value. These characteristics position PGx as a scalable tool for improving medication safety and effectiveness across healthcare systems</w:t>
      </w:r>
      <w:r w:rsidR="00AB2C3F" w:rsidRPr="00E42D74">
        <w:rPr>
          <w:rFonts w:ascii="Times New Roman" w:hAnsi="Times New Roman" w:cs="Times New Roman"/>
        </w:rPr>
        <w:fldChar w:fldCharType="begin"/>
      </w:r>
      <w:r w:rsidR="00AB2C3F" w:rsidRPr="00E42D74">
        <w:rPr>
          <w:rFonts w:ascii="Times New Roman" w:hAnsi="Times New Roman" w:cs="Times New Roman"/>
        </w:rPr>
        <w:instrText xml:space="preserve"> ADDIN ZOTERO_ITEM CSL_CITATION {"citationID":"tW2AjMQ1","properties":{"formattedCitation":"[14]","plainCitation":"[14]","noteIndex":0},"citationItems":[{"id":17354,"uris":["http://zotero.org/users/16652950/items/WZ4TK4TF"],"itemData":{"id":17354,"type":"article-journal","abstract":"Pharmacogenetic (PGx) testing is a promising approach for optimizing drug therapies. However, there is limited knowledge regarding its real-world util...","container-title":"Pharmacy","DOI":"10.3390/pharmacy13010014","ISSN":"2226-4787","issue":"1","language":"en","license":"http://creativecommons.org/licenses/by/3.0/","note":"publisher: Multidisciplinary Digital Publishing Institute","source":"www.mdpi.com","title":"Impact and Enablers of Pharmacogenetic-Informed Treatment Decisions—A Longitudinal Mixed-Methods Study Exploring the Patient Perspective","URL":"https://www.mdpi.com/2226-4787/13/1/14","volume":"13","author":[{"family":"Bollinger","given":"Anna"},{"family":"Fortes","given":"Melissa Semedo"},{"family":"Schwabedissen","given":"Henriette E. Meyer","dropping-particle":"zu"},{"family":"Hersberger","given":"Kurt E."},{"family":"Stäuble","given":"Céline K."},{"family":"Allemann","given":"Samuel S."}],"accessed":{"date-parts":[["2026",4,15]]},"issued":{"date-parts":[["2025",1,30]]}}}],"schema":"https://github.com/citation-style-language/schema/raw/master/csl-citation.json"} </w:instrText>
      </w:r>
      <w:r w:rsidR="00AB2C3F" w:rsidRPr="00E42D74">
        <w:rPr>
          <w:rFonts w:ascii="Times New Roman" w:hAnsi="Times New Roman" w:cs="Times New Roman"/>
        </w:rPr>
        <w:fldChar w:fldCharType="separate"/>
      </w:r>
      <w:r w:rsidR="00AB2C3F" w:rsidRPr="00E42D74">
        <w:rPr>
          <w:rFonts w:ascii="Times New Roman" w:hAnsi="Times New Roman" w:cs="Times New Roman"/>
        </w:rPr>
        <w:t>[14]</w:t>
      </w:r>
      <w:r w:rsidR="00AB2C3F" w:rsidRPr="00E42D74">
        <w:rPr>
          <w:rFonts w:ascii="Times New Roman" w:hAnsi="Times New Roman" w:cs="Times New Roman"/>
        </w:rPr>
        <w:fldChar w:fldCharType="end"/>
      </w:r>
      <w:r w:rsidRPr="00E42D74">
        <w:rPr>
          <w:rFonts w:ascii="Times New Roman" w:hAnsi="Times New Roman" w:cs="Times New Roman"/>
        </w:rPr>
        <w:t>.</w:t>
      </w:r>
    </w:p>
    <w:p w14:paraId="5CDD0EE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Taken together, the evidence supporting PGx-guided prescribing is substantial, clinically actionable, and economically relevant. The central challenge is no longer the generation of evidence, but its consistent translation into practice. Despite the availability of validated guidelines, curated knowledgebases, and regulatory endorsement, implementation remains uneven and concentrated in well-resourced settings. The gap between what is known and what is routinely done defines the current implementation paradox: the evidence base for pharmacogenomics is mature, but its integration into everyday clinical care continues to lag.</w:t>
      </w:r>
    </w:p>
    <w:p w14:paraId="2791C74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 The Rural Implementation Gap: A Systems-Level Analysis</w:t>
      </w:r>
    </w:p>
    <w:p w14:paraId="1E97B9D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limited adoption of pharmacogenomics in rural and underserved settings reflects a set of interrelated structural constraints rather than a single isolated barrier. These constraints operate at the levels of workforce, infrastructure, access, patient engagement, and financing. Importantly, they do not occur uniformly across settings. Instead, they vary according to the underlying capacity of the healthcare system, shaping both the feasibility and effectiveness of implementation strategies</w:t>
      </w:r>
      <w:r w:rsidR="004C434B" w:rsidRPr="00E42D74">
        <w:rPr>
          <w:rFonts w:ascii="Times New Roman" w:hAnsi="Times New Roman" w:cs="Times New Roman"/>
        </w:rPr>
        <w:fldChar w:fldCharType="begin"/>
      </w:r>
      <w:r w:rsidR="004C434B" w:rsidRPr="00E42D74">
        <w:rPr>
          <w:rFonts w:ascii="Times New Roman" w:hAnsi="Times New Roman" w:cs="Times New Roman"/>
        </w:rPr>
        <w:instrText xml:space="preserve"> ADDIN ZOTERO_ITEM CSL_CITATION {"citationID":"u2lD9ZRZ","properties":{"formattedCitation":"[15]","plainCitation":"[15]","noteIndex":0},"citationItems":[{"id":17356,"uris":["http://zotero.org/users/16652950/items/W9ZE6A37"],"itemData":{"id":17356,"type":"article-journal","abstract":"Background/Objectives: Pharmacogenomics is an emerging field in precision medicine that aims to improve patient outcomes by tailoring drug selection a...","container-title":"Journal of Personalized Medicine","DOI":"10.3390/jpm15030110","ISSN":"2075-4426","issue":"3","language":"en","license":"http://creativecommons.org/licenses/by/3.0/","note":"publisher: Multidisciplinary Digital Publishing Institute","source":"www.mdpi.com","title":"Enhancing Rural Healthcare Accessibility: A Model for Pharmacogenomics Adoption via an Outreach-Focused Integration Strategy","title-short":"Enhancing Rural Healthcare Accessibility","URL":"https://www.mdpi.com/2075-4426/15/3/110","volume":"15","author":[{"family":"Silver","given":"Jared"},{"family":"Forman","given":"Evan"},{"family":"Barrett","given":"David"},{"family":"Sibalija","given":"Jovana"},{"family":"Kim","given":"Richard"}],"accessed":{"date-parts":[["2026",4,15]]},"issued":{"date-parts":[["2025",3,12]]}}}],"schema":"https://github.com/citation-style-language/schema/raw/master/csl-citation.json"} </w:instrText>
      </w:r>
      <w:r w:rsidR="004C434B" w:rsidRPr="00E42D74">
        <w:rPr>
          <w:rFonts w:ascii="Times New Roman" w:hAnsi="Times New Roman" w:cs="Times New Roman"/>
        </w:rPr>
        <w:fldChar w:fldCharType="separate"/>
      </w:r>
      <w:r w:rsidR="004C434B" w:rsidRPr="00E42D74">
        <w:rPr>
          <w:rFonts w:ascii="Times New Roman" w:hAnsi="Times New Roman" w:cs="Times New Roman"/>
        </w:rPr>
        <w:t>[15]</w:t>
      </w:r>
      <w:r w:rsidR="004C434B" w:rsidRPr="00E42D74">
        <w:rPr>
          <w:rFonts w:ascii="Times New Roman" w:hAnsi="Times New Roman" w:cs="Times New Roman"/>
        </w:rPr>
        <w:fldChar w:fldCharType="end"/>
      </w:r>
      <w:r w:rsidRPr="00E42D74">
        <w:rPr>
          <w:rFonts w:ascii="Times New Roman" w:hAnsi="Times New Roman" w:cs="Times New Roman"/>
        </w:rPr>
        <w:t>.</w:t>
      </w:r>
    </w:p>
    <w:p w14:paraId="3DC0C039" w14:textId="77777777" w:rsidR="007D5081" w:rsidRPr="00E42D74" w:rsidRDefault="007D5081" w:rsidP="00760ABA">
      <w:pPr>
        <w:jc w:val="both"/>
        <w:rPr>
          <w:rFonts w:ascii="Times New Roman" w:hAnsi="Times New Roman" w:cs="Times New Roman"/>
          <w:b/>
          <w:bCs/>
        </w:rPr>
      </w:pPr>
    </w:p>
    <w:p w14:paraId="269B2C1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4.1 Workforce Limitations</w:t>
      </w:r>
    </w:p>
    <w:p w14:paraId="29F8337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Workforce capacity represents one of the most consistently identified barriers to pharmacogenomics implementation. Surveys of healthcare providers demonstrate limited knowledge, low confidence in interpreting test results, and uncertainty regarding clinical application. These gaps are more pronounced in rural settings, where access to continuing education and specialist support is constrained. Pharmacogenomics requires familiarity with gene–drug interactions, metabolizer phenotypes, and guideline-based prescribing adjustments, competencies that are not uniformly integrated into routine clinical training</w:t>
      </w:r>
      <w:r w:rsidR="004C434B" w:rsidRPr="00E42D74">
        <w:rPr>
          <w:rFonts w:ascii="Times New Roman" w:hAnsi="Times New Roman" w:cs="Times New Roman"/>
        </w:rPr>
        <w:fldChar w:fldCharType="begin"/>
      </w:r>
      <w:r w:rsidR="004C434B" w:rsidRPr="00E42D74">
        <w:rPr>
          <w:rFonts w:ascii="Times New Roman" w:hAnsi="Times New Roman" w:cs="Times New Roman"/>
        </w:rPr>
        <w:instrText xml:space="preserve"> ADDIN ZOTERO_ITEM CSL_CITATION {"citationID":"T7TPwMIP","properties":{"formattedCitation":"[6,16]","plainCitation":"[6,16]","noteIndex":0},"citationItems":[{"id":17337,"uris":["http://zotero.org/users/16652950/items/6GPVD2RC"],"itemData":{"id":17337,"type":"article-journal","abstract":"Background/Objectives: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id":17359,"uris":["http://zotero.org/users/16652950/items/QWZVJ5CZ"],"itemData":{"id":17359,"type":"article-journal","abstract":"Introduction\nPharmacogenomics implementation in clinical practice is anticipated to improve our understanding of individual variations in drug response and optimise the safety and efficacy of drug therapy. We aimed to assess the knowledge, perceptions, and readiness of physicians, pharmacists, and nurses in Qatar regarding the implementation of clinical pharmacogenomics.\n\nMethods\nA mixed-method study with an explanatory sequential design was conducted. Phase I was the quantitative phase which involved sending an online survey to physicians, pharmacists, and nurses. Phase II was the qualitative phase which involved conducting focus group discussions.\n\nResults\nA total of 802 responses were collected, with a response rate of 20%. Only 15.4% of participants had previous pharmacogenomics-related training. The median knowledge score for healthcare professionals was 4 out of 10 denoting low level of knowledge. However, compared to other professions, pharmacists had a higher knowledge score (p-value &lt;0.001) and Doctor of Pharmacy (PharmD) holders scored higher than BSc holders (p-value &lt;0.001). Despite the low level of knowledge, perceptions of healthcare professionals were positive. In addition, the majority believed knowledge of pharmacogenomics is necessary and that counselling patients on pharmacogenomics requires specialised training pharmacogenomic principles in practice. The main themes extracted from the focus group discussions were knowledge, outcome expectations, preparedness, facilitators, barriers, public education, and implementation planning. Regarding readiness, most healthcare professionals reported that they are not currently confident in applying\n\nConclusions\nHealthcare providers have a low level of knowledge of pharmacogenomics. Despite this, the majority have positive perceptions towards its implementation in practice. Compared to other professionals, pharmacists with a PharmD degree scored higher in the knowledge assessment. Most healthcare providers report low confidence regarding the readiness for the implementation of pharmacogenomics and report a lack of knowledge, specialised training, and clinical guidelines as barriers.","container-title":"Journal of Pharmaceutical Policy and Practice","DOI":"10.1080/20523211.2024.2429785","ISSN":"2052-3211","issue":"1","journalAbbreviation":"J Pharm Policy Pract","note":"PMID: 39605985\nPMCID: PMC11600515","page":"2429785","source":"PubMed Central","title":"Assessment of knowledge, perceptions, and readiness of healthcare professionals towards clinical pharmacogenomics implementation in Qatar: a mixed-method study","title-short":"Assessment of knowledge, perceptions, and readiness of healthcare professionals towards clinical pharmacogenomics implementation in Qatar","volume":"17","author":[{"family":"Alnaimi","given":"Shaikha Jabor"},{"family":"Ajaj","given":"Fatima"},{"family":"Awaisu","given":"Ahmed"},{"family":"Alhathal","given":"Turfa"},{"family":"Mohammed","given":"Shaban"},{"family":"Alhail","given":"Moza"}]}}],"schema":"https://github.com/citation-style-language/schema/raw/master/csl-citation.json"} </w:instrText>
      </w:r>
      <w:r w:rsidR="004C434B" w:rsidRPr="00E42D74">
        <w:rPr>
          <w:rFonts w:ascii="Times New Roman" w:hAnsi="Times New Roman" w:cs="Times New Roman"/>
        </w:rPr>
        <w:fldChar w:fldCharType="separate"/>
      </w:r>
      <w:r w:rsidR="004C434B" w:rsidRPr="00E42D74">
        <w:rPr>
          <w:rFonts w:ascii="Times New Roman" w:hAnsi="Times New Roman" w:cs="Times New Roman"/>
        </w:rPr>
        <w:t>[6,16]</w:t>
      </w:r>
      <w:r w:rsidR="004C434B" w:rsidRPr="00E42D74">
        <w:rPr>
          <w:rFonts w:ascii="Times New Roman" w:hAnsi="Times New Roman" w:cs="Times New Roman"/>
        </w:rPr>
        <w:fldChar w:fldCharType="end"/>
      </w:r>
      <w:r w:rsidRPr="00E42D74">
        <w:rPr>
          <w:rFonts w:ascii="Times New Roman" w:hAnsi="Times New Roman" w:cs="Times New Roman"/>
        </w:rPr>
        <w:t>.</w:t>
      </w:r>
    </w:p>
    <w:p w14:paraId="31DB61C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 many rural environments, clinicians practice with limited interdisciplinary support and must manage a broad range of clinical responsibilities. The absence of locally available expertise in pharmacogenomics reduces the likelihood that testing will be ordered or that results will be effectively translated into prescribing decisions</w:t>
      </w:r>
      <w:r w:rsidR="002C350F" w:rsidRPr="00E42D74">
        <w:rPr>
          <w:rFonts w:ascii="Times New Roman" w:hAnsi="Times New Roman" w:cs="Times New Roman"/>
        </w:rPr>
        <w:fldChar w:fldCharType="begin"/>
      </w:r>
      <w:r w:rsidR="002C350F" w:rsidRPr="00E42D74">
        <w:rPr>
          <w:rFonts w:ascii="Times New Roman" w:hAnsi="Times New Roman" w:cs="Times New Roman"/>
        </w:rPr>
        <w:instrText xml:space="preserve"> ADDIN ZOTERO_ITEM CSL_CITATION {"citationID":"aN3FPRR1","properties":{"formattedCitation":"[17]","plainCitation":"[17]","noteIndex":0},"citationItems":[{"id":17362,"uris":["http://zotero.org/users/16652950/items/4MFZTHKH"],"itemData":{"id":17362,"type":"article-journal","abstract":"Pharmacogenomics (PGx) has emerged as a powerful tool to personalize drug selection and dosing based on a patient’s genetic profile. However, there are a range of challenges that impede uptake in current clinical practice. For example, clinicians often express frustration with commercially available PGx panel tests, which fail to consistently include all key actionable PGx genes (according to the Clinical Pharmacogenetics Implementation Consortium (CPIC), Food and Drug Administration (FDA) PGx guidelines, or The Dutch Pharmacogenetics Working Group (DPWG) guidelines) and instead are too long with clinically unimportant information (unvalidated genotypes). Additionally, the lack of EMR integration, clinician education and awareness of the benefits of PGx impedes uptake. This paper examines key challenges identified in clinical practice and proposes future directions, focusing on limiting PGx reports to essential data, providing point-of-prescription alerts, and establishing reimbursement pathways that encourage adoption. Future directions include leveraging large language models, integrating point-of-prescription alerts and phenoconversion calculators into the electronic medical record, increasing the genomic diversity of PGx study populations, and streamlining coverage by payers.","container-title":"Journal of Personalized Medicine","DOI":"10.3390/jpm15070294","ISSN":"2075-4426","issue":"7","journalAbbreviation":"J Pers Med","note":"PMID: 40710411\nPMCID: PMC12300132","page":"294","source":"PubMed Central","title":"Clinician Experiences at the Frontier of Pharmacogenomics and Future Directions","volume":"15","author":[{"family":"Thottunkal","given":"Stefan"},{"family":"Spahn","given":"Claire"},{"family":"Wang","given":"Benjamin"},{"family":"Rohatgi","given":"Nidhi"},{"family":"Hong","given":"Jison"},{"family":"Khandelwal","given":"Abha"},{"family":"Palaniappan","given":"Latha"}],"issued":{"date-parts":[["2025",7,7]]}}}],"schema":"https://github.com/citation-style-language/schema/raw/master/csl-citation.json"} </w:instrText>
      </w:r>
      <w:r w:rsidR="002C350F" w:rsidRPr="00E42D74">
        <w:rPr>
          <w:rFonts w:ascii="Times New Roman" w:hAnsi="Times New Roman" w:cs="Times New Roman"/>
        </w:rPr>
        <w:fldChar w:fldCharType="separate"/>
      </w:r>
      <w:r w:rsidR="002C350F" w:rsidRPr="00E42D74">
        <w:rPr>
          <w:rFonts w:ascii="Times New Roman" w:hAnsi="Times New Roman" w:cs="Times New Roman"/>
        </w:rPr>
        <w:t>[17]</w:t>
      </w:r>
      <w:r w:rsidR="002C350F" w:rsidRPr="00E42D74">
        <w:rPr>
          <w:rFonts w:ascii="Times New Roman" w:hAnsi="Times New Roman" w:cs="Times New Roman"/>
        </w:rPr>
        <w:fldChar w:fldCharType="end"/>
      </w:r>
      <w:r w:rsidRPr="00E42D74">
        <w:rPr>
          <w:rFonts w:ascii="Times New Roman" w:hAnsi="Times New Roman" w:cs="Times New Roman"/>
        </w:rPr>
        <w:t>. This creates a cycle in which low exposure reinforces low confidence, further limiting adoption.</w:t>
      </w:r>
    </w:p>
    <w:p w14:paraId="4841F6D0"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4.2 Infrastructure Variability</w:t>
      </w:r>
    </w:p>
    <w:p w14:paraId="25A6714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Infrastructure limitations represent a central challenge but are often oversimplified in the literature. Rural healthcare settings encompass a wide spectrum of capacity, from clinics without laboratory services to community hospitals with basic diagnostic and informatics capabilities. This variation has direct implications for pharmacogenomics implementation</w:t>
      </w:r>
      <w:r w:rsidR="00827584" w:rsidRPr="00E42D74">
        <w:rPr>
          <w:rFonts w:ascii="Times New Roman" w:hAnsi="Times New Roman" w:cs="Times New Roman"/>
        </w:rPr>
        <w:fldChar w:fldCharType="begin"/>
      </w:r>
      <w:r w:rsidR="00827584" w:rsidRPr="00E42D74">
        <w:rPr>
          <w:rFonts w:ascii="Times New Roman" w:hAnsi="Times New Roman" w:cs="Times New Roman"/>
        </w:rPr>
        <w:instrText xml:space="preserve"> ADDIN ZOTERO_ITEM CSL_CITATION {"citationID":"ie7rQv2X","properties":{"formattedCitation":"[18]","plainCitation":"[18]","noteIndex":0},"citationItems":[{"id":17365,"uris":["http://zotero.org/users/16652950/items/4BFGS9XQ"],"itemData":{"id":17365,"type":"article-journal","abstract":"Background\nInsufficient resources at healthcare clinics pose a serious problem, undermining the quality-of-service delivery and negatively affecting the patients as recipients of care and the staff as providers of care. The shortages often result in extended waiting periods, delayed implementation of nursing interventions, prolonged hospitalisation and the potential of increased nosocomial infections.\n\nObjectives\nTo explore and describe the impact of insufficient resources on the quality-of-service delivery at a primary healthcare clinic in Limpopo.\n\nMethod\nThe study followed a qualitative, exploratory, descriptive and contextual design. Participants were selected using purposive sampling. Interviews were conducted until data saturation was reached. The interviews were audio-recorded, transcribed verbatim and analysed using Tesch’s eight-step method of data analysis. The study was steered by the Donabedian quality-of-care framework.\n\nResults\nOne central theme emerged, namely scarcity of healthcare resources, with three subthemes: (1) the impact of water shortage on the quality-of-service delivery, (2) the impact of staff shortage on the quality-of-service delivery and (3) the impact of medication shortage on the quality-of-service delivery.\n\nConclusion\nInsufficient resources negatively affect the quality-of-service delivery in healthcare. The provision of sufficient resources through collective managerial interventions is imperative to develop and implement measures to enhance the quality-of-service delivery.\n\nContribution\nThis study may create awareness among the leadership about the challenges of the clinic. It may also facilitate the development and implementation of processes to provide the resources required to improve the quality-of-service delivery.","container-title":"Curationis","DOI":"10.4102/curationis.v48i1.2696","ISSN":"0379-8577","issue":"1","journalAbbreviation":"Curationis","note":"PMID: 40336378\nPMCID: PMC12067016","page":"2696","source":"PubMed Central","title":"The impact of insufficient resources on the quality-of-service delivery at a primary healthcare clinic in Limpopo","volume":"48","author":[{"family":"Malematja","given":"Dikeledi N."},{"family":"Nkosi","given":"Elizabeth M."},{"family":"Nene","given":"Sanele E."}],"issued":{"date-parts":[["2025",4,30]]}}}],"schema":"https://github.com/citation-style-language/schema/raw/master/csl-citation.json"} </w:instrText>
      </w:r>
      <w:r w:rsidR="00827584" w:rsidRPr="00E42D74">
        <w:rPr>
          <w:rFonts w:ascii="Times New Roman" w:hAnsi="Times New Roman" w:cs="Times New Roman"/>
        </w:rPr>
        <w:fldChar w:fldCharType="separate"/>
      </w:r>
      <w:r w:rsidR="00827584" w:rsidRPr="00E42D74">
        <w:rPr>
          <w:rFonts w:ascii="Times New Roman" w:hAnsi="Times New Roman" w:cs="Times New Roman"/>
        </w:rPr>
        <w:t>[18]</w:t>
      </w:r>
      <w:r w:rsidR="00827584" w:rsidRPr="00E42D74">
        <w:rPr>
          <w:rFonts w:ascii="Times New Roman" w:hAnsi="Times New Roman" w:cs="Times New Roman"/>
        </w:rPr>
        <w:fldChar w:fldCharType="end"/>
      </w:r>
      <w:r w:rsidRPr="00E42D74">
        <w:rPr>
          <w:rFonts w:ascii="Times New Roman" w:hAnsi="Times New Roman" w:cs="Times New Roman"/>
        </w:rPr>
        <w:t>.</w:t>
      </w:r>
    </w:p>
    <w:p w14:paraId="7D54002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Facilities without on-site laboratory services cannot support point-of-care genotyping and must rely on external testing models. In contrast, institutions with laboratory capacity and electronic health record systems may be able to integrate genotyping into clinical workflows and support decision-making through structured data and alerts. Treating these settings as equivalent obscures meaningful differences in what is operationally feasible and contributes to the limited transferability of existing implementation models</w:t>
      </w:r>
      <w:r w:rsidR="009B064D" w:rsidRPr="00E42D74">
        <w:rPr>
          <w:rFonts w:ascii="Times New Roman" w:hAnsi="Times New Roman" w:cs="Times New Roman"/>
        </w:rPr>
        <w:fldChar w:fldCharType="begin"/>
      </w:r>
      <w:r w:rsidR="009B064D" w:rsidRPr="00E42D74">
        <w:rPr>
          <w:rFonts w:ascii="Times New Roman" w:hAnsi="Times New Roman" w:cs="Times New Roman"/>
        </w:rPr>
        <w:instrText xml:space="preserve"> ADDIN ZOTERO_ITEM CSL_CITATION {"citationID":"aQCZUavI","properties":{"formattedCitation":"[19,20]","plainCitation":"[19,20]","noteIndex":0},"citationItems":[{"id":17368,"uris":["http://zotero.org/users/16652950/items/VMSND4W4"],"itemData":{"id":17368,"type":"article-journal","abstract":"The use of genomics in medicine is expanding rapidly, but information systems are lagging in their ability to support genomic workflows both from the laboratory and patient-facing provider perspective. The complexity of genomic data, the lack of needed data standards, and lack of genomic fluency and functionality as well as several other factors have contributed to the gaps between genomic data generation, interoperability, and utilization. These gaps are posing significant challenges to laboratory and pathology professionals, clinicians, and patients in the ability to generate, communicate, consume, and use genomic test results. The Association for Molecular Pathology Electronic Health Record Working Group was convened to assess the challenges and opportunities and to recommend solutions on ways to resolve current problems associated with the display and use of genomic data in electronic health records.","container-title":"The Journal of Molecular Diagnostics","DOI":"10.1016/j.jmoldx.2021.09.009","ISSN":"1525-1578","issue":"1","journalAbbreviation":"The Journal of Molecular Diagnostics","page":"1-17","source":"ScienceDirect","title":"Electronic Health Records and Genomics: Perspectives from the Association for Molecular Pathology Electronic Health Record (EHR) Interoperability for Clinical Genomics Data Working Group","title-short":"Electronic Health Records and Genomics","volume":"24","author":[{"family":"Carter","given":"Alexis B."},{"family":"Abruzzo","given":"Lynne V."},{"family":"Hirschhorn","given":"Julie W."},{"family":"Jones","given":"Dan"},{"family":"Jordan","given":"Danielle C."},{"family":"Nassiri","given":"Mehdi"},{"family":"Ogino","given":"Shuji"},{"family":"Patel","given":"Nimesh R."},{"family":"Suciu","given":"Christopher G."},{"family":"Temple-Smolkin","given":"Robyn L."},{"family":"Zehir","given":"Ahmet"},{"family":"Roy","given":"Somak"}],"issued":{"date-parts":[["2022",1,1]]}}},{"id":17369,"uris":["http://zotero.org/users/16652950/items/7TMQZ9NE"],"itemData":{"id":17369,"type":"chapter","abstract":"Point-of-care testing (POCT) is a type of clinical laboratory testing conducted at or near the site of patient care. POCT provides rapid turnaround of test results, with the potential to generate results quickly, allowing for the implementation of appropriate treatment and leading to improved clinical or economic outcomes compared to laboratory testing. Traditional laboratory testing typically involves a multiple-step process that includes collecting samples from the patient at the bedside or the clinic, transporting them to a centralized laboratory, often located far away, and then subjecting the samples to several processing steps. The delay in treatment caused by the time-consuming traditional laboratory testing can hinder timely clinical decision-making. POCT addresses this challenge by bringing the laboratory to the patient. Portable and handheld testing devices enable healthcare professionals to perform rapid testing on samples, significantly reducing the time needed for medical decision-making. The concept of on-site or near-patient testing for blood analysis was initially explored in England during the 1950s and was referred to as near-patient testing. In the early 1980s, Dr Gerald J Kost introduced the term point-of-care testing after extensive research on the application of biosensors for monitoring ionized calcium levels in whole blood. The term point-of-care testing was subsequently defined as the testing at or near the site of patient care. Technological advances, including the miniaturization of electronics and improved instrumentation, have facilitated the development of increasingly smaller and more accurate POCT devices. Cutting-edge POCT integrates microneedles and microfluidics for improved comfort, speed, and accuracy. Essential features of point-of-care testing include simplicity of use, with reagents and consumables that remain stable and reliable during storage and use. Test results should be consistent with those obtained from established laboratory methods, and procedures must ensure safety for both patients and healthcare personnel throughout the testing process.  Various international guidelines define key attributes of POCT. The ASSURED framework, proposed by the World Health Organization, is one of the most well-known models, particularly for infectious disease diagnostics, such as those related to sexually transmitted infections. The acronym ASSURED highlights that POCT should be affordable, sensitive, specific, user-friendly, rapid, robust, equipment-free, and deliverable to end-users. Affordability makes tests accessible to at-risk patients, whereas being equipment-free means they do not need complex tools. More recently, this framework has been updated to the REASSURED criteria, which keep all the main features of ASSURED but add 2 new aspects—real-time connectivity, which links tests with health information systems, and ease of specimen collection, supporting minimally invasive sampling. Together, these criteria serve as a complete standard for developing and implementing effective POCT solutions in diverse healthcare settings. The National Academy of Clinical Biochemistry has developed evidence-based guidelines for POCT, providing grading and recommendations to optimize the use of POCT based on scientific research and clinical evidence. Developing trends in POCT include the integration of artificial intelligence and machine learning in the execution and interpretation of lab testing, as well as the continued miniaturization of POCT devices. POCT guidelines generally emphasize the rapid results and cost-effectiveness of POCT, along with the importance of high sensitivities and specificities to support informed clinical decision-making.","call-number":"NBK592387","container-title":"StatPearls","event-place":"Treasure Island (FL)","language":"eng","license":"Copyright © 2026, StatPearls Publishing LLC.","note":"PMID: 37276307","publisher":"StatPearls Publishing","publisher-place":"Treasure Island (FL)","source":"PubMed","title":"Point-of-Care Testing","URL":"http://www.ncbi.nlm.nih.gov/books/NBK592387/","author":[{"family":"Larkins","given":"Michael C."},{"family":"Zubair","given":"Muhammad"},{"family":"Thombare","given":"Aparna"}],"accessed":{"date-parts":[["2026",4,15]]},"issued":{"date-parts":[["2026"]]}}}],"schema":"https://github.com/citation-style-language/schema/raw/master/csl-citation.json"} </w:instrText>
      </w:r>
      <w:r w:rsidR="009B064D" w:rsidRPr="00E42D74">
        <w:rPr>
          <w:rFonts w:ascii="Times New Roman" w:hAnsi="Times New Roman" w:cs="Times New Roman"/>
        </w:rPr>
        <w:fldChar w:fldCharType="separate"/>
      </w:r>
      <w:r w:rsidR="009B064D" w:rsidRPr="00E42D74">
        <w:rPr>
          <w:rFonts w:ascii="Times New Roman" w:hAnsi="Times New Roman" w:cs="Times New Roman"/>
        </w:rPr>
        <w:t>[19,20]</w:t>
      </w:r>
      <w:r w:rsidR="009B064D" w:rsidRPr="00E42D74">
        <w:rPr>
          <w:rFonts w:ascii="Times New Roman" w:hAnsi="Times New Roman" w:cs="Times New Roman"/>
        </w:rPr>
        <w:fldChar w:fldCharType="end"/>
      </w:r>
      <w:r w:rsidRPr="00E42D74">
        <w:rPr>
          <w:rFonts w:ascii="Times New Roman" w:hAnsi="Times New Roman" w:cs="Times New Roman"/>
        </w:rPr>
        <w:t>.</w:t>
      </w:r>
    </w:p>
    <w:p w14:paraId="1A972985"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4.3 Geographic Access Constraints</w:t>
      </w:r>
    </w:p>
    <w:p w14:paraId="34209A4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Geographic distance remains a defining feature of rural healthcare access. Patients may travel substantial distances to reach facilities capable of providing specialized services, including genetic testing. Even when pharmacogenomics testing is technically available within a health system, physical access barriers can delay or prevent utilization</w:t>
      </w:r>
      <w:r w:rsidR="00BB49EC" w:rsidRPr="00E42D74">
        <w:rPr>
          <w:rFonts w:ascii="Times New Roman" w:hAnsi="Times New Roman" w:cs="Times New Roman"/>
        </w:rPr>
        <w:fldChar w:fldCharType="begin"/>
      </w:r>
      <w:r w:rsidR="00BB49EC" w:rsidRPr="00E42D74">
        <w:rPr>
          <w:rFonts w:ascii="Times New Roman" w:hAnsi="Times New Roman" w:cs="Times New Roman"/>
        </w:rPr>
        <w:instrText xml:space="preserve"> ADDIN ZOTERO_ITEM CSL_CITATION {"citationID":"Cf2JK5QE","properties":{"formattedCitation":"[15,21]","plainCitation":"[15,21]","noteIndex":0},"citationItems":[{"id":17356,"uris":["http://zotero.org/users/16652950/items/W9ZE6A37"],"itemData":{"id":17356,"type":"article-journal","abstract":"Background/Objectives: Pharmacogenomics is an emerging field in precision medicine that aims to improve patient outcomes by tailoring drug selection a...","container-title":"Journal of Personalized Medicine","DOI":"10.3390/jpm15030110","ISSN":"2075-4426","issue":"3","language":"en","license":"http://creativecommons.org/licenses/by/3.0/","note":"publisher: Multidisciplinary Digital Publishing Institute","source":"www.mdpi.com","title":"Enhancing Rural Healthcare Accessibility: A Model for Pharmacogenomics Adoption via an Outreach-Focused Integration Strategy","title-short":"Enhancing Rural Healthcare Accessibility","URL":"https://www.mdpi.com/2075-4426/15/3/110","volume":"15","author":[{"family":"Silver","given":"Jared"},{"family":"Forman","given":"Evan"},{"family":"Barrett","given":"David"},{"family":"Sibalija","given":"Jovana"},{"family":"Kim","given":"Richard"}],"accessed":{"date-parts":[["2026",4,15]]},"issued":{"date-parts":[["2025",3,12]]}}},{"id":17372,"uris":["http://zotero.org/users/16652950/items/RN9JV2XB"],"itemData":{"id":17372,"type":"article-journal","abstract":"Geographic distance is a critical barrier to healthcare access, particularly for rural communities with poor transportation infrastructure who rely on non-motorized transportation. There is broad consensus on the importance of community health workers (CHWs) to reduce the effects of geographic isolation on healthcare access. Due to a lack of fine-scale spatial data and individual patient records, little is known about the precise effects of CHWs on removing geographic barriers at this level of the healthcare system. Relying on a high-quality, crowd-sourced dataset that includes all paths and buildings in the area, we explored the impact of geographic distance from CHWs on the use of CHW services for children under 5 years in the rural district of Ifanadiana, southeastern Madagascar from 2018–2021. We then used this analysis to determine key features of an optimal geographic design of the CHW system, specifically optimizing a single CHW location or installing additional CHW sites. We found that consultation rates by CHWs decreased with increasing distance patients travel to the CHW by approximately 28.1% per km. The optimization exercise revealed that the majority of CHW sites (50/80) were already in an optimal location or shared an optimal location with a primary health clinic. Relocating the remaining CHW sites based on a geographic optimum was predicted to increase consultation rates by only 7.4%. On the other hand, adding a second CHW site was predicted to increase consultation rates by 31.5%, with a larger effect in more geographically dispersed catchments. Geographic distance remains a barrier at the level of the CHW, but optimizing CHW site location based on geography alone will not result in large gains in consultation rates. Rather, alternative strategies, such as the creation of additional CHW sites or the implementation of proactive care, should be considered.","container-title":"PLOS Global Public Health","DOI":"10.1371/journal.pgph.0001028","ISSN":"2767-3375","issue":"12","journalAbbreviation":"PLOS Glob Public Health","note":"PMID: 36962826\nPMCID: PMC10022327","page":"e0001028","source":"PubMed Central","title":"Geographic barriers to care persist at the community healthcare level: Evidence from rural Madagascar","title-short":"Geographic barriers to care persist at the community healthcare level","volume":"2","author":[{"family":"Evans","given":"Michelle V."},{"family":"Andréambeloson","given":"Tanjona"},{"family":"Randriamihaja","given":"Mauricianot"},{"family":"Ihantamalala","given":"Felana"},{"family":"Cordier","given":"Laura"},{"family":"Cowley","given":"Giovanna"},{"family":"Finnegan","given":"Karen"},{"family":"Hanitriniaina","given":"Feno"},{"family":"Miller","given":"Ann C."},{"family":"Ralantomalala","given":"Lanto Marovavy"},{"family":"Randriamahasoa","given":"Andry"},{"family":"Razafinjato","given":"Bénédicte"},{"family":"Razanahanitriniaina","given":"Emeline"},{"family":"Rakotonanahary","given":"Rado J. L."},{"family":"Andriamiandra","given":"Isaïe Jules"},{"family":"Bonds","given":"Matthew H."},{"family":"Garchitorena","given":"Andres"}],"issued":{"date-parts":[["2022",12,27]]}}}],"schema":"https://github.com/citation-style-language/schema/raw/master/csl-citation.json"} </w:instrText>
      </w:r>
      <w:r w:rsidR="00BB49EC" w:rsidRPr="00E42D74">
        <w:rPr>
          <w:rFonts w:ascii="Times New Roman" w:hAnsi="Times New Roman" w:cs="Times New Roman"/>
        </w:rPr>
        <w:fldChar w:fldCharType="separate"/>
      </w:r>
      <w:r w:rsidR="00BB49EC" w:rsidRPr="00E42D74">
        <w:rPr>
          <w:rFonts w:ascii="Times New Roman" w:hAnsi="Times New Roman" w:cs="Times New Roman"/>
        </w:rPr>
        <w:t>[15,21]</w:t>
      </w:r>
      <w:r w:rsidR="00BB49EC" w:rsidRPr="00E42D74">
        <w:rPr>
          <w:rFonts w:ascii="Times New Roman" w:hAnsi="Times New Roman" w:cs="Times New Roman"/>
        </w:rPr>
        <w:fldChar w:fldCharType="end"/>
      </w:r>
      <w:r w:rsidRPr="00E42D74">
        <w:rPr>
          <w:rFonts w:ascii="Times New Roman" w:hAnsi="Times New Roman" w:cs="Times New Roman"/>
        </w:rPr>
        <w:t>.</w:t>
      </w:r>
    </w:p>
    <w:p w14:paraId="61CB49C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These challenges are compounded in communities without reliable transportation or where healthcare facilities are sparsely distributed. In such settings, implementation strategies that depend on in-person visits to centralized locations may fail to reach the populations most likely to benefit. Geographic constraints therefore influence not only access to testing but also the design of delivery models</w:t>
      </w:r>
      <w:r w:rsidR="00BB49EC" w:rsidRPr="00E42D74">
        <w:rPr>
          <w:rFonts w:ascii="Times New Roman" w:hAnsi="Times New Roman" w:cs="Times New Roman"/>
        </w:rPr>
        <w:fldChar w:fldCharType="begin"/>
      </w:r>
      <w:r w:rsidR="00BB49EC" w:rsidRPr="00E42D74">
        <w:rPr>
          <w:rFonts w:ascii="Times New Roman" w:hAnsi="Times New Roman" w:cs="Times New Roman"/>
        </w:rPr>
        <w:instrText xml:space="preserve"> ADDIN ZOTERO_ITEM CSL_CITATION {"citationID":"zk7PycfI","properties":{"formattedCitation":"[22]","plainCitation":"[22]","noteIndex":0},"citationItems":[{"id":17375,"uris":["http://zotero.org/users/16652950/items/GPSTU67J"],"itemData":{"id":17375,"type":"article-journal","abstract":"Background\nThe public health landscape in North-East India is marked by the foundational principle of equitable health care provision, a critical endeavor considering the region’s intricate geography and proximity to international borders. Health care workers grapple with challenges, such as treacherous routes, limited infrastructure, and diverse cultural nuances, when delivering essential medical services. Despite improvements since the National Rural Health Mission in 2005, challenges persist, prompting a study to identify health care workers’ challenges and alternative strategies in Manipur and Nagaland.\n\nObjective\nThis study aims to document the challenges experienced by health care workers during service delivery in the geographically challenging terrains of North-East India.\n\nMethods\nThis study is part of the i-DRONE (Indian Council of Medical Research’s Drone Response and Outreach for North East) project, which aims to assess the feasibility of drone-mediated vaccine and medical delivery. This study addresses the secondary objective of the i-DRONE project. In-depth interviews of 29 health care workers were conducted using semistructured questionnaires in 5 districts (Mokokchung and Tuensang in Nagaland, and Imphal West, Bishnupur, and Churachandpur in Manipur). Nineteen health facilities, including primary health care centers, community health centers, and district hospitals, were selected. The study considered all levels of health care professionals who were in active employment for the past 6 months without a significant vacation and those who were engaged in ground-level implementation, policy, and maintenance activities. Data were recorded, transcribed, and translated, and subsequently, codes, themes, and subthemes were developed using NVivo 14 (QSR International) for thematic analysis.\n\nResults\nFive themes were generated from the data: (1) general challenges (challenges due to being an international borderline district, human resource constraints, logistical challenges for medical supply, infrastructural issues, and transportation challenges); (2) challenges during the COVID-19 pandemic (increased workload, lack of diagnostic centers, mental health challenges and family issues, routine health care facilities affected, stigma and fear of infection, and vaccine hesitancy and misinformation); (3) perception and awareness regarding COVID-19 vaccination; (4) alternative actions or strategies adopted by health care workers to address the challenges; and (5) suggestions provided by health care workers. Health care workers demonstrated adaptability by overcoming these challenges and provided suggestions for addressing these challenges in the future.\n\nConclusions\nHealth care workers in Manipur and Nagaland have shown remarkable resilience in the face of numerous challenges exacerbated by the pandemic. Despite infrastructural limitations, communication barriers, and inadequate medical supply distribution in remote areas, they have demonstrated adaptability through innovative solutions like efficient data management, vaccination awareness campaigns, and leveraging technology for improved care delivery. The findings are pertinent for not only health care practitioners and policymakers but also the broader scientific and public health communities. However, the findings may have limited generalizability beyond Manipur and Nagaland.","container-title":"JMIR Formative Research","DOI":"10.2196/57384","ISSN":"2561-326X","journalAbbreviation":"JMIR Form Res","note":"PMID: 39255009\nPMCID: PMC11422737","page":"e57384","source":"PubMed Central","title":"Challenges Experienced by Health Care Workers During Service Delivery in the Geographically Challenging Terrains of North-East India: Study Involving a Thematic Analysis","title-short":"Challenges Experienced by Health Care Workers During Service Delivery in the Geographically Challenging Terrains of North-East India","volume":"8","author":[{"family":"Aggarwal","given":"Sumit"},{"family":"Simmy","given":"Simmy"},{"family":"Mahajan","given":"Nupur"},{"family":"Nigam","given":"Kuldeep"}],"issued":{"date-parts":[["2024",9,10]]}}}],"schema":"https://github.com/citation-style-language/schema/raw/master/csl-citation.json"} </w:instrText>
      </w:r>
      <w:r w:rsidR="00BB49EC" w:rsidRPr="00E42D74">
        <w:rPr>
          <w:rFonts w:ascii="Times New Roman" w:hAnsi="Times New Roman" w:cs="Times New Roman"/>
        </w:rPr>
        <w:fldChar w:fldCharType="separate"/>
      </w:r>
      <w:r w:rsidR="00BB49EC" w:rsidRPr="00E42D74">
        <w:rPr>
          <w:rFonts w:ascii="Times New Roman" w:hAnsi="Times New Roman" w:cs="Times New Roman"/>
        </w:rPr>
        <w:t>[22]</w:t>
      </w:r>
      <w:r w:rsidR="00BB49EC" w:rsidRPr="00E42D74">
        <w:rPr>
          <w:rFonts w:ascii="Times New Roman" w:hAnsi="Times New Roman" w:cs="Times New Roman"/>
        </w:rPr>
        <w:fldChar w:fldCharType="end"/>
      </w:r>
      <w:r w:rsidRPr="00E42D74">
        <w:rPr>
          <w:rFonts w:ascii="Times New Roman" w:hAnsi="Times New Roman" w:cs="Times New Roman"/>
        </w:rPr>
        <w:t>.</w:t>
      </w:r>
    </w:p>
    <w:p w14:paraId="4EDACCD5" w14:textId="77777777" w:rsidR="007D5081" w:rsidRPr="00E42D74" w:rsidRDefault="007D5081" w:rsidP="00760ABA">
      <w:pPr>
        <w:jc w:val="both"/>
        <w:rPr>
          <w:rFonts w:ascii="Times New Roman" w:hAnsi="Times New Roman" w:cs="Times New Roman"/>
          <w:b/>
          <w:bCs/>
        </w:rPr>
      </w:pPr>
    </w:p>
    <w:p w14:paraId="3AF0EA49"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4.4 Patient Awareness and Engagement</w:t>
      </w:r>
    </w:p>
    <w:p w14:paraId="4758C35E"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Patient-level factors also contribute to the implementation gap. Awareness of pharmacogenomics remains limited, particularly in communities with lower exposure to precision medicine concepts. Misconceptions regarding cost, privacy, and the purpose of genetic testing can reduce willingness to participate</w:t>
      </w:r>
      <w:r w:rsidR="006057D9" w:rsidRPr="00E42D74">
        <w:rPr>
          <w:rFonts w:ascii="Times New Roman" w:hAnsi="Times New Roman" w:cs="Times New Roman"/>
        </w:rPr>
        <w:fldChar w:fldCharType="begin"/>
      </w:r>
      <w:r w:rsidR="006057D9" w:rsidRPr="00E42D74">
        <w:rPr>
          <w:rFonts w:ascii="Times New Roman" w:hAnsi="Times New Roman" w:cs="Times New Roman"/>
        </w:rPr>
        <w:instrText xml:space="preserve"> ADDIN ZOTERO_ITEM CSL_CITATION {"citationID":"OAEAuXJD","properties":{"formattedCitation":"[23]","plainCitation":"[23]","noteIndex":0},"citationItems":[{"id":17378,"uris":["http://zotero.org/users/16652950/items/2RKRPSX3"],"itemData":{"id":17378,"type":"article-journal","abstract":"Background/Objectives: Patient interest in pharmacogenomics (PGx) is growing, yet literacy remains low. This study aims to evaluate patient perspectives on pharmacist-led PGx services, assessing community perceptions of PGx pharmacists, their perceived role in care, literacy levels, and willingness to pay for services. Methods: A brief survey was distributed via social media to participants in southern Ohio, northern Kentucky, and southeastern Indiana. This survey included the Minnesota Assessment of Pharmacogenomic Literacy (MAPL), Likert-style questions to assess preferences, and willingness to pay questions with open fields. Upon completion, 152 responses were received. After data cleaning, 82 responses were analyzed. Results: While 66% of participants preferred their primary care provider to order testing, 45% preferred a PGx pharmacist over their primary care provider to explain their results and medication implications. Conclusions: After being educated on the role of a PGx pharmacist, respondents preferred a PGx pharmacist to explain their PGx testing results and any medication implications.","container-title":"Journal of Personalized Medicine","DOI":"10.3390/jpm15120621","ISSN":"2075-4426","issue":"12","journalAbbreviation":"J Pers Med","note":"PMID: 41440984\nPMCID: PMC12733811","page":"621","source":"PubMed Central","title":"Patient Awareness and Acceptance of Pharmacogenomics Services: A Survey of Attitudes Toward PGx Implementation and Pharmacist-Led Care","title-short":"Patient Awareness and Acceptance of Pharmacogenomics Services","volume":"15","author":[{"family":"Billman","given":"Kendall"},{"family":"Ahmed Feldman","given":"Mayeesha"},{"family":"Allen","given":"Josiah D."}],"issued":{"date-parts":[["2025",12,11]]}}}],"schema":"https://github.com/citation-style-language/schema/raw/master/csl-citation.json"} </w:instrText>
      </w:r>
      <w:r w:rsidR="006057D9" w:rsidRPr="00E42D74">
        <w:rPr>
          <w:rFonts w:ascii="Times New Roman" w:hAnsi="Times New Roman" w:cs="Times New Roman"/>
        </w:rPr>
        <w:fldChar w:fldCharType="separate"/>
      </w:r>
      <w:r w:rsidR="006057D9" w:rsidRPr="00E42D74">
        <w:rPr>
          <w:rFonts w:ascii="Times New Roman" w:hAnsi="Times New Roman" w:cs="Times New Roman"/>
        </w:rPr>
        <w:t>[23]</w:t>
      </w:r>
      <w:r w:rsidR="006057D9" w:rsidRPr="00E42D74">
        <w:rPr>
          <w:rFonts w:ascii="Times New Roman" w:hAnsi="Times New Roman" w:cs="Times New Roman"/>
        </w:rPr>
        <w:fldChar w:fldCharType="end"/>
      </w:r>
      <w:r w:rsidRPr="00E42D74">
        <w:rPr>
          <w:rFonts w:ascii="Times New Roman" w:hAnsi="Times New Roman" w:cs="Times New Roman"/>
        </w:rPr>
        <w:t>.</w:t>
      </w:r>
    </w:p>
    <w:p w14:paraId="334BC69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Health literacy plays a significant role in shaping engagement. Patients may be less likely to pursue testing if the clinical relevance is not clearly communicated or if the process appears complex. In rural settings, where trust in healthcare systems may be shaped by historical and cultural factors, effective communication strategies are essential to support informed decision-making and uptake</w:t>
      </w:r>
      <w:r w:rsidR="006057D9" w:rsidRPr="00E42D74">
        <w:rPr>
          <w:rFonts w:ascii="Times New Roman" w:hAnsi="Times New Roman" w:cs="Times New Roman"/>
        </w:rPr>
        <w:fldChar w:fldCharType="begin"/>
      </w:r>
      <w:r w:rsidR="006057D9" w:rsidRPr="00E42D74">
        <w:rPr>
          <w:rFonts w:ascii="Times New Roman" w:hAnsi="Times New Roman" w:cs="Times New Roman"/>
        </w:rPr>
        <w:instrText xml:space="preserve"> ADDIN ZOTERO_ITEM CSL_CITATION {"citationID":"AUFljydi","properties":{"formattedCitation":"[24,25]","plainCitation":"[24,25]","noteIndex":0},"citationItems":[{"id":17381,"uris":["http://zotero.org/users/16652950/items/PWYQR3U6"],"itemData":{"id":17381,"type":"article-journal","abstract":"As personalized medicine progresses in Saudi Arabia, pharmacists endure a central role in pharmacogenomics (PGx) implementation. This cross-sectional study weighed the knowledge, attitudes, and perceptions (KAP) of pharmacists in the Asir region regarding PGx, a region with limited published data. A total of 209 pharmacists took part, the majority of whom were male (68.4%) and aged 18–39 years (96.2%). Results revealed that 71.3% of pharmacists displayed poor knowledge, whereas positive attitudes (90.9%) and perceptions (87.6%) were widely expressed. Significant associations developed between knowledge and attitude (p = 0.015) and between knowledge and perception (p = 0.036). A moderate correlation was also reflected between attitude and perception (p &lt; 0.001, Cramér’s V = 0.44). Logistic regression showed that pharmacists lacking previous PGx training (OR = 0.257, p &lt; 0.001) or lacking experience with genetic conditions (OR = 0.389, p = 0.022) were significantly less likely to demonstrate good knowledge. Regardless of evident knowledge gaps, pharmacists showed a strong willingness to integrate PGx into clinical practice. These findings highlight an imperative need for structured PGx training programs, integration of PGx into pharmacy curricula, ongoing professional development workshops, and institutional strategies to support operative PGx adoption in healthcare settings across the Asir region and Saudi Arabia.","container-title":"Saudi Pharmaceutical Journal : SPJ","DOI":"10.1007/s44446-025-00061-z","ISSN":"1319-0164","issue":"1","journalAbbreviation":"Saudi Pharm J","note":"PMID: 41661499\nPMCID: PMC12886576","page":"6","source":"PubMed Central","title":"Pharmacogenomics knowledge, attitudes, and perceptions among pharmacists in the Asir Region, Saudi Arabia: a cross-sectional analysis","title-short":"Pharmacogenomics knowledge, attitudes, and perceptions among pharmacists in the Asir Region, Saudi Arabia","volume":"34","author":[{"family":"Alqahtani","given":"Saud"},{"family":"Alqahtani","given":"Taha"},{"family":"Venkatesan","given":"Krishnaraju"},{"family":"Easwaran","given":"Vigneshwaran"},{"family":"Prabahar","given":"Kousalya"},{"family":"Paulsamy","given":"Premalatha"},{"family":"Ahmed","given":"Rehab"},{"family":"Sirag","given":"Nizar"},{"family":"Sivadasan","given":"Durgaramani"},{"family":"Elfadil","given":"Hassabelrasoul"},{"family":"Alharthi","given":"Nouf M."}],"issued":{"date-parts":[["2026",2]]}}},{"id":2027,"uris":["http://zotero.org/users/16652950/items/KK6IBIRA"],"itemData":{"id":2027,"type":"article-journal","abstract":"Nigeria faces a critical public health challenge due to widespread antibiotic misuse, driven by misinformation and inadequate digital health literacy. The proliferation of social media platforms, online health forums, and unregulated digital pharmacies has created an environment where inaccurate health information spreads rapidly, leading to dangerous self-medication practices. Many Nigerians struggle to differentiate between credible medical sources and misleading online content, particularly regarding antibiotic use for viral infections. While digital platforms contribute to misinformation, they also present opportunities for effective health education when properly regulated. Mobile health applications, e-pharmacies, and social media channels can serve as valuable tools for promoting responsible antibiotic use. National eHealth initiatives, partnerships with social media companies, healthcare professional engagement, and culturally adapted education programs offer promising strategies to enhance digital health literacy. However, significant barriers persist, including limited internet access, language diversity, economic constraints, and distrust in formal healthcare systems. It is essential to overcome these challenges through policy reforms, digital inclusion programs, and educational curricula. Strengthening digital health literacy empowers individuals to evaluate online health information critically, reduce antibiotic misuse, and mitigate the growing threat of antimicrobial resistance in Nigeria","container-title":"Journal of Pharma Insights and Research","DOI":"10.69613/dja1jc18","ISSN":"3048-5428","issue":"2","language":"en","license":"Copyright (c) 2025 Journal of Pharma Insights and Research","note":"number: 2","page":"258-269","source":"jopir.in","title":"A Review on Usage of Digital Health Literacy to Combat Antibiotic Misuse and Misinformation in Nigeria: Review Article","title-short":"A Review on Usage of Digital Health Literacy to Combat Antibiotic Misuse and Misinformation in Nigeria","volume":"3","author":[{"family":"Lawal","given":"Olabisi"},{"family":"Oyebamiji","given":"Hafeez Olayiwola"},{"family":"Kelenna","given":"Iregbu John"},{"family":"Chioma","given":"Felix Jessica"},{"family":"Oyefeso","given":"Elizabeth"},{"family":"Adeyemi","given":"Bankole Israel"},{"family":"Foster-Pagaebi","given":"Evelyn"},{"family":"Moses","given":"Emmanuel Fidelix"}],"issued":{"date-parts":[["2025",4,5]]}}}],"schema":"https://github.com/citation-style-language/schema/raw/master/csl-citation.json"} </w:instrText>
      </w:r>
      <w:r w:rsidR="006057D9" w:rsidRPr="00E42D74">
        <w:rPr>
          <w:rFonts w:ascii="Times New Roman" w:hAnsi="Times New Roman" w:cs="Times New Roman"/>
        </w:rPr>
        <w:fldChar w:fldCharType="separate"/>
      </w:r>
      <w:r w:rsidR="006057D9" w:rsidRPr="00E42D74">
        <w:rPr>
          <w:rFonts w:ascii="Times New Roman" w:hAnsi="Times New Roman" w:cs="Times New Roman"/>
        </w:rPr>
        <w:t>[24,25]</w:t>
      </w:r>
      <w:r w:rsidR="006057D9" w:rsidRPr="00E42D74">
        <w:rPr>
          <w:rFonts w:ascii="Times New Roman" w:hAnsi="Times New Roman" w:cs="Times New Roman"/>
        </w:rPr>
        <w:fldChar w:fldCharType="end"/>
      </w:r>
      <w:r w:rsidRPr="00E42D74">
        <w:rPr>
          <w:rFonts w:ascii="Times New Roman" w:hAnsi="Times New Roman" w:cs="Times New Roman"/>
        </w:rPr>
        <w:t>.</w:t>
      </w:r>
    </w:p>
    <w:p w14:paraId="7D0F4A3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4.5 Cost and Reimbursement Barriers</w:t>
      </w:r>
    </w:p>
    <w:p w14:paraId="4E9F811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Financial considerations influence both institutional adoption and patient access. Although the cost of pharmacogenomics testing has declined, variability in reimbursement policies creates uncertainty for providers and health systems. Coverage differs across payers, and out-of-pocket costs may deter patients, particularly in underserved populations where rates of underinsurance are higher</w:t>
      </w:r>
      <w:r w:rsidR="00116FAC" w:rsidRPr="00E42D74">
        <w:rPr>
          <w:rFonts w:ascii="Times New Roman" w:hAnsi="Times New Roman" w:cs="Times New Roman"/>
        </w:rPr>
        <w:fldChar w:fldCharType="begin"/>
      </w:r>
      <w:r w:rsidR="00116FAC" w:rsidRPr="00E42D74">
        <w:rPr>
          <w:rFonts w:ascii="Times New Roman" w:hAnsi="Times New Roman" w:cs="Times New Roman"/>
        </w:rPr>
        <w:instrText xml:space="preserve"> ADDIN ZOTERO_ITEM CSL_CITATION {"citationID":"pHCAEiwk","properties":{"formattedCitation":"[26]","plainCitation":"[26]","noteIndex":0},"citationItems":[{"id":17384,"uris":["http://zotero.org/users/16652950/items/XX2Q8G45"],"itemData":{"id":17384,"type":"article-journal","abstract":"Considerable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116FAC" w:rsidRPr="00E42D74">
        <w:rPr>
          <w:rFonts w:ascii="Times New Roman" w:hAnsi="Times New Roman" w:cs="Times New Roman"/>
        </w:rPr>
        <w:fldChar w:fldCharType="separate"/>
      </w:r>
      <w:r w:rsidR="00116FAC" w:rsidRPr="00E42D74">
        <w:rPr>
          <w:rFonts w:ascii="Times New Roman" w:hAnsi="Times New Roman" w:cs="Times New Roman"/>
        </w:rPr>
        <w:t>[26]</w:t>
      </w:r>
      <w:r w:rsidR="00116FAC" w:rsidRPr="00E42D74">
        <w:rPr>
          <w:rFonts w:ascii="Times New Roman" w:hAnsi="Times New Roman" w:cs="Times New Roman"/>
        </w:rPr>
        <w:fldChar w:fldCharType="end"/>
      </w:r>
      <w:r w:rsidRPr="00E42D74">
        <w:rPr>
          <w:rFonts w:ascii="Times New Roman" w:hAnsi="Times New Roman" w:cs="Times New Roman"/>
        </w:rPr>
        <w:t>.</w:t>
      </w:r>
    </w:p>
    <w:p w14:paraId="58273587"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From an institutional perspective, the absence of consistent reimbursement pathways can limit investment in infrastructure, training, and workflow integration. This is particularly relevant for smaller health systems operating with narrow financial margins. Without clear economic incentives or cost recovery mechanisms, implementation efforts may be deprioritized despite potential long-term benefits</w:t>
      </w:r>
      <w:r w:rsidR="00116FAC" w:rsidRPr="00E42D74">
        <w:rPr>
          <w:rFonts w:ascii="Times New Roman" w:hAnsi="Times New Roman" w:cs="Times New Roman"/>
        </w:rPr>
        <w:fldChar w:fldCharType="begin"/>
      </w:r>
      <w:r w:rsidR="00116FAC" w:rsidRPr="00E42D74">
        <w:rPr>
          <w:rFonts w:ascii="Times New Roman" w:hAnsi="Times New Roman" w:cs="Times New Roman"/>
        </w:rPr>
        <w:instrText xml:space="preserve"> ADDIN ZOTERO_ITEM CSL_CITATION {"citationID":"vx1uLc7V","properties":{"formattedCitation":"[27]","plainCitation":"[27]","noteIndex":0},"citationItems":[{"id":17387,"uris":["http://zotero.org/users/16652950/items/KLDEFD65"],"itemData":{"id":17387,"type":"article-journal","abstract":"Barriers to incorporating pharmacogenetics into routine clinical practice in the United States are well documented. Initial surveys by the Clinical Pharmacogenetics Implementation Consortium (CPIC) in 2009 and 2010 identified barriers across four key domains that have hindered the widespread adoption of clinical pharmacogenetic testing. These are presented verbatim as: (i) absence of a definition of the processes required to interpret genotype information and to translate genetic information into clinical actions; (ii) need for recommended drug/gene pairs to implement clinically now; (iii) clinician resistance to consider pharmacogenetic information at the bedside; and (iv) concerns about test costs and reimbursement. Over time, many of these challenges have been overcome, and clinical pharmacogenetic testing has subsequently reached broader implementation. Despite this progress, several barriers remain that block further adoption. This narrative review used authors' expertise and experience to identify and describe current barriers to pharmacogenetic implementation across seven domains in the United States: equity and inclusion; guidelines and supporting evidence; regulatory agency oversight; payer coverage and insurance; availability of quality pharmacogenetic tests; electronic health records; and provider and patient education. Within each domain, it revisits past successes and challenges and explores remaining barriers. We also propose solutions to address ongoing challenges across these domains, including further expansion of recommendations beyond pharmacogenetic‐specific guidelines, standards for designing clinical decision support tools, and broader pharmacogenetics education. Addressing these remaining obstacles directs work to enable broader adoption of clinical pharmacogenetic implementation to ultimately improve patient outcomes.","container-title":"Clinical Pharmacology and Therapeutics","DOI":"10.1002/cpt.3736","ISSN":"0009-9236","issue":"4","journalAbbreviation":"Clin Pharmacol Ther","note":"PMID: 40468601\nPMCID: PMC12439016","page":"778-789","source":"PubMed Central","title":"Progress in Pharmacogenomics Implementation in the United States: Barrier Erosion and Remaining Challenges","title-short":"Progress in Pharmacogenomics Implementation in the United States","volume":"118","author":[{"family":"Smith","given":"D. Max"},{"family":"Douglas","given":"Michael P."},{"family":"Aquilante","given":"Christina L."},{"family":"Deverka","given":"Patricia A."},{"family":"Devine","given":"Beth"},{"family":"Dunnenberger","given":"Henry M."},{"family":"Empey","given":"Philip E."},{"family":"Hertz","given":"Daniel L."},{"family":"Monte","given":"Andrew A."},{"family":"Moyer","given":"Ann M."},{"family":"Patel","given":"Jai N."},{"family":"Pratt","given":"Victoria M."},{"family":"Saulsberry","given":"Loren"},{"family":"Scott","given":"Stuart A."},{"family":"Voora","given":"Deepak"},{"family":"Woodahl","given":"Erica L."},{"family":"Whirl‐Carrillo","given":"Michelle"},{"family":"Oni‐Orisan","given":"Akinyemi"}],"issued":{"date-parts":[["2025",6,4]]}}}],"schema":"https://github.com/citation-style-language/schema/raw/master/csl-citation.json"} </w:instrText>
      </w:r>
      <w:r w:rsidR="00116FAC" w:rsidRPr="00E42D74">
        <w:rPr>
          <w:rFonts w:ascii="Times New Roman" w:hAnsi="Times New Roman" w:cs="Times New Roman"/>
        </w:rPr>
        <w:fldChar w:fldCharType="separate"/>
      </w:r>
      <w:r w:rsidR="00116FAC" w:rsidRPr="00E42D74">
        <w:rPr>
          <w:rFonts w:ascii="Times New Roman" w:hAnsi="Times New Roman" w:cs="Times New Roman"/>
        </w:rPr>
        <w:t>[27]</w:t>
      </w:r>
      <w:r w:rsidR="00116FAC" w:rsidRPr="00E42D74">
        <w:rPr>
          <w:rFonts w:ascii="Times New Roman" w:hAnsi="Times New Roman" w:cs="Times New Roman"/>
        </w:rPr>
        <w:fldChar w:fldCharType="end"/>
      </w:r>
      <w:r w:rsidRPr="00E42D74">
        <w:rPr>
          <w:rFonts w:ascii="Times New Roman" w:hAnsi="Times New Roman" w:cs="Times New Roman"/>
        </w:rPr>
        <w:t>.</w:t>
      </w:r>
    </w:p>
    <w:p w14:paraId="733D5967"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Taken together, these barriers form an interconnected system that constrains pharmacogenomics adoption in rural settings. Workforce limitations, infrastructure variability, geographic access challenges, patient engagement factors, and financial constraints do not operate independently. Their impact varies systematically with the level of institutional capacity, underscoring the need for implementation strategies that are explicitly aligned with the realities of different healthcare environments.</w:t>
      </w:r>
    </w:p>
    <w:p w14:paraId="139BAAB3"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5. Limitations of Existing Implementation Models</w:t>
      </w:r>
    </w:p>
    <w:p w14:paraId="55F0464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Existing pharmacogenomics implementation efforts have demonstrated feasibility across a range of settings, but their design characteristics limit broader applicability. Many models are built around specific institutional contexts and are not readily transferable to environments with different resource constraints</w:t>
      </w:r>
      <w:r w:rsidR="002B3821" w:rsidRPr="00E42D74">
        <w:rPr>
          <w:rFonts w:ascii="Times New Roman" w:hAnsi="Times New Roman" w:cs="Times New Roman"/>
        </w:rPr>
        <w:fldChar w:fldCharType="begin"/>
      </w:r>
      <w:r w:rsidR="002B3821" w:rsidRPr="00E42D74">
        <w:rPr>
          <w:rFonts w:ascii="Times New Roman" w:hAnsi="Times New Roman" w:cs="Times New Roman"/>
        </w:rPr>
        <w:instrText xml:space="preserve"> ADDIN ZOTERO_ITEM CSL_CITATION {"citationID":"vE5deK8G","properties":{"formattedCitation":"[26]","plainCitation":"[26]","noteIndex":0},"citationItems":[{"id":17384,"uris":["http://zotero.org/users/16652950/items/XX2Q8G45"],"itemData":{"id":17384,"type":"article-journal","abstract":"Considerable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2B3821" w:rsidRPr="00E42D74">
        <w:rPr>
          <w:rFonts w:ascii="Times New Roman" w:hAnsi="Times New Roman" w:cs="Times New Roman"/>
        </w:rPr>
        <w:fldChar w:fldCharType="separate"/>
      </w:r>
      <w:r w:rsidR="002B3821" w:rsidRPr="00E42D74">
        <w:rPr>
          <w:rFonts w:ascii="Times New Roman" w:hAnsi="Times New Roman" w:cs="Times New Roman"/>
        </w:rPr>
        <w:t>[26]</w:t>
      </w:r>
      <w:r w:rsidR="002B3821" w:rsidRPr="00E42D74">
        <w:rPr>
          <w:rFonts w:ascii="Times New Roman" w:hAnsi="Times New Roman" w:cs="Times New Roman"/>
        </w:rPr>
        <w:fldChar w:fldCharType="end"/>
      </w:r>
      <w:r w:rsidRPr="00E42D74">
        <w:rPr>
          <w:rFonts w:ascii="Times New Roman" w:hAnsi="Times New Roman" w:cs="Times New Roman"/>
        </w:rPr>
        <w:t>.</w:t>
      </w:r>
    </w:p>
    <w:p w14:paraId="7DC4126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Telehealth-enabled approaches have expanded access to pharmacogenomics expertise, particularly through pharmacist consultation. However, models that rely exclusively on telehealth assume reliable broadband access, digital literacy, and stable points of care. These assumptions do not hold in all rural or underserved communities, where connectivity may be inconsistent and patient engagement may depend on in-person interaction</w:t>
      </w:r>
      <w:r w:rsidR="008E3B75" w:rsidRPr="00E42D74">
        <w:rPr>
          <w:rFonts w:ascii="Times New Roman" w:hAnsi="Times New Roman" w:cs="Times New Roman"/>
        </w:rPr>
        <w:fldChar w:fldCharType="begin"/>
      </w:r>
      <w:r w:rsidR="008E3B75" w:rsidRPr="00E42D74">
        <w:rPr>
          <w:rFonts w:ascii="Times New Roman" w:hAnsi="Times New Roman" w:cs="Times New Roman"/>
        </w:rPr>
        <w:instrText xml:space="preserve"> ADDIN ZOTERO_ITEM CSL_CITATION {"citationID":"xuZDQbUF","properties":{"formattedCitation":"[28]","plainCitation":"[28]","noteIndex":0},"citationItems":[{"id":17390,"uris":["http://zotero.org/users/16652950/items/ZJXNC9JK"],"itemData":{"id":17390,"type":"chapter","abstract":"Pharmacogenomics, the study of how an individual&amp;#8217;s genetic makeup influences drug response, has gained significant attention in healthcare. This chapter explores the status of pharmacogenomics research and implementation in developing countries. It highlights...","container-title":"Handbook of Medical and Health Sciences in Developing Countries","ISBN":"978-3-030-74786-2","language":"en","note":"DOI: 10.1007/978-3-030-74786-2_294-1","page":"1-37","publisher":"Springer, Cham","source":"link.springer.com","title":"Pharmacogenomics in Developing Countries","URL":"https://link.springer.com/rwe/10.1007/978-3-030-74786-2_294-1","author":[{"family":"Al-Worafi","given":"Yaser Mohammed"}],"accessed":{"date-parts":[["2026",4,15]]},"issued":{"date-parts":[["2024"]]}}}],"schema":"https://github.com/citation-style-language/schema/raw/master/csl-citation.json"} </w:instrText>
      </w:r>
      <w:r w:rsidR="008E3B75" w:rsidRPr="00E42D74">
        <w:rPr>
          <w:rFonts w:ascii="Times New Roman" w:hAnsi="Times New Roman" w:cs="Times New Roman"/>
        </w:rPr>
        <w:fldChar w:fldCharType="separate"/>
      </w:r>
      <w:r w:rsidR="008E3B75" w:rsidRPr="00E42D74">
        <w:rPr>
          <w:rFonts w:ascii="Times New Roman" w:hAnsi="Times New Roman" w:cs="Times New Roman"/>
        </w:rPr>
        <w:t>[28]</w:t>
      </w:r>
      <w:r w:rsidR="008E3B75" w:rsidRPr="00E42D74">
        <w:rPr>
          <w:rFonts w:ascii="Times New Roman" w:hAnsi="Times New Roman" w:cs="Times New Roman"/>
        </w:rPr>
        <w:fldChar w:fldCharType="end"/>
      </w:r>
      <w:r w:rsidRPr="00E42D74">
        <w:rPr>
          <w:rFonts w:ascii="Times New Roman" w:hAnsi="Times New Roman" w:cs="Times New Roman"/>
        </w:rPr>
        <w:t>.</w:t>
      </w:r>
    </w:p>
    <w:p w14:paraId="66034E7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Implementation models developed within large academic medical centers benefit from substantial infrastructure, including on-site laboratories, advanced informatics systems, and specialized personnel. While these programs have demonstrated successful integration of pharmacogenomics into clinical workflows, their resource requirements limit their relevance to smaller institutions. Direct translation of these models to resource-constrained settings is often not feasible without significant adaptation</w:t>
      </w:r>
      <w:r w:rsidR="008E3B75" w:rsidRPr="00E42D74">
        <w:rPr>
          <w:rFonts w:ascii="Times New Roman" w:hAnsi="Times New Roman" w:cs="Times New Roman"/>
        </w:rPr>
        <w:fldChar w:fldCharType="begin"/>
      </w:r>
      <w:r w:rsidR="008E3B75" w:rsidRPr="00E42D74">
        <w:rPr>
          <w:rFonts w:ascii="Times New Roman" w:hAnsi="Times New Roman" w:cs="Times New Roman"/>
        </w:rPr>
        <w:instrText xml:space="preserve"> ADDIN ZOTERO_ITEM CSL_CITATION {"citationID":"qip8d1QI","properties":{"formattedCitation":"[6,29]","plainCitation":"[6,29]","noteIndex":0},"citationItems":[{"id":17337,"uris":["http://zotero.org/users/16652950/items/6GPVD2RC"],"itemData":{"id":17337,"type":"article-journal","abstract":"Background/Objectives: While there is mounting scientific evidence supporting the effectiveness of PGx (pharmacogenomics)-guided medical treatment, it...","container-title":"Journal of Personalized Medicine","DOI":"10.3390/jpm15030101","ISSN":"2075-4426","issue":"3","language":"en","license":"http://creativecommons.org/licenses/by/3.0/","note":"publisher: Multidisciplinary Digital Publishing Institute","source":"www.mdpi.com","title":"Implementation of Pharmacogenomics Testing in Daily Clinical Practice: Perspectives of Prescribers from Two Canadian Armed Forces Medical Clinics","title-short":"Implementation of Pharmacogenomics Testing in Daily Clinical Practice","URL":"https://www.mdpi.com/2075-4426/15/3/101","volume":"15","author":[{"family":"Muller-Gass","given":"Alexandra"},{"family":"Mukerjee","given":"Gouri"},{"family":"Dorfman","given":"Ruslan"},{"family":"Jetly","given":"Rakesh"}],"accessed":{"date-parts":[["2026",4,15]]},"issued":{"date-parts":[["2025",3,3]]}}},{"id":17391,"uris":["http://zotero.org/users/16652950/items/BINSCSQX"],"itemData":{"id":17391,"type":"article-journal","abstract":"Aim: To advance clinical adoption and implementation of pharmacogenomics (PGx) testing, barriers and facilitators to these efforts must be understood. This study identified and examined barriers and facilitators to active implementation of a PGx program across multiple clinic settings in an academic healthcare system. Materials &amp; methods: 28 contributors to the PGx implementation (e.g., clinical providers, informatics specialists) completed an interview to elicit their perceptions of the implementation. Results: Qualitative analysis identified several barriers and facilitators that spanned different stages of the implementation process. Specifically, unclear test payment mechanisms, decision support tool development, rigid workflows and provider education were noted as barriers to the PGx implementation. A multidisciplinary implementation team and leadership support emerged as key facilitators. Furthermore, participants also suggested strategies to overcome or maintain these factors. Conclusion: Assessing real-world implementation perceptions and suggested strategies from a range of implementation contributors facilitates a more comprehensive framework and best-practice guidelines for PGx implementation.","container-title":"Pharmacogenomics","DOI":"10.2217/pgs-2023-0179","ISSN":"1462-2416","issue":"17","journalAbbreviation":"Pharmacogenomics","note":"PMID: 37975236\nPMCID: PMC12510241","page":"881-893","source":"PubMed Central","title":"Pharmacogenomics Implementation Across Multiple Clinic Settings: A Qualitative Evaluation","title-short":"Pharmacogenomics Implementation Across Multiple Clinic Settings","volume":"24","author":[{"family":"Shue","given":"Sarah A"},{"family":"Rowe","given":"Elizabeth"},{"family":"Bell","given":"Lauren A"},{"family":"Damush","given":"Teresa"},{"family":"DeLong","given":"Alexis"},{"family":"Gowan","given":"Tayler"},{"family":"Skaar","given":"Todd"},{"family":"Haggstrom","given":"David"}]}}],"schema":"https://github.com/citation-style-language/schema/raw/master/csl-citation.json"} </w:instrText>
      </w:r>
      <w:r w:rsidR="008E3B75" w:rsidRPr="00E42D74">
        <w:rPr>
          <w:rFonts w:ascii="Times New Roman" w:hAnsi="Times New Roman" w:cs="Times New Roman"/>
        </w:rPr>
        <w:fldChar w:fldCharType="separate"/>
      </w:r>
      <w:r w:rsidR="008E3B75" w:rsidRPr="00E42D74">
        <w:rPr>
          <w:rFonts w:ascii="Times New Roman" w:hAnsi="Times New Roman" w:cs="Times New Roman"/>
        </w:rPr>
        <w:t>[6,29]</w:t>
      </w:r>
      <w:r w:rsidR="008E3B75" w:rsidRPr="00E42D74">
        <w:rPr>
          <w:rFonts w:ascii="Times New Roman" w:hAnsi="Times New Roman" w:cs="Times New Roman"/>
        </w:rPr>
        <w:fldChar w:fldCharType="end"/>
      </w:r>
      <w:r w:rsidRPr="00E42D74">
        <w:rPr>
          <w:rFonts w:ascii="Times New Roman" w:hAnsi="Times New Roman" w:cs="Times New Roman"/>
        </w:rPr>
        <w:t>.</w:t>
      </w:r>
    </w:p>
    <w:p w14:paraId="27E5081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Single-site pilot studies provide valuable insights into workflow design and clinical impact but are inherently limited in scope. Their findings are shaped by local conditions, including staffing, patient population, and institutional priorities. As a result, their generalizability across heterogeneous rural settings is constrained. What works in one environment may not be operationally viable in another with different infrastructure and workforce capacity</w:t>
      </w:r>
      <w:r w:rsidR="00DA1203" w:rsidRPr="00E42D74">
        <w:rPr>
          <w:rFonts w:ascii="Times New Roman" w:hAnsi="Times New Roman" w:cs="Times New Roman"/>
        </w:rPr>
        <w:fldChar w:fldCharType="begin"/>
      </w:r>
      <w:r w:rsidR="00DA1203" w:rsidRPr="00E42D74">
        <w:rPr>
          <w:rFonts w:ascii="Times New Roman" w:hAnsi="Times New Roman" w:cs="Times New Roman"/>
        </w:rPr>
        <w:instrText xml:space="preserve"> ADDIN ZOTERO_ITEM CSL_CITATION {"citationID":"UAxoN7PY","properties":{"formattedCitation":"[30,31]","plainCitation":"[30,31]","noteIndex":0},"citationItems":[{"id":16854,"uris":["http://zotero.org/users/16652950/items/JWQA4SWV"],"itemData":{"id":16854,"type":"article-journal","abstract":"Background/Objectives: Artificial intelligence (AI) is transforming healthcare, enabling advances in diagnostics, treatment optimization, and patient ...","container-title":"Journal of Clinical Medicine","DOI":"10.3390/jcm14051605","ISSN":"2077-0383","issue":"5","language":"en","license":"http://creativecommons.org/licenses/by/3.0/","note":"publisher: Multidisciplinary Digital Publishing Institute","source":"www.mdpi.com","title":"Shaping the Future of Healthcare: Ethical Clinical Challenges and Pathways to Trustworthy AI","title-short":"Shaping the Future of Healthcare","URL":"https://www.mdpi.com/2077-0383/14/5/1605","volume":"14","author":[{"family":"Goktas","given":"Polat"},{"family":"Grzybowski","given":"Andrzej"}],"accessed":{"date-parts":[["2026",3,24]]},"issued":{"date-parts":[["2025",2,26]]}}},{"id":17394,"uris":["http://zotero.org/users/16652950/items/FG28PX2P"],"itemData":{"id":17394,"type":"article-journal","abstract":"This research investigates the integration of individual dynamic capabilities (IDC), artificial intelligence (AI), and the Technology Acceptance Model (TAM) within health operations to evaluate their role in fostering innovation diffusion in healthcare. A convergent, multifaceted research approach encompassing quantitative and qualitative methodologies was employed, commencing with a systematic review of the extant literature. This was then complemented by the execution of focus group sessions involving 21 participants. The main objective of this sequential exploratory design was to synthesize existing research present an empirical validation of real-world case studies, and assess AI deployment challenges that influence operational efficiency and service quality in healthcare organizations. The findings underscore the importance of IDC in advancing healthcare practices by driving cross-functional adaptation, facilitating AI implementation, and ensuring smooth operational transformation in line with healthcare standards and best practices. The findings offer valuable insights for operational and executive-level decision-makers aiming to optimize health operations by integrating IDC and AI technologies, enhancing patient care, service quality, and innovative health solutions.","container-title":"Intelligence-Based Medicine","DOI":"10.1016/j.ibmed.2025.100239","ISSN":"2666-5212","journalAbbreviation":"Intelligence-Based Medicine","page":"100239","source":"ScienceDirect","title":"Individual dynamic capabilities and artificial intelligence in health operations: Exploration of innovation diffusion","title-short":"Individual dynamic capabilities and artificial intelligence in health operations","volume":"11","author":[{"family":"Pesqueira","given":"Antonio"},{"family":"Sousa","given":"Maria José"},{"family":"Pereira","given":"Rúben"}],"issued":{"date-parts":[["2025",1,1]]}}}],"schema":"https://github.com/citation-style-language/schema/raw/master/csl-citation.json"} </w:instrText>
      </w:r>
      <w:r w:rsidR="00DA1203" w:rsidRPr="00E42D74">
        <w:rPr>
          <w:rFonts w:ascii="Times New Roman" w:hAnsi="Times New Roman" w:cs="Times New Roman"/>
        </w:rPr>
        <w:fldChar w:fldCharType="separate"/>
      </w:r>
      <w:r w:rsidR="00DA1203" w:rsidRPr="00E42D74">
        <w:rPr>
          <w:rFonts w:ascii="Times New Roman" w:hAnsi="Times New Roman" w:cs="Times New Roman"/>
        </w:rPr>
        <w:t>[30,31]</w:t>
      </w:r>
      <w:r w:rsidR="00DA1203" w:rsidRPr="00E42D74">
        <w:rPr>
          <w:rFonts w:ascii="Times New Roman" w:hAnsi="Times New Roman" w:cs="Times New Roman"/>
        </w:rPr>
        <w:fldChar w:fldCharType="end"/>
      </w:r>
      <w:r w:rsidRPr="00E42D74">
        <w:rPr>
          <w:rFonts w:ascii="Times New Roman" w:hAnsi="Times New Roman" w:cs="Times New Roman"/>
        </w:rPr>
        <w:t>.</w:t>
      </w:r>
    </w:p>
    <w:p w14:paraId="187509D1"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 common limitation across these approaches is the absence of scalability. Many models require fixed combinations of resources, making them difficult to implement incrementally or adapt to varying levels of capacity. This rigidity restricts their usefulness in settings where infrastructure development occurs gradually or unevenly</w:t>
      </w:r>
      <w:r w:rsidR="007F0049" w:rsidRPr="00E42D74">
        <w:rPr>
          <w:rFonts w:ascii="Times New Roman" w:hAnsi="Times New Roman" w:cs="Times New Roman"/>
        </w:rPr>
        <w:fldChar w:fldCharType="begin"/>
      </w:r>
      <w:r w:rsidR="007F0049" w:rsidRPr="00E42D74">
        <w:rPr>
          <w:rFonts w:ascii="Times New Roman" w:hAnsi="Times New Roman" w:cs="Times New Roman"/>
        </w:rPr>
        <w:instrText xml:space="preserve"> ADDIN ZOTERO_ITEM CSL_CITATION {"citationID":"aYC7hACH","properties":{"formattedCitation":"[32]","plainCitation":"[32]","noteIndex":0},"citationItems":[{"id":10644,"uris":["http://zotero.org/users/16652950/items/5PCRYT5A"],"itemData":{"id":10644,"type":"article-journal","abstract":"Complex health interventions (CHIs) are increasingly used in public health, clinical research and education to reduce the burden of disease worldwide. Numerous theories, models and frameworks (TMFs) have been developed to support implementation of CHIs.","container-title":"Implementation Science","DOI":"10.1186/s13012-024-01375-7","ISSN":"1748-5908","issue":"1","journalAbbreviation":"Implementation Science","page":"52","source":"BioMed Central","title":"Adaptability, Scalability and Sustainability (ASaS) of complex health interventions: a systematic review of theories, models and frameworks","title-short":"Adaptability, Scalability and Sustainability (ASaS) of complex health interventions","volume":"19","author":[{"family":"Sun","given":"Lixin"},{"family":"Booth","given":"Andrew"},{"family":"Sworn","given":"Katie"}],"issued":{"date-parts":[["2024",7,17]]}}}],"schema":"https://github.com/citation-style-language/schema/raw/master/csl-citation.json"} </w:instrText>
      </w:r>
      <w:r w:rsidR="007F0049" w:rsidRPr="00E42D74">
        <w:rPr>
          <w:rFonts w:ascii="Times New Roman" w:hAnsi="Times New Roman" w:cs="Times New Roman"/>
        </w:rPr>
        <w:fldChar w:fldCharType="separate"/>
      </w:r>
      <w:r w:rsidR="007F0049" w:rsidRPr="00E42D74">
        <w:rPr>
          <w:rFonts w:ascii="Times New Roman" w:hAnsi="Times New Roman" w:cs="Times New Roman"/>
        </w:rPr>
        <w:t>[32]</w:t>
      </w:r>
      <w:r w:rsidR="007F0049" w:rsidRPr="00E42D74">
        <w:rPr>
          <w:rFonts w:ascii="Times New Roman" w:hAnsi="Times New Roman" w:cs="Times New Roman"/>
        </w:rPr>
        <w:fldChar w:fldCharType="end"/>
      </w:r>
      <w:r w:rsidRPr="00E42D74">
        <w:rPr>
          <w:rFonts w:ascii="Times New Roman" w:hAnsi="Times New Roman" w:cs="Times New Roman"/>
        </w:rPr>
        <w:t>.</w:t>
      </w:r>
    </w:p>
    <w:p w14:paraId="5D06632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Collectively, these limitations reflect an underlying assumption that healthcare settings share a similar baseline level of infrastructure. In practice, this assumption does not hold. The failure to account for systematic variation in institutional capacity has limited the reach and effectiveness of existing pharmacogenomics implementation strategies.</w:t>
      </w:r>
    </w:p>
    <w:p w14:paraId="5915B869"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 An Infrastructure-Adaptive PGx Implementation Framework</w:t>
      </w:r>
    </w:p>
    <w:p w14:paraId="315082A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6.1 Conceptual Foundation</w:t>
      </w:r>
    </w:p>
    <w:p w14:paraId="78B18A8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An effective approach to pharmacogenomics implementation must align delivery strategies with the realities of the healthcare environment in which they are deployed. Rather than applying a uniform model across diverse settings, implementation should be adapted to the level of available infrastructure, including laboratory capacity, informatics systems, and workforce expertise. This principle recognizes that feasibility is context-dependent and that scalable adoption requires flexibility in how services are delivered</w:t>
      </w:r>
      <w:r w:rsidR="007F0049" w:rsidRPr="00E42D74">
        <w:rPr>
          <w:rFonts w:ascii="Times New Roman" w:hAnsi="Times New Roman" w:cs="Times New Roman"/>
        </w:rPr>
        <w:fldChar w:fldCharType="begin"/>
      </w:r>
      <w:r w:rsidR="007F0049" w:rsidRPr="00E42D74">
        <w:rPr>
          <w:rFonts w:ascii="Times New Roman" w:hAnsi="Times New Roman" w:cs="Times New Roman"/>
        </w:rPr>
        <w:instrText xml:space="preserve"> ADDIN ZOTERO_ITEM CSL_CITATION {"citationID":"4BH1O0HJ","properties":{"formattedCitation":"[5,26]","plainCitation":"[5,26]","noteIndex":0},"citationItems":[{"id":17335,"uris":["http://zotero.org/users/16652950/items/5WSZHLHB"],"itemData":{"id":17335,"type":"article-journal","abstract":"Adverse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Khoueiry"}],"issued":{"date-parts":[["2023",5,18]]}}}],"schema":"https://github.com/citation-style-language/schema/raw/master/csl-citation.json"} </w:instrText>
      </w:r>
      <w:r w:rsidR="007F0049" w:rsidRPr="00E42D74">
        <w:rPr>
          <w:rFonts w:ascii="Times New Roman" w:hAnsi="Times New Roman" w:cs="Times New Roman"/>
        </w:rPr>
        <w:fldChar w:fldCharType="separate"/>
      </w:r>
      <w:r w:rsidR="007F0049" w:rsidRPr="00E42D74">
        <w:rPr>
          <w:rFonts w:ascii="Times New Roman" w:hAnsi="Times New Roman" w:cs="Times New Roman"/>
        </w:rPr>
        <w:t>[5,26]</w:t>
      </w:r>
      <w:r w:rsidR="007F0049" w:rsidRPr="00E42D74">
        <w:rPr>
          <w:rFonts w:ascii="Times New Roman" w:hAnsi="Times New Roman" w:cs="Times New Roman"/>
        </w:rPr>
        <w:fldChar w:fldCharType="end"/>
      </w:r>
      <w:r w:rsidRPr="00E42D74">
        <w:rPr>
          <w:rFonts w:ascii="Times New Roman" w:hAnsi="Times New Roman" w:cs="Times New Roman"/>
        </w:rPr>
        <w:t>.</w:t>
      </w:r>
    </w:p>
    <w:p w14:paraId="4E1C1D8E"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proposed framework organizes pharmacogenomics implementation into three tiers defined by institutional capacity.</w:t>
      </w:r>
      <w:r w:rsidR="00DB3765" w:rsidRPr="00E42D74">
        <w:rPr>
          <w:rFonts w:ascii="Times New Roman" w:hAnsi="Times New Roman" w:cs="Times New Roman"/>
        </w:rPr>
        <w:t xml:space="preserve"> Figure 1 presents an infrastructure-adaptive model aligning pharmacogenomics delivery with healthcare system capacity.</w:t>
      </w:r>
      <w:r w:rsidRPr="00E42D74">
        <w:rPr>
          <w:rFonts w:ascii="Times New Roman" w:hAnsi="Times New Roman" w:cs="Times New Roman"/>
        </w:rPr>
        <w:t xml:space="preserve"> These tiers are not hierarchical in terms of quality, but represent context-appropriate strategies for different settings. Each tier is designed to maximize clinical utility within its operational constraints while maintaining consistency in the interpretation and application of pharmacogenomic data</w:t>
      </w:r>
      <w:r w:rsidR="000B4BC1" w:rsidRPr="00E42D74">
        <w:rPr>
          <w:rFonts w:ascii="Times New Roman" w:hAnsi="Times New Roman" w:cs="Times New Roman"/>
        </w:rPr>
        <w:fldChar w:fldCharType="begin"/>
      </w:r>
      <w:r w:rsidR="000B4BC1" w:rsidRPr="00E42D74">
        <w:rPr>
          <w:rFonts w:ascii="Times New Roman" w:hAnsi="Times New Roman" w:cs="Times New Roman"/>
        </w:rPr>
        <w:instrText xml:space="preserve"> ADDIN ZOTERO_ITEM CSL_CITATION {"citationID":"Z17eRHop","properties":{"formattedCitation":"[26,33]","plainCitation":"[26,33]","noteIndex":0},"citationItems":[{"id":17384,"uris":["http://zotero.org/users/16652950/items/XX2Q8G45"],"itemData":{"id":17384,"type":"article-journal","abstract":"Considerable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Khoueiry"}],"issued":{"date-parts":[["2023",5,18]]}}},{"id":17396,"uris":["http://zotero.org/users/16652950/items/V6XJGKQW"],"itemData":{"id":17396,"type":"article-journal","abstract":"PGx testing requires a complex set of activities undertaken by practitioners and patients, resulting in varying implementation success. This systemati...","container-title":"Journal of Personalized Medicine","DOI":"10.3390/jpm12111821","ISSN":"2075-4426","issue":"11","language":"en","license":"http://creativecommons.org/licenses/by/3.0/","note":"publisher: Multidisciplinary Digital Publishing Institute","source":"www.mdpi.com","title":"A Theory-Informed Systematic Review of Barriers and Enablers to Implementing Multi-Drug Pharmacogenomic Testing","URL":"https://www.mdpi.com/2075-4426/12/11/1821","volume":"12","author":[{"family":"Youssef","given":"Essra"},{"family":"Bhattacharya","given":"Debi"},{"family":"Sharma","given":"Ravi"},{"family":"Wright","given":"David J."}],"accessed":{"date-parts":[["2026",4,15]]},"issued":{"date-parts":[["2022",11,1]]}}}],"schema":"https://github.com/citation-style-language/schema/raw/master/csl-citation.json"} </w:instrText>
      </w:r>
      <w:r w:rsidR="000B4BC1" w:rsidRPr="00E42D74">
        <w:rPr>
          <w:rFonts w:ascii="Times New Roman" w:hAnsi="Times New Roman" w:cs="Times New Roman"/>
        </w:rPr>
        <w:fldChar w:fldCharType="separate"/>
      </w:r>
      <w:r w:rsidR="000B4BC1" w:rsidRPr="00E42D74">
        <w:rPr>
          <w:rFonts w:ascii="Times New Roman" w:hAnsi="Times New Roman" w:cs="Times New Roman"/>
        </w:rPr>
        <w:t>[26,33]</w:t>
      </w:r>
      <w:r w:rsidR="000B4BC1" w:rsidRPr="00E42D74">
        <w:rPr>
          <w:rFonts w:ascii="Times New Roman" w:hAnsi="Times New Roman" w:cs="Times New Roman"/>
        </w:rPr>
        <w:fldChar w:fldCharType="end"/>
      </w:r>
      <w:r w:rsidRPr="00E42D74">
        <w:rPr>
          <w:rFonts w:ascii="Times New Roman" w:hAnsi="Times New Roman" w:cs="Times New Roman"/>
        </w:rPr>
        <w:t>.</w:t>
      </w:r>
    </w:p>
    <w:p w14:paraId="27A6B990" w14:textId="77777777" w:rsidR="005C43E9" w:rsidRPr="00E42D74" w:rsidRDefault="005C43E9" w:rsidP="00760ABA">
      <w:pPr>
        <w:jc w:val="both"/>
      </w:pPr>
      <w:r w:rsidRPr="00E42D74">
        <w:rPr>
          <w:noProof/>
        </w:rPr>
        <w:lastRenderedPageBreak/>
        <w:drawing>
          <wp:inline distT="0" distB="0" distL="0" distR="0" wp14:anchorId="007112E3" wp14:editId="0CEE3163">
            <wp:extent cx="5943600" cy="3962400"/>
            <wp:effectExtent l="0" t="0" r="0" b="0"/>
            <wp:docPr id="160496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68302" name="Picture 16049683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2298F25" w14:textId="77777777" w:rsidR="005C43E9" w:rsidRPr="00E42D74" w:rsidRDefault="005C43E9" w:rsidP="005C43E9">
      <w:pPr>
        <w:jc w:val="both"/>
        <w:rPr>
          <w:rFonts w:ascii="Times New Roman" w:hAnsi="Times New Roman" w:cs="Times New Roman"/>
        </w:rPr>
      </w:pPr>
      <w:r w:rsidRPr="00E42D74">
        <w:rPr>
          <w:rFonts w:ascii="Times New Roman" w:hAnsi="Times New Roman" w:cs="Times New Roman"/>
          <w:b/>
          <w:bCs/>
        </w:rPr>
        <w:t>Figure 1. Infrastructure-adaptive framework for pharmacogenomics implementation.</w:t>
      </w:r>
      <w:r w:rsidRPr="00E42D74">
        <w:rPr>
          <w:rFonts w:ascii="Times New Roman" w:hAnsi="Times New Roman" w:cs="Times New Roman"/>
        </w:rPr>
        <w:br/>
        <w:t xml:space="preserve">A three-tier model aligning PGx delivery with healthcare system capacity: centralized testing with </w:t>
      </w:r>
      <w:proofErr w:type="spellStart"/>
      <w:r w:rsidRPr="00E42D74">
        <w:rPr>
          <w:rFonts w:ascii="Times New Roman" w:hAnsi="Times New Roman" w:cs="Times New Roman"/>
        </w:rPr>
        <w:t>telepharmacist</w:t>
      </w:r>
      <w:proofErr w:type="spellEnd"/>
      <w:r w:rsidRPr="00E42D74">
        <w:rPr>
          <w:rFonts w:ascii="Times New Roman" w:hAnsi="Times New Roman" w:cs="Times New Roman"/>
        </w:rPr>
        <w:t xml:space="preserve"> support (Tier 1), point-of-care testing with clinical decision support (Tier 2), and mobile outreach models (Tier 3). Cross-cutting components include provider education and patient engagement.</w:t>
      </w:r>
    </w:p>
    <w:p w14:paraId="4F65635F" w14:textId="77777777" w:rsidR="005C43E9" w:rsidRPr="00E42D74" w:rsidRDefault="005C43E9" w:rsidP="00760ABA">
      <w:pPr>
        <w:jc w:val="both"/>
      </w:pPr>
    </w:p>
    <w:p w14:paraId="7FA200AF"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6.2 Tier 1: Minimal Infrastructure Settings</w:t>
      </w:r>
    </w:p>
    <w:p w14:paraId="05013D3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1 applies to settings with limited or no on-site laboratory and informatics capabilities, including small clinics and critical access facilities. In these environments, pharmacogenomics implementation relies on mail-in specimen collection with centralized laboratory processing</w:t>
      </w:r>
      <w:r w:rsidR="00C54F31" w:rsidRPr="00E42D74">
        <w:rPr>
          <w:rFonts w:ascii="Times New Roman" w:hAnsi="Times New Roman" w:cs="Times New Roman"/>
        </w:rPr>
        <w:fldChar w:fldCharType="begin"/>
      </w:r>
      <w:r w:rsidR="00C54F31" w:rsidRPr="00E42D74">
        <w:rPr>
          <w:rFonts w:ascii="Times New Roman" w:hAnsi="Times New Roman" w:cs="Times New Roman"/>
        </w:rPr>
        <w:instrText xml:space="preserve"> ADDIN ZOTERO_ITEM CSL_CITATION {"citationID":"8IMucd3h","properties":{"formattedCitation":"[29]","plainCitation":"[29]","noteIndex":0},"citationItems":[{"id":17391,"uris":["http://zotero.org/users/16652950/items/BINSCSQX"],"itemData":{"id":17391,"type":"article-journal","abstract":"Aim: To advance clinical adoption and implementation of pharmacogenomics (PGx) testing, barriers and facilitators to these efforts must be understood. This study identified and examined barriers and facilitators to active implementation of a PGx program across multiple clinic settings in an academic healthcare system. Materials &amp; methods: 28 contributors to the PGx implementation (e.g., clinical providers, informatics specialists) completed an interview to elicit their perceptions of the implementation. Results: Qualitative analysis identified several barriers and facilitators that spanned different stages of the implementation process. Specifically, unclear test payment mechanisms, decision support tool development, rigid workflows and provider education were noted as barriers to the PGx implementation. A multidisciplinary implementation team and leadership support emerged as key facilitators. Furthermore, participants also suggested strategies to overcome or maintain these factors. Conclusion: Assessing real-world implementation perceptions and suggested strategies from a range of implementation contributors facilitates a more comprehensive framework and best-practice guidelines for PGx implementation.","container-title":"Pharmacogenomics","DOI":"10.2217/pgs-2023-0179","ISSN":"1462-2416","issue":"17","journalAbbreviation":"Pharmacogenomics","note":"PMID: 37975236\nPMCID: PMC12510241","page":"881-893","source":"PubMed Central","title":"Pharmacogenomics Implementation Across Multiple Clinic Settings: A Qualitative Evaluation","title-short":"Pharmacogenomics Implementation Across Multiple Clinic Settings","volume":"24","author":[{"family":"Shue","given":"Sarah A"},{"family":"Rowe","given":"Elizabeth"},{"family":"Bell","given":"Lauren A"},{"family":"Damush","given":"Teresa"},{"family":"DeLong","given":"Alexis"},{"family":"Gowan","given":"Tayler"},{"family":"Skaar","given":"Todd"},{"family":"Haggstrom","given":"David"}]}}],"schema":"https://github.com/citation-style-language/schema/raw/master/csl-citation.json"} </w:instrText>
      </w:r>
      <w:r w:rsidR="00C54F31" w:rsidRPr="00E42D74">
        <w:rPr>
          <w:rFonts w:ascii="Times New Roman" w:hAnsi="Times New Roman" w:cs="Times New Roman"/>
        </w:rPr>
        <w:fldChar w:fldCharType="separate"/>
      </w:r>
      <w:r w:rsidR="00C54F31" w:rsidRPr="00E42D74">
        <w:rPr>
          <w:rFonts w:ascii="Times New Roman" w:hAnsi="Times New Roman" w:cs="Times New Roman"/>
        </w:rPr>
        <w:t>[29]</w:t>
      </w:r>
      <w:r w:rsidR="00C54F31" w:rsidRPr="00E42D74">
        <w:rPr>
          <w:rFonts w:ascii="Times New Roman" w:hAnsi="Times New Roman" w:cs="Times New Roman"/>
        </w:rPr>
        <w:fldChar w:fldCharType="end"/>
      </w:r>
      <w:r w:rsidRPr="00E42D74">
        <w:rPr>
          <w:rFonts w:ascii="Times New Roman" w:hAnsi="Times New Roman" w:cs="Times New Roman"/>
        </w:rPr>
        <w:t>.</w:t>
      </w:r>
    </w:p>
    <w:p w14:paraId="1B96931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Patients provide buccal swab samples either during a clinical encounter or through home-based collection kits. Specimens are sent to a certified laboratory for genotyping, and results are returned electronically. Clinical interpretation is conducted by a pharmacist with pharmacogenomics training, who provides recommendations through telemedicine consultation with both the patient and the local provider</w:t>
      </w:r>
      <w:r w:rsidR="00C54F31" w:rsidRPr="00E42D74">
        <w:rPr>
          <w:rFonts w:ascii="Times New Roman" w:hAnsi="Times New Roman" w:cs="Times New Roman"/>
        </w:rPr>
        <w:fldChar w:fldCharType="begin"/>
      </w:r>
      <w:r w:rsidR="00C54F31" w:rsidRPr="00E42D74">
        <w:rPr>
          <w:rFonts w:ascii="Times New Roman" w:hAnsi="Times New Roman" w:cs="Times New Roman"/>
        </w:rPr>
        <w:instrText xml:space="preserve"> ADDIN ZOTERO_ITEM CSL_CITATION {"citationID":"CR4GH5m3","properties":{"formattedCitation":"[34]","plainCitation":"[34]","noteIndex":0},"citationItems":[{"id":17398,"uris":["http://zotero.org/users/16652950/items/BP4CQXA2"],"itemData":{"id":17398,"type":"article-journal","abstract":"The majority of the well-known pharmacogenomics research used in the medical sciences contributes to our understanding of medication interactions. It ...","container-title":"Pharmaceuticals","DOI":"10.3390/ph17070940","ISSN":"1424-8247","issue":"7","language":"en","license":"http://creativecommons.org/licenses/by/3.0/","note":"publisher: Multidisciplinary Digital Publishing Institute","source":"www.mdpi.com","title":"Pharmacogenomics: A Genetic Approach to Drug Development and Therapy","title-short":"Pharmacogenomics","URL":"https://www.mdpi.com/1424-8247/17/7/940","volume":"17","author":[{"family":"Qahwaji","given":"Rowaid"},{"family":"Ashankyty","given":"Ibraheem"},{"family":"Sannan","given":"Naif S."},{"family":"Hazzazi","given":"Mohannad S."},{"family":"Basabrain","given":"Ammar A."},{"family":"Mobashir","given":"Mohammad"}],"accessed":{"date-parts":[["2026",4,15]]},"issued":{"date-parts":[["2024",7,12]]}}}],"schema":"https://github.com/citation-style-language/schema/raw/master/csl-citation.json"} </w:instrText>
      </w:r>
      <w:r w:rsidR="00C54F31" w:rsidRPr="00E42D74">
        <w:rPr>
          <w:rFonts w:ascii="Times New Roman" w:hAnsi="Times New Roman" w:cs="Times New Roman"/>
        </w:rPr>
        <w:fldChar w:fldCharType="separate"/>
      </w:r>
      <w:r w:rsidR="00C54F31" w:rsidRPr="00E42D74">
        <w:rPr>
          <w:rFonts w:ascii="Times New Roman" w:hAnsi="Times New Roman" w:cs="Times New Roman"/>
        </w:rPr>
        <w:t>[34]</w:t>
      </w:r>
      <w:r w:rsidR="00C54F31" w:rsidRPr="00E42D74">
        <w:rPr>
          <w:rFonts w:ascii="Times New Roman" w:hAnsi="Times New Roman" w:cs="Times New Roman"/>
        </w:rPr>
        <w:fldChar w:fldCharType="end"/>
      </w:r>
      <w:r w:rsidRPr="00E42D74">
        <w:rPr>
          <w:rFonts w:ascii="Times New Roman" w:hAnsi="Times New Roman" w:cs="Times New Roman"/>
        </w:rPr>
        <w:t>.</w:t>
      </w:r>
    </w:p>
    <w:p w14:paraId="7A95BBF5"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lastRenderedPageBreak/>
        <w:t>This model minimizes the need for local infrastructure while maintaining access to standardized, guideline-based recommendations. It is particularly suited to settings where workforce and diagnostic resources are limited but basic clinical services are available</w:t>
      </w:r>
      <w:r w:rsidR="003A778F" w:rsidRPr="00E42D74">
        <w:rPr>
          <w:rFonts w:ascii="Times New Roman" w:hAnsi="Times New Roman" w:cs="Times New Roman"/>
        </w:rPr>
        <w:fldChar w:fldCharType="begin"/>
      </w:r>
      <w:r w:rsidR="003A778F" w:rsidRPr="00E42D74">
        <w:rPr>
          <w:rFonts w:ascii="Times New Roman" w:hAnsi="Times New Roman" w:cs="Times New Roman"/>
        </w:rPr>
        <w:instrText xml:space="preserve"> ADDIN ZOTERO_ITEM CSL_CITATION {"citationID":"mYygYj8x","properties":{"formattedCitation":"[35]","plainCitation":"[35]","noteIndex":0},"citationItems":[{"id":17403,"uris":["http://zotero.org/users/16652950/items/YMELPBTP"],"itemData":{"id":17403,"type":"article-journal","abstract":"Therapeutic drug monitoring (TDM) is a precision medicine tool that measures drug concentrations in biological fluids to guide individualized dosing. TDM has evolved into a multidisciplinary approach used across various therapeutic areas. In India, despite a growing clinical need, TDM remains underutilized due to systemic and infrastructural barriers. This narrative review aims to summarize the evolution, current status, analytical approaches, and future prospects of TDM in India and is based on published literature retrieved from databases, including PubMed, Scopus, and Google Scholar, and outlines TDM's utility in optimizing pharmacotherapy for drugs with narrow therapeutic windows or nonlinear pharmacokinetics. It compares analytical methods used for TDM and discusses challenges in the workflow of TDM. Special emphasis is placed on its relevance in children, pregnant women, the elderly, and critically ill patients. It also highlights barriers, including a lack of infrastructure, trained personnel, and standardized guidelines. TDM in India requires policy-level support, integration into national health programs, clinician education, and adoption of point-of-care technologies. Strengthening research in pharmacogenetics can help establish TDM as a cornerstone of individualized therapy.","container-title":"Cureus","DOI":"10.7759/cureus.102678","ISSN":"2168-8184","language":"en","note":"publisher: Cureus","source":"www.cureus.com","title":"Current Scenarios and Future Perspectives of Therapeutic Drug Monitoring in India: A Narrative Review","title-short":"Current Scenarios and Future Perspectives of Therapeutic Drug Monitoring in India","URL":"https://cureus.com/articles/440273-current-scenarios-and-future-perspectives-of-therapeutic-drug-monitoring-in-india-a-narrative-review","volume":"18","author":[{"family":"Paul","given":"Joyeta"},{"family":"Das","given":"Prasanjit"},{"family":"Das","given":"Alapan"},{"family":"Ojha","given":"Bisweswar"},{"family":"Das","given":"Krishnasish"},{"family":"Deb","given":"Tirthankar"},{"family":"Paul","given":"Joyeta"},{"family":"Das","given":"Prasanjit"},{"family":"Das","given":"Alapan"},{"family":"Ojha","given":"Bisweswar"},{"family":"Das","given":"Krishnasish"},{"family":"Deb","given":"Tirthankar"}],"accessed":{"date-parts":[["2026",4,15]]},"issued":{"date-parts":[["2026",1,30]]}}}],"schema":"https://github.com/citation-style-language/schema/raw/master/csl-citation.json"} </w:instrText>
      </w:r>
      <w:r w:rsidR="003A778F" w:rsidRPr="00E42D74">
        <w:rPr>
          <w:rFonts w:ascii="Times New Roman" w:hAnsi="Times New Roman" w:cs="Times New Roman"/>
        </w:rPr>
        <w:fldChar w:fldCharType="separate"/>
      </w:r>
      <w:r w:rsidR="003A778F" w:rsidRPr="00E42D74">
        <w:rPr>
          <w:rFonts w:ascii="Times New Roman" w:hAnsi="Times New Roman" w:cs="Times New Roman"/>
        </w:rPr>
        <w:t>[35]</w:t>
      </w:r>
      <w:r w:rsidR="003A778F" w:rsidRPr="00E42D74">
        <w:rPr>
          <w:rFonts w:ascii="Times New Roman" w:hAnsi="Times New Roman" w:cs="Times New Roman"/>
        </w:rPr>
        <w:fldChar w:fldCharType="end"/>
      </w:r>
      <w:r w:rsidRPr="00E42D74">
        <w:rPr>
          <w:rFonts w:ascii="Times New Roman" w:hAnsi="Times New Roman" w:cs="Times New Roman"/>
        </w:rPr>
        <w:t>.</w:t>
      </w:r>
    </w:p>
    <w:p w14:paraId="5D58A7B4" w14:textId="77777777" w:rsidR="007D5081" w:rsidRPr="00E42D74" w:rsidRDefault="007D5081" w:rsidP="00760ABA">
      <w:pPr>
        <w:jc w:val="both"/>
        <w:rPr>
          <w:rFonts w:ascii="Times New Roman" w:hAnsi="Times New Roman" w:cs="Times New Roman"/>
          <w:b/>
          <w:bCs/>
        </w:rPr>
      </w:pPr>
    </w:p>
    <w:p w14:paraId="2D268E6A"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6.3 Tier 2: Moderate Infrastructure Settings</w:t>
      </w:r>
    </w:p>
    <w:p w14:paraId="3B32532C"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2 is designed for institutions with basic laboratory services and electronic health record systems, such as rural community hospitals and larger outpatient clinics. These settings can support point-of-care genotyping platforms, enabling more rapid turnaround of results.</w:t>
      </w:r>
    </w:p>
    <w:p w14:paraId="14AD909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Pharmacogenomics data are integrated into the electronic health record as structured information, allowing for the use of clinical decision support tools. When a medication with a known gene–drug interaction is prescribed, automated alerts provide dosing guidance based on the patient’s genotype. A pharmacist leads the clinical integration process, overseeing result interpretation, configuring decision support, and collaborating with prescribers on medication management</w:t>
      </w:r>
      <w:r w:rsidR="003A778F" w:rsidRPr="00E42D74">
        <w:rPr>
          <w:rFonts w:ascii="Times New Roman" w:hAnsi="Times New Roman" w:cs="Times New Roman"/>
        </w:rPr>
        <w:fldChar w:fldCharType="begin"/>
      </w:r>
      <w:r w:rsidR="003A778F" w:rsidRPr="00E42D74">
        <w:rPr>
          <w:rFonts w:ascii="Times New Roman" w:hAnsi="Times New Roman" w:cs="Times New Roman"/>
        </w:rPr>
        <w:instrText xml:space="preserve"> ADDIN ZOTERO_ITEM CSL_CITATION {"citationID":"6SsXjtzY","properties":{"formattedCitation":"[36]","plainCitation":"[36]","noteIndex":0},"citationItems":[{"id":17400,"uris":["http://zotero.org/users/16652950/items/J3H5Z3HU"],"itemData":{"id":17400,"type":"article-journal","abstract":"Pharmacogenomics (PGx) clinical decision support integrated into the electronic health record (EHR) has the potential to provide relevant knowledge to clinicians to enable individualized care. However, past experience implementing PGx clinical decision support into multiple EHR platforms has identified important clinical, procedural, and technical challenges. Commercial EHRs have been widely criticized for the lack of readiness to implement precision medicine. Herein, we share our experiences and lessons learned implementing new EHR functionality charting PGx phenotypes in a unique repository, genomic indicators, instead of using the problem or allergy list. The Gen-Ind has additional features including a brief description of the clinical impact, a hyperlink to the original laboratory report, and links to additional educational resources. The automatic generation of genomic indicators from interfaced PGx test results facilitates implementation and long-term maintenance of PGx data in the EHR and can be used as criteria for synchronous and asynchronous CDS.","container-title":"Journal of the American Medical Informatics Association : JAMIA","DOI":"10.1093/jamia/ocz177","ISSN":"1067-5027","issue":"1","journalAbbreviation":"J Am Med Inform Assoc","note":"PMID: 31591640\nPMCID: PMC6913212","page":"154-158","source":"PubMed Central","title":"Integrating pharmacogenomics into the electronic health record by implementing genomic indicators","volume":"27","author":[{"family":"Caraballo","given":"Pedro J"},{"family":"Sutton","given":"Joseph A"},{"family":"Giri","given":"Jyothsna"},{"family":"Wright","given":"Jessica A"},{"family":"Nicholson","given":"Wayne T"},{"family":"Kullo","given":"Iftikhar J"},{"family":"Parkulo","given":"Mark A"},{"family":"Bielinski","given":"Suzette J"},{"family":"Moyer","given":"Ann M"}],"issued":{"date-parts":[["2019",10,7]]}}}],"schema":"https://github.com/citation-style-language/schema/raw/master/csl-citation.json"} </w:instrText>
      </w:r>
      <w:r w:rsidR="003A778F" w:rsidRPr="00E42D74">
        <w:rPr>
          <w:rFonts w:ascii="Times New Roman" w:hAnsi="Times New Roman" w:cs="Times New Roman"/>
        </w:rPr>
        <w:fldChar w:fldCharType="separate"/>
      </w:r>
      <w:r w:rsidR="003A778F" w:rsidRPr="00E42D74">
        <w:rPr>
          <w:rFonts w:ascii="Times New Roman" w:hAnsi="Times New Roman" w:cs="Times New Roman"/>
        </w:rPr>
        <w:t>[36]</w:t>
      </w:r>
      <w:r w:rsidR="003A778F" w:rsidRPr="00E42D74">
        <w:rPr>
          <w:rFonts w:ascii="Times New Roman" w:hAnsi="Times New Roman" w:cs="Times New Roman"/>
        </w:rPr>
        <w:fldChar w:fldCharType="end"/>
      </w:r>
      <w:r w:rsidRPr="00E42D74">
        <w:rPr>
          <w:rFonts w:ascii="Times New Roman" w:hAnsi="Times New Roman" w:cs="Times New Roman"/>
        </w:rPr>
        <w:t>.</w:t>
      </w:r>
    </w:p>
    <w:p w14:paraId="6190768C"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This model supports both reactive and preemptive testing approaches and allows pharmacogenomics to be embedded within routine clinical workflows. It represents a transition from externally supported services to internally integrated systems.</w:t>
      </w:r>
    </w:p>
    <w:p w14:paraId="7E20D191"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6.4 Tier 3: Mobile Outreach Model</w:t>
      </w:r>
    </w:p>
    <w:p w14:paraId="4C14996B"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Tier 3 addresses communities with limited or no access to fixed healthcare facilities. In these settings, mobile health units serve as the primary platform for pharmacogenomics service delivery.</w:t>
      </w:r>
    </w:p>
    <w:p w14:paraId="4D4E6D85"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Mobile units travel to underserved areas on scheduled routes and provide on-site specimen collection, basic patient education, and medication review. Collected samples are transported to centralized laboratories for processing. Results are communicated through follow-up telemedicine consultations, with pharmacists providing interpretation and prescribing recommendations</w:t>
      </w:r>
      <w:r w:rsidR="00B80D98" w:rsidRPr="00E42D74">
        <w:rPr>
          <w:rFonts w:ascii="Times New Roman" w:hAnsi="Times New Roman" w:cs="Times New Roman"/>
        </w:rPr>
        <w:fldChar w:fldCharType="begin"/>
      </w:r>
      <w:r w:rsidR="00B80D98" w:rsidRPr="00E42D74">
        <w:rPr>
          <w:rFonts w:ascii="Times New Roman" w:hAnsi="Times New Roman" w:cs="Times New Roman"/>
        </w:rPr>
        <w:instrText xml:space="preserve"> ADDIN ZOTERO_ITEM CSL_CITATION {"citationID":"cj1fcZbB","properties":{"formattedCitation":"[37]","plainCitation":"[37]","noteIndex":0},"citationItems":[{"id":17405,"uris":["http://zotero.org/users/16652950/items/5A4JIWY5"],"itemData":{"id":17405,"type":"article-journal","abstract":"Using mobile technologies to promote communication and management of care between healthcare professionals, What is the aim of this review?, We aimed to find out if healthcare workers using mHealth services through their mobile phones or other mobile devices to communicate with other healthcare workers provide quicker access to healthcare, and improve patient health outcomes. We collected and analysed all relevant research and found 19 studies., Key messages, Mobile technologies probably slightly decrease the time to deliver health care, as well as the number of face‐to‐face appointments, when compared with usual care, and probably increase the number of people receiving clinical examinations for some conditions, including an eye exam for people with diabetes. Mobile technologies may have little or no impact on healthcare workers' and participants' satisfaction, health status or well‐being., What was studied in the review?, Many healthcare workers work alone or have little access to colleagues and specialists. This is a common problem for healthcare workers in rural areas or low‐income countries., One possible solution to this problem is to offer healthcare workers advice and support through mobile technologies that allow healthcare workers to get help from colleagues who are not in the same place. For instance, healthcare workers can contact specialists or colleagues with more experience through a phone or the Internet. Healthcare workers can also use their mobile phones or other mobile devices such as tablets. As more healthcare workers use mobile phones and other devices as part of their work, this could make it particularly easy for them to use mHealth services., What are the main results of the review?, We found 19 relevant studies, which included more than 5766 people who needed health care. Sixteen studies were from high‐income countries. Two studies reported on technical problems, reporting few difficulties., When primary healthcare workers use mobile technologies to consult with hospital specialists, they:, ‐ probably make little or no difference to whether guidelines are followed for people with chronic kidney disease, or to health status or quality of life of people with psoriasis., ‐ may increase the likelihood of retinopathy screening for people with diabetes, or receiving an ultrasound if referred with symptoms, and may reduce referrals or a visit to the clinic for people with a skin condition or referred for clinic follow‐up for different health problems., ‐ may make little or no difference to healthcare worker or patient satisfaction, or to how much it costs to deliver health care., When emergency doctors use mobile technologies to consult with hospital specialists:, ‐ patients are probably managed slightly more quickly., We did not find any studies that looked at the effect of mobile technologies on emergency doctors following guidelines, patients’ health and well‐being, healthcare worker or patient satisfaction, or costs., When community health workers or home‐care workers use mobile technologies to consult with clinic staff, they:, ‐ probably make little or no difference to the number of times people with a new diabetes‐related foot ulcer have to see a nurse, or elderly people using tube feeding have to see a nurse or go into hospital., ‐ may make no difference to the number of people living with HIV or diabetes who die; and may make little or no difference to the health status or quality of life of people with rheumatoid arthritis., ‐ probably make little or no difference to the satisfaction of people with diabetes or rheumatoid arthritis., We did not find any studies that looked at the effect of mobile technologies on whether community health workers follow guidelines, how quickly people receive care, healthcare worker satisfaction, costs, or technical difficulties., How up‐to‐date is this review?, We searched for studies up to 22 July 2019.","container-title":"The Cochrane Database of Systematic Reviews","DOI":"10.1002/14651858.CD012927.pub2","ISSN":"1469-493X","issue":"8","journalAbbreviation":"Cochrane Database Syst Rev","note":"PMID: 32813281\nPMCID: PMC7437392","page":"CD012927","source":"PubMed Central","title":"Mobile technologies to support healthcare provider to healthcare provider communication and management of care","volume":"2020","author":[{"family":"Gonçalves-Bradley","given":"Daniela C"},{"family":"J Maria","given":"Ana Rita"},{"family":"Ricci-Cabello","given":"Ignacio"},{"family":"Villanueva","given":"Gemma"},{"family":"Fønhus","given":"Marita S"},{"family":"Glenton","given":"Claire"},{"family":"Lewin","given":"Simon"},{"family":"Henschke","given":"Nicholas"},{"family":"Buckley","given":"Brian S"},{"family":"Mehl","given":"Garrett L"},{"family":"Tamrat","given":"Tigest"},{"family":"Shepperd","given":"Sasha"}],"issued":{"date-parts":[["2020",8,18]]}}}],"schema":"https://github.com/citation-style-language/schema/raw/master/csl-citation.json"} </w:instrText>
      </w:r>
      <w:r w:rsidR="00B80D98" w:rsidRPr="00E42D74">
        <w:rPr>
          <w:rFonts w:ascii="Times New Roman" w:hAnsi="Times New Roman" w:cs="Times New Roman"/>
        </w:rPr>
        <w:fldChar w:fldCharType="separate"/>
      </w:r>
      <w:r w:rsidR="00B80D98" w:rsidRPr="00E42D74">
        <w:rPr>
          <w:rFonts w:ascii="Times New Roman" w:hAnsi="Times New Roman" w:cs="Times New Roman"/>
        </w:rPr>
        <w:t>[37]</w:t>
      </w:r>
      <w:r w:rsidR="00B80D98" w:rsidRPr="00E42D74">
        <w:rPr>
          <w:rFonts w:ascii="Times New Roman" w:hAnsi="Times New Roman" w:cs="Times New Roman"/>
        </w:rPr>
        <w:fldChar w:fldCharType="end"/>
      </w:r>
      <w:r w:rsidRPr="00E42D74">
        <w:rPr>
          <w:rFonts w:ascii="Times New Roman" w:hAnsi="Times New Roman" w:cs="Times New Roman"/>
        </w:rPr>
        <w:t>.</w:t>
      </w:r>
    </w:p>
    <w:p w14:paraId="54CC6460"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This model extends pharmacogenomics services to populations that would otherwise remain excluded due to geographic and structural barriers. It also supports community engagement by delivering services in familiar and accessible environments.</w:t>
      </w:r>
    </w:p>
    <w:p w14:paraId="4033A7A4"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6.5 Cross-Cutting Components</w:t>
      </w:r>
    </w:p>
    <w:p w14:paraId="18B32695"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Two components are essential across all tiers: provider education and patient engagement. Effective implementation requires that clinicians understand how to apply pharmacogenomics information in prescribing decisions. Educational strategies should be tailored to the level of prior knowledge and available resources within each setting, ranging from foundational training modules to case-based learning and ongoing clinical support</w:t>
      </w:r>
      <w:r w:rsidR="007928C4" w:rsidRPr="00E42D74">
        <w:rPr>
          <w:rFonts w:ascii="Times New Roman" w:hAnsi="Times New Roman" w:cs="Times New Roman"/>
        </w:rPr>
        <w:fldChar w:fldCharType="begin"/>
      </w:r>
      <w:r w:rsidR="007928C4" w:rsidRPr="00E42D74">
        <w:rPr>
          <w:rFonts w:ascii="Times New Roman" w:hAnsi="Times New Roman" w:cs="Times New Roman"/>
        </w:rPr>
        <w:instrText xml:space="preserve"> ADDIN ZOTERO_ITEM CSL_CITATION {"citationID":"tIfi88sW","properties":{"formattedCitation":"[26,37]","plainCitation":"[26,37]","noteIndex":0},"citationItems":[{"id":17384,"uris":["http://zotero.org/users/16652950/items/XX2Q8G45"],"itemData":{"id":17384,"type":"article-journal","abstract":"Considerable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Khoueiry"}],"issued":{"date-parts":[["2023",5,18]]}}},{"id":17405,"uris":["http://zotero.org/users/16652950/items/5A4JIWY5"],"itemData":{"id":17405,"type":"article-journal","abstract":"Using mobile technologies to promote communication and management of care between healthcare professionals, What is the aim of this review?, We aimed to find out if healthcare workers using mHealth services through their mobile phones or other mobile devices to communicate with other healthcare workers provide quicker access to healthcare, and improve patient health outcomes. We collected and analysed all relevant research and found 19 studies., Key messages, Mobile technologies probably slightly decrease the time to deliver health care, as well as the number of face‐to‐face appointments, when compared with usual care, and probably increase the number of people receiving clinical examinations for some conditions, including an eye exam for people with diabetes. Mobile technologies may have little or no impact on healthcare workers' and participants' satisfaction, health status or well‐being., What was studied in the review?, Many healthcare workers work alone or have little access to colleagues and specialists. This is a common problem for healthcare workers in rural areas or low‐income countries., One possible solution to this problem is to offer healthcare workers advice and support through mobile technologies that allow healthcare workers to get help from colleagues who are not in the same place. For instance, healthcare workers can contact specialists or colleagues with more experience through a phone or the Internet. Healthcare workers can also use their mobile phones or other mobile devices such as tablets. As more healthcare workers use mobile phones and other devices as part of their work, this could make it particularly easy for them to use mHealth services., What are the main results of the review?, We found 19 relevant studies, which included more than 5766 people who needed health care. Sixteen studies were from high‐income countries. Two studies reported on technical problems, reporting few difficulties., When primary healthcare workers use mobile technologies to consult with hospital specialists, they:, ‐ probably make little or no difference to whether guidelines are followed for people with chronic kidney disease, or to health status or quality of life of people with psoriasis., ‐ may increase the likelihood of retinopathy screening for people with diabetes, or receiving an ultrasound if referred with symptoms, and may reduce referrals or a visit to the clinic for people with a skin condition or referred for clinic follow‐up for different health problems., ‐ may make little or no difference to healthcare worker or patient satisfaction, or to how much it costs to deliver health care., When emergency doctors use mobile technologies to consult with hospital specialists:, ‐ patients are probably managed slightly more quickly., We did not find any studies that looked at the effect of mobile technologies on emergency doctors following guidelines, patients’ health and well‐being, healthcare worker or patient satisfaction, or costs., When community health workers or home‐care workers use mobile technologies to consult with clinic staff, they:, ‐ probably make little or no difference to the number of times people with a new diabetes‐related foot ulcer have to see a nurse, or elderly people using tube feeding have to see a nurse or go into hospital., ‐ may make no difference to the number of people living with HIV or diabetes who die; and may make little or no difference to the health status or quality of life of people with rheumatoid arthritis., ‐ probably make little or no difference to the satisfaction of people with diabetes or rheumatoid arthritis., We did not find any studies that looked at the effect of mobile technologies on whether community health workers follow guidelines, how quickly people receive care, healthcare worker satisfaction, costs, or technical difficulties., How up‐to‐date is this review?, We searched for studies up to 22 July 2019.","container-title":"The Cochrane Database of Systematic Reviews","DOI":"10.1002/14651858.CD012927.pub2","ISSN":"1469-493X","issue":"8","journalAbbreviation":"Cochrane Database Syst Rev","note":"PMID: 32813281\nPMCID: PMC7437392","page":"CD012927","source":"PubMed Central","title":"Mobile technologies to support healthcare provider to healthcare provider communication and management of care","volume":"2020","author":[{"family":"Gonçalves-Bradley","given":"Daniela C"},{"family":"J Maria","given":"Ana Rita"},{"family":"Ricci-Cabello","given":"Ignacio"},{"family":"Villanueva","given":"Gemma"},{"family":"Fønhus","given":"Marita S"},{"family":"Glenton","given":"Claire"},{"family":"Lewin","given":"Simon"},{"family":"Henschke","given":"Nicholas"},{"family":"Buckley","given":"Brian S"},{"family":"Mehl","given":"Garrett L"},{"family":"Tamrat","given":"Tigest"},{"family":"Shepperd","given":"Sasha"}],"issued":{"date-parts":[["2020",8,18]]}}}],"schema":"https://github.com/citation-style-language/schema/raw/master/csl-citation.json"} </w:instrText>
      </w:r>
      <w:r w:rsidR="007928C4" w:rsidRPr="00E42D74">
        <w:rPr>
          <w:rFonts w:ascii="Times New Roman" w:hAnsi="Times New Roman" w:cs="Times New Roman"/>
        </w:rPr>
        <w:fldChar w:fldCharType="separate"/>
      </w:r>
      <w:r w:rsidR="007928C4" w:rsidRPr="00E42D74">
        <w:rPr>
          <w:rFonts w:ascii="Times New Roman" w:hAnsi="Times New Roman" w:cs="Times New Roman"/>
        </w:rPr>
        <w:t>[26,37]</w:t>
      </w:r>
      <w:r w:rsidR="007928C4" w:rsidRPr="00E42D74">
        <w:rPr>
          <w:rFonts w:ascii="Times New Roman" w:hAnsi="Times New Roman" w:cs="Times New Roman"/>
        </w:rPr>
        <w:fldChar w:fldCharType="end"/>
      </w:r>
      <w:r w:rsidRPr="00E42D74">
        <w:rPr>
          <w:rFonts w:ascii="Times New Roman" w:hAnsi="Times New Roman" w:cs="Times New Roman"/>
        </w:rPr>
        <w:t>.</w:t>
      </w:r>
    </w:p>
    <w:p w14:paraId="2BDBDA1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Patient engagement is equally critical. Clear communication about the purpose, benefits, and implications of pharmacogenomics testing supports informed participation and adherence to </w:t>
      </w:r>
      <w:r w:rsidRPr="00E42D74">
        <w:rPr>
          <w:rFonts w:ascii="Times New Roman" w:hAnsi="Times New Roman" w:cs="Times New Roman"/>
        </w:rPr>
        <w:lastRenderedPageBreak/>
        <w:t>recommended therapy changes. Educational materials and outreach strategies should be adapted to the cultural and literacy context of the target population</w:t>
      </w:r>
      <w:r w:rsidR="00F1737F" w:rsidRPr="00E42D74">
        <w:rPr>
          <w:rFonts w:ascii="Times New Roman" w:hAnsi="Times New Roman" w:cs="Times New Roman"/>
        </w:rPr>
        <w:fldChar w:fldCharType="begin"/>
      </w:r>
      <w:r w:rsidR="00F1737F" w:rsidRPr="00E42D74">
        <w:rPr>
          <w:rFonts w:ascii="Times New Roman" w:hAnsi="Times New Roman" w:cs="Times New Roman"/>
        </w:rPr>
        <w:instrText xml:space="preserve"> ADDIN ZOTERO_ITEM CSL_CITATION {"citationID":"pHLCxp7T","properties":{"formattedCitation":"[38]","plainCitation":"[38]","noteIndex":0},"citationItems":[{"id":17408,"uris":["http://zotero.org/users/16652950/items/3F2YCSGT"],"itemData":{"id":17408,"type":"article-journal","abstract":"Patient engagement (PE) is a well-known strategy introduced and implemented by\npharmaceutical and medical device companies for patient compliance and adherence\nto treatment protocols during clinical trials and care processes. This can\naffect a wider range of outcomes such as the quality of treatment decisions and\nquality of care outcomes. Few studies have paid attention to it. The involvement\nof patient is one of the crucial stakeholders of health care in their treatment\nthat makes controversial opinions about the potential outcomes of their\nengagement in various aspects of healthcare. This scoping review was conducted\nin 2022 to collect the results of PE. The search was performed in the MEDLINE\nand Web of Sciences databases. The selected documents were categorized and\nreported by the direct content analysis method. Out of 3974 published documents,\n17 articles were selected. Findings are categorized into 4 groups: (1) Health\noutcome, (2) patient compliance, (3) self-efficiency, and (4) return on\ninvestment. PE can improve both treatment outcomes and consequently patient\nsatisfaction and health, as well as the productivity of the service provider.\nHowever, increasing self-care and patient adherence are among the positive\neffects of this engagement on the patient, and return on investment is still a\nchallenge for PE.","container-title":"Journal of Patient Experience","DOI":"10.1177/23743735221125439","ISSN":"2374-3735","journalAbbreviation":"J Patient Exp","note":"PMID: 36134145\nPMCID: PMC9483965","page":"23743735221125439","source":"PubMed Central","title":"Impact of Patient Engagement on Healthcare Quality: A Scoping Review","title-short":"Impact of Patient Engagement on Healthcare Quality","volume":"9","author":[{"family":"Marzban","given":"Sima"},{"family":"Najafi","given":"Marziye"},{"family":"Agolli","given":"Arjola"},{"family":"Ashrafi","given":"Ensieh"}],"issued":{"date-parts":[["2022",9,16]]}}}],"schema":"https://github.com/citation-style-language/schema/raw/master/csl-citation.json"} </w:instrText>
      </w:r>
      <w:r w:rsidR="00F1737F" w:rsidRPr="00E42D74">
        <w:rPr>
          <w:rFonts w:ascii="Times New Roman" w:hAnsi="Times New Roman" w:cs="Times New Roman"/>
        </w:rPr>
        <w:fldChar w:fldCharType="separate"/>
      </w:r>
      <w:r w:rsidR="00F1737F" w:rsidRPr="00E42D74">
        <w:rPr>
          <w:rFonts w:ascii="Times New Roman" w:hAnsi="Times New Roman" w:cs="Times New Roman"/>
        </w:rPr>
        <w:t>[38]</w:t>
      </w:r>
      <w:r w:rsidR="00F1737F" w:rsidRPr="00E42D74">
        <w:rPr>
          <w:rFonts w:ascii="Times New Roman" w:hAnsi="Times New Roman" w:cs="Times New Roman"/>
        </w:rPr>
        <w:fldChar w:fldCharType="end"/>
      </w:r>
      <w:r w:rsidRPr="00E42D74">
        <w:rPr>
          <w:rFonts w:ascii="Times New Roman" w:hAnsi="Times New Roman" w:cs="Times New Roman"/>
        </w:rPr>
        <w:t>.</w:t>
      </w:r>
    </w:p>
    <w:p w14:paraId="2C4AE53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Together, these cross-cutting elements ensure that pharmacogenomics implementation is not limited to technical capability but is supported by the knowledge and engagement necessary for sustained clinical impact.</w:t>
      </w:r>
    </w:p>
    <w:p w14:paraId="50488403" w14:textId="77777777" w:rsidR="00C22BB7" w:rsidRPr="00E42D74" w:rsidRDefault="00C22BB7" w:rsidP="00760ABA">
      <w:pPr>
        <w:jc w:val="both"/>
        <w:rPr>
          <w:rFonts w:ascii="Times New Roman" w:hAnsi="Times New Roman" w:cs="Times New Roman"/>
        </w:rPr>
      </w:pPr>
      <w:r w:rsidRPr="00E42D74">
        <w:rPr>
          <w:rFonts w:ascii="Times New Roman" w:hAnsi="Times New Roman" w:cs="Times New Roman"/>
        </w:rPr>
        <w:t>The operational features, resource requirements, and limitations of each tier are summarized in Table 1, highlighting how implementation strategies align with infrastructure capacity.”</w:t>
      </w:r>
    </w:p>
    <w:p w14:paraId="08FD4BCC" w14:textId="77777777" w:rsidR="00C22BB7" w:rsidRPr="00E42D74" w:rsidRDefault="00C22BB7" w:rsidP="00760ABA">
      <w:pPr>
        <w:jc w:val="both"/>
        <w:rPr>
          <w:rFonts w:ascii="Times New Roman" w:hAnsi="Times New Roman" w:cs="Times New Roman"/>
          <w:b/>
          <w:bCs/>
        </w:rPr>
      </w:pPr>
      <w:r w:rsidRPr="00E42D74">
        <w:rPr>
          <w:rFonts w:ascii="Times New Roman" w:hAnsi="Times New Roman" w:cs="Times New Roman"/>
          <w:b/>
          <w:bCs/>
        </w:rPr>
        <w:t xml:space="preserve"> Table 1 Comparison of Pharmacogenomics Implementation Strategies Across Infrastructure Tiers</w:t>
      </w:r>
    </w:p>
    <w:tbl>
      <w:tblPr>
        <w:tblStyle w:val="PlainTable1"/>
        <w:tblW w:w="0" w:type="auto"/>
        <w:tblLook w:val="04A0" w:firstRow="1" w:lastRow="0" w:firstColumn="1" w:lastColumn="0" w:noHBand="0" w:noVBand="1"/>
      </w:tblPr>
      <w:tblGrid>
        <w:gridCol w:w="1827"/>
        <w:gridCol w:w="2341"/>
        <w:gridCol w:w="2583"/>
        <w:gridCol w:w="2599"/>
      </w:tblGrid>
      <w:tr w:rsidR="00C22BB7" w:rsidRPr="00E42D74" w14:paraId="19BF726E" w14:textId="77777777" w:rsidTr="00FA5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518961"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Feature</w:t>
            </w:r>
          </w:p>
        </w:tc>
        <w:tc>
          <w:tcPr>
            <w:tcW w:w="0" w:type="auto"/>
            <w:hideMark/>
          </w:tcPr>
          <w:p w14:paraId="6B1037E3"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1: Minimal Infrastructure</w:t>
            </w:r>
          </w:p>
        </w:tc>
        <w:tc>
          <w:tcPr>
            <w:tcW w:w="0" w:type="auto"/>
            <w:hideMark/>
          </w:tcPr>
          <w:p w14:paraId="683CDDCC"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2: Moderate Infrastructure</w:t>
            </w:r>
          </w:p>
        </w:tc>
        <w:tc>
          <w:tcPr>
            <w:tcW w:w="0" w:type="auto"/>
            <w:hideMark/>
          </w:tcPr>
          <w:p w14:paraId="0215CF54" w14:textId="77777777" w:rsidR="00C22BB7" w:rsidRPr="00E42D74" w:rsidRDefault="00C22BB7" w:rsidP="00760ABA">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Tier 3: Mobile Outreach</w:t>
            </w:r>
          </w:p>
        </w:tc>
      </w:tr>
      <w:tr w:rsidR="00C22BB7" w:rsidRPr="00E42D74" w14:paraId="5A428898"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95A02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Target setting</w:t>
            </w:r>
          </w:p>
        </w:tc>
        <w:tc>
          <w:tcPr>
            <w:tcW w:w="0" w:type="auto"/>
            <w:hideMark/>
          </w:tcPr>
          <w:p w14:paraId="672EFAB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Small clinics, critical access sites</w:t>
            </w:r>
          </w:p>
        </w:tc>
        <w:tc>
          <w:tcPr>
            <w:tcW w:w="0" w:type="auto"/>
            <w:hideMark/>
          </w:tcPr>
          <w:p w14:paraId="10556845"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Rural community hospitals, FQHCs</w:t>
            </w:r>
          </w:p>
        </w:tc>
        <w:tc>
          <w:tcPr>
            <w:tcW w:w="0" w:type="auto"/>
            <w:hideMark/>
          </w:tcPr>
          <w:p w14:paraId="378DE97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Communities without fixed facilities</w:t>
            </w:r>
            <w:r w:rsidR="006B0003" w:rsidRPr="00E42D74">
              <w:rPr>
                <w:rFonts w:ascii="Times New Roman" w:hAnsi="Times New Roman" w:cs="Times New Roman"/>
              </w:rPr>
              <w:fldChar w:fldCharType="begin"/>
            </w:r>
            <w:r w:rsidR="006B0003" w:rsidRPr="00E42D74">
              <w:rPr>
                <w:rFonts w:ascii="Times New Roman" w:hAnsi="Times New Roman" w:cs="Times New Roman"/>
              </w:rPr>
              <w:instrText xml:space="preserve"> ADDIN ZOTERO_ITEM CSL_CITATION {"citationID":"3o1rEYTx","properties":{"formattedCitation":"[39]","plainCitation":"[39]","noteIndex":0},"citationItems":[{"id":17411,"uris":["http://zotero.org/users/16652950/items/BLSPQ37E"],"itemData":{"id":17411,"type":"article-journal","abstract":"Objective\nBetween January 2005 and July 2020, 171 rural hospitals closed across the United States. Little is known about the extent that other providers step in to fill the potential reduction in access from a rural hospital closure. The objective of this analysis is to evaluate the trends of Federally Qualified Health Centers (FQHCs) and Rural Health Clinics (RHCs) in rural areas prior to and following hospital closure.\n\nData Sources/Study Setting\nWe used publicly available data from Centers for Medicare and Medicaid Provider of Services files, Cecil G. Sheps Center rural hospital closures list, and Small Area Income and Poverty Estimates.\n\nStudy Design\nWe described the trends over time in the number of hospitals, hospital closures, FQHC sites, and RHCs in rural and urban ZIP codes, 2006–2018. We used two‐way fixed effects and pooled generalized linear models with a logit link to estimate the probabilities of having any RHC and any FQHC within 10 straight‐line miles.\n\nData Collection/Extraction Methods\nNot applicable.\n\nPrincipal Findings\nCompared to hospitals that never closed, the predicted probability of having any FQHC within 10 miles increased post closure by 5.95 and 11.57 percentage points at 1 year and 5 years, respectively (p &lt; 0.05). The predicted probability of having any RHC within 10 miles was not significantly different following rural hospital closure. A percentage point increase in poverty rate was associated with a 1.98 and a 1.29 percentage point increase in probabilities of having an FQHC or RHC, respectively (p &lt; 0.001).\n\nConclusions\nIn areas previously served by a rural hospital, there is a higher probability of new FQHC service‐delivery sites post closure. This suggests that some of the potential reductions in access to essential preventive and diagnostic services may be filled by FQHCs. However, many rural communities may have a persistent unmet need for preventive and therapeutic care.","container-title":"Health Services Research","DOI":"10.1111/1475-6773.13694","ISSN":"0017-9124","issue":"5","journalAbbreviation":"Health Serv Res","note":"PMID: 34173227\nPMCID: PMC8522564","page":"788-801","source":"PubMed Central","title":"Access to outpatient services in rural communities changes after hospital closure","volume":"56","author":[{"family":"Miller","given":"Katherine E. M."},{"family":"Miller","given":"Kyle L."},{"family":"Knocke","given":"Kathleen"},{"family":"Pink","given":"George H."},{"family":"Holmes","given":"G. Mark"},{"family":"Kaufman","given":"Brystana G."}],"issued":{"date-parts":[["2021",10]]}}}],"schema":"https://github.com/citation-style-language/schema/raw/master/csl-citation.json"} </w:instrText>
            </w:r>
            <w:r w:rsidR="006B0003" w:rsidRPr="00E42D74">
              <w:rPr>
                <w:rFonts w:ascii="Times New Roman" w:hAnsi="Times New Roman" w:cs="Times New Roman"/>
              </w:rPr>
              <w:fldChar w:fldCharType="separate"/>
            </w:r>
            <w:r w:rsidR="006B0003" w:rsidRPr="00E42D74">
              <w:rPr>
                <w:rFonts w:ascii="Times New Roman" w:hAnsi="Times New Roman" w:cs="Times New Roman"/>
              </w:rPr>
              <w:t>[39]</w:t>
            </w:r>
            <w:r w:rsidR="006B0003" w:rsidRPr="00E42D74">
              <w:rPr>
                <w:rFonts w:ascii="Times New Roman" w:hAnsi="Times New Roman" w:cs="Times New Roman"/>
              </w:rPr>
              <w:fldChar w:fldCharType="end"/>
            </w:r>
          </w:p>
        </w:tc>
      </w:tr>
      <w:tr w:rsidR="00C22BB7" w:rsidRPr="00E42D74" w14:paraId="18C23716"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457F0D8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Testing model</w:t>
            </w:r>
          </w:p>
        </w:tc>
        <w:tc>
          <w:tcPr>
            <w:tcW w:w="0" w:type="auto"/>
            <w:hideMark/>
          </w:tcPr>
          <w:p w14:paraId="3637CE5D"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Mail-in specimen collection</w:t>
            </w:r>
          </w:p>
        </w:tc>
        <w:tc>
          <w:tcPr>
            <w:tcW w:w="0" w:type="auto"/>
            <w:hideMark/>
          </w:tcPr>
          <w:p w14:paraId="15F48E18"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Point-of-care genotyping</w:t>
            </w:r>
          </w:p>
        </w:tc>
        <w:tc>
          <w:tcPr>
            <w:tcW w:w="0" w:type="auto"/>
            <w:hideMark/>
          </w:tcPr>
          <w:p w14:paraId="61FBED0F"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Mobile unit specimen collection</w:t>
            </w:r>
            <w:r w:rsidR="006B0003" w:rsidRPr="00E42D74">
              <w:rPr>
                <w:rFonts w:ascii="Times New Roman" w:hAnsi="Times New Roman" w:cs="Times New Roman"/>
              </w:rPr>
              <w:fldChar w:fldCharType="begin"/>
            </w:r>
            <w:r w:rsidR="006B0003" w:rsidRPr="00E42D74">
              <w:rPr>
                <w:rFonts w:ascii="Times New Roman" w:hAnsi="Times New Roman" w:cs="Times New Roman"/>
              </w:rPr>
              <w:instrText xml:space="preserve"> ADDIN ZOTERO_ITEM CSL_CITATION {"citationID":"W8eMQc52","properties":{"formattedCitation":"[40]","plainCitation":"[40]","noteIndex":0},"citationItems":[{"id":17414,"uris":["http://zotero.org/users/16652950/items/UUX9QCKG"],"itemData":{"id":17414,"type":"article-journal","abstract":"Timely and accurate diagnosis is critical for effective healthcare, yet nearly half the global population lacks access to basic diagnostics. Point-of-care (POC) testing offers partial solutions by enabling low-cost, rapid diagnosis at the patient’s location. At-home POC devices have the potential to advance preventive care and early disease detection. Nevertheless, effective sample preparation and detection methods are essential for accurate results. This review surveys recent advances in sample preparation and detection methods at POC. The goal is to provide an in-depth understanding of how these technologies can enhance at-home POC devices. Lateral flow assays, nucleic acid tests, and virus detection methods are at the forefront of POC diagnostic technology, offering rapid and sensitive tools for identifying and measuring pathogens, biomarkers, and viral infections. By illuminating cutting-edge research on assay development for POC diagnostics, this review aims to accelerate progress towards widely available, user-friendly, at-home health monitoring tools that empower individuals in personalized healthcare in the future., \n\n, This review covers recent advances in sample preparation and detection methods for point-of-care testing, aiming to accelerate progress towards at-home health monitoring for personalized healthcare in the future.","container-title":"Lab on a chip","DOI":"10.1039/d3lc00943b","ISSN":"1473-0197","issue":"15","journalAbbreviation":"Lab Chip","note":"PMID: 38952234\nPMCID: PMC11270053","page":"3626-3650","source":"PubMed Central","title":"Sample Preparation and Detection Methods in Point-of-Care Devices towards Future at-Home Testing","volume":"24","author":[{"family":"Adedokun","given":"George"},{"family":"Alipanah","given":"Morteza"},{"family":"Fan","given":"Z. Hugh"}],"issued":{"date-parts":[["2024",7,23]]}}}],"schema":"https://github.com/citation-style-language/schema/raw/master/csl-citation.json"} </w:instrText>
            </w:r>
            <w:r w:rsidR="006B0003" w:rsidRPr="00E42D74">
              <w:rPr>
                <w:rFonts w:ascii="Times New Roman" w:hAnsi="Times New Roman" w:cs="Times New Roman"/>
              </w:rPr>
              <w:fldChar w:fldCharType="separate"/>
            </w:r>
            <w:r w:rsidR="006B0003" w:rsidRPr="00E42D74">
              <w:rPr>
                <w:rFonts w:ascii="Times New Roman" w:hAnsi="Times New Roman" w:cs="Times New Roman"/>
              </w:rPr>
              <w:t>[40]</w:t>
            </w:r>
            <w:r w:rsidR="006B0003" w:rsidRPr="00E42D74">
              <w:rPr>
                <w:rFonts w:ascii="Times New Roman" w:hAnsi="Times New Roman" w:cs="Times New Roman"/>
              </w:rPr>
              <w:fldChar w:fldCharType="end"/>
            </w:r>
          </w:p>
        </w:tc>
      </w:tr>
      <w:tr w:rsidR="00C22BB7" w:rsidRPr="00E42D74" w14:paraId="6635FF6A"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C80A46"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Laboratory requirement</w:t>
            </w:r>
          </w:p>
        </w:tc>
        <w:tc>
          <w:tcPr>
            <w:tcW w:w="0" w:type="auto"/>
            <w:hideMark/>
          </w:tcPr>
          <w:p w14:paraId="2E3F23FB"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Centralized external lab</w:t>
            </w:r>
          </w:p>
        </w:tc>
        <w:tc>
          <w:tcPr>
            <w:tcW w:w="0" w:type="auto"/>
            <w:hideMark/>
          </w:tcPr>
          <w:p w14:paraId="4754141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On-site or near-site capability</w:t>
            </w:r>
          </w:p>
        </w:tc>
        <w:tc>
          <w:tcPr>
            <w:tcW w:w="0" w:type="auto"/>
            <w:hideMark/>
          </w:tcPr>
          <w:p w14:paraId="7F93DA98"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Centralized external lab</w:t>
            </w:r>
            <w:r w:rsidR="00882B73" w:rsidRPr="00E42D74">
              <w:rPr>
                <w:rFonts w:ascii="Times New Roman" w:hAnsi="Times New Roman" w:cs="Times New Roman"/>
              </w:rPr>
              <w:fldChar w:fldCharType="begin"/>
            </w:r>
            <w:r w:rsidR="00882B73" w:rsidRPr="00E42D74">
              <w:rPr>
                <w:rFonts w:ascii="Times New Roman" w:hAnsi="Times New Roman" w:cs="Times New Roman"/>
              </w:rPr>
              <w:instrText xml:space="preserve"> ADDIN ZOTERO_ITEM CSL_CITATION {"citationID":"2TmFP2re","properties":{"formattedCitation":"[41]","plainCitation":"[41]","noteIndex":0},"citationItems":[{"id":17417,"uris":["http://zotero.org/users/16652950/items/U2I22FBX"],"itemData":{"id":17417,"type":"article-journal","abstract":"Medical laboratories (MLs) are vital in global healthcare delivery, enhancing diagnostic accuracy and supporting clinical decision-making. This system...","container-title":"Laboratories","DOI":"10.3390/laboratories2010008","ISSN":"2813-8856","issue":"1","language":"en","license":"http://creativecommons.org/licenses/by/3.0/","note":"publisher: Multidisciplinary Digital Publishing Institute","source":"www.mdpi.com","title":"Medical Laboratories in Healthcare Delivery: A Systematic Review of Their Roles and Impact","title-short":"Medical Laboratories in Healthcare Delivery","URL":"https://www.mdpi.com/2813-8856/2/1/8","volume":"2","author":[{"family":"Adekoya","given":"Adebola"},{"family":"Okezue","given":"Mercy A."},{"family":"Menon","given":"Kavitha"}],"accessed":{"date-parts":[["2026",4,15]]},"issued":{"date-parts":[["2025",3,16]]}}}],"schema":"https://github.com/citation-style-language/schema/raw/master/csl-citation.json"} </w:instrText>
            </w:r>
            <w:r w:rsidR="00882B73" w:rsidRPr="00E42D74">
              <w:rPr>
                <w:rFonts w:ascii="Times New Roman" w:hAnsi="Times New Roman" w:cs="Times New Roman"/>
              </w:rPr>
              <w:fldChar w:fldCharType="separate"/>
            </w:r>
            <w:r w:rsidR="00882B73" w:rsidRPr="00E42D74">
              <w:rPr>
                <w:rFonts w:ascii="Times New Roman" w:hAnsi="Times New Roman" w:cs="Times New Roman"/>
              </w:rPr>
              <w:t>[41]</w:t>
            </w:r>
            <w:r w:rsidR="00882B73" w:rsidRPr="00E42D74">
              <w:rPr>
                <w:rFonts w:ascii="Times New Roman" w:hAnsi="Times New Roman" w:cs="Times New Roman"/>
              </w:rPr>
              <w:fldChar w:fldCharType="end"/>
            </w:r>
          </w:p>
        </w:tc>
      </w:tr>
      <w:tr w:rsidR="00C22BB7" w:rsidRPr="00E42D74" w14:paraId="3A7CEDE0"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40946BA3"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Turnaround time</w:t>
            </w:r>
          </w:p>
        </w:tc>
        <w:tc>
          <w:tcPr>
            <w:tcW w:w="0" w:type="auto"/>
            <w:hideMark/>
          </w:tcPr>
          <w:p w14:paraId="18F215CC"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Days</w:t>
            </w:r>
          </w:p>
        </w:tc>
        <w:tc>
          <w:tcPr>
            <w:tcW w:w="0" w:type="auto"/>
            <w:hideMark/>
          </w:tcPr>
          <w:p w14:paraId="1A3AF4D3"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Hours to same day</w:t>
            </w:r>
          </w:p>
        </w:tc>
        <w:tc>
          <w:tcPr>
            <w:tcW w:w="0" w:type="auto"/>
            <w:hideMark/>
          </w:tcPr>
          <w:p w14:paraId="62CF0197"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Days</w:t>
            </w:r>
            <w:r w:rsidR="006E0576" w:rsidRPr="00E42D74">
              <w:rPr>
                <w:rFonts w:ascii="Times New Roman" w:hAnsi="Times New Roman" w:cs="Times New Roman"/>
              </w:rPr>
              <w:fldChar w:fldCharType="begin"/>
            </w:r>
            <w:r w:rsidR="006E0576" w:rsidRPr="00E42D74">
              <w:rPr>
                <w:rFonts w:ascii="Times New Roman" w:hAnsi="Times New Roman" w:cs="Times New Roman"/>
              </w:rPr>
              <w:instrText xml:space="preserve"> ADDIN ZOTERO_ITEM CSL_CITATION {"citationID":"E43dDI5h","properties":{"formattedCitation":"[42]","plainCitation":"[42]","noteIndex":0},"citationItems":[{"id":17419,"uris":["http://zotero.org/users/16652950/items/UYJJQYGL"],"itemData":{"id":17419,"type":"article-journal","abstract":"Background, The timely delivery of laboratory reports is crucial for guiding medical decisions and ensuring optimal patient care. The efficiency of clinical laboratory services, measured by turnaround time (TAT), directly impacts patient outcomes. This study aimed to evaluate the TAT for biochemical and haematological investigations at AIIMS Patna, to identify areas for improvement., Methods, A descriptive cross-sectional study using Hospital Information System (HIS) data from January to March 2022 was undertaken. Only samples with same-day requisition and collection were included to avoid patient-related delays. A total of 201,552 analysable samples - 178,596 biochemistry (88.6%) and 22,956 haematology (11.4%) - were extracted. Time stamps for requisition, sample acceptance, result entry, and result validation were retrieved. TAT was quantified as pre-analytical (requisition to sample acceptance), analytical (acceptance to result entry), post-analytical (entry to validation), and total TAT. Median values, with 10th to 90th percentiles, were calculated. Additionally, awareness of TAT was assessed among 46 laboratory staff using a structured questionnaire., Results, Of 521,822 laboratory records retrieved from the HIS, 201,552 samples (38.6%) with complete and valid time-stamp data were available for analysis, after exclusion of records with implausible or negative time intervals. The overall median total TAT was 278 minutes (4 hours 38 minutes), with comparable median values for biochemistry (279 minutes) and haematology (273 minutes). Phase-wise analysis showed that the pre-analytical phase contributed approximately 56%, and the post-analytical phase 18%, of the total TAT, indicating that non-analytical processes accounted for nearly three-quarters of the overall delay. When analytical benchmarks were applied, 136,741 biochemistry samples (76.5%) met the &lt;90-minute criterion, and 16,305 haematology samples (71.1%) met the &lt;60-minute criterion. Operational factors contributing to delays were identified across outpatient and inpatient settings. The staff awareness assessment included 46 laboratory workers, 36 of whom were laboratory technicians (78.3%), and 10 of whom were phlebotomists (21.7%). Of these, 23 (50%) showed that they were aware of TAT., Conclusion, Evaluation of more than 200,000 investigations showed satisfactory analytical performance, but highlighted significant pre- and post-analytical delays, prolonging overall TAT. Strengthening HIS data capture, addressing workflow bottlenecks, and improving staff awareness are essential for optimising laboratory efficiency. The study establishes baseline TAT metrics for continuous quality improvement and enhanced patient care at AIIMS Patna.","container-title":"Cureus","DOI":"10.7759/cureus.100703","ISSN":"2168-8184","issue":"1","journalAbbreviation":"Cureus","note":"PMID: 41635349\nPMCID: PMC12863637","page":"e100703","source":"PubMed Central","title":"Turnaround Time of Laboratory Investigations and Factors Responsible for Delays in a Tertiary Care Teaching Hospital in Eastern India: A Cross-Sectional Study","title-short":"Turnaround Time of Laboratory Investigations and Factors Responsible for Delays in a Tertiary Care Teaching Hospital in Eastern India","volume":"18","author":[{"family":"K G","given":"Naveen"},{"family":"Ahmad","given":"Shamshad"},{"family":"Kumar","given":"Pragya"},{"family":"Mahto","given":"Mala"},{"family":"Bharti","given":"Shreekant"}]}}],"schema":"https://github.com/citation-style-language/schema/raw/master/csl-citation.json"} </w:instrText>
            </w:r>
            <w:r w:rsidR="006E0576" w:rsidRPr="00E42D74">
              <w:rPr>
                <w:rFonts w:ascii="Times New Roman" w:hAnsi="Times New Roman" w:cs="Times New Roman"/>
              </w:rPr>
              <w:fldChar w:fldCharType="separate"/>
            </w:r>
            <w:r w:rsidR="006E0576" w:rsidRPr="00E42D74">
              <w:rPr>
                <w:rFonts w:ascii="Times New Roman" w:hAnsi="Times New Roman" w:cs="Times New Roman"/>
              </w:rPr>
              <w:t>[42]</w:t>
            </w:r>
            <w:r w:rsidR="006E0576" w:rsidRPr="00E42D74">
              <w:rPr>
                <w:rFonts w:ascii="Times New Roman" w:hAnsi="Times New Roman" w:cs="Times New Roman"/>
              </w:rPr>
              <w:fldChar w:fldCharType="end"/>
            </w:r>
          </w:p>
        </w:tc>
      </w:tr>
      <w:tr w:rsidR="00C22BB7" w:rsidRPr="00E42D74" w14:paraId="348FB92D"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BE730E"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Workforce model</w:t>
            </w:r>
          </w:p>
        </w:tc>
        <w:tc>
          <w:tcPr>
            <w:tcW w:w="0" w:type="auto"/>
            <w:hideMark/>
          </w:tcPr>
          <w:p w14:paraId="5650C144"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Remote PGx-trained pharmacist</w:t>
            </w:r>
          </w:p>
        </w:tc>
        <w:tc>
          <w:tcPr>
            <w:tcW w:w="0" w:type="auto"/>
            <w:hideMark/>
          </w:tcPr>
          <w:p w14:paraId="73133E18"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Embedded pharmacist + prescriber collaboration</w:t>
            </w:r>
          </w:p>
        </w:tc>
        <w:tc>
          <w:tcPr>
            <w:tcW w:w="0" w:type="auto"/>
            <w:hideMark/>
          </w:tcPr>
          <w:p w14:paraId="44420A3E"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Mobile team + remote pharmacist</w:t>
            </w:r>
            <w:r w:rsidR="00100B18" w:rsidRPr="00E42D74">
              <w:rPr>
                <w:rFonts w:ascii="Times New Roman" w:hAnsi="Times New Roman" w:cs="Times New Roman"/>
              </w:rPr>
              <w:fldChar w:fldCharType="begin"/>
            </w:r>
            <w:r w:rsidR="00100B18" w:rsidRPr="00E42D74">
              <w:rPr>
                <w:rFonts w:ascii="Times New Roman" w:hAnsi="Times New Roman" w:cs="Times New Roman"/>
              </w:rPr>
              <w:instrText xml:space="preserve"> ADDIN ZOTERO_ITEM CSL_CITATION {"citationID":"cBD2qUgW","properties":{"formattedCitation":"[43]","plainCitation":"[43]","noteIndex":0},"citationItems":[{"id":17422,"uris":["http://zotero.org/users/16652950/items/WCLQNC5K"],"itemData":{"id":17422,"type":"article-journal","abstract":"This review explains how healthcare is changing to meet modern challenges such as chronic diseases and rising patient expectations. It describes how different professionals doctors, pharmacists, nurses, and others—work together as a team to improve care. The paper also shows how digital tools like electronic health records, telemedicine, and artificial intelligence make communication faster and safer between patients and providers. Real examples from countries such as Saudi Arabia, the United Kingdom, Canada, and Australia demonstrate how teamwork and technology help reduce medication errors, improve long-term disease control, and make healthcare more efficient and patient-centred. Overall, the review suggests that supporting pharmacists and using safe, connected digital systems can make care more coordinated and patient-centred across different health systems.","container-title":"Journal of Multidisciplinary Healthcare","DOI":"10.2147/JMDH.S576298","ISSN":"1178-2390","journalAbbreviation":"J Multidiscip Healthc","note":"PMID: 41710399\nPMCID: PMC12912030","page":"576298","source":"PubMed Central","title":"Digital Transformation and Team-Based Care: Pharmacists in Multidisciplinary Models – A Narrative Review","title-short":"Digital Transformation and Team-Based Care","volume":"19","author":[{"family":"Alshahrani","given":"Asma M"},{"family":"Vasudevan","given":"Rajalakshimi"},{"family":"Hmlan","given":"Amjad"},{"family":"Mohammed Assiri","given":"Abdullah"},{"family":"Asiri","given":"Ahmad Mohammed"},{"family":"Asiri","given":"Omar Ahmed M"},{"family":"Abduh Mashni","given":"Ali"}],"issued":{"date-parts":[["2026",2,11]]}}}],"schema":"https://github.com/citation-style-language/schema/raw/master/csl-citation.json"} </w:instrText>
            </w:r>
            <w:r w:rsidR="00100B18" w:rsidRPr="00E42D74">
              <w:rPr>
                <w:rFonts w:ascii="Times New Roman" w:hAnsi="Times New Roman" w:cs="Times New Roman"/>
              </w:rPr>
              <w:fldChar w:fldCharType="separate"/>
            </w:r>
            <w:r w:rsidR="00100B18" w:rsidRPr="00E42D74">
              <w:rPr>
                <w:rFonts w:ascii="Times New Roman" w:hAnsi="Times New Roman" w:cs="Times New Roman"/>
              </w:rPr>
              <w:t>[43]</w:t>
            </w:r>
            <w:r w:rsidR="00100B18" w:rsidRPr="00E42D74">
              <w:rPr>
                <w:rFonts w:ascii="Times New Roman" w:hAnsi="Times New Roman" w:cs="Times New Roman"/>
              </w:rPr>
              <w:fldChar w:fldCharType="end"/>
            </w:r>
          </w:p>
        </w:tc>
      </w:tr>
      <w:tr w:rsidR="00C22BB7" w:rsidRPr="00E42D74" w14:paraId="460AE592"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08BFC639"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Clinical integration</w:t>
            </w:r>
          </w:p>
        </w:tc>
        <w:tc>
          <w:tcPr>
            <w:tcW w:w="0" w:type="auto"/>
            <w:hideMark/>
          </w:tcPr>
          <w:p w14:paraId="40242823"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Telemedicine consultation</w:t>
            </w:r>
          </w:p>
        </w:tc>
        <w:tc>
          <w:tcPr>
            <w:tcW w:w="0" w:type="auto"/>
            <w:hideMark/>
          </w:tcPr>
          <w:p w14:paraId="46249FBB"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EHR-integrated CDS alerts</w:t>
            </w:r>
          </w:p>
        </w:tc>
        <w:tc>
          <w:tcPr>
            <w:tcW w:w="0" w:type="auto"/>
            <w:hideMark/>
          </w:tcPr>
          <w:p w14:paraId="06109AAF"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Telemedicine follow-up</w:t>
            </w:r>
            <w:r w:rsidR="00100B18" w:rsidRPr="00E42D74">
              <w:rPr>
                <w:rFonts w:ascii="Times New Roman" w:hAnsi="Times New Roman" w:cs="Times New Roman"/>
              </w:rPr>
              <w:fldChar w:fldCharType="begin"/>
            </w:r>
            <w:r w:rsidR="00100B18" w:rsidRPr="00E42D74">
              <w:rPr>
                <w:rFonts w:ascii="Times New Roman" w:hAnsi="Times New Roman" w:cs="Times New Roman"/>
              </w:rPr>
              <w:instrText xml:space="preserve"> ADDIN ZOTERO_ITEM CSL_CITATION {"citationID":"SNSncJ6O","properties":{"formattedCitation":"[44]","plainCitation":"[44]","noteIndex":0},"citationItems":[{"id":17424,"uris":["http://zotero.org/users/16652950/items/55SRFMJG"],"itemData":{"id":17424,"type":"article-journal","abstract":"Background: Pharmacogenomics (PGx) is a tool to guide optimal medication selection. Increased demand for personalized medicine and the growing occurrence of chronic diseases are drivers for pharmacogenomic medication management services. A review of implementation models identified a paucity of models delivering these services utilizing pharmacists in primary care. Lack of standardization of this process remains a barrier to widespread implementation within health systems., Purpose: Describe the process of developing an institutional guidance document and applying it to implement a pharmacogenomics medication management service at clinic sites within an integrated health system in the United States. Measure the growth in the number of PGx visits completed., Method: A task force of pharmacists reviewed literature, guidelines, and institutional policies to create a comprehensive guidance document. The document included six minimum practice requirements for implementation in the primary care setting, and six additional recommendations. A retrospective chart review of all face to face, phone and eConsult PGx visit types occurring from January 1, 2022 through September 30, 2022 was conducted., Results: A pharmacist-led pharmacogenomics medication management service is now offered at all primary care sites within the health system. During the study timeframe, 1378 patients had a PGx visit, resulting in 1939 PGx visits. Of those visits, 1777 (92%) were referred by a primary care provider and 1675 (86.7%) were conducted by a primary care pharmacist. Twenty-nine primary care pharmacists offered the PGX service and 25 (89%) completed at least one visit. Patients were referred by providers from 56 of the 64 (87.5%) primary care departments., Conclusions: Developing an institutional process and guidance document for the implementation of a new pharmacist-led pharmacogenomics medication management service at clinic sites within an integrated health system was beneficial in developing and standardizing the workflow. Dissemination of workflow expectations to the primary care providers and pharmacists resulted in adoption of the service.","container-title":"Innovations in Pharmacy","DOI":"10.24926/iip.v15i2.6178","ISSN":"2155-0417","issue":"2","journalAbbreviation":"Innov Pharm","note":"PMID: 39166145\nPMCID: PMC11333096","page":"10.24926/iip.v15i2.6178","source":"PubMed Central","title":"Implementing a Pharmacist-Led Primary Care Pharmacogenomics Medication Management Service","volume":"15","author":[{"family":"Taylor","given":"Kathryn"},{"family":"Umbreit","given":"Audrey"},{"family":"Lea","given":"Catherine"},{"family":"Holm","given":"Emily"},{"family":"Kosloski Tarpenning","given":"Kimberly"}],"issued":{"date-parts":[["2024",5,31]]}}}],"schema":"https://github.com/citation-style-language/schema/raw/master/csl-citation.json"} </w:instrText>
            </w:r>
            <w:r w:rsidR="00100B18" w:rsidRPr="00E42D74">
              <w:rPr>
                <w:rFonts w:ascii="Times New Roman" w:hAnsi="Times New Roman" w:cs="Times New Roman"/>
              </w:rPr>
              <w:fldChar w:fldCharType="separate"/>
            </w:r>
            <w:r w:rsidR="00100B18" w:rsidRPr="00E42D74">
              <w:rPr>
                <w:rFonts w:ascii="Times New Roman" w:hAnsi="Times New Roman" w:cs="Times New Roman"/>
              </w:rPr>
              <w:t>[44]</w:t>
            </w:r>
            <w:r w:rsidR="00100B18" w:rsidRPr="00E42D74">
              <w:rPr>
                <w:rFonts w:ascii="Times New Roman" w:hAnsi="Times New Roman" w:cs="Times New Roman"/>
              </w:rPr>
              <w:fldChar w:fldCharType="end"/>
            </w:r>
          </w:p>
        </w:tc>
      </w:tr>
      <w:tr w:rsidR="00C22BB7" w:rsidRPr="00E42D74" w14:paraId="33D0C85D"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15DC25"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Technology requirement</w:t>
            </w:r>
          </w:p>
        </w:tc>
        <w:tc>
          <w:tcPr>
            <w:tcW w:w="0" w:type="auto"/>
            <w:hideMark/>
          </w:tcPr>
          <w:p w14:paraId="00AB4393"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Minimal</w:t>
            </w:r>
          </w:p>
        </w:tc>
        <w:tc>
          <w:tcPr>
            <w:tcW w:w="0" w:type="auto"/>
            <w:hideMark/>
          </w:tcPr>
          <w:p w14:paraId="454C007F"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Moderate (EHR + CDS)</w:t>
            </w:r>
          </w:p>
        </w:tc>
        <w:tc>
          <w:tcPr>
            <w:tcW w:w="0" w:type="auto"/>
            <w:hideMark/>
          </w:tcPr>
          <w:p w14:paraId="0FBBD46B"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Minimal</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{"citationID":"RMDZj4HR","properties":{"formattedCitation":"[45]","plainCitation":"[45]","noteIndex":0},"citationItems":[{"id":17427,"uris":["http://zotero.org/users/16652950/items/6K4W6CTN"],"itemData":{"id":17427,"type":"article-journal","abstract":"Background\nThrough our work, we have demonstrated how clinical decision support (CDS) tools integrated into the electronic health record (EHR) assist providers in adopting evidence-based practices. This requires confronting technical challenges that result from relying on the EHR as the foundation for tool development; for example, the individual CDS tools need to be built independently for each different EHR.\n\nObjective\nThe objective of our research was to build and implement an EHR-agnostic platform for integrating CDS tools, which would remove the technical constraints inherent in relying on the EHR as the foundation and enable a single set of CDS tools that can work with any EHR.\n\nMethods\nWe developed EvidencePoint, a novel, cloud-based, EHR-agnostic CDS platform, and we will describe the development of EvidencePoint and the deployment of its initial CDS tools, which include EHR-integrated applications for clinical use cases such as prediction of hospitalization survival for patients with COVID-19, venous thromboembolism prophylaxis, and pulmonary embolism diagnosis.\n\nResults\nThe results below highlight the adoption of the CDS tools, the International Medical Prevention Registry on Venous Thromboembolism-D-Dimer, the Wells’ criteria, and the Northwell COVID-19 Survival (NOCOS), following development, usability testing, and implementation. The International Medical Prevention Registry on Venous Thromboembolism-D-Dimer CDS was used in 5249 patients at the 2 clinical intervention sites. The intervention group tool adoption was 77.8% (4083/5249 possible uses). For the NOCOS tool, which was designed to assist with triaging patients with COVID-19 for hospital admission in the event of constrained hospital resources, the worst-case resourcing scenario never materialized and triaging was never required. As a result, the NOCOS tool was not frequently used, though the EvidencePoint platform’s flexibility and customizability enabled the tool to be developed and deployed rapidly under the emergency conditions of the pandemic. Adoption rates for the Wells’ criteria tool will be reported in a future publication.\n\nConclusions\nThe EvidencePoint system successfully demonstrated that a flexible, user-friendly platform for hosting CDS tools outside of a specific EHR is feasible. The forthcoming results of our outcomes analyses will demonstrate the adoption rate of EvidencePoint tools as well as the impact of behavioral economics “nudges” on the adoption rate. Due to the EHR-agnostic nature of EvidencePoint, the development process for additional forms of CDS will be simpler than traditional and cumbersome IT integration approaches and will benefit from the capabilities provided by the core system of EvidencePoint.","container-title":"JMIR Formative Research","DOI":"10.2196/44065","ISSN":"2561-326X","journalAbbreviation":"JMIR Form Res","note":"PMID: 37856193\nPMCID: PMC10623239","page":"e44065","source":"PubMed Central","title":"Integrating Clinical Decision Support Into Electronic Health Record Systems Using a Novel Platform (EvidencePoint): Developmental Study","title-short":"Integrating Clinical Decision Support Into Electronic Health Record Systems Using a Novel Platform (EvidencePoint)","volume":"7","author":[{"family":"Solomon","given":"Jeffrey"},{"family":"Dauber-Decker","given":"Katherine"},{"family":"Richardson","given":"Safiya"},{"family":"Levy","given":"Sera"},{"family":"Khan","given":"Sundas"},{"family":"Coleman","given":"Benjamin"},{"family":"Persaud","given":"Rupert"},{"family":"Chelico","given":"John"},{"family":"King","given":"D'Arcy"},{"family":"Spyropoulos","given":"Alex"},{"family":"McGinn","given":"Thomas"}],"issued":{"date-parts":[["2023",10,19]]}}}],"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[45]</w:t>
            </w:r>
            <w:r w:rsidR="00095CE9" w:rsidRPr="00E42D74">
              <w:rPr>
                <w:rFonts w:ascii="Times New Roman" w:hAnsi="Times New Roman" w:cs="Times New Roman"/>
              </w:rPr>
              <w:fldChar w:fldCharType="end"/>
            </w:r>
          </w:p>
        </w:tc>
      </w:tr>
      <w:tr w:rsidR="00C22BB7" w:rsidRPr="00E42D74" w14:paraId="3B1E3A42" w14:textId="77777777" w:rsidTr="00FA57A3">
        <w:tc>
          <w:tcPr>
            <w:cnfStyle w:val="001000000000" w:firstRow="0" w:lastRow="0" w:firstColumn="1" w:lastColumn="0" w:oddVBand="0" w:evenVBand="0" w:oddHBand="0" w:evenHBand="0" w:firstRowFirstColumn="0" w:firstRowLastColumn="0" w:lastRowFirstColumn="0" w:lastRowLastColumn="0"/>
            <w:tcW w:w="0" w:type="auto"/>
            <w:hideMark/>
          </w:tcPr>
          <w:p w14:paraId="6BA37A2A"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Strengths</w:t>
            </w:r>
          </w:p>
        </w:tc>
        <w:tc>
          <w:tcPr>
            <w:tcW w:w="0" w:type="auto"/>
            <w:hideMark/>
          </w:tcPr>
          <w:p w14:paraId="79928A0D"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Low cost, easy to deploy</w:t>
            </w:r>
          </w:p>
        </w:tc>
        <w:tc>
          <w:tcPr>
            <w:tcW w:w="0" w:type="auto"/>
            <w:hideMark/>
          </w:tcPr>
          <w:p w14:paraId="05C70B0A"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Real-time decision support, workflow integration</w:t>
            </w:r>
          </w:p>
        </w:tc>
        <w:tc>
          <w:tcPr>
            <w:tcW w:w="0" w:type="auto"/>
            <w:hideMark/>
          </w:tcPr>
          <w:p w14:paraId="3FFF2AEA" w14:textId="77777777" w:rsidR="00C22BB7" w:rsidRPr="00E42D74" w:rsidRDefault="00C22BB7" w:rsidP="00760ABA">
            <w:pPr>
              <w:spacing w:after="160" w:line="27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Expands access to hard-to-reach populations</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{"citationID":"Udvp6OoO","properties":{"formattedCitation":"[46]","plainCitation":"[46]","noteIndex":0},"citationItems":[{"id":17429,"uris":["http://zotero.org/users/16652950/items/TAANKJW7"],"itemData":{"id":17429,"type":"article-journal","abstract":"Despite the great advances in the field of electronic health records (EHRs) over the past 25 years, implementation and adoption challenges persist, and the benefits realized remain below expectations. This scoping review aimed to present current knowledge about the effects of EHR implementation and the barriers to EHR adoption and use. A literature search was conducted in PubMed, Web of Science, IEEE Xplore Digital Library and ACM Digital Library for studies published between January 2005 and May 2020. In total, 7641 studies were identified of which 142 met the criteria and attained the consensus of all researchers on inclusion. Most studies (n = 91) were published between 2017 and 2019 and 81 studies had the United States as the country of origin. Both positive and negative effects of EHR implementation were identified, relating to clinical work, data and information, patient care and economic impact. Resource constraints, poor/insufficient training and technical/educational support for users, as well as poor literacy and skills in technology were the identified barriers to adoption and use that occurred frequently. Although this review did not conduct a quality analysis of the included papers, the lack of uniformity in the use of EHR definitions and detailed contextual information concerning the study settings could be observed.","container-title":"Life","DOI":"10.3390/life10120327","ISSN":"2075-1729","issue":"12","journalAbbreviation":"Life (Basel)","note":"PMID: 33291615\nPMCID: PMC7761950","page":"327","source":"PubMed Central","title":"Effects of Electronic Health Record Implementation and Barriers to Adoption and Use: A Scoping Review and Qualitative Analysis of the Content","title-short":"Effects of Electronic Health Record Implementation and Barriers to Adoption and Use","volume":"10","author":[{"family":"Tsai","given":"Chen Hsi"},{"family":"Eghdam","given":"Aboozar"},{"family":"Davoody","given":"Nadia"},{"family":"Wright","given":"Graham"},{"family":"Flowerday","given":"Stephen"},{"family":"Koch","given":"Sabine"}],"issued":{"date-parts":[["2020",12,4]]}}}],"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[46]</w:t>
            </w:r>
            <w:r w:rsidR="00095CE9" w:rsidRPr="00E42D74">
              <w:rPr>
                <w:rFonts w:ascii="Times New Roman" w:hAnsi="Times New Roman" w:cs="Times New Roman"/>
              </w:rPr>
              <w:fldChar w:fldCharType="end"/>
            </w:r>
          </w:p>
        </w:tc>
      </w:tr>
      <w:tr w:rsidR="00C22BB7" w:rsidRPr="00E42D74" w14:paraId="75399E27" w14:textId="77777777" w:rsidTr="00FA5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ADDB5C" w14:textId="77777777" w:rsidR="00C22BB7" w:rsidRPr="00E42D74" w:rsidRDefault="00C22BB7" w:rsidP="00760ABA">
            <w:pPr>
              <w:spacing w:after="160" w:line="278" w:lineRule="auto"/>
              <w:jc w:val="both"/>
              <w:rPr>
                <w:rFonts w:ascii="Times New Roman" w:hAnsi="Times New Roman" w:cs="Times New Roman"/>
              </w:rPr>
            </w:pPr>
            <w:r w:rsidRPr="00E42D74">
              <w:rPr>
                <w:rFonts w:ascii="Times New Roman" w:hAnsi="Times New Roman" w:cs="Times New Roman"/>
              </w:rPr>
              <w:t>Limitations</w:t>
            </w:r>
          </w:p>
        </w:tc>
        <w:tc>
          <w:tcPr>
            <w:tcW w:w="0" w:type="auto"/>
            <w:hideMark/>
          </w:tcPr>
          <w:p w14:paraId="55C502AE"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Delayed results, reliance on external lab</w:t>
            </w:r>
          </w:p>
        </w:tc>
        <w:tc>
          <w:tcPr>
            <w:tcW w:w="0" w:type="auto"/>
            <w:hideMark/>
          </w:tcPr>
          <w:p w14:paraId="0204B823"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Setup cost, training needs</w:t>
            </w:r>
          </w:p>
        </w:tc>
        <w:tc>
          <w:tcPr>
            <w:tcW w:w="0" w:type="auto"/>
            <w:hideMark/>
          </w:tcPr>
          <w:p w14:paraId="0A18D1E9" w14:textId="77777777" w:rsidR="00C22BB7" w:rsidRPr="00E42D74" w:rsidRDefault="00C22BB7" w:rsidP="00760ABA">
            <w:pPr>
              <w:spacing w:after="160" w:line="278"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42D74">
              <w:rPr>
                <w:rFonts w:ascii="Times New Roman" w:hAnsi="Times New Roman" w:cs="Times New Roman"/>
              </w:rPr>
              <w:t>Logistical complexity, scheduling</w:t>
            </w:r>
            <w:r w:rsidR="00095CE9" w:rsidRPr="00E42D74">
              <w:rPr>
                <w:rFonts w:ascii="Times New Roman" w:hAnsi="Times New Roman" w:cs="Times New Roman"/>
              </w:rPr>
              <w:fldChar w:fldCharType="begin"/>
            </w:r>
            <w:r w:rsidR="00095CE9" w:rsidRPr="00E42D74">
              <w:rPr>
                <w:rFonts w:ascii="Times New Roman" w:hAnsi="Times New Roman" w:cs="Times New Roman"/>
              </w:rPr>
              <w:instrText xml:space="preserve"> ADDIN ZOTERO_ITEM CSL_CITATION {"citationID":"AQamStW0","properties":{"formattedCitation":"[47]","plainCitation":"[47]","noteIndex":0},"citationItems":[{"id":17431,"uris":["http://zotero.org/users/16652950/items/UXTXPXRZ"],"itemData":{"id":17431,"type":"article-journal","abstract":"Background: The integration of drone technology into healthcare logistics presents a significant opportunity to enhance the speed, reliability, and ef...","container-title":"Logistics","DOI":"10.3390/logistics8040104","ISSN":"2305-6290","issue":"4","language":"en","license":"http://creativecommons.org/licenses/by/3.0/","note":"publisher: Multidisciplinary Digital Publishing Institute","source":"www.mdpi.com","title":"Current Advancements in Drone Technology for Medical Sample Transportation","URL":"https://www.mdpi.com/2305-6290/8/4/104","volume":"8","author":[{"family":"Stierlin","given":"Noel"},{"family":"Risch","given":"Martin"},{"family":"Risch","given":"Lorenz"}],"accessed":{"date-parts":[["2026",4,15]]},"issued":{"date-parts":[["2024",10,11]]}}}],"schema":"https://github.com/citation-style-language/schema/raw/master/csl-citation.json"} </w:instrText>
            </w:r>
            <w:r w:rsidR="00095CE9" w:rsidRPr="00E42D74">
              <w:rPr>
                <w:rFonts w:ascii="Times New Roman" w:hAnsi="Times New Roman" w:cs="Times New Roman"/>
              </w:rPr>
              <w:fldChar w:fldCharType="separate"/>
            </w:r>
            <w:r w:rsidR="00095CE9" w:rsidRPr="00E42D74">
              <w:rPr>
                <w:rFonts w:ascii="Times New Roman" w:hAnsi="Times New Roman" w:cs="Times New Roman"/>
              </w:rPr>
              <w:t>[47]</w:t>
            </w:r>
            <w:r w:rsidR="00095CE9" w:rsidRPr="00E42D74">
              <w:rPr>
                <w:rFonts w:ascii="Times New Roman" w:hAnsi="Times New Roman" w:cs="Times New Roman"/>
              </w:rPr>
              <w:fldChar w:fldCharType="end"/>
            </w:r>
          </w:p>
        </w:tc>
      </w:tr>
    </w:tbl>
    <w:p w14:paraId="3E752C14" w14:textId="77777777" w:rsidR="008202CE" w:rsidRPr="00E42D74" w:rsidRDefault="008202CE" w:rsidP="00760ABA">
      <w:pPr>
        <w:jc w:val="both"/>
        <w:rPr>
          <w:rFonts w:ascii="Times New Roman" w:hAnsi="Times New Roman" w:cs="Times New Roman"/>
          <w:b/>
          <w:bCs/>
        </w:rPr>
      </w:pPr>
    </w:p>
    <w:p w14:paraId="3028D7C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lastRenderedPageBreak/>
        <w:t>7. Implications for Implementation Science</w:t>
      </w:r>
    </w:p>
    <w:p w14:paraId="29EBB9D4"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framework presented in this review reflects a broader principle within implementation science: effective translation of clinical innovation depends on alignment with delivery context. Pharmacogenomics provides a clear example of this dynamic. Although the clinical evidence base is well established, variability in healthcare infrastructure has limited consistent adoption</w:t>
      </w:r>
      <w:r w:rsidR="009B0ACF" w:rsidRPr="00E42D74">
        <w:rPr>
          <w:rFonts w:ascii="Times New Roman" w:hAnsi="Times New Roman" w:cs="Times New Roman"/>
        </w:rPr>
        <w:fldChar w:fldCharType="begin"/>
      </w:r>
      <w:r w:rsidR="009B0ACF" w:rsidRPr="00E42D74">
        <w:rPr>
          <w:rFonts w:ascii="Times New Roman" w:hAnsi="Times New Roman" w:cs="Times New Roman"/>
        </w:rPr>
        <w:instrText xml:space="preserve"> ADDIN ZOTERO_ITEM CSL_CITATION {"citationID":"4g0xp3s5","properties":{"formattedCitation":"[26,48]","plainCitation":"[26,48]","noteIndex":0},"citationItems":[{"id":17384,"uris":["http://zotero.org/users/16652950/items/XX2Q8G45"],"itemData":{"id":17384,"type":"article-journal","abstract":"Considerable efforts have been exerted to implement Pharmacogenomics (PGx), the study of interindividual variations in DNA sequence related to drug response, into routine clinical practice. In this article, we first briefly describe PGx and its role in improving treatment outcomes. We then propose an approach to initiate clinical PGx in the hospital setting. One should first evaluate the available PGx evidence, review the most relevant drugs, and narrow down to the most actionable drug-gene pairs and related variant alleles. This is done based on data curated and evaluated by experts such as the pharmacogenomics knowledge implementation (PharmGKB) and the Clinical Pharmacogenetics Implementation Consortium (CPIC), as well as drug regulatory authorities such as the US Food and Drug Administration (FDA) and European Medicinal Agency (EMA). The next step is to differentiate reactive point of care from preemptive testing and decide on the genotyping strategy being a candidate or panel testing, each of which has its pros and cons, then work out the best way to interpret and report PGx test results with the option of integration into electronic health records and clinical decision support systems. After test authorization or testing requirements by the government or drug regulators, putting the plan into action involves several stakeholders, with the hospital leadership supporting the process and communicating with payers, the pharmacy and therapeutics committee leading the process in collaboration with the hospital laboratory and information technology department, and healthcare providers (HCPs) ordering the test, understanding the results, making the appropriate therapeutic decisions, and explaining them to the patient. We conclude by recommending some strategies to further advance the implementation of PGx in practice, such as the need to educate HCPs and patients, and to push for more tests’ reimbursement. We also guide the reader to available PGx resources and examples of PGx implementation programs and initiatives.","container-title":"Frontiers in Pharmacology","DOI":"10.3389/fphar.2023.1189976","ISSN":"1663-9812","journalAbbreviation":"Front Pharmacol","note":"PMID: 37274118\nPMCID: PMC10233068","page":"1189976","source":"PubMed Central","title":"Pharmacogenomics in practice: a review and implementation guide","title-short":"Pharmacogenomics in practice","volume":"14","author":[{"family":"Kabbani","given":"Danya"},{"family":"Akika","given":"Reem"},{"family":"Wahid","given":"Ahmed"},{"family":"Daly","given":"Ann K."},{"family":"Cascorbi","given":"Ingolf"},{"family":"Zgheib","given":"Nathalie Khoueiry"}],"issued":{"date-parts":[["2023",5,18]]}}},{"id":17433,"uris":["http://zotero.org/users/16652950/items/A4TPG5LP"],"itemData":{"id":17433,"type":"article-journal","abstract":"Personalized medicine tailors therapies, disease prevention, and health maintenance to the individual, with pharmacogenomics serving as a key tool to improve outcomes and prevent adverse effects. Advances in genomics have transformed pharmacogenetics, traditionally focused on single gene-drug pairs, into pharmacogenomics, encompassing all “-omics” fields (e.g., proteomics, transcriptomics, metabolomics, and metagenomics). This review summarizes basic genomics principles relevant to translation into therapies, assessing pharmacogenomics’ central role in converging diverse elements of personalized medicine. We discuss genetic variations in pharmacogenes (drug-metabolizing enzymes, drug transporters, and receptors), their clinical relevance as biomarkers, and the legacy of decades of research in pharmacogenetics. All types of therapies, including proteins, nucleic acids, viruses, cells, genes, and irradiation, can benefit from genomics, expanding the role of pharmacogenomics across medicine. Food and Drug Administration approvals of personalized therapeutics involving biomarkers increase rapidly, demonstrating the growing impact of pharmacogenomics. A beacon for all therapeutic approaches, molecularly targeted cancer therapies highlight trends in drug discovery and clinical applications. To account for human complexity, multicomponent biomarker panels encompassing genetic, personal, and environmental factors can guide diagnosis and therapies, increasingly involving artificial intelligence to cope with extreme data complexities. However, clinical application encounters substantial hurdles, such as unknown validity across ethnic groups, underlying bias in health care, and real-world validation. This review address the underlying science and technologies germane to pharmacogenomics and personalized medicine, integrated with economic, ethical, and regulatory issues, providing insights into the current status and future direction of health care.","container-title":"Pharmacological Reviews","DOI":"10.1124/pharmrev.122.000810","ISSN":"0031-6997","issue":"4","journalAbbreviation":"Pharmacol Rev","note":"PMID: 36927888\nPMCID: PMC10289244","page":"789-814","source":"PubMed Central","title":"Pharmacogenomics: Driving Personalized Medicine","title-short":"Pharmacogenomics","volume":"75","author":[{"family":"Sadee","given":"Wolfgang"},{"family":"Wang","given":"Danxin"},{"family":"Hartmann","given":"Katherine"},{"family":"Toland","given":"Amanda Ewart"}],"issued":{"date-parts":[["2023",7]]}}}],"schema":"https://github.com/citation-style-language/schema/raw/master/csl-citation.json"} </w:instrText>
      </w:r>
      <w:r w:rsidR="009B0ACF" w:rsidRPr="00E42D74">
        <w:rPr>
          <w:rFonts w:ascii="Times New Roman" w:hAnsi="Times New Roman" w:cs="Times New Roman"/>
        </w:rPr>
        <w:fldChar w:fldCharType="separate"/>
      </w:r>
      <w:r w:rsidR="009B0ACF" w:rsidRPr="00E42D74">
        <w:rPr>
          <w:rFonts w:ascii="Times New Roman" w:hAnsi="Times New Roman" w:cs="Times New Roman"/>
        </w:rPr>
        <w:t>[26,48]</w:t>
      </w:r>
      <w:r w:rsidR="009B0ACF" w:rsidRPr="00E42D74">
        <w:rPr>
          <w:rFonts w:ascii="Times New Roman" w:hAnsi="Times New Roman" w:cs="Times New Roman"/>
        </w:rPr>
        <w:fldChar w:fldCharType="end"/>
      </w:r>
      <w:r w:rsidRPr="00E42D74">
        <w:rPr>
          <w:rFonts w:ascii="Times New Roman" w:hAnsi="Times New Roman" w:cs="Times New Roman"/>
        </w:rPr>
        <w:t>. By explicitly stratifying implementation strategies according to institutional capacity, the proposed model advances a context-adaptive approach to care delivery.</w:t>
      </w:r>
    </w:p>
    <w:p w14:paraId="5344B223"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This perspective has implications beyond pharmacogenomics. Many precision medicine interventions face similar challenges, including dependence on specialized diagnostics, data interpretation, and integration into clinical workflows. Models that assume uniform infrastructure risk reinforcing disparities by favoring well-resourced settings. In contrast, capacity-aligned approaches enable incremental adoption and reduce barriers to entry for resource-constrained systems</w:t>
      </w:r>
      <w:r w:rsidR="005923A9" w:rsidRPr="00E42D74">
        <w:rPr>
          <w:rFonts w:ascii="Times New Roman" w:hAnsi="Times New Roman" w:cs="Times New Roman"/>
        </w:rPr>
        <w:fldChar w:fldCharType="begin"/>
      </w:r>
      <w:r w:rsidR="005923A9" w:rsidRPr="00E42D74">
        <w:rPr>
          <w:rFonts w:ascii="Times New Roman" w:hAnsi="Times New Roman" w:cs="Times New Roman"/>
        </w:rPr>
        <w:instrText xml:space="preserve"> ADDIN ZOTERO_ITEM CSL_CITATION {"citationID":"ieUnN0mp","properties":{"formattedCitation":"[49]","plainCitation":"[49]","noteIndex":0},"citationItems":[{"id":17436,"uris":["http://zotero.org/users/16652950/items/FYJZD8BS"],"itemData":{"id":17436,"type":"article-journal","abstract":"Pharmacogenomics (PGx) has emerged as a powerful tool to personalize drug selection and dosing based on a patient’s genetic profile. However, there ar...","container-title":"Journal of Personalized Medicine","DOI":"10.3390/jpm15070294","ISSN":"2075-4426","issue":"7","language":"en","license":"http://creativecommons.org/licenses/by/3.0/","note":"publisher: Multidisciplinary Digital Publishing Institute","source":"www.mdpi.com","title":"Clinician Experiences at the Frontier of Pharmacogenomics and Future Directions","URL":"https://www.mdpi.com/2075-4426/15/7/294","volume":"15","author":[{"family":"Thottunkal","given":"Stefan"},{"family":"Spahn","given":"Claire"},{"family":"Wang","given":"Benjamin"},{"family":"Rohatgi","given":"Nidhi"},{"family":"Hong","given":"Jison"},{"family":"Khandelwal","given":"Abha"},{"family":"Palaniappan","given":"Latha"}],"accessed":{"date-parts":[["2026",4,15]]},"issued":{"date-parts":[["2025",7,6]]}}}],"schema":"https://github.com/citation-style-language/schema/raw/master/csl-citation.json"} </w:instrText>
      </w:r>
      <w:r w:rsidR="005923A9" w:rsidRPr="00E42D74">
        <w:rPr>
          <w:rFonts w:ascii="Times New Roman" w:hAnsi="Times New Roman" w:cs="Times New Roman"/>
        </w:rPr>
        <w:fldChar w:fldCharType="separate"/>
      </w:r>
      <w:r w:rsidR="005923A9" w:rsidRPr="00E42D74">
        <w:rPr>
          <w:rFonts w:ascii="Times New Roman" w:hAnsi="Times New Roman" w:cs="Times New Roman"/>
        </w:rPr>
        <w:t>[49]</w:t>
      </w:r>
      <w:r w:rsidR="005923A9" w:rsidRPr="00E42D74">
        <w:rPr>
          <w:rFonts w:ascii="Times New Roman" w:hAnsi="Times New Roman" w:cs="Times New Roman"/>
        </w:rPr>
        <w:fldChar w:fldCharType="end"/>
      </w:r>
      <w:r w:rsidRPr="00E42D74">
        <w:rPr>
          <w:rFonts w:ascii="Times New Roman" w:hAnsi="Times New Roman" w:cs="Times New Roman"/>
        </w:rPr>
        <w:t>.</w:t>
      </w:r>
    </w:p>
    <w:p w14:paraId="0D72C46E"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Scalability is a central consideration. The tiered structure supports phased implementation, allowing institutions to adopt strategies appropriate to their current capabilities while providing a pathway for progression as infrastructure develops. This flexibility contrasts with fixed models that require full resource availability at the outset. By decoupling clinical value from infrastructure intensity, the framework supports broader dissemination of innovation across heterogeneous health systems</w:t>
      </w:r>
      <w:r w:rsidR="005923A9" w:rsidRPr="00E42D74">
        <w:rPr>
          <w:rFonts w:ascii="Times New Roman" w:hAnsi="Times New Roman" w:cs="Times New Roman"/>
        </w:rPr>
        <w:fldChar w:fldCharType="begin"/>
      </w:r>
      <w:r w:rsidR="005923A9" w:rsidRPr="00E42D74">
        <w:rPr>
          <w:rFonts w:ascii="Times New Roman" w:hAnsi="Times New Roman" w:cs="Times New Roman"/>
        </w:rPr>
        <w:instrText xml:space="preserve"> ADDIN ZOTERO_ITEM CSL_CITATION {"citationID":"mDg42n8A","properties":{"formattedCitation":"[32]","plainCitation":"[32]","noteIndex":0},"citationItems":[{"id":10644,"uris":["http://zotero.org/users/16652950/items/5PCRYT5A"],"itemData":{"id":10644,"type":"article-journal","abstract":"Complex health interventions (CHIs) are increasingly used in public health, clinical research and education to reduce the burden of disease worldwide. Numerous theories, models and frameworks (TMFs) have been developed to support implementation of CHIs.","container-title":"Implementation Science","DOI":"10.1186/s13012-024-01375-7","ISSN":"1748-5908","issue":"1","journalAbbreviation":"Implementation Science","page":"52","source":"BioMed Central","title":"Adaptability, Scalability and Sustainability (ASaS) of complex health interventions: a systematic review of theories, models and frameworks","title-short":"Adaptability, Scalability and Sustainability (ASaS) of complex health interventions","volume":"19","author":[{"family":"Sun","given":"Lixin"},{"family":"Booth","given":"Andrew"},{"family":"Sworn","given":"Katie"}],"issued":{"date-parts":[["2024",7,17]]}}}],"schema":"https://github.com/citation-style-language/schema/raw/master/csl-citation.json"} </w:instrText>
      </w:r>
      <w:r w:rsidR="005923A9" w:rsidRPr="00E42D74">
        <w:rPr>
          <w:rFonts w:ascii="Times New Roman" w:hAnsi="Times New Roman" w:cs="Times New Roman"/>
        </w:rPr>
        <w:fldChar w:fldCharType="separate"/>
      </w:r>
      <w:r w:rsidR="005923A9" w:rsidRPr="00E42D74">
        <w:rPr>
          <w:rFonts w:ascii="Times New Roman" w:hAnsi="Times New Roman" w:cs="Times New Roman"/>
        </w:rPr>
        <w:t>[32]</w:t>
      </w:r>
      <w:r w:rsidR="005923A9" w:rsidRPr="00E42D74">
        <w:rPr>
          <w:rFonts w:ascii="Times New Roman" w:hAnsi="Times New Roman" w:cs="Times New Roman"/>
        </w:rPr>
        <w:fldChar w:fldCharType="end"/>
      </w:r>
      <w:r w:rsidRPr="00E42D74">
        <w:rPr>
          <w:rFonts w:ascii="Times New Roman" w:hAnsi="Times New Roman" w:cs="Times New Roman"/>
        </w:rPr>
        <w:t>.</w:t>
      </w:r>
    </w:p>
    <w:p w14:paraId="06E67007"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8. Policy and Health System Implications</w:t>
      </w:r>
    </w:p>
    <w:p w14:paraId="51647BA2"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proposed framework aligns with ongoing national efforts to expand access to precision medicine and reduce healthcare disparities. The U.S. Food and Drug Administration continues to incorporate pharmacogenomic information into drug labeling, reinforcing the clinical relevance of genotype-informed prescribing. The Health Resources and Services Administration prioritizes improving access to care in rural and underserved communities, while initiatives supported by the National Institutes of Health emphasize the translation of genomic research into clinical benefit</w:t>
      </w:r>
      <w:r w:rsidR="00A955C1" w:rsidRPr="00E42D74">
        <w:rPr>
          <w:rFonts w:ascii="Times New Roman" w:hAnsi="Times New Roman" w:cs="Times New Roman"/>
        </w:rPr>
        <w:fldChar w:fldCharType="begin"/>
      </w:r>
      <w:r w:rsidR="00A955C1" w:rsidRPr="00E42D74">
        <w:rPr>
          <w:rFonts w:ascii="Times New Roman" w:hAnsi="Times New Roman" w:cs="Times New Roman"/>
        </w:rPr>
        <w:instrText xml:space="preserve"> ADDIN ZOTERO_ITEM CSL_CITATION {"citationID":"jDcny5sU","properties":{"formattedCitation":"[50,51]","plainCitation":"[50,51]","noteIndex":0},"citationItems":[{"id":17438,"uris":["http://zotero.org/users/16652950/items/PVLCDBYC"],"itemData":{"id":17438,"type":"article-journal","abstract":"Pharmacogenomics is rapidly transforming precision medicine, yet regulatory policies governing its implementation vary widely across countries. This review aims to provide a global perspective on pharmacogenomics guidelines, with a particular focus on high-risk drug reactions such as carbamazepine therapy-induced severe cutaneous adverse reactions. Carbamazepine was selected as a representative example due to its inclusion on the World Health Organization’s essential medicines list and its well-documented association with high-risk alleles, which are linked to severe cutaneous adverse reactions such as Stevens-Johnson Syndrome and Toxic Epidermal Necrolysis—conditions with significant mortality rates. Two databases, Overton and Dimensions, were searched to identify relevant national guidelines and policy documents in English. Countries were identified based on document availability and access to governmental sources. The review revealed that all examined countries recognized genetic variation in carbamazepine response within their guidelines, showing notable consistency. However, religious implications related to pharmacogenomics were largely absent. The findings also indicated a growing global momentum toward integrating pharmacogenomics into healthcare systems, although the depth and scope of regulation differ. The United States stands out for its comprehensive pharmacogenomics policy framework, which extends to clinical and industry settings. Lessons from the U.S. model can inform policy development in other regions, tailored to each country’s healthcare infrastructure and cultural context. In conclusion, global harmonization of pharmacogenomics policies is essential to foster international collaboration, enable data sharing, and enhance the safe and equitable implementation of pharmacogenomics in clinical practice.","container-title":"European Journal of Human Genetics","DOI":"10.1038/s41431-025-01950-6","ISSN":"1018-4813","issue":"1","journalAbbreviation":"Eur J Hum Genet","note":"PMID: 40993225\nPMCID: PMC12815907","page":"27-36","source":"PubMed Central","title":"Pharmacogenomics in drug therapy: global regulatory guidelines for managing high-risk drug reactions","title-short":"Pharmacogenomics in drug therapy","volume":"34","author":[{"family":"Omran","given":"Safa"},{"family":"Gan","given":"Siew Hua"},{"family":"Teoh","given":"Siew Li"}],"issued":{"date-parts":[["2026",1]]}}},{"id":17440,"uris":["http://zotero.org/users/16652950/items/ERQY5PBD"],"itemData":{"id":17440,"type":"article-journal","abstract":"Background/Objectives: The clinical implementation of pharmacogenetics (PGx) remains limited, even for well-established drug–gene interactions. In add...","container-title":"Journal of Personalized Medicine","DOI":"10.3390/jpm15060245","ISSN":"2075-4426","issue":"6","language":"en","license":"http://creativecommons.org/licenses/by/3.0/","note":"publisher: Multidisciplinary Digital Publishing Institute","source":"www.mdpi.com","title":"Clinical Pharmacogenetics: Results After Implementation of Preemptive Tests in Daily Routine","title-short":"Clinical Pharmacogenetics","URL":"https://www.mdpi.com/2075-4426/15/6/245","volume":"15","author":[{"family":"Díaz-Villamarín","given":"Xando"},{"family":"Martínez-Pérez","given":"María"},{"family":"Nieto-Sánchez","given":"María Teresa"},{"family":"Fernández-Varón","given":"Emilio"},{"family":"Torres-García","given":"Alicia"},{"family":"Blancas","given":"Isabel"},{"family":"Cabeza-Barrera","given":"José"},{"family":"Morón","given":"Rocío"}],"accessed":{"date-parts":[["2026",4,15]]},"issued":{"date-parts":[["2025",6,9]]}}}],"schema":"https://github.com/citation-style-language/schema/raw/master/csl-citation.json"} </w:instrText>
      </w:r>
      <w:r w:rsidR="00A955C1" w:rsidRPr="00E42D74">
        <w:rPr>
          <w:rFonts w:ascii="Times New Roman" w:hAnsi="Times New Roman" w:cs="Times New Roman"/>
        </w:rPr>
        <w:fldChar w:fldCharType="separate"/>
      </w:r>
      <w:r w:rsidR="00A955C1" w:rsidRPr="00E42D74">
        <w:rPr>
          <w:rFonts w:ascii="Times New Roman" w:hAnsi="Times New Roman" w:cs="Times New Roman"/>
        </w:rPr>
        <w:t>[50,51]</w:t>
      </w:r>
      <w:r w:rsidR="00A955C1" w:rsidRPr="00E42D74">
        <w:rPr>
          <w:rFonts w:ascii="Times New Roman" w:hAnsi="Times New Roman" w:cs="Times New Roman"/>
        </w:rPr>
        <w:fldChar w:fldCharType="end"/>
      </w:r>
      <w:r w:rsidRPr="00E42D74">
        <w:rPr>
          <w:rFonts w:ascii="Times New Roman" w:hAnsi="Times New Roman" w:cs="Times New Roman"/>
        </w:rPr>
        <w:t>.</w:t>
      </w:r>
    </w:p>
    <w:p w14:paraId="16E7CD72"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Integrating pharmacogenomics into these policy frameworks requires delivery models that are feasible across diverse healthcare environments. An infrastructure-adaptive approach provides a mechanism to extend the benefits of pharmacogenomics beyond academic medical centers to populations that have historically been excluded. By aligning implementation strategies with system capacity, the framework supports more equitable distribution of precision medicine services</w:t>
      </w:r>
      <w:r w:rsidR="00A955C1" w:rsidRPr="00E42D74">
        <w:rPr>
          <w:rFonts w:ascii="Times New Roman" w:hAnsi="Times New Roman" w:cs="Times New Roman"/>
        </w:rPr>
        <w:fldChar w:fldCharType="begin"/>
      </w:r>
      <w:r w:rsidR="00A955C1" w:rsidRPr="00E42D74">
        <w:rPr>
          <w:rFonts w:ascii="Times New Roman" w:hAnsi="Times New Roman" w:cs="Times New Roman"/>
        </w:rPr>
        <w:instrText xml:space="preserve"> ADDIN ZOTERO_ITEM CSL_CITATION {"citationID":"PK8BdeUR","properties":{"formattedCitation":"[5,50]","plainCitation":"[5,50]","noteIndex":0},"citationItems":[{"id":17335,"uris":["http://zotero.org/users/16652950/items/5WSZHLHB"],"itemData":{"id":17335,"type":"article-journal","abstract":"Adverse drug reactions (ADRs) are responsible for a significant proportion of hospitalizations globally, and represent a significant, yet partially preventable, burden on public health systems, particularly in resource-limited and low- and middle-income countries (LMICs), where chronic diseases and polypharmacy are highly prevalent. Pharmacogenomics (PGx), through targeted gene panels on drug-gene interactions, has shown potential to reduce ADRs, and improve prescription safety in health systems. The central hypothesis of this article is that the gradual implementation of panel-based pharmacogenomics within public health services in LMICs is possible, ethically justifiable, and potentially cost-effective, when adapted within regulatory, epidemiological, and infrastructural conditions in each region. Using Mexico as a representative case study within the global context, this manuscript synthesizes the international implementation experience and proposes a conceptual and operational framework for the gradual integration of PGx in Public Health Institutions. Estimated hypothetical projections of the clinical and economic potential impact discussed in this article—such as the potential reduction in preventable ADR-related hospitalizations and associated costs—are illustrative and inferential, based on international evidence, and not as empirically demonstrated results within the Mexican health system. The proposed model puts emphasis on scalability, regulatory framework, ethical oversight, and equity-oriented implementation as its core principles. Through the development of a hypothetical policy-relevant model, this article seeks to serve as a basis for the implementation of future pilot programs, empirical evaluations and evidence-based decisions regarding the integration of pharmacogenomics into public health services in Mexico and in similar regions of resource-limited LMICS.","container-title":"Frontiers in Public Health","DOI":"10.3389/fpubh.2026.1748704","ISSN":"2296-2565","journalAbbreviation":"Front. Public Health","language":"English","note":"publisher: Frontiers","source":"Frontiers","title":"The critical need to implement pharmacogenomics in public health services: Mexico in the global picture","title-short":"The critical need to implement pharmacogenomics in public health services","URL":"https://www.frontiersin.org/journals/public-health/articles/10.3389/fpubh.2026.1748704/full","volume":"14","author":[{"family":"Perezcano","given":"Carlos"}],"accessed":{"date-parts":[["2026",4,15]]},"issued":{"date-parts":[["2026",3,5]]}}},{"id":17438,"uris":["http://zotero.org/users/16652950/items/PVLCDBYC"],"itemData":{"id":17438,"type":"article-journal","abstract":"Pharmacogenomics is rapidly transforming precision medicine, yet regulatory policies governing its implementation vary widely across countries. This review aims to provide a global perspective on pharmacogenomics guidelines, with a particular focus on high-risk drug reactions such as carbamazepine therapy-induced severe cutaneous adverse reactions. Carbamazepine was selected as a representative example due to its inclusion on the World Health Organization’s essential medicines list and its well-documented association with high-risk alleles, which are linked to severe cutaneous adverse reactions such as Stevens-Johnson Syndrome and Toxic Epidermal Necrolysis—conditions with significant mortality rates. Two databases, Overton and Dimensions, were searched to identify relevant national guidelines and policy documents in English. Countries were identified based on document availability and access to governmental sources. The review revealed that all examined countries recognized genetic variation in carbamazepine response within their guidelines, showing notable consistency. However, religious implications related to pharmacogenomics were largely absent. The findings also indicated a growing global momentum toward integrating pharmacogenomics into healthcare systems, although the depth and scope of regulation differ. The United States stands out for its comprehensive pharmacogenomics policy framework, which extends to clinical and industry settings. Lessons from the U.S. model can inform policy development in other regions, tailored to each country’s healthcare infrastructure and cultural context. In conclusion, global harmonization of pharmacogenomics policies is essential to foster international collaboration, enable data sharing, and enhance the safe and equitable implementation of pharmacogenomics in clinical practice.","container-title":"European Journal of Human Genetics","DOI":"10.1038/s41431-025-01950-6","ISSN":"1018-4813","issue":"1","journalAbbreviation":"Eur J Hum Genet","note":"PMID: 40993225\nPMCID: PMC12815907","page":"27-36","source":"PubMed Central","title":"Pharmacogenomics in drug therapy: global regulatory guidelines for managing high-risk drug reactions","title-short":"Pharmacogenomics in drug therapy","volume":"34","author":[{"family":"Omran","given":"Safa"},{"family":"Gan","given":"Siew Hua"},{"family":"Teoh","given":"Siew Li"}],"issued":{"date-parts":[["2026",1]]}}}],"schema":"https://github.com/citation-style-language/schema/raw/master/csl-citation.json"} </w:instrText>
      </w:r>
      <w:r w:rsidR="00A955C1" w:rsidRPr="00E42D74">
        <w:rPr>
          <w:rFonts w:ascii="Times New Roman" w:hAnsi="Times New Roman" w:cs="Times New Roman"/>
        </w:rPr>
        <w:fldChar w:fldCharType="separate"/>
      </w:r>
      <w:r w:rsidR="00A955C1" w:rsidRPr="00E42D74">
        <w:rPr>
          <w:rFonts w:ascii="Times New Roman" w:hAnsi="Times New Roman" w:cs="Times New Roman"/>
        </w:rPr>
        <w:t>[5,50]</w:t>
      </w:r>
      <w:r w:rsidR="00A955C1" w:rsidRPr="00E42D74">
        <w:rPr>
          <w:rFonts w:ascii="Times New Roman" w:hAnsi="Times New Roman" w:cs="Times New Roman"/>
        </w:rPr>
        <w:fldChar w:fldCharType="end"/>
      </w:r>
      <w:r w:rsidRPr="00E42D74">
        <w:rPr>
          <w:rFonts w:ascii="Times New Roman" w:hAnsi="Times New Roman" w:cs="Times New Roman"/>
        </w:rPr>
        <w:t>.</w:t>
      </w:r>
    </w:p>
    <w:p w14:paraId="55C14ED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From a health system perspective, the potential for cost reduction is closely tied to the prevention of adverse drug reactions and improved medication effectiveness. Although upfront investment is required, particularly in training and workflow integration, these costs may be offset by reductions in hospitalizations, treatment failures, and inefficient prescribing. A scalable model that can be </w:t>
      </w:r>
      <w:r w:rsidRPr="00E42D74">
        <w:rPr>
          <w:rFonts w:ascii="Times New Roman" w:hAnsi="Times New Roman" w:cs="Times New Roman"/>
        </w:rPr>
        <w:lastRenderedPageBreak/>
        <w:t>deployed across settings with varying resources strengthens the economic case for broader adoption</w:t>
      </w:r>
      <w:r w:rsidR="006D009A" w:rsidRPr="00E42D74">
        <w:rPr>
          <w:rFonts w:ascii="Times New Roman" w:hAnsi="Times New Roman" w:cs="Times New Roman"/>
        </w:rPr>
        <w:fldChar w:fldCharType="begin"/>
      </w:r>
      <w:r w:rsidR="006D009A" w:rsidRPr="00E42D74">
        <w:rPr>
          <w:rFonts w:ascii="Times New Roman" w:hAnsi="Times New Roman" w:cs="Times New Roman"/>
        </w:rPr>
        <w:instrText xml:space="preserve"> ADDIN ZOTERO_ITEM CSL_CITATION {"citationID":"PCTMxEnF","properties":{"formattedCitation":"[52]","plainCitation":"[52]","noteIndex":0},"citationItems":[{"id":17442,"uris":["http://zotero.org/users/16652950/items/GH6SSPNJ"],"itemData":{"id":17442,"type":"article-journal","abstract":", Point your SmartPhone at the code above. If you have a QR code reader the video abstract will appear. Or use: https://youtu.be/nT21x0TORHU.,","container-title":"Integrated Pharmacy Research &amp; Practice","DOI":"10.2147/IPRP.S526485","ISSN":"2230-5254","journalAbbreviation":"Integr Pharm Res Pract","note":"PMID: 41048993\nPMCID: PMC12493107","page":"137-147","source":"PubMed Central","title":"A Retrospective Study on the Impact and Benefits of Commercial Clinical Decision Support Systems in Clinical Decision-Making and Pharmaceutical Care","volume":"14","author":[{"family":"Wu","given":"Lu-Hsuan"},{"family":"Liou","given":"I-Ling"},{"family":"Kao Yang","given":"Yea-Huei"},{"family":"Cheng","given":"Ching-Lan"}],"issued":{"date-parts":[["2025",9,29]]}}}],"schema":"https://github.com/citation-style-language/schema/raw/master/csl-citation.json"} </w:instrText>
      </w:r>
      <w:r w:rsidR="006D009A" w:rsidRPr="00E42D74">
        <w:rPr>
          <w:rFonts w:ascii="Times New Roman" w:hAnsi="Times New Roman" w:cs="Times New Roman"/>
        </w:rPr>
        <w:fldChar w:fldCharType="separate"/>
      </w:r>
      <w:r w:rsidR="006D009A" w:rsidRPr="00E42D74">
        <w:rPr>
          <w:rFonts w:ascii="Times New Roman" w:hAnsi="Times New Roman" w:cs="Times New Roman"/>
        </w:rPr>
        <w:t>[52]</w:t>
      </w:r>
      <w:r w:rsidR="006D009A" w:rsidRPr="00E42D74">
        <w:rPr>
          <w:rFonts w:ascii="Times New Roman" w:hAnsi="Times New Roman" w:cs="Times New Roman"/>
        </w:rPr>
        <w:fldChar w:fldCharType="end"/>
      </w:r>
      <w:r w:rsidRPr="00E42D74">
        <w:rPr>
          <w:rFonts w:ascii="Times New Roman" w:hAnsi="Times New Roman" w:cs="Times New Roman"/>
        </w:rPr>
        <w:t>.</w:t>
      </w:r>
    </w:p>
    <w:p w14:paraId="73FAE320"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9. Future Directions</w:t>
      </w:r>
    </w:p>
    <w:p w14:paraId="7AE82BF9"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Further work is needed to translate the proposed framework into validated practice. Prospective implementation studies across settings representing each tier are essential to evaluate feasibility, clinical outcomes, and patient and provider experience. Comparative analyses examining differences in effectiveness and cost across tiers would provide critical evidence to guide policy and institutional decision-making</w:t>
      </w:r>
      <w:r w:rsidR="00143CFD" w:rsidRPr="00E42D74">
        <w:rPr>
          <w:rFonts w:ascii="Times New Roman" w:hAnsi="Times New Roman" w:cs="Times New Roman"/>
        </w:rPr>
        <w:fldChar w:fldCharType="begin"/>
      </w:r>
      <w:r w:rsidR="00143CFD" w:rsidRPr="00E42D74">
        <w:rPr>
          <w:rFonts w:ascii="Times New Roman" w:hAnsi="Times New Roman" w:cs="Times New Roman"/>
        </w:rPr>
        <w:instrText xml:space="preserve"> ADDIN ZOTERO_ITEM CSL_CITATION {"citationID":"PR7csAmv","properties":{"formattedCitation":"[53]","plainCitation":"[53]","noteIndex":0},"citationItems":[{"id":17445,"uris":["http://zotero.org/users/16652950/items/KECXCQ6F"],"itemData":{"id":17445,"type":"article-journal","abstract":"Implementation assessment plans are crucial for clinical trials to achieve their full potential. Without a proactive plan to implement trial results, it can take decades for one-fifth of effective interventions to be adopted into routine care settings. The Veterans Health Administration Office of Research and Development is undergoing a systematic transformation to embed implementation planning in research protocols through the Cooperative Studies Program, its flagship clinical research program. This manuscript has two objectives: 1) to introduce an Implementation Planning Assessment (IPA) Tool that any clinical trialist may use to facilitate post-trial implementation of interventions found to be effective and 2) to provide a case study demonstrating the IPA Tool’s use. The IPA Tool encourages study designers to initially consider rigorous data collection to maximize acceptability of the intervention by end-users. It also helps identify and prepare potential interested parties at local and national leadership levels to ensure, upon trial completion, interventions can be integrated into programs, technologies, and policies in a sustainable way. The IPA Tool can alleviate some of the overwhelming nature of implementation science by providing a practical guide based on implementation science principles for researchers desiring to scale up and spread effective, clinical trial-tested interventions to benefit patients.","container-title":"Journal of Clinical and Translational Science","DOI":"10.1017/cts.2022.467","ISSN":"2059-8661","issue":"1","journalAbbreviation":"J Clin Transl Sci","note":"PMID: 36590355\nPMCID: PMC9794955","page":"e131","source":"PubMed Central","title":"Facilitating future implementation and translation to clinical practice: The Implementation Planning Assessment Tool for clinical trials","title-short":"Facilitating future implementation and translation to clinical practice","volume":"6","author":[{"family":"Kowalski","given":"Christine P."},{"family":"Kawentel","given":"Linda M."},{"family":"Kyriakides","given":"Tassos C."},{"family":"Davis","given":"Lori"},{"family":"Bowersox","given":"Nicholas W."},{"family":"Kilbourne","given":"Amy M."},{"family":"Huang","given":"Grant D."},{"family":"Nevedal","given":"Andrea L."}]}}],"schema":"https://github.com/citation-style-language/schema/raw/master/csl-citation.json"} </w:instrText>
      </w:r>
      <w:r w:rsidR="00143CFD" w:rsidRPr="00E42D74">
        <w:rPr>
          <w:rFonts w:ascii="Times New Roman" w:hAnsi="Times New Roman" w:cs="Times New Roman"/>
        </w:rPr>
        <w:fldChar w:fldCharType="separate"/>
      </w:r>
      <w:r w:rsidR="00143CFD" w:rsidRPr="00E42D74">
        <w:rPr>
          <w:rFonts w:ascii="Times New Roman" w:hAnsi="Times New Roman" w:cs="Times New Roman"/>
        </w:rPr>
        <w:t>[53]</w:t>
      </w:r>
      <w:r w:rsidR="00143CFD" w:rsidRPr="00E42D74">
        <w:rPr>
          <w:rFonts w:ascii="Times New Roman" w:hAnsi="Times New Roman" w:cs="Times New Roman"/>
        </w:rPr>
        <w:fldChar w:fldCharType="end"/>
      </w:r>
      <w:r w:rsidRPr="00E42D74">
        <w:rPr>
          <w:rFonts w:ascii="Times New Roman" w:hAnsi="Times New Roman" w:cs="Times New Roman"/>
        </w:rPr>
        <w:t>.</w:t>
      </w:r>
    </w:p>
    <w:p w14:paraId="37EBD848"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Economic evaluation remains a priority. Cost-effectiveness analyses that incorporate both direct and downstream impacts of pharmacogenomics-informed care will be important for establishing sustainable reimbursement models. These analyses should account for variation in implementation costs across different infrastructure settings</w:t>
      </w:r>
      <w:r w:rsidR="002026FD" w:rsidRPr="00E42D74">
        <w:rPr>
          <w:rFonts w:ascii="Times New Roman" w:hAnsi="Times New Roman" w:cs="Times New Roman"/>
        </w:rPr>
        <w:fldChar w:fldCharType="begin"/>
      </w:r>
      <w:r w:rsidR="002026FD" w:rsidRPr="00E42D74">
        <w:rPr>
          <w:rFonts w:ascii="Times New Roman" w:hAnsi="Times New Roman" w:cs="Times New Roman"/>
        </w:rPr>
        <w:instrText xml:space="preserve"> ADDIN ZOTERO_ITEM CSL_CITATION {"citationID":"Sk2ERfFX","properties":{"formattedCitation":"[54]","plainCitation":"[54]","noteIndex":0},"citationItems":[{"id":17447,"uris":["http://zotero.org/users/16652950/items/64WG7A5R"],"itemData":{"id":17447,"type":"article-journal","abstract":"This article presents an adaptation of Program Theory framework designed to support the implementation and evaluation of interventions delivered by advanced practice nurses within Hospital at Home models. In response to increasing healthcare demands associated with aging populations and multimorbidity, this framework integrates three interrelated theories; Program Organizational, Service Utilization, and Impact theories to conceptualize and assess advanced practice nurse led care delivery in Hospital at Home settings. Organizational Theory outlines the structural and functional requirements for integrating advanced practice nurses into Hospital at Home, including role definition, interprofessional collaboration, governance structures, and resource allocation. It emphasizes ways to foster the autonomy of advanced practice nurses, supporting clinical decision-making, and ensuring infrastructure for coordinated care. Service Utilization Theory focuses on the determinants of access, acceptance, and appropriateness of care. It addresses mechanisms for patient referral, eligibility assessment, and care escalation, and highlights the importance of aligning patient needs with the expertise of advanced practice nurses. The adapted Impact Theory identifies causal pathways linking interventions delivered by advanced practice nurses, such as early assessment, individualized care planning, home visits, therapeutic education, and care coordination to patient and caregiver, for system-level outcomes. These outcomes include reduced hospital admissions and readmissions, fewer emergency department visits, lower nursing home placement rates, and improved functional status, quality of life, and patient satisfaction. The Program Theory framework also supports the evaluation of caregiver burden and the effectiveness of self-management support including health literacy. Applied in the context of a French-speaking canton in Switzerland, where Hospital at Home services remain underdeveloped and advanced practice nurses are not integrated into these services, this framework provides a structured and theory-driven approach to guide the operationalization and evaluation of their interventions. It establishes a basis for the measurement of outcomes across care processes, individual experiences, and health system impacts. By aligning intervention components with expected outcomes, this approach addresses the complexity of Hospital at Home and the multidimensional contribution of advanced practice nurses, offering a foundation for future implementation and research.","container-title":"International Journal of Nursing Studies Advances","DOI":"10.1016/j.ijnsa.2025.100444","ISSN":"2666-142X","journalAbbreviation":"International Journal of Nursing Studies Advances","page":"100444","source":"ScienceDirect","title":"Adapting program theory to guide the implementation and evaluation of interventions delivered by advanced practice nurses in Hospital at Home: A programmatic framework for implementation and assessment","title-short":"Adapting program theory to guide the implementation and evaluation of interventions delivered by advanced practice nurses in Hospital at Home","volume":"9","author":[{"family":"Akrour","given":"Rachid"},{"family":"Larkin","given":"Philip"},{"family":"Verloo","given":"Henk"}],"issued":{"date-parts":[["2025",12,1]]}}}],"schema":"https://github.com/citation-style-language/schema/raw/master/csl-citation.json"} </w:instrText>
      </w:r>
      <w:r w:rsidR="002026FD" w:rsidRPr="00E42D74">
        <w:rPr>
          <w:rFonts w:ascii="Times New Roman" w:hAnsi="Times New Roman" w:cs="Times New Roman"/>
        </w:rPr>
        <w:fldChar w:fldCharType="separate"/>
      </w:r>
      <w:r w:rsidR="002026FD" w:rsidRPr="00E42D74">
        <w:rPr>
          <w:rFonts w:ascii="Times New Roman" w:hAnsi="Times New Roman" w:cs="Times New Roman"/>
        </w:rPr>
        <w:t>[54]</w:t>
      </w:r>
      <w:r w:rsidR="002026FD" w:rsidRPr="00E42D74">
        <w:rPr>
          <w:rFonts w:ascii="Times New Roman" w:hAnsi="Times New Roman" w:cs="Times New Roman"/>
        </w:rPr>
        <w:fldChar w:fldCharType="end"/>
      </w:r>
      <w:r w:rsidRPr="00E42D74">
        <w:rPr>
          <w:rFonts w:ascii="Times New Roman" w:hAnsi="Times New Roman" w:cs="Times New Roman"/>
        </w:rPr>
        <w:t>.</w:t>
      </w:r>
    </w:p>
    <w:p w14:paraId="6DD5207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Advances in clinical decision support and artificial intelligence offer opportunities to enhance pharmacogenomics integration. Automated interpretation of genotype data and real-time prescribing guidance may reduce reliance on specialized expertise and support broader adoption, particularly in settings with limited workforce capacity</w:t>
      </w:r>
      <w:r w:rsidR="002026FD" w:rsidRPr="00E42D74">
        <w:rPr>
          <w:rFonts w:ascii="Times New Roman" w:hAnsi="Times New Roman" w:cs="Times New Roman"/>
        </w:rPr>
        <w:fldChar w:fldCharType="begin"/>
      </w:r>
      <w:r w:rsidR="002026FD" w:rsidRPr="00E42D74">
        <w:rPr>
          <w:rFonts w:ascii="Times New Roman" w:hAnsi="Times New Roman" w:cs="Times New Roman"/>
        </w:rPr>
        <w:instrText xml:space="preserve"> ADDIN ZOTERO_ITEM CSL_CITATION {"citationID":"zdvO9SRY","properties":{"formattedCitation":"[55]","plainCitation":"[55]","noteIndex":0},"citationItems":[{"id":17448,"uris":["http://zotero.org/users/16652950/items/ZWQW9CLU"],"itemData":{"id":17448,"type":"article-journal","abstract":"Studies of implementation strategies range in rigor, design, and evaluated outcomes, presenting interpretation challenges for practitioners and researchers. This systematic review aimed to describe the body of research evidence testing implementation strategies across diverse settings and domains, using the Expert Recommendations for Implementing Change (ERIC) taxonomy to classify strategies and the Reach Effectiveness Adoption Implementation and Maintenance (RE-AIM) framework to classify outcomes.","container-title":"Implementation Science","DOI":"10.1186/s13012-024-01369-5","ISSN":"1748-5908","issue":"1","journalAbbreviation":"Implementation Sci","language":"en","page":"43","source":"Springer Link","title":"A systematic review of experimentally tested implementation strategies across health and human service settings: evidence from 2010-2022","title-short":"A systematic review of experimentally tested implementation strategies across health and human service settings","volume":"19","author":[{"family":"Ashcraft","given":"Laura Ellen"},{"family":"Goodrich","given":"David E."},{"family":"Hero","given":"Joachim"},{"family":"Phares","given":"Angela"},{"family":"Bachrach","given":"Rachel L."},{"family":"Quinn","given":"Deirdre A."},{"family":"Qureshi","given":"Nabeel"},{"family":"Ernecoff","given":"Natalie C."},{"family":"Lederer","given":"Lisa G."},{"family":"Scheunemann","given":"Leslie Page"},{"family":"Rogal","given":"Shari S."},{"family":"Chinman","given":"Matthew J."}],"issued":{"date-parts":[["2024",6,24]]}}}],"schema":"https://github.com/citation-style-language/schema/raw/master/csl-citation.json"} </w:instrText>
      </w:r>
      <w:r w:rsidR="002026FD" w:rsidRPr="00E42D74">
        <w:rPr>
          <w:rFonts w:ascii="Times New Roman" w:hAnsi="Times New Roman" w:cs="Times New Roman"/>
        </w:rPr>
        <w:fldChar w:fldCharType="separate"/>
      </w:r>
      <w:r w:rsidR="002026FD" w:rsidRPr="00E42D74">
        <w:rPr>
          <w:rFonts w:ascii="Times New Roman" w:hAnsi="Times New Roman" w:cs="Times New Roman"/>
        </w:rPr>
        <w:t>[55]</w:t>
      </w:r>
      <w:r w:rsidR="002026FD" w:rsidRPr="00E42D74">
        <w:rPr>
          <w:rFonts w:ascii="Times New Roman" w:hAnsi="Times New Roman" w:cs="Times New Roman"/>
        </w:rPr>
        <w:fldChar w:fldCharType="end"/>
      </w:r>
      <w:r w:rsidRPr="00E42D74">
        <w:rPr>
          <w:rFonts w:ascii="Times New Roman" w:hAnsi="Times New Roman" w:cs="Times New Roman"/>
        </w:rPr>
        <w:t>.</w:t>
      </w:r>
    </w:p>
    <w:p w14:paraId="244C4F8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Finally, while this framework is grounded in the context of rural and underserved populations in the United States, its underlying principles are applicable to global health systems. Adaptation to low- and middle-income countries and other resource-constrained environments represents an important area for future investigation, with the potential to extend the benefits of pharmacogenomics on an international scale.</w:t>
      </w:r>
    </w:p>
    <w:p w14:paraId="1E949CAE"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10. Limitations</w:t>
      </w:r>
    </w:p>
    <w:p w14:paraId="464B8B7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This review presents a conceptual framework informed by synthesis of existing literature rather than primary empirical investigation. As such, the proposed model has not yet been validated through prospective implementation across diverse clinical settings. While the framework is grounded in observed variation in infrastructure and delivery models, its operational feasibility, clinical impact, and cost-effectiveness require formal evaluation.</w:t>
      </w:r>
    </w:p>
    <w:p w14:paraId="5B3310CD"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Regulatory and operational considerations may also influence implementation. In particular, models that rely on telemedicine-based pharmacist consultation may encounter jurisdictional constraints related to licensure, scope of practice, and reimbursement policies. These factors vary across regions and may limit the scalability of certain components of the framework without corresponding policy alignment.</w:t>
      </w:r>
    </w:p>
    <w:p w14:paraId="511872DF"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 xml:space="preserve">Generalizability represents an additional consideration. The framework is developed primarily within the context of rural and underserved settings in the United States, where healthcare structure, reimbursement systems, and regulatory environments shape implementation feasibility. Although the underlying principles of aligning delivery models with infrastructure capacity are </w:t>
      </w:r>
      <w:r w:rsidRPr="00E42D74">
        <w:rPr>
          <w:rFonts w:ascii="Times New Roman" w:hAnsi="Times New Roman" w:cs="Times New Roman"/>
        </w:rPr>
        <w:lastRenderedPageBreak/>
        <w:t>broadly applicable, adaptation may be required for other healthcare systems with different organizational and policy contexts.</w:t>
      </w:r>
    </w:p>
    <w:p w14:paraId="31FBAC28" w14:textId="77777777" w:rsidR="007D5081" w:rsidRPr="00E42D74" w:rsidRDefault="007D5081" w:rsidP="00760ABA">
      <w:pPr>
        <w:jc w:val="both"/>
        <w:rPr>
          <w:rFonts w:ascii="Times New Roman" w:hAnsi="Times New Roman" w:cs="Times New Roman"/>
          <w:b/>
          <w:bCs/>
        </w:rPr>
      </w:pPr>
      <w:r w:rsidRPr="00E42D74">
        <w:rPr>
          <w:rFonts w:ascii="Times New Roman" w:hAnsi="Times New Roman" w:cs="Times New Roman"/>
          <w:b/>
          <w:bCs/>
        </w:rPr>
        <w:t>11. Conclusion</w:t>
      </w:r>
    </w:p>
    <w:p w14:paraId="1F083786"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Pharmacogenomics has reached a level of clinical maturity supported by robust evidence, established guidelines, and regulatory recognition. Despite this progress, its integration into routine care remains uneven, with limited adoption in rural and underserved settings where the potential benefits are substantial. This gap reflects not a lack of evidence, but a misalignment between existing implementation models and the realities of healthcare infrastructure in resource-constrained environments.</w:t>
      </w:r>
    </w:p>
    <w:p w14:paraId="1946E3FA"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The infrastructure-adaptive framework presented in this review addresses this challenge by aligning pharmacogenomics delivery strategies with institutional capacity. By stratifying implementation across three tiers and embedding provider education and patient engagement throughout, the model provides a practical and scalable approach to extending pharmacogenomics services beyond well-resourced centers.</w:t>
      </w:r>
    </w:p>
    <w:p w14:paraId="4FA4AE8F" w14:textId="77777777" w:rsidR="007D5081" w:rsidRPr="00E42D74" w:rsidRDefault="007D5081" w:rsidP="00760ABA">
      <w:pPr>
        <w:jc w:val="both"/>
        <w:rPr>
          <w:rFonts w:ascii="Times New Roman" w:hAnsi="Times New Roman" w:cs="Times New Roman"/>
        </w:rPr>
      </w:pPr>
      <w:r w:rsidRPr="00E42D74">
        <w:rPr>
          <w:rFonts w:ascii="Times New Roman" w:hAnsi="Times New Roman" w:cs="Times New Roman"/>
        </w:rPr>
        <w:t>Advancing equitable access to precision medicine will depend on approaches that prioritize adaptability, scalability, and contextual relevance. Aligning clinical innovation with the environments in which care is delivered offers a pathway to translate pharmacogenomic evidence into routine practice and to reduce disparities in medication-related outcomes across diverse populations.</w:t>
      </w:r>
    </w:p>
    <w:p w14:paraId="7BC97B63" w14:textId="77777777" w:rsidR="00B121EF" w:rsidRPr="00E42D74" w:rsidRDefault="00B121EF" w:rsidP="00760ABA">
      <w:pPr>
        <w:jc w:val="both"/>
        <w:rPr>
          <w:rFonts w:ascii="Times New Roman" w:hAnsi="Times New Roman" w:cs="Times New Roman"/>
        </w:rPr>
      </w:pPr>
    </w:p>
    <w:p w14:paraId="7B8F8431"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DECLARATIONS</w:t>
      </w:r>
    </w:p>
    <w:p w14:paraId="4BCF3620"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Ethics Approval and Consent to Participate</w:t>
      </w:r>
    </w:p>
    <w:p w14:paraId="675C39DF"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This study is a narrative review and does not involve human participants, patient data, or identifiable personal information. Therefore, ethical approval and consent to participate were not required.</w:t>
      </w:r>
    </w:p>
    <w:p w14:paraId="58250E74"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Consent for Publication</w:t>
      </w:r>
    </w:p>
    <w:p w14:paraId="20A86E4E"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Not applicable.</w:t>
      </w:r>
    </w:p>
    <w:p w14:paraId="789C6AF8"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Availability of Data and Materials</w:t>
      </w:r>
    </w:p>
    <w:p w14:paraId="23C0949F"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All data supporting the findings of this study are derived from publicly available sources, including peer-reviewed publications, clinical guidelines, and online databases cited within the manuscript.</w:t>
      </w:r>
    </w:p>
    <w:p w14:paraId="2E125A39" w14:textId="77777777" w:rsidR="00B121EF" w:rsidRPr="00E42D74" w:rsidRDefault="00B121EF" w:rsidP="00B121EF">
      <w:pPr>
        <w:jc w:val="both"/>
        <w:rPr>
          <w:rFonts w:ascii="Times New Roman" w:hAnsi="Times New Roman" w:cs="Times New Roman"/>
          <w:b/>
          <w:bCs/>
        </w:rPr>
      </w:pPr>
      <w:r w:rsidRPr="00E42D74">
        <w:rPr>
          <w:rFonts w:ascii="Times New Roman" w:hAnsi="Times New Roman" w:cs="Times New Roman"/>
          <w:b/>
          <w:bCs/>
        </w:rPr>
        <w:t>Competing Interests</w:t>
      </w:r>
    </w:p>
    <w:p w14:paraId="111C1AF8" w14:textId="77777777" w:rsidR="00B121EF" w:rsidRPr="00E42D74" w:rsidRDefault="00B121EF" w:rsidP="00B121EF">
      <w:pPr>
        <w:jc w:val="both"/>
        <w:rPr>
          <w:rFonts w:ascii="Times New Roman" w:hAnsi="Times New Roman" w:cs="Times New Roman"/>
        </w:rPr>
      </w:pPr>
      <w:r w:rsidRPr="00E42D74">
        <w:rPr>
          <w:rFonts w:ascii="Times New Roman" w:hAnsi="Times New Roman" w:cs="Times New Roman"/>
        </w:rPr>
        <w:t>The author declares no competing interests.</w:t>
      </w:r>
    </w:p>
    <w:p w14:paraId="4F4ADA11" w14:textId="77777777" w:rsidR="009D5E9A" w:rsidRPr="00E42D74" w:rsidRDefault="009D5E9A" w:rsidP="009D5E9A">
      <w:pPr>
        <w:jc w:val="both"/>
        <w:rPr>
          <w:rFonts w:ascii="Times New Roman" w:hAnsi="Times New Roman" w:cs="Times New Roman"/>
          <w:b/>
          <w:bCs/>
        </w:rPr>
      </w:pPr>
      <w:bookmarkStart w:id="0" w:name="_GoBack"/>
      <w:bookmarkEnd w:id="0"/>
      <w:r w:rsidRPr="00E42D74">
        <w:rPr>
          <w:rFonts w:ascii="Times New Roman" w:hAnsi="Times New Roman" w:cs="Times New Roman"/>
          <w:b/>
          <w:bCs/>
        </w:rPr>
        <w:t>Use of Artificial Intelligence (AI)</w:t>
      </w:r>
    </w:p>
    <w:p w14:paraId="059C91A6" w14:textId="77777777" w:rsidR="009D5E9A" w:rsidRPr="00E42D74" w:rsidRDefault="009D5E9A" w:rsidP="009D5E9A">
      <w:pPr>
        <w:jc w:val="both"/>
        <w:rPr>
          <w:rFonts w:ascii="Times New Roman" w:hAnsi="Times New Roman" w:cs="Times New Roman"/>
        </w:rPr>
      </w:pPr>
      <w:r w:rsidRPr="00E42D74">
        <w:rPr>
          <w:rFonts w:ascii="Times New Roman" w:hAnsi="Times New Roman" w:cs="Times New Roman"/>
        </w:rPr>
        <w:lastRenderedPageBreak/>
        <w:t>Artificial intelligence (AI) tools were used to assist in the preparation of this manuscript. Specifically, AI was utilized for language refinement, grammar correction, and structural organization of the text. The author reviewed, edited, and takes full responsibility for all content presented in this manuscript. No AI tools were used to generate original scientific data, analyses, or conclusions.</w:t>
      </w:r>
    </w:p>
    <w:p w14:paraId="628C4E1E" w14:textId="77777777" w:rsidR="00B121EF" w:rsidRPr="00E42D74" w:rsidRDefault="00B121EF" w:rsidP="00B121EF">
      <w:pPr>
        <w:jc w:val="both"/>
        <w:rPr>
          <w:rFonts w:ascii="Times New Roman" w:hAnsi="Times New Roman" w:cs="Times New Roman"/>
        </w:rPr>
      </w:pPr>
    </w:p>
    <w:p w14:paraId="3B9DB34F" w14:textId="77777777" w:rsidR="00D81A26" w:rsidRPr="00E42D74" w:rsidRDefault="00D81A26" w:rsidP="00760ABA">
      <w:pPr>
        <w:jc w:val="both"/>
        <w:rPr>
          <w:rFonts w:ascii="Times New Roman" w:hAnsi="Times New Roman" w:cs="Times New Roman"/>
          <w:b/>
          <w:bCs/>
        </w:rPr>
      </w:pPr>
      <w:r w:rsidRPr="00E42D74">
        <w:rPr>
          <w:rFonts w:ascii="Times New Roman" w:hAnsi="Times New Roman" w:cs="Times New Roman"/>
          <w:b/>
          <w:bCs/>
        </w:rPr>
        <w:t>REFRENCES</w:t>
      </w:r>
    </w:p>
    <w:p w14:paraId="2BF4B272" w14:textId="77777777" w:rsidR="00D81A26" w:rsidRPr="00E42D74" w:rsidRDefault="00D81A26" w:rsidP="00760ABA">
      <w:pPr>
        <w:jc w:val="both"/>
        <w:rPr>
          <w:rFonts w:ascii="Times New Roman" w:hAnsi="Times New Roman" w:cs="Times New Roman"/>
          <w:b/>
          <w:bCs/>
        </w:rPr>
      </w:pPr>
    </w:p>
    <w:p w14:paraId="656E8399" w14:textId="77777777" w:rsidR="00D81A26" w:rsidRPr="00E42D74" w:rsidRDefault="00D81A26" w:rsidP="00D81A26">
      <w:pPr>
        <w:pStyle w:val="Bibliography"/>
        <w:rPr>
          <w:rFonts w:ascii="Times New Roman" w:hAnsi="Times New Roman" w:cs="Times New Roman"/>
        </w:rPr>
      </w:pPr>
      <w:r w:rsidRPr="00E42D74">
        <w:rPr>
          <w:b/>
          <w:bCs/>
        </w:rPr>
        <w:fldChar w:fldCharType="begin"/>
      </w:r>
      <w:r w:rsidRPr="00E42D74">
        <w:rPr>
          <w:b/>
          <w:bCs/>
        </w:rPr>
        <w:instrText xml:space="preserve"> ADDIN ZOTERO_BIBL {"uncited":[],"omitted":[],"custom":[]} CSL_BIBLIOGRAPHY </w:instrText>
      </w:r>
      <w:r w:rsidRPr="00E42D74">
        <w:rPr>
          <w:b/>
          <w:bCs/>
        </w:rPr>
        <w:fldChar w:fldCharType="separate"/>
      </w:r>
      <w:r w:rsidRPr="00E42D74">
        <w:rPr>
          <w:rFonts w:ascii="Times New Roman" w:hAnsi="Times New Roman" w:cs="Times New Roman"/>
        </w:rPr>
        <w:t>1.</w:t>
      </w:r>
      <w:r w:rsidRPr="00E42D74">
        <w:rPr>
          <w:rFonts w:ascii="Times New Roman" w:hAnsi="Times New Roman" w:cs="Times New Roman"/>
        </w:rPr>
        <w:tab/>
        <w:t>Giri J, Moyer AM, Bielinski SJ, Caraballo PJ. Concepts Driving Pharmacogenomics Implementation Into Everyday Healthcare. Pharmgenomics Pers Med. 2019 Oct 30;12:305–18. doi:10.2147/PGPM.S193185 PubMed PMID: 31802928; PubMed Central PMCID: PMC6826176.</w:t>
      </w:r>
    </w:p>
    <w:p w14:paraId="5BBB69A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w:t>
      </w:r>
      <w:r w:rsidRPr="00E42D74">
        <w:rPr>
          <w:rFonts w:ascii="Times New Roman" w:hAnsi="Times New Roman" w:cs="Times New Roman"/>
        </w:rPr>
        <w:tab/>
        <w:t>Marques L, Costa B, Pereira M, Silva A, Santos J, Saldanha L, et al. Advancing Precision Medicine: A Review of Innovative In Silico Approaches for Drug Development, Clinical Pharmacology and Personalized Healthcare. Pharmaceutics. 2024 Feb 26;16(3). doi:10.3390/pharmaceutics16030332</w:t>
      </w:r>
    </w:p>
    <w:p w14:paraId="3FD1538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w:t>
      </w:r>
      <w:r w:rsidRPr="00E42D74">
        <w:rPr>
          <w:rFonts w:ascii="Times New Roman" w:hAnsi="Times New Roman" w:cs="Times New Roman"/>
        </w:rPr>
        <w:tab/>
        <w:t>Tremmel R, Schreeck F, Jaeger S, Schricker S, Schaeffeler E, Igel S, et al. Clinical Implementation of Pharmacogenomics and Drug–Drug Interaction Screening in a German Academic Teaching Hospital and Outpatient Follow‐Up. Clin Pharmacol Ther. 2025 Oct 11;119(1):241–54. doi:10.1002/cpt.70083 PubMed PMID: 41074844; PubMed Central PMCID: PMC12746526.</w:t>
      </w:r>
    </w:p>
    <w:p w14:paraId="5C7D774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w:t>
      </w:r>
      <w:r w:rsidRPr="00E42D74">
        <w:rPr>
          <w:rFonts w:ascii="Times New Roman" w:hAnsi="Times New Roman" w:cs="Times New Roman"/>
        </w:rPr>
        <w:tab/>
        <w:t>Smatti MK, Jan Z, Yassine HM. Pharmacogenomics of Antibacterial and Antiviral Therapies: Clinical Actionability, Evidence Gaps, and Future Directions. Pharmacological Reviews. 2026 Apr 10;100136. doi:10.1016/j.pharmr.2026.100136</w:t>
      </w:r>
    </w:p>
    <w:p w14:paraId="5455722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w:t>
      </w:r>
      <w:r w:rsidRPr="00E42D74">
        <w:rPr>
          <w:rFonts w:ascii="Times New Roman" w:hAnsi="Times New Roman" w:cs="Times New Roman"/>
        </w:rPr>
        <w:tab/>
        <w:t>Perezcano C. The critical need to implement pharmacogenomics in public health services: Mexico in the global picture. Front Public Health. 2026 Mar 5;14. doi:10.3389/fpubh.2026.1748704</w:t>
      </w:r>
    </w:p>
    <w:p w14:paraId="6D080A3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6.</w:t>
      </w:r>
      <w:r w:rsidRPr="00E42D74">
        <w:rPr>
          <w:rFonts w:ascii="Times New Roman" w:hAnsi="Times New Roman" w:cs="Times New Roman"/>
        </w:rPr>
        <w:tab/>
        <w:t>Muller-Gass A, Mukerjee G, Dorfman R, Jetly R. Implementation of Pharmacogenomics Testing in Daily Clinical Practice: Perspectives of Prescribers from Two Canadian Armed Forces Medical Clinics. Journal of Personalized Medicine. 2025 Mar 3;15(3). doi:10.3390/jpm15030101</w:t>
      </w:r>
    </w:p>
    <w:p w14:paraId="687CE2F4"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7.</w:t>
      </w:r>
      <w:r w:rsidRPr="00E42D74">
        <w:rPr>
          <w:rFonts w:ascii="Times New Roman" w:hAnsi="Times New Roman" w:cs="Times New Roman"/>
        </w:rPr>
        <w:tab/>
        <w:t>Costa D, Ielapi N, Serra R. Navigating Unserved Areas: A Comprehensive Review of Medical Deserts. Standards. 2026 Jan 29;6(1). doi:10.3390/standards6010006</w:t>
      </w:r>
    </w:p>
    <w:p w14:paraId="1A1B97F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8.</w:t>
      </w:r>
      <w:r w:rsidRPr="00E42D74">
        <w:rPr>
          <w:rFonts w:ascii="Times New Roman" w:hAnsi="Times New Roman" w:cs="Times New Roman"/>
        </w:rPr>
        <w:tab/>
        <w:t>Marsteller JA, Dukhanin V, Kang SY, Russell LE, Vass M, Zhang A, et al. Findings. In: Measuring Healthcare Organization Characteristics in Cancer Care Delivery Research [Internet] [Internet]. Agency for Healthcare Research and Quality (US); 2023 [cited 2026 Apr 15]. Available from: https://www.ncbi.nlm.nih.gov/books/NBK594588/</w:t>
      </w:r>
    </w:p>
    <w:p w14:paraId="2FA192B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9.</w:t>
      </w:r>
      <w:r w:rsidRPr="00E42D74">
        <w:rPr>
          <w:rFonts w:ascii="Times New Roman" w:hAnsi="Times New Roman" w:cs="Times New Roman"/>
        </w:rPr>
        <w:tab/>
        <w:t>Kommu S, Carter C, Whitfield P. Adverse Drug Reactions. In: StatPearls [Internet]. Treasure Island (FL): StatPearls Publishing; 2026 [cited 2026 Apr 15]. Available from: http://www.ncbi.nlm.nih.gov/books/NBK599521/ PubMed PMID: 38261714.</w:t>
      </w:r>
    </w:p>
    <w:p w14:paraId="6486EC0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10.</w:t>
      </w:r>
      <w:r w:rsidRPr="00E42D74">
        <w:rPr>
          <w:rFonts w:ascii="Times New Roman" w:hAnsi="Times New Roman" w:cs="Times New Roman"/>
        </w:rPr>
        <w:tab/>
        <w:t>Singh P, Verma S, Vaishnav Y, Joshi U, Agrawal M. Probing the in-depth analysis of Serious Adverse Drug Reactions in a tertiary care hospital of Central India. Exploratory Research in Clinical and Social Pharmacy. 2025 Mar 1;17:100579. doi:10.1016/j.rcsop.2025.100579</w:t>
      </w:r>
    </w:p>
    <w:p w14:paraId="27195EB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11.</w:t>
      </w:r>
      <w:r w:rsidRPr="00E42D74">
        <w:rPr>
          <w:rFonts w:ascii="Times New Roman" w:hAnsi="Times New Roman" w:cs="Times New Roman"/>
        </w:rPr>
        <w:tab/>
        <w:t>Sendekie AK, Kasahun AE, Limenh LW, Dagnaw AD, Belachew EA. Clinical and economic impact of adverse drug reactions in hospitalised patients: prospective matched nested case–control study in Ethiopia. BMJ Open. 2023 Jun 6;13(6):e073777. doi:10.1136/bmjopen-2023-073777 PubMed PMID: 37280017; PubMed Central PMCID: PMC10255243.</w:t>
      </w:r>
    </w:p>
    <w:p w14:paraId="1353B00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12.</w:t>
      </w:r>
      <w:r w:rsidRPr="00E42D74">
        <w:rPr>
          <w:rFonts w:ascii="Times New Roman" w:hAnsi="Times New Roman" w:cs="Times New Roman"/>
        </w:rPr>
        <w:tab/>
        <w:t>Abu SF, Shafie AA, Chandriah H. Cost Estimations of Managing Adverse Drug Reactions in Hospitalized Patients: A Systematic Review of Study Methods and Their Influences. Pharmacoepidemiology. 2023 Apr 29;2(2):120–39. doi:10.3390/pharma2020012</w:t>
      </w:r>
    </w:p>
    <w:p w14:paraId="0C95E28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13.</w:t>
      </w:r>
      <w:r w:rsidRPr="00E42D74">
        <w:rPr>
          <w:rFonts w:ascii="Times New Roman" w:hAnsi="Times New Roman" w:cs="Times New Roman"/>
        </w:rPr>
        <w:tab/>
        <w:t>Gan PHP, Yeo HL, Bin Hajis MI, Maulana Y, Ng AQH, Ramanto KN, et al. Targeted adaptive sampling enables clinical pharmacogenomics testing and genome-wide genotyping. Sci Rep. 2025 Nov 10;15(1):39346. doi:10.1038/s41598-025-22941-z</w:t>
      </w:r>
    </w:p>
    <w:p w14:paraId="6D21106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14.</w:t>
      </w:r>
      <w:r w:rsidRPr="00E42D74">
        <w:rPr>
          <w:rFonts w:ascii="Times New Roman" w:hAnsi="Times New Roman" w:cs="Times New Roman"/>
        </w:rPr>
        <w:tab/>
        <w:t>Bollinger A, Fortes MS, Schwabedissen HEM zu, Hersberger KE, Stäuble CK, Allemann SS. Impact and Enablers of Pharmacogenetic-Informed Treatment Decisions—A Longitudinal Mixed-Methods Study Exploring the Patient Perspective. Pharmacy. 2025 Jan 30;13(1). doi:10.3390/pharmacy13010014</w:t>
      </w:r>
    </w:p>
    <w:p w14:paraId="287FA08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15.</w:t>
      </w:r>
      <w:r w:rsidRPr="00E42D74">
        <w:rPr>
          <w:rFonts w:ascii="Times New Roman" w:hAnsi="Times New Roman" w:cs="Times New Roman"/>
        </w:rPr>
        <w:tab/>
        <w:t>Silver J, Forman E, Barrett D, Sibalija J, Kim R. Enhancing Rural Healthcare Accessibility: A Model for Pharmacogenomics Adoption via an Outreach-Focused Integration Strategy. Journal of Personalized Medicine. 2025 Mar 12;15(3). doi:10.3390/jpm15030110</w:t>
      </w:r>
    </w:p>
    <w:p w14:paraId="433D413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16.</w:t>
      </w:r>
      <w:r w:rsidRPr="00E42D74">
        <w:rPr>
          <w:rFonts w:ascii="Times New Roman" w:hAnsi="Times New Roman" w:cs="Times New Roman"/>
        </w:rPr>
        <w:tab/>
        <w:t>Alnaimi SJ, Ajaj F, Awaisu A, Alhathal T, Mohammed S, Alhail M. Assessment of knowledge, perceptions, and readiness of healthcare professionals towards clinical pharmacogenomics implementation in Qatar: a mixed-method study. J Pharm Policy Pract. 17(1):2429785. doi:10.1080/20523211.2024.2429785 PubMed PMID: 39605985; PubMed Central PMCID: PMC11600515.</w:t>
      </w:r>
    </w:p>
    <w:p w14:paraId="1FFBB858"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17.</w:t>
      </w:r>
      <w:r w:rsidRPr="00E42D74">
        <w:rPr>
          <w:rFonts w:ascii="Times New Roman" w:hAnsi="Times New Roman" w:cs="Times New Roman"/>
        </w:rPr>
        <w:tab/>
        <w:t>Thottunkal S, Spahn C, Wang B, Rohatgi N, Hong J, Khandelwal A, et al. Clinician Experiences at the Frontier of Pharmacogenomics and Future Directions. J Pers Med. 2025 Jul 7;15(7):294. doi:10.3390/jpm15070294 PubMed PMID: 40710411; PubMed Central PMCID: PMC12300132.</w:t>
      </w:r>
    </w:p>
    <w:p w14:paraId="16DBC7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18.</w:t>
      </w:r>
      <w:r w:rsidRPr="00E42D74">
        <w:rPr>
          <w:rFonts w:ascii="Times New Roman" w:hAnsi="Times New Roman" w:cs="Times New Roman"/>
        </w:rPr>
        <w:tab/>
        <w:t>Malematja DN, Nkosi EM, Nene SE. The impact of insufficient resources on the quality-of-service delivery at a primary healthcare clinic in Limpopo. Curationis. 2025 Apr 30;48(1):2696. doi:10.4102/curationis.v48i1.2696 PubMed PMID: 40336378; PubMed Central PMCID: PMC12067016.</w:t>
      </w:r>
    </w:p>
    <w:p w14:paraId="0890009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19.</w:t>
      </w:r>
      <w:r w:rsidRPr="00E42D74">
        <w:rPr>
          <w:rFonts w:ascii="Times New Roman" w:hAnsi="Times New Roman" w:cs="Times New Roman"/>
        </w:rPr>
        <w:tab/>
        <w:t xml:space="preserve">Carter AB, Abruzzo LV, Hirschhorn JW, Jones D, Jordan DC, Nassiri M, et al. Electronic Health Records and Genomics: Perspectives from the Association for Molecular Pathology </w:t>
      </w:r>
      <w:r w:rsidRPr="00E42D74">
        <w:rPr>
          <w:rFonts w:ascii="Times New Roman" w:hAnsi="Times New Roman" w:cs="Times New Roman"/>
        </w:rPr>
        <w:lastRenderedPageBreak/>
        <w:t>Electronic Health Record (EHR) Interoperability for Clinical Genomics Data Working Group. The Journal of Molecular Diagnostics. 2022 Jan 1;24(1):1–17. doi:10.1016/j.jmoldx.2021.09.009</w:t>
      </w:r>
    </w:p>
    <w:p w14:paraId="17748D3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20.</w:t>
      </w:r>
      <w:r w:rsidRPr="00E42D74">
        <w:rPr>
          <w:rFonts w:ascii="Times New Roman" w:hAnsi="Times New Roman" w:cs="Times New Roman"/>
        </w:rPr>
        <w:tab/>
        <w:t>Larkins MC, Zubair M, Thombare A. Point-of-Care Testing. In: StatPearls [Internet]. Treasure Island (FL): StatPearls Publishing; 2026 [cited 2026 Apr 15]. Available from: http://www.ncbi.nlm.nih.gov/books/NBK592387/ PubMed PMID: 37276307.</w:t>
      </w:r>
    </w:p>
    <w:p w14:paraId="6D5AF67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21.</w:t>
      </w:r>
      <w:r w:rsidRPr="00E42D74">
        <w:rPr>
          <w:rFonts w:ascii="Times New Roman" w:hAnsi="Times New Roman" w:cs="Times New Roman"/>
        </w:rPr>
        <w:tab/>
        <w:t>Evans MV, Andréambeloson T, Randriamihaja M, Ihantamalala F, Cordier L, Cowley G, et al. Geographic barriers to care persist at the community healthcare level: Evidence from rural Madagascar. PLOS Glob Public Health. 2022 Dec 27;2(12):e0001028. doi:10.1371/journal.pgph.0001028 PubMed PMID: 36962826; PubMed Central PMCID: PMC10022327.</w:t>
      </w:r>
    </w:p>
    <w:p w14:paraId="55AEDC0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22.</w:t>
      </w:r>
      <w:r w:rsidRPr="00E42D74">
        <w:rPr>
          <w:rFonts w:ascii="Times New Roman" w:hAnsi="Times New Roman" w:cs="Times New Roman"/>
        </w:rPr>
        <w:tab/>
        <w:t>Aggarwal S, Simmy S, Mahajan N, Nigam K. Challenges Experienced by Health Care Workers During Service Delivery in the Geographically Challenging Terrains of North-East India: Study Involving a Thematic Analysis. JMIR Form Res. 2024 Sep 10;8:e57384. doi:10.2196/57384 PubMed PMID: 39255009; PubMed Central PMCID: PMC11422737.</w:t>
      </w:r>
    </w:p>
    <w:p w14:paraId="303B981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23.</w:t>
      </w:r>
      <w:r w:rsidRPr="00E42D74">
        <w:rPr>
          <w:rFonts w:ascii="Times New Roman" w:hAnsi="Times New Roman" w:cs="Times New Roman"/>
        </w:rPr>
        <w:tab/>
        <w:t>Billman K, Ahmed Feldman M, Allen JD. Patient Awareness and Acceptance of Pharmacogenomics Services: A Survey of Attitudes Toward PGx Implementation and Pharmacist-Led Care. J Pers Med. 2025 Dec 11;15(12):621. doi:10.3390/jpm15120621 PubMed PMID: 41440984; PubMed Central PMCID: PMC12733811.</w:t>
      </w:r>
    </w:p>
    <w:p w14:paraId="79466F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24.</w:t>
      </w:r>
      <w:r w:rsidRPr="00E42D74">
        <w:rPr>
          <w:rFonts w:ascii="Times New Roman" w:hAnsi="Times New Roman" w:cs="Times New Roman"/>
        </w:rPr>
        <w:tab/>
        <w:t>Alqahtani S, Alqahtani T, Venkatesan K, Easwaran V, Prabahar K, Paulsamy P, et al. Pharmacogenomics knowledge, attitudes, and perceptions among pharmacists in the Asir Region, Saudi Arabia: a cross-sectional analysis. Saudi Pharm J. 2026 Feb;34(1):6. doi:10.1007/s44446-025-00061-z PubMed PMID: 41661499; PubMed Central PMCID: PMC12886576.</w:t>
      </w:r>
    </w:p>
    <w:p w14:paraId="1E3F46E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25.</w:t>
      </w:r>
      <w:r w:rsidRPr="00E42D74">
        <w:rPr>
          <w:rFonts w:ascii="Times New Roman" w:hAnsi="Times New Roman" w:cs="Times New Roman"/>
        </w:rPr>
        <w:tab/>
        <w:t>Lawal O, Oyebamiji HO, Kelenna IJ, Chioma FJ, Oyefeso E, Adeyemi BI, et al. A Review on Usage of Digital Health Literacy to Combat Antibiotic Misuse and Misinformation in Nigeria: Review Article. Journal of Pharma Insights and Research. 2025 Apr 5;3(2):2. doi:10.69613/dja1jc18</w:t>
      </w:r>
    </w:p>
    <w:p w14:paraId="7C8F29D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26.</w:t>
      </w:r>
      <w:r w:rsidRPr="00E42D74">
        <w:rPr>
          <w:rFonts w:ascii="Times New Roman" w:hAnsi="Times New Roman" w:cs="Times New Roman"/>
        </w:rPr>
        <w:tab/>
        <w:t>Kabbani D, Akika R, Wahid A, Daly AK, Cascorbi I, Zgheib NK. Pharmacogenomics in practice: a review and implementation guide. Front Pharmacol. 2023 May 18;14:1189976. doi:10.3389/fphar.2023.1189976 PubMed PMID: 37274118; PubMed Central PMCID: PMC10233068.</w:t>
      </w:r>
    </w:p>
    <w:p w14:paraId="1B44D98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27.</w:t>
      </w:r>
      <w:r w:rsidRPr="00E42D74">
        <w:rPr>
          <w:rFonts w:ascii="Times New Roman" w:hAnsi="Times New Roman" w:cs="Times New Roman"/>
        </w:rPr>
        <w:tab/>
        <w:t>Smith DM, Douglas MP, Aquilante CL, Deverka PA, Devine B, Dunnenberger HM, et al. Progress in Pharmacogenomics Implementation in the United States: Barrier Erosion and Remaining Challenges. Clin Pharmacol Ther. 2025 Jun 4;118(4):778–89. doi:10.1002/cpt.3736 PubMed PMID: 40468601; PubMed Central PMCID: PMC12439016.</w:t>
      </w:r>
    </w:p>
    <w:p w14:paraId="3B58C69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28.</w:t>
      </w:r>
      <w:r w:rsidRPr="00E42D74">
        <w:rPr>
          <w:rFonts w:ascii="Times New Roman" w:hAnsi="Times New Roman" w:cs="Times New Roman"/>
        </w:rPr>
        <w:tab/>
        <w:t xml:space="preserve">Al-Worafi YM. Pharmacogenomics in Developing Countries. In: Handbook of Medical and Health Sciences in Developing Countries [Internet]. Springer, Cham; 2024 [cited 2026 Apr </w:t>
      </w:r>
      <w:r w:rsidRPr="00E42D74">
        <w:rPr>
          <w:rFonts w:ascii="Times New Roman" w:hAnsi="Times New Roman" w:cs="Times New Roman"/>
        </w:rPr>
        <w:lastRenderedPageBreak/>
        <w:t>15]. p. 1–37. Available from: https://link.springer.com/rwe/10.1007/978-3-030-74786-2_294-1 doi:10.1007/978-3-030-74786-2_294-1</w:t>
      </w:r>
    </w:p>
    <w:p w14:paraId="57C64B97"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29.</w:t>
      </w:r>
      <w:r w:rsidRPr="00E42D74">
        <w:rPr>
          <w:rFonts w:ascii="Times New Roman" w:hAnsi="Times New Roman" w:cs="Times New Roman"/>
        </w:rPr>
        <w:tab/>
        <w:t>Shue SA, Rowe E, Bell LA, Damush T, DeLong A, Gowan T, et al. Pharmacogenomics Implementation Across Multiple Clinic Settings: A Qualitative Evaluation. Pharmacogenomics. 24(17):881–93. doi:10.2217/pgs-2023-0179 PubMed PMID: 37975236; PubMed Central PMCID: PMC12510241.</w:t>
      </w:r>
    </w:p>
    <w:p w14:paraId="6D4ED26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30.</w:t>
      </w:r>
      <w:r w:rsidRPr="00E42D74">
        <w:rPr>
          <w:rFonts w:ascii="Times New Roman" w:hAnsi="Times New Roman" w:cs="Times New Roman"/>
        </w:rPr>
        <w:tab/>
        <w:t>Goktas P, Grzybowski A. Shaping the Future of Healthcare: Ethical Clinical Challenges and Pathways to Trustworthy AI. Journal of Clinical Medicine. 2025 Feb 26;14(5). doi:10.3390/jcm14051605</w:t>
      </w:r>
    </w:p>
    <w:p w14:paraId="03EB48A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31.</w:t>
      </w:r>
      <w:r w:rsidRPr="00E42D74">
        <w:rPr>
          <w:rFonts w:ascii="Times New Roman" w:hAnsi="Times New Roman" w:cs="Times New Roman"/>
        </w:rPr>
        <w:tab/>
        <w:t>Pesqueira A, Sousa MJ, Pereira R. Individual dynamic capabilities and artificial intelligence in health operations: Exploration of innovation diffusion. Intelligence-Based Medicine. 2025 Jan 1;11:100239. doi:10.1016/j.ibmed.2025.100239</w:t>
      </w:r>
    </w:p>
    <w:p w14:paraId="744F438C"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32.</w:t>
      </w:r>
      <w:r w:rsidRPr="00E42D74">
        <w:rPr>
          <w:rFonts w:ascii="Times New Roman" w:hAnsi="Times New Roman" w:cs="Times New Roman"/>
        </w:rPr>
        <w:tab/>
        <w:t>Sun L, Booth A, Sworn K. Adaptability, Scalability and Sustainability (ASaS) of complex health interventions: a systematic review of theories, models and frameworks. Implementation Science. 2024 Jul 17;19(1):52. doi:10.1186/s13012-024-01375-7</w:t>
      </w:r>
    </w:p>
    <w:p w14:paraId="1FDF4EF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33.</w:t>
      </w:r>
      <w:r w:rsidRPr="00E42D74">
        <w:rPr>
          <w:rFonts w:ascii="Times New Roman" w:hAnsi="Times New Roman" w:cs="Times New Roman"/>
        </w:rPr>
        <w:tab/>
        <w:t>Youssef E, Bhattacharya D, Sharma R, Wright DJ. A Theory-Informed Systematic Review of Barriers and Enablers to Implementing Multi-Drug Pharmacogenomic Testing. Journal of Personalized Medicine. 2022 Nov 1;12(11). doi:10.3390/jpm12111821</w:t>
      </w:r>
    </w:p>
    <w:p w14:paraId="54E626F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34.</w:t>
      </w:r>
      <w:r w:rsidRPr="00E42D74">
        <w:rPr>
          <w:rFonts w:ascii="Times New Roman" w:hAnsi="Times New Roman" w:cs="Times New Roman"/>
        </w:rPr>
        <w:tab/>
        <w:t>Qahwaji R, Ashankyty I, Sannan NS, Hazzazi MS, Basabrain AA, Mobashir M. Pharmacogenomics: A Genetic Approach to Drug Development and Therapy. Pharmaceuticals. 2024 Jul 12;17(7). doi:10.3390/ph17070940</w:t>
      </w:r>
    </w:p>
    <w:p w14:paraId="1C7095A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35.</w:t>
      </w:r>
      <w:r w:rsidRPr="00E42D74">
        <w:rPr>
          <w:rFonts w:ascii="Times New Roman" w:hAnsi="Times New Roman" w:cs="Times New Roman"/>
        </w:rPr>
        <w:tab/>
        <w:t>Paul J, Das P, Das A, Ojha B, Das K, Deb T, et al. Current Scenarios and Future Perspectives of Therapeutic Drug Monitoring in India: A Narrative Review. Cureus. 2026 Jan 30;18. doi:10.7759/cureus.102678</w:t>
      </w:r>
    </w:p>
    <w:p w14:paraId="262A516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36.</w:t>
      </w:r>
      <w:r w:rsidRPr="00E42D74">
        <w:rPr>
          <w:rFonts w:ascii="Times New Roman" w:hAnsi="Times New Roman" w:cs="Times New Roman"/>
        </w:rPr>
        <w:tab/>
        <w:t>Caraballo PJ, Sutton JA, Giri J, Wright JA, Nicholson WT, Kullo IJ, et al. Integrating pharmacogenomics into the electronic health record by implementing genomic indicators. J Am Med Inform Assoc. 2019 Oct 7;27(1):154–8. doi:10.1093/jamia/ocz177 PubMed PMID: 31591640; PubMed Central PMCID: PMC6913212.</w:t>
      </w:r>
    </w:p>
    <w:p w14:paraId="4080E00A"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37.</w:t>
      </w:r>
      <w:r w:rsidRPr="00E42D74">
        <w:rPr>
          <w:rFonts w:ascii="Times New Roman" w:hAnsi="Times New Roman" w:cs="Times New Roman"/>
        </w:rPr>
        <w:tab/>
        <w:t>Gonçalves-Bradley DC, J Maria AR, Ricci-Cabello I, Villanueva G, Fønhus MS, Glenton C, et al. Mobile technologies to support healthcare provider to healthcare provider communication and management of care. Cochrane Database Syst Rev. 2020 Aug 18;2020(8):CD012927. doi:10.1002/14651858.CD012927.pub2 PubMed PMID: 32813281; PubMed Central PMCID: PMC7437392.</w:t>
      </w:r>
    </w:p>
    <w:p w14:paraId="2B1FA565"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38.</w:t>
      </w:r>
      <w:r w:rsidRPr="00E42D74">
        <w:rPr>
          <w:rFonts w:ascii="Times New Roman" w:hAnsi="Times New Roman" w:cs="Times New Roman"/>
        </w:rPr>
        <w:tab/>
        <w:t>Marzban S, Najafi M, Agolli A, Ashrafi E. Impact of Patient Engagement on Healthcare Quality: A Scoping Review. J Patient Exp. 2022 Sep 16;9:23743735221125439. doi:10.1177/23743735221125439 PubMed PMID: 36134145; PubMed Central PMCID: PMC9483965.</w:t>
      </w:r>
    </w:p>
    <w:p w14:paraId="7818CB49"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39.</w:t>
      </w:r>
      <w:r w:rsidRPr="00E42D74">
        <w:rPr>
          <w:rFonts w:ascii="Times New Roman" w:hAnsi="Times New Roman" w:cs="Times New Roman"/>
        </w:rPr>
        <w:tab/>
        <w:t>Miller KEM, Miller KL, Knocke K, Pink GH, Holmes GM, Kaufman BG. Access to outpatient services in rural communities changes after hospital closure. Health Serv Res. 2021 Oct;56(5):788–801. doi:10.1111/1475-6773.13694 PubMed PMID: 34173227; PubMed Central PMCID: PMC8522564.</w:t>
      </w:r>
    </w:p>
    <w:p w14:paraId="6A3BA72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40.</w:t>
      </w:r>
      <w:r w:rsidRPr="00E42D74">
        <w:rPr>
          <w:rFonts w:ascii="Times New Roman" w:hAnsi="Times New Roman" w:cs="Times New Roman"/>
        </w:rPr>
        <w:tab/>
        <w:t>Adedokun G, Alipanah M, Fan ZH. Sample Preparation and Detection Methods in Point-of-Care Devices towards Future at-Home Testing. Lab Chip. 2024 Jul 23;24(15):3626–50. doi:10.1039/d3lc00943b PubMed PMID: 38952234; PubMed Central PMCID: PMC11270053.</w:t>
      </w:r>
    </w:p>
    <w:p w14:paraId="0D896CB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41.</w:t>
      </w:r>
      <w:r w:rsidRPr="00E42D74">
        <w:rPr>
          <w:rFonts w:ascii="Times New Roman" w:hAnsi="Times New Roman" w:cs="Times New Roman"/>
        </w:rPr>
        <w:tab/>
        <w:t>Adekoya A, Okezue MA, Menon K. Medical Laboratories in Healthcare Delivery: A Systematic Review of Their Roles and Impact. Laboratories. 2025 Mar 16;2(1). doi:10.3390/laboratories2010008</w:t>
      </w:r>
    </w:p>
    <w:p w14:paraId="6C1BD276"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42.</w:t>
      </w:r>
      <w:r w:rsidRPr="00E42D74">
        <w:rPr>
          <w:rFonts w:ascii="Times New Roman" w:hAnsi="Times New Roman" w:cs="Times New Roman"/>
        </w:rPr>
        <w:tab/>
        <w:t>K G N, Ahmad S, Kumar P, Mahto M, Bharti S. Turnaround Time of Laboratory Investigations and Factors Responsible for Delays in a Tertiary Care Teaching Hospital in Eastern India: A Cross-Sectional Study. Cureus. 18(1):e100703. doi:10.7759/cureus.100703 PubMed PMID: 41635349; PubMed Central PMCID: PMC12863637.</w:t>
      </w:r>
    </w:p>
    <w:p w14:paraId="0265E4F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43.</w:t>
      </w:r>
      <w:r w:rsidRPr="00E42D74">
        <w:rPr>
          <w:rFonts w:ascii="Times New Roman" w:hAnsi="Times New Roman" w:cs="Times New Roman"/>
        </w:rPr>
        <w:tab/>
        <w:t>Alshahrani AM, Vasudevan R, Hmlan A, Mohammed Assiri A, Asiri AM, Asiri OAM, et al. Digital Transformation and Team-Based Care: Pharmacists in Multidisciplinary Models – A Narrative Review. J Multidiscip Healthc. 2026 Feb 11;19:576298. doi:10.2147/JMDH.S576298 PubMed PMID: 41710399; PubMed Central PMCID: PMC12912030.</w:t>
      </w:r>
    </w:p>
    <w:p w14:paraId="1A0E9BF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44.</w:t>
      </w:r>
      <w:r w:rsidRPr="00E42D74">
        <w:rPr>
          <w:rFonts w:ascii="Times New Roman" w:hAnsi="Times New Roman" w:cs="Times New Roman"/>
        </w:rPr>
        <w:tab/>
        <w:t>Taylor K, Umbreit A, Lea C, Holm E, Kosloski Tarpenning K. Implementing a Pharmacist-Led Primary Care Pharmacogenomics Medication Management Service. Innov Pharm. 2024 May 31;15(2):10.24926/iip.v15i2.6178. doi:10.24926/iip.v15i2.6178 PubMed PMID: 39166145; PubMed Central PMCID: PMC11333096.</w:t>
      </w:r>
    </w:p>
    <w:p w14:paraId="3D816B2F"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45.</w:t>
      </w:r>
      <w:r w:rsidRPr="00E42D74">
        <w:rPr>
          <w:rFonts w:ascii="Times New Roman" w:hAnsi="Times New Roman" w:cs="Times New Roman"/>
        </w:rPr>
        <w:tab/>
        <w:t>Solomon J, Dauber-Decker K, Richardson S, Levy S, Khan S, Coleman B, et al. Integrating Clinical Decision Support Into Electronic Health Record Systems Using a Novel Platform (EvidencePoint): Developmental Study. JMIR Form Res. 2023 Oct 19;7:e44065. doi:10.2196/44065 PubMed PMID: 37856193; PubMed Central PMCID: PMC10623239.</w:t>
      </w:r>
    </w:p>
    <w:p w14:paraId="28F9B38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46.</w:t>
      </w:r>
      <w:r w:rsidRPr="00E42D74">
        <w:rPr>
          <w:rFonts w:ascii="Times New Roman" w:hAnsi="Times New Roman" w:cs="Times New Roman"/>
        </w:rPr>
        <w:tab/>
        <w:t>Tsai CH, Eghdam A, Davoody N, Wright G, Flowerday S, Koch S. Effects of Electronic Health Record Implementation and Barriers to Adoption and Use: A Scoping Review and Qualitative Analysis of the Content. Life (Basel). 2020 Dec 4;10(12):327. doi:10.3390/life10120327 PubMed PMID: 33291615; PubMed Central PMCID: PMC7761950.</w:t>
      </w:r>
    </w:p>
    <w:p w14:paraId="0E683601"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47.</w:t>
      </w:r>
      <w:r w:rsidRPr="00E42D74">
        <w:rPr>
          <w:rFonts w:ascii="Times New Roman" w:hAnsi="Times New Roman" w:cs="Times New Roman"/>
        </w:rPr>
        <w:tab/>
        <w:t>Stierlin N, Risch M, Risch L. Current Advancements in Drone Technology for Medical Sample Transportation. Logistics. 2024 Oct 11;8(4). doi:10.3390/logistics8040104</w:t>
      </w:r>
    </w:p>
    <w:p w14:paraId="4EEC8B8B"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48.</w:t>
      </w:r>
      <w:r w:rsidRPr="00E42D74">
        <w:rPr>
          <w:rFonts w:ascii="Times New Roman" w:hAnsi="Times New Roman" w:cs="Times New Roman"/>
        </w:rPr>
        <w:tab/>
        <w:t>Sadee W, Wang D, Hartmann K, Toland AE. Pharmacogenomics: Driving Personalized Medicine. Pharmacol Rev. 2023 Jul;75(4):789–814. doi:10.1124/pharmrev.122.000810 PubMed PMID: 36927888; PubMed Central PMCID: PMC10289244.</w:t>
      </w:r>
    </w:p>
    <w:p w14:paraId="63B242C3"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lastRenderedPageBreak/>
        <w:t>49.</w:t>
      </w:r>
      <w:r w:rsidRPr="00E42D74">
        <w:rPr>
          <w:rFonts w:ascii="Times New Roman" w:hAnsi="Times New Roman" w:cs="Times New Roman"/>
        </w:rPr>
        <w:tab/>
        <w:t>Thottunkal S, Spahn C, Wang B, Rohatgi N, Hong J, Khandelwal A, et al. Clinician Experiences at the Frontier of Pharmacogenomics and Future Directions. Journal of Personalized Medicine. 2025 Jul 6;15(7). doi:10.3390/jpm15070294</w:t>
      </w:r>
    </w:p>
    <w:p w14:paraId="48B828ED"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50.</w:t>
      </w:r>
      <w:r w:rsidRPr="00E42D74">
        <w:rPr>
          <w:rFonts w:ascii="Times New Roman" w:hAnsi="Times New Roman" w:cs="Times New Roman"/>
        </w:rPr>
        <w:tab/>
        <w:t>Omran S, Gan SH, Teoh SL. Pharmacogenomics in drug therapy: global regulatory guidelines for managing high-risk drug reactions. Eur J Hum Genet. 2026 Jan;34(1):27–36. doi:10.1038/s41431-025-01950-6 PubMed PMID: 40993225; PubMed Central PMCID: PMC12815907.</w:t>
      </w:r>
    </w:p>
    <w:p w14:paraId="5C06F020"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51.</w:t>
      </w:r>
      <w:r w:rsidRPr="00E42D74">
        <w:rPr>
          <w:rFonts w:ascii="Times New Roman" w:hAnsi="Times New Roman" w:cs="Times New Roman"/>
        </w:rPr>
        <w:tab/>
        <w:t>Díaz-Villamarín X, Martínez-Pérez M, Nieto-Sánchez MT, Fernández-Varón E, Torres-García A, Blancas I, et al. Clinical Pharmacogenetics: Results After Implementation of Preemptive Tests in Daily Routine. Journal of Personalized Medicine. 2025 Jun 9;15(6). doi:10.3390/jpm15060245</w:t>
      </w:r>
    </w:p>
    <w:p w14:paraId="1136E846"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52.</w:t>
      </w:r>
      <w:r w:rsidRPr="00E42D74">
        <w:rPr>
          <w:rFonts w:ascii="Times New Roman" w:hAnsi="Times New Roman" w:cs="Times New Roman"/>
        </w:rPr>
        <w:tab/>
        <w:t>Wu LH, Liou IL, Kao Yang YH, Cheng CL. A Retrospective Study on the Impact and Benefits of Commercial Clinical Decision Support Systems in Clinical Decision-Making and Pharmaceutical Care. Integr Pharm Res Pract. 2025 Sep 29;14:137–47. doi:10.2147/IPRP.S526485 PubMed PMID: 41048993; PubMed Central PMCID: PMC12493107.</w:t>
      </w:r>
    </w:p>
    <w:p w14:paraId="0279877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53.</w:t>
      </w:r>
      <w:r w:rsidRPr="00E42D74">
        <w:rPr>
          <w:rFonts w:ascii="Times New Roman" w:hAnsi="Times New Roman" w:cs="Times New Roman"/>
        </w:rPr>
        <w:tab/>
        <w:t>Kowalski CP, Kawentel LM, Kyriakides TC, Davis L, Bowersox NW, Kilbourne AM, et al. Facilitating future implementation and translation to clinical practice: The Implementation Planning Assessment Tool for clinical trials. J Clin Transl Sci. 6(1):e131. doi:10.1017/cts.2022.467 PubMed PMID: 36590355; PubMed Central PMCID: PMC9794955.</w:t>
      </w:r>
    </w:p>
    <w:p w14:paraId="0B4DD4DE"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54.</w:t>
      </w:r>
      <w:r w:rsidRPr="00E42D74">
        <w:rPr>
          <w:rFonts w:ascii="Times New Roman" w:hAnsi="Times New Roman" w:cs="Times New Roman"/>
        </w:rPr>
        <w:tab/>
        <w:t>Akrour R, Larkin P, Verloo H. Adapting program theory to guide the implementation and evaluation of interventions delivered by advanced practice nurses in Hospital at Home: A programmatic framework for implementation and assessment. International Journal of Nursing Studies Advances. 2025 Dec 1;9:100444. doi:10.1016/j.ijnsa.2025.100444</w:t>
      </w:r>
    </w:p>
    <w:p w14:paraId="43EC01D2" w14:textId="77777777" w:rsidR="00D81A26" w:rsidRPr="00E42D74" w:rsidRDefault="00D81A26" w:rsidP="00D81A26">
      <w:pPr>
        <w:pStyle w:val="Bibliography"/>
        <w:rPr>
          <w:rFonts w:ascii="Times New Roman" w:hAnsi="Times New Roman" w:cs="Times New Roman"/>
        </w:rPr>
      </w:pPr>
      <w:r w:rsidRPr="00E42D74">
        <w:rPr>
          <w:rFonts w:ascii="Times New Roman" w:hAnsi="Times New Roman" w:cs="Times New Roman"/>
        </w:rPr>
        <w:t>55.</w:t>
      </w:r>
      <w:r w:rsidRPr="00E42D74">
        <w:rPr>
          <w:rFonts w:ascii="Times New Roman" w:hAnsi="Times New Roman" w:cs="Times New Roman"/>
        </w:rPr>
        <w:tab/>
        <w:t>Ashcraft LE, Goodrich DE, Hero J, Phares A, Bachrach RL, Quinn DA, et al. A systematic review of experimentally tested implementation strategies across health and human service settings: evidence from 2010-2022. Implementation Sci. 2024 Jun 24;19(1):43. doi:10.1186/s13012-024-01369-5</w:t>
      </w:r>
    </w:p>
    <w:p w14:paraId="500EB676" w14:textId="77777777" w:rsidR="00D81A26" w:rsidRPr="00D81A26" w:rsidRDefault="00D81A26" w:rsidP="00760ABA">
      <w:pPr>
        <w:jc w:val="both"/>
        <w:rPr>
          <w:rFonts w:ascii="Times New Roman" w:hAnsi="Times New Roman" w:cs="Times New Roman"/>
          <w:b/>
          <w:bCs/>
        </w:rPr>
      </w:pPr>
      <w:r w:rsidRPr="00E42D74">
        <w:rPr>
          <w:rFonts w:ascii="Times New Roman" w:hAnsi="Times New Roman" w:cs="Times New Roman"/>
          <w:b/>
          <w:bCs/>
        </w:rPr>
        <w:fldChar w:fldCharType="end"/>
      </w:r>
    </w:p>
    <w:p w14:paraId="5F7AADF9" w14:textId="77777777" w:rsidR="000643FA" w:rsidRPr="00760ABA" w:rsidRDefault="000643FA" w:rsidP="00760ABA">
      <w:pPr>
        <w:jc w:val="both"/>
        <w:rPr>
          <w:rFonts w:ascii="Times New Roman" w:hAnsi="Times New Roman" w:cs="Times New Roman"/>
        </w:rPr>
      </w:pPr>
    </w:p>
    <w:sectPr w:rsidR="000643FA" w:rsidRPr="00760AB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E95E5" w14:textId="77777777" w:rsidR="002646FA" w:rsidRDefault="002646FA" w:rsidP="00692F06">
      <w:pPr>
        <w:spacing w:after="0" w:line="240" w:lineRule="auto"/>
      </w:pPr>
      <w:r>
        <w:separator/>
      </w:r>
    </w:p>
  </w:endnote>
  <w:endnote w:type="continuationSeparator" w:id="0">
    <w:p w14:paraId="579B2B7F" w14:textId="77777777" w:rsidR="002646FA" w:rsidRDefault="002646FA" w:rsidP="00692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D3EC0" w14:textId="77777777" w:rsidR="00692F06" w:rsidRDefault="00692F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8C66" w14:textId="77777777" w:rsidR="00692F06" w:rsidRDefault="00692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AFC4" w14:textId="77777777" w:rsidR="00692F06" w:rsidRDefault="00692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692DF" w14:textId="77777777" w:rsidR="002646FA" w:rsidRDefault="002646FA" w:rsidP="00692F06">
      <w:pPr>
        <w:spacing w:after="0" w:line="240" w:lineRule="auto"/>
      </w:pPr>
      <w:r>
        <w:separator/>
      </w:r>
    </w:p>
  </w:footnote>
  <w:footnote w:type="continuationSeparator" w:id="0">
    <w:p w14:paraId="7F80A74C" w14:textId="77777777" w:rsidR="002646FA" w:rsidRDefault="002646FA" w:rsidP="00692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B28C1" w14:textId="114C001C" w:rsidR="00692F06" w:rsidRDefault="00692F06">
    <w:pPr>
      <w:pStyle w:val="Header"/>
    </w:pPr>
    <w:r>
      <w:rPr>
        <w:noProof/>
      </w:rPr>
      <w:pict w14:anchorId="02339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9B83" w14:textId="5BEF27E6" w:rsidR="00692F06" w:rsidRDefault="00692F06">
    <w:pPr>
      <w:pStyle w:val="Header"/>
    </w:pPr>
    <w:r>
      <w:rPr>
        <w:noProof/>
      </w:rPr>
      <w:pict w14:anchorId="314FC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AF37" w14:textId="44ED0527" w:rsidR="00692F06" w:rsidRDefault="00692F06">
    <w:pPr>
      <w:pStyle w:val="Header"/>
    </w:pPr>
    <w:r>
      <w:rPr>
        <w:noProof/>
      </w:rPr>
      <w:pict w14:anchorId="41A72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51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0FE1"/>
    <w:multiLevelType w:val="multilevel"/>
    <w:tmpl w:val="AF0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27E3C"/>
    <w:multiLevelType w:val="multilevel"/>
    <w:tmpl w:val="4950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0094"/>
    <w:multiLevelType w:val="multilevel"/>
    <w:tmpl w:val="9666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B3218"/>
    <w:multiLevelType w:val="multilevel"/>
    <w:tmpl w:val="1B5E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47822"/>
    <w:multiLevelType w:val="multilevel"/>
    <w:tmpl w:val="2082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72EE0"/>
    <w:multiLevelType w:val="multilevel"/>
    <w:tmpl w:val="22800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C1198"/>
    <w:multiLevelType w:val="multilevel"/>
    <w:tmpl w:val="4A74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35079"/>
    <w:multiLevelType w:val="multilevel"/>
    <w:tmpl w:val="0526F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351E8"/>
    <w:multiLevelType w:val="multilevel"/>
    <w:tmpl w:val="019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27F3B"/>
    <w:multiLevelType w:val="multilevel"/>
    <w:tmpl w:val="A4A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E5468"/>
    <w:multiLevelType w:val="multilevel"/>
    <w:tmpl w:val="A0BC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82088"/>
    <w:multiLevelType w:val="multilevel"/>
    <w:tmpl w:val="60D8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F3AE4"/>
    <w:multiLevelType w:val="multilevel"/>
    <w:tmpl w:val="FAB4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34991"/>
    <w:multiLevelType w:val="multilevel"/>
    <w:tmpl w:val="F45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D78D8"/>
    <w:multiLevelType w:val="multilevel"/>
    <w:tmpl w:val="92E4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14754"/>
    <w:multiLevelType w:val="multilevel"/>
    <w:tmpl w:val="3C82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27BBD"/>
    <w:multiLevelType w:val="multilevel"/>
    <w:tmpl w:val="9740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F1D23"/>
    <w:multiLevelType w:val="multilevel"/>
    <w:tmpl w:val="EDD2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EF5D30"/>
    <w:multiLevelType w:val="multilevel"/>
    <w:tmpl w:val="69AE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E7B77"/>
    <w:multiLevelType w:val="multilevel"/>
    <w:tmpl w:val="8E24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C4F09"/>
    <w:multiLevelType w:val="multilevel"/>
    <w:tmpl w:val="86A0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357B19"/>
    <w:multiLevelType w:val="multilevel"/>
    <w:tmpl w:val="7010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6261B"/>
    <w:multiLevelType w:val="multilevel"/>
    <w:tmpl w:val="2B98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90DCB"/>
    <w:multiLevelType w:val="multilevel"/>
    <w:tmpl w:val="A86253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75672"/>
    <w:multiLevelType w:val="multilevel"/>
    <w:tmpl w:val="471C8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FD6D23"/>
    <w:multiLevelType w:val="multilevel"/>
    <w:tmpl w:val="4F18A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F84059"/>
    <w:multiLevelType w:val="multilevel"/>
    <w:tmpl w:val="8E2C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B580B"/>
    <w:multiLevelType w:val="multilevel"/>
    <w:tmpl w:val="EF66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417AB7"/>
    <w:multiLevelType w:val="multilevel"/>
    <w:tmpl w:val="3FD8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E509A6"/>
    <w:multiLevelType w:val="multilevel"/>
    <w:tmpl w:val="8994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A660E8"/>
    <w:multiLevelType w:val="multilevel"/>
    <w:tmpl w:val="041AC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C303E"/>
    <w:multiLevelType w:val="multilevel"/>
    <w:tmpl w:val="054E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6C012F"/>
    <w:multiLevelType w:val="multilevel"/>
    <w:tmpl w:val="39C2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C27053"/>
    <w:multiLevelType w:val="multilevel"/>
    <w:tmpl w:val="BAF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54609"/>
    <w:multiLevelType w:val="multilevel"/>
    <w:tmpl w:val="F456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A80D85"/>
    <w:multiLevelType w:val="multilevel"/>
    <w:tmpl w:val="B4C2F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2C4A22"/>
    <w:multiLevelType w:val="multilevel"/>
    <w:tmpl w:val="6C24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F97EF7"/>
    <w:multiLevelType w:val="multilevel"/>
    <w:tmpl w:val="5CD4B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F81C0E"/>
    <w:multiLevelType w:val="multilevel"/>
    <w:tmpl w:val="E5F2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A26760"/>
    <w:multiLevelType w:val="multilevel"/>
    <w:tmpl w:val="3CCE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A0225F"/>
    <w:multiLevelType w:val="multilevel"/>
    <w:tmpl w:val="79B8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A13ADA"/>
    <w:multiLevelType w:val="multilevel"/>
    <w:tmpl w:val="EF1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B22004"/>
    <w:multiLevelType w:val="multilevel"/>
    <w:tmpl w:val="E59C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F926CF"/>
    <w:multiLevelType w:val="multilevel"/>
    <w:tmpl w:val="F77E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696BCB"/>
    <w:multiLevelType w:val="multilevel"/>
    <w:tmpl w:val="49B0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3E59A8"/>
    <w:multiLevelType w:val="multilevel"/>
    <w:tmpl w:val="74D2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287EFE"/>
    <w:multiLevelType w:val="multilevel"/>
    <w:tmpl w:val="6586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4"/>
  </w:num>
  <w:num w:numId="3">
    <w:abstractNumId w:val="5"/>
  </w:num>
  <w:num w:numId="4">
    <w:abstractNumId w:val="42"/>
  </w:num>
  <w:num w:numId="5">
    <w:abstractNumId w:val="27"/>
  </w:num>
  <w:num w:numId="6">
    <w:abstractNumId w:val="41"/>
  </w:num>
  <w:num w:numId="7">
    <w:abstractNumId w:val="32"/>
  </w:num>
  <w:num w:numId="8">
    <w:abstractNumId w:val="10"/>
  </w:num>
  <w:num w:numId="9">
    <w:abstractNumId w:val="21"/>
  </w:num>
  <w:num w:numId="10">
    <w:abstractNumId w:val="13"/>
  </w:num>
  <w:num w:numId="11">
    <w:abstractNumId w:val="11"/>
  </w:num>
  <w:num w:numId="12">
    <w:abstractNumId w:val="22"/>
  </w:num>
  <w:num w:numId="13">
    <w:abstractNumId w:val="25"/>
  </w:num>
  <w:num w:numId="14">
    <w:abstractNumId w:val="28"/>
  </w:num>
  <w:num w:numId="15">
    <w:abstractNumId w:val="35"/>
  </w:num>
  <w:num w:numId="16">
    <w:abstractNumId w:val="16"/>
  </w:num>
  <w:num w:numId="17">
    <w:abstractNumId w:val="15"/>
  </w:num>
  <w:num w:numId="18">
    <w:abstractNumId w:val="3"/>
  </w:num>
  <w:num w:numId="19">
    <w:abstractNumId w:val="37"/>
  </w:num>
  <w:num w:numId="20">
    <w:abstractNumId w:val="8"/>
  </w:num>
  <w:num w:numId="21">
    <w:abstractNumId w:val="23"/>
  </w:num>
  <w:num w:numId="22">
    <w:abstractNumId w:val="39"/>
  </w:num>
  <w:num w:numId="23">
    <w:abstractNumId w:val="44"/>
  </w:num>
  <w:num w:numId="24">
    <w:abstractNumId w:val="14"/>
  </w:num>
  <w:num w:numId="25">
    <w:abstractNumId w:val="9"/>
  </w:num>
  <w:num w:numId="26">
    <w:abstractNumId w:val="1"/>
  </w:num>
  <w:num w:numId="27">
    <w:abstractNumId w:val="18"/>
  </w:num>
  <w:num w:numId="28">
    <w:abstractNumId w:val="36"/>
  </w:num>
  <w:num w:numId="29">
    <w:abstractNumId w:val="6"/>
  </w:num>
  <w:num w:numId="30">
    <w:abstractNumId w:val="31"/>
  </w:num>
  <w:num w:numId="31">
    <w:abstractNumId w:val="46"/>
  </w:num>
  <w:num w:numId="32">
    <w:abstractNumId w:val="45"/>
  </w:num>
  <w:num w:numId="33">
    <w:abstractNumId w:val="0"/>
  </w:num>
  <w:num w:numId="34">
    <w:abstractNumId w:val="43"/>
  </w:num>
  <w:num w:numId="35">
    <w:abstractNumId w:val="40"/>
  </w:num>
  <w:num w:numId="36">
    <w:abstractNumId w:val="20"/>
  </w:num>
  <w:num w:numId="37">
    <w:abstractNumId w:val="17"/>
  </w:num>
  <w:num w:numId="38">
    <w:abstractNumId w:val="26"/>
  </w:num>
  <w:num w:numId="39">
    <w:abstractNumId w:val="4"/>
  </w:num>
  <w:num w:numId="40">
    <w:abstractNumId w:val="29"/>
  </w:num>
  <w:num w:numId="41">
    <w:abstractNumId w:val="7"/>
  </w:num>
  <w:num w:numId="42">
    <w:abstractNumId w:val="30"/>
  </w:num>
  <w:num w:numId="43">
    <w:abstractNumId w:val="19"/>
  </w:num>
  <w:num w:numId="44">
    <w:abstractNumId w:val="33"/>
  </w:num>
  <w:num w:numId="45">
    <w:abstractNumId w:val="12"/>
  </w:num>
  <w:num w:numId="46">
    <w:abstractNumId w:val="2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3FA"/>
    <w:rsid w:val="0004444D"/>
    <w:rsid w:val="000643FA"/>
    <w:rsid w:val="00095CE9"/>
    <w:rsid w:val="000B4BC1"/>
    <w:rsid w:val="00100B18"/>
    <w:rsid w:val="00116FAC"/>
    <w:rsid w:val="001211F3"/>
    <w:rsid w:val="00143CFD"/>
    <w:rsid w:val="0019672A"/>
    <w:rsid w:val="001E5F30"/>
    <w:rsid w:val="001F3758"/>
    <w:rsid w:val="002026FD"/>
    <w:rsid w:val="002646FA"/>
    <w:rsid w:val="002B3821"/>
    <w:rsid w:val="002C350F"/>
    <w:rsid w:val="002F6694"/>
    <w:rsid w:val="003472A2"/>
    <w:rsid w:val="00385E22"/>
    <w:rsid w:val="003A778F"/>
    <w:rsid w:val="004C434B"/>
    <w:rsid w:val="005923A9"/>
    <w:rsid w:val="005C43E9"/>
    <w:rsid w:val="006057D9"/>
    <w:rsid w:val="00692C7E"/>
    <w:rsid w:val="00692F06"/>
    <w:rsid w:val="006B0003"/>
    <w:rsid w:val="006D009A"/>
    <w:rsid w:val="006E0576"/>
    <w:rsid w:val="00760ABA"/>
    <w:rsid w:val="007928C4"/>
    <w:rsid w:val="00796268"/>
    <w:rsid w:val="007D5081"/>
    <w:rsid w:val="007F0049"/>
    <w:rsid w:val="008202CE"/>
    <w:rsid w:val="00827584"/>
    <w:rsid w:val="0083175E"/>
    <w:rsid w:val="008744F5"/>
    <w:rsid w:val="00882B73"/>
    <w:rsid w:val="008E3B75"/>
    <w:rsid w:val="009B064D"/>
    <w:rsid w:val="009B0ACF"/>
    <w:rsid w:val="009B1C5C"/>
    <w:rsid w:val="009D5E9A"/>
    <w:rsid w:val="00A955C1"/>
    <w:rsid w:val="00AB2C3F"/>
    <w:rsid w:val="00AD780F"/>
    <w:rsid w:val="00B121EF"/>
    <w:rsid w:val="00B80D98"/>
    <w:rsid w:val="00BB49EC"/>
    <w:rsid w:val="00C076C4"/>
    <w:rsid w:val="00C22BB7"/>
    <w:rsid w:val="00C54F31"/>
    <w:rsid w:val="00D81A26"/>
    <w:rsid w:val="00DA1203"/>
    <w:rsid w:val="00DB3765"/>
    <w:rsid w:val="00DB723B"/>
    <w:rsid w:val="00E42D74"/>
    <w:rsid w:val="00E44F7A"/>
    <w:rsid w:val="00E560E0"/>
    <w:rsid w:val="00EE4476"/>
    <w:rsid w:val="00F1737F"/>
    <w:rsid w:val="00F711F4"/>
    <w:rsid w:val="00FA37CB"/>
    <w:rsid w:val="00FA5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5EAD1F"/>
  <w15:chartTrackingRefBased/>
  <w15:docId w15:val="{AFD3843B-58E4-49A0-86CF-7170AA578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3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43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43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43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43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43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3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3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3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3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43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43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43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43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43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3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3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3FA"/>
    <w:rPr>
      <w:rFonts w:eastAsiaTheme="majorEastAsia" w:cstheme="majorBidi"/>
      <w:color w:val="272727" w:themeColor="text1" w:themeTint="D8"/>
    </w:rPr>
  </w:style>
  <w:style w:type="paragraph" w:styleId="Title">
    <w:name w:val="Title"/>
    <w:basedOn w:val="Normal"/>
    <w:next w:val="Normal"/>
    <w:link w:val="TitleChar"/>
    <w:uiPriority w:val="10"/>
    <w:qFormat/>
    <w:rsid w:val="000643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3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3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3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3FA"/>
    <w:pPr>
      <w:spacing w:before="160"/>
      <w:jc w:val="center"/>
    </w:pPr>
    <w:rPr>
      <w:i/>
      <w:iCs/>
      <w:color w:val="404040" w:themeColor="text1" w:themeTint="BF"/>
    </w:rPr>
  </w:style>
  <w:style w:type="character" w:customStyle="1" w:styleId="QuoteChar">
    <w:name w:val="Quote Char"/>
    <w:basedOn w:val="DefaultParagraphFont"/>
    <w:link w:val="Quote"/>
    <w:uiPriority w:val="29"/>
    <w:rsid w:val="000643FA"/>
    <w:rPr>
      <w:i/>
      <w:iCs/>
      <w:color w:val="404040" w:themeColor="text1" w:themeTint="BF"/>
    </w:rPr>
  </w:style>
  <w:style w:type="paragraph" w:styleId="ListParagraph">
    <w:name w:val="List Paragraph"/>
    <w:basedOn w:val="Normal"/>
    <w:uiPriority w:val="34"/>
    <w:qFormat/>
    <w:rsid w:val="000643FA"/>
    <w:pPr>
      <w:ind w:left="720"/>
      <w:contextualSpacing/>
    </w:pPr>
  </w:style>
  <w:style w:type="character" w:styleId="IntenseEmphasis">
    <w:name w:val="Intense Emphasis"/>
    <w:basedOn w:val="DefaultParagraphFont"/>
    <w:uiPriority w:val="21"/>
    <w:qFormat/>
    <w:rsid w:val="000643FA"/>
    <w:rPr>
      <w:i/>
      <w:iCs/>
      <w:color w:val="2F5496" w:themeColor="accent1" w:themeShade="BF"/>
    </w:rPr>
  </w:style>
  <w:style w:type="paragraph" w:styleId="IntenseQuote">
    <w:name w:val="Intense Quote"/>
    <w:basedOn w:val="Normal"/>
    <w:next w:val="Normal"/>
    <w:link w:val="IntenseQuoteChar"/>
    <w:uiPriority w:val="30"/>
    <w:qFormat/>
    <w:rsid w:val="000643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43FA"/>
    <w:rPr>
      <w:i/>
      <w:iCs/>
      <w:color w:val="2F5496" w:themeColor="accent1" w:themeShade="BF"/>
    </w:rPr>
  </w:style>
  <w:style w:type="character" w:styleId="IntenseReference">
    <w:name w:val="Intense Reference"/>
    <w:basedOn w:val="DefaultParagraphFont"/>
    <w:uiPriority w:val="32"/>
    <w:qFormat/>
    <w:rsid w:val="000643FA"/>
    <w:rPr>
      <w:b/>
      <w:bCs/>
      <w:smallCaps/>
      <w:color w:val="2F5496" w:themeColor="accent1" w:themeShade="BF"/>
      <w:spacing w:val="5"/>
    </w:rPr>
  </w:style>
  <w:style w:type="table" w:styleId="PlainTable1">
    <w:name w:val="Plain Table 1"/>
    <w:basedOn w:val="TableNormal"/>
    <w:uiPriority w:val="41"/>
    <w:rsid w:val="00FA57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B3765"/>
    <w:rPr>
      <w:rFonts w:ascii="Times New Roman" w:hAnsi="Times New Roman" w:cs="Times New Roman"/>
    </w:rPr>
  </w:style>
  <w:style w:type="paragraph" w:styleId="Bibliography">
    <w:name w:val="Bibliography"/>
    <w:basedOn w:val="Normal"/>
    <w:next w:val="Normal"/>
    <w:uiPriority w:val="37"/>
    <w:unhideWhenUsed/>
    <w:rsid w:val="00D81A26"/>
    <w:pPr>
      <w:tabs>
        <w:tab w:val="left" w:pos="384"/>
      </w:tabs>
      <w:spacing w:after="240" w:line="240" w:lineRule="auto"/>
      <w:ind w:left="384" w:hanging="384"/>
    </w:pPr>
  </w:style>
  <w:style w:type="character" w:styleId="Hyperlink">
    <w:name w:val="Hyperlink"/>
    <w:basedOn w:val="DefaultParagraphFont"/>
    <w:uiPriority w:val="99"/>
    <w:unhideWhenUsed/>
    <w:rsid w:val="008744F5"/>
    <w:rPr>
      <w:color w:val="0563C1" w:themeColor="hyperlink"/>
      <w:u w:val="single"/>
    </w:rPr>
  </w:style>
  <w:style w:type="character" w:styleId="UnresolvedMention">
    <w:name w:val="Unresolved Mention"/>
    <w:basedOn w:val="DefaultParagraphFont"/>
    <w:uiPriority w:val="99"/>
    <w:semiHidden/>
    <w:unhideWhenUsed/>
    <w:rsid w:val="008744F5"/>
    <w:rPr>
      <w:color w:val="605E5C"/>
      <w:shd w:val="clear" w:color="auto" w:fill="E1DFDD"/>
    </w:rPr>
  </w:style>
  <w:style w:type="paragraph" w:styleId="Header">
    <w:name w:val="header"/>
    <w:basedOn w:val="Normal"/>
    <w:link w:val="HeaderChar"/>
    <w:uiPriority w:val="99"/>
    <w:unhideWhenUsed/>
    <w:rsid w:val="0069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F06"/>
  </w:style>
  <w:style w:type="paragraph" w:styleId="Footer">
    <w:name w:val="footer"/>
    <w:basedOn w:val="Normal"/>
    <w:link w:val="FooterChar"/>
    <w:uiPriority w:val="99"/>
    <w:unhideWhenUsed/>
    <w:rsid w:val="0069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F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19</Pages>
  <Words>33617</Words>
  <Characters>191618</Characters>
  <Application>Microsoft Office Word</Application>
  <DocSecurity>0</DocSecurity>
  <Lines>1596</Lines>
  <Paragraphs>449</Paragraphs>
  <ScaleCrop>false</ScaleCrop>
  <Company/>
  <LinksUpToDate>false</LinksUpToDate>
  <CharactersWithSpaces>224786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59</cp:revision>
  <dcterms:created xsi:type="dcterms:W3CDTF">2026-04-14T10:58:00Z</dcterms:created>
  <dcterms:modified xsi:type="dcterms:W3CDTF">2026-04-17T10:37:00Z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id="aU81a1dR"/&gt;&lt;style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