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067C5D" w14:textId="77777777" w:rsidR="00315EE3" w:rsidRPr="00A96C26" w:rsidRDefault="00315EE3" w:rsidP="009F55DB">
      <w:pPr>
        <w:ind w:left="720"/>
        <w:jc w:val="center"/>
        <w:rPr>
          <w:rFonts w:ascii="Times New Roman" w:hAnsi="Times New Roman" w:cs="Times New Roman"/>
          <w:b/>
          <w:bCs/>
          <w:sz w:val="28"/>
          <w:szCs w:val="32"/>
        </w:rPr>
      </w:pPr>
      <w:r w:rsidRPr="00A96C26">
        <w:rPr>
          <w:rFonts w:ascii="Times New Roman" w:hAnsi="Times New Roman" w:cs="Times New Roman"/>
          <w:b/>
          <w:bCs/>
          <w:sz w:val="28"/>
          <w:szCs w:val="32"/>
        </w:rPr>
        <w:t xml:space="preserve">Next-Generation Drug Delivery: </w:t>
      </w:r>
      <w:proofErr w:type="spellStart"/>
      <w:r w:rsidRPr="00A96C26">
        <w:rPr>
          <w:rFonts w:ascii="Times New Roman" w:hAnsi="Times New Roman" w:cs="Times New Roman"/>
          <w:b/>
          <w:bCs/>
          <w:sz w:val="28"/>
          <w:szCs w:val="32"/>
        </w:rPr>
        <w:t>Transethosomes</w:t>
      </w:r>
      <w:proofErr w:type="spellEnd"/>
      <w:r w:rsidRPr="00A96C26">
        <w:rPr>
          <w:rFonts w:ascii="Times New Roman" w:hAnsi="Times New Roman" w:cs="Times New Roman"/>
          <w:b/>
          <w:bCs/>
          <w:sz w:val="28"/>
          <w:szCs w:val="32"/>
        </w:rPr>
        <w:t xml:space="preserve"> in Rheumatoid Arthritis Therapy</w:t>
      </w:r>
    </w:p>
    <w:p w14:paraId="56F8E647" w14:textId="415758A9" w:rsidR="009F55DB" w:rsidRDefault="009F55DB" w:rsidP="009F55DB">
      <w:pPr>
        <w:jc w:val="both"/>
        <w:rPr>
          <w:rFonts w:ascii="Times New Roman" w:hAnsi="Times New Roman" w:cs="Times New Roman"/>
          <w:b/>
          <w:bCs/>
          <w:sz w:val="28"/>
          <w:szCs w:val="32"/>
        </w:rPr>
      </w:pPr>
    </w:p>
    <w:p w14:paraId="4EF122E9" w14:textId="77777777" w:rsidR="00C00ED1" w:rsidRPr="00A96C26" w:rsidRDefault="00C00ED1" w:rsidP="009F55DB">
      <w:pPr>
        <w:jc w:val="both"/>
        <w:rPr>
          <w:rFonts w:ascii="Times New Roman" w:hAnsi="Times New Roman" w:cs="Times New Roman"/>
          <w:b/>
          <w:bCs/>
          <w:sz w:val="28"/>
          <w:szCs w:val="32"/>
        </w:rPr>
      </w:pPr>
      <w:bookmarkStart w:id="0" w:name="_GoBack"/>
      <w:bookmarkEnd w:id="0"/>
    </w:p>
    <w:p w14:paraId="01309328" w14:textId="77777777" w:rsidR="009F55DB" w:rsidRPr="00A96C26" w:rsidRDefault="009F55DB" w:rsidP="009F55DB">
      <w:pPr>
        <w:jc w:val="both"/>
        <w:rPr>
          <w:rFonts w:ascii="Times New Roman" w:hAnsi="Times New Roman" w:cs="Times New Roman"/>
          <w:b/>
          <w:bCs/>
          <w:szCs w:val="28"/>
        </w:rPr>
      </w:pPr>
      <w:r w:rsidRPr="00A96C26">
        <w:rPr>
          <w:rFonts w:ascii="Times New Roman" w:hAnsi="Times New Roman" w:cs="Times New Roman"/>
          <w:b/>
          <w:bCs/>
          <w:szCs w:val="28"/>
        </w:rPr>
        <w:t>Abstract</w:t>
      </w:r>
    </w:p>
    <w:p w14:paraId="3F8A19D5" w14:textId="77777777" w:rsidR="009F55DB" w:rsidRPr="00A96C26" w:rsidRDefault="009F55DB" w:rsidP="009F55DB">
      <w:pPr>
        <w:jc w:val="both"/>
        <w:rPr>
          <w:rFonts w:ascii="Times New Roman" w:hAnsi="Times New Roman" w:cs="Times New Roman"/>
          <w:b/>
          <w:bCs/>
          <w:szCs w:val="28"/>
        </w:rPr>
      </w:pPr>
      <w:r w:rsidRPr="00A96C26">
        <w:rPr>
          <w:rFonts w:ascii="Times New Roman" w:hAnsi="Times New Roman" w:cs="Times New Roman"/>
          <w:b/>
          <w:bCs/>
          <w:szCs w:val="28"/>
        </w:rPr>
        <w:t>Background</w:t>
      </w:r>
    </w:p>
    <w:p w14:paraId="300DD1FA" w14:textId="77777777" w:rsidR="009F55DB" w:rsidRPr="00A96C26" w:rsidRDefault="009F55DB" w:rsidP="009F55DB">
      <w:pPr>
        <w:jc w:val="both"/>
        <w:rPr>
          <w:rFonts w:ascii="Times New Roman" w:hAnsi="Times New Roman" w:cs="Times New Roman"/>
          <w:szCs w:val="28"/>
        </w:rPr>
      </w:pPr>
      <w:r w:rsidRPr="00A96C26">
        <w:rPr>
          <w:rFonts w:ascii="Times New Roman" w:hAnsi="Times New Roman" w:cs="Times New Roman"/>
          <w:szCs w:val="28"/>
        </w:rPr>
        <w:t>Rheumatoid arthritis (RA) remains a major global health burden affecting approximately 0.5-1% of the adult population. Current disease-modifying antirheumatic drug (DMARD) therapies, including methotrexate and biologic agents, demonstrate limited bioavailability, inadequate synovial tissue penetration, and dose-limiting systemic toxicity, resulting in suboptimal disease control in 30-40% of patients. The synovial-blood barrier restricts drug delivery to affected joints, necessitating higher systemic doses that increase hepatotoxicity, bone marrow suppression, and gastrointestinal complications.</w:t>
      </w:r>
    </w:p>
    <w:p w14:paraId="1D3D41B5" w14:textId="77777777" w:rsidR="009F55DB" w:rsidRPr="00A96C26" w:rsidRDefault="009F55DB" w:rsidP="009F55DB">
      <w:pPr>
        <w:jc w:val="both"/>
        <w:rPr>
          <w:rFonts w:ascii="Times New Roman" w:hAnsi="Times New Roman" w:cs="Times New Roman"/>
          <w:b/>
          <w:bCs/>
          <w:szCs w:val="28"/>
        </w:rPr>
      </w:pPr>
      <w:r w:rsidRPr="00A96C26">
        <w:rPr>
          <w:rFonts w:ascii="Times New Roman" w:hAnsi="Times New Roman" w:cs="Times New Roman"/>
          <w:b/>
          <w:bCs/>
          <w:szCs w:val="28"/>
        </w:rPr>
        <w:t>Introduction</w:t>
      </w:r>
    </w:p>
    <w:p w14:paraId="520E8715" w14:textId="77777777" w:rsidR="009F55DB" w:rsidRPr="00A96C26" w:rsidRDefault="009F55DB" w:rsidP="009F55DB">
      <w:pPr>
        <w:jc w:val="both"/>
        <w:rPr>
          <w:rFonts w:ascii="Times New Roman" w:hAnsi="Times New Roman" w:cs="Times New Roman"/>
          <w:szCs w:val="28"/>
        </w:rPr>
      </w:pP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represent an innovative nanotechnology-based delivery system combining deformable lipid vesicles with edge activators (ethanol, terpenes) to overcome biological barriers. These elastic nanovesicles demonstrate </w:t>
      </w:r>
      <w:proofErr w:type="gramStart"/>
      <w:r w:rsidRPr="00A96C26">
        <w:rPr>
          <w:rFonts w:ascii="Times New Roman" w:hAnsi="Times New Roman" w:cs="Times New Roman"/>
          <w:szCs w:val="28"/>
        </w:rPr>
        <w:t>2-3 fold</w:t>
      </w:r>
      <w:proofErr w:type="gramEnd"/>
      <w:r w:rsidRPr="00A96C26">
        <w:rPr>
          <w:rFonts w:ascii="Times New Roman" w:hAnsi="Times New Roman" w:cs="Times New Roman"/>
          <w:szCs w:val="28"/>
        </w:rPr>
        <w:t xml:space="preserve"> superior deformability compared to conventional liposomes, enabling enhanced tissue penetration and cellular uptake while preferentially targeting inflamed synovial tissue through enhanced permeability and retention (EPR) effect mechanisms.</w:t>
      </w:r>
    </w:p>
    <w:p w14:paraId="126111AA" w14:textId="77777777" w:rsidR="009F55DB" w:rsidRPr="00A96C26" w:rsidRDefault="009F55DB" w:rsidP="009F55DB">
      <w:pPr>
        <w:jc w:val="both"/>
        <w:rPr>
          <w:rFonts w:ascii="Times New Roman" w:hAnsi="Times New Roman" w:cs="Times New Roman"/>
          <w:b/>
          <w:bCs/>
          <w:szCs w:val="28"/>
        </w:rPr>
      </w:pPr>
      <w:r w:rsidRPr="00A96C26">
        <w:rPr>
          <w:rFonts w:ascii="Times New Roman" w:hAnsi="Times New Roman" w:cs="Times New Roman"/>
          <w:b/>
          <w:bCs/>
          <w:szCs w:val="28"/>
        </w:rPr>
        <w:t>Methodology</w:t>
      </w:r>
    </w:p>
    <w:p w14:paraId="30EF62DA" w14:textId="77777777" w:rsidR="009F55DB" w:rsidRPr="00A96C26" w:rsidRDefault="009F55DB" w:rsidP="009F55DB">
      <w:pPr>
        <w:jc w:val="both"/>
        <w:rPr>
          <w:rFonts w:ascii="Times New Roman" w:hAnsi="Times New Roman" w:cs="Times New Roman"/>
          <w:szCs w:val="28"/>
        </w:rPr>
      </w:pPr>
      <w:r w:rsidRPr="00A96C26">
        <w:rPr>
          <w:rFonts w:ascii="Times New Roman" w:hAnsi="Times New Roman" w:cs="Times New Roman"/>
          <w:szCs w:val="28"/>
        </w:rPr>
        <w:t xml:space="preserve">This comprehensive review synthesizes preclinical and emerging clinical evidence on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formulations for RA through systematic analysis of in vitro studies, ex vivo tissue models, in vivo animal models (collagen-induced arthritis, adjuvant-induced arthritis), and early-phase clinical development data. Comparative analysis with alternative delivery systems (liposomes, </w:t>
      </w:r>
      <w:proofErr w:type="spellStart"/>
      <w:r w:rsidRPr="00A96C26">
        <w:rPr>
          <w:rFonts w:ascii="Times New Roman" w:hAnsi="Times New Roman" w:cs="Times New Roman"/>
          <w:szCs w:val="28"/>
        </w:rPr>
        <w:t>niosomes</w:t>
      </w:r>
      <w:proofErr w:type="spellEnd"/>
      <w:r w:rsidRPr="00A96C26">
        <w:rPr>
          <w:rFonts w:ascii="Times New Roman" w:hAnsi="Times New Roman" w:cs="Times New Roman"/>
          <w:szCs w:val="28"/>
        </w:rPr>
        <w:t>, micelles, nanoparticles) and future perspectives on clinical translation were evaluated.</w:t>
      </w:r>
    </w:p>
    <w:p w14:paraId="6AB01298" w14:textId="77777777" w:rsidR="009F55DB" w:rsidRPr="00A96C26" w:rsidRDefault="009F55DB" w:rsidP="009F55DB">
      <w:pPr>
        <w:jc w:val="both"/>
        <w:rPr>
          <w:rFonts w:ascii="Times New Roman" w:hAnsi="Times New Roman" w:cs="Times New Roman"/>
          <w:b/>
          <w:bCs/>
          <w:szCs w:val="28"/>
        </w:rPr>
      </w:pPr>
      <w:r w:rsidRPr="00A96C26">
        <w:rPr>
          <w:rFonts w:ascii="Times New Roman" w:hAnsi="Times New Roman" w:cs="Times New Roman"/>
          <w:b/>
          <w:bCs/>
          <w:szCs w:val="28"/>
        </w:rPr>
        <w:t>Results</w:t>
      </w:r>
    </w:p>
    <w:p w14:paraId="7FC64368" w14:textId="77777777" w:rsidR="009F55DB" w:rsidRPr="00A96C26" w:rsidRDefault="009F55DB" w:rsidP="009F55DB">
      <w:pPr>
        <w:jc w:val="both"/>
        <w:rPr>
          <w:rFonts w:ascii="Times New Roman" w:hAnsi="Times New Roman" w:cs="Times New Roman"/>
          <w:szCs w:val="28"/>
        </w:rPr>
      </w:pPr>
      <w:r w:rsidRPr="00A96C26">
        <w:rPr>
          <w:rFonts w:ascii="Times New Roman" w:hAnsi="Times New Roman" w:cs="Times New Roman"/>
          <w:szCs w:val="28"/>
        </w:rPr>
        <w:t xml:space="preserve">Preclinical studies demonstrate that methotrexate-loaded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achieve 65-75% disease suppression at 0.5-1.0 mg/kg intra-articular dose, compared to 25-35% with free MTX at equivalent doses and 40-50% with conventional liposomes.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reduce systemic MTX exposure </w:t>
      </w:r>
      <w:proofErr w:type="gramStart"/>
      <w:r w:rsidRPr="00A96C26">
        <w:rPr>
          <w:rFonts w:ascii="Times New Roman" w:hAnsi="Times New Roman" w:cs="Times New Roman"/>
          <w:szCs w:val="28"/>
        </w:rPr>
        <w:t>4-8 fold</w:t>
      </w:r>
      <w:proofErr w:type="gramEnd"/>
      <w:r w:rsidRPr="00A96C26">
        <w:rPr>
          <w:rFonts w:ascii="Times New Roman" w:hAnsi="Times New Roman" w:cs="Times New Roman"/>
          <w:szCs w:val="28"/>
        </w:rPr>
        <w:t xml:space="preserve"> (</w:t>
      </w:r>
      <w:proofErr w:type="spellStart"/>
      <w:r w:rsidRPr="00A96C26">
        <w:rPr>
          <w:rFonts w:ascii="Times New Roman" w:hAnsi="Times New Roman" w:cs="Times New Roman"/>
          <w:szCs w:val="28"/>
        </w:rPr>
        <w:t>Cmax</w:t>
      </w:r>
      <w:proofErr w:type="spellEnd"/>
      <w:r w:rsidRPr="00A96C26">
        <w:rPr>
          <w:rFonts w:ascii="Times New Roman" w:hAnsi="Times New Roman" w:cs="Times New Roman"/>
          <w:szCs w:val="28"/>
        </w:rPr>
        <w:t xml:space="preserve">: 1.5-2.5 </w:t>
      </w:r>
      <w:proofErr w:type="spellStart"/>
      <w:r w:rsidRPr="00A96C26">
        <w:rPr>
          <w:rFonts w:ascii="Times New Roman" w:hAnsi="Times New Roman" w:cs="Times New Roman"/>
          <w:szCs w:val="28"/>
        </w:rPr>
        <w:t>μM</w:t>
      </w:r>
      <w:proofErr w:type="spellEnd"/>
      <w:r w:rsidRPr="00A96C26">
        <w:rPr>
          <w:rFonts w:ascii="Times New Roman" w:hAnsi="Times New Roman" w:cs="Times New Roman"/>
          <w:szCs w:val="28"/>
        </w:rPr>
        <w:t xml:space="preserve"> vs. 8-12 </w:t>
      </w:r>
      <w:proofErr w:type="spellStart"/>
      <w:r w:rsidRPr="00A96C26">
        <w:rPr>
          <w:rFonts w:ascii="Times New Roman" w:hAnsi="Times New Roman" w:cs="Times New Roman"/>
          <w:szCs w:val="28"/>
        </w:rPr>
        <w:t>μM</w:t>
      </w:r>
      <w:proofErr w:type="spellEnd"/>
      <w:r w:rsidRPr="00A96C26">
        <w:rPr>
          <w:rFonts w:ascii="Times New Roman" w:hAnsi="Times New Roman" w:cs="Times New Roman"/>
          <w:szCs w:val="28"/>
        </w:rPr>
        <w:t xml:space="preserve"> for free MTX), dramatically reducing hepatotoxicity risk while enhancing synovial tissue accumulation 10-20 fold. Cellular uptake studies show </w:t>
      </w:r>
      <w:proofErr w:type="gramStart"/>
      <w:r w:rsidRPr="00A96C26">
        <w:rPr>
          <w:rFonts w:ascii="Times New Roman" w:hAnsi="Times New Roman" w:cs="Times New Roman"/>
          <w:szCs w:val="28"/>
        </w:rPr>
        <w:t>3-5 fold</w:t>
      </w:r>
      <w:proofErr w:type="gramEnd"/>
      <w:r w:rsidRPr="00A96C26">
        <w:rPr>
          <w:rFonts w:ascii="Times New Roman" w:hAnsi="Times New Roman" w:cs="Times New Roman"/>
          <w:szCs w:val="28"/>
        </w:rPr>
        <w:t xml:space="preserve"> higher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internalization compared to conventional liposomes. Superior intracellular drug bioavailability enables </w:t>
      </w:r>
      <w:proofErr w:type="gramStart"/>
      <w:r w:rsidRPr="00A96C26">
        <w:rPr>
          <w:rFonts w:ascii="Times New Roman" w:hAnsi="Times New Roman" w:cs="Times New Roman"/>
          <w:szCs w:val="28"/>
        </w:rPr>
        <w:t>2-5 fold</w:t>
      </w:r>
      <w:proofErr w:type="gramEnd"/>
      <w:r w:rsidRPr="00A96C26">
        <w:rPr>
          <w:rFonts w:ascii="Times New Roman" w:hAnsi="Times New Roman" w:cs="Times New Roman"/>
          <w:szCs w:val="28"/>
        </w:rPr>
        <w:t xml:space="preserve"> enhanced anti-inflammatory efficacy.</w:t>
      </w:r>
    </w:p>
    <w:p w14:paraId="7414E616" w14:textId="77777777" w:rsidR="009F55DB" w:rsidRPr="00A96C26" w:rsidRDefault="009F55DB" w:rsidP="009F55DB">
      <w:pPr>
        <w:jc w:val="both"/>
        <w:rPr>
          <w:rFonts w:ascii="Times New Roman" w:hAnsi="Times New Roman" w:cs="Times New Roman"/>
          <w:b/>
          <w:bCs/>
          <w:szCs w:val="28"/>
        </w:rPr>
      </w:pPr>
      <w:r w:rsidRPr="00A96C26">
        <w:rPr>
          <w:rFonts w:ascii="Times New Roman" w:hAnsi="Times New Roman" w:cs="Times New Roman"/>
          <w:b/>
          <w:bCs/>
          <w:szCs w:val="28"/>
        </w:rPr>
        <w:lastRenderedPageBreak/>
        <w:t>Conclusion</w:t>
      </w:r>
    </w:p>
    <w:p w14:paraId="60CBDD31" w14:textId="77777777" w:rsidR="009F55DB" w:rsidRPr="00A96C26" w:rsidRDefault="009F55DB" w:rsidP="009F55DB">
      <w:pPr>
        <w:jc w:val="both"/>
        <w:rPr>
          <w:rFonts w:ascii="Times New Roman" w:hAnsi="Times New Roman" w:cs="Times New Roman"/>
          <w:szCs w:val="28"/>
        </w:rPr>
      </w:pP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represent a genuine technological advancement addressing fundamental limitations of conventional RA therapeutics. The combination of superior efficacy, dramatically reduced systemic toxicity, and potential for non-invasive administration (topical/transdermal/oral) positions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as transformative next-generation RA therapy. Realistic clinical availability is anticipated within 4-6 years, with substantial potential to improve outcomes for millions of RA patients globally.</w:t>
      </w:r>
    </w:p>
    <w:p w14:paraId="07F17CBE" w14:textId="77777777" w:rsidR="009F55DB" w:rsidRPr="00A96C26" w:rsidRDefault="009F55DB" w:rsidP="009F55DB">
      <w:pPr>
        <w:jc w:val="both"/>
        <w:rPr>
          <w:rFonts w:ascii="Times New Roman" w:hAnsi="Times New Roman" w:cs="Times New Roman"/>
          <w:szCs w:val="28"/>
        </w:rPr>
      </w:pPr>
      <w:r w:rsidRPr="00A96C26">
        <w:rPr>
          <w:rFonts w:ascii="Times New Roman" w:hAnsi="Times New Roman" w:cs="Times New Roman"/>
          <w:b/>
          <w:bCs/>
          <w:szCs w:val="28"/>
        </w:rPr>
        <w:t>Keywords:</w:t>
      </w:r>
      <w:r w:rsidRPr="00A96C26">
        <w:rPr>
          <w:rFonts w:ascii="Times New Roman" w:hAnsi="Times New Roman" w:cs="Times New Roman"/>
          <w:szCs w:val="28"/>
        </w:rPr>
        <w:t>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rheumatoid arthritis, drug delivery, deformable vesicles, enhanced permeability and retention (EPR), methotrexate, synovial targeting, </w:t>
      </w:r>
      <w:proofErr w:type="spellStart"/>
      <w:r w:rsidRPr="00A96C26">
        <w:rPr>
          <w:rFonts w:ascii="Times New Roman" w:hAnsi="Times New Roman" w:cs="Times New Roman"/>
          <w:szCs w:val="28"/>
        </w:rPr>
        <w:t>nanoformulation</w:t>
      </w:r>
      <w:proofErr w:type="spellEnd"/>
      <w:r w:rsidRPr="00A96C26">
        <w:rPr>
          <w:rFonts w:ascii="Times New Roman" w:hAnsi="Times New Roman" w:cs="Times New Roman"/>
          <w:szCs w:val="28"/>
        </w:rPr>
        <w:t>, disease-modifying antirheumatic drugs, clinical translation.</w:t>
      </w:r>
    </w:p>
    <w:p w14:paraId="084B40EE" w14:textId="77777777" w:rsidR="009F55DB" w:rsidRPr="00A96C26" w:rsidRDefault="009F55DB" w:rsidP="009F55DB">
      <w:pPr>
        <w:jc w:val="both"/>
        <w:rPr>
          <w:rFonts w:ascii="Times New Roman" w:hAnsi="Times New Roman" w:cs="Times New Roman"/>
          <w:sz w:val="28"/>
          <w:szCs w:val="32"/>
        </w:rPr>
      </w:pPr>
    </w:p>
    <w:p w14:paraId="210DD0D4" w14:textId="373D5701" w:rsidR="007C1A14" w:rsidRPr="00A96C26" w:rsidRDefault="007C1A14" w:rsidP="007C1A14">
      <w:pPr>
        <w:jc w:val="both"/>
        <w:rPr>
          <w:rFonts w:ascii="Times New Roman" w:hAnsi="Times New Roman" w:cs="Times New Roman"/>
          <w:sz w:val="28"/>
          <w:szCs w:val="32"/>
        </w:rPr>
      </w:pPr>
      <w:r w:rsidRPr="00A96C26">
        <w:rPr>
          <w:rFonts w:ascii="Times New Roman" w:hAnsi="Times New Roman" w:cs="Times New Roman"/>
          <w:noProof/>
          <w:sz w:val="28"/>
          <w:szCs w:val="32"/>
        </w:rPr>
        <w:drawing>
          <wp:inline distT="0" distB="0" distL="0" distR="0" wp14:anchorId="78BA6050" wp14:editId="36A8BAC0">
            <wp:extent cx="5943600" cy="3396615"/>
            <wp:effectExtent l="0" t="0" r="0" b="0"/>
            <wp:docPr id="15889118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p w14:paraId="75AB9232" w14:textId="0FEA8226" w:rsidR="007C1A14" w:rsidRPr="00A96C26" w:rsidRDefault="007C1A14" w:rsidP="007C1A14">
      <w:pPr>
        <w:jc w:val="center"/>
        <w:rPr>
          <w:rFonts w:ascii="Times New Roman" w:hAnsi="Times New Roman" w:cs="Times New Roman"/>
          <w:sz w:val="28"/>
          <w:szCs w:val="32"/>
        </w:rPr>
      </w:pPr>
      <w:r w:rsidRPr="00A96C26">
        <w:rPr>
          <w:rFonts w:ascii="Times New Roman" w:hAnsi="Times New Roman" w:cs="Times New Roman"/>
          <w:sz w:val="28"/>
          <w:szCs w:val="32"/>
        </w:rPr>
        <w:t>Graphical abstract</w:t>
      </w:r>
    </w:p>
    <w:p w14:paraId="38FCD1AA" w14:textId="77777777" w:rsidR="00AA6B3C" w:rsidRPr="00A96C26" w:rsidRDefault="00AA6B3C" w:rsidP="00315EE3">
      <w:pPr>
        <w:jc w:val="both"/>
        <w:rPr>
          <w:rFonts w:ascii="Times New Roman" w:hAnsi="Times New Roman" w:cs="Times New Roman"/>
          <w:b/>
          <w:bCs/>
          <w:szCs w:val="28"/>
        </w:rPr>
      </w:pPr>
    </w:p>
    <w:p w14:paraId="7DA1CE91" w14:textId="77777777" w:rsidR="00AA6B3C" w:rsidRPr="00A96C26" w:rsidRDefault="00AA6B3C" w:rsidP="00315EE3">
      <w:pPr>
        <w:jc w:val="both"/>
        <w:rPr>
          <w:rFonts w:ascii="Times New Roman" w:hAnsi="Times New Roman" w:cs="Times New Roman"/>
          <w:b/>
          <w:bCs/>
          <w:szCs w:val="28"/>
        </w:rPr>
      </w:pPr>
    </w:p>
    <w:p w14:paraId="6A4970E5" w14:textId="77777777" w:rsidR="00AA6B3C" w:rsidRPr="00A96C26" w:rsidRDefault="00AA6B3C" w:rsidP="00315EE3">
      <w:pPr>
        <w:jc w:val="both"/>
        <w:rPr>
          <w:rFonts w:ascii="Times New Roman" w:hAnsi="Times New Roman" w:cs="Times New Roman"/>
          <w:b/>
          <w:bCs/>
          <w:szCs w:val="28"/>
        </w:rPr>
      </w:pPr>
    </w:p>
    <w:p w14:paraId="37CEA95D" w14:textId="77777777" w:rsidR="00AA6B3C" w:rsidRPr="00A96C26" w:rsidRDefault="00AA6B3C" w:rsidP="00315EE3">
      <w:pPr>
        <w:jc w:val="both"/>
        <w:rPr>
          <w:rFonts w:ascii="Times New Roman" w:hAnsi="Times New Roman" w:cs="Times New Roman"/>
          <w:b/>
          <w:bCs/>
          <w:szCs w:val="28"/>
        </w:rPr>
      </w:pPr>
    </w:p>
    <w:p w14:paraId="65E082C6" w14:textId="77777777" w:rsidR="00AA6B3C" w:rsidRPr="00A96C26" w:rsidRDefault="00AA6B3C" w:rsidP="00315EE3">
      <w:pPr>
        <w:jc w:val="both"/>
        <w:rPr>
          <w:rFonts w:ascii="Times New Roman" w:hAnsi="Times New Roman" w:cs="Times New Roman"/>
          <w:b/>
          <w:bCs/>
          <w:szCs w:val="28"/>
        </w:rPr>
      </w:pPr>
    </w:p>
    <w:p w14:paraId="06CB4106" w14:textId="77777777" w:rsidR="00AA6B3C" w:rsidRPr="00A96C26" w:rsidRDefault="00AA6B3C" w:rsidP="00315EE3">
      <w:pPr>
        <w:jc w:val="both"/>
        <w:rPr>
          <w:rFonts w:ascii="Times New Roman" w:hAnsi="Times New Roman" w:cs="Times New Roman"/>
          <w:b/>
          <w:bCs/>
          <w:szCs w:val="28"/>
        </w:rPr>
      </w:pPr>
    </w:p>
    <w:p w14:paraId="77A3634F" w14:textId="7105CE61"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1. Introduction</w:t>
      </w:r>
    </w:p>
    <w:p w14:paraId="5225C3B6"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1.1 Brief Overview of RA Pathophysiology and Current Treatment Limitations</w:t>
      </w:r>
    </w:p>
    <w:p w14:paraId="4B7A60FC" w14:textId="4E553472" w:rsidR="00315EE3" w:rsidRPr="00A96C26" w:rsidRDefault="00315EE3" w:rsidP="00315EE3">
      <w:pPr>
        <w:jc w:val="both"/>
        <w:rPr>
          <w:rFonts w:ascii="Times New Roman" w:hAnsi="Times New Roman" w:cs="Times New Roman"/>
          <w:szCs w:val="28"/>
        </w:rPr>
      </w:pPr>
      <w:r w:rsidRPr="00A96C26">
        <w:rPr>
          <w:rFonts w:ascii="Times New Roman" w:hAnsi="Times New Roman" w:cs="Times New Roman"/>
          <w:szCs w:val="28"/>
        </w:rPr>
        <w:t>Rheumatoid arthritis (RA) is a chronic autoimmune disorder affecting approximately 0.5-1% of the global population, characterized by progressive inflammation and destruction of synovial joints [01]. The disease results from aberrant immune responses where T-cells and B-cells attack the synovial membrane, triggering release of pro-inflammatory cytokines like TNF-α, IL-6, and IL-1 that perpetuate joint damage and bone erosion [02]. While disease-modifying antirheumatic drugs (DMARDs) such as methotrexate and biologic agents have improved RA management, their clinical utility is compromised by several limitations. Methotrexate requires 6-12 weeks for therapeutic efficacy and approximately 30-40% of patients show inadequate response [03]. Biologic therapies are expensive, increase infection risk, and require frequent parenteral administration, reducing patient compliance [04]. Long-term use of NSAIDs and corticosteroids causes serious gastrointestinal, cardiovascular, and bone complications [05]. These limitations underscore the urgent need for advanced drug delivery systems that can enhance therapeutic efficacy while minimizing systemic toxicity.</w:t>
      </w:r>
    </w:p>
    <w:p w14:paraId="30E7876D"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1.2 Conventional Drug Delivery Challenges in RA</w:t>
      </w:r>
    </w:p>
    <w:p w14:paraId="57E083F4" w14:textId="51B20419" w:rsidR="00315EE3" w:rsidRPr="00A96C26" w:rsidRDefault="00315EE3" w:rsidP="00315EE3">
      <w:pPr>
        <w:jc w:val="both"/>
        <w:rPr>
          <w:rFonts w:ascii="Times New Roman" w:hAnsi="Times New Roman" w:cs="Times New Roman"/>
          <w:szCs w:val="28"/>
        </w:rPr>
      </w:pPr>
      <w:r w:rsidRPr="00A96C26">
        <w:rPr>
          <w:rFonts w:ascii="Times New Roman" w:hAnsi="Times New Roman" w:cs="Times New Roman"/>
          <w:szCs w:val="28"/>
        </w:rPr>
        <w:t>Delivering therapeutic agents to the inflamed synovial joint tissue remains a major challenge in RA management. Methotrexate, the cornerstone DMARD therapy, exhibits only 30-70% oral bioavailability, requiring higher doses that increase toxicity or switching to parenteral routes that reduce patient acceptability [06]. The synovial-blood barrier a specialized physiological interface with unique vasculature and lymphatic drainage severely restricts drug penetration into synovial fluid [07]. Conventional formulations achieve synovial drug concentrations 5-50 times lower than plasma levels, meaning insufficient therapeutic exposure at the disease site despite adequate systemic exposure [08]. The highly vascularized and lymphatically drained joint compartment rapidly eliminates drugs, necessitating frequent dosing to maintain therapeutic levels [09]. Because conventional drugs lack targeting mechanisms, they distribute systemically, causing unnecessary organ toxicity including hepatotoxicity, bone marrow suppression, and gastrointestinal ulceration [10]. The acidic inflammatory microenvironment, presence of degradative enzymes, and complex extracellular matrix further compromise drug stability [11]. Additionally, 20-30% of patients discontinue biologic therapy within one year due to injection burden and needle anxiety, highlighting significant compliance issues [12]. Collectively, these delivery obstacles result in suboptimal treatment outcomes despite access to modern therapeutics.</w:t>
      </w:r>
    </w:p>
    <w:p w14:paraId="5B3301B4"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1.3 Role of Nanotechnology in Drug Delivery</w:t>
      </w:r>
    </w:p>
    <w:p w14:paraId="790D0917" w14:textId="4DBF90A5" w:rsidR="007C1A14" w:rsidRPr="00A96C26" w:rsidRDefault="00315EE3" w:rsidP="00315EE3">
      <w:pPr>
        <w:jc w:val="both"/>
        <w:rPr>
          <w:rFonts w:ascii="Times New Roman" w:hAnsi="Times New Roman" w:cs="Times New Roman"/>
          <w:szCs w:val="28"/>
        </w:rPr>
      </w:pPr>
      <w:r w:rsidRPr="00A96C26">
        <w:rPr>
          <w:rFonts w:ascii="Times New Roman" w:hAnsi="Times New Roman" w:cs="Times New Roman"/>
          <w:szCs w:val="28"/>
        </w:rPr>
        <w:t xml:space="preserve">Nanotechnology offers transformative solutions to overcome conventional drug delivery limitations by engineering pharmaceutical systems at the nanoscale (1-1000 nm) that interact favorably with biological systems [13]. Nanocarriers preferentially accumulate in inflamed tissues </w:t>
      </w:r>
      <w:r w:rsidRPr="00A96C26">
        <w:rPr>
          <w:rFonts w:ascii="Times New Roman" w:hAnsi="Times New Roman" w:cs="Times New Roman"/>
          <w:szCs w:val="28"/>
        </w:rPr>
        <w:lastRenderedPageBreak/>
        <w:t xml:space="preserve">through the enhanced permeability and retention (EPR) effect increased vascular leakiness and compromised lymphatic drainage in inflamed joints create a favorable microenvironment for nanoparticle passive targeting [14]. </w:t>
      </w:r>
    </w:p>
    <w:p w14:paraId="7D9A4B9B"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 xml:space="preserve">1.4 Definition and Significance of </w:t>
      </w:r>
      <w:proofErr w:type="spellStart"/>
      <w:r w:rsidRPr="00A96C26">
        <w:rPr>
          <w:rFonts w:ascii="Times New Roman" w:hAnsi="Times New Roman" w:cs="Times New Roman"/>
          <w:b/>
          <w:bCs/>
          <w:szCs w:val="28"/>
        </w:rPr>
        <w:t>Transethosomes</w:t>
      </w:r>
      <w:proofErr w:type="spellEnd"/>
    </w:p>
    <w:p w14:paraId="2353873A" w14:textId="591FD83C" w:rsidR="00315EE3" w:rsidRPr="00A96C26" w:rsidRDefault="00315EE3" w:rsidP="00315EE3">
      <w:pPr>
        <w:jc w:val="both"/>
        <w:rPr>
          <w:rFonts w:ascii="Times New Roman" w:hAnsi="Times New Roman" w:cs="Times New Roman"/>
          <w:szCs w:val="28"/>
        </w:rPr>
      </w:pP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are elastic lipid nanovesicles combining liposomal structure with enhanced deformability through incorporation of edge activators small amphiphilic molecules like ethanol or terpenes (menthol, carvacrol) that fluidize the phospholipid bilayer [</w:t>
      </w:r>
      <w:r w:rsidR="00321525" w:rsidRPr="00A96C26">
        <w:rPr>
          <w:rFonts w:ascii="Times New Roman" w:hAnsi="Times New Roman" w:cs="Times New Roman"/>
          <w:szCs w:val="28"/>
        </w:rPr>
        <w:t>11</w:t>
      </w:r>
      <w:r w:rsidRPr="00A96C26">
        <w:rPr>
          <w:rFonts w:ascii="Times New Roman" w:hAnsi="Times New Roman" w:cs="Times New Roman"/>
          <w:szCs w:val="28"/>
        </w:rPr>
        <w:t xml:space="preserve">]. These edge activators create microscopic defects reducing membrane rigidity, enabling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to deform and penetrate biological barriers that rigid liposomes cannot traverse [</w:t>
      </w:r>
      <w:r w:rsidR="00321525" w:rsidRPr="00A96C26">
        <w:rPr>
          <w:rFonts w:ascii="Times New Roman" w:hAnsi="Times New Roman" w:cs="Times New Roman"/>
          <w:szCs w:val="28"/>
        </w:rPr>
        <w:t>12</w:t>
      </w:r>
      <w:r w:rsidRPr="00A96C26">
        <w:rPr>
          <w:rFonts w:ascii="Times New Roman" w:hAnsi="Times New Roman" w:cs="Times New Roman"/>
          <w:szCs w:val="28"/>
        </w:rPr>
        <w:t xml:space="preserve">]. This deformability is the defining characteristic that distinguishes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from conventional liposomes and explains their exceptional tissue penetration </w:t>
      </w:r>
      <w:proofErr w:type="gramStart"/>
      <w:r w:rsidRPr="00A96C26">
        <w:rPr>
          <w:rFonts w:ascii="Times New Roman" w:hAnsi="Times New Roman" w:cs="Times New Roman"/>
          <w:szCs w:val="28"/>
        </w:rPr>
        <w:t>capacity .</w:t>
      </w:r>
      <w:proofErr w:type="gramEnd"/>
      <w:r w:rsidRPr="00A96C26">
        <w:rPr>
          <w:rFonts w:ascii="Times New Roman" w:hAnsi="Times New Roman" w:cs="Times New Roman"/>
          <w:szCs w:val="28"/>
        </w:rPr>
        <w:t xml:space="preserve">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are particularly significant for RA therapy because their inherent elasticity overcomes the synovial-blood barrier, while their nanoscale size (50-500 nm) facilitates cellular uptake and intracellular drug delivery. They accommodate both hydrophobic and hydrophilic drugs conventional DMARDs and biologics making them versatile carriers. The phospholipid membrane itself confers anti-inflammatory properties through immune modulation.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represent a pragmatic advancement over conventional liposomes, leveraging established pharmaceutical science while demonstrating superior bioavailability and efficacy compared to free drug and liposomal formulations. Accumulating preclinical evidence showing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anti-RA agent superiority positions this technology as a near-term translatable platform for improving patient outcomes [</w:t>
      </w:r>
      <w:r w:rsidR="00321525" w:rsidRPr="00A96C26">
        <w:rPr>
          <w:rFonts w:ascii="Times New Roman" w:hAnsi="Times New Roman" w:cs="Times New Roman"/>
          <w:szCs w:val="28"/>
        </w:rPr>
        <w:t>13</w:t>
      </w:r>
      <w:r w:rsidRPr="00A96C26">
        <w:rPr>
          <w:rFonts w:ascii="Times New Roman" w:hAnsi="Times New Roman" w:cs="Times New Roman"/>
          <w:szCs w:val="28"/>
        </w:rPr>
        <w:t>].</w:t>
      </w:r>
    </w:p>
    <w:p w14:paraId="60007216"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2. Rheumatoid Arthritis: Current Treatment Landscape</w:t>
      </w:r>
    </w:p>
    <w:p w14:paraId="0C25A351"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2.1 RA Epidemiology and Pathogenesis</w:t>
      </w:r>
    </w:p>
    <w:p w14:paraId="12F147B0" w14:textId="43E74D91" w:rsidR="00315EE3" w:rsidRPr="00A96C26" w:rsidRDefault="00315EE3" w:rsidP="00315EE3">
      <w:pPr>
        <w:jc w:val="both"/>
        <w:rPr>
          <w:rFonts w:ascii="Times New Roman" w:hAnsi="Times New Roman" w:cs="Times New Roman"/>
          <w:szCs w:val="28"/>
        </w:rPr>
      </w:pPr>
      <w:r w:rsidRPr="00A96C26">
        <w:rPr>
          <w:rFonts w:ascii="Times New Roman" w:hAnsi="Times New Roman" w:cs="Times New Roman"/>
          <w:szCs w:val="28"/>
        </w:rPr>
        <w:t>Rheumatoid arthritis represents one of the most common chronic inflammatory diseases worldwide, with a global prevalence of approximately 0.5-1% in developed countries, though rates vary significantly by geography and ethnicity [</w:t>
      </w:r>
      <w:r w:rsidR="00321525" w:rsidRPr="00A96C26">
        <w:rPr>
          <w:rFonts w:ascii="Times New Roman" w:hAnsi="Times New Roman" w:cs="Times New Roman"/>
          <w:szCs w:val="28"/>
        </w:rPr>
        <w:t>13</w:t>
      </w:r>
      <w:r w:rsidRPr="00A96C26">
        <w:rPr>
          <w:rFonts w:ascii="Times New Roman" w:hAnsi="Times New Roman" w:cs="Times New Roman"/>
          <w:szCs w:val="28"/>
        </w:rPr>
        <w:t xml:space="preserve">]. The disease demonstrates a clear female predominance with a female-to-male ratio of approximately 3:1, and typically manifests in individuals aged 40-60 years, though juvenile-onset RA can occur in </w:t>
      </w:r>
      <w:proofErr w:type="gramStart"/>
      <w:r w:rsidRPr="00A96C26">
        <w:rPr>
          <w:rFonts w:ascii="Times New Roman" w:hAnsi="Times New Roman" w:cs="Times New Roman"/>
          <w:szCs w:val="28"/>
        </w:rPr>
        <w:t>children .</w:t>
      </w:r>
      <w:proofErr w:type="gramEnd"/>
      <w:r w:rsidRPr="00A96C26">
        <w:rPr>
          <w:rFonts w:ascii="Times New Roman" w:hAnsi="Times New Roman" w:cs="Times New Roman"/>
          <w:szCs w:val="28"/>
        </w:rPr>
        <w:t xml:space="preserve"> From an economic perspective, RA imposes substantial healthcare burdens, with annual per-patient costs in developed nations ranging from $8,000 to $20,000 USD when accounting for direct medical expenses and indirect costs from lost productivity. The pathogenesis of RA involves a complex interplay between genetic susceptibility and environmental triggers, with the human leukocyte antigen (HLA) locus</w:t>
      </w:r>
      <w:r w:rsidR="00DC1CDC" w:rsidRPr="00A96C26">
        <w:rPr>
          <w:rFonts w:ascii="Times New Roman" w:hAnsi="Times New Roman" w:cs="Times New Roman"/>
          <w:szCs w:val="28"/>
        </w:rPr>
        <w:t xml:space="preserve"> </w:t>
      </w:r>
      <w:r w:rsidRPr="00A96C26">
        <w:rPr>
          <w:rFonts w:ascii="Times New Roman" w:hAnsi="Times New Roman" w:cs="Times New Roman"/>
          <w:szCs w:val="28"/>
        </w:rPr>
        <w:t>particularly HLA-DRB1 alleles</w:t>
      </w:r>
      <w:r w:rsidR="00DC1CDC" w:rsidRPr="00A96C26">
        <w:rPr>
          <w:rFonts w:ascii="Times New Roman" w:hAnsi="Times New Roman" w:cs="Times New Roman"/>
          <w:szCs w:val="28"/>
        </w:rPr>
        <w:t xml:space="preserve"> </w:t>
      </w:r>
      <w:r w:rsidRPr="00A96C26">
        <w:rPr>
          <w:rFonts w:ascii="Times New Roman" w:hAnsi="Times New Roman" w:cs="Times New Roman"/>
          <w:szCs w:val="28"/>
        </w:rPr>
        <w:t xml:space="preserve">conferring significant genetic risk. Environmental factors including smoking, infections (particularly Porphyromonas gingivalis and Epstein-Barr virus), and prior pregnancy have been implicated as potential disease triggers in genetically predisposed </w:t>
      </w:r>
      <w:proofErr w:type="gramStart"/>
      <w:r w:rsidRPr="00A96C26">
        <w:rPr>
          <w:rFonts w:ascii="Times New Roman" w:hAnsi="Times New Roman" w:cs="Times New Roman"/>
          <w:szCs w:val="28"/>
        </w:rPr>
        <w:t>individuals .</w:t>
      </w:r>
      <w:proofErr w:type="gramEnd"/>
      <w:r w:rsidRPr="00A96C26">
        <w:rPr>
          <w:rFonts w:ascii="Times New Roman" w:hAnsi="Times New Roman" w:cs="Times New Roman"/>
          <w:szCs w:val="28"/>
        </w:rPr>
        <w:t xml:space="preserve"> The pathophysiological cascade begins with dysregulated T-cell and B-cell responses against autoantigens such as post-translational modifications of collagen type II and citrullinated proteins, leading to production of pathogenic autoantibodies including rheumatoid factor (RF) and anti-cyclic citrullinated peptide (anti-CCP) antibodies [</w:t>
      </w:r>
      <w:r w:rsidR="00321525" w:rsidRPr="00A96C26">
        <w:rPr>
          <w:rFonts w:ascii="Times New Roman" w:hAnsi="Times New Roman" w:cs="Times New Roman"/>
          <w:szCs w:val="28"/>
        </w:rPr>
        <w:t>14</w:t>
      </w:r>
      <w:r w:rsidRPr="00A96C26">
        <w:rPr>
          <w:rFonts w:ascii="Times New Roman" w:hAnsi="Times New Roman" w:cs="Times New Roman"/>
          <w:szCs w:val="28"/>
        </w:rPr>
        <w:t xml:space="preserve">]. </w:t>
      </w:r>
    </w:p>
    <w:p w14:paraId="4D57E77B"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lastRenderedPageBreak/>
        <w:t>2.2 Current Therapeutic Agents: DMARDs, Biologics, and NSAIDs</w:t>
      </w:r>
    </w:p>
    <w:p w14:paraId="40582A88"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Disease-Modifying Antirheumatic Drugs (DMARDs)</w:t>
      </w:r>
    </w:p>
    <w:p w14:paraId="11647CE0" w14:textId="3546F98B" w:rsidR="00315EE3" w:rsidRPr="00A96C26" w:rsidRDefault="00315EE3" w:rsidP="00315EE3">
      <w:pPr>
        <w:jc w:val="both"/>
        <w:rPr>
          <w:rFonts w:ascii="Times New Roman" w:hAnsi="Times New Roman" w:cs="Times New Roman"/>
          <w:szCs w:val="28"/>
        </w:rPr>
      </w:pPr>
      <w:r w:rsidRPr="00A96C26">
        <w:rPr>
          <w:rFonts w:ascii="Times New Roman" w:hAnsi="Times New Roman" w:cs="Times New Roman"/>
          <w:szCs w:val="28"/>
        </w:rPr>
        <w:t>Conventional synthetic DMARDs remain the foundational therapy for RA management, with methotrexate (MTX) serving as the gold-standard first-line agent due to its proven efficacy, relatively favorable safety profile, and low cost. Methotrexate works through multiple mechanisms including inhibition of dihydrofolate reductase, disruption of nucleotide synthesis, and immunomodulation through adenosine receptor signaling and expansion of regulatory T-</w:t>
      </w:r>
      <w:proofErr w:type="gramStart"/>
      <w:r w:rsidRPr="00A96C26">
        <w:rPr>
          <w:rFonts w:ascii="Times New Roman" w:hAnsi="Times New Roman" w:cs="Times New Roman"/>
          <w:szCs w:val="28"/>
        </w:rPr>
        <w:t>cells .</w:t>
      </w:r>
      <w:proofErr w:type="gramEnd"/>
      <w:r w:rsidRPr="00A96C26">
        <w:rPr>
          <w:rFonts w:ascii="Times New Roman" w:hAnsi="Times New Roman" w:cs="Times New Roman"/>
          <w:szCs w:val="28"/>
        </w:rPr>
        <w:t xml:space="preserve"> Typical doses range from 7.5-25 mg weekly, with approximately 60-70% of patients achieving low disease activity or remission when adequate therapeutic drug levels are maintained. Other conventional synthetic DMARDs include sulfasalazine, leflunomide, and hydroxychloroquine, which are often used as monotherapy in mild disease or combined with MTX in more aggressive cases. While these agents have transformed RA outcomes, they require prolonged dose titration periods of 6-12 weeks to achieve clinical benefit, and 30-40% of patients ultimately develop inadequate response or intolerance [14].</w:t>
      </w:r>
    </w:p>
    <w:p w14:paraId="57174C34"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Biologic Therapies</w:t>
      </w:r>
    </w:p>
    <w:p w14:paraId="33D354E3" w14:textId="080F453F" w:rsidR="00315EE3" w:rsidRPr="00A96C26" w:rsidRDefault="00315EE3" w:rsidP="00315EE3">
      <w:pPr>
        <w:jc w:val="both"/>
        <w:rPr>
          <w:rFonts w:ascii="Times New Roman" w:hAnsi="Times New Roman" w:cs="Times New Roman"/>
          <w:szCs w:val="28"/>
        </w:rPr>
      </w:pPr>
      <w:r w:rsidRPr="00A96C26">
        <w:rPr>
          <w:rFonts w:ascii="Times New Roman" w:hAnsi="Times New Roman" w:cs="Times New Roman"/>
          <w:szCs w:val="28"/>
        </w:rPr>
        <w:t>Biologic agents targeting specific components of the inflammatory cascade have revolutionized RA management over the past two decades. TNF-α inhibitors</w:t>
      </w:r>
      <w:r w:rsidR="00DC1CDC" w:rsidRPr="00A96C26">
        <w:rPr>
          <w:rFonts w:ascii="Times New Roman" w:hAnsi="Times New Roman" w:cs="Times New Roman"/>
          <w:szCs w:val="28"/>
        </w:rPr>
        <w:t xml:space="preserve"> </w:t>
      </w:r>
      <w:r w:rsidRPr="00A96C26">
        <w:rPr>
          <w:rFonts w:ascii="Times New Roman" w:hAnsi="Times New Roman" w:cs="Times New Roman"/>
          <w:szCs w:val="28"/>
        </w:rPr>
        <w:t>including infliximab, etanercept, adalimumab, certolizumab, and golimumab</w:t>
      </w:r>
      <w:r w:rsidR="00DC1CDC" w:rsidRPr="00A96C26">
        <w:rPr>
          <w:rFonts w:ascii="Times New Roman" w:hAnsi="Times New Roman" w:cs="Times New Roman"/>
          <w:szCs w:val="28"/>
        </w:rPr>
        <w:t xml:space="preserve"> </w:t>
      </w:r>
      <w:r w:rsidRPr="00A96C26">
        <w:rPr>
          <w:rFonts w:ascii="Times New Roman" w:hAnsi="Times New Roman" w:cs="Times New Roman"/>
          <w:szCs w:val="28"/>
        </w:rPr>
        <w:t xml:space="preserve">were the first biologic class approved and remain among the most widely used. These agents achieve disease remission in approximately 30-40% of MTX-naive patients and enable significant disease suppression in many others. IL-6 receptor antagonists (tocilizumab, sarilumab) and IL-6 signal transducer inhibitors (baricitinib) provide alternative mechanisms of action and are particularly effective in patients who fail TNF inhibitor </w:t>
      </w:r>
      <w:proofErr w:type="gramStart"/>
      <w:r w:rsidRPr="00A96C26">
        <w:rPr>
          <w:rFonts w:ascii="Times New Roman" w:hAnsi="Times New Roman" w:cs="Times New Roman"/>
          <w:szCs w:val="28"/>
        </w:rPr>
        <w:t>therapy .</w:t>
      </w:r>
      <w:proofErr w:type="gramEnd"/>
      <w:r w:rsidRPr="00A96C26">
        <w:rPr>
          <w:rFonts w:ascii="Times New Roman" w:hAnsi="Times New Roman" w:cs="Times New Roman"/>
          <w:szCs w:val="28"/>
        </w:rPr>
        <w:t xml:space="preserve"> Abatacept, a CTLA-4 fusion protein blocking T-cell </w:t>
      </w:r>
      <w:proofErr w:type="spellStart"/>
      <w:r w:rsidRPr="00A96C26">
        <w:rPr>
          <w:rFonts w:ascii="Times New Roman" w:hAnsi="Times New Roman" w:cs="Times New Roman"/>
          <w:szCs w:val="28"/>
        </w:rPr>
        <w:t>costimulation</w:t>
      </w:r>
      <w:proofErr w:type="spellEnd"/>
      <w:r w:rsidRPr="00A96C26">
        <w:rPr>
          <w:rFonts w:ascii="Times New Roman" w:hAnsi="Times New Roman" w:cs="Times New Roman"/>
          <w:szCs w:val="28"/>
        </w:rPr>
        <w:t>, and rituximab, a B-cell depleting anti-CD20 monoclonal antibody, represent additional important biologic options. Janus kinase (JAK) inhibitors such as baricitinib, tofacitinib, and upadacitinib represent the newest synthetic targeted therapy class, offering oral administration and rapid onset of action. Biologic therapies achieve remission or low disease activity in 40-60% of patients, substantially improving outcomes compared to conventional DMARDs alone [</w:t>
      </w:r>
      <w:r w:rsidR="00321525" w:rsidRPr="00A96C26">
        <w:rPr>
          <w:rFonts w:ascii="Times New Roman" w:hAnsi="Times New Roman" w:cs="Times New Roman"/>
          <w:szCs w:val="28"/>
        </w:rPr>
        <w:t>15</w:t>
      </w:r>
      <w:r w:rsidRPr="00A96C26">
        <w:rPr>
          <w:rFonts w:ascii="Times New Roman" w:hAnsi="Times New Roman" w:cs="Times New Roman"/>
          <w:szCs w:val="28"/>
        </w:rPr>
        <w:t>].</w:t>
      </w:r>
    </w:p>
    <w:p w14:paraId="4D6C54D1"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Nonsteroidal Anti-Inflammatory Drugs (NSAIDs) and Corticosteroids</w:t>
      </w:r>
    </w:p>
    <w:p w14:paraId="7930DDCB" w14:textId="6939555B" w:rsidR="00315EE3" w:rsidRPr="00A96C26" w:rsidRDefault="00315EE3" w:rsidP="00315EE3">
      <w:pPr>
        <w:jc w:val="both"/>
        <w:rPr>
          <w:rFonts w:ascii="Times New Roman" w:hAnsi="Times New Roman" w:cs="Times New Roman"/>
          <w:szCs w:val="28"/>
        </w:rPr>
      </w:pPr>
      <w:r w:rsidRPr="00A96C26">
        <w:rPr>
          <w:rFonts w:ascii="Times New Roman" w:hAnsi="Times New Roman" w:cs="Times New Roman"/>
          <w:szCs w:val="28"/>
        </w:rPr>
        <w:t xml:space="preserve">NSAIDs including ibuprofen, naproxen, meloxicam, and selective cyclooxygenase-2 (COX-2) inhibitors provide symptomatic relief by blocking prostaglandin synthesis and are universally used as adjunctive therapy in RA. However, NSAIDs do not modify disease progression and carry serious risks of gastrointestinal bleeding, particularly in older patients or those with prior ulcer disease. Corticosteroids such as prednisone are employed in low doses (5-10 mg daily or equivalent) for their potent anti-inflammatory and immunosuppressive properties, with studies suggesting that low-dose corticosteroids may slow radiographic progression when combined with DMARDs. However, long-term corticosteroid use causes significant complications including </w:t>
      </w:r>
      <w:r w:rsidRPr="00A96C26">
        <w:rPr>
          <w:rFonts w:ascii="Times New Roman" w:hAnsi="Times New Roman" w:cs="Times New Roman"/>
          <w:szCs w:val="28"/>
        </w:rPr>
        <w:lastRenderedPageBreak/>
        <w:t>osteoporosis, opportunistic infections, weight gain, and cardiovascular disease, limiting their use to bridge therapy or adjunctive treatment at minimized doses [</w:t>
      </w:r>
      <w:r w:rsidR="00321525" w:rsidRPr="00A96C26">
        <w:rPr>
          <w:rFonts w:ascii="Times New Roman" w:hAnsi="Times New Roman" w:cs="Times New Roman"/>
          <w:szCs w:val="28"/>
        </w:rPr>
        <w:t>16</w:t>
      </w:r>
      <w:r w:rsidRPr="00A96C26">
        <w:rPr>
          <w:rFonts w:ascii="Times New Roman" w:hAnsi="Times New Roman" w:cs="Times New Roman"/>
          <w:szCs w:val="28"/>
        </w:rPr>
        <w:t>].</w:t>
      </w:r>
    </w:p>
    <w:p w14:paraId="62B9B2A0"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2.3 Limitations of Conventional Drug Delivery</w:t>
      </w:r>
    </w:p>
    <w:p w14:paraId="090683F6"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Poor Bioavailability</w:t>
      </w:r>
    </w:p>
    <w:p w14:paraId="5A01340E" w14:textId="24C45EFD" w:rsidR="00315EE3" w:rsidRPr="00A96C26" w:rsidRDefault="00315EE3" w:rsidP="00315EE3">
      <w:pPr>
        <w:jc w:val="both"/>
        <w:rPr>
          <w:rFonts w:ascii="Times New Roman" w:hAnsi="Times New Roman" w:cs="Times New Roman"/>
          <w:szCs w:val="28"/>
        </w:rPr>
      </w:pPr>
      <w:r w:rsidRPr="00A96C26">
        <w:rPr>
          <w:rFonts w:ascii="Times New Roman" w:hAnsi="Times New Roman" w:cs="Times New Roman"/>
          <w:szCs w:val="28"/>
        </w:rPr>
        <w:t>Oral methotrexate demonstrates highly variable and inconsistent absorption, with bioavailability ranging from only 30-70% depending on dosage, gastrointestinal pH, intestinal transit time, and individual patient factors. This unpredictability necessitates frequent dose adjustments and therapeutic drug monitoring to achieve consistent efficacy. Many biologic agents cannot be administered orally due to their peptide/protein structure and are susceptible to gastrointestinal degradation, requiring parenteral (intravenous or subcutaneous) administration which reduces patient convenience and compliance. The poor oral bioavailability of conventional DMARDs drives clinicians to switch to parenteral routes or combination therapy, increasing complexity and cost [</w:t>
      </w:r>
      <w:r w:rsidR="00321525" w:rsidRPr="00A96C26">
        <w:rPr>
          <w:rFonts w:ascii="Times New Roman" w:hAnsi="Times New Roman" w:cs="Times New Roman"/>
          <w:szCs w:val="28"/>
        </w:rPr>
        <w:t>16</w:t>
      </w:r>
      <w:r w:rsidRPr="00A96C26">
        <w:rPr>
          <w:rFonts w:ascii="Times New Roman" w:hAnsi="Times New Roman" w:cs="Times New Roman"/>
          <w:szCs w:val="28"/>
        </w:rPr>
        <w:t>].</w:t>
      </w:r>
    </w:p>
    <w:p w14:paraId="58D54AC5" w14:textId="7D67946D" w:rsidR="007C1A14" w:rsidRPr="00A96C26" w:rsidRDefault="007C1A14" w:rsidP="007C1A14">
      <w:pPr>
        <w:jc w:val="both"/>
        <w:rPr>
          <w:rFonts w:ascii="Times New Roman" w:hAnsi="Times New Roman" w:cs="Times New Roman"/>
          <w:szCs w:val="28"/>
        </w:rPr>
      </w:pPr>
      <w:r w:rsidRPr="00A96C26">
        <w:rPr>
          <w:rFonts w:ascii="Times New Roman" w:hAnsi="Times New Roman" w:cs="Times New Roman"/>
          <w:noProof/>
          <w:szCs w:val="28"/>
        </w:rPr>
        <w:drawing>
          <wp:inline distT="0" distB="0" distL="0" distR="0" wp14:anchorId="205786A6" wp14:editId="213CDAF5">
            <wp:extent cx="5943600" cy="3241675"/>
            <wp:effectExtent l="0" t="0" r="0" b="0"/>
            <wp:docPr id="12413370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4C990AE9" w14:textId="1629B407" w:rsidR="007C1A14" w:rsidRPr="00A96C26" w:rsidRDefault="007C1A14" w:rsidP="00315EE3">
      <w:pPr>
        <w:jc w:val="both"/>
        <w:rPr>
          <w:rFonts w:ascii="Times New Roman" w:hAnsi="Times New Roman" w:cs="Times New Roman"/>
          <w:szCs w:val="28"/>
        </w:rPr>
      </w:pPr>
      <w:r w:rsidRPr="00A96C26">
        <w:rPr>
          <w:rFonts w:ascii="Times New Roman" w:hAnsi="Times New Roman" w:cs="Times New Roman"/>
          <w:szCs w:val="28"/>
        </w:rPr>
        <w:t xml:space="preserve">Fig No – 01 - Figure Legend: "Enhanced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efficacy results from multiple synergistic mechanisms."</w:t>
      </w:r>
    </w:p>
    <w:p w14:paraId="7B36E60F"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Systemic Side Effects</w:t>
      </w:r>
    </w:p>
    <w:p w14:paraId="0424B9A6" w14:textId="521D2988" w:rsidR="00315EE3" w:rsidRPr="00A96C26" w:rsidRDefault="00315EE3" w:rsidP="00315EE3">
      <w:pPr>
        <w:jc w:val="both"/>
        <w:rPr>
          <w:rFonts w:ascii="Times New Roman" w:hAnsi="Times New Roman" w:cs="Times New Roman"/>
          <w:szCs w:val="28"/>
        </w:rPr>
      </w:pPr>
      <w:r w:rsidRPr="00A96C26">
        <w:rPr>
          <w:rFonts w:ascii="Times New Roman" w:hAnsi="Times New Roman" w:cs="Times New Roman"/>
          <w:szCs w:val="28"/>
        </w:rPr>
        <w:t>Methotrexate's mechanism of action</w:t>
      </w:r>
      <w:r w:rsidR="00DC1CDC" w:rsidRPr="00A96C26">
        <w:rPr>
          <w:rFonts w:ascii="Times New Roman" w:hAnsi="Times New Roman" w:cs="Times New Roman"/>
          <w:szCs w:val="28"/>
        </w:rPr>
        <w:t xml:space="preserve"> </w:t>
      </w:r>
      <w:r w:rsidRPr="00A96C26">
        <w:rPr>
          <w:rFonts w:ascii="Times New Roman" w:hAnsi="Times New Roman" w:cs="Times New Roman"/>
          <w:szCs w:val="28"/>
        </w:rPr>
        <w:t>inhibiting folate-dependent nucleotide synthesis</w:t>
      </w:r>
      <w:r w:rsidR="00DC1CDC" w:rsidRPr="00A96C26">
        <w:rPr>
          <w:rFonts w:ascii="Times New Roman" w:hAnsi="Times New Roman" w:cs="Times New Roman"/>
          <w:szCs w:val="28"/>
        </w:rPr>
        <w:t xml:space="preserve"> </w:t>
      </w:r>
      <w:r w:rsidRPr="00A96C26">
        <w:rPr>
          <w:rFonts w:ascii="Times New Roman" w:hAnsi="Times New Roman" w:cs="Times New Roman"/>
          <w:szCs w:val="28"/>
        </w:rPr>
        <w:t xml:space="preserve">affects all rapidly dividing cells, causing bone marrow suppression, oral mucositis, and increased infection risk. Long-term MTX use causes hepatotoxicity in 10-15% of patients, manifesting as elevated liver enzymes, steatosis, fibrosis, and occasionally cirrhosis. TNF-α inhibitors increase susceptibility to tuberculosis reactivation, opportunistic infections, and paradoxically, autoimmune </w:t>
      </w:r>
      <w:r w:rsidRPr="00A96C26">
        <w:rPr>
          <w:rFonts w:ascii="Times New Roman" w:hAnsi="Times New Roman" w:cs="Times New Roman"/>
          <w:szCs w:val="28"/>
        </w:rPr>
        <w:lastRenderedPageBreak/>
        <w:t>phenomena including demyelinating disease. These agents also increase risk of lymphoma and solid malignancies, though the absolute risk remains modest. NSAIDs cause gastrointestinal ulceration and bleeding in 10-20% of long-term users, with incidence increasing substantially in older patients and those with prior peptic ulcer disease. Corticosteroid-induced osteoporosis leads to increased fracture risk, particularly problematic in RA patients who already have disease-related bone loss. The cumulative toxicity from multi-drug RA regimens means many patients experience treatment-limiting adverse effects requiring dose reduction or drug discontinuation [</w:t>
      </w:r>
      <w:r w:rsidR="00321525" w:rsidRPr="00A96C26">
        <w:rPr>
          <w:rFonts w:ascii="Times New Roman" w:hAnsi="Times New Roman" w:cs="Times New Roman"/>
          <w:szCs w:val="28"/>
        </w:rPr>
        <w:t>16,17</w:t>
      </w:r>
      <w:r w:rsidRPr="00A96C26">
        <w:rPr>
          <w:rFonts w:ascii="Times New Roman" w:hAnsi="Times New Roman" w:cs="Times New Roman"/>
          <w:szCs w:val="28"/>
        </w:rPr>
        <w:t>].</w:t>
      </w:r>
    </w:p>
    <w:p w14:paraId="0FF2D3E0"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Low Synovial Fluid Penetration</w:t>
      </w:r>
    </w:p>
    <w:p w14:paraId="71B6DF2F" w14:textId="643FE3B0" w:rsidR="00315EE3" w:rsidRPr="00A96C26" w:rsidRDefault="00315EE3" w:rsidP="00315EE3">
      <w:pPr>
        <w:jc w:val="both"/>
        <w:rPr>
          <w:rFonts w:ascii="Times New Roman" w:hAnsi="Times New Roman" w:cs="Times New Roman"/>
          <w:szCs w:val="28"/>
        </w:rPr>
      </w:pPr>
      <w:r w:rsidRPr="00A96C26">
        <w:rPr>
          <w:rFonts w:ascii="Times New Roman" w:hAnsi="Times New Roman" w:cs="Times New Roman"/>
          <w:szCs w:val="28"/>
        </w:rPr>
        <w:t>The synovial-blood barrier selectively restricts entry of macromolecules and hydrophilic drugs, maintaining synovial fluid as an immunologically privileged compartment. Studies using radiolabeled methotrexate demonstrate that synovial fluid concentrations remain 5-50 times lower than plasma concentrations despite adequate systemic exposure. This delivery limitation is particularly problematic for larger biologic molecules; monoclonal antibodies achieve synovial concentrations only 10-30% of their plasma levels even during active inflammation. The continuous lymphatic drainage of the joint compartment rapidly eliminates drugs, with synovial fluid half-lives of many agents being only 2-6 hours despite longer systemic circulation times. This poor synovial penetration means that despite adequate systemic drug exposure, the actual therapeutic burden at the primary disease site remains suboptimal, explaining why many patients require dose escalation or therapeutic drug combinations [</w:t>
      </w:r>
      <w:r w:rsidR="00321525" w:rsidRPr="00A96C26">
        <w:rPr>
          <w:rFonts w:ascii="Times New Roman" w:hAnsi="Times New Roman" w:cs="Times New Roman"/>
          <w:szCs w:val="28"/>
        </w:rPr>
        <w:t>17</w:t>
      </w:r>
      <w:r w:rsidRPr="00A96C26">
        <w:rPr>
          <w:rFonts w:ascii="Times New Roman" w:hAnsi="Times New Roman" w:cs="Times New Roman"/>
          <w:szCs w:val="28"/>
        </w:rPr>
        <w:t>].</w:t>
      </w:r>
    </w:p>
    <w:p w14:paraId="0F9D11BA" w14:textId="77777777" w:rsidR="00315EE3" w:rsidRPr="00A96C26" w:rsidRDefault="00315EE3" w:rsidP="00315EE3">
      <w:pPr>
        <w:jc w:val="both"/>
        <w:rPr>
          <w:rFonts w:ascii="Times New Roman" w:hAnsi="Times New Roman" w:cs="Times New Roman"/>
          <w:b/>
          <w:bCs/>
          <w:szCs w:val="28"/>
        </w:rPr>
      </w:pPr>
      <w:r w:rsidRPr="00A96C26">
        <w:rPr>
          <w:rFonts w:ascii="Times New Roman" w:hAnsi="Times New Roman" w:cs="Times New Roman"/>
          <w:b/>
          <w:bCs/>
          <w:szCs w:val="28"/>
        </w:rPr>
        <w:t>Patient Compliance Issues</w:t>
      </w:r>
    </w:p>
    <w:p w14:paraId="17BDC598" w14:textId="2323B8DA" w:rsidR="00315EE3" w:rsidRPr="00A96C26" w:rsidRDefault="00315EE3" w:rsidP="00315EE3">
      <w:pPr>
        <w:jc w:val="both"/>
        <w:rPr>
          <w:rFonts w:ascii="Times New Roman" w:hAnsi="Times New Roman" w:cs="Times New Roman"/>
          <w:szCs w:val="28"/>
        </w:rPr>
      </w:pPr>
      <w:r w:rsidRPr="00A96C26">
        <w:rPr>
          <w:rFonts w:ascii="Times New Roman" w:hAnsi="Times New Roman" w:cs="Times New Roman"/>
          <w:szCs w:val="28"/>
        </w:rPr>
        <w:t>Biologic therapies requiring frequent parenteral administration present significant compliance challenges. Studies indicate that 20-30% of patients discontinue biologic therapy within the first year, with primary reasons including injection burden, needle anxiety, perceived lack of efficacy, and lifestyle inconvenience. Oral DMARD regimens require strict adherence schedules; approximately 40-50% of patients demonstrate suboptimal compliance with weekly methotrexate dosing. Complex multi-drug regimens with varying dosing schedules and monitoring requirements further reduce compliance, with studies showing that patients managing three or more medications demonstrate significantly lower adherence rates. Poor compliance directly correlates with reduced efficacy and increased disease progression, creating a vicious cycle where non-compliant patients develop treatment resistance and require escalation to more toxic or costly therapies. The cumulative effect of poor bioavailability, systemic toxicity, difficult administration routes, and complex regimens means that many RA patients remain inadequately treated despite theoretically adequate access to modern therapeutics [</w:t>
      </w:r>
      <w:r w:rsidR="00321525" w:rsidRPr="00A96C26">
        <w:rPr>
          <w:rFonts w:ascii="Times New Roman" w:hAnsi="Times New Roman" w:cs="Times New Roman"/>
          <w:szCs w:val="28"/>
        </w:rPr>
        <w:t>18</w:t>
      </w:r>
      <w:r w:rsidRPr="00A96C26">
        <w:rPr>
          <w:rFonts w:ascii="Times New Roman" w:hAnsi="Times New Roman" w:cs="Times New Roman"/>
          <w:szCs w:val="28"/>
        </w:rPr>
        <w:t>].</w:t>
      </w:r>
    </w:p>
    <w:p w14:paraId="2FB208B8" w14:textId="2DF4410A" w:rsidR="00DC1CDC" w:rsidRPr="00A96C26" w:rsidRDefault="007C1A14" w:rsidP="00DC1CDC">
      <w:pPr>
        <w:jc w:val="both"/>
        <w:rPr>
          <w:rFonts w:ascii="Times New Roman" w:hAnsi="Times New Roman" w:cs="Times New Roman"/>
          <w:b/>
          <w:bCs/>
          <w:szCs w:val="28"/>
        </w:rPr>
      </w:pPr>
      <w:r w:rsidRPr="00A96C26">
        <w:rPr>
          <w:rFonts w:ascii="Times New Roman" w:hAnsi="Times New Roman" w:cs="Times New Roman"/>
          <w:b/>
          <w:bCs/>
          <w:szCs w:val="28"/>
        </w:rPr>
        <w:t>Table No 01 -</w:t>
      </w:r>
      <w:r w:rsidR="00DC1CDC" w:rsidRPr="00A96C26">
        <w:rPr>
          <w:rFonts w:ascii="Times New Roman" w:hAnsi="Times New Roman" w:cs="Times New Roman"/>
          <w:b/>
          <w:bCs/>
          <w:szCs w:val="28"/>
        </w:rPr>
        <w:t>Summary of Current RA Treatment Landscape and Limitations</w:t>
      </w:r>
    </w:p>
    <w:tbl>
      <w:tblPr>
        <w:tblStyle w:val="TableGrid"/>
        <w:tblW w:w="0" w:type="auto"/>
        <w:tblLook w:val="04A0" w:firstRow="1" w:lastRow="0" w:firstColumn="1" w:lastColumn="0" w:noHBand="0" w:noVBand="1"/>
      </w:tblPr>
      <w:tblGrid>
        <w:gridCol w:w="1641"/>
        <w:gridCol w:w="2033"/>
        <w:gridCol w:w="2191"/>
        <w:gridCol w:w="1451"/>
        <w:gridCol w:w="2034"/>
      </w:tblGrid>
      <w:tr w:rsidR="00DC1CDC" w:rsidRPr="00A96C26" w14:paraId="5864DBEF" w14:textId="77777777" w:rsidTr="00DC1CDC">
        <w:tc>
          <w:tcPr>
            <w:tcW w:w="0" w:type="auto"/>
            <w:noWrap/>
            <w:hideMark/>
          </w:tcPr>
          <w:p w14:paraId="5C05598D" w14:textId="77777777" w:rsidR="00DC1CDC" w:rsidRPr="00A96C26" w:rsidRDefault="00DC1CDC" w:rsidP="00DC1CDC">
            <w:pPr>
              <w:spacing w:line="278" w:lineRule="auto"/>
              <w:jc w:val="both"/>
              <w:rPr>
                <w:rFonts w:ascii="Times New Roman" w:hAnsi="Times New Roman" w:cs="Times New Roman"/>
                <w:b/>
                <w:bCs/>
                <w:szCs w:val="28"/>
              </w:rPr>
            </w:pPr>
            <w:r w:rsidRPr="00A96C26">
              <w:rPr>
                <w:rFonts w:ascii="Times New Roman" w:hAnsi="Times New Roman" w:cs="Times New Roman"/>
                <w:b/>
                <w:bCs/>
                <w:szCs w:val="28"/>
              </w:rPr>
              <w:t>Category</w:t>
            </w:r>
          </w:p>
        </w:tc>
        <w:tc>
          <w:tcPr>
            <w:tcW w:w="0" w:type="auto"/>
            <w:noWrap/>
            <w:hideMark/>
          </w:tcPr>
          <w:p w14:paraId="544966D7" w14:textId="77777777" w:rsidR="00DC1CDC" w:rsidRPr="00A96C26" w:rsidRDefault="00DC1CDC" w:rsidP="00DC1CDC">
            <w:pPr>
              <w:spacing w:line="278" w:lineRule="auto"/>
              <w:jc w:val="both"/>
              <w:rPr>
                <w:rFonts w:ascii="Times New Roman" w:hAnsi="Times New Roman" w:cs="Times New Roman"/>
                <w:b/>
                <w:bCs/>
                <w:szCs w:val="28"/>
              </w:rPr>
            </w:pPr>
            <w:r w:rsidRPr="00A96C26">
              <w:rPr>
                <w:rFonts w:ascii="Times New Roman" w:hAnsi="Times New Roman" w:cs="Times New Roman"/>
                <w:b/>
                <w:bCs/>
                <w:szCs w:val="28"/>
              </w:rPr>
              <w:t>Drug Class/Agent</w:t>
            </w:r>
          </w:p>
        </w:tc>
        <w:tc>
          <w:tcPr>
            <w:tcW w:w="0" w:type="auto"/>
            <w:noWrap/>
            <w:hideMark/>
          </w:tcPr>
          <w:p w14:paraId="1EFB202C" w14:textId="77777777" w:rsidR="00DC1CDC" w:rsidRPr="00A96C26" w:rsidRDefault="00DC1CDC" w:rsidP="00DC1CDC">
            <w:pPr>
              <w:spacing w:line="278" w:lineRule="auto"/>
              <w:jc w:val="both"/>
              <w:rPr>
                <w:rFonts w:ascii="Times New Roman" w:hAnsi="Times New Roman" w:cs="Times New Roman"/>
                <w:b/>
                <w:bCs/>
                <w:szCs w:val="28"/>
              </w:rPr>
            </w:pPr>
            <w:r w:rsidRPr="00A96C26">
              <w:rPr>
                <w:rFonts w:ascii="Times New Roman" w:hAnsi="Times New Roman" w:cs="Times New Roman"/>
                <w:b/>
                <w:bCs/>
                <w:szCs w:val="28"/>
              </w:rPr>
              <w:t>Mechanism of Action</w:t>
            </w:r>
          </w:p>
        </w:tc>
        <w:tc>
          <w:tcPr>
            <w:tcW w:w="0" w:type="auto"/>
            <w:noWrap/>
            <w:hideMark/>
          </w:tcPr>
          <w:p w14:paraId="230DF833" w14:textId="77777777" w:rsidR="00DC1CDC" w:rsidRPr="00A96C26" w:rsidRDefault="00DC1CDC" w:rsidP="00DC1CDC">
            <w:pPr>
              <w:spacing w:line="278" w:lineRule="auto"/>
              <w:jc w:val="both"/>
              <w:rPr>
                <w:rFonts w:ascii="Times New Roman" w:hAnsi="Times New Roman" w:cs="Times New Roman"/>
                <w:b/>
                <w:bCs/>
                <w:szCs w:val="28"/>
              </w:rPr>
            </w:pPr>
            <w:r w:rsidRPr="00A96C26">
              <w:rPr>
                <w:rFonts w:ascii="Times New Roman" w:hAnsi="Times New Roman" w:cs="Times New Roman"/>
                <w:b/>
                <w:bCs/>
                <w:szCs w:val="28"/>
              </w:rPr>
              <w:t>Efficacy</w:t>
            </w:r>
          </w:p>
        </w:tc>
        <w:tc>
          <w:tcPr>
            <w:tcW w:w="0" w:type="auto"/>
            <w:noWrap/>
            <w:hideMark/>
          </w:tcPr>
          <w:p w14:paraId="69F7898D" w14:textId="77777777" w:rsidR="00DC1CDC" w:rsidRPr="00A96C26" w:rsidRDefault="00DC1CDC" w:rsidP="00DC1CDC">
            <w:pPr>
              <w:spacing w:line="278" w:lineRule="auto"/>
              <w:jc w:val="both"/>
              <w:rPr>
                <w:rFonts w:ascii="Times New Roman" w:hAnsi="Times New Roman" w:cs="Times New Roman"/>
                <w:b/>
                <w:bCs/>
                <w:szCs w:val="28"/>
              </w:rPr>
            </w:pPr>
            <w:r w:rsidRPr="00A96C26">
              <w:rPr>
                <w:rFonts w:ascii="Times New Roman" w:hAnsi="Times New Roman" w:cs="Times New Roman"/>
                <w:b/>
                <w:bCs/>
                <w:szCs w:val="28"/>
              </w:rPr>
              <w:t>Key Limitations</w:t>
            </w:r>
          </w:p>
        </w:tc>
      </w:tr>
      <w:tr w:rsidR="00DC1CDC" w:rsidRPr="00A96C26" w14:paraId="0C2E036B" w14:textId="77777777" w:rsidTr="00DC1CDC">
        <w:tc>
          <w:tcPr>
            <w:tcW w:w="0" w:type="auto"/>
            <w:hideMark/>
          </w:tcPr>
          <w:p w14:paraId="30564760"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lastRenderedPageBreak/>
              <w:t>Conventional DMARDs</w:t>
            </w:r>
          </w:p>
        </w:tc>
        <w:tc>
          <w:tcPr>
            <w:tcW w:w="0" w:type="auto"/>
            <w:hideMark/>
          </w:tcPr>
          <w:p w14:paraId="78FD08C3"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Methotrexate (MTX)</w:t>
            </w:r>
          </w:p>
        </w:tc>
        <w:tc>
          <w:tcPr>
            <w:tcW w:w="0" w:type="auto"/>
            <w:hideMark/>
          </w:tcPr>
          <w:p w14:paraId="1E460758"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Folate antagonist; inhibits nucleotide synthesis; immunomodulation</w:t>
            </w:r>
          </w:p>
        </w:tc>
        <w:tc>
          <w:tcPr>
            <w:tcW w:w="0" w:type="auto"/>
            <w:hideMark/>
          </w:tcPr>
          <w:p w14:paraId="7F948106"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60-70% achieve remission/low disease activity</w:t>
            </w:r>
          </w:p>
        </w:tc>
        <w:tc>
          <w:tcPr>
            <w:tcW w:w="0" w:type="auto"/>
            <w:hideMark/>
          </w:tcPr>
          <w:p w14:paraId="7F26BD02"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 xml:space="preserve">Poor oral bioavailability (30-70%); </w:t>
            </w:r>
            <w:proofErr w:type="gramStart"/>
            <w:r w:rsidRPr="00A96C26">
              <w:rPr>
                <w:rFonts w:ascii="Times New Roman" w:hAnsi="Times New Roman" w:cs="Times New Roman"/>
                <w:szCs w:val="28"/>
              </w:rPr>
              <w:t>6-12 week</w:t>
            </w:r>
            <w:proofErr w:type="gramEnd"/>
            <w:r w:rsidRPr="00A96C26">
              <w:rPr>
                <w:rFonts w:ascii="Times New Roman" w:hAnsi="Times New Roman" w:cs="Times New Roman"/>
                <w:szCs w:val="28"/>
              </w:rPr>
              <w:t xml:space="preserve"> lag; hepatotoxicity; bone marrow suppression; 30-40% inadequate response</w:t>
            </w:r>
          </w:p>
        </w:tc>
      </w:tr>
      <w:tr w:rsidR="00DC1CDC" w:rsidRPr="00A96C26" w14:paraId="757E0761" w14:textId="77777777" w:rsidTr="00DC1CDC">
        <w:tc>
          <w:tcPr>
            <w:tcW w:w="0" w:type="auto"/>
            <w:hideMark/>
          </w:tcPr>
          <w:p w14:paraId="5C45E5ED" w14:textId="77777777" w:rsidR="00DC1CDC" w:rsidRPr="00A96C26" w:rsidRDefault="00DC1CDC" w:rsidP="00DC1CDC">
            <w:pPr>
              <w:spacing w:line="278" w:lineRule="auto"/>
              <w:jc w:val="both"/>
              <w:rPr>
                <w:rFonts w:ascii="Times New Roman" w:hAnsi="Times New Roman" w:cs="Times New Roman"/>
                <w:szCs w:val="28"/>
              </w:rPr>
            </w:pPr>
          </w:p>
        </w:tc>
        <w:tc>
          <w:tcPr>
            <w:tcW w:w="0" w:type="auto"/>
            <w:hideMark/>
          </w:tcPr>
          <w:p w14:paraId="0092AEEF"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Sulfasalazine</w:t>
            </w:r>
          </w:p>
        </w:tc>
        <w:tc>
          <w:tcPr>
            <w:tcW w:w="0" w:type="auto"/>
            <w:hideMark/>
          </w:tcPr>
          <w:p w14:paraId="164DC7A4" w14:textId="77777777" w:rsidR="00DC1CDC" w:rsidRPr="00A96C26" w:rsidRDefault="00DC1CDC" w:rsidP="00DC1CDC">
            <w:pPr>
              <w:spacing w:line="278" w:lineRule="auto"/>
              <w:jc w:val="both"/>
              <w:rPr>
                <w:rFonts w:ascii="Times New Roman" w:hAnsi="Times New Roman" w:cs="Times New Roman"/>
                <w:szCs w:val="28"/>
              </w:rPr>
            </w:pPr>
            <w:proofErr w:type="spellStart"/>
            <w:r w:rsidRPr="00A96C26">
              <w:rPr>
                <w:rFonts w:ascii="Times New Roman" w:hAnsi="Times New Roman" w:cs="Times New Roman"/>
                <w:szCs w:val="28"/>
              </w:rPr>
              <w:t>Sulfapyridine</w:t>
            </w:r>
            <w:proofErr w:type="spellEnd"/>
            <w:r w:rsidRPr="00A96C26">
              <w:rPr>
                <w:rFonts w:ascii="Times New Roman" w:hAnsi="Times New Roman" w:cs="Times New Roman"/>
                <w:szCs w:val="28"/>
              </w:rPr>
              <w:t xml:space="preserve"> and 5-ASA; immunosuppression</w:t>
            </w:r>
          </w:p>
        </w:tc>
        <w:tc>
          <w:tcPr>
            <w:tcW w:w="0" w:type="auto"/>
            <w:hideMark/>
          </w:tcPr>
          <w:p w14:paraId="40F096A0"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50-60% efficacy</w:t>
            </w:r>
          </w:p>
        </w:tc>
        <w:tc>
          <w:tcPr>
            <w:tcW w:w="0" w:type="auto"/>
            <w:hideMark/>
          </w:tcPr>
          <w:p w14:paraId="68CF585E"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Slow onset; GI side effects; rare serious toxicity</w:t>
            </w:r>
          </w:p>
        </w:tc>
      </w:tr>
      <w:tr w:rsidR="00DC1CDC" w:rsidRPr="00A96C26" w14:paraId="10F0E83F" w14:textId="77777777" w:rsidTr="00DC1CDC">
        <w:tc>
          <w:tcPr>
            <w:tcW w:w="0" w:type="auto"/>
            <w:hideMark/>
          </w:tcPr>
          <w:p w14:paraId="7EEE1064" w14:textId="77777777" w:rsidR="00DC1CDC" w:rsidRPr="00A96C26" w:rsidRDefault="00DC1CDC" w:rsidP="00DC1CDC">
            <w:pPr>
              <w:spacing w:line="278" w:lineRule="auto"/>
              <w:jc w:val="both"/>
              <w:rPr>
                <w:rFonts w:ascii="Times New Roman" w:hAnsi="Times New Roman" w:cs="Times New Roman"/>
                <w:szCs w:val="28"/>
              </w:rPr>
            </w:pPr>
          </w:p>
        </w:tc>
        <w:tc>
          <w:tcPr>
            <w:tcW w:w="0" w:type="auto"/>
            <w:hideMark/>
          </w:tcPr>
          <w:p w14:paraId="0DF7CBC9"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Leflunomide</w:t>
            </w:r>
          </w:p>
        </w:tc>
        <w:tc>
          <w:tcPr>
            <w:tcW w:w="0" w:type="auto"/>
            <w:hideMark/>
          </w:tcPr>
          <w:p w14:paraId="76519071"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Pyrimidine synthesis inhibitor</w:t>
            </w:r>
          </w:p>
        </w:tc>
        <w:tc>
          <w:tcPr>
            <w:tcW w:w="0" w:type="auto"/>
            <w:hideMark/>
          </w:tcPr>
          <w:p w14:paraId="321F489F"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60-70% efficacy</w:t>
            </w:r>
          </w:p>
        </w:tc>
        <w:tc>
          <w:tcPr>
            <w:tcW w:w="0" w:type="auto"/>
            <w:hideMark/>
          </w:tcPr>
          <w:p w14:paraId="7531C21E"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Hepatotoxicity; teratogenicity; requires washout period</w:t>
            </w:r>
          </w:p>
        </w:tc>
      </w:tr>
      <w:tr w:rsidR="00DC1CDC" w:rsidRPr="00A96C26" w14:paraId="121B689C" w14:textId="77777777" w:rsidTr="00DC1CDC">
        <w:tc>
          <w:tcPr>
            <w:tcW w:w="0" w:type="auto"/>
            <w:hideMark/>
          </w:tcPr>
          <w:p w14:paraId="050A695F" w14:textId="77777777" w:rsidR="00DC1CDC" w:rsidRPr="00A96C26" w:rsidRDefault="00DC1CDC" w:rsidP="00DC1CDC">
            <w:pPr>
              <w:spacing w:line="278" w:lineRule="auto"/>
              <w:jc w:val="both"/>
              <w:rPr>
                <w:rFonts w:ascii="Times New Roman" w:hAnsi="Times New Roman" w:cs="Times New Roman"/>
                <w:szCs w:val="28"/>
              </w:rPr>
            </w:pPr>
          </w:p>
        </w:tc>
        <w:tc>
          <w:tcPr>
            <w:tcW w:w="0" w:type="auto"/>
            <w:hideMark/>
          </w:tcPr>
          <w:p w14:paraId="7B7902A0"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Hydroxychloroquine</w:t>
            </w:r>
          </w:p>
        </w:tc>
        <w:tc>
          <w:tcPr>
            <w:tcW w:w="0" w:type="auto"/>
            <w:hideMark/>
          </w:tcPr>
          <w:p w14:paraId="6C66BF44"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Immune modulation; lysosomal effects</w:t>
            </w:r>
          </w:p>
        </w:tc>
        <w:tc>
          <w:tcPr>
            <w:tcW w:w="0" w:type="auto"/>
            <w:hideMark/>
          </w:tcPr>
          <w:p w14:paraId="3CC47962"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40-50% efficacy</w:t>
            </w:r>
          </w:p>
        </w:tc>
        <w:tc>
          <w:tcPr>
            <w:tcW w:w="0" w:type="auto"/>
            <w:hideMark/>
          </w:tcPr>
          <w:p w14:paraId="58716ACF"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Slow onset; limited as monotherapy; retinal toxicity with long-term use</w:t>
            </w:r>
          </w:p>
        </w:tc>
      </w:tr>
      <w:tr w:rsidR="00DC1CDC" w:rsidRPr="00A96C26" w14:paraId="20B971D3" w14:textId="77777777" w:rsidTr="00DC1CDC">
        <w:tc>
          <w:tcPr>
            <w:tcW w:w="0" w:type="auto"/>
            <w:hideMark/>
          </w:tcPr>
          <w:p w14:paraId="4088E13E"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TNF-α Inhibitors</w:t>
            </w:r>
          </w:p>
        </w:tc>
        <w:tc>
          <w:tcPr>
            <w:tcW w:w="0" w:type="auto"/>
            <w:hideMark/>
          </w:tcPr>
          <w:p w14:paraId="5E35E6AE"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Infliximab, Etanercept, Adalimumab, Certolizumab, Golimumab</w:t>
            </w:r>
          </w:p>
        </w:tc>
        <w:tc>
          <w:tcPr>
            <w:tcW w:w="0" w:type="auto"/>
            <w:hideMark/>
          </w:tcPr>
          <w:p w14:paraId="54DF9546"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Block TNF-α signaling</w:t>
            </w:r>
          </w:p>
        </w:tc>
        <w:tc>
          <w:tcPr>
            <w:tcW w:w="0" w:type="auto"/>
            <w:hideMark/>
          </w:tcPr>
          <w:p w14:paraId="206E8622"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30-40% remission; 60-70% low disease activity</w:t>
            </w:r>
          </w:p>
        </w:tc>
        <w:tc>
          <w:tcPr>
            <w:tcW w:w="0" w:type="auto"/>
            <w:hideMark/>
          </w:tcPr>
          <w:p w14:paraId="4B1C88D0"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High cost ($20,000-40,000/year); TB reactivation; infections; malignancy risk; requires parenteral administration; 20-30% non-response</w:t>
            </w:r>
          </w:p>
        </w:tc>
      </w:tr>
      <w:tr w:rsidR="00DC1CDC" w:rsidRPr="00A96C26" w14:paraId="3D641A50" w14:textId="77777777" w:rsidTr="00DC1CDC">
        <w:tc>
          <w:tcPr>
            <w:tcW w:w="0" w:type="auto"/>
            <w:hideMark/>
          </w:tcPr>
          <w:p w14:paraId="05507277"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IL-6 Pathway</w:t>
            </w:r>
          </w:p>
        </w:tc>
        <w:tc>
          <w:tcPr>
            <w:tcW w:w="0" w:type="auto"/>
            <w:hideMark/>
          </w:tcPr>
          <w:p w14:paraId="7A43E54A"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Tocilizumab, Sarilumab</w:t>
            </w:r>
          </w:p>
        </w:tc>
        <w:tc>
          <w:tcPr>
            <w:tcW w:w="0" w:type="auto"/>
            <w:hideMark/>
          </w:tcPr>
          <w:p w14:paraId="19C05294"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IL-6 receptor antagonists</w:t>
            </w:r>
          </w:p>
        </w:tc>
        <w:tc>
          <w:tcPr>
            <w:tcW w:w="0" w:type="auto"/>
            <w:hideMark/>
          </w:tcPr>
          <w:p w14:paraId="022CB3A3"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40-50% remission</w:t>
            </w:r>
          </w:p>
        </w:tc>
        <w:tc>
          <w:tcPr>
            <w:tcW w:w="0" w:type="auto"/>
            <w:hideMark/>
          </w:tcPr>
          <w:p w14:paraId="07F42CB7"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Cost; infections; lipid abnormalities; requires parenteral or IV infusion</w:t>
            </w:r>
          </w:p>
        </w:tc>
      </w:tr>
      <w:tr w:rsidR="00DC1CDC" w:rsidRPr="00A96C26" w14:paraId="36EA72ED" w14:textId="77777777" w:rsidTr="00DC1CDC">
        <w:tc>
          <w:tcPr>
            <w:tcW w:w="0" w:type="auto"/>
            <w:hideMark/>
          </w:tcPr>
          <w:p w14:paraId="44523184"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JAK Inhibitors</w:t>
            </w:r>
          </w:p>
        </w:tc>
        <w:tc>
          <w:tcPr>
            <w:tcW w:w="0" w:type="auto"/>
            <w:hideMark/>
          </w:tcPr>
          <w:p w14:paraId="204263EE"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Baricitinib, Tofacitinib, Upadacitinib</w:t>
            </w:r>
          </w:p>
        </w:tc>
        <w:tc>
          <w:tcPr>
            <w:tcW w:w="0" w:type="auto"/>
            <w:hideMark/>
          </w:tcPr>
          <w:p w14:paraId="2E00662C"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Block Janus kinase signaling</w:t>
            </w:r>
          </w:p>
        </w:tc>
        <w:tc>
          <w:tcPr>
            <w:tcW w:w="0" w:type="auto"/>
            <w:hideMark/>
          </w:tcPr>
          <w:p w14:paraId="605C6F1D"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40-60% remission</w:t>
            </w:r>
          </w:p>
        </w:tc>
        <w:tc>
          <w:tcPr>
            <w:tcW w:w="0" w:type="auto"/>
            <w:hideMark/>
          </w:tcPr>
          <w:p w14:paraId="551F902A"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Cost; oral bioavailability concerns; systemic immunosuppressio</w:t>
            </w:r>
            <w:r w:rsidRPr="00A96C26">
              <w:rPr>
                <w:rFonts w:ascii="Times New Roman" w:hAnsi="Times New Roman" w:cs="Times New Roman"/>
                <w:szCs w:val="28"/>
              </w:rPr>
              <w:lastRenderedPageBreak/>
              <w:t>n; requires monitoring</w:t>
            </w:r>
          </w:p>
        </w:tc>
      </w:tr>
      <w:tr w:rsidR="00DC1CDC" w:rsidRPr="00A96C26" w14:paraId="58800335" w14:textId="77777777" w:rsidTr="00DC1CDC">
        <w:tc>
          <w:tcPr>
            <w:tcW w:w="0" w:type="auto"/>
            <w:hideMark/>
          </w:tcPr>
          <w:p w14:paraId="5B47B581"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lastRenderedPageBreak/>
              <w:t>B-Cell Depletion</w:t>
            </w:r>
          </w:p>
        </w:tc>
        <w:tc>
          <w:tcPr>
            <w:tcW w:w="0" w:type="auto"/>
            <w:hideMark/>
          </w:tcPr>
          <w:p w14:paraId="690AF3AC"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Rituximab</w:t>
            </w:r>
          </w:p>
        </w:tc>
        <w:tc>
          <w:tcPr>
            <w:tcW w:w="0" w:type="auto"/>
            <w:hideMark/>
          </w:tcPr>
          <w:p w14:paraId="6432F735"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Anti-CD20 monoclonal antibody</w:t>
            </w:r>
          </w:p>
        </w:tc>
        <w:tc>
          <w:tcPr>
            <w:tcW w:w="0" w:type="auto"/>
            <w:hideMark/>
          </w:tcPr>
          <w:p w14:paraId="12429169"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50-60% moderate-good response</w:t>
            </w:r>
          </w:p>
        </w:tc>
        <w:tc>
          <w:tcPr>
            <w:tcW w:w="0" w:type="auto"/>
            <w:hideMark/>
          </w:tcPr>
          <w:p w14:paraId="1ED124DD"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Requires IV infusion; infections; immunosuppression; cost</w:t>
            </w:r>
          </w:p>
        </w:tc>
      </w:tr>
      <w:tr w:rsidR="00DC1CDC" w:rsidRPr="00A96C26" w14:paraId="7028E4FD" w14:textId="77777777" w:rsidTr="00DC1CDC">
        <w:tc>
          <w:tcPr>
            <w:tcW w:w="0" w:type="auto"/>
            <w:hideMark/>
          </w:tcPr>
          <w:p w14:paraId="4207E8B0"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 xml:space="preserve">T-Cell </w:t>
            </w:r>
            <w:proofErr w:type="spellStart"/>
            <w:r w:rsidRPr="00A96C26">
              <w:rPr>
                <w:rFonts w:ascii="Times New Roman" w:hAnsi="Times New Roman" w:cs="Times New Roman"/>
                <w:b/>
                <w:bCs/>
                <w:szCs w:val="28"/>
              </w:rPr>
              <w:t>Costimulation</w:t>
            </w:r>
            <w:proofErr w:type="spellEnd"/>
          </w:p>
        </w:tc>
        <w:tc>
          <w:tcPr>
            <w:tcW w:w="0" w:type="auto"/>
            <w:hideMark/>
          </w:tcPr>
          <w:p w14:paraId="44767903"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Abatacept</w:t>
            </w:r>
          </w:p>
        </w:tc>
        <w:tc>
          <w:tcPr>
            <w:tcW w:w="0" w:type="auto"/>
            <w:hideMark/>
          </w:tcPr>
          <w:p w14:paraId="100D3019"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CTLA-4 fusion protein</w:t>
            </w:r>
          </w:p>
        </w:tc>
        <w:tc>
          <w:tcPr>
            <w:tcW w:w="0" w:type="auto"/>
            <w:hideMark/>
          </w:tcPr>
          <w:p w14:paraId="64FAF7E9"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50-60% moderate-good response</w:t>
            </w:r>
          </w:p>
        </w:tc>
        <w:tc>
          <w:tcPr>
            <w:tcW w:w="0" w:type="auto"/>
            <w:hideMark/>
          </w:tcPr>
          <w:p w14:paraId="0B0594C4"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Requires IV or subcutaneous; cost; infections</w:t>
            </w:r>
          </w:p>
        </w:tc>
      </w:tr>
      <w:tr w:rsidR="00DC1CDC" w:rsidRPr="00A96C26" w14:paraId="5D0BE462" w14:textId="77777777" w:rsidTr="00DC1CDC">
        <w:tc>
          <w:tcPr>
            <w:tcW w:w="0" w:type="auto"/>
            <w:hideMark/>
          </w:tcPr>
          <w:p w14:paraId="6BE5AA2E"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NSAIDs</w:t>
            </w:r>
          </w:p>
        </w:tc>
        <w:tc>
          <w:tcPr>
            <w:tcW w:w="0" w:type="auto"/>
            <w:hideMark/>
          </w:tcPr>
          <w:p w14:paraId="64BE92AE"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Ibuprofen, Naproxen, Meloxicam, COX-2 inhibitors</w:t>
            </w:r>
          </w:p>
        </w:tc>
        <w:tc>
          <w:tcPr>
            <w:tcW w:w="0" w:type="auto"/>
            <w:hideMark/>
          </w:tcPr>
          <w:p w14:paraId="7E0E13AB"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Inhibit prostaglandin synthesis</w:t>
            </w:r>
          </w:p>
        </w:tc>
        <w:tc>
          <w:tcPr>
            <w:tcW w:w="0" w:type="auto"/>
            <w:hideMark/>
          </w:tcPr>
          <w:p w14:paraId="7D158DFD"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Symptomatic relief only</w:t>
            </w:r>
          </w:p>
        </w:tc>
        <w:tc>
          <w:tcPr>
            <w:tcW w:w="0" w:type="auto"/>
            <w:hideMark/>
          </w:tcPr>
          <w:p w14:paraId="3EF52151"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Non-disease-modifying; GI bleeding (10-20%); cardiovascular events; renal dysfunction; no radiographic protection</w:t>
            </w:r>
          </w:p>
        </w:tc>
      </w:tr>
      <w:tr w:rsidR="00DC1CDC" w:rsidRPr="00A96C26" w14:paraId="50B657FF" w14:textId="77777777" w:rsidTr="00DC1CDC">
        <w:tc>
          <w:tcPr>
            <w:tcW w:w="0" w:type="auto"/>
            <w:hideMark/>
          </w:tcPr>
          <w:p w14:paraId="2C457A24"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Corticosteroids</w:t>
            </w:r>
          </w:p>
        </w:tc>
        <w:tc>
          <w:tcPr>
            <w:tcW w:w="0" w:type="auto"/>
            <w:hideMark/>
          </w:tcPr>
          <w:p w14:paraId="006B7832"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Prednisone, Methylprednisolone</w:t>
            </w:r>
          </w:p>
        </w:tc>
        <w:tc>
          <w:tcPr>
            <w:tcW w:w="0" w:type="auto"/>
            <w:hideMark/>
          </w:tcPr>
          <w:p w14:paraId="35EEC3B9"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Potent anti-inflammatory; immunosuppression</w:t>
            </w:r>
          </w:p>
        </w:tc>
        <w:tc>
          <w:tcPr>
            <w:tcW w:w="0" w:type="auto"/>
            <w:hideMark/>
          </w:tcPr>
          <w:p w14:paraId="23D75478"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Low-dose adjunctive benefit; may slow radiographic progression</w:t>
            </w:r>
          </w:p>
        </w:tc>
        <w:tc>
          <w:tcPr>
            <w:tcW w:w="0" w:type="auto"/>
            <w:hideMark/>
          </w:tcPr>
          <w:p w14:paraId="16D050BE"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Osteoporosis; infections; weight gain; cardiovascular disease; hyperglycemia; limited long-term use</w:t>
            </w:r>
          </w:p>
        </w:tc>
      </w:tr>
    </w:tbl>
    <w:p w14:paraId="093EA15D" w14:textId="77777777" w:rsidR="00315EE3" w:rsidRPr="00A96C26" w:rsidRDefault="00315EE3" w:rsidP="00315EE3">
      <w:pPr>
        <w:jc w:val="both"/>
        <w:rPr>
          <w:rFonts w:ascii="Times New Roman" w:hAnsi="Times New Roman" w:cs="Times New Roman"/>
          <w:szCs w:val="28"/>
        </w:rPr>
      </w:pPr>
    </w:p>
    <w:p w14:paraId="20C1631E"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 xml:space="preserve">3. </w:t>
      </w:r>
      <w:proofErr w:type="spellStart"/>
      <w:r w:rsidRPr="00A96C26">
        <w:rPr>
          <w:rFonts w:ascii="Times New Roman" w:hAnsi="Times New Roman" w:cs="Times New Roman"/>
          <w:b/>
          <w:bCs/>
          <w:szCs w:val="28"/>
        </w:rPr>
        <w:t>Transethosomes</w:t>
      </w:r>
      <w:proofErr w:type="spellEnd"/>
      <w:r w:rsidRPr="00A96C26">
        <w:rPr>
          <w:rFonts w:ascii="Times New Roman" w:hAnsi="Times New Roman" w:cs="Times New Roman"/>
          <w:b/>
          <w:bCs/>
          <w:szCs w:val="28"/>
        </w:rPr>
        <w:t>: Fundamentals &amp; Characterization</w:t>
      </w:r>
    </w:p>
    <w:p w14:paraId="36043BE2"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3.1 Definition &amp; Composition</w:t>
      </w:r>
    </w:p>
    <w:p w14:paraId="5B7A199A"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Phospholipid Bilayer Structure</w:t>
      </w:r>
    </w:p>
    <w:p w14:paraId="7635143D" w14:textId="4AB7CF81" w:rsidR="00DC1CDC" w:rsidRPr="00A96C26" w:rsidRDefault="00DC1CDC" w:rsidP="00DC1CDC">
      <w:pPr>
        <w:jc w:val="both"/>
        <w:rPr>
          <w:rFonts w:ascii="Times New Roman" w:hAnsi="Times New Roman" w:cs="Times New Roman"/>
          <w:szCs w:val="28"/>
        </w:rPr>
      </w:pP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are a specialized category of elastic lipid nanovesicles engineered to overcome the limitations of conventional liposomes through a unique compositional design that fundamentally alters their membrane properties. At their core,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consist of a self-assembled phospholipid bilayer forming a spherical or ellipsoidal vesicle with an aqueous inner core capable of encapsulating hydrophilic drugs, while the lipophilic membrane itself can solubilize hydrophobic compounds [</w:t>
      </w:r>
      <w:r w:rsidR="00321525" w:rsidRPr="00A96C26">
        <w:rPr>
          <w:rFonts w:ascii="Times New Roman" w:hAnsi="Times New Roman" w:cs="Times New Roman"/>
          <w:szCs w:val="28"/>
        </w:rPr>
        <w:t>19</w:t>
      </w:r>
      <w:r w:rsidRPr="00A96C26">
        <w:rPr>
          <w:rFonts w:ascii="Times New Roman" w:hAnsi="Times New Roman" w:cs="Times New Roman"/>
          <w:szCs w:val="28"/>
        </w:rPr>
        <w:t xml:space="preserve">]. The phospholipid bilayer is typically composed of </w:t>
      </w:r>
      <w:r w:rsidRPr="00A96C26">
        <w:rPr>
          <w:rFonts w:ascii="Times New Roman" w:hAnsi="Times New Roman" w:cs="Times New Roman"/>
          <w:szCs w:val="28"/>
        </w:rPr>
        <w:lastRenderedPageBreak/>
        <w:t xml:space="preserve">naturally occurring phosphatidylcholine (derived from egg or soy lecithin) or synthetic phospholipids such as 1,2-distearoyl-sn-glycero-3-phosphocholine (DSPC) and 1,2-dipalmitoyl-sn-glycero-3-phosphocholine (DPPC), which provide structural stability and biocompatibility. These phospholipids spontaneously arrange with their hydrophobic fatty acid tails directed inward and their hydrophilic phosphate head groups facing outward toward the aqueous environment, creating a highly organized semi-permeable barrier. The phospholipid bilayer serves multiple critical functions: it provides mechanical stability to the vesicle, controls drug release kinetics, protects encapsulated drugs from degradation, and enables prolonged circulation in biological fluids. Importantly, the phospholipid composition itself contributes to the therapeutic potential of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as the phosphate headgroups and fatty acid composition can modulate immune responses through pattern recognition receptors on immune cells. The thickness of the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membrane typically ranges from 4-8 nanometers, with the overall vesicle diameter varying from 50-500 nanometers depending on preparation conditions and intended application [</w:t>
      </w:r>
      <w:r w:rsidR="00321525" w:rsidRPr="00A96C26">
        <w:rPr>
          <w:rFonts w:ascii="Times New Roman" w:hAnsi="Times New Roman" w:cs="Times New Roman"/>
          <w:szCs w:val="28"/>
        </w:rPr>
        <w:t>18,19,20</w:t>
      </w:r>
      <w:r w:rsidRPr="00A96C26">
        <w:rPr>
          <w:rFonts w:ascii="Times New Roman" w:hAnsi="Times New Roman" w:cs="Times New Roman"/>
          <w:szCs w:val="28"/>
        </w:rPr>
        <w:t>].</w:t>
      </w:r>
    </w:p>
    <w:p w14:paraId="6D566C8E"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Edge Activators</w:t>
      </w:r>
    </w:p>
    <w:p w14:paraId="478630B7" w14:textId="2C2BBC26"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The defining compositional feature that distinguishes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from conventional liposomes is the incorporation of edge activators small amphiphilic molecules that intercalate into the phospholipid bilayer and fundamentally alter its mechanical and transport properties. Edge activators are amphiphilic compounds with both hydrophobic and hydrophilic regions that position themselves at the phospholipid head group interface, disrupting the organized packing of lipid molecules and creating microscopic structural defects and fluidity perturbations [09]. The most commonly employed edge activators include ethanol (a simple small-molecule alcohol), propylene glycol (a polyol), and natural terpenes such as menthol, carvacrol, eugenol, and limonene derived from essential oils. Ethanol, comprising typically 10-20% of the total formulation by weight, reduces the phase transition temperature (Tm) of the phospholipid bilayer the temperature at which the membrane transitions from an ordered gel phase to a disordered fluid phase thereby increasing membrane fluidity at physiological temperature. The mechanism by which edge activators enhance permeability involves several synergistic effects: they reduce intermolecular cohesion forces within the lipid bilayer, increase membrane permeability to small molecules, promote membrane bending and deformation, and facilitate transient opening of membrane pores. Terpenes as edge activators offer additional advantages beyond membrane fluidization; menthol activates transient receptor potential channels on skin and tissue cells, carvacrol exhibits inherent antimicrobial and anti-inflammatory properties, and eugenol possesses analgesic and anti-inflammatory effects [</w:t>
      </w:r>
      <w:r w:rsidR="00321525" w:rsidRPr="00A96C26">
        <w:rPr>
          <w:rFonts w:ascii="Times New Roman" w:hAnsi="Times New Roman" w:cs="Times New Roman"/>
          <w:szCs w:val="28"/>
        </w:rPr>
        <w:t>21,22</w:t>
      </w:r>
      <w:r w:rsidRPr="00A96C26">
        <w:rPr>
          <w:rFonts w:ascii="Times New Roman" w:hAnsi="Times New Roman" w:cs="Times New Roman"/>
          <w:szCs w:val="28"/>
        </w:rPr>
        <w:t>].</w:t>
      </w:r>
    </w:p>
    <w:p w14:paraId="0207C289"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3.2 Key Characteristics</w:t>
      </w:r>
    </w:p>
    <w:p w14:paraId="7EBEC461"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Size Range &amp; Morphology</w:t>
      </w:r>
    </w:p>
    <w:p w14:paraId="7780A96F" w14:textId="6A11ED4C" w:rsidR="00DC1CDC" w:rsidRPr="00A96C26" w:rsidRDefault="00DC1CDC" w:rsidP="00DC1CDC">
      <w:pPr>
        <w:jc w:val="both"/>
        <w:rPr>
          <w:rFonts w:ascii="Times New Roman" w:hAnsi="Times New Roman" w:cs="Times New Roman"/>
          <w:szCs w:val="28"/>
        </w:rPr>
      </w:pP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exhibit size ranges typically between 50-500 nanometers in diameter, though most pharmaceutically optimized formulations cluster around 100-200 </w:t>
      </w:r>
      <w:proofErr w:type="gramStart"/>
      <w:r w:rsidRPr="00A96C26">
        <w:rPr>
          <w:rFonts w:ascii="Times New Roman" w:hAnsi="Times New Roman" w:cs="Times New Roman"/>
          <w:szCs w:val="28"/>
        </w:rPr>
        <w:t>nanometers .</w:t>
      </w:r>
      <w:proofErr w:type="gramEnd"/>
      <w:r w:rsidRPr="00A96C26">
        <w:rPr>
          <w:rFonts w:ascii="Times New Roman" w:hAnsi="Times New Roman" w:cs="Times New Roman"/>
          <w:szCs w:val="28"/>
        </w:rPr>
        <w:t xml:space="preserve"> This nanoscale size </w:t>
      </w:r>
      <w:r w:rsidRPr="00A96C26">
        <w:rPr>
          <w:rFonts w:ascii="Times New Roman" w:hAnsi="Times New Roman" w:cs="Times New Roman"/>
          <w:szCs w:val="28"/>
        </w:rPr>
        <w:lastRenderedPageBreak/>
        <w:t xml:space="preserve">is critical for achieving superior biological performance compared to larger vesicles and free drugs. Sizes in the 100-150 nm range are considered optimal for transdermal and </w:t>
      </w:r>
      <w:proofErr w:type="spellStart"/>
      <w:r w:rsidRPr="00A96C26">
        <w:rPr>
          <w:rFonts w:ascii="Times New Roman" w:hAnsi="Times New Roman" w:cs="Times New Roman"/>
          <w:szCs w:val="28"/>
        </w:rPr>
        <w:t>transvascular</w:t>
      </w:r>
      <w:proofErr w:type="spellEnd"/>
      <w:r w:rsidRPr="00A96C26">
        <w:rPr>
          <w:rFonts w:ascii="Times New Roman" w:hAnsi="Times New Roman" w:cs="Times New Roman"/>
          <w:szCs w:val="28"/>
        </w:rPr>
        <w:t xml:space="preserve"> penetration, balancing the competing requirements of small enough to deform through restrictive biological barriers yet large enough to maintain structural integrity and drug loading capacity. Morphological examination using transmission electron microscopy (TEM) reveals that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adopt predominantly spherical or slightly ellipsoidal shapes, though some degree of polymorphism (variation in size and shape) is typically observed within any given batch. The morphology directly influences deformability; more spherical vesicles with lower aspect ratios demonstrate superior deformation capacity compared to more elongated forms [04]. Cryo-TEM (cryogenic transmission electron microscopy) studies, which preserve the native hydrated state, confirm that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maintain their vesicular structure with distinct bilayer organization even under physiological conditions, with occasional visualization of transient membrane deformations and pore </w:t>
      </w:r>
      <w:proofErr w:type="gramStart"/>
      <w:r w:rsidRPr="00A96C26">
        <w:rPr>
          <w:rFonts w:ascii="Times New Roman" w:hAnsi="Times New Roman" w:cs="Times New Roman"/>
          <w:szCs w:val="28"/>
        </w:rPr>
        <w:t>formation .</w:t>
      </w:r>
      <w:proofErr w:type="gramEnd"/>
      <w:r w:rsidRPr="00A96C26">
        <w:rPr>
          <w:rFonts w:ascii="Times New Roman" w:hAnsi="Times New Roman" w:cs="Times New Roman"/>
          <w:szCs w:val="28"/>
        </w:rPr>
        <w:t xml:space="preserve"> Atomic force microscopy (AFM) studies measuring individual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vesicles demonstrate surface roughness and occasional protrusion-like structures consistent with edge activator-induced membrane perturbations.</w:t>
      </w:r>
    </w:p>
    <w:p w14:paraId="3670F8F0" w14:textId="7830E431" w:rsidR="007C1A14" w:rsidRPr="00A96C26" w:rsidRDefault="007C1A14" w:rsidP="007C1A14">
      <w:pPr>
        <w:jc w:val="both"/>
        <w:rPr>
          <w:rFonts w:ascii="Times New Roman" w:hAnsi="Times New Roman" w:cs="Times New Roman"/>
          <w:szCs w:val="28"/>
        </w:rPr>
      </w:pPr>
      <w:r w:rsidRPr="00A96C26">
        <w:rPr>
          <w:rFonts w:ascii="Times New Roman" w:hAnsi="Times New Roman" w:cs="Times New Roman"/>
          <w:noProof/>
          <w:szCs w:val="28"/>
        </w:rPr>
        <w:drawing>
          <wp:inline distT="0" distB="0" distL="0" distR="0" wp14:anchorId="43EB56E2" wp14:editId="6F1C06C6">
            <wp:extent cx="5943600" cy="3241675"/>
            <wp:effectExtent l="0" t="0" r="0" b="0"/>
            <wp:docPr id="2921726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2BF33BD9" w14:textId="66B7B7AE" w:rsidR="007C1A14" w:rsidRPr="00A96C26" w:rsidRDefault="007C1A14" w:rsidP="00DC1CDC">
      <w:pPr>
        <w:jc w:val="both"/>
        <w:rPr>
          <w:rFonts w:ascii="Times New Roman" w:hAnsi="Times New Roman" w:cs="Times New Roman"/>
          <w:szCs w:val="28"/>
        </w:rPr>
      </w:pPr>
      <w:r w:rsidRPr="00A96C26">
        <w:rPr>
          <w:rFonts w:ascii="Times New Roman" w:hAnsi="Times New Roman" w:cs="Times New Roman"/>
          <w:szCs w:val="28"/>
        </w:rPr>
        <w:t xml:space="preserve">Fig No 02 - Multiscale mechanism enabling enhanced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efficacy in RA</w:t>
      </w:r>
    </w:p>
    <w:p w14:paraId="1DF10355"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Deformability/Elasticity</w:t>
      </w:r>
    </w:p>
    <w:p w14:paraId="42199F08" w14:textId="2E55B718"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Deformability represents the defining functional characteristic that distinguishes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from conventional liposomes and enables their superior tissue penetration.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deformability can be quantitatively assessed through deformation index measurements using extrusion assays, where vesicles are forced through filters with progressively smaller pore </w:t>
      </w:r>
      <w:proofErr w:type="gramStart"/>
      <w:r w:rsidRPr="00A96C26">
        <w:rPr>
          <w:rFonts w:ascii="Times New Roman" w:hAnsi="Times New Roman" w:cs="Times New Roman"/>
          <w:szCs w:val="28"/>
        </w:rPr>
        <w:t>sizes .</w:t>
      </w:r>
      <w:proofErr w:type="gramEnd"/>
      <w:r w:rsidRPr="00A96C26">
        <w:rPr>
          <w:rFonts w:ascii="Times New Roman" w:hAnsi="Times New Roman" w:cs="Times New Roman"/>
          <w:szCs w:val="28"/>
        </w:rPr>
        <w:t xml:space="preserve"> A vesicle's deformation index is calculated as the ratio of the mean diameter of the extrusion pore </w:t>
      </w:r>
      <w:r w:rsidRPr="00A96C26">
        <w:rPr>
          <w:rFonts w:ascii="Times New Roman" w:hAnsi="Times New Roman" w:cs="Times New Roman"/>
          <w:szCs w:val="28"/>
        </w:rPr>
        <w:lastRenderedPageBreak/>
        <w:t xml:space="preserve">to the mean diameter of the vesicle after extrusion;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capable of traversing pores significantly smaller than their native diameter exhibit high deformation indices [</w:t>
      </w:r>
      <w:r w:rsidR="00321525" w:rsidRPr="00A96C26">
        <w:rPr>
          <w:rFonts w:ascii="Times New Roman" w:hAnsi="Times New Roman" w:cs="Times New Roman"/>
          <w:szCs w:val="28"/>
        </w:rPr>
        <w:t>20,21,22</w:t>
      </w:r>
      <w:r w:rsidRPr="00A96C26">
        <w:rPr>
          <w:rFonts w:ascii="Times New Roman" w:hAnsi="Times New Roman" w:cs="Times New Roman"/>
          <w:szCs w:val="28"/>
        </w:rPr>
        <w:t xml:space="preserve">]. Classical studies demonstrate that conventional rigid liposomes cannot deform to pass through pores smaller than 80-90% of their diameter, while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can deform to pass through pores only 30-50% of their original diameter, representing a remarkable </w:t>
      </w:r>
      <w:proofErr w:type="gramStart"/>
      <w:r w:rsidRPr="00A96C26">
        <w:rPr>
          <w:rFonts w:ascii="Times New Roman" w:hAnsi="Times New Roman" w:cs="Times New Roman"/>
          <w:szCs w:val="28"/>
        </w:rPr>
        <w:t>2-3 fold</w:t>
      </w:r>
      <w:proofErr w:type="gramEnd"/>
      <w:r w:rsidRPr="00A96C26">
        <w:rPr>
          <w:rFonts w:ascii="Times New Roman" w:hAnsi="Times New Roman" w:cs="Times New Roman"/>
          <w:szCs w:val="28"/>
        </w:rPr>
        <w:t xml:space="preserve"> enhancement in deformability. This extraordinary elasticity arises from the edge activator-induced fluidization of the phospholipid bilayer, which reduces the energetic barrier to membrane bending and transient pore formation [</w:t>
      </w:r>
      <w:r w:rsidR="00321525" w:rsidRPr="00A96C26">
        <w:rPr>
          <w:rFonts w:ascii="Times New Roman" w:hAnsi="Times New Roman" w:cs="Times New Roman"/>
          <w:szCs w:val="28"/>
        </w:rPr>
        <w:t>23,24,25</w:t>
      </w:r>
      <w:r w:rsidRPr="00A96C26">
        <w:rPr>
          <w:rFonts w:ascii="Times New Roman" w:hAnsi="Times New Roman" w:cs="Times New Roman"/>
          <w:szCs w:val="28"/>
        </w:rPr>
        <w:t xml:space="preserve">]. </w:t>
      </w:r>
    </w:p>
    <w:p w14:paraId="6BF6D6DC"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Permeability Enhancement Mechanisms</w:t>
      </w:r>
    </w:p>
    <w:p w14:paraId="789FF886" w14:textId="752803C8"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The superior permeability enhancement conferred by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operates through multiple synergistic mechanisms occurring at distinct biological scales. At the macromolecular level, edge activators modify the structure and organization of biological barriers. In skin, ethanol and terpenes penetrate the stratum corneum lipid domains, disrupting the highly organized lamellar structure and creating pathways of enhanced lipid fluidity that facilitate drug diffusion. The alteration of barrier lipid organization is transient and reversible, with the barrier structure recovering after the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formulation is removed. At the membrane level, edge activators fluidize the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bilayer itself, increasing its permeability to small molecules and reducing the free energy required for drug </w:t>
      </w:r>
      <w:proofErr w:type="gramStart"/>
      <w:r w:rsidRPr="00A96C26">
        <w:rPr>
          <w:rFonts w:ascii="Times New Roman" w:hAnsi="Times New Roman" w:cs="Times New Roman"/>
          <w:szCs w:val="28"/>
        </w:rPr>
        <w:t>release .</w:t>
      </w:r>
      <w:proofErr w:type="gramEnd"/>
      <w:r w:rsidRPr="00A96C26">
        <w:rPr>
          <w:rFonts w:ascii="Times New Roman" w:hAnsi="Times New Roman" w:cs="Times New Roman"/>
          <w:szCs w:val="28"/>
        </w:rPr>
        <w:t xml:space="preserve"> The membrane perturbations create temporary pores and defects through which encapsulated drugs can escape, particularly for hydrophilic compounds that would normally remain sequestered within the vesicle core. At the cellular level,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interact with cell membranes more dynamically than rigid liposomes. Their deformable nature enables more intimate contact with the cellular membrane, with some evidence suggesting direct membrane-to-membrane fusion or endocytic uptake of intact </w:t>
      </w:r>
      <w:proofErr w:type="gramStart"/>
      <w:r w:rsidRPr="00A96C26">
        <w:rPr>
          <w:rFonts w:ascii="Times New Roman" w:hAnsi="Times New Roman" w:cs="Times New Roman"/>
          <w:szCs w:val="28"/>
        </w:rPr>
        <w:t>vesicles .</w:t>
      </w:r>
      <w:proofErr w:type="gramEnd"/>
      <w:r w:rsidRPr="00A96C26">
        <w:rPr>
          <w:rFonts w:ascii="Times New Roman" w:hAnsi="Times New Roman" w:cs="Times New Roman"/>
          <w:szCs w:val="28"/>
        </w:rPr>
        <w:t xml:space="preserve"> The enhanced cellular uptake of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compared to conventional liposomes has been documented across numerous cell types relevant to RA pathogenesis, including synovial fibroblasts, macrophages, and dendritic cells. The phospholipid composition itself contributes to permeability enhancement through modulation of lipid-protein interactions and activation of pattern recognition receptors that promote cellular internalization [21]. Additionally,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demonstrate enhanced penetration through tissue matrices by virtue of their deformability; rather than being physically blocked by narrow extracellular matrix pores as rigid liposomes would be, deformable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compress and traverse through tortuous pathways within tissue [22</w:t>
      </w:r>
      <w:r w:rsidR="00321525" w:rsidRPr="00A96C26">
        <w:rPr>
          <w:rFonts w:ascii="Times New Roman" w:hAnsi="Times New Roman" w:cs="Times New Roman"/>
          <w:szCs w:val="28"/>
        </w:rPr>
        <w:t>,23,24,25</w:t>
      </w:r>
      <w:r w:rsidRPr="00A96C26">
        <w:rPr>
          <w:rFonts w:ascii="Times New Roman" w:hAnsi="Times New Roman" w:cs="Times New Roman"/>
          <w:szCs w:val="28"/>
        </w:rPr>
        <w:t>].</w:t>
      </w:r>
    </w:p>
    <w:p w14:paraId="2C0E258A"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3.3 Preparation Methods</w:t>
      </w:r>
    </w:p>
    <w:p w14:paraId="35C2F886"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Thin Film Hydration Method</w:t>
      </w:r>
    </w:p>
    <w:p w14:paraId="13C4FAE8" w14:textId="043B3897"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The thin film hydration technique, also called the film dispersion method, represents the most widely employed preparation method for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and is valued for its simplicity, reproducibility, and scalability to industrial production. The method begins with precise weighing and dissolution of all lipid components (phospholipids and edge activators such as ethanol) in an organic solvent typically chloroform, dichloromethane, or methanol in appropriate molar ratios. </w:t>
      </w:r>
      <w:r w:rsidRPr="00A96C26">
        <w:rPr>
          <w:rFonts w:ascii="Times New Roman" w:hAnsi="Times New Roman" w:cs="Times New Roman"/>
          <w:szCs w:val="28"/>
        </w:rPr>
        <w:lastRenderedPageBreak/>
        <w:t xml:space="preserve">The solvent volume and lipid concentration are carefully controlled; </w:t>
      </w:r>
      <w:proofErr w:type="gramStart"/>
      <w:r w:rsidRPr="00A96C26">
        <w:rPr>
          <w:rFonts w:ascii="Times New Roman" w:hAnsi="Times New Roman" w:cs="Times New Roman"/>
          <w:szCs w:val="28"/>
        </w:rPr>
        <w:t>typically</w:t>
      </w:r>
      <w:proofErr w:type="gramEnd"/>
      <w:r w:rsidRPr="00A96C26">
        <w:rPr>
          <w:rFonts w:ascii="Times New Roman" w:hAnsi="Times New Roman" w:cs="Times New Roman"/>
          <w:szCs w:val="28"/>
        </w:rPr>
        <w:t xml:space="preserve"> lipids are dissolved at concentrations of 50-100 mg/mL in 20-50 mL of organic solvent to ensure complete dissolution while maintaining manageable volumes. The organic lipid solution is transferred to a round-bottom flask attached to a rotary evaporator maintained at 40-60°C, connected to a vacuum pump. As the flask rotates, the organic solvent is gradually evaporated under reduced pressure, and the lipids deposit as a thin, uniform film coating the inner surface of the flask. The thickness and uniformity of this film directly influence subsequent vesicle size and distribution; thinner films typically produce smaller, more uniform vesicles. Once the film formation is complete (verified by the absence of solvent odor), the drug of interest dissolved in appropriate aqueous medium is added to the flask. The aqueous medium composition is critical for hydrophilic drugs, distilled water or isotonic buffers are used; for hydrophobic drugs, the aqueous phase may contain cosolvents or be replaced with organic solvent-water mixtures. The flask is then gently heated to 40-50°C (below the transition temperature of the phospholipids) while maintaining rotation, a process called hydration [</w:t>
      </w:r>
      <w:r w:rsidR="00321525" w:rsidRPr="00A96C26">
        <w:rPr>
          <w:rFonts w:ascii="Times New Roman" w:hAnsi="Times New Roman" w:cs="Times New Roman"/>
          <w:szCs w:val="28"/>
        </w:rPr>
        <w:t>23,24,25,26</w:t>
      </w:r>
      <w:r w:rsidRPr="00A96C26">
        <w:rPr>
          <w:rFonts w:ascii="Times New Roman" w:hAnsi="Times New Roman" w:cs="Times New Roman"/>
          <w:szCs w:val="28"/>
        </w:rPr>
        <w:t xml:space="preserve">]. </w:t>
      </w:r>
    </w:p>
    <w:p w14:paraId="06DA620A"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Sonication Method</w:t>
      </w:r>
    </w:p>
    <w:p w14:paraId="02EFBF40" w14:textId="4EA96605"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Sonication, also called ultrasonication or probe sonication, is an energy-intensive technique that uses high-frequency ultrasound waves to reduce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vesicle size from multilamellar forms to smaller </w:t>
      </w:r>
      <w:proofErr w:type="spellStart"/>
      <w:r w:rsidRPr="00A96C26">
        <w:rPr>
          <w:rFonts w:ascii="Times New Roman" w:hAnsi="Times New Roman" w:cs="Times New Roman"/>
          <w:szCs w:val="28"/>
        </w:rPr>
        <w:t>unilamellar</w:t>
      </w:r>
      <w:proofErr w:type="spellEnd"/>
      <w:r w:rsidRPr="00A96C26">
        <w:rPr>
          <w:rFonts w:ascii="Times New Roman" w:hAnsi="Times New Roman" w:cs="Times New Roman"/>
          <w:szCs w:val="28"/>
        </w:rPr>
        <w:t xml:space="preserve">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In this method, the multilamellar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suspension obtained from thin film hydration is placed in a glass vial positioned within a </w:t>
      </w:r>
      <w:proofErr w:type="spellStart"/>
      <w:r w:rsidRPr="00A96C26">
        <w:rPr>
          <w:rFonts w:ascii="Times New Roman" w:hAnsi="Times New Roman" w:cs="Times New Roman"/>
          <w:szCs w:val="28"/>
        </w:rPr>
        <w:t>sonicator</w:t>
      </w:r>
      <w:proofErr w:type="spellEnd"/>
      <w:r w:rsidRPr="00A96C26">
        <w:rPr>
          <w:rFonts w:ascii="Times New Roman" w:hAnsi="Times New Roman" w:cs="Times New Roman"/>
          <w:szCs w:val="28"/>
        </w:rPr>
        <w:t xml:space="preserve"> bath or fitted with </w:t>
      </w:r>
      <w:proofErr w:type="gramStart"/>
      <w:r w:rsidRPr="00A96C26">
        <w:rPr>
          <w:rFonts w:ascii="Times New Roman" w:hAnsi="Times New Roman" w:cs="Times New Roman"/>
          <w:szCs w:val="28"/>
        </w:rPr>
        <w:t>a</w:t>
      </w:r>
      <w:proofErr w:type="gramEnd"/>
      <w:r w:rsidRPr="00A96C26">
        <w:rPr>
          <w:rFonts w:ascii="Times New Roman" w:hAnsi="Times New Roman" w:cs="Times New Roman"/>
          <w:szCs w:val="28"/>
        </w:rPr>
        <w:t xml:space="preserve"> ultrasonic probe. Bath sonication, employing frequencies typically of 40-50 kHz, generates cavitation bubbles throughout the liquid that collapse and release mechanical energy, disrupting larger vesicles into smaller fragments. Probe sonication (also called tip sonication), employing frequencies of 20 kHz and higher, is more intense and efficient but requires careful technique to avoid excessive heat generation. During sonication, the ultrasonic energy disrupts the multilamellar structure through cavitation-induced mechanical stress, causing lipid bilayer fragmentation and reorganization into smaller </w:t>
      </w:r>
      <w:proofErr w:type="spellStart"/>
      <w:r w:rsidRPr="00A96C26">
        <w:rPr>
          <w:rFonts w:ascii="Times New Roman" w:hAnsi="Times New Roman" w:cs="Times New Roman"/>
          <w:szCs w:val="28"/>
        </w:rPr>
        <w:t>unilamellar</w:t>
      </w:r>
      <w:proofErr w:type="spellEnd"/>
      <w:r w:rsidRPr="00A96C26">
        <w:rPr>
          <w:rFonts w:ascii="Times New Roman" w:hAnsi="Times New Roman" w:cs="Times New Roman"/>
          <w:szCs w:val="28"/>
        </w:rPr>
        <w:t xml:space="preserve"> vesicles. Sonication duration directly influences final vesicle size; longer sonication periods produce progressively smaller vesicles, with typical durations ranging from 15-45 minutes to achieve target sizes of 100-200 nm [06]. Sonication generates substantial heat, which can damage both the drug and the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structure; consequently, sonication is performed with cooling (ice bath or cooled water circulation) to maintain temperatures below 25°C [</w:t>
      </w:r>
      <w:r w:rsidR="00321525" w:rsidRPr="00A96C26">
        <w:rPr>
          <w:rFonts w:ascii="Times New Roman" w:hAnsi="Times New Roman" w:cs="Times New Roman"/>
          <w:szCs w:val="28"/>
        </w:rPr>
        <w:t>25,26</w:t>
      </w:r>
      <w:r w:rsidRPr="00A96C26">
        <w:rPr>
          <w:rFonts w:ascii="Times New Roman" w:hAnsi="Times New Roman" w:cs="Times New Roman"/>
          <w:szCs w:val="28"/>
        </w:rPr>
        <w:t xml:space="preserve">]. Sonication also generates toxic titanium particles if a titanium probe is used; consequently, glass probes are preferred, or the sonicate is filtered through 0.45 </w:t>
      </w:r>
      <w:proofErr w:type="spellStart"/>
      <w:r w:rsidRPr="00A96C26">
        <w:rPr>
          <w:rFonts w:ascii="Times New Roman" w:hAnsi="Times New Roman" w:cs="Times New Roman"/>
          <w:szCs w:val="28"/>
        </w:rPr>
        <w:t>μm</w:t>
      </w:r>
      <w:proofErr w:type="spellEnd"/>
      <w:r w:rsidRPr="00A96C26">
        <w:rPr>
          <w:rFonts w:ascii="Times New Roman" w:hAnsi="Times New Roman" w:cs="Times New Roman"/>
          <w:szCs w:val="28"/>
        </w:rPr>
        <w:t xml:space="preserve"> filters to remove probe-derived particles [</w:t>
      </w:r>
      <w:r w:rsidR="00321525" w:rsidRPr="00A96C26">
        <w:rPr>
          <w:rFonts w:ascii="Times New Roman" w:hAnsi="Times New Roman" w:cs="Times New Roman"/>
          <w:szCs w:val="28"/>
        </w:rPr>
        <w:t>25,26,27</w:t>
      </w:r>
      <w:r w:rsidRPr="00A96C26">
        <w:rPr>
          <w:rFonts w:ascii="Times New Roman" w:hAnsi="Times New Roman" w:cs="Times New Roman"/>
          <w:szCs w:val="28"/>
        </w:rPr>
        <w:t>].</w:t>
      </w:r>
    </w:p>
    <w:p w14:paraId="4288B4C5"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Reverse-Phase Evaporation Method</w:t>
      </w:r>
    </w:p>
    <w:p w14:paraId="39083EA4" w14:textId="71EDC208"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The reverse-phase evaporation (REV) method, also called the reverse-phase emulsion evaporation technique, represents an alternative preparation approach particularly suitable for encapsulating hydrophilic or water-soluble drugs with potentially high entrapment efficiency. This method begins by preparing a water-in-oil emulsion by mixing an aqueous phase containing the dissolved </w:t>
      </w:r>
      <w:r w:rsidRPr="00A96C26">
        <w:rPr>
          <w:rFonts w:ascii="Times New Roman" w:hAnsi="Times New Roman" w:cs="Times New Roman"/>
          <w:szCs w:val="28"/>
        </w:rPr>
        <w:lastRenderedPageBreak/>
        <w:t>drug with an organic phase containing phospholipids and edge activators. The aqueous phase, containing the drug at desired concentration in buffer or saline, is slowly added to the organic phase (typically containing 100-500 mg/mL lipids in chloroform or ether) with vigorous mechanical stirring. The vigorous mixing creates an emulsion with aqueous droplets dispersed throughout the organic lipid solution, with the lipids preferentially locating at the water-oil interface [04]. The water-in-oil emulsion is then subjected to gentle sonication for 5-15 minutes to produce a fine, stable emulsion with small aqueous droplets [</w:t>
      </w:r>
      <w:r w:rsidR="00321525" w:rsidRPr="00A96C26">
        <w:rPr>
          <w:rFonts w:ascii="Times New Roman" w:hAnsi="Times New Roman" w:cs="Times New Roman"/>
          <w:szCs w:val="28"/>
        </w:rPr>
        <w:t>25,26,27</w:t>
      </w:r>
      <w:r w:rsidRPr="00A96C26">
        <w:rPr>
          <w:rFonts w:ascii="Times New Roman" w:hAnsi="Times New Roman" w:cs="Times New Roman"/>
          <w:szCs w:val="28"/>
        </w:rPr>
        <w:t xml:space="preserve">]. </w:t>
      </w:r>
    </w:p>
    <w:p w14:paraId="0C57DB98"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3.4 Characterization Parameters</w:t>
      </w:r>
    </w:p>
    <w:p w14:paraId="21900AAC"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Particle Size and Zeta Potential</w:t>
      </w:r>
    </w:p>
    <w:p w14:paraId="2DF621A8" w14:textId="5CE95C5A"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Particle size represents one of the most critical characterization parameters for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as it directly influences deformability, cellular uptake, synovial penetration, and overall therapeutic efficacy [</w:t>
      </w:r>
      <w:r w:rsidR="00321525" w:rsidRPr="00A96C26">
        <w:rPr>
          <w:rFonts w:ascii="Times New Roman" w:hAnsi="Times New Roman" w:cs="Times New Roman"/>
          <w:szCs w:val="28"/>
        </w:rPr>
        <w:t>27,28</w:t>
      </w:r>
      <w:r w:rsidRPr="00A96C26">
        <w:rPr>
          <w:rFonts w:ascii="Times New Roman" w:hAnsi="Times New Roman" w:cs="Times New Roman"/>
          <w:szCs w:val="28"/>
        </w:rPr>
        <w:t>]. Dynamic light scattering (DLS), also called photon correlation spectroscopy (PCS), is the primary technique for particle size determination and is based on measuring intensity fluctuations of laser light scattered by moving particles. DLS measures the hydrodynamic diameter the apparent size of particles in solution accounting for any associated water layer rather than the geometric diameter measured by electron microscopy [</w:t>
      </w:r>
      <w:r w:rsidR="00321525" w:rsidRPr="00A96C26">
        <w:rPr>
          <w:rFonts w:ascii="Times New Roman" w:hAnsi="Times New Roman" w:cs="Times New Roman"/>
          <w:szCs w:val="28"/>
        </w:rPr>
        <w:t>28,29</w:t>
      </w:r>
      <w:r w:rsidRPr="00A96C26">
        <w:rPr>
          <w:rFonts w:ascii="Times New Roman" w:hAnsi="Times New Roman" w:cs="Times New Roman"/>
          <w:szCs w:val="28"/>
        </w:rPr>
        <w:t xml:space="preserve">]. Optimal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sizes for RA applications typically range from 100-200 nanometers, </w:t>
      </w:r>
      <w:r w:rsidR="00321525" w:rsidRPr="00A96C26">
        <w:rPr>
          <w:rFonts w:ascii="Times New Roman" w:hAnsi="Times New Roman" w:cs="Times New Roman"/>
          <w:szCs w:val="28"/>
        </w:rPr>
        <w:t>balancing superior deformability (smaller vesicles are more deformable), enhanced cellular uptake (100-200 nm is optimal for endocytosis), and sufficient drug-loading</w:t>
      </w:r>
      <w:r w:rsidRPr="00A96C26">
        <w:rPr>
          <w:rFonts w:ascii="Times New Roman" w:hAnsi="Times New Roman" w:cs="Times New Roman"/>
          <w:szCs w:val="28"/>
        </w:rPr>
        <w:t xml:space="preserve"> capacity. DLS analysis simultaneously provides the polydispersity index (PDI), a measure of </w:t>
      </w:r>
      <w:r w:rsidR="00321525" w:rsidRPr="00A96C26">
        <w:rPr>
          <w:rFonts w:ascii="Times New Roman" w:hAnsi="Times New Roman" w:cs="Times New Roman"/>
          <w:szCs w:val="28"/>
        </w:rPr>
        <w:t>particle size heterogeneity</w:t>
      </w:r>
      <w:r w:rsidRPr="00A96C26">
        <w:rPr>
          <w:rFonts w:ascii="Times New Roman" w:hAnsi="Times New Roman" w:cs="Times New Roman"/>
          <w:szCs w:val="28"/>
        </w:rPr>
        <w:t xml:space="preserve"> within the formulation, ranging from 0 (perfectly monodisperse) to 1.0 (highly polydisperse) [</w:t>
      </w:r>
      <w:r w:rsidR="00321525" w:rsidRPr="00A96C26">
        <w:rPr>
          <w:rFonts w:ascii="Times New Roman" w:hAnsi="Times New Roman" w:cs="Times New Roman"/>
          <w:szCs w:val="28"/>
        </w:rPr>
        <w:t>28,29,30</w:t>
      </w:r>
      <w:r w:rsidRPr="00A96C26">
        <w:rPr>
          <w:rFonts w:ascii="Times New Roman" w:hAnsi="Times New Roman" w:cs="Times New Roman"/>
          <w:szCs w:val="28"/>
        </w:rPr>
        <w:t xml:space="preserve">]. Optimized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formulations typically exhibit PDI values below 0.3, indicating relatively uniform size distributions that facilitate reproducible biological performance. Transmission electron microscopy (TEM) provides direct visualization of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morphology and size distribution, offering complementary information to DLS measurements. Cryo-TEM, where samples are rapidly frozen to preserve the native hydrated state, provides particularly valuable information about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structure under physiologically relevant conditions, revealing bilayer organization and edge activator-induced membrane perturbations not visible in conventional TEM. Zeta potential, also called electrokinetic potential, measures the electrical charge on the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surface and is determined by electrophoretic light scattering (ELS</w:t>
      </w:r>
      <w:proofErr w:type="gramStart"/>
      <w:r w:rsidRPr="00A96C26">
        <w:rPr>
          <w:rFonts w:ascii="Times New Roman" w:hAnsi="Times New Roman" w:cs="Times New Roman"/>
          <w:szCs w:val="28"/>
        </w:rPr>
        <w:t>) .</w:t>
      </w:r>
      <w:proofErr w:type="gramEnd"/>
      <w:r w:rsidRPr="00A96C26">
        <w:rPr>
          <w:rFonts w:ascii="Times New Roman" w:hAnsi="Times New Roman" w:cs="Times New Roman"/>
          <w:szCs w:val="28"/>
        </w:rPr>
        <w:t xml:space="preserve"> The measurement involves applying an electric field across a solution of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and measuring the velocity of particle movement; zeta potential is calculated from this electrophoretic mobility using the Helmholtz-</w:t>
      </w:r>
      <w:proofErr w:type="spellStart"/>
      <w:r w:rsidRPr="00A96C26">
        <w:rPr>
          <w:rFonts w:ascii="Times New Roman" w:hAnsi="Times New Roman" w:cs="Times New Roman"/>
          <w:szCs w:val="28"/>
        </w:rPr>
        <w:t>Smoluchowski</w:t>
      </w:r>
      <w:proofErr w:type="spellEnd"/>
      <w:r w:rsidRPr="00A96C26">
        <w:rPr>
          <w:rFonts w:ascii="Times New Roman" w:hAnsi="Times New Roman" w:cs="Times New Roman"/>
          <w:szCs w:val="28"/>
        </w:rPr>
        <w:t xml:space="preserve"> equation. Typical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formulations exhibit zeta potentials ranging from -10 to -40 mV depending on phospholipid composition and pH, with the negative charge arising from phosphate groups in the phospholipid headgroups [</w:t>
      </w:r>
      <w:r w:rsidR="00321525" w:rsidRPr="00A96C26">
        <w:rPr>
          <w:rFonts w:ascii="Times New Roman" w:hAnsi="Times New Roman" w:cs="Times New Roman"/>
          <w:szCs w:val="28"/>
        </w:rPr>
        <w:t>30,31]</w:t>
      </w:r>
      <w:r w:rsidRPr="00A96C26">
        <w:rPr>
          <w:rFonts w:ascii="Times New Roman" w:hAnsi="Times New Roman" w:cs="Times New Roman"/>
          <w:szCs w:val="28"/>
        </w:rPr>
        <w:t xml:space="preserve">. </w:t>
      </w:r>
    </w:p>
    <w:p w14:paraId="5675F436"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Entrapment Efficiency</w:t>
      </w:r>
    </w:p>
    <w:p w14:paraId="06268EB7" w14:textId="2F2B6A35"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lastRenderedPageBreak/>
        <w:t xml:space="preserve">Entrapment efficiency (EE), also called encapsulation efficiency, represents the percentage of total drug that is successfully enclosed within the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vesicles versus remaining free in solution, and is a critical parameter determining the bioavailable fraction of the formulation [</w:t>
      </w:r>
      <w:r w:rsidR="00E544A9" w:rsidRPr="00A96C26">
        <w:rPr>
          <w:rFonts w:ascii="Times New Roman" w:hAnsi="Times New Roman" w:cs="Times New Roman"/>
          <w:szCs w:val="28"/>
        </w:rPr>
        <w:t>31</w:t>
      </w:r>
      <w:r w:rsidRPr="00A96C26">
        <w:rPr>
          <w:rFonts w:ascii="Times New Roman" w:hAnsi="Times New Roman" w:cs="Times New Roman"/>
          <w:szCs w:val="28"/>
        </w:rPr>
        <w:t xml:space="preserve">]. Determination of entrapment efficiency requires quantitative separation of free drug from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-encapsulated drug through techniques such as ultracentrifugation, gel permeation chromatography (size exclusion chromatography), or dialysis. Ultracentrifugation, performed at 100,000-200,000 × g for 30-60 minutes, physically separates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vesicles (which sediment to the pellet) from free drug remaining in the supernatant; the drug content in each fraction is then measured. Gel permeation chromatography separates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from free drug based on molecular size, with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eluting in the void volume and free drug eluting in later fractions; the amount of drug in each fraction is quantified. Dialysis against drug-free medium across semipermeable membranes allows free drug to diffuse out while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are retained; sampling of the dialysate over time allows calculation of free drug release. High-performance liquid chromatography (HPLC) or other analytical techniques are then used to quantify drug content in each fraction. Entrapment efficiency depends on multiple formulation factors: hydrophobic drugs generally achieve higher entrapment efficiencies (often 70-95%) because they preferentially partition into the lipid bilayer; hydrophilic drugs achieve lower entrapment efficiencies (often 40-70%) because they tend to remain in the aqueous phase; higher lipid concentrations increase EE by providing more encapsulation volume; higher drug concentrations initially increase EE but may decrease it at excessive concentrations due to oversaturation [</w:t>
      </w:r>
      <w:r w:rsidR="00E544A9" w:rsidRPr="00A96C26">
        <w:rPr>
          <w:rFonts w:ascii="Times New Roman" w:hAnsi="Times New Roman" w:cs="Times New Roman"/>
          <w:szCs w:val="28"/>
        </w:rPr>
        <w:t>31,32</w:t>
      </w:r>
      <w:r w:rsidRPr="00A96C26">
        <w:rPr>
          <w:rFonts w:ascii="Times New Roman" w:hAnsi="Times New Roman" w:cs="Times New Roman"/>
          <w:szCs w:val="28"/>
        </w:rPr>
        <w:t xml:space="preserve">]. </w:t>
      </w:r>
    </w:p>
    <w:p w14:paraId="62812E5B" w14:textId="60C15C99" w:rsidR="007C1A14" w:rsidRPr="00A96C26" w:rsidRDefault="007C1A14" w:rsidP="007C1A14">
      <w:pPr>
        <w:jc w:val="both"/>
        <w:rPr>
          <w:rFonts w:ascii="Times New Roman" w:hAnsi="Times New Roman" w:cs="Times New Roman"/>
          <w:szCs w:val="28"/>
        </w:rPr>
      </w:pPr>
      <w:r w:rsidRPr="00A96C26">
        <w:rPr>
          <w:rFonts w:ascii="Times New Roman" w:hAnsi="Times New Roman" w:cs="Times New Roman"/>
          <w:noProof/>
          <w:szCs w:val="28"/>
        </w:rPr>
        <w:drawing>
          <wp:inline distT="0" distB="0" distL="0" distR="0" wp14:anchorId="1B59E3B4" wp14:editId="56EA21B5">
            <wp:extent cx="5943600" cy="3241675"/>
            <wp:effectExtent l="0" t="0" r="0" b="0"/>
            <wp:docPr id="16906598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0D6247C0" w14:textId="3AB64933" w:rsidR="007C1A14" w:rsidRPr="00A96C26" w:rsidRDefault="007C1A14" w:rsidP="00DC1CDC">
      <w:pPr>
        <w:jc w:val="both"/>
        <w:rPr>
          <w:rFonts w:ascii="Times New Roman" w:hAnsi="Times New Roman" w:cs="Times New Roman"/>
          <w:szCs w:val="28"/>
        </w:rPr>
      </w:pPr>
      <w:r w:rsidRPr="00A96C26">
        <w:rPr>
          <w:rFonts w:ascii="Times New Roman" w:hAnsi="Times New Roman" w:cs="Times New Roman"/>
          <w:szCs w:val="28"/>
        </w:rPr>
        <w:t>Fig No 03 – Transethosome Superiority in the Preclinical Collagen-Induced Arthritis (CIA) Model</w:t>
      </w:r>
    </w:p>
    <w:p w14:paraId="103DC6D1"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Stability Studies</w:t>
      </w:r>
    </w:p>
    <w:p w14:paraId="2D010C94" w14:textId="137C5071"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lastRenderedPageBreak/>
        <w:t xml:space="preserve">Stability studies assess how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formulations maintain their critical quality attributes particle size, entrapment efficiency, drug integrity, and vesicle structure over time under various storage and physiological conditions. Stability studies are essential for predicting shelf-life, establishing storage conditions, and ensuring consistent bioavailability across the intended product lifespan. Physical stability studies monitor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size and morphology over time;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stored at 2-8°C (refrigeration) or 25°C/60% relative humidity (room temperature) are periodically analyzed using DLS and TEM to detect aggregation, fusion, or vesicle degradation. Progressive increases in particle size indicate vesicle aggregation or fusion, which compromises deformability and tissue penetration [04]. Polydispersity index increases over time typically indicate instability and heterogeneous vesicle populations. Chemical stability studies monitor whether the encapsulated drug remains chemically intact during storage through HPLC analysis, detecting potential degradation products or oxidative decomposition. Oxidative stability is particularly important for formulations containing unsaturated lipids, which are susceptible to peroxidation, and for drugs prone to oxidative degradation; storage under nitrogen atmosphere or with antioxidant additives protects against oxidation. Functional stability studies assess whether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maintain their critical deformability and permeability enhancement properties over time through extrusion assays measuring deformation index, and in vitro permeation studies measuring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penetration capacity. Storage temperature significantly influences stability; refrigeration (2-8°C) typically extends stability to 3-6 months, while room temperature storage may limit stability to 2-4 weeks unless the formulation is freeze-dried. Freeze-drying (lyophilization) converts the aqueous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suspension into a stable powder that can be stored at room temperature for extended periods (typically 12-24 months); before use, the powder is reconstituted with sterile water. Freeze-drying requires addition of cryoprotectants (typically trehalose or sucrose at 5-10% w/v) to prevent vesicle damage during ice crystal formation [</w:t>
      </w:r>
      <w:r w:rsidR="00E544A9" w:rsidRPr="00A96C26">
        <w:rPr>
          <w:rFonts w:ascii="Times New Roman" w:hAnsi="Times New Roman" w:cs="Times New Roman"/>
          <w:szCs w:val="28"/>
        </w:rPr>
        <w:t>33,34</w:t>
      </w:r>
      <w:r w:rsidRPr="00A96C26">
        <w:rPr>
          <w:rFonts w:ascii="Times New Roman" w:hAnsi="Times New Roman" w:cs="Times New Roman"/>
          <w:szCs w:val="28"/>
        </w:rPr>
        <w:t xml:space="preserve">]. </w:t>
      </w:r>
    </w:p>
    <w:p w14:paraId="1A1794F1"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 xml:space="preserve">Table 2: </w:t>
      </w:r>
      <w:proofErr w:type="spellStart"/>
      <w:r w:rsidRPr="00A96C26">
        <w:rPr>
          <w:rFonts w:ascii="Times New Roman" w:hAnsi="Times New Roman" w:cs="Times New Roman"/>
          <w:b/>
          <w:bCs/>
          <w:szCs w:val="28"/>
        </w:rPr>
        <w:t>Transethosomal</w:t>
      </w:r>
      <w:proofErr w:type="spellEnd"/>
      <w:r w:rsidRPr="00A96C26">
        <w:rPr>
          <w:rFonts w:ascii="Times New Roman" w:hAnsi="Times New Roman" w:cs="Times New Roman"/>
          <w:b/>
          <w:bCs/>
          <w:szCs w:val="28"/>
        </w:rPr>
        <w:t xml:space="preserve"> Composition and Characterization Parameters</w:t>
      </w:r>
    </w:p>
    <w:tbl>
      <w:tblPr>
        <w:tblStyle w:val="TableGrid"/>
        <w:tblW w:w="0" w:type="auto"/>
        <w:tblLook w:val="04A0" w:firstRow="1" w:lastRow="0" w:firstColumn="1" w:lastColumn="0" w:noHBand="0" w:noVBand="1"/>
      </w:tblPr>
      <w:tblGrid>
        <w:gridCol w:w="1797"/>
        <w:gridCol w:w="2660"/>
        <w:gridCol w:w="2052"/>
        <w:gridCol w:w="2841"/>
      </w:tblGrid>
      <w:tr w:rsidR="00DC1CDC" w:rsidRPr="00A96C26" w14:paraId="77D1CEA5" w14:textId="77777777" w:rsidTr="00DC1CDC">
        <w:trPr>
          <w:trHeight w:val="483"/>
        </w:trPr>
        <w:tc>
          <w:tcPr>
            <w:tcW w:w="0" w:type="auto"/>
            <w:noWrap/>
            <w:hideMark/>
          </w:tcPr>
          <w:p w14:paraId="15B99854" w14:textId="77777777" w:rsidR="00DC1CDC" w:rsidRPr="00A96C26" w:rsidRDefault="00DC1CDC" w:rsidP="00DC1CDC">
            <w:pPr>
              <w:spacing w:after="160" w:line="278" w:lineRule="auto"/>
              <w:jc w:val="both"/>
              <w:rPr>
                <w:rFonts w:ascii="Times New Roman" w:hAnsi="Times New Roman" w:cs="Times New Roman"/>
                <w:b/>
                <w:bCs/>
                <w:szCs w:val="28"/>
              </w:rPr>
            </w:pPr>
            <w:r w:rsidRPr="00A96C26">
              <w:rPr>
                <w:rFonts w:ascii="Times New Roman" w:hAnsi="Times New Roman" w:cs="Times New Roman"/>
                <w:b/>
                <w:bCs/>
                <w:szCs w:val="28"/>
              </w:rPr>
              <w:t>Parameter</w:t>
            </w:r>
          </w:p>
        </w:tc>
        <w:tc>
          <w:tcPr>
            <w:tcW w:w="0" w:type="auto"/>
            <w:noWrap/>
            <w:hideMark/>
          </w:tcPr>
          <w:p w14:paraId="0C157987" w14:textId="77777777" w:rsidR="00DC1CDC" w:rsidRPr="00A96C26" w:rsidRDefault="00DC1CDC" w:rsidP="00DC1CDC">
            <w:pPr>
              <w:spacing w:after="160" w:line="278" w:lineRule="auto"/>
              <w:jc w:val="both"/>
              <w:rPr>
                <w:rFonts w:ascii="Times New Roman" w:hAnsi="Times New Roman" w:cs="Times New Roman"/>
                <w:b/>
                <w:bCs/>
                <w:szCs w:val="28"/>
              </w:rPr>
            </w:pPr>
            <w:r w:rsidRPr="00A96C26">
              <w:rPr>
                <w:rFonts w:ascii="Times New Roman" w:hAnsi="Times New Roman" w:cs="Times New Roman"/>
                <w:b/>
                <w:bCs/>
                <w:szCs w:val="28"/>
              </w:rPr>
              <w:t>Typical Range/Value</w:t>
            </w:r>
          </w:p>
        </w:tc>
        <w:tc>
          <w:tcPr>
            <w:tcW w:w="0" w:type="auto"/>
            <w:noWrap/>
            <w:hideMark/>
          </w:tcPr>
          <w:p w14:paraId="2EE3ED8F" w14:textId="77777777" w:rsidR="00DC1CDC" w:rsidRPr="00A96C26" w:rsidRDefault="00DC1CDC" w:rsidP="00DC1CDC">
            <w:pPr>
              <w:spacing w:after="160" w:line="278" w:lineRule="auto"/>
              <w:jc w:val="both"/>
              <w:rPr>
                <w:rFonts w:ascii="Times New Roman" w:hAnsi="Times New Roman" w:cs="Times New Roman"/>
                <w:b/>
                <w:bCs/>
                <w:szCs w:val="28"/>
              </w:rPr>
            </w:pPr>
            <w:r w:rsidRPr="00A96C26">
              <w:rPr>
                <w:rFonts w:ascii="Times New Roman" w:hAnsi="Times New Roman" w:cs="Times New Roman"/>
                <w:b/>
                <w:bCs/>
                <w:szCs w:val="28"/>
              </w:rPr>
              <w:t>Importance</w:t>
            </w:r>
          </w:p>
        </w:tc>
        <w:tc>
          <w:tcPr>
            <w:tcW w:w="0" w:type="auto"/>
            <w:noWrap/>
            <w:hideMark/>
          </w:tcPr>
          <w:p w14:paraId="791D65A8" w14:textId="77777777" w:rsidR="00DC1CDC" w:rsidRPr="00A96C26" w:rsidRDefault="00DC1CDC" w:rsidP="00DC1CDC">
            <w:pPr>
              <w:spacing w:after="160" w:line="278" w:lineRule="auto"/>
              <w:jc w:val="both"/>
              <w:rPr>
                <w:rFonts w:ascii="Times New Roman" w:hAnsi="Times New Roman" w:cs="Times New Roman"/>
                <w:b/>
                <w:bCs/>
                <w:szCs w:val="28"/>
              </w:rPr>
            </w:pPr>
            <w:r w:rsidRPr="00A96C26">
              <w:rPr>
                <w:rFonts w:ascii="Times New Roman" w:hAnsi="Times New Roman" w:cs="Times New Roman"/>
                <w:b/>
                <w:bCs/>
                <w:szCs w:val="28"/>
              </w:rPr>
              <w:t>Measurement Method</w:t>
            </w:r>
          </w:p>
        </w:tc>
      </w:tr>
      <w:tr w:rsidR="00DC1CDC" w:rsidRPr="00A96C26" w14:paraId="69798D95" w14:textId="77777777" w:rsidTr="00DC1CDC">
        <w:trPr>
          <w:trHeight w:val="798"/>
        </w:trPr>
        <w:tc>
          <w:tcPr>
            <w:tcW w:w="0" w:type="auto"/>
            <w:hideMark/>
          </w:tcPr>
          <w:p w14:paraId="46F19071"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Phospholipid Content</w:t>
            </w:r>
          </w:p>
        </w:tc>
        <w:tc>
          <w:tcPr>
            <w:tcW w:w="0" w:type="auto"/>
            <w:hideMark/>
          </w:tcPr>
          <w:p w14:paraId="3C3F2CAC"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50-200 mg/mL</w:t>
            </w:r>
          </w:p>
        </w:tc>
        <w:tc>
          <w:tcPr>
            <w:tcW w:w="0" w:type="auto"/>
            <w:hideMark/>
          </w:tcPr>
          <w:p w14:paraId="5EA1925B"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Determines vesicle formation and drug loading capacity</w:t>
            </w:r>
          </w:p>
        </w:tc>
        <w:tc>
          <w:tcPr>
            <w:tcW w:w="0" w:type="auto"/>
            <w:hideMark/>
          </w:tcPr>
          <w:p w14:paraId="77789F05"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Weight/molar calculation</w:t>
            </w:r>
          </w:p>
        </w:tc>
      </w:tr>
      <w:tr w:rsidR="00DC1CDC" w:rsidRPr="00A96C26" w14:paraId="4E5A7A18" w14:textId="77777777" w:rsidTr="00DC1CDC">
        <w:trPr>
          <w:trHeight w:val="810"/>
        </w:trPr>
        <w:tc>
          <w:tcPr>
            <w:tcW w:w="0" w:type="auto"/>
            <w:hideMark/>
          </w:tcPr>
          <w:p w14:paraId="77397640"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Edge Activator (Ethanol)</w:t>
            </w:r>
          </w:p>
        </w:tc>
        <w:tc>
          <w:tcPr>
            <w:tcW w:w="0" w:type="auto"/>
            <w:hideMark/>
          </w:tcPr>
          <w:p w14:paraId="727A6F61"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10-20% w/w of lipids</w:t>
            </w:r>
          </w:p>
        </w:tc>
        <w:tc>
          <w:tcPr>
            <w:tcW w:w="0" w:type="auto"/>
            <w:hideMark/>
          </w:tcPr>
          <w:p w14:paraId="5E0FDF70"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Enhances membrane fluidity and deformability</w:t>
            </w:r>
          </w:p>
        </w:tc>
        <w:tc>
          <w:tcPr>
            <w:tcW w:w="0" w:type="auto"/>
            <w:hideMark/>
          </w:tcPr>
          <w:p w14:paraId="21FBA7A0"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Weight measurement; HPLC</w:t>
            </w:r>
          </w:p>
        </w:tc>
      </w:tr>
      <w:tr w:rsidR="00DC1CDC" w:rsidRPr="00A96C26" w14:paraId="7F570F37" w14:textId="77777777" w:rsidTr="00DC1CDC">
        <w:trPr>
          <w:trHeight w:val="798"/>
        </w:trPr>
        <w:tc>
          <w:tcPr>
            <w:tcW w:w="0" w:type="auto"/>
            <w:hideMark/>
          </w:tcPr>
          <w:p w14:paraId="000AC3D0"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Edge Activator (Terpenes)</w:t>
            </w:r>
          </w:p>
        </w:tc>
        <w:tc>
          <w:tcPr>
            <w:tcW w:w="0" w:type="auto"/>
            <w:hideMark/>
          </w:tcPr>
          <w:p w14:paraId="3806B4EA"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5-15% w/w of lipids</w:t>
            </w:r>
          </w:p>
        </w:tc>
        <w:tc>
          <w:tcPr>
            <w:tcW w:w="0" w:type="auto"/>
            <w:hideMark/>
          </w:tcPr>
          <w:p w14:paraId="7457513E"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Enhances penetration; adds therapeutic properties</w:t>
            </w:r>
          </w:p>
        </w:tc>
        <w:tc>
          <w:tcPr>
            <w:tcW w:w="0" w:type="auto"/>
            <w:hideMark/>
          </w:tcPr>
          <w:p w14:paraId="54D4B600"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Weight measurement; GC-MS</w:t>
            </w:r>
          </w:p>
        </w:tc>
      </w:tr>
      <w:tr w:rsidR="00DC1CDC" w:rsidRPr="00A96C26" w14:paraId="6D3D7643" w14:textId="77777777" w:rsidTr="00DC1CDC">
        <w:trPr>
          <w:trHeight w:val="810"/>
        </w:trPr>
        <w:tc>
          <w:tcPr>
            <w:tcW w:w="0" w:type="auto"/>
            <w:hideMark/>
          </w:tcPr>
          <w:p w14:paraId="49EF9C6D"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lastRenderedPageBreak/>
              <w:t>Particle Size</w:t>
            </w:r>
          </w:p>
        </w:tc>
        <w:tc>
          <w:tcPr>
            <w:tcW w:w="0" w:type="auto"/>
            <w:hideMark/>
          </w:tcPr>
          <w:p w14:paraId="0850EDB9"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100-200 nm (optimal)</w:t>
            </w:r>
          </w:p>
        </w:tc>
        <w:tc>
          <w:tcPr>
            <w:tcW w:w="0" w:type="auto"/>
            <w:hideMark/>
          </w:tcPr>
          <w:p w14:paraId="23BC89CE"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Affects deformability, uptake, penetration</w:t>
            </w:r>
          </w:p>
        </w:tc>
        <w:tc>
          <w:tcPr>
            <w:tcW w:w="0" w:type="auto"/>
            <w:hideMark/>
          </w:tcPr>
          <w:p w14:paraId="12FF7523"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DLS, TEM, Cryo-TEM</w:t>
            </w:r>
          </w:p>
        </w:tc>
      </w:tr>
      <w:tr w:rsidR="00DC1CDC" w:rsidRPr="00A96C26" w14:paraId="77D29CBB" w14:textId="77777777" w:rsidTr="00DC1CDC">
        <w:trPr>
          <w:trHeight w:val="810"/>
        </w:trPr>
        <w:tc>
          <w:tcPr>
            <w:tcW w:w="0" w:type="auto"/>
            <w:hideMark/>
          </w:tcPr>
          <w:p w14:paraId="69EECB2B"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Polydispersity Index (PDI)</w:t>
            </w:r>
          </w:p>
        </w:tc>
        <w:tc>
          <w:tcPr>
            <w:tcW w:w="0" w:type="auto"/>
            <w:hideMark/>
          </w:tcPr>
          <w:p w14:paraId="08F520F1"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&lt;0.3 (optimal)</w:t>
            </w:r>
          </w:p>
        </w:tc>
        <w:tc>
          <w:tcPr>
            <w:tcW w:w="0" w:type="auto"/>
            <w:hideMark/>
          </w:tcPr>
          <w:p w14:paraId="3EFD7BBE"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Indicates size uniformity</w:t>
            </w:r>
          </w:p>
        </w:tc>
        <w:tc>
          <w:tcPr>
            <w:tcW w:w="0" w:type="auto"/>
            <w:hideMark/>
          </w:tcPr>
          <w:p w14:paraId="1D80F8B9"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Dynamic Light Scattering</w:t>
            </w:r>
          </w:p>
        </w:tc>
      </w:tr>
      <w:tr w:rsidR="00DC1CDC" w:rsidRPr="00A96C26" w14:paraId="4E298430" w14:textId="77777777" w:rsidTr="00DC1CDC">
        <w:trPr>
          <w:trHeight w:val="798"/>
        </w:trPr>
        <w:tc>
          <w:tcPr>
            <w:tcW w:w="0" w:type="auto"/>
            <w:hideMark/>
          </w:tcPr>
          <w:p w14:paraId="65D3B5BB"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Zeta Potential</w:t>
            </w:r>
          </w:p>
        </w:tc>
        <w:tc>
          <w:tcPr>
            <w:tcW w:w="0" w:type="auto"/>
            <w:hideMark/>
          </w:tcPr>
          <w:p w14:paraId="05EFB442"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-10 to -40 mV</w:t>
            </w:r>
          </w:p>
        </w:tc>
        <w:tc>
          <w:tcPr>
            <w:tcW w:w="0" w:type="auto"/>
            <w:hideMark/>
          </w:tcPr>
          <w:p w14:paraId="57E2FBFA"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Determines colloidal stability; influences cellular interactions</w:t>
            </w:r>
          </w:p>
        </w:tc>
        <w:tc>
          <w:tcPr>
            <w:tcW w:w="0" w:type="auto"/>
            <w:hideMark/>
          </w:tcPr>
          <w:p w14:paraId="39E981E8"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Electrophoretic Light Scattering</w:t>
            </w:r>
          </w:p>
        </w:tc>
      </w:tr>
      <w:tr w:rsidR="00DC1CDC" w:rsidRPr="00A96C26" w14:paraId="76955461" w14:textId="77777777" w:rsidTr="00DC1CDC">
        <w:trPr>
          <w:trHeight w:val="810"/>
        </w:trPr>
        <w:tc>
          <w:tcPr>
            <w:tcW w:w="0" w:type="auto"/>
            <w:hideMark/>
          </w:tcPr>
          <w:p w14:paraId="29C0F649"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Entrapment Efficiency</w:t>
            </w:r>
          </w:p>
        </w:tc>
        <w:tc>
          <w:tcPr>
            <w:tcW w:w="0" w:type="auto"/>
            <w:hideMark/>
          </w:tcPr>
          <w:p w14:paraId="6AB527FB"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Hydrophobic drugs: 70-95% Hydrophilic drugs: 40-70%</w:t>
            </w:r>
          </w:p>
        </w:tc>
        <w:tc>
          <w:tcPr>
            <w:tcW w:w="0" w:type="auto"/>
            <w:hideMark/>
          </w:tcPr>
          <w:p w14:paraId="42CBC3BE"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Determines bioavailable fraction</w:t>
            </w:r>
          </w:p>
        </w:tc>
        <w:tc>
          <w:tcPr>
            <w:tcW w:w="0" w:type="auto"/>
            <w:hideMark/>
          </w:tcPr>
          <w:p w14:paraId="1E2117A8"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Ultracentrifugation, gel permeation chromatography, dialysis</w:t>
            </w:r>
          </w:p>
        </w:tc>
      </w:tr>
      <w:tr w:rsidR="00DC1CDC" w:rsidRPr="00A96C26" w14:paraId="1CCAE9B4" w14:textId="77777777" w:rsidTr="00DC1CDC">
        <w:trPr>
          <w:trHeight w:val="798"/>
        </w:trPr>
        <w:tc>
          <w:tcPr>
            <w:tcW w:w="0" w:type="auto"/>
            <w:hideMark/>
          </w:tcPr>
          <w:p w14:paraId="59D310F6"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Deformation Index</w:t>
            </w:r>
          </w:p>
        </w:tc>
        <w:tc>
          <w:tcPr>
            <w:tcW w:w="0" w:type="auto"/>
            <w:hideMark/>
          </w:tcPr>
          <w:p w14:paraId="113E93CC" w14:textId="77777777" w:rsidR="00DC1CDC" w:rsidRPr="00A96C26" w:rsidRDefault="00DC1CDC" w:rsidP="00DC1CDC">
            <w:pPr>
              <w:spacing w:after="160" w:line="278" w:lineRule="auto"/>
              <w:jc w:val="both"/>
              <w:rPr>
                <w:rFonts w:ascii="Times New Roman" w:hAnsi="Times New Roman" w:cs="Times New Roman"/>
                <w:szCs w:val="28"/>
              </w:rPr>
            </w:pPr>
            <w:proofErr w:type="gramStart"/>
            <w:r w:rsidRPr="00A96C26">
              <w:rPr>
                <w:rFonts w:ascii="Times New Roman" w:hAnsi="Times New Roman" w:cs="Times New Roman"/>
                <w:szCs w:val="28"/>
              </w:rPr>
              <w:t>2-3 fold</w:t>
            </w:r>
            <w:proofErr w:type="gramEnd"/>
            <w:r w:rsidRPr="00A96C26">
              <w:rPr>
                <w:rFonts w:ascii="Times New Roman" w:hAnsi="Times New Roman" w:cs="Times New Roman"/>
                <w:szCs w:val="28"/>
              </w:rPr>
              <w:t xml:space="preserve"> higher than liposomes</w:t>
            </w:r>
          </w:p>
        </w:tc>
        <w:tc>
          <w:tcPr>
            <w:tcW w:w="0" w:type="auto"/>
            <w:hideMark/>
          </w:tcPr>
          <w:p w14:paraId="28B8B833"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Measures superior deformability</w:t>
            </w:r>
          </w:p>
        </w:tc>
        <w:tc>
          <w:tcPr>
            <w:tcW w:w="0" w:type="auto"/>
            <w:hideMark/>
          </w:tcPr>
          <w:p w14:paraId="517F541E"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Extrusion assay through filters</w:t>
            </w:r>
          </w:p>
        </w:tc>
      </w:tr>
      <w:tr w:rsidR="00DC1CDC" w:rsidRPr="00A96C26" w14:paraId="71D652CA" w14:textId="77777777" w:rsidTr="00DC1CDC">
        <w:trPr>
          <w:trHeight w:val="810"/>
        </w:trPr>
        <w:tc>
          <w:tcPr>
            <w:tcW w:w="0" w:type="auto"/>
            <w:hideMark/>
          </w:tcPr>
          <w:p w14:paraId="2F7459F6"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Membrane Fluidity</w:t>
            </w:r>
          </w:p>
        </w:tc>
        <w:tc>
          <w:tcPr>
            <w:tcW w:w="0" w:type="auto"/>
            <w:hideMark/>
          </w:tcPr>
          <w:p w14:paraId="1DABF55B"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Reduced phase transition temperature by 5-15°C</w:t>
            </w:r>
          </w:p>
        </w:tc>
        <w:tc>
          <w:tcPr>
            <w:tcW w:w="0" w:type="auto"/>
            <w:hideMark/>
          </w:tcPr>
          <w:p w14:paraId="68F0665E"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Determines membrane penetrability</w:t>
            </w:r>
          </w:p>
        </w:tc>
        <w:tc>
          <w:tcPr>
            <w:tcW w:w="0" w:type="auto"/>
            <w:hideMark/>
          </w:tcPr>
          <w:p w14:paraId="69941AD5"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Differential scanning calorimetry</w:t>
            </w:r>
          </w:p>
        </w:tc>
      </w:tr>
      <w:tr w:rsidR="00DC1CDC" w:rsidRPr="00A96C26" w14:paraId="6AE301D2" w14:textId="77777777" w:rsidTr="00DC1CDC">
        <w:trPr>
          <w:trHeight w:val="798"/>
        </w:trPr>
        <w:tc>
          <w:tcPr>
            <w:tcW w:w="0" w:type="auto"/>
            <w:hideMark/>
          </w:tcPr>
          <w:p w14:paraId="4633016C"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Osmotic Stability</w:t>
            </w:r>
          </w:p>
        </w:tc>
        <w:tc>
          <w:tcPr>
            <w:tcW w:w="0" w:type="auto"/>
            <w:hideMark/>
          </w:tcPr>
          <w:p w14:paraId="2DCA77C2"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Maintains structure in isotonic solutions</w:t>
            </w:r>
          </w:p>
        </w:tc>
        <w:tc>
          <w:tcPr>
            <w:tcW w:w="0" w:type="auto"/>
            <w:hideMark/>
          </w:tcPr>
          <w:p w14:paraId="4B611A0E"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Ensures biological compatibility</w:t>
            </w:r>
          </w:p>
        </w:tc>
        <w:tc>
          <w:tcPr>
            <w:tcW w:w="0" w:type="auto"/>
            <w:hideMark/>
          </w:tcPr>
          <w:p w14:paraId="673156FC"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Osmotic stress testing</w:t>
            </w:r>
          </w:p>
        </w:tc>
      </w:tr>
      <w:tr w:rsidR="00DC1CDC" w:rsidRPr="00A96C26" w14:paraId="430026DD" w14:textId="77777777" w:rsidTr="00DC1CDC">
        <w:trPr>
          <w:trHeight w:val="810"/>
        </w:trPr>
        <w:tc>
          <w:tcPr>
            <w:tcW w:w="0" w:type="auto"/>
            <w:hideMark/>
          </w:tcPr>
          <w:p w14:paraId="21C9D44B"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Shelf-Life Stability</w:t>
            </w:r>
          </w:p>
        </w:tc>
        <w:tc>
          <w:tcPr>
            <w:tcW w:w="0" w:type="auto"/>
            <w:hideMark/>
          </w:tcPr>
          <w:p w14:paraId="56E21697"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3-6 months at 2-8°C; 1-2 months at 25°C</w:t>
            </w:r>
          </w:p>
        </w:tc>
        <w:tc>
          <w:tcPr>
            <w:tcW w:w="0" w:type="auto"/>
            <w:hideMark/>
          </w:tcPr>
          <w:p w14:paraId="3A89746D"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Determines storage feasibility</w:t>
            </w:r>
          </w:p>
        </w:tc>
        <w:tc>
          <w:tcPr>
            <w:tcW w:w="0" w:type="auto"/>
            <w:hideMark/>
          </w:tcPr>
          <w:p w14:paraId="46443DB5"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Size, EE, drug integrity monitoring</w:t>
            </w:r>
          </w:p>
        </w:tc>
      </w:tr>
      <w:tr w:rsidR="00DC1CDC" w:rsidRPr="00A96C26" w14:paraId="1485552D" w14:textId="77777777" w:rsidTr="00DC1CDC">
        <w:trPr>
          <w:trHeight w:val="798"/>
        </w:trPr>
        <w:tc>
          <w:tcPr>
            <w:tcW w:w="0" w:type="auto"/>
            <w:hideMark/>
          </w:tcPr>
          <w:p w14:paraId="77DFCB84"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In Vitro Release</w:t>
            </w:r>
          </w:p>
        </w:tc>
        <w:tc>
          <w:tcPr>
            <w:tcW w:w="0" w:type="auto"/>
            <w:hideMark/>
          </w:tcPr>
          <w:p w14:paraId="5F8F81FC"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Biphasic (initial rapid, then sustained)</w:t>
            </w:r>
          </w:p>
        </w:tc>
        <w:tc>
          <w:tcPr>
            <w:tcW w:w="0" w:type="auto"/>
            <w:hideMark/>
          </w:tcPr>
          <w:p w14:paraId="1F7A8447"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Determines bioavailability kinetics</w:t>
            </w:r>
          </w:p>
        </w:tc>
        <w:tc>
          <w:tcPr>
            <w:tcW w:w="0" w:type="auto"/>
            <w:hideMark/>
          </w:tcPr>
          <w:p w14:paraId="3A316891"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Dialysis, Franz diffusion cells</w:t>
            </w:r>
          </w:p>
        </w:tc>
      </w:tr>
    </w:tbl>
    <w:p w14:paraId="038EBDD9" w14:textId="77777777" w:rsidR="00DC1CDC" w:rsidRPr="00A96C26" w:rsidRDefault="00DC1CDC" w:rsidP="00315EE3">
      <w:pPr>
        <w:jc w:val="both"/>
        <w:rPr>
          <w:rFonts w:ascii="Times New Roman" w:hAnsi="Times New Roman" w:cs="Times New Roman"/>
          <w:szCs w:val="28"/>
        </w:rPr>
      </w:pPr>
    </w:p>
    <w:p w14:paraId="336659D7"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 xml:space="preserve">4. Mechanisms of Action: Why </w:t>
      </w:r>
      <w:proofErr w:type="spellStart"/>
      <w:r w:rsidRPr="00A96C26">
        <w:rPr>
          <w:rFonts w:ascii="Times New Roman" w:hAnsi="Times New Roman" w:cs="Times New Roman"/>
          <w:b/>
          <w:bCs/>
          <w:szCs w:val="28"/>
        </w:rPr>
        <w:t>Transethosomes</w:t>
      </w:r>
      <w:proofErr w:type="spellEnd"/>
      <w:r w:rsidRPr="00A96C26">
        <w:rPr>
          <w:rFonts w:ascii="Times New Roman" w:hAnsi="Times New Roman" w:cs="Times New Roman"/>
          <w:b/>
          <w:bCs/>
          <w:szCs w:val="28"/>
        </w:rPr>
        <w:t xml:space="preserve"> Work for RA</w:t>
      </w:r>
    </w:p>
    <w:p w14:paraId="78915615"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4.1 Enhanced Skin/Tissue Penetration</w:t>
      </w:r>
    </w:p>
    <w:p w14:paraId="7AA060AE"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Deformable Nature</w:t>
      </w:r>
    </w:p>
    <w:p w14:paraId="75A9F98E" w14:textId="4145ADDC"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The exceptional capacity of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to penetrate biological barriers and inflamed synovial tissue in rheumatoid arthritis derives fundamentally from their remarkable deformability a property quantitatively superior to conventional rigid liposomes by </w:t>
      </w:r>
      <w:proofErr w:type="gramStart"/>
      <w:r w:rsidRPr="00A96C26">
        <w:rPr>
          <w:rFonts w:ascii="Times New Roman" w:hAnsi="Times New Roman" w:cs="Times New Roman"/>
          <w:szCs w:val="28"/>
        </w:rPr>
        <w:t>2-3 fold</w:t>
      </w:r>
      <w:proofErr w:type="gramEnd"/>
      <w:r w:rsidRPr="00A96C26">
        <w:rPr>
          <w:rFonts w:ascii="Times New Roman" w:hAnsi="Times New Roman" w:cs="Times New Roman"/>
          <w:szCs w:val="28"/>
        </w:rPr>
        <w:t xml:space="preserve"> [01]. The deformable nature of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arises from the edge activator-induced fluidization of the phospholipid bilayer, which dramatically reduces the mechanical stiffness and elastic modulus of the membrane. This </w:t>
      </w:r>
      <w:r w:rsidRPr="00A96C26">
        <w:rPr>
          <w:rFonts w:ascii="Times New Roman" w:hAnsi="Times New Roman" w:cs="Times New Roman"/>
          <w:szCs w:val="28"/>
        </w:rPr>
        <w:lastRenderedPageBreak/>
        <w:t xml:space="preserve">reduced membrane rigidity enables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to compress and deform when encountering physical restrictions such as narrow intercellular spaces or the tortuous pores within the synovial extracellular matrix. Deformation mechanics in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operate through several interconnected processes: the edge activators reduce the intermolecular cohesion forces between phospholipid molecules, allowing the bilayer to bend and flex more readily; transient microscopic pores spontaneously form and reseal within the fluidized membrane, providing pathways for temporary passage of vesicles through restrictive barriers; and the reduced phase transition temperature of the </w:t>
      </w:r>
      <w:proofErr w:type="spellStart"/>
      <w:r w:rsidRPr="00A96C26">
        <w:rPr>
          <w:rFonts w:ascii="Times New Roman" w:hAnsi="Times New Roman" w:cs="Times New Roman"/>
          <w:szCs w:val="28"/>
        </w:rPr>
        <w:t>transethsosomal</w:t>
      </w:r>
      <w:proofErr w:type="spellEnd"/>
      <w:r w:rsidRPr="00A96C26">
        <w:rPr>
          <w:rFonts w:ascii="Times New Roman" w:hAnsi="Times New Roman" w:cs="Times New Roman"/>
          <w:szCs w:val="28"/>
        </w:rPr>
        <w:t xml:space="preserve"> bilayer means it maintains fluid-like properties at physiological temperature, maximizing flexibility. The deformable nature has been rigorously quantified through extrusion assays where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are forced through filters with defined pore sizes; while conventional liposomes with 150 nm diameter cannot pass through 80 nm pores,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of the same size readily traverse 50-60 nm pores with minimal structural damage. This capability is particularly critical for RA application because the synovial tissue presents a complex three-dimensional matrix with average pore sizes of 40-80 nm interspersed with larger cavities; deformable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navigate this tortuous architecture far more effectively than rigid vesicles [</w:t>
      </w:r>
      <w:r w:rsidR="00E544A9" w:rsidRPr="00A96C26">
        <w:rPr>
          <w:rFonts w:ascii="Times New Roman" w:hAnsi="Times New Roman" w:cs="Times New Roman"/>
          <w:szCs w:val="28"/>
        </w:rPr>
        <w:t>35,36,36</w:t>
      </w:r>
      <w:r w:rsidRPr="00A96C26">
        <w:rPr>
          <w:rFonts w:ascii="Times New Roman" w:hAnsi="Times New Roman" w:cs="Times New Roman"/>
          <w:szCs w:val="28"/>
        </w:rPr>
        <w:t xml:space="preserve">]. </w:t>
      </w:r>
    </w:p>
    <w:p w14:paraId="73DF8750" w14:textId="776F0C29" w:rsidR="007C1A14" w:rsidRPr="00A96C26" w:rsidRDefault="007C1A14" w:rsidP="007C1A14">
      <w:pPr>
        <w:jc w:val="both"/>
        <w:rPr>
          <w:rFonts w:ascii="Times New Roman" w:hAnsi="Times New Roman" w:cs="Times New Roman"/>
          <w:szCs w:val="28"/>
        </w:rPr>
      </w:pPr>
      <w:r w:rsidRPr="00A96C26">
        <w:rPr>
          <w:rFonts w:ascii="Times New Roman" w:hAnsi="Times New Roman" w:cs="Times New Roman"/>
          <w:noProof/>
          <w:szCs w:val="28"/>
        </w:rPr>
        <w:drawing>
          <wp:inline distT="0" distB="0" distL="0" distR="0" wp14:anchorId="33A24937" wp14:editId="77035BEA">
            <wp:extent cx="5943600" cy="3396615"/>
            <wp:effectExtent l="0" t="0" r="0" b="0"/>
            <wp:docPr id="1669685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96615"/>
                    </a:xfrm>
                    <a:prstGeom prst="rect">
                      <a:avLst/>
                    </a:prstGeom>
                    <a:noFill/>
                    <a:ln>
                      <a:noFill/>
                    </a:ln>
                  </pic:spPr>
                </pic:pic>
              </a:graphicData>
            </a:graphic>
          </wp:inline>
        </w:drawing>
      </w:r>
    </w:p>
    <w:p w14:paraId="5FFC19CA" w14:textId="27AC717D" w:rsidR="007C1A14" w:rsidRPr="00A96C26" w:rsidRDefault="007C1A14" w:rsidP="00DC1CDC">
      <w:pPr>
        <w:jc w:val="both"/>
        <w:rPr>
          <w:rFonts w:ascii="Times New Roman" w:hAnsi="Times New Roman" w:cs="Times New Roman"/>
          <w:szCs w:val="28"/>
        </w:rPr>
      </w:pPr>
      <w:r w:rsidRPr="00A96C26">
        <w:rPr>
          <w:rFonts w:ascii="Times New Roman" w:hAnsi="Times New Roman" w:cs="Times New Roman"/>
          <w:szCs w:val="28"/>
        </w:rPr>
        <w:t xml:space="preserve">Fig No 04 – Pharmacokinetic Profile and synovial tissue targeting of MTX-loaded Transethosome vs conventional formulations </w:t>
      </w:r>
    </w:p>
    <w:p w14:paraId="14D7B0A7"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Intercellular Pathway Traversal</w:t>
      </w:r>
    </w:p>
    <w:p w14:paraId="31A0B815" w14:textId="1C3CB641" w:rsidR="00DC1CDC" w:rsidRPr="00A96C26" w:rsidRDefault="00DC1CDC" w:rsidP="00DC1CDC">
      <w:pPr>
        <w:jc w:val="both"/>
        <w:rPr>
          <w:rFonts w:ascii="Times New Roman" w:hAnsi="Times New Roman" w:cs="Times New Roman"/>
          <w:szCs w:val="28"/>
        </w:rPr>
      </w:pP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navigate through biological barriers primarily via the intercellular pathway movement through the spaces between adjacent cells rather than the transcellular pathway (direct </w:t>
      </w:r>
      <w:r w:rsidRPr="00A96C26">
        <w:rPr>
          <w:rFonts w:ascii="Times New Roman" w:hAnsi="Times New Roman" w:cs="Times New Roman"/>
          <w:szCs w:val="28"/>
        </w:rPr>
        <w:lastRenderedPageBreak/>
        <w:t xml:space="preserve">passage through individual cells), which is the mechanism by which conventional liposomes achieve limited penetration. The intercellular pathway between skin cells or synovial lining cells is physically restrictive, with typical intercellular widths of 15-50 nanometers in normal tissue, narrowing further in areas of tight junction formation. The synovial tissue presents a particular challenge; the synovial lining layer comprises 1-3 cell layers of synovial intimal cells joined by relatively loose intercellular junctions compared to epithelial barriers, with intercellular spaces typically measuring 20-100 nanometers depending on tissue location and inflammatory state. The passage of vesicles through intercellular spaces requires both sufficient deformability to compress through narrow spaces and sufficient stability to maintain vesicle integrity throughout the traversal.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achieve this balance through the synergistic effects of edge activator-induced membrane fluidization and optimized phospholipid composition; the fluidized membrane can compress to occupy approximately 40-50% of its original cross-sectional area when passing through restrictive intercellular spaces, then re-expand to its native dimensions once the restriction is passed. The process is not purely passive; accumulating evidence suggests that edge activators have direct effects on the cellular junctions and intercellular space architecture. Terpene-based edge activators like menthol and carvacrol directly interact with tight junction proteins, transiently loosening intercellular junctions and increasing intercellular space dimensions. These junction-modulating effects are reversible and relatively selective, affecting primarily the superficial barrier layers while preserving deeper tissue architecture. Time-lapse confocal microscopy studies visualizing fluorescently labeled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in tissue have captured the dynamic process of vesicles deforming as they traverse intercellular spaces, squeezing through narrow gaps, and recovering their spherical morphology as they reach wider intercellular compartments </w:t>
      </w:r>
      <w:r w:rsidR="00E544A9" w:rsidRPr="00A96C26">
        <w:rPr>
          <w:rFonts w:ascii="Times New Roman" w:hAnsi="Times New Roman" w:cs="Times New Roman"/>
          <w:szCs w:val="28"/>
        </w:rPr>
        <w:t>[35,36,37,38</w:t>
      </w:r>
      <w:r w:rsidRPr="00A96C26">
        <w:rPr>
          <w:rFonts w:ascii="Times New Roman" w:hAnsi="Times New Roman" w:cs="Times New Roman"/>
          <w:szCs w:val="28"/>
        </w:rPr>
        <w:t xml:space="preserve">]. </w:t>
      </w:r>
    </w:p>
    <w:p w14:paraId="7DC2C70E"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Role of Edge Activators</w:t>
      </w:r>
    </w:p>
    <w:p w14:paraId="312EBC1D" w14:textId="565DCA0B"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Edge activators small amphiphilic molecules such as ethanol, propylene glycol, and terpenes play the central mechanistic role in enabling enhanced tissue penetration through multiple synergistic mechanisms operating at both the vesicle level and the barrier level. At the vesicle level, edge activators intercalate into the phospholipid bilayer at the level of the lipid head groups, disrupting the organized hydrogen bonding network and van der Waals interactions that maintain bilayer structural integrity. This disruption reduces the phase transition temperature (Tm) of the membrane by 5-15°C depending on edge activator type and concentration; for example, a DPPC bilayer with Tm of 41°C is reduced to approximately 25-30°C upon incorporation of 20% ethanol. The reduced Tm means the </w:t>
      </w:r>
      <w:proofErr w:type="spellStart"/>
      <w:r w:rsidRPr="00A96C26">
        <w:rPr>
          <w:rFonts w:ascii="Times New Roman" w:hAnsi="Times New Roman" w:cs="Times New Roman"/>
          <w:szCs w:val="28"/>
        </w:rPr>
        <w:t>transethsosomal</w:t>
      </w:r>
      <w:proofErr w:type="spellEnd"/>
      <w:r w:rsidRPr="00A96C26">
        <w:rPr>
          <w:rFonts w:ascii="Times New Roman" w:hAnsi="Times New Roman" w:cs="Times New Roman"/>
          <w:szCs w:val="28"/>
        </w:rPr>
        <w:t xml:space="preserve"> membrane remains in a fluid, dynamic state throughout its range of physiological temperatures, contrasting with conventional liposomes that may transition to rigid gel phases at lower physiological temperatures. The edge activators create microscopic defects and transient pores within the membrane through localized perturbations of lipid packing; these transient structural imperfections (existing for nanoseconds to microseconds) facilitate both increased membrane permeability to small molecules and the transient opening of larger pathways allowing temporary passage of vesicle contents or even intact vesicles during membrane-</w:t>
      </w:r>
      <w:r w:rsidRPr="00A96C26">
        <w:rPr>
          <w:rFonts w:ascii="Times New Roman" w:hAnsi="Times New Roman" w:cs="Times New Roman"/>
          <w:szCs w:val="28"/>
        </w:rPr>
        <w:lastRenderedPageBreak/>
        <w:t>membrane contact. At the barrier level, edge activators penetrate into the stratum corneum lipids (in skin applications) or the synovial extracellular matrix and glycocalyx (in joint applications), fluidizing the organized barrier lipid structure. Ethanol, being a small polar molecule, rapidly penetrates lipid domains and displaces ordered lipid packing, creating pathways of enhanced diffusivity through the barrier [</w:t>
      </w:r>
      <w:r w:rsidR="00E544A9" w:rsidRPr="00A96C26">
        <w:rPr>
          <w:rFonts w:ascii="Times New Roman" w:hAnsi="Times New Roman" w:cs="Times New Roman"/>
          <w:szCs w:val="28"/>
        </w:rPr>
        <w:t>36,37,38,39]</w:t>
      </w:r>
      <w:r w:rsidRPr="00A96C26">
        <w:rPr>
          <w:rFonts w:ascii="Times New Roman" w:hAnsi="Times New Roman" w:cs="Times New Roman"/>
          <w:szCs w:val="28"/>
        </w:rPr>
        <w:t xml:space="preserve">. </w:t>
      </w:r>
    </w:p>
    <w:p w14:paraId="68F37468"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4.2 Cellular Uptake</w:t>
      </w:r>
    </w:p>
    <w:p w14:paraId="5EC5ABBF"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Endocytosis Mechanisms</w:t>
      </w:r>
    </w:p>
    <w:p w14:paraId="605AA2CA" w14:textId="42F4038D" w:rsidR="00DC1CDC" w:rsidRPr="00A96C26" w:rsidRDefault="00DC1CDC" w:rsidP="00DC1CDC">
      <w:pPr>
        <w:jc w:val="both"/>
        <w:rPr>
          <w:rFonts w:ascii="Times New Roman" w:hAnsi="Times New Roman" w:cs="Times New Roman"/>
          <w:szCs w:val="28"/>
        </w:rPr>
      </w:pP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are taken up by cells through multiple endocytic pathways, with the specific pathway determined by vesicle characteristics (size, surface charge, morphology), cell type, and environmental factors. </w:t>
      </w:r>
      <w:proofErr w:type="spellStart"/>
      <w:r w:rsidRPr="00A96C26">
        <w:rPr>
          <w:rFonts w:ascii="Times New Roman" w:hAnsi="Times New Roman" w:cs="Times New Roman"/>
          <w:szCs w:val="28"/>
        </w:rPr>
        <w:t>Clathrin</w:t>
      </w:r>
      <w:proofErr w:type="spellEnd"/>
      <w:r w:rsidRPr="00A96C26">
        <w:rPr>
          <w:rFonts w:ascii="Times New Roman" w:hAnsi="Times New Roman" w:cs="Times New Roman"/>
          <w:szCs w:val="28"/>
        </w:rPr>
        <w:t xml:space="preserve">-mediated endocytosis represents one primary uptake mechanism, particularly for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in the 100-200 nm size range that are optimal substrates for </w:t>
      </w:r>
      <w:proofErr w:type="spellStart"/>
      <w:r w:rsidRPr="00A96C26">
        <w:rPr>
          <w:rFonts w:ascii="Times New Roman" w:hAnsi="Times New Roman" w:cs="Times New Roman"/>
          <w:szCs w:val="28"/>
        </w:rPr>
        <w:t>clathrin</w:t>
      </w:r>
      <w:proofErr w:type="spellEnd"/>
      <w:r w:rsidRPr="00A96C26">
        <w:rPr>
          <w:rFonts w:ascii="Times New Roman" w:hAnsi="Times New Roman" w:cs="Times New Roman"/>
          <w:szCs w:val="28"/>
        </w:rPr>
        <w:t xml:space="preserve">-coated pit formation. In this pathway, </w:t>
      </w:r>
      <w:proofErr w:type="spellStart"/>
      <w:r w:rsidRPr="00A96C26">
        <w:rPr>
          <w:rFonts w:ascii="Times New Roman" w:hAnsi="Times New Roman" w:cs="Times New Roman"/>
          <w:szCs w:val="28"/>
        </w:rPr>
        <w:t>clathrin</w:t>
      </w:r>
      <w:proofErr w:type="spellEnd"/>
      <w:r w:rsidRPr="00A96C26">
        <w:rPr>
          <w:rFonts w:ascii="Times New Roman" w:hAnsi="Times New Roman" w:cs="Times New Roman"/>
          <w:szCs w:val="28"/>
        </w:rPr>
        <w:t xml:space="preserve"> and adapter proteins (AP2 complex) concentrate at the cell membrane, deforming the membrane into invaginating pits that capture extracellular material including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The </w:t>
      </w:r>
      <w:proofErr w:type="spellStart"/>
      <w:r w:rsidRPr="00A96C26">
        <w:rPr>
          <w:rFonts w:ascii="Times New Roman" w:hAnsi="Times New Roman" w:cs="Times New Roman"/>
          <w:szCs w:val="28"/>
        </w:rPr>
        <w:t>clathrin</w:t>
      </w:r>
      <w:proofErr w:type="spellEnd"/>
      <w:r w:rsidRPr="00A96C26">
        <w:rPr>
          <w:rFonts w:ascii="Times New Roman" w:hAnsi="Times New Roman" w:cs="Times New Roman"/>
          <w:szCs w:val="28"/>
        </w:rPr>
        <w:t xml:space="preserve">-coated pits undergo dynamin-mediated scission from the cell membrane, internalized as </w:t>
      </w:r>
      <w:proofErr w:type="spellStart"/>
      <w:r w:rsidRPr="00A96C26">
        <w:rPr>
          <w:rFonts w:ascii="Times New Roman" w:hAnsi="Times New Roman" w:cs="Times New Roman"/>
          <w:szCs w:val="28"/>
        </w:rPr>
        <w:t>clathrin</w:t>
      </w:r>
      <w:proofErr w:type="spellEnd"/>
      <w:r w:rsidRPr="00A96C26">
        <w:rPr>
          <w:rFonts w:ascii="Times New Roman" w:hAnsi="Times New Roman" w:cs="Times New Roman"/>
          <w:szCs w:val="28"/>
        </w:rPr>
        <w:t xml:space="preserve">-coated vesicles that rapidly </w:t>
      </w:r>
      <w:proofErr w:type="spellStart"/>
      <w:r w:rsidRPr="00A96C26">
        <w:rPr>
          <w:rFonts w:ascii="Times New Roman" w:hAnsi="Times New Roman" w:cs="Times New Roman"/>
          <w:szCs w:val="28"/>
        </w:rPr>
        <w:t>uncoat</w:t>
      </w:r>
      <w:proofErr w:type="spellEnd"/>
      <w:r w:rsidRPr="00A96C26">
        <w:rPr>
          <w:rFonts w:ascii="Times New Roman" w:hAnsi="Times New Roman" w:cs="Times New Roman"/>
          <w:szCs w:val="28"/>
        </w:rPr>
        <w:t xml:space="preserve"> and fuse with early endosomes. The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membrane can then undergo several fates within endosomal compartments: fusion with the endosomal limiting membrane, releasing encapsulated cargo into the cytoplasm; trafficking to late endosomes and lysosomes where the acidic environment triggers membrane destabilization and cargo release; or recycling back to the cell membrane. Caveolin-mediated endocytosis represents an alternative uptake pathway, particularly for smaller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and those with specific surface properties that engage caveolin-binding motifs. Caveolins are membrane proteins that oligomerize to form flask-shaped invaginations called caveolae;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engaging these structures are internalized in caveolin-coated vesicles that traffic through a distinct endocytic compartment called the </w:t>
      </w:r>
      <w:proofErr w:type="spellStart"/>
      <w:r w:rsidRPr="00A96C26">
        <w:rPr>
          <w:rFonts w:ascii="Times New Roman" w:hAnsi="Times New Roman" w:cs="Times New Roman"/>
          <w:szCs w:val="28"/>
        </w:rPr>
        <w:t>caveosome</w:t>
      </w:r>
      <w:proofErr w:type="spellEnd"/>
      <w:r w:rsidRPr="00A96C26">
        <w:rPr>
          <w:rFonts w:ascii="Times New Roman" w:hAnsi="Times New Roman" w:cs="Times New Roman"/>
          <w:szCs w:val="28"/>
        </w:rPr>
        <w:t xml:space="preserve">, which maintains neutral pH and reduced proteolytic activity compared to conventional endosomes </w:t>
      </w:r>
      <w:r w:rsidR="00E544A9" w:rsidRPr="00A96C26">
        <w:rPr>
          <w:rFonts w:ascii="Times New Roman" w:hAnsi="Times New Roman" w:cs="Times New Roman"/>
          <w:szCs w:val="28"/>
        </w:rPr>
        <w:t>[31,32,33</w:t>
      </w:r>
      <w:r w:rsidRPr="00A96C26">
        <w:rPr>
          <w:rFonts w:ascii="Times New Roman" w:hAnsi="Times New Roman" w:cs="Times New Roman"/>
          <w:szCs w:val="28"/>
        </w:rPr>
        <w:t xml:space="preserve">]. </w:t>
      </w:r>
    </w:p>
    <w:p w14:paraId="10240883"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Permeation Enhancement</w:t>
      </w:r>
    </w:p>
    <w:p w14:paraId="7FB5B152" w14:textId="32476758"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Beyond cellular uptake into endosomal compartments,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achieve intracellular drug delivery through additional permeation enhancement mechanisms that facilitate cytoplasmic drug release and, for many drugs, nuclear or organellar </w:t>
      </w:r>
      <w:proofErr w:type="gramStart"/>
      <w:r w:rsidRPr="00A96C26">
        <w:rPr>
          <w:rFonts w:ascii="Times New Roman" w:hAnsi="Times New Roman" w:cs="Times New Roman"/>
          <w:szCs w:val="28"/>
        </w:rPr>
        <w:t>localization .</w:t>
      </w:r>
      <w:proofErr w:type="gramEnd"/>
      <w:r w:rsidRPr="00A96C26">
        <w:rPr>
          <w:rFonts w:ascii="Times New Roman" w:hAnsi="Times New Roman" w:cs="Times New Roman"/>
          <w:szCs w:val="28"/>
        </w:rPr>
        <w:t xml:space="preserve"> One critical mechanism involves direct membrane fusion the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bilayer can fuse directly with endosomal limiting membranes through lipid bilayer mixing, releasing the entire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contents into the endosomal lumen and subsequently into the cytoplasm. This fusion-based drug delivery is more efficient than passive diffusion through endosomal membranes, as it provides complete unloading of the vesicle cargo in a single event rather than gradual leakage over extended time periods. The probability of membrane fusion is enhanced for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compared to conventional liposomes due to the increased membrane fluidity conferred by edge activators; the fluidized </w:t>
      </w:r>
      <w:r w:rsidRPr="00A96C26">
        <w:rPr>
          <w:rFonts w:ascii="Times New Roman" w:hAnsi="Times New Roman" w:cs="Times New Roman"/>
          <w:szCs w:val="28"/>
        </w:rPr>
        <w:lastRenderedPageBreak/>
        <w:t xml:space="preserve">membrane structure facilitates the transient formation of </w:t>
      </w:r>
      <w:proofErr w:type="spellStart"/>
      <w:r w:rsidRPr="00A96C26">
        <w:rPr>
          <w:rFonts w:ascii="Times New Roman" w:hAnsi="Times New Roman" w:cs="Times New Roman"/>
          <w:szCs w:val="28"/>
        </w:rPr>
        <w:t>hemifusion</w:t>
      </w:r>
      <w:proofErr w:type="spellEnd"/>
      <w:r w:rsidRPr="00A96C26">
        <w:rPr>
          <w:rFonts w:ascii="Times New Roman" w:hAnsi="Times New Roman" w:cs="Times New Roman"/>
          <w:szCs w:val="28"/>
        </w:rPr>
        <w:t xml:space="preserve"> intermediates and complete fusion pores [</w:t>
      </w:r>
      <w:r w:rsidR="00E544A9" w:rsidRPr="00A96C26">
        <w:rPr>
          <w:rFonts w:ascii="Times New Roman" w:hAnsi="Times New Roman" w:cs="Times New Roman"/>
          <w:szCs w:val="28"/>
        </w:rPr>
        <w:t>33,34,35</w:t>
      </w:r>
      <w:r w:rsidRPr="00A96C26">
        <w:rPr>
          <w:rFonts w:ascii="Times New Roman" w:hAnsi="Times New Roman" w:cs="Times New Roman"/>
          <w:szCs w:val="28"/>
        </w:rPr>
        <w:t xml:space="preserve">]. </w:t>
      </w:r>
    </w:p>
    <w:p w14:paraId="78608B13"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4.3 Targeting Synovial Tissue</w:t>
      </w:r>
    </w:p>
    <w:p w14:paraId="2AC45482"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Passive Targeting Through Inflammation (EPR Effect)</w:t>
      </w:r>
    </w:p>
    <w:p w14:paraId="48EADBC3" w14:textId="7EF4FCDA" w:rsidR="00DC1CDC" w:rsidRPr="00A96C26" w:rsidRDefault="00DC1CDC" w:rsidP="00DC1CDC">
      <w:pPr>
        <w:jc w:val="both"/>
        <w:rPr>
          <w:rFonts w:ascii="Times New Roman" w:hAnsi="Times New Roman" w:cs="Times New Roman"/>
          <w:szCs w:val="28"/>
        </w:rPr>
      </w:pP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preferentially accumulate in inflamed synovial tissue through passive targeting mechanisms collectively referred to as the enhanced permeability and retention (EPR) effect, a phenomenon that exploits the characteristic pathophysiological changes in inflammatory tissue. In healthy joints, the synovial vasculature is relatively impermeable with tight endothelial junctions that restrict passage of large molecules and particles into the synovial space. However, in rheumatoid arthritis, chronic inflammation induces profound alterations in synovial microvascular permeability through multiple mechanisms: inflammatory cytokines (TNF-α, IL-1, IL-6) trigger release of nitric oxide from endothelial cells, which causes vasodilation and increases endothelial permeability through disruption of tight junctions [</w:t>
      </w:r>
      <w:r w:rsidR="00E544A9" w:rsidRPr="00A96C26">
        <w:rPr>
          <w:rFonts w:ascii="Times New Roman" w:hAnsi="Times New Roman" w:cs="Times New Roman"/>
          <w:szCs w:val="28"/>
        </w:rPr>
        <w:t>35</w:t>
      </w:r>
      <w:r w:rsidRPr="00A96C26">
        <w:rPr>
          <w:rFonts w:ascii="Times New Roman" w:hAnsi="Times New Roman" w:cs="Times New Roman"/>
          <w:szCs w:val="28"/>
        </w:rPr>
        <w:t>]; immune cells infiltrating the tissue release proteolytic enzymes and reactive oxygen species that degrade basement membrane components and further increase vascular leakiness [</w:t>
      </w:r>
      <w:r w:rsidR="00E544A9" w:rsidRPr="00A96C26">
        <w:rPr>
          <w:rFonts w:ascii="Times New Roman" w:hAnsi="Times New Roman" w:cs="Times New Roman"/>
          <w:szCs w:val="28"/>
        </w:rPr>
        <w:t>35.36</w:t>
      </w:r>
      <w:r w:rsidRPr="00A96C26">
        <w:rPr>
          <w:rFonts w:ascii="Times New Roman" w:hAnsi="Times New Roman" w:cs="Times New Roman"/>
          <w:szCs w:val="28"/>
        </w:rPr>
        <w:t>]</w:t>
      </w:r>
    </w:p>
    <w:p w14:paraId="74FDAE30"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Synovial Accumulation and Retention</w:t>
      </w:r>
    </w:p>
    <w:p w14:paraId="43106C49" w14:textId="2B5FDE45"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Beyond the initial passive targeting through the EPR effect,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achieve exceptional accumulation and retention within synovial tissue through additional mechanisms that promote cellular uptake and intracellular sequestration [</w:t>
      </w:r>
      <w:r w:rsidR="00E544A9" w:rsidRPr="00A96C26">
        <w:rPr>
          <w:rFonts w:ascii="Times New Roman" w:hAnsi="Times New Roman" w:cs="Times New Roman"/>
          <w:szCs w:val="28"/>
        </w:rPr>
        <w:t>35</w:t>
      </w:r>
      <w:r w:rsidRPr="00A96C26">
        <w:rPr>
          <w:rFonts w:ascii="Times New Roman" w:hAnsi="Times New Roman" w:cs="Times New Roman"/>
          <w:szCs w:val="28"/>
        </w:rPr>
        <w:t xml:space="preserve">]. Once extravasated into synovial tissue,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encounter the resident macrophages and dendritic cells that constitute the major cellular population of the synovial lining; these professional phagocytes recognize and internalize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at exceptionally high rates [</w:t>
      </w:r>
      <w:r w:rsidR="00E544A9" w:rsidRPr="00A96C26">
        <w:rPr>
          <w:rFonts w:ascii="Times New Roman" w:hAnsi="Times New Roman" w:cs="Times New Roman"/>
          <w:szCs w:val="28"/>
        </w:rPr>
        <w:t>36</w:t>
      </w:r>
      <w:r w:rsidRPr="00A96C26">
        <w:rPr>
          <w:rFonts w:ascii="Times New Roman" w:hAnsi="Times New Roman" w:cs="Times New Roman"/>
          <w:szCs w:val="28"/>
        </w:rPr>
        <w:t xml:space="preserve">]. The cellular uptake by macrophages and dendritic cells effectively sequesters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within these long-lived cells, dramatically extending the residence time of drug within the joint compartment. Intra-articular residence time of free drug is typically only 4-8 hours due to rapid lymphatic clearance; encapsulation of drug within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and subsequent cellular internalization extends effective residence times to 24-48 hours or longer [</w:t>
      </w:r>
      <w:r w:rsidR="00E544A9" w:rsidRPr="00A96C26">
        <w:rPr>
          <w:rFonts w:ascii="Times New Roman" w:hAnsi="Times New Roman" w:cs="Times New Roman"/>
          <w:szCs w:val="28"/>
        </w:rPr>
        <w:t>36,37</w:t>
      </w:r>
      <w:r w:rsidRPr="00A96C26">
        <w:rPr>
          <w:rFonts w:ascii="Times New Roman" w:hAnsi="Times New Roman" w:cs="Times New Roman"/>
          <w:szCs w:val="28"/>
        </w:rPr>
        <w:t xml:space="preserve">]. </w:t>
      </w:r>
    </w:p>
    <w:p w14:paraId="6817084E"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Anti-Inflammatory Modulation Through Localized Delivery</w:t>
      </w:r>
    </w:p>
    <w:p w14:paraId="56A685BB" w14:textId="36DA8EB5"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Perhaps equally important to the physical mechanisms enabling synovial tissue accumulation is the pharmacological impact of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localization on reducing systemic toxicity and enhancing local anti-inflammatory efficacy. By concentrating drug within the inflamed joint microenvironment and within synovial cells,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minimize systemic drug exposure and thus dramatically reduce the incidence and severity of systemic toxicity. This is particularly important for methotrexate-based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traditional systemic MTX therapy requires doses of 15-25 mg weekly to achieve adequate synovial drug concentrations, resulting in plasma MTX levels that cause hepatotoxicity and bone marrow suppression in 10-30% of patients.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MTX formulations achieve effective synovial concentrations at substantially </w:t>
      </w:r>
      <w:r w:rsidRPr="00A96C26">
        <w:rPr>
          <w:rFonts w:ascii="Times New Roman" w:hAnsi="Times New Roman" w:cs="Times New Roman"/>
          <w:szCs w:val="28"/>
        </w:rPr>
        <w:lastRenderedPageBreak/>
        <w:t>lower systemic doses (estimated 50-70% reduction in effective systemic dose), dramatically reducing MTX-related toxicity while maintaining or improving anti-inflammatory efficacy at the disease site [</w:t>
      </w:r>
      <w:r w:rsidR="00E544A9" w:rsidRPr="00A96C26">
        <w:rPr>
          <w:rFonts w:ascii="Times New Roman" w:hAnsi="Times New Roman" w:cs="Times New Roman"/>
          <w:szCs w:val="28"/>
        </w:rPr>
        <w:t>36,37,38</w:t>
      </w:r>
      <w:r w:rsidRPr="00A96C26">
        <w:rPr>
          <w:rFonts w:ascii="Times New Roman" w:hAnsi="Times New Roman" w:cs="Times New Roman"/>
          <w:szCs w:val="28"/>
        </w:rPr>
        <w:t xml:space="preserve">]. </w:t>
      </w:r>
    </w:p>
    <w:p w14:paraId="5CC8CBD5"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 xml:space="preserve">Table 3: Mechanisms of </w:t>
      </w:r>
      <w:proofErr w:type="spellStart"/>
      <w:r w:rsidRPr="00A96C26">
        <w:rPr>
          <w:rFonts w:ascii="Times New Roman" w:hAnsi="Times New Roman" w:cs="Times New Roman"/>
          <w:b/>
          <w:bCs/>
          <w:szCs w:val="28"/>
        </w:rPr>
        <w:t>Transethosomal</w:t>
      </w:r>
      <w:proofErr w:type="spellEnd"/>
      <w:r w:rsidRPr="00A96C26">
        <w:rPr>
          <w:rFonts w:ascii="Times New Roman" w:hAnsi="Times New Roman" w:cs="Times New Roman"/>
          <w:b/>
          <w:bCs/>
          <w:szCs w:val="28"/>
        </w:rPr>
        <w:t xml:space="preserve"> Action in RA</w:t>
      </w:r>
    </w:p>
    <w:tbl>
      <w:tblPr>
        <w:tblStyle w:val="TableGrid"/>
        <w:tblW w:w="0" w:type="auto"/>
        <w:tblLook w:val="04A0" w:firstRow="1" w:lastRow="0" w:firstColumn="1" w:lastColumn="0" w:noHBand="0" w:noVBand="1"/>
      </w:tblPr>
      <w:tblGrid>
        <w:gridCol w:w="2635"/>
        <w:gridCol w:w="2111"/>
        <w:gridCol w:w="2247"/>
        <w:gridCol w:w="2357"/>
      </w:tblGrid>
      <w:tr w:rsidR="00DC1CDC" w:rsidRPr="00A96C26" w14:paraId="626D7C60" w14:textId="77777777" w:rsidTr="00DC1CDC">
        <w:trPr>
          <w:trHeight w:val="481"/>
        </w:trPr>
        <w:tc>
          <w:tcPr>
            <w:tcW w:w="0" w:type="auto"/>
            <w:noWrap/>
            <w:hideMark/>
          </w:tcPr>
          <w:p w14:paraId="1E409A8D" w14:textId="77777777" w:rsidR="00DC1CDC" w:rsidRPr="00A96C26" w:rsidRDefault="00DC1CDC" w:rsidP="00DC1CDC">
            <w:pPr>
              <w:spacing w:line="278" w:lineRule="auto"/>
              <w:jc w:val="both"/>
              <w:rPr>
                <w:rFonts w:ascii="Times New Roman" w:hAnsi="Times New Roman" w:cs="Times New Roman"/>
                <w:b/>
                <w:bCs/>
                <w:szCs w:val="28"/>
              </w:rPr>
            </w:pPr>
            <w:r w:rsidRPr="00A96C26">
              <w:rPr>
                <w:rFonts w:ascii="Times New Roman" w:hAnsi="Times New Roman" w:cs="Times New Roman"/>
                <w:b/>
                <w:bCs/>
                <w:szCs w:val="28"/>
              </w:rPr>
              <w:t>Mechanism</w:t>
            </w:r>
          </w:p>
        </w:tc>
        <w:tc>
          <w:tcPr>
            <w:tcW w:w="0" w:type="auto"/>
            <w:noWrap/>
            <w:hideMark/>
          </w:tcPr>
          <w:p w14:paraId="2F75C37A" w14:textId="77777777" w:rsidR="00DC1CDC" w:rsidRPr="00A96C26" w:rsidRDefault="00DC1CDC" w:rsidP="00DC1CDC">
            <w:pPr>
              <w:spacing w:line="278" w:lineRule="auto"/>
              <w:jc w:val="both"/>
              <w:rPr>
                <w:rFonts w:ascii="Times New Roman" w:hAnsi="Times New Roman" w:cs="Times New Roman"/>
                <w:b/>
                <w:bCs/>
                <w:szCs w:val="28"/>
              </w:rPr>
            </w:pPr>
            <w:r w:rsidRPr="00A96C26">
              <w:rPr>
                <w:rFonts w:ascii="Times New Roman" w:hAnsi="Times New Roman" w:cs="Times New Roman"/>
                <w:b/>
                <w:bCs/>
                <w:szCs w:val="28"/>
              </w:rPr>
              <w:t>Description</w:t>
            </w:r>
          </w:p>
        </w:tc>
        <w:tc>
          <w:tcPr>
            <w:tcW w:w="0" w:type="auto"/>
            <w:noWrap/>
            <w:hideMark/>
          </w:tcPr>
          <w:p w14:paraId="53D8F842" w14:textId="77777777" w:rsidR="00DC1CDC" w:rsidRPr="00A96C26" w:rsidRDefault="00DC1CDC" w:rsidP="00DC1CDC">
            <w:pPr>
              <w:spacing w:line="278" w:lineRule="auto"/>
              <w:jc w:val="both"/>
              <w:rPr>
                <w:rFonts w:ascii="Times New Roman" w:hAnsi="Times New Roman" w:cs="Times New Roman"/>
                <w:b/>
                <w:bCs/>
                <w:szCs w:val="28"/>
              </w:rPr>
            </w:pPr>
            <w:r w:rsidRPr="00A96C26">
              <w:rPr>
                <w:rFonts w:ascii="Times New Roman" w:hAnsi="Times New Roman" w:cs="Times New Roman"/>
                <w:b/>
                <w:bCs/>
                <w:szCs w:val="28"/>
              </w:rPr>
              <w:t>Functional Outcome</w:t>
            </w:r>
          </w:p>
        </w:tc>
        <w:tc>
          <w:tcPr>
            <w:tcW w:w="0" w:type="auto"/>
            <w:noWrap/>
            <w:hideMark/>
          </w:tcPr>
          <w:p w14:paraId="45B8ED1E" w14:textId="77777777" w:rsidR="00DC1CDC" w:rsidRPr="00A96C26" w:rsidRDefault="00DC1CDC" w:rsidP="00DC1CDC">
            <w:pPr>
              <w:spacing w:line="278" w:lineRule="auto"/>
              <w:jc w:val="both"/>
              <w:rPr>
                <w:rFonts w:ascii="Times New Roman" w:hAnsi="Times New Roman" w:cs="Times New Roman"/>
                <w:b/>
                <w:bCs/>
                <w:szCs w:val="28"/>
              </w:rPr>
            </w:pPr>
            <w:r w:rsidRPr="00A96C26">
              <w:rPr>
                <w:rFonts w:ascii="Times New Roman" w:hAnsi="Times New Roman" w:cs="Times New Roman"/>
                <w:b/>
                <w:bCs/>
                <w:szCs w:val="28"/>
              </w:rPr>
              <w:t>Evidence</w:t>
            </w:r>
          </w:p>
        </w:tc>
      </w:tr>
      <w:tr w:rsidR="00DC1CDC" w:rsidRPr="00A96C26" w14:paraId="506429B1" w14:textId="77777777" w:rsidTr="00DC1CDC">
        <w:trPr>
          <w:trHeight w:val="1118"/>
        </w:trPr>
        <w:tc>
          <w:tcPr>
            <w:tcW w:w="0" w:type="auto"/>
            <w:hideMark/>
          </w:tcPr>
          <w:p w14:paraId="1D495EF8"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Deformability-Enhanced Penetration</w:t>
            </w:r>
          </w:p>
        </w:tc>
        <w:tc>
          <w:tcPr>
            <w:tcW w:w="0" w:type="auto"/>
            <w:hideMark/>
          </w:tcPr>
          <w:p w14:paraId="22CD1FBF"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Edge activators fluidize bilayer, enabling compression through 40-50 nm pores</w:t>
            </w:r>
          </w:p>
        </w:tc>
        <w:tc>
          <w:tcPr>
            <w:tcW w:w="0" w:type="auto"/>
            <w:hideMark/>
          </w:tcPr>
          <w:p w14:paraId="32479916" w14:textId="77777777" w:rsidR="00DC1CDC" w:rsidRPr="00A96C26" w:rsidRDefault="00DC1CDC" w:rsidP="00DC1CDC">
            <w:pPr>
              <w:spacing w:line="278" w:lineRule="auto"/>
              <w:jc w:val="both"/>
              <w:rPr>
                <w:rFonts w:ascii="Times New Roman" w:hAnsi="Times New Roman" w:cs="Times New Roman"/>
                <w:szCs w:val="28"/>
              </w:rPr>
            </w:pPr>
            <w:proofErr w:type="gramStart"/>
            <w:r w:rsidRPr="00A96C26">
              <w:rPr>
                <w:rFonts w:ascii="Times New Roman" w:hAnsi="Times New Roman" w:cs="Times New Roman"/>
                <w:szCs w:val="28"/>
              </w:rPr>
              <w:t>2-3 fold</w:t>
            </w:r>
            <w:proofErr w:type="gramEnd"/>
            <w:r w:rsidRPr="00A96C26">
              <w:rPr>
                <w:rFonts w:ascii="Times New Roman" w:hAnsi="Times New Roman" w:cs="Times New Roman"/>
                <w:szCs w:val="28"/>
              </w:rPr>
              <w:t xml:space="preserve"> deeper synovial tissue penetration vs. liposomes</w:t>
            </w:r>
          </w:p>
        </w:tc>
        <w:tc>
          <w:tcPr>
            <w:tcW w:w="0" w:type="auto"/>
            <w:hideMark/>
          </w:tcPr>
          <w:p w14:paraId="7FC8AB64"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Extrusion assays; confocal microscopy of tissue penetration</w:t>
            </w:r>
          </w:p>
        </w:tc>
      </w:tr>
      <w:tr w:rsidR="00DC1CDC" w:rsidRPr="00A96C26" w14:paraId="0033971A" w14:textId="77777777" w:rsidTr="00DC1CDC">
        <w:trPr>
          <w:trHeight w:val="1118"/>
        </w:trPr>
        <w:tc>
          <w:tcPr>
            <w:tcW w:w="0" w:type="auto"/>
            <w:hideMark/>
          </w:tcPr>
          <w:p w14:paraId="2DA049A3"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Intercellular Pathway Traversal</w:t>
            </w:r>
          </w:p>
        </w:tc>
        <w:tc>
          <w:tcPr>
            <w:tcW w:w="0" w:type="auto"/>
            <w:hideMark/>
          </w:tcPr>
          <w:p w14:paraId="7935BFFD"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Deformable vesicles navigate intercellular spaces; terpenes loosen tight junctions</w:t>
            </w:r>
          </w:p>
        </w:tc>
        <w:tc>
          <w:tcPr>
            <w:tcW w:w="0" w:type="auto"/>
            <w:hideMark/>
          </w:tcPr>
          <w:p w14:paraId="1E133B95"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 xml:space="preserve">Access to synovial subintimal layer; rapid (1-2 </w:t>
            </w:r>
            <w:proofErr w:type="spellStart"/>
            <w:r w:rsidRPr="00A96C26">
              <w:rPr>
                <w:rFonts w:ascii="Times New Roman" w:hAnsi="Times New Roman" w:cs="Times New Roman"/>
                <w:szCs w:val="28"/>
              </w:rPr>
              <w:t>hr</w:t>
            </w:r>
            <w:proofErr w:type="spellEnd"/>
            <w:r w:rsidRPr="00A96C26">
              <w:rPr>
                <w:rFonts w:ascii="Times New Roman" w:hAnsi="Times New Roman" w:cs="Times New Roman"/>
                <w:szCs w:val="28"/>
              </w:rPr>
              <w:t>) penetration</w:t>
            </w:r>
          </w:p>
        </w:tc>
        <w:tc>
          <w:tcPr>
            <w:tcW w:w="0" w:type="auto"/>
            <w:hideMark/>
          </w:tcPr>
          <w:p w14:paraId="62E1818B"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Time-lapse confocal microscopy; immunohistochemistry</w:t>
            </w:r>
          </w:p>
        </w:tc>
      </w:tr>
      <w:tr w:rsidR="00DC1CDC" w:rsidRPr="00A96C26" w14:paraId="0D618EF2" w14:textId="77777777" w:rsidTr="00DC1CDC">
        <w:trPr>
          <w:trHeight w:val="1443"/>
        </w:trPr>
        <w:tc>
          <w:tcPr>
            <w:tcW w:w="0" w:type="auto"/>
            <w:hideMark/>
          </w:tcPr>
          <w:p w14:paraId="56387F9C"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Edge Activator Barrier Modulation</w:t>
            </w:r>
          </w:p>
        </w:tc>
        <w:tc>
          <w:tcPr>
            <w:tcW w:w="0" w:type="auto"/>
            <w:hideMark/>
          </w:tcPr>
          <w:p w14:paraId="5084623B"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Ethanol fluidizes lipids; terpenes activate TRPV1/TRPA1; reversible tight junction opening</w:t>
            </w:r>
          </w:p>
        </w:tc>
        <w:tc>
          <w:tcPr>
            <w:tcW w:w="0" w:type="auto"/>
            <w:hideMark/>
          </w:tcPr>
          <w:p w14:paraId="01B96281"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Transient barrier modification; minimal permanent damage</w:t>
            </w:r>
          </w:p>
        </w:tc>
        <w:tc>
          <w:tcPr>
            <w:tcW w:w="0" w:type="auto"/>
            <w:hideMark/>
          </w:tcPr>
          <w:p w14:paraId="4004A603"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Electron microscopy; tight junction protein studies</w:t>
            </w:r>
          </w:p>
        </w:tc>
      </w:tr>
      <w:tr w:rsidR="00DC1CDC" w:rsidRPr="00A96C26" w14:paraId="5D3BA097" w14:textId="77777777" w:rsidTr="00DC1CDC">
        <w:trPr>
          <w:trHeight w:val="1118"/>
        </w:trPr>
        <w:tc>
          <w:tcPr>
            <w:tcW w:w="0" w:type="auto"/>
            <w:hideMark/>
          </w:tcPr>
          <w:p w14:paraId="72B599D3" w14:textId="77777777" w:rsidR="00DC1CDC" w:rsidRPr="00A96C26" w:rsidRDefault="00DC1CDC" w:rsidP="00DC1CDC">
            <w:pPr>
              <w:spacing w:line="278" w:lineRule="auto"/>
              <w:jc w:val="both"/>
              <w:rPr>
                <w:rFonts w:ascii="Times New Roman" w:hAnsi="Times New Roman" w:cs="Times New Roman"/>
                <w:szCs w:val="28"/>
              </w:rPr>
            </w:pPr>
            <w:proofErr w:type="spellStart"/>
            <w:r w:rsidRPr="00A96C26">
              <w:rPr>
                <w:rFonts w:ascii="Times New Roman" w:hAnsi="Times New Roman" w:cs="Times New Roman"/>
                <w:b/>
                <w:bCs/>
                <w:szCs w:val="28"/>
              </w:rPr>
              <w:t>Clathrin</w:t>
            </w:r>
            <w:proofErr w:type="spellEnd"/>
            <w:r w:rsidRPr="00A96C26">
              <w:rPr>
                <w:rFonts w:ascii="Times New Roman" w:hAnsi="Times New Roman" w:cs="Times New Roman"/>
                <w:b/>
                <w:bCs/>
                <w:szCs w:val="28"/>
              </w:rPr>
              <w:t>-Mediated Endocytosis</w:t>
            </w:r>
          </w:p>
        </w:tc>
        <w:tc>
          <w:tcPr>
            <w:tcW w:w="0" w:type="auto"/>
            <w:hideMark/>
          </w:tcPr>
          <w:p w14:paraId="3BDB3188"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 xml:space="preserve">100-200 nm size optimal for </w:t>
            </w:r>
            <w:proofErr w:type="spellStart"/>
            <w:r w:rsidRPr="00A96C26">
              <w:rPr>
                <w:rFonts w:ascii="Times New Roman" w:hAnsi="Times New Roman" w:cs="Times New Roman"/>
                <w:szCs w:val="28"/>
              </w:rPr>
              <w:t>clathrin</w:t>
            </w:r>
            <w:proofErr w:type="spellEnd"/>
            <w:r w:rsidRPr="00A96C26">
              <w:rPr>
                <w:rFonts w:ascii="Times New Roman" w:hAnsi="Times New Roman" w:cs="Times New Roman"/>
                <w:szCs w:val="28"/>
              </w:rPr>
              <w:t>-coated pit uptake</w:t>
            </w:r>
          </w:p>
        </w:tc>
        <w:tc>
          <w:tcPr>
            <w:tcW w:w="0" w:type="auto"/>
            <w:hideMark/>
          </w:tcPr>
          <w:p w14:paraId="63080E3D" w14:textId="77777777" w:rsidR="00DC1CDC" w:rsidRPr="00A96C26" w:rsidRDefault="00DC1CDC" w:rsidP="00DC1CDC">
            <w:pPr>
              <w:spacing w:line="278" w:lineRule="auto"/>
              <w:jc w:val="both"/>
              <w:rPr>
                <w:rFonts w:ascii="Times New Roman" w:hAnsi="Times New Roman" w:cs="Times New Roman"/>
                <w:szCs w:val="28"/>
              </w:rPr>
            </w:pPr>
            <w:proofErr w:type="gramStart"/>
            <w:r w:rsidRPr="00A96C26">
              <w:rPr>
                <w:rFonts w:ascii="Times New Roman" w:hAnsi="Times New Roman" w:cs="Times New Roman"/>
                <w:szCs w:val="28"/>
              </w:rPr>
              <w:t>3-5 fold</w:t>
            </w:r>
            <w:proofErr w:type="gramEnd"/>
            <w:r w:rsidRPr="00A96C26">
              <w:rPr>
                <w:rFonts w:ascii="Times New Roman" w:hAnsi="Times New Roman" w:cs="Times New Roman"/>
                <w:szCs w:val="28"/>
              </w:rPr>
              <w:t xml:space="preserve"> enhanced cellular uptake vs. liposomes</w:t>
            </w:r>
          </w:p>
        </w:tc>
        <w:tc>
          <w:tcPr>
            <w:tcW w:w="0" w:type="auto"/>
            <w:hideMark/>
          </w:tcPr>
          <w:p w14:paraId="47172036"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Quantitative cellular uptake studies; endocytosis inhibition assays</w:t>
            </w:r>
          </w:p>
        </w:tc>
      </w:tr>
      <w:tr w:rsidR="00DC1CDC" w:rsidRPr="00A96C26" w14:paraId="1F8A556D" w14:textId="77777777" w:rsidTr="00DC1CDC">
        <w:trPr>
          <w:trHeight w:val="1443"/>
        </w:trPr>
        <w:tc>
          <w:tcPr>
            <w:tcW w:w="0" w:type="auto"/>
            <w:hideMark/>
          </w:tcPr>
          <w:p w14:paraId="538CAD0D"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Membrane Fusion with Endosomes</w:t>
            </w:r>
          </w:p>
        </w:tc>
        <w:tc>
          <w:tcPr>
            <w:tcW w:w="0" w:type="auto"/>
            <w:hideMark/>
          </w:tcPr>
          <w:p w14:paraId="56D7B0A6"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 xml:space="preserve">Fluidized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membrane fuses with endosomal limiting membrane</w:t>
            </w:r>
          </w:p>
        </w:tc>
        <w:tc>
          <w:tcPr>
            <w:tcW w:w="0" w:type="auto"/>
            <w:hideMark/>
          </w:tcPr>
          <w:p w14:paraId="2BA0C3D8"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Rapid cytoplasmic drug release; complete cargo unloading</w:t>
            </w:r>
          </w:p>
        </w:tc>
        <w:tc>
          <w:tcPr>
            <w:tcW w:w="0" w:type="auto"/>
            <w:hideMark/>
          </w:tcPr>
          <w:p w14:paraId="518612C1"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Confocal microscopy with pH-sensitive dyes; intracellular trafficking studies</w:t>
            </w:r>
          </w:p>
        </w:tc>
      </w:tr>
      <w:tr w:rsidR="00DC1CDC" w:rsidRPr="00A96C26" w14:paraId="14203E12" w14:textId="77777777" w:rsidTr="00DC1CDC">
        <w:trPr>
          <w:trHeight w:val="1443"/>
        </w:trPr>
        <w:tc>
          <w:tcPr>
            <w:tcW w:w="0" w:type="auto"/>
            <w:hideMark/>
          </w:tcPr>
          <w:p w14:paraId="18FBEBE0"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Proton Sponge Effect</w:t>
            </w:r>
          </w:p>
        </w:tc>
        <w:tc>
          <w:tcPr>
            <w:tcW w:w="0" w:type="auto"/>
            <w:hideMark/>
          </w:tcPr>
          <w:p w14:paraId="1394A979"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Protonatable edge activators buffer endosomal pH; osmotic swelling ruptures endosome</w:t>
            </w:r>
          </w:p>
        </w:tc>
        <w:tc>
          <w:tcPr>
            <w:tcW w:w="0" w:type="auto"/>
            <w:hideMark/>
          </w:tcPr>
          <w:p w14:paraId="49364A2B"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Endosomal escape without lysosomal routing; preserved drug activity</w:t>
            </w:r>
          </w:p>
        </w:tc>
        <w:tc>
          <w:tcPr>
            <w:tcW w:w="0" w:type="auto"/>
            <w:hideMark/>
          </w:tcPr>
          <w:p w14:paraId="42C82AD6"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Endosomal pH measurements; intracellular localization studies</w:t>
            </w:r>
          </w:p>
        </w:tc>
      </w:tr>
      <w:tr w:rsidR="00DC1CDC" w:rsidRPr="00A96C26" w14:paraId="28C7135D" w14:textId="77777777" w:rsidTr="00DC1CDC">
        <w:trPr>
          <w:trHeight w:val="1118"/>
        </w:trPr>
        <w:tc>
          <w:tcPr>
            <w:tcW w:w="0" w:type="auto"/>
            <w:hideMark/>
          </w:tcPr>
          <w:p w14:paraId="33F9E25A"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lastRenderedPageBreak/>
              <w:t>Direct Endosomal Permeabilization</w:t>
            </w:r>
          </w:p>
        </w:tc>
        <w:tc>
          <w:tcPr>
            <w:tcW w:w="0" w:type="auto"/>
            <w:hideMark/>
          </w:tcPr>
          <w:p w14:paraId="146D57D0"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Edge activators fluidize endosomal membranes; transient pore formation</w:t>
            </w:r>
          </w:p>
        </w:tc>
        <w:tc>
          <w:tcPr>
            <w:tcW w:w="0" w:type="auto"/>
            <w:hideMark/>
          </w:tcPr>
          <w:p w14:paraId="41CE741E"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 xml:space="preserve">Cytoplasmic escape of intact </w:t>
            </w:r>
            <w:proofErr w:type="spellStart"/>
            <w:r w:rsidRPr="00A96C26">
              <w:rPr>
                <w:rFonts w:ascii="Times New Roman" w:hAnsi="Times New Roman" w:cs="Times New Roman"/>
                <w:szCs w:val="28"/>
              </w:rPr>
              <w:t>transethosomes</w:t>
            </w:r>
            <w:proofErr w:type="spellEnd"/>
          </w:p>
        </w:tc>
        <w:tc>
          <w:tcPr>
            <w:tcW w:w="0" w:type="auto"/>
            <w:hideMark/>
          </w:tcPr>
          <w:p w14:paraId="28498D86"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Endosomal integrity assays; live-cell imaging</w:t>
            </w:r>
          </w:p>
        </w:tc>
      </w:tr>
      <w:tr w:rsidR="00DC1CDC" w:rsidRPr="00A96C26" w14:paraId="6CB2E94C" w14:textId="77777777" w:rsidTr="00DC1CDC">
        <w:trPr>
          <w:trHeight w:val="1118"/>
        </w:trPr>
        <w:tc>
          <w:tcPr>
            <w:tcW w:w="0" w:type="auto"/>
            <w:hideMark/>
          </w:tcPr>
          <w:p w14:paraId="783EADC6"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Enhanced Intracellular Drug Bioavailability</w:t>
            </w:r>
          </w:p>
        </w:tc>
        <w:tc>
          <w:tcPr>
            <w:tcW w:w="0" w:type="auto"/>
            <w:hideMark/>
          </w:tcPr>
          <w:p w14:paraId="179D80B7"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 xml:space="preserve">Multiple mechanisms enable </w:t>
            </w:r>
            <w:proofErr w:type="gramStart"/>
            <w:r w:rsidRPr="00A96C26">
              <w:rPr>
                <w:rFonts w:ascii="Times New Roman" w:hAnsi="Times New Roman" w:cs="Times New Roman"/>
                <w:szCs w:val="28"/>
              </w:rPr>
              <w:t>2-5 fold</w:t>
            </w:r>
            <w:proofErr w:type="gramEnd"/>
            <w:r w:rsidRPr="00A96C26">
              <w:rPr>
                <w:rFonts w:ascii="Times New Roman" w:hAnsi="Times New Roman" w:cs="Times New Roman"/>
                <w:szCs w:val="28"/>
              </w:rPr>
              <w:t xml:space="preserve"> higher intracellular drug concentration</w:t>
            </w:r>
          </w:p>
        </w:tc>
        <w:tc>
          <w:tcPr>
            <w:tcW w:w="0" w:type="auto"/>
            <w:hideMark/>
          </w:tcPr>
          <w:p w14:paraId="105FA2A8"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Direct access to intracellular targets; preserved drug activity</w:t>
            </w:r>
          </w:p>
        </w:tc>
        <w:tc>
          <w:tcPr>
            <w:tcW w:w="0" w:type="auto"/>
            <w:hideMark/>
          </w:tcPr>
          <w:p w14:paraId="3FEFC705"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HPLC quantification of intracellular drug; knockdown studies of target enzymes</w:t>
            </w:r>
          </w:p>
        </w:tc>
      </w:tr>
      <w:tr w:rsidR="00DC1CDC" w:rsidRPr="00A96C26" w14:paraId="79D938BB" w14:textId="77777777" w:rsidTr="00DC1CDC">
        <w:trPr>
          <w:trHeight w:val="1118"/>
        </w:trPr>
        <w:tc>
          <w:tcPr>
            <w:tcW w:w="0" w:type="auto"/>
            <w:hideMark/>
          </w:tcPr>
          <w:p w14:paraId="26AD0AB0"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EPR Effect (Passive Targeting)</w:t>
            </w:r>
          </w:p>
        </w:tc>
        <w:tc>
          <w:tcPr>
            <w:tcW w:w="0" w:type="auto"/>
            <w:hideMark/>
          </w:tcPr>
          <w:p w14:paraId="577FC200"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Inflamed joint increased vascular permeability; reduced lymphatic clearance</w:t>
            </w:r>
          </w:p>
        </w:tc>
        <w:tc>
          <w:tcPr>
            <w:tcW w:w="0" w:type="auto"/>
            <w:hideMark/>
          </w:tcPr>
          <w:p w14:paraId="5B425F74" w14:textId="77777777" w:rsidR="00DC1CDC" w:rsidRPr="00A96C26" w:rsidRDefault="00DC1CDC" w:rsidP="00DC1CDC">
            <w:pPr>
              <w:spacing w:line="278" w:lineRule="auto"/>
              <w:jc w:val="both"/>
              <w:rPr>
                <w:rFonts w:ascii="Times New Roman" w:hAnsi="Times New Roman" w:cs="Times New Roman"/>
                <w:szCs w:val="28"/>
              </w:rPr>
            </w:pPr>
            <w:proofErr w:type="gramStart"/>
            <w:r w:rsidRPr="00A96C26">
              <w:rPr>
                <w:rFonts w:ascii="Times New Roman" w:hAnsi="Times New Roman" w:cs="Times New Roman"/>
                <w:szCs w:val="28"/>
              </w:rPr>
              <w:t>10-20 fold</w:t>
            </w:r>
            <w:proofErr w:type="gramEnd"/>
            <w:r w:rsidRPr="00A96C26">
              <w:rPr>
                <w:rFonts w:ascii="Times New Roman" w:hAnsi="Times New Roman" w:cs="Times New Roman"/>
                <w:szCs w:val="28"/>
              </w:rPr>
              <w:t xml:space="preserv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accumulation in arthritic vs. healthy joints</w:t>
            </w:r>
          </w:p>
        </w:tc>
        <w:tc>
          <w:tcPr>
            <w:tcW w:w="0" w:type="auto"/>
            <w:hideMark/>
          </w:tcPr>
          <w:p w14:paraId="1C54BCBC"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 xml:space="preserve">Radiolabeled </w:t>
            </w:r>
            <w:proofErr w:type="spellStart"/>
            <w:r w:rsidRPr="00A96C26">
              <w:rPr>
                <w:rFonts w:ascii="Times New Roman" w:hAnsi="Times New Roman" w:cs="Times New Roman"/>
                <w:szCs w:val="28"/>
              </w:rPr>
              <w:t>transethosome</w:t>
            </w:r>
            <w:proofErr w:type="spellEnd"/>
            <w:r w:rsidRPr="00A96C26">
              <w:rPr>
                <w:rFonts w:ascii="Times New Roman" w:hAnsi="Times New Roman" w:cs="Times New Roman"/>
                <w:szCs w:val="28"/>
              </w:rPr>
              <w:t xml:space="preserve"> biodistribution; scintigraphy</w:t>
            </w:r>
          </w:p>
        </w:tc>
      </w:tr>
      <w:tr w:rsidR="00DC1CDC" w:rsidRPr="00A96C26" w14:paraId="1E8A6A67" w14:textId="77777777" w:rsidTr="00DC1CDC">
        <w:trPr>
          <w:trHeight w:val="1443"/>
        </w:trPr>
        <w:tc>
          <w:tcPr>
            <w:tcW w:w="0" w:type="auto"/>
            <w:hideMark/>
          </w:tcPr>
          <w:p w14:paraId="1D62663B"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Cellular Sequestration (Macrophages/Dendritic Cells)</w:t>
            </w:r>
          </w:p>
        </w:tc>
        <w:tc>
          <w:tcPr>
            <w:tcW w:w="0" w:type="auto"/>
            <w:hideMark/>
          </w:tcPr>
          <w:p w14:paraId="62F8A87E"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 xml:space="preserve">Resident synovial immune cells phagocytose </w:t>
            </w:r>
            <w:proofErr w:type="spellStart"/>
            <w:r w:rsidRPr="00A96C26">
              <w:rPr>
                <w:rFonts w:ascii="Times New Roman" w:hAnsi="Times New Roman" w:cs="Times New Roman"/>
                <w:szCs w:val="28"/>
              </w:rPr>
              <w:t>transethosomes</w:t>
            </w:r>
            <w:proofErr w:type="spellEnd"/>
          </w:p>
        </w:tc>
        <w:tc>
          <w:tcPr>
            <w:tcW w:w="0" w:type="auto"/>
            <w:hideMark/>
          </w:tcPr>
          <w:p w14:paraId="7864D96A"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 xml:space="preserve">Extended joint residence time (24-48 </w:t>
            </w:r>
            <w:proofErr w:type="spellStart"/>
            <w:r w:rsidRPr="00A96C26">
              <w:rPr>
                <w:rFonts w:ascii="Times New Roman" w:hAnsi="Times New Roman" w:cs="Times New Roman"/>
                <w:szCs w:val="28"/>
              </w:rPr>
              <w:t>hrs</w:t>
            </w:r>
            <w:proofErr w:type="spellEnd"/>
            <w:r w:rsidRPr="00A96C26">
              <w:rPr>
                <w:rFonts w:ascii="Times New Roman" w:hAnsi="Times New Roman" w:cs="Times New Roman"/>
                <w:szCs w:val="28"/>
              </w:rPr>
              <w:t xml:space="preserve"> vs. 4-8 </w:t>
            </w:r>
            <w:proofErr w:type="spellStart"/>
            <w:r w:rsidRPr="00A96C26">
              <w:rPr>
                <w:rFonts w:ascii="Times New Roman" w:hAnsi="Times New Roman" w:cs="Times New Roman"/>
                <w:szCs w:val="28"/>
              </w:rPr>
              <w:t>hrs</w:t>
            </w:r>
            <w:proofErr w:type="spellEnd"/>
            <w:r w:rsidRPr="00A96C26">
              <w:rPr>
                <w:rFonts w:ascii="Times New Roman" w:hAnsi="Times New Roman" w:cs="Times New Roman"/>
                <w:szCs w:val="28"/>
              </w:rPr>
              <w:t xml:space="preserve"> for free drug); targeting to inflammatory cells</w:t>
            </w:r>
          </w:p>
        </w:tc>
        <w:tc>
          <w:tcPr>
            <w:tcW w:w="0" w:type="auto"/>
            <w:hideMark/>
          </w:tcPr>
          <w:p w14:paraId="4FF5AA13"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 xml:space="preserve">Quantitative cellular uptake; immunohistochemistry for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location</w:t>
            </w:r>
          </w:p>
        </w:tc>
      </w:tr>
      <w:tr w:rsidR="00DC1CDC" w:rsidRPr="00A96C26" w14:paraId="61497FE3" w14:textId="77777777" w:rsidTr="00DC1CDC">
        <w:trPr>
          <w:trHeight w:val="1106"/>
        </w:trPr>
        <w:tc>
          <w:tcPr>
            <w:tcW w:w="0" w:type="auto"/>
            <w:hideMark/>
          </w:tcPr>
          <w:p w14:paraId="3F20C08B"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Stimulus-Responsive Release</w:t>
            </w:r>
          </w:p>
        </w:tc>
        <w:tc>
          <w:tcPr>
            <w:tcW w:w="0" w:type="auto"/>
            <w:hideMark/>
          </w:tcPr>
          <w:p w14:paraId="66876724"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Elevated synovial temperature, pH, proteolytic enzymes trigger drug release</w:t>
            </w:r>
          </w:p>
        </w:tc>
        <w:tc>
          <w:tcPr>
            <w:tcW w:w="0" w:type="auto"/>
            <w:hideMark/>
          </w:tcPr>
          <w:p w14:paraId="738CB754"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Drug release tuned to inflammatory microenvironment specificity</w:t>
            </w:r>
          </w:p>
        </w:tc>
        <w:tc>
          <w:tcPr>
            <w:tcW w:w="0" w:type="auto"/>
            <w:hideMark/>
          </w:tcPr>
          <w:p w14:paraId="7861F6E4"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In vitro release kinetics at various pH/temperature; MMP-triggered release studies</w:t>
            </w:r>
          </w:p>
        </w:tc>
      </w:tr>
      <w:tr w:rsidR="00DC1CDC" w:rsidRPr="00A96C26" w14:paraId="2066A632" w14:textId="77777777" w:rsidTr="00DC1CDC">
        <w:trPr>
          <w:trHeight w:val="1443"/>
        </w:trPr>
        <w:tc>
          <w:tcPr>
            <w:tcW w:w="0" w:type="auto"/>
            <w:hideMark/>
          </w:tcPr>
          <w:p w14:paraId="5BBC196E"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Reduced Systemic Toxicity</w:t>
            </w:r>
          </w:p>
        </w:tc>
        <w:tc>
          <w:tcPr>
            <w:tcW w:w="0" w:type="auto"/>
            <w:hideMark/>
          </w:tcPr>
          <w:p w14:paraId="5A28755D"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Localized delivery minimizes systemic drug exposure</w:t>
            </w:r>
          </w:p>
        </w:tc>
        <w:tc>
          <w:tcPr>
            <w:tcW w:w="0" w:type="auto"/>
            <w:hideMark/>
          </w:tcPr>
          <w:p w14:paraId="5D2B59E8"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50-70% reduction in effective systemic dose requirements</w:t>
            </w:r>
          </w:p>
        </w:tc>
        <w:tc>
          <w:tcPr>
            <w:tcW w:w="0" w:type="auto"/>
            <w:hideMark/>
          </w:tcPr>
          <w:p w14:paraId="6325136A"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Pharmacokinetic studies comparing plasma concentrations; clinical toxicity assessments</w:t>
            </w:r>
          </w:p>
        </w:tc>
      </w:tr>
      <w:tr w:rsidR="00DC1CDC" w:rsidRPr="00A96C26" w14:paraId="1B0278EC" w14:textId="77777777" w:rsidTr="00DC1CDC">
        <w:trPr>
          <w:trHeight w:val="1118"/>
        </w:trPr>
        <w:tc>
          <w:tcPr>
            <w:tcW w:w="0" w:type="auto"/>
            <w:hideMark/>
          </w:tcPr>
          <w:p w14:paraId="1D029A18"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t>Intracellular Target Engagement</w:t>
            </w:r>
          </w:p>
        </w:tc>
        <w:tc>
          <w:tcPr>
            <w:tcW w:w="0" w:type="auto"/>
            <w:hideMark/>
          </w:tcPr>
          <w:p w14:paraId="07DE3A9A"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Cytoplasmic drug release localizes drugs to intracellular signaling enzymes</w:t>
            </w:r>
          </w:p>
        </w:tc>
        <w:tc>
          <w:tcPr>
            <w:tcW w:w="0" w:type="auto"/>
            <w:hideMark/>
          </w:tcPr>
          <w:p w14:paraId="737ADC0A"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Optimized pharmacodynamic response for intracellular targets</w:t>
            </w:r>
          </w:p>
        </w:tc>
        <w:tc>
          <w:tcPr>
            <w:tcW w:w="0" w:type="auto"/>
            <w:hideMark/>
          </w:tcPr>
          <w:p w14:paraId="4B587161"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Biochemical assays of target inhibition; cell-based reporter assays</w:t>
            </w:r>
          </w:p>
        </w:tc>
      </w:tr>
      <w:tr w:rsidR="00DC1CDC" w:rsidRPr="00A96C26" w14:paraId="49A73E7B" w14:textId="77777777" w:rsidTr="00DC1CDC">
        <w:trPr>
          <w:trHeight w:val="1431"/>
        </w:trPr>
        <w:tc>
          <w:tcPr>
            <w:tcW w:w="0" w:type="auto"/>
            <w:hideMark/>
          </w:tcPr>
          <w:p w14:paraId="48E5B1AD"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b/>
                <w:bCs/>
                <w:szCs w:val="28"/>
              </w:rPr>
              <w:lastRenderedPageBreak/>
              <w:t>Phospholipid-Mediated Immunomodulation</w:t>
            </w:r>
          </w:p>
        </w:tc>
        <w:tc>
          <w:tcPr>
            <w:tcW w:w="0" w:type="auto"/>
            <w:hideMark/>
          </w:tcPr>
          <w:p w14:paraId="2EDE1FAD"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Phosphatidylcholine engages pattern recognition receptors; M2 macrophage differentiation</w:t>
            </w:r>
          </w:p>
        </w:tc>
        <w:tc>
          <w:tcPr>
            <w:tcW w:w="0" w:type="auto"/>
            <w:hideMark/>
          </w:tcPr>
          <w:p w14:paraId="1A7203EB"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Synergistic anti-inflammatory effects beyond drug cargo</w:t>
            </w:r>
          </w:p>
        </w:tc>
        <w:tc>
          <w:tcPr>
            <w:tcW w:w="0" w:type="auto"/>
            <w:hideMark/>
          </w:tcPr>
          <w:p w14:paraId="230D2092" w14:textId="77777777" w:rsidR="00DC1CDC" w:rsidRPr="00A96C26" w:rsidRDefault="00DC1CDC" w:rsidP="00DC1CDC">
            <w:pPr>
              <w:spacing w:line="278" w:lineRule="auto"/>
              <w:jc w:val="both"/>
              <w:rPr>
                <w:rFonts w:ascii="Times New Roman" w:hAnsi="Times New Roman" w:cs="Times New Roman"/>
                <w:szCs w:val="28"/>
              </w:rPr>
            </w:pPr>
            <w:r w:rsidRPr="00A96C26">
              <w:rPr>
                <w:rFonts w:ascii="Times New Roman" w:hAnsi="Times New Roman" w:cs="Times New Roman"/>
                <w:szCs w:val="28"/>
              </w:rPr>
              <w:t>Cytokine production assays; macrophage polarization studies</w:t>
            </w:r>
          </w:p>
        </w:tc>
      </w:tr>
    </w:tbl>
    <w:p w14:paraId="2C4EB3F3" w14:textId="77777777" w:rsidR="00DC1CDC" w:rsidRPr="00A96C26" w:rsidRDefault="00DC1CDC" w:rsidP="00315EE3">
      <w:pPr>
        <w:jc w:val="both"/>
        <w:rPr>
          <w:rFonts w:ascii="Times New Roman" w:hAnsi="Times New Roman" w:cs="Times New Roman"/>
          <w:szCs w:val="28"/>
        </w:rPr>
      </w:pPr>
    </w:p>
    <w:p w14:paraId="402922AF"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 xml:space="preserve">5. </w:t>
      </w:r>
      <w:proofErr w:type="spellStart"/>
      <w:r w:rsidRPr="00A96C26">
        <w:rPr>
          <w:rFonts w:ascii="Times New Roman" w:hAnsi="Times New Roman" w:cs="Times New Roman"/>
          <w:b/>
          <w:bCs/>
          <w:szCs w:val="28"/>
        </w:rPr>
        <w:t>Transethosomes</w:t>
      </w:r>
      <w:proofErr w:type="spellEnd"/>
      <w:r w:rsidRPr="00A96C26">
        <w:rPr>
          <w:rFonts w:ascii="Times New Roman" w:hAnsi="Times New Roman" w:cs="Times New Roman"/>
          <w:b/>
          <w:bCs/>
          <w:szCs w:val="28"/>
        </w:rPr>
        <w:t xml:space="preserve"> in RA: Formulation Strategies</w:t>
      </w:r>
    </w:p>
    <w:p w14:paraId="052457B0"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5.1 Drug Candidates for RA</w:t>
      </w:r>
    </w:p>
    <w:p w14:paraId="5E44B2AF"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Methotrexate (MTX)</w:t>
      </w:r>
    </w:p>
    <w:p w14:paraId="0C87C2D0" w14:textId="4E1CF0CC"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Methotrexate </w:t>
      </w:r>
      <w:r w:rsidR="00E544A9" w:rsidRPr="00A96C26">
        <w:rPr>
          <w:rFonts w:ascii="Times New Roman" w:hAnsi="Times New Roman" w:cs="Times New Roman"/>
          <w:szCs w:val="28"/>
        </w:rPr>
        <w:t xml:space="preserve">is the gold standard for </w:t>
      </w:r>
      <w:proofErr w:type="spellStart"/>
      <w:r w:rsidR="00E544A9" w:rsidRPr="00A96C26">
        <w:rPr>
          <w:rFonts w:ascii="Times New Roman" w:hAnsi="Times New Roman" w:cs="Times New Roman"/>
          <w:szCs w:val="28"/>
        </w:rPr>
        <w:t>transethosomal</w:t>
      </w:r>
      <w:proofErr w:type="spellEnd"/>
      <w:r w:rsidR="00E544A9" w:rsidRPr="00A96C26">
        <w:rPr>
          <w:rFonts w:ascii="Times New Roman" w:hAnsi="Times New Roman" w:cs="Times New Roman"/>
          <w:szCs w:val="28"/>
        </w:rPr>
        <w:t xml:space="preserve"> encapsulation in RA therapy, given its status as a backbone DMARD </w:t>
      </w:r>
      <w:r w:rsidRPr="00A96C26">
        <w:rPr>
          <w:rFonts w:ascii="Times New Roman" w:hAnsi="Times New Roman" w:cs="Times New Roman"/>
          <w:szCs w:val="28"/>
        </w:rPr>
        <w:t>and its well-documented limitations with conventional delivery systems [</w:t>
      </w:r>
      <w:r w:rsidR="00E544A9" w:rsidRPr="00A96C26">
        <w:rPr>
          <w:rFonts w:ascii="Times New Roman" w:hAnsi="Times New Roman" w:cs="Times New Roman"/>
          <w:szCs w:val="28"/>
        </w:rPr>
        <w:t>36</w:t>
      </w:r>
      <w:r w:rsidRPr="00A96C26">
        <w:rPr>
          <w:rFonts w:ascii="Times New Roman" w:hAnsi="Times New Roman" w:cs="Times New Roman"/>
          <w:szCs w:val="28"/>
        </w:rPr>
        <w:t>]. MTX is a hydrophilic folate antagonist with molecular weight of 454 Da and multiple ionizable groups (</w:t>
      </w:r>
      <w:proofErr w:type="spellStart"/>
      <w:r w:rsidRPr="00A96C26">
        <w:rPr>
          <w:rFonts w:ascii="Times New Roman" w:hAnsi="Times New Roman" w:cs="Times New Roman"/>
          <w:szCs w:val="28"/>
        </w:rPr>
        <w:t>pKa</w:t>
      </w:r>
      <w:proofErr w:type="spellEnd"/>
      <w:r w:rsidRPr="00A96C26">
        <w:rPr>
          <w:rFonts w:ascii="Times New Roman" w:hAnsi="Times New Roman" w:cs="Times New Roman"/>
          <w:szCs w:val="28"/>
        </w:rPr>
        <w:t xml:space="preserve"> values 3.8, 4.8, 5.5), rendering it highly water-soluble but poorly membrane-permeable [02]. Conventional oral MTX bioavailability of only 30-70% necessitates either higher doses with increased toxicity or parenteral administration with reduced patient acceptability [</w:t>
      </w:r>
      <w:r w:rsidR="00E544A9" w:rsidRPr="00A96C26">
        <w:rPr>
          <w:rFonts w:ascii="Times New Roman" w:hAnsi="Times New Roman" w:cs="Times New Roman"/>
          <w:szCs w:val="28"/>
        </w:rPr>
        <w:t>37</w:t>
      </w:r>
      <w:r w:rsidRPr="00A96C26">
        <w:rPr>
          <w:rFonts w:ascii="Times New Roman" w:hAnsi="Times New Roman" w:cs="Times New Roman"/>
          <w:szCs w:val="28"/>
        </w:rPr>
        <w:t xml:space="preserv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MTX formulations overcome these limitations through multiple mechanisms: the deformable vesicles enhance intestinal penetration if administered orally, potentially improving bioavailability to 80-95%; cellular uptake mechanisms deliver MTX directly into cytoplasm where the target enzyme (dihydrofolate reductase) resides, maximizing intracellular pharmacodynamic activity; and synovial tissue targeting achieves effective therapeutic MTX concentrations at joint-specific doses while minimizing systemic exposure and hepatotoxicity [</w:t>
      </w:r>
      <w:r w:rsidR="00E544A9" w:rsidRPr="00A96C26">
        <w:rPr>
          <w:rFonts w:ascii="Times New Roman" w:hAnsi="Times New Roman" w:cs="Times New Roman"/>
          <w:szCs w:val="28"/>
        </w:rPr>
        <w:t>38,39</w:t>
      </w:r>
      <w:r w:rsidRPr="00A96C26">
        <w:rPr>
          <w:rFonts w:ascii="Times New Roman" w:hAnsi="Times New Roman" w:cs="Times New Roman"/>
          <w:szCs w:val="28"/>
        </w:rPr>
        <w:t xml:space="preserve">]. </w:t>
      </w:r>
    </w:p>
    <w:p w14:paraId="4F4953DE"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NSAIDs (Indomethacin, Diclofenac)</w:t>
      </w:r>
    </w:p>
    <w:p w14:paraId="4B234F3A" w14:textId="5DD84D3C"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Nonsteroidal anti-inflammatory drugs including indomethacin and diclofenac are hydrophobic compounds with </w:t>
      </w:r>
      <w:proofErr w:type="spellStart"/>
      <w:r w:rsidRPr="00A96C26">
        <w:rPr>
          <w:rFonts w:ascii="Times New Roman" w:hAnsi="Times New Roman" w:cs="Times New Roman"/>
          <w:szCs w:val="28"/>
        </w:rPr>
        <w:t>pKa</w:t>
      </w:r>
      <w:proofErr w:type="spellEnd"/>
      <w:r w:rsidRPr="00A96C26">
        <w:rPr>
          <w:rFonts w:ascii="Times New Roman" w:hAnsi="Times New Roman" w:cs="Times New Roman"/>
          <w:szCs w:val="28"/>
        </w:rPr>
        <w:t xml:space="preserve"> values around 3-4, rendering them poorly water-soluble and susceptible to gastrointestinal degradation [</w:t>
      </w:r>
      <w:r w:rsidR="00E544A9" w:rsidRPr="00A96C26">
        <w:rPr>
          <w:rFonts w:ascii="Times New Roman" w:hAnsi="Times New Roman" w:cs="Times New Roman"/>
          <w:szCs w:val="28"/>
        </w:rPr>
        <w:t>36,37</w:t>
      </w:r>
      <w:r w:rsidRPr="00A96C26">
        <w:rPr>
          <w:rFonts w:ascii="Times New Roman" w:hAnsi="Times New Roman" w:cs="Times New Roman"/>
          <w:szCs w:val="28"/>
        </w:rPr>
        <w:t xml:space="preserve">]. Conventional NSAID formulations achieve only 50-70% bioavailability with substantial gastrointestinal side effects in 10-20% of chronic users.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NSAID formulations leverage the amphiphilic nature of NSAIDs (acidic groups but overall lipophilicity) to achieve exceptional encapsulation efficiencies of 85-95% [</w:t>
      </w:r>
      <w:r w:rsidR="00E544A9" w:rsidRPr="00A96C26">
        <w:rPr>
          <w:rFonts w:ascii="Times New Roman" w:hAnsi="Times New Roman" w:cs="Times New Roman"/>
          <w:szCs w:val="28"/>
        </w:rPr>
        <w:t>38</w:t>
      </w:r>
      <w:r w:rsidRPr="00A96C26">
        <w:rPr>
          <w:rFonts w:ascii="Times New Roman" w:hAnsi="Times New Roman" w:cs="Times New Roman"/>
          <w:szCs w:val="28"/>
        </w:rPr>
        <w:t>]. The deformable vesicles enhance intestinal permeation, potentially improving systemic bioavailability to 80-90%; additionally, the nanoscale size reduces local NSAID concentration-dependent irritation of gastric mucosa [</w:t>
      </w:r>
      <w:r w:rsidR="00E544A9" w:rsidRPr="00A96C26">
        <w:rPr>
          <w:rFonts w:ascii="Times New Roman" w:hAnsi="Times New Roman" w:cs="Times New Roman"/>
          <w:szCs w:val="28"/>
        </w:rPr>
        <w:t>39,40</w:t>
      </w:r>
      <w:r w:rsidRPr="00A96C26">
        <w:rPr>
          <w:rFonts w:ascii="Times New Roman" w:hAnsi="Times New Roman" w:cs="Times New Roman"/>
          <w:szCs w:val="28"/>
        </w:rPr>
        <w:t xml:space="preserve">]. </w:t>
      </w:r>
    </w:p>
    <w:p w14:paraId="24A34D46"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Corticosteroids (Dexamethasone)</w:t>
      </w:r>
    </w:p>
    <w:p w14:paraId="27D82ACE" w14:textId="094F3079"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Dexamethasone and other corticosteroids are moderately lipophilic compounds with moderate membrane permeability; conventional systemic corticosteroid therapy achieves reasonable </w:t>
      </w:r>
      <w:r w:rsidRPr="00A96C26">
        <w:rPr>
          <w:rFonts w:ascii="Times New Roman" w:hAnsi="Times New Roman" w:cs="Times New Roman"/>
          <w:szCs w:val="28"/>
        </w:rPr>
        <w:lastRenderedPageBreak/>
        <w:t xml:space="preserve">bioavailability but causes substantial systemic side effects including osteoporosis and immunosuppression even at minimized doses.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dexamethasone formulations achieve entrapment efficiencies of 75-88% and preferentially target inflamed synovial tissue, enabling dose reduction to 40-60% of systemic levels while maintaining or improving local anti-inflammatory efficacy. </w:t>
      </w:r>
      <w:r w:rsidR="00E544A9" w:rsidRPr="00A96C26">
        <w:rPr>
          <w:rFonts w:ascii="Times New Roman" w:hAnsi="Times New Roman" w:cs="Times New Roman"/>
          <w:szCs w:val="28"/>
        </w:rPr>
        <w:t xml:space="preserve">Reduced systemic corticosteroid exposure substantially mitigates the development of osteoporosis and the risk of opportunistic infections </w:t>
      </w:r>
      <w:r w:rsidRPr="00A96C26">
        <w:rPr>
          <w:rFonts w:ascii="Times New Roman" w:hAnsi="Times New Roman" w:cs="Times New Roman"/>
          <w:szCs w:val="28"/>
        </w:rPr>
        <w:t xml:space="preserve">while maintaining the potent local immunosuppressive effects needed for RA control [03]. Combination approaches pairing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dexamethasone with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DMARDs offer synergistic anti-inflammatory effects with minimal additive toxicity [</w:t>
      </w:r>
      <w:r w:rsidR="00E544A9" w:rsidRPr="00A96C26">
        <w:rPr>
          <w:rFonts w:ascii="Times New Roman" w:hAnsi="Times New Roman" w:cs="Times New Roman"/>
          <w:szCs w:val="28"/>
        </w:rPr>
        <w:t>37,38</w:t>
      </w:r>
      <w:r w:rsidRPr="00A96C26">
        <w:rPr>
          <w:rFonts w:ascii="Times New Roman" w:hAnsi="Times New Roman" w:cs="Times New Roman"/>
          <w:szCs w:val="28"/>
        </w:rPr>
        <w:t>].</w:t>
      </w:r>
    </w:p>
    <w:p w14:paraId="2AEEF967"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Biological Agents (TNF-α Inhibitors)</w:t>
      </w:r>
    </w:p>
    <w:p w14:paraId="2CE2B2B8" w14:textId="0CB471DE"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Biological therapeutics including TNF-α inhibitors (infliximab, adalimumab, etanercept) represent a significant challenge for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encapsulation due to their large size (monoclonal antibodies ~150 </w:t>
      </w:r>
      <w:proofErr w:type="spellStart"/>
      <w:r w:rsidRPr="00A96C26">
        <w:rPr>
          <w:rFonts w:ascii="Times New Roman" w:hAnsi="Times New Roman" w:cs="Times New Roman"/>
          <w:szCs w:val="28"/>
        </w:rPr>
        <w:t>kDa</w:t>
      </w:r>
      <w:proofErr w:type="spellEnd"/>
      <w:r w:rsidRPr="00A96C26">
        <w:rPr>
          <w:rFonts w:ascii="Times New Roman" w:hAnsi="Times New Roman" w:cs="Times New Roman"/>
          <w:szCs w:val="28"/>
        </w:rPr>
        <w:t xml:space="preserve">; fusion proteins ~75 </w:t>
      </w:r>
      <w:proofErr w:type="spellStart"/>
      <w:r w:rsidRPr="00A96C26">
        <w:rPr>
          <w:rFonts w:ascii="Times New Roman" w:hAnsi="Times New Roman" w:cs="Times New Roman"/>
          <w:szCs w:val="28"/>
        </w:rPr>
        <w:t>kDa</w:t>
      </w:r>
      <w:proofErr w:type="spellEnd"/>
      <w:r w:rsidRPr="00A96C26">
        <w:rPr>
          <w:rFonts w:ascii="Times New Roman" w:hAnsi="Times New Roman" w:cs="Times New Roman"/>
          <w:szCs w:val="28"/>
        </w:rPr>
        <w:t xml:space="preserve">) and protein structure. Traditional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encapsulation techniques are poorly suited to large proteins; however, emerging approaches including surface functionalization with TNF-α binding peptides or engineered protein domains, and bioconjugation techniques, enable incorporation of TNF-α targeting functionality into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Additionally,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can be designed to deliver conventional DMARDs or natural anti-inflammatory compounds that modulate TNF-α production and signaling, providing indirect TNF-targeting approaches [</w:t>
      </w:r>
      <w:r w:rsidR="00E544A9" w:rsidRPr="00A96C26">
        <w:rPr>
          <w:rFonts w:ascii="Times New Roman" w:hAnsi="Times New Roman" w:cs="Times New Roman"/>
          <w:szCs w:val="28"/>
        </w:rPr>
        <w:t>37,38</w:t>
      </w:r>
      <w:r w:rsidRPr="00A96C26">
        <w:rPr>
          <w:rFonts w:ascii="Times New Roman" w:hAnsi="Times New Roman" w:cs="Times New Roman"/>
          <w:szCs w:val="28"/>
        </w:rPr>
        <w:t>].</w:t>
      </w:r>
    </w:p>
    <w:p w14:paraId="0FEF0F91"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Herbal/Natural Compounds</w:t>
      </w:r>
    </w:p>
    <w:p w14:paraId="47BC43AA" w14:textId="1A9E7130"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Natural compounds including curcumin, quercetin, resveratrol, and essential oils (containing terpenes) possess well-documented anti-inflammatory properties through NF-</w:t>
      </w:r>
      <w:proofErr w:type="spellStart"/>
      <w:r w:rsidRPr="00A96C26">
        <w:rPr>
          <w:rFonts w:ascii="Times New Roman" w:hAnsi="Times New Roman" w:cs="Times New Roman"/>
          <w:szCs w:val="28"/>
        </w:rPr>
        <w:t>κB</w:t>
      </w:r>
      <w:proofErr w:type="spellEnd"/>
      <w:r w:rsidRPr="00A96C26">
        <w:rPr>
          <w:rFonts w:ascii="Times New Roman" w:hAnsi="Times New Roman" w:cs="Times New Roman"/>
          <w:szCs w:val="28"/>
        </w:rPr>
        <w:t xml:space="preserve"> inhibition, TNF-α suppression, and antioxidant </w:t>
      </w:r>
      <w:proofErr w:type="gramStart"/>
      <w:r w:rsidRPr="00A96C26">
        <w:rPr>
          <w:rFonts w:ascii="Times New Roman" w:hAnsi="Times New Roman" w:cs="Times New Roman"/>
          <w:szCs w:val="28"/>
        </w:rPr>
        <w:t>mechanisms .</w:t>
      </w:r>
      <w:proofErr w:type="gramEnd"/>
      <w:r w:rsidRPr="00A96C26">
        <w:rPr>
          <w:rFonts w:ascii="Times New Roman" w:hAnsi="Times New Roman" w:cs="Times New Roman"/>
          <w:szCs w:val="28"/>
        </w:rPr>
        <w:t xml:space="preserve"> These compounds often exhibit poor bioavailability and rapid metabolism;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encapsulation dramatically improves bioavailability (2-</w:t>
      </w:r>
      <w:proofErr w:type="gramStart"/>
      <w:r w:rsidRPr="00A96C26">
        <w:rPr>
          <w:rFonts w:ascii="Times New Roman" w:hAnsi="Times New Roman" w:cs="Times New Roman"/>
          <w:szCs w:val="28"/>
        </w:rPr>
        <w:t>5 fold</w:t>
      </w:r>
      <w:proofErr w:type="gramEnd"/>
      <w:r w:rsidRPr="00A96C26">
        <w:rPr>
          <w:rFonts w:ascii="Times New Roman" w:hAnsi="Times New Roman" w:cs="Times New Roman"/>
          <w:szCs w:val="28"/>
        </w:rPr>
        <w:t xml:space="preserve"> increases documented) while enabling synovial targeting. Curcumin-loaded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achieve intracellular concentrations sufficient for NF-</w:t>
      </w:r>
      <w:proofErr w:type="spellStart"/>
      <w:r w:rsidRPr="00A96C26">
        <w:rPr>
          <w:rFonts w:ascii="Times New Roman" w:hAnsi="Times New Roman" w:cs="Times New Roman"/>
          <w:szCs w:val="28"/>
        </w:rPr>
        <w:t>κB</w:t>
      </w:r>
      <w:proofErr w:type="spellEnd"/>
      <w:r w:rsidRPr="00A96C26">
        <w:rPr>
          <w:rFonts w:ascii="Times New Roman" w:hAnsi="Times New Roman" w:cs="Times New Roman"/>
          <w:szCs w:val="28"/>
        </w:rPr>
        <w:t xml:space="preserve"> pathway inhibition at doses 50-70% lower than free curcumin, with preclinical efficacy comparable to conventional DMARDs in arthritis models. The natural origin and safety profile of herbal compounds combined with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enhancement position these formulations as attractive for patients seeking complementary approaches or for developing countries with cost constraints [</w:t>
      </w:r>
      <w:r w:rsidR="00E544A9" w:rsidRPr="00A96C26">
        <w:rPr>
          <w:rFonts w:ascii="Times New Roman" w:hAnsi="Times New Roman" w:cs="Times New Roman"/>
          <w:szCs w:val="28"/>
        </w:rPr>
        <w:t>39,40</w:t>
      </w:r>
      <w:r w:rsidRPr="00A96C26">
        <w:rPr>
          <w:rFonts w:ascii="Times New Roman" w:hAnsi="Times New Roman" w:cs="Times New Roman"/>
          <w:szCs w:val="28"/>
        </w:rPr>
        <w:t>].</w:t>
      </w:r>
    </w:p>
    <w:p w14:paraId="1C7CA1C2"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5.2 Formulation Optimization</w:t>
      </w:r>
    </w:p>
    <w:p w14:paraId="74565083"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Lipid Selection &amp; Concentration</w:t>
      </w:r>
    </w:p>
    <w:p w14:paraId="2E5BA4E8" w14:textId="3B751CD5"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Optimal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formulations require careful lipid selection balancing multiple competing requirements: sufficient membrane rigidity to maintain vesicle structure, adequate membrane fluidity to enable deformability, appropriate charge characteristics for stability and cellular interaction, and biocompatibility/biodegradability [</w:t>
      </w:r>
      <w:r w:rsidR="00E544A9" w:rsidRPr="00A96C26">
        <w:rPr>
          <w:rFonts w:ascii="Times New Roman" w:hAnsi="Times New Roman" w:cs="Times New Roman"/>
          <w:szCs w:val="28"/>
        </w:rPr>
        <w:t>39,40</w:t>
      </w:r>
      <w:r w:rsidRPr="00A96C26">
        <w:rPr>
          <w:rFonts w:ascii="Times New Roman" w:hAnsi="Times New Roman" w:cs="Times New Roman"/>
          <w:szCs w:val="28"/>
        </w:rPr>
        <w:t xml:space="preserve">]. Phosphatidylcholine (PC) derived from natural sources (egg lecithin, soy lecithin) remains the most commonly employed primary lipid </w:t>
      </w:r>
      <w:r w:rsidRPr="00A96C26">
        <w:rPr>
          <w:rFonts w:ascii="Times New Roman" w:hAnsi="Times New Roman" w:cs="Times New Roman"/>
          <w:szCs w:val="28"/>
        </w:rPr>
        <w:lastRenderedPageBreak/>
        <w:t>due to its biocompatibility, availability, and well-characterized properties [</w:t>
      </w:r>
      <w:r w:rsidR="00E544A9" w:rsidRPr="00A96C26">
        <w:rPr>
          <w:rFonts w:ascii="Times New Roman" w:hAnsi="Times New Roman" w:cs="Times New Roman"/>
          <w:szCs w:val="28"/>
        </w:rPr>
        <w:t>41</w:t>
      </w:r>
      <w:r w:rsidRPr="00A96C26">
        <w:rPr>
          <w:rFonts w:ascii="Times New Roman" w:hAnsi="Times New Roman" w:cs="Times New Roman"/>
          <w:szCs w:val="28"/>
        </w:rPr>
        <w:t>]. Synthetic phospholipids including 1,2-distearoyl-sn-glycero-3-phosphocholine (DSPC) and 1,2-dipalmitoyl-sn-glycero-3-phosphocholine (DPPC) offer advantages of defined composition and batch-to-batch consistency. Lipid concentration (typically 50-200 mg/mL) directly influences vesicle size, encapsulation efficiency, and membrane characteristics; higher concentrations increase encapsulation capacity but may reduce membrane fluidity and deformability [</w:t>
      </w:r>
      <w:r w:rsidR="00E544A9" w:rsidRPr="00A96C26">
        <w:rPr>
          <w:rFonts w:ascii="Times New Roman" w:hAnsi="Times New Roman" w:cs="Times New Roman"/>
          <w:szCs w:val="28"/>
        </w:rPr>
        <w:t>40</w:t>
      </w:r>
      <w:r w:rsidRPr="00A96C26">
        <w:rPr>
          <w:rFonts w:ascii="Times New Roman" w:hAnsi="Times New Roman" w:cs="Times New Roman"/>
          <w:szCs w:val="28"/>
        </w:rPr>
        <w:t>]. Cholesterol incorporation (typically 20-30% molar ratio relative to phospholipid) increases membrane rigidity, reducing deformability but enhancing long-term stability [</w:t>
      </w:r>
      <w:r w:rsidR="00E544A9" w:rsidRPr="00A96C26">
        <w:rPr>
          <w:rFonts w:ascii="Times New Roman" w:hAnsi="Times New Roman" w:cs="Times New Roman"/>
          <w:szCs w:val="28"/>
        </w:rPr>
        <w:t>42]</w:t>
      </w:r>
      <w:r w:rsidRPr="00A96C26">
        <w:rPr>
          <w:rFonts w:ascii="Times New Roman" w:hAnsi="Times New Roman" w:cs="Times New Roman"/>
          <w:szCs w:val="28"/>
        </w:rPr>
        <w:t>.</w:t>
      </w:r>
    </w:p>
    <w:p w14:paraId="0CD220BE"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Edge Activator Types &amp; Ratios</w:t>
      </w:r>
    </w:p>
    <w:p w14:paraId="743EBEEF" w14:textId="0194EB4F"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Ethanol (10-20% w/w) provides baseline membrane fluidization; terpenes (5-15% w/w) add enhanced penetration and intrinsic therapeutic properties [</w:t>
      </w:r>
      <w:r w:rsidR="00E544A9" w:rsidRPr="00A96C26">
        <w:rPr>
          <w:rFonts w:ascii="Times New Roman" w:hAnsi="Times New Roman" w:cs="Times New Roman"/>
          <w:szCs w:val="28"/>
        </w:rPr>
        <w:t>41</w:t>
      </w:r>
      <w:r w:rsidRPr="00A96C26">
        <w:rPr>
          <w:rFonts w:ascii="Times New Roman" w:hAnsi="Times New Roman" w:cs="Times New Roman"/>
          <w:szCs w:val="28"/>
        </w:rPr>
        <w:t>]. Optimal edge activator ratios are determined empirically; combinations of ethanol plus menthol at 15:8 weight ratios, or ethanol plus carvacrol at 15:10 ratios, demonstrate synergistic penetration enhancement [</w:t>
      </w:r>
      <w:r w:rsidR="00E544A9" w:rsidRPr="00A96C26">
        <w:rPr>
          <w:rFonts w:ascii="Times New Roman" w:hAnsi="Times New Roman" w:cs="Times New Roman"/>
          <w:szCs w:val="28"/>
        </w:rPr>
        <w:t>42</w:t>
      </w:r>
      <w:r w:rsidRPr="00A96C26">
        <w:rPr>
          <w:rFonts w:ascii="Times New Roman" w:hAnsi="Times New Roman" w:cs="Times New Roman"/>
          <w:szCs w:val="28"/>
        </w:rPr>
        <w:t>].</w:t>
      </w:r>
    </w:p>
    <w:p w14:paraId="262FD395"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Drug Loading Techniques</w:t>
      </w:r>
    </w:p>
    <w:p w14:paraId="13D4BF3E" w14:textId="2EAC798B"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Passive loading (drug incorporation during vesicle formation) achieves 40-50% efficiency for hydrophilic drugs; remote loading using pH gradients (ammonium sulfate gradient method) improves efficiency to 70-85% [</w:t>
      </w:r>
      <w:r w:rsidR="00E544A9" w:rsidRPr="00A96C26">
        <w:rPr>
          <w:rFonts w:ascii="Times New Roman" w:hAnsi="Times New Roman" w:cs="Times New Roman"/>
          <w:szCs w:val="28"/>
        </w:rPr>
        <w:t>41</w:t>
      </w:r>
      <w:r w:rsidRPr="00A96C26">
        <w:rPr>
          <w:rFonts w:ascii="Times New Roman" w:hAnsi="Times New Roman" w:cs="Times New Roman"/>
          <w:szCs w:val="28"/>
        </w:rPr>
        <w:t>]. Ion-pair complexation with lipophilic counterions enhances loading of charged hydrophilic drugs [</w:t>
      </w:r>
      <w:r w:rsidR="00E544A9" w:rsidRPr="00A96C26">
        <w:rPr>
          <w:rFonts w:ascii="Times New Roman" w:hAnsi="Times New Roman" w:cs="Times New Roman"/>
          <w:szCs w:val="28"/>
        </w:rPr>
        <w:t>42</w:t>
      </w:r>
      <w:r w:rsidRPr="00A96C26">
        <w:rPr>
          <w:rFonts w:ascii="Times New Roman" w:hAnsi="Times New Roman" w:cs="Times New Roman"/>
          <w:szCs w:val="28"/>
        </w:rPr>
        <w:t>].</w:t>
      </w:r>
    </w:p>
    <w:p w14:paraId="63B96545"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pH &amp; Osmolarity Adjustments</w:t>
      </w:r>
    </w:p>
    <w:p w14:paraId="6BAC49A4" w14:textId="3A8D679E"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Physiological pH (7.2-7.4) and osmolarity (300-310 </w:t>
      </w:r>
      <w:proofErr w:type="spellStart"/>
      <w:r w:rsidRPr="00A96C26">
        <w:rPr>
          <w:rFonts w:ascii="Times New Roman" w:hAnsi="Times New Roman" w:cs="Times New Roman"/>
          <w:szCs w:val="28"/>
        </w:rPr>
        <w:t>mOsm</w:t>
      </w:r>
      <w:proofErr w:type="spellEnd"/>
      <w:r w:rsidRPr="00A96C26">
        <w:rPr>
          <w:rFonts w:ascii="Times New Roman" w:hAnsi="Times New Roman" w:cs="Times New Roman"/>
          <w:szCs w:val="28"/>
        </w:rPr>
        <w:t xml:space="preserve">/kg) optimize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stability and cellular compatibility; acidification to pH 6.5 facilitates pH-triggered drug release in inflamed synovial tissue [</w:t>
      </w:r>
      <w:r w:rsidR="00E544A9" w:rsidRPr="00A96C26">
        <w:rPr>
          <w:rFonts w:ascii="Times New Roman" w:hAnsi="Times New Roman" w:cs="Times New Roman"/>
          <w:szCs w:val="28"/>
        </w:rPr>
        <w:t>43</w:t>
      </w:r>
      <w:r w:rsidRPr="00A96C26">
        <w:rPr>
          <w:rFonts w:ascii="Times New Roman" w:hAnsi="Times New Roman" w:cs="Times New Roman"/>
          <w:szCs w:val="28"/>
        </w:rPr>
        <w:t>].</w:t>
      </w:r>
    </w:p>
    <w:p w14:paraId="4B91FC28"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5.3 Case Studies</w:t>
      </w:r>
    </w:p>
    <w:p w14:paraId="3A8373CE"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 xml:space="preserve">MTX-Loaded </w:t>
      </w:r>
      <w:proofErr w:type="spellStart"/>
      <w:r w:rsidRPr="00A96C26">
        <w:rPr>
          <w:rFonts w:ascii="Times New Roman" w:hAnsi="Times New Roman" w:cs="Times New Roman"/>
          <w:b/>
          <w:bCs/>
          <w:szCs w:val="28"/>
        </w:rPr>
        <w:t>Transethosomes</w:t>
      </w:r>
      <w:proofErr w:type="spellEnd"/>
    </w:p>
    <w:p w14:paraId="5FFE878A" w14:textId="44FB627C"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Preclinical studies demonstrate that MTX-loaded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w:t>
      </w:r>
      <w:proofErr w:type="spellStart"/>
      <w:r w:rsidRPr="00A96C26">
        <w:rPr>
          <w:rFonts w:ascii="Times New Roman" w:hAnsi="Times New Roman" w:cs="Times New Roman"/>
          <w:szCs w:val="28"/>
        </w:rPr>
        <w:t>lipid:MTX</w:t>
      </w:r>
      <w:proofErr w:type="spellEnd"/>
      <w:r w:rsidRPr="00A96C26">
        <w:rPr>
          <w:rFonts w:ascii="Times New Roman" w:hAnsi="Times New Roman" w:cs="Times New Roman"/>
          <w:szCs w:val="28"/>
        </w:rPr>
        <w:t xml:space="preserve"> ratio 10:1, </w:t>
      </w:r>
      <w:proofErr w:type="spellStart"/>
      <w:r w:rsidRPr="00A96C26">
        <w:rPr>
          <w:rFonts w:ascii="Times New Roman" w:hAnsi="Times New Roman" w:cs="Times New Roman"/>
          <w:szCs w:val="28"/>
        </w:rPr>
        <w:t>ethanol:PC</w:t>
      </w:r>
      <w:proofErr w:type="spellEnd"/>
      <w:r w:rsidRPr="00A96C26">
        <w:rPr>
          <w:rFonts w:ascii="Times New Roman" w:hAnsi="Times New Roman" w:cs="Times New Roman"/>
          <w:szCs w:val="28"/>
        </w:rPr>
        <w:t xml:space="preserve"> ratio 15:100, size 120 nm, PDI 0.25, EE 78%) achieve synovial accumulation 8-fold higher than free MTX at equivalent doses in collagen-induced arthritis (CIA) models [</w:t>
      </w:r>
      <w:r w:rsidR="00E544A9" w:rsidRPr="00A96C26">
        <w:rPr>
          <w:rFonts w:ascii="Times New Roman" w:hAnsi="Times New Roman" w:cs="Times New Roman"/>
          <w:szCs w:val="28"/>
        </w:rPr>
        <w:t>41</w:t>
      </w:r>
      <w:r w:rsidRPr="00A96C26">
        <w:rPr>
          <w:rFonts w:ascii="Times New Roman" w:hAnsi="Times New Roman" w:cs="Times New Roman"/>
          <w:szCs w:val="28"/>
        </w:rPr>
        <w:t>]. Disease suppression (paw thickness reduction of 65-75%) exceeds free MTX at 50% lower systemic doses, with minimal hepatotoxicity [</w:t>
      </w:r>
      <w:r w:rsidR="00E544A9" w:rsidRPr="00A96C26">
        <w:rPr>
          <w:rFonts w:ascii="Times New Roman" w:hAnsi="Times New Roman" w:cs="Times New Roman"/>
          <w:szCs w:val="28"/>
        </w:rPr>
        <w:t>43</w:t>
      </w:r>
      <w:r w:rsidRPr="00A96C26">
        <w:rPr>
          <w:rFonts w:ascii="Times New Roman" w:hAnsi="Times New Roman" w:cs="Times New Roman"/>
          <w:szCs w:val="28"/>
        </w:rPr>
        <w:t>].</w:t>
      </w:r>
    </w:p>
    <w:p w14:paraId="42A2B3F1"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 xml:space="preserve">Herbal Extract </w:t>
      </w:r>
      <w:proofErr w:type="spellStart"/>
      <w:r w:rsidRPr="00A96C26">
        <w:rPr>
          <w:rFonts w:ascii="Times New Roman" w:hAnsi="Times New Roman" w:cs="Times New Roman"/>
          <w:b/>
          <w:bCs/>
          <w:szCs w:val="28"/>
        </w:rPr>
        <w:t>Transethosomes</w:t>
      </w:r>
      <w:proofErr w:type="spellEnd"/>
    </w:p>
    <w:p w14:paraId="76DDF339" w14:textId="7E8E69E0"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Curcumin-loaded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w:t>
      </w:r>
      <w:proofErr w:type="spellStart"/>
      <w:proofErr w:type="gramStart"/>
      <w:r w:rsidRPr="00A96C26">
        <w:rPr>
          <w:rFonts w:ascii="Times New Roman" w:hAnsi="Times New Roman" w:cs="Times New Roman"/>
          <w:szCs w:val="28"/>
        </w:rPr>
        <w:t>curcumin:phospholipid</w:t>
      </w:r>
      <w:proofErr w:type="spellEnd"/>
      <w:proofErr w:type="gramEnd"/>
      <w:r w:rsidRPr="00A96C26">
        <w:rPr>
          <w:rFonts w:ascii="Times New Roman" w:hAnsi="Times New Roman" w:cs="Times New Roman"/>
          <w:szCs w:val="28"/>
        </w:rPr>
        <w:t xml:space="preserve"> 1:20, menthol edge activator, size 115 nm, EE 82%) suppress TNF-α production by synovial macrophages in vitro by 60-70% at concentrations producing minimal effects with free curcumin [</w:t>
      </w:r>
      <w:r w:rsidR="00E544A9" w:rsidRPr="00A96C26">
        <w:rPr>
          <w:rFonts w:ascii="Times New Roman" w:hAnsi="Times New Roman" w:cs="Times New Roman"/>
          <w:szCs w:val="28"/>
        </w:rPr>
        <w:t>42</w:t>
      </w:r>
      <w:r w:rsidRPr="00A96C26">
        <w:rPr>
          <w:rFonts w:ascii="Times New Roman" w:hAnsi="Times New Roman" w:cs="Times New Roman"/>
          <w:szCs w:val="28"/>
        </w:rPr>
        <w:t>]. In vivo studies in adjuvant-induced arthritis demonstrate efficacy comparable to methotrexate [</w:t>
      </w:r>
      <w:r w:rsidR="00E544A9" w:rsidRPr="00A96C26">
        <w:rPr>
          <w:rFonts w:ascii="Times New Roman" w:hAnsi="Times New Roman" w:cs="Times New Roman"/>
          <w:szCs w:val="28"/>
        </w:rPr>
        <w:t>43</w:t>
      </w:r>
      <w:r w:rsidRPr="00A96C26">
        <w:rPr>
          <w:rFonts w:ascii="Times New Roman" w:hAnsi="Times New Roman" w:cs="Times New Roman"/>
          <w:szCs w:val="28"/>
        </w:rPr>
        <w:t>].</w:t>
      </w:r>
    </w:p>
    <w:p w14:paraId="3BC8C745"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lastRenderedPageBreak/>
        <w:t>Combination Therapy Approaches</w:t>
      </w:r>
    </w:p>
    <w:p w14:paraId="20917BC2" w14:textId="27A92419"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MTX-loaded + dexamethasone-loaded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(dual-loaded formulations) achieve synergistic disease suppression in CIA models, with significantly lower cumulative toxicity than combination free drugs [</w:t>
      </w:r>
      <w:r w:rsidR="00E544A9" w:rsidRPr="00A96C26">
        <w:rPr>
          <w:rFonts w:ascii="Times New Roman" w:hAnsi="Times New Roman" w:cs="Times New Roman"/>
          <w:szCs w:val="28"/>
        </w:rPr>
        <w:t>43</w:t>
      </w:r>
      <w:r w:rsidRPr="00A96C26">
        <w:rPr>
          <w:rFonts w:ascii="Times New Roman" w:hAnsi="Times New Roman" w:cs="Times New Roman"/>
          <w:szCs w:val="28"/>
        </w:rPr>
        <w:t>].</w:t>
      </w:r>
    </w:p>
    <w:p w14:paraId="609BAF2A"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 xml:space="preserve">Table 4: </w:t>
      </w:r>
      <w:proofErr w:type="spellStart"/>
      <w:r w:rsidRPr="00A96C26">
        <w:rPr>
          <w:rFonts w:ascii="Times New Roman" w:hAnsi="Times New Roman" w:cs="Times New Roman"/>
          <w:b/>
          <w:bCs/>
          <w:szCs w:val="28"/>
        </w:rPr>
        <w:t>Transethosomal</w:t>
      </w:r>
      <w:proofErr w:type="spellEnd"/>
      <w:r w:rsidRPr="00A96C26">
        <w:rPr>
          <w:rFonts w:ascii="Times New Roman" w:hAnsi="Times New Roman" w:cs="Times New Roman"/>
          <w:b/>
          <w:bCs/>
          <w:szCs w:val="28"/>
        </w:rPr>
        <w:t xml:space="preserve"> Drug Candidates and Formulation Parameters</w:t>
      </w:r>
    </w:p>
    <w:tbl>
      <w:tblPr>
        <w:tblStyle w:val="TableGrid"/>
        <w:tblW w:w="0" w:type="auto"/>
        <w:tblLook w:val="04A0" w:firstRow="1" w:lastRow="0" w:firstColumn="1" w:lastColumn="0" w:noHBand="0" w:noVBand="1"/>
      </w:tblPr>
      <w:tblGrid>
        <w:gridCol w:w="1710"/>
        <w:gridCol w:w="1290"/>
        <w:gridCol w:w="1853"/>
        <w:gridCol w:w="1546"/>
        <w:gridCol w:w="1426"/>
        <w:gridCol w:w="1525"/>
      </w:tblGrid>
      <w:tr w:rsidR="00DC1CDC" w:rsidRPr="00A96C26" w14:paraId="57D9C42A" w14:textId="77777777" w:rsidTr="00DC1CDC">
        <w:tc>
          <w:tcPr>
            <w:tcW w:w="0" w:type="auto"/>
            <w:noWrap/>
            <w:hideMark/>
          </w:tcPr>
          <w:p w14:paraId="4F9BC0A3" w14:textId="77777777" w:rsidR="00DC1CDC" w:rsidRPr="00A96C26" w:rsidRDefault="00DC1CDC" w:rsidP="00DC1CDC">
            <w:pPr>
              <w:spacing w:after="160" w:line="278" w:lineRule="auto"/>
              <w:jc w:val="both"/>
              <w:rPr>
                <w:rFonts w:ascii="Times New Roman" w:hAnsi="Times New Roman" w:cs="Times New Roman"/>
                <w:b/>
                <w:bCs/>
                <w:szCs w:val="28"/>
              </w:rPr>
            </w:pPr>
            <w:r w:rsidRPr="00A96C26">
              <w:rPr>
                <w:rFonts w:ascii="Times New Roman" w:hAnsi="Times New Roman" w:cs="Times New Roman"/>
                <w:b/>
                <w:bCs/>
                <w:szCs w:val="28"/>
              </w:rPr>
              <w:t>Drug</w:t>
            </w:r>
          </w:p>
        </w:tc>
        <w:tc>
          <w:tcPr>
            <w:tcW w:w="0" w:type="auto"/>
            <w:noWrap/>
            <w:hideMark/>
          </w:tcPr>
          <w:p w14:paraId="253A1A03" w14:textId="77777777" w:rsidR="00DC1CDC" w:rsidRPr="00A96C26" w:rsidRDefault="00DC1CDC" w:rsidP="00DC1CDC">
            <w:pPr>
              <w:spacing w:after="160" w:line="278" w:lineRule="auto"/>
              <w:jc w:val="both"/>
              <w:rPr>
                <w:rFonts w:ascii="Times New Roman" w:hAnsi="Times New Roman" w:cs="Times New Roman"/>
                <w:b/>
                <w:bCs/>
                <w:szCs w:val="28"/>
              </w:rPr>
            </w:pPr>
            <w:r w:rsidRPr="00A96C26">
              <w:rPr>
                <w:rFonts w:ascii="Times New Roman" w:hAnsi="Times New Roman" w:cs="Times New Roman"/>
                <w:b/>
                <w:bCs/>
                <w:szCs w:val="28"/>
              </w:rPr>
              <w:t>Solubility</w:t>
            </w:r>
          </w:p>
        </w:tc>
        <w:tc>
          <w:tcPr>
            <w:tcW w:w="0" w:type="auto"/>
            <w:noWrap/>
            <w:hideMark/>
          </w:tcPr>
          <w:p w14:paraId="4104B50A" w14:textId="77777777" w:rsidR="00DC1CDC" w:rsidRPr="00A96C26" w:rsidRDefault="00DC1CDC" w:rsidP="00DC1CDC">
            <w:pPr>
              <w:spacing w:after="160" w:line="278" w:lineRule="auto"/>
              <w:jc w:val="both"/>
              <w:rPr>
                <w:rFonts w:ascii="Times New Roman" w:hAnsi="Times New Roman" w:cs="Times New Roman"/>
                <w:b/>
                <w:bCs/>
                <w:szCs w:val="28"/>
              </w:rPr>
            </w:pPr>
            <w:r w:rsidRPr="00A96C26">
              <w:rPr>
                <w:rFonts w:ascii="Times New Roman" w:hAnsi="Times New Roman" w:cs="Times New Roman"/>
                <w:b/>
                <w:bCs/>
                <w:szCs w:val="28"/>
              </w:rPr>
              <w:t>Optimal Loading</w:t>
            </w:r>
          </w:p>
        </w:tc>
        <w:tc>
          <w:tcPr>
            <w:tcW w:w="0" w:type="auto"/>
            <w:noWrap/>
            <w:hideMark/>
          </w:tcPr>
          <w:p w14:paraId="6CA21334" w14:textId="77777777" w:rsidR="00DC1CDC" w:rsidRPr="00A96C26" w:rsidRDefault="00DC1CDC" w:rsidP="00DC1CDC">
            <w:pPr>
              <w:spacing w:after="160" w:line="278" w:lineRule="auto"/>
              <w:jc w:val="both"/>
              <w:rPr>
                <w:rFonts w:ascii="Times New Roman" w:hAnsi="Times New Roman" w:cs="Times New Roman"/>
                <w:b/>
                <w:bCs/>
                <w:szCs w:val="28"/>
              </w:rPr>
            </w:pPr>
            <w:r w:rsidRPr="00A96C26">
              <w:rPr>
                <w:rFonts w:ascii="Times New Roman" w:hAnsi="Times New Roman" w:cs="Times New Roman"/>
                <w:b/>
                <w:bCs/>
                <w:szCs w:val="28"/>
              </w:rPr>
              <w:t>Typical EE %</w:t>
            </w:r>
          </w:p>
        </w:tc>
        <w:tc>
          <w:tcPr>
            <w:tcW w:w="0" w:type="auto"/>
            <w:noWrap/>
            <w:hideMark/>
          </w:tcPr>
          <w:p w14:paraId="20C7922D" w14:textId="77777777" w:rsidR="00DC1CDC" w:rsidRPr="00A96C26" w:rsidRDefault="00DC1CDC" w:rsidP="00DC1CDC">
            <w:pPr>
              <w:spacing w:after="160" w:line="278" w:lineRule="auto"/>
              <w:jc w:val="both"/>
              <w:rPr>
                <w:rFonts w:ascii="Times New Roman" w:hAnsi="Times New Roman" w:cs="Times New Roman"/>
                <w:b/>
                <w:bCs/>
                <w:szCs w:val="28"/>
              </w:rPr>
            </w:pPr>
            <w:r w:rsidRPr="00A96C26">
              <w:rPr>
                <w:rFonts w:ascii="Times New Roman" w:hAnsi="Times New Roman" w:cs="Times New Roman"/>
                <w:b/>
                <w:bCs/>
                <w:szCs w:val="28"/>
              </w:rPr>
              <w:t>Advantage</w:t>
            </w:r>
          </w:p>
        </w:tc>
        <w:tc>
          <w:tcPr>
            <w:tcW w:w="0" w:type="auto"/>
            <w:noWrap/>
            <w:hideMark/>
          </w:tcPr>
          <w:p w14:paraId="233F8B8F" w14:textId="77777777" w:rsidR="00DC1CDC" w:rsidRPr="00A96C26" w:rsidRDefault="00DC1CDC" w:rsidP="00DC1CDC">
            <w:pPr>
              <w:spacing w:after="160" w:line="278" w:lineRule="auto"/>
              <w:jc w:val="both"/>
              <w:rPr>
                <w:rFonts w:ascii="Times New Roman" w:hAnsi="Times New Roman" w:cs="Times New Roman"/>
                <w:b/>
                <w:bCs/>
                <w:szCs w:val="28"/>
              </w:rPr>
            </w:pPr>
            <w:r w:rsidRPr="00A96C26">
              <w:rPr>
                <w:rFonts w:ascii="Times New Roman" w:hAnsi="Times New Roman" w:cs="Times New Roman"/>
                <w:b/>
                <w:bCs/>
                <w:szCs w:val="28"/>
              </w:rPr>
              <w:t>Challenge</w:t>
            </w:r>
          </w:p>
        </w:tc>
      </w:tr>
      <w:tr w:rsidR="00DC1CDC" w:rsidRPr="00A96C26" w14:paraId="3F012DAB" w14:textId="77777777" w:rsidTr="00DC1CDC">
        <w:tc>
          <w:tcPr>
            <w:tcW w:w="0" w:type="auto"/>
            <w:hideMark/>
          </w:tcPr>
          <w:p w14:paraId="58476994"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MTX</w:t>
            </w:r>
          </w:p>
        </w:tc>
        <w:tc>
          <w:tcPr>
            <w:tcW w:w="0" w:type="auto"/>
            <w:hideMark/>
          </w:tcPr>
          <w:p w14:paraId="46AA494D"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Hydrophilic</w:t>
            </w:r>
          </w:p>
        </w:tc>
        <w:tc>
          <w:tcPr>
            <w:tcW w:w="0" w:type="auto"/>
            <w:hideMark/>
          </w:tcPr>
          <w:p w14:paraId="0DCAF674"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Remote loading/pH gradient</w:t>
            </w:r>
          </w:p>
        </w:tc>
        <w:tc>
          <w:tcPr>
            <w:tcW w:w="0" w:type="auto"/>
            <w:hideMark/>
          </w:tcPr>
          <w:p w14:paraId="3E5D6DB3"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70-85%</w:t>
            </w:r>
          </w:p>
        </w:tc>
        <w:tc>
          <w:tcPr>
            <w:tcW w:w="0" w:type="auto"/>
            <w:hideMark/>
          </w:tcPr>
          <w:p w14:paraId="2146304A"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Backbone DMARD; reduced toxicity</w:t>
            </w:r>
          </w:p>
        </w:tc>
        <w:tc>
          <w:tcPr>
            <w:tcW w:w="0" w:type="auto"/>
            <w:hideMark/>
          </w:tcPr>
          <w:p w14:paraId="1CB74C92"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Hydrophilicity complicates loading</w:t>
            </w:r>
          </w:p>
        </w:tc>
      </w:tr>
      <w:tr w:rsidR="00DC1CDC" w:rsidRPr="00A96C26" w14:paraId="24AE3928" w14:textId="77777777" w:rsidTr="00DC1CDC">
        <w:tc>
          <w:tcPr>
            <w:tcW w:w="0" w:type="auto"/>
            <w:hideMark/>
          </w:tcPr>
          <w:p w14:paraId="2B41CE8A"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Indomethacin</w:t>
            </w:r>
          </w:p>
        </w:tc>
        <w:tc>
          <w:tcPr>
            <w:tcW w:w="0" w:type="auto"/>
            <w:hideMark/>
          </w:tcPr>
          <w:p w14:paraId="169D60AC"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Lipophilic</w:t>
            </w:r>
          </w:p>
        </w:tc>
        <w:tc>
          <w:tcPr>
            <w:tcW w:w="0" w:type="auto"/>
            <w:hideMark/>
          </w:tcPr>
          <w:p w14:paraId="2E926679"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Passive loading</w:t>
            </w:r>
          </w:p>
        </w:tc>
        <w:tc>
          <w:tcPr>
            <w:tcW w:w="0" w:type="auto"/>
            <w:hideMark/>
          </w:tcPr>
          <w:p w14:paraId="41720E71"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85-95%</w:t>
            </w:r>
          </w:p>
        </w:tc>
        <w:tc>
          <w:tcPr>
            <w:tcW w:w="0" w:type="auto"/>
            <w:hideMark/>
          </w:tcPr>
          <w:p w14:paraId="4FA0E0C3"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High EE; GI sparing</w:t>
            </w:r>
          </w:p>
        </w:tc>
        <w:tc>
          <w:tcPr>
            <w:tcW w:w="0" w:type="auto"/>
            <w:hideMark/>
          </w:tcPr>
          <w:p w14:paraId="69DB7F44"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 xml:space="preserve">Systemic toxicity still </w:t>
            </w:r>
            <w:proofErr w:type="gramStart"/>
            <w:r w:rsidRPr="00A96C26">
              <w:rPr>
                <w:rFonts w:ascii="Times New Roman" w:hAnsi="Times New Roman" w:cs="Times New Roman"/>
                <w:szCs w:val="28"/>
              </w:rPr>
              <w:t>concern</w:t>
            </w:r>
            <w:proofErr w:type="gramEnd"/>
          </w:p>
        </w:tc>
      </w:tr>
      <w:tr w:rsidR="00DC1CDC" w:rsidRPr="00A96C26" w14:paraId="174581E4" w14:textId="77777777" w:rsidTr="00DC1CDC">
        <w:tc>
          <w:tcPr>
            <w:tcW w:w="0" w:type="auto"/>
            <w:hideMark/>
          </w:tcPr>
          <w:p w14:paraId="4AD38B1F"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Dexamethasone</w:t>
            </w:r>
          </w:p>
        </w:tc>
        <w:tc>
          <w:tcPr>
            <w:tcW w:w="0" w:type="auto"/>
            <w:hideMark/>
          </w:tcPr>
          <w:p w14:paraId="308D0B11"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Moderately lipophilic</w:t>
            </w:r>
          </w:p>
        </w:tc>
        <w:tc>
          <w:tcPr>
            <w:tcW w:w="0" w:type="auto"/>
            <w:hideMark/>
          </w:tcPr>
          <w:p w14:paraId="2DEE46BF"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Passive loading</w:t>
            </w:r>
          </w:p>
        </w:tc>
        <w:tc>
          <w:tcPr>
            <w:tcW w:w="0" w:type="auto"/>
            <w:hideMark/>
          </w:tcPr>
          <w:p w14:paraId="291CD060"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75-88%</w:t>
            </w:r>
          </w:p>
        </w:tc>
        <w:tc>
          <w:tcPr>
            <w:tcW w:w="0" w:type="auto"/>
            <w:hideMark/>
          </w:tcPr>
          <w:p w14:paraId="5172B530"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Potent anti-inflammatory</w:t>
            </w:r>
          </w:p>
        </w:tc>
        <w:tc>
          <w:tcPr>
            <w:tcW w:w="0" w:type="auto"/>
            <w:hideMark/>
          </w:tcPr>
          <w:p w14:paraId="389DC2C3"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Systemic side effects at high dose</w:t>
            </w:r>
          </w:p>
        </w:tc>
      </w:tr>
      <w:tr w:rsidR="00DC1CDC" w:rsidRPr="00A96C26" w14:paraId="353D24C1" w14:textId="77777777" w:rsidTr="00DC1CDC">
        <w:tc>
          <w:tcPr>
            <w:tcW w:w="0" w:type="auto"/>
            <w:hideMark/>
          </w:tcPr>
          <w:p w14:paraId="6094D381"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Curcumin</w:t>
            </w:r>
          </w:p>
        </w:tc>
        <w:tc>
          <w:tcPr>
            <w:tcW w:w="0" w:type="auto"/>
            <w:hideMark/>
          </w:tcPr>
          <w:p w14:paraId="4882E73C"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Poorly soluble</w:t>
            </w:r>
          </w:p>
        </w:tc>
        <w:tc>
          <w:tcPr>
            <w:tcW w:w="0" w:type="auto"/>
            <w:hideMark/>
          </w:tcPr>
          <w:p w14:paraId="60EDCDCC"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Passive loading</w:t>
            </w:r>
          </w:p>
        </w:tc>
        <w:tc>
          <w:tcPr>
            <w:tcW w:w="0" w:type="auto"/>
            <w:hideMark/>
          </w:tcPr>
          <w:p w14:paraId="1DFD059F"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80-90%</w:t>
            </w:r>
          </w:p>
        </w:tc>
        <w:tc>
          <w:tcPr>
            <w:tcW w:w="0" w:type="auto"/>
            <w:hideMark/>
          </w:tcPr>
          <w:p w14:paraId="0ECD5791"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Natural; synergistic with MTX</w:t>
            </w:r>
          </w:p>
        </w:tc>
        <w:tc>
          <w:tcPr>
            <w:tcW w:w="0" w:type="auto"/>
            <w:hideMark/>
          </w:tcPr>
          <w:p w14:paraId="76A50EFE"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Limited clinical data</w:t>
            </w:r>
          </w:p>
        </w:tc>
      </w:tr>
      <w:tr w:rsidR="00DC1CDC" w:rsidRPr="00A96C26" w14:paraId="22B7C263" w14:textId="77777777" w:rsidTr="00DC1CDC">
        <w:tc>
          <w:tcPr>
            <w:tcW w:w="0" w:type="auto"/>
            <w:hideMark/>
          </w:tcPr>
          <w:p w14:paraId="05B7CAF8"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b/>
                <w:bCs/>
                <w:szCs w:val="28"/>
              </w:rPr>
              <w:t>TNF-α inhibitors</w:t>
            </w:r>
          </w:p>
        </w:tc>
        <w:tc>
          <w:tcPr>
            <w:tcW w:w="0" w:type="auto"/>
            <w:hideMark/>
          </w:tcPr>
          <w:p w14:paraId="76F2512D"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Protein; large MW</w:t>
            </w:r>
          </w:p>
        </w:tc>
        <w:tc>
          <w:tcPr>
            <w:tcW w:w="0" w:type="auto"/>
            <w:hideMark/>
          </w:tcPr>
          <w:p w14:paraId="49211752"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Surface functionalization</w:t>
            </w:r>
          </w:p>
        </w:tc>
        <w:tc>
          <w:tcPr>
            <w:tcW w:w="0" w:type="auto"/>
            <w:hideMark/>
          </w:tcPr>
          <w:p w14:paraId="158874E4"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Variable</w:t>
            </w:r>
          </w:p>
        </w:tc>
        <w:tc>
          <w:tcPr>
            <w:tcW w:w="0" w:type="auto"/>
            <w:hideMark/>
          </w:tcPr>
          <w:p w14:paraId="2EF908F9"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Target key cytokine</w:t>
            </w:r>
          </w:p>
        </w:tc>
        <w:tc>
          <w:tcPr>
            <w:tcW w:w="0" w:type="auto"/>
            <w:hideMark/>
          </w:tcPr>
          <w:p w14:paraId="22DA1080" w14:textId="77777777" w:rsidR="00DC1CDC" w:rsidRPr="00A96C26" w:rsidRDefault="00DC1CDC" w:rsidP="00DC1CDC">
            <w:pPr>
              <w:spacing w:after="160" w:line="278" w:lineRule="auto"/>
              <w:jc w:val="both"/>
              <w:rPr>
                <w:rFonts w:ascii="Times New Roman" w:hAnsi="Times New Roman" w:cs="Times New Roman"/>
                <w:szCs w:val="28"/>
              </w:rPr>
            </w:pPr>
            <w:r w:rsidRPr="00A96C26">
              <w:rPr>
                <w:rFonts w:ascii="Times New Roman" w:hAnsi="Times New Roman" w:cs="Times New Roman"/>
                <w:szCs w:val="28"/>
              </w:rPr>
              <w:t>Technical encapsulation difficulty</w:t>
            </w:r>
          </w:p>
        </w:tc>
      </w:tr>
    </w:tbl>
    <w:p w14:paraId="02879D84" w14:textId="77777777" w:rsidR="00DC1CDC" w:rsidRPr="00A96C26" w:rsidRDefault="00DC1CDC" w:rsidP="00315EE3">
      <w:pPr>
        <w:jc w:val="both"/>
        <w:rPr>
          <w:rFonts w:ascii="Times New Roman" w:hAnsi="Times New Roman" w:cs="Times New Roman"/>
          <w:szCs w:val="28"/>
        </w:rPr>
      </w:pPr>
    </w:p>
    <w:p w14:paraId="24BEE3B3"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6. Preclinical Evidence &amp; Research Findings</w:t>
      </w:r>
    </w:p>
    <w:p w14:paraId="4A32127C"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6.1 In Vitro Studies</w:t>
      </w:r>
    </w:p>
    <w:p w14:paraId="7DFBEB52"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Permeation Studies (Franz Diffusion Cells)</w:t>
      </w:r>
    </w:p>
    <w:p w14:paraId="447FA58B" w14:textId="59113D0A"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Franz diffusion cell studies represent the gold-standard in vitro methodology for quantifying drug permeation across biological barriers and comparing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formulations to conventional alternatives. The Franz cell apparatus consists of donor and receptor compartments separated by a biological membrane (typically human or animal skin, or synovial tissue membrane preparations), maintained at 37°C with continuous magnetic stirring to simulate physiological </w:t>
      </w:r>
      <w:proofErr w:type="gramStart"/>
      <w:r w:rsidRPr="00A96C26">
        <w:rPr>
          <w:rFonts w:ascii="Times New Roman" w:hAnsi="Times New Roman" w:cs="Times New Roman"/>
          <w:szCs w:val="28"/>
        </w:rPr>
        <w:t>conditions .</w:t>
      </w:r>
      <w:proofErr w:type="gramEnd"/>
      <w:r w:rsidRPr="00A96C26">
        <w:rPr>
          <w:rFonts w:ascii="Times New Roman" w:hAnsi="Times New Roman" w:cs="Times New Roman"/>
          <w:szCs w:val="28"/>
        </w:rPr>
        <w:t xml:space="preserve"> Drug formulations are applied to the donor compartment, and samples are periodically withdrawn from </w:t>
      </w:r>
      <w:r w:rsidRPr="00A96C26">
        <w:rPr>
          <w:rFonts w:ascii="Times New Roman" w:hAnsi="Times New Roman" w:cs="Times New Roman"/>
          <w:szCs w:val="28"/>
        </w:rPr>
        <w:lastRenderedPageBreak/>
        <w:t>the receptor compartment and analyzed via HPLC to quantify cumulative drug permeation over time [</w:t>
      </w:r>
      <w:r w:rsidR="00676188" w:rsidRPr="00A96C26">
        <w:rPr>
          <w:rFonts w:ascii="Times New Roman" w:hAnsi="Times New Roman" w:cs="Times New Roman"/>
          <w:szCs w:val="28"/>
        </w:rPr>
        <w:t>44</w:t>
      </w:r>
      <w:r w:rsidRPr="00A96C26">
        <w:rPr>
          <w:rFonts w:ascii="Times New Roman" w:hAnsi="Times New Roman" w:cs="Times New Roman"/>
          <w:szCs w:val="28"/>
        </w:rPr>
        <w:t xml:space="preserve">]. Permeation studies comparing methotrexate-loaded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to free MTX and MTX-loaded conventional liposomes demonstrate remarkable quantitative differences: MTX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achieve cumulative permeation of 65-75% across skin over 24 hours, compared to only 15-20% for free MTX and 30-40% for conventional liposomes [</w:t>
      </w:r>
      <w:r w:rsidR="00676188" w:rsidRPr="00A96C26">
        <w:rPr>
          <w:rFonts w:ascii="Times New Roman" w:hAnsi="Times New Roman" w:cs="Times New Roman"/>
          <w:szCs w:val="28"/>
        </w:rPr>
        <w:t>45,46</w:t>
      </w:r>
      <w:r w:rsidRPr="00A96C26">
        <w:rPr>
          <w:rFonts w:ascii="Times New Roman" w:hAnsi="Times New Roman" w:cs="Times New Roman"/>
          <w:szCs w:val="28"/>
        </w:rPr>
        <w:t xml:space="preserve">]. </w:t>
      </w:r>
    </w:p>
    <w:p w14:paraId="6FFEAFF7"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Cellular Uptake &amp; Cytotoxicity</w:t>
      </w:r>
    </w:p>
    <w:p w14:paraId="18B19B35" w14:textId="313163D8"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Quantitative cellular uptake studies employing fluorescently labeled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and flow cytometry or confocal microscopy consistently demonstrate superior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internalization compared to conventional liposomes across multiple cell types relevant to RA pathogenesis. In primary human synovial fibroblasts, incubation with </w:t>
      </w:r>
      <w:proofErr w:type="spellStart"/>
      <w:r w:rsidRPr="00A96C26">
        <w:rPr>
          <w:rFonts w:ascii="Times New Roman" w:hAnsi="Times New Roman" w:cs="Times New Roman"/>
          <w:szCs w:val="28"/>
        </w:rPr>
        <w:t>DiI</w:t>
      </w:r>
      <w:proofErr w:type="spellEnd"/>
      <w:r w:rsidRPr="00A96C26">
        <w:rPr>
          <w:rFonts w:ascii="Times New Roman" w:hAnsi="Times New Roman" w:cs="Times New Roman"/>
          <w:szCs w:val="28"/>
        </w:rPr>
        <w:t xml:space="preserve">-labeled (lipophilic dye)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at 10 </w:t>
      </w:r>
      <w:proofErr w:type="spellStart"/>
      <w:r w:rsidRPr="00A96C26">
        <w:rPr>
          <w:rFonts w:ascii="Times New Roman" w:hAnsi="Times New Roman" w:cs="Times New Roman"/>
          <w:szCs w:val="28"/>
        </w:rPr>
        <w:t>μg</w:t>
      </w:r>
      <w:proofErr w:type="spellEnd"/>
      <w:r w:rsidRPr="00A96C26">
        <w:rPr>
          <w:rFonts w:ascii="Times New Roman" w:hAnsi="Times New Roman" w:cs="Times New Roman"/>
          <w:szCs w:val="28"/>
        </w:rPr>
        <w:t xml:space="preserve">/mL lipid concentration for 2 hours results in mean fluorescence intensity (MFI) measurements of 850-1050 arbitrary units, compared to 250-350 units for equivalent conventional liposomes and 80-120 units for free dye. Quantitative assessment indicates that synovial fibroblasts internalize </w:t>
      </w:r>
      <w:proofErr w:type="gramStart"/>
      <w:r w:rsidRPr="00A96C26">
        <w:rPr>
          <w:rFonts w:ascii="Times New Roman" w:hAnsi="Times New Roman" w:cs="Times New Roman"/>
          <w:szCs w:val="28"/>
        </w:rPr>
        <w:t>3-4 fold</w:t>
      </w:r>
      <w:proofErr w:type="gramEnd"/>
      <w:r w:rsidRPr="00A96C26">
        <w:rPr>
          <w:rFonts w:ascii="Times New Roman" w:hAnsi="Times New Roman" w:cs="Times New Roman"/>
          <w:szCs w:val="28"/>
        </w:rPr>
        <w:t xml:space="preserve"> higher amounts of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lipid compared to conventional liposomes [</w:t>
      </w:r>
      <w:r w:rsidR="00676188" w:rsidRPr="00A96C26">
        <w:rPr>
          <w:rFonts w:ascii="Times New Roman" w:hAnsi="Times New Roman" w:cs="Times New Roman"/>
          <w:szCs w:val="28"/>
        </w:rPr>
        <w:t>46,47</w:t>
      </w:r>
      <w:r w:rsidRPr="00A96C26">
        <w:rPr>
          <w:rFonts w:ascii="Times New Roman" w:hAnsi="Times New Roman" w:cs="Times New Roman"/>
          <w:szCs w:val="28"/>
        </w:rPr>
        <w:t>].</w:t>
      </w:r>
    </w:p>
    <w:p w14:paraId="709BF91F"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Inflammatory Marker Reduction</w:t>
      </w:r>
    </w:p>
    <w:p w14:paraId="2FACA902" w14:textId="46CA0E68" w:rsidR="00676188"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The primary objective of RA therapeutics is suppression of synovial inflammation, assessed through quantification of pro-inflammatory cytokines, chemokines, and inflammatory mediators in culture supernatants of activated synovial cells. In vitro stimulation of synovial fibroblasts and macrophages with TNF-α (10 ng/mL) and/or lipopolysaccharide (LPS, 100 ng/mL) induces robust production of IL-6, TNF-α, IL-8, GM-CSF, and other inflammatory mediators that can be suppressed by therapeutic compounds. Treatment of TNF-α/LPS-stimulated synovial fibroblasts with methotrexate-loaded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at </w:t>
      </w:r>
      <w:r w:rsidR="00A666A6" w:rsidRPr="00A96C26">
        <w:rPr>
          <w:rFonts w:ascii="Times New Roman" w:hAnsi="Times New Roman" w:cs="Times New Roman"/>
          <w:szCs w:val="28"/>
        </w:rPr>
        <w:t xml:space="preserve">a 1 </w:t>
      </w:r>
      <w:proofErr w:type="spellStart"/>
      <w:r w:rsidR="00A666A6" w:rsidRPr="00A96C26">
        <w:rPr>
          <w:rFonts w:ascii="Times New Roman" w:hAnsi="Times New Roman" w:cs="Times New Roman"/>
          <w:szCs w:val="28"/>
        </w:rPr>
        <w:t>μM</w:t>
      </w:r>
      <w:proofErr w:type="spellEnd"/>
      <w:r w:rsidR="00A666A6" w:rsidRPr="00A96C26">
        <w:rPr>
          <w:rFonts w:ascii="Times New Roman" w:hAnsi="Times New Roman" w:cs="Times New Roman"/>
          <w:szCs w:val="28"/>
        </w:rPr>
        <w:t xml:space="preserve"> MTX-equivalent</w:t>
      </w:r>
      <w:r w:rsidRPr="00A96C26">
        <w:rPr>
          <w:rFonts w:ascii="Times New Roman" w:hAnsi="Times New Roman" w:cs="Times New Roman"/>
          <w:szCs w:val="28"/>
        </w:rPr>
        <w:t xml:space="preserve"> concentration produces 60-70% suppression of IL-6 production (measured by ELISA in culture supernatants) compared to baseline inflammatory levels [</w:t>
      </w:r>
      <w:r w:rsidR="00676188" w:rsidRPr="00A96C26">
        <w:rPr>
          <w:rFonts w:ascii="Times New Roman" w:hAnsi="Times New Roman" w:cs="Times New Roman"/>
          <w:szCs w:val="28"/>
        </w:rPr>
        <w:t>47,48</w:t>
      </w:r>
      <w:r w:rsidRPr="00A96C26">
        <w:rPr>
          <w:rFonts w:ascii="Times New Roman" w:hAnsi="Times New Roman" w:cs="Times New Roman"/>
          <w:szCs w:val="28"/>
        </w:rPr>
        <w:t xml:space="preserve">]. </w:t>
      </w:r>
    </w:p>
    <w:p w14:paraId="74406497" w14:textId="2240EC0E"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6.2 Ex Vivo Models</w:t>
      </w:r>
    </w:p>
    <w:p w14:paraId="655FEDB6"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Skin Penetration</w:t>
      </w:r>
    </w:p>
    <w:p w14:paraId="2C2F5EDF" w14:textId="58437E98"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Ex vivo skin penetration studies employ excised human or animal skin mounted in Franz diffusion cells, providing more physiologically relevant assessment than purely in vitro membrane studies while avoiding systemic absorption complications of in vivo models. Fresh or cryopreserved human skin (typically abdominal skin) is mounted with dermal side in the receptor compartment and stratum corneum side in the donor compartment, maintaining 37°C and physiological </w:t>
      </w:r>
      <w:proofErr w:type="spellStart"/>
      <w:r w:rsidRPr="00A96C26">
        <w:rPr>
          <w:rFonts w:ascii="Times New Roman" w:hAnsi="Times New Roman" w:cs="Times New Roman"/>
          <w:szCs w:val="28"/>
        </w:rPr>
        <w:t>pH.</w:t>
      </w:r>
      <w:proofErr w:type="spellEnd"/>
      <w:r w:rsidRPr="00A96C26">
        <w:rPr>
          <w:rFonts w:ascii="Times New Roman" w:hAnsi="Times New Roman" w:cs="Times New Roman"/>
          <w:szCs w:val="28"/>
        </w:rPr>
        <w:t xml:space="preserve"> After 24 hours of transdermal application of drug formulations, the skin can be sectioned horizontally into sequential layers (stratum corneum, viable epidermis, dermis) using a microtome or cryotome, with drug content in each layer quantified via HPLC [</w:t>
      </w:r>
      <w:r w:rsidR="00A666A6" w:rsidRPr="00A96C26">
        <w:rPr>
          <w:rFonts w:ascii="Times New Roman" w:hAnsi="Times New Roman" w:cs="Times New Roman"/>
          <w:szCs w:val="28"/>
        </w:rPr>
        <w:t>47,48</w:t>
      </w:r>
      <w:r w:rsidRPr="00A96C26">
        <w:rPr>
          <w:rFonts w:ascii="Times New Roman" w:hAnsi="Times New Roman" w:cs="Times New Roman"/>
          <w:szCs w:val="28"/>
        </w:rPr>
        <w:t xml:space="preserve">]. </w:t>
      </w:r>
    </w:p>
    <w:p w14:paraId="30575F3D"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Synovial Tissue Interaction</w:t>
      </w:r>
    </w:p>
    <w:p w14:paraId="0A5E46FD" w14:textId="1CB220C3"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lastRenderedPageBreak/>
        <w:t>Synovial tissue explants (typically 1-2 cm diameter pieces of synovial tissue from patients undergoing joint replacement surgery or arthroscopy) represent a more relevant model for RA applications than skin [</w:t>
      </w:r>
      <w:r w:rsidR="005530F6" w:rsidRPr="00A96C26">
        <w:rPr>
          <w:rFonts w:ascii="Times New Roman" w:hAnsi="Times New Roman" w:cs="Times New Roman"/>
          <w:szCs w:val="28"/>
        </w:rPr>
        <w:t>49</w:t>
      </w:r>
      <w:r w:rsidRPr="00A96C26">
        <w:rPr>
          <w:rFonts w:ascii="Times New Roman" w:hAnsi="Times New Roman" w:cs="Times New Roman"/>
          <w:szCs w:val="28"/>
        </w:rPr>
        <w:t xml:space="preserve">]. Explants are cultured in serum-free medium at 37°C in 5% CO₂, with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or comparison formulations added to the culture medium. After 2-4 hours of incubation, explants are embedded in OCT medium, frozen, and sectioned (10 </w:t>
      </w:r>
      <w:proofErr w:type="spellStart"/>
      <w:r w:rsidRPr="00A96C26">
        <w:rPr>
          <w:rFonts w:ascii="Times New Roman" w:hAnsi="Times New Roman" w:cs="Times New Roman"/>
          <w:szCs w:val="28"/>
        </w:rPr>
        <w:t>μm</w:t>
      </w:r>
      <w:proofErr w:type="spellEnd"/>
      <w:r w:rsidRPr="00A96C26">
        <w:rPr>
          <w:rFonts w:ascii="Times New Roman" w:hAnsi="Times New Roman" w:cs="Times New Roman"/>
          <w:szCs w:val="28"/>
        </w:rPr>
        <w:t xml:space="preserve"> thick </w:t>
      </w:r>
      <w:proofErr w:type="spellStart"/>
      <w:r w:rsidRPr="00A96C26">
        <w:rPr>
          <w:rFonts w:ascii="Times New Roman" w:hAnsi="Times New Roman" w:cs="Times New Roman"/>
          <w:szCs w:val="28"/>
        </w:rPr>
        <w:t>cryosections</w:t>
      </w:r>
      <w:proofErr w:type="spellEnd"/>
      <w:r w:rsidRPr="00A96C26">
        <w:rPr>
          <w:rFonts w:ascii="Times New Roman" w:hAnsi="Times New Roman" w:cs="Times New Roman"/>
          <w:szCs w:val="28"/>
        </w:rPr>
        <w:t xml:space="preserve">) for analysis. Immunofluorescence staining for the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lipid label (</w:t>
      </w:r>
      <w:proofErr w:type="spellStart"/>
      <w:r w:rsidRPr="00A96C26">
        <w:rPr>
          <w:rFonts w:ascii="Times New Roman" w:hAnsi="Times New Roman" w:cs="Times New Roman"/>
          <w:szCs w:val="28"/>
        </w:rPr>
        <w:t>DiI</w:t>
      </w:r>
      <w:proofErr w:type="spellEnd"/>
      <w:r w:rsidRPr="00A96C26">
        <w:rPr>
          <w:rFonts w:ascii="Times New Roman" w:hAnsi="Times New Roman" w:cs="Times New Roman"/>
          <w:szCs w:val="28"/>
        </w:rPr>
        <w:t xml:space="preserve">, </w:t>
      </w:r>
      <w:proofErr w:type="spellStart"/>
      <w:r w:rsidRPr="00A96C26">
        <w:rPr>
          <w:rFonts w:ascii="Times New Roman" w:hAnsi="Times New Roman" w:cs="Times New Roman"/>
          <w:szCs w:val="28"/>
        </w:rPr>
        <w:t>DiO</w:t>
      </w:r>
      <w:proofErr w:type="spellEnd"/>
      <w:r w:rsidRPr="00A96C26">
        <w:rPr>
          <w:rFonts w:ascii="Times New Roman" w:hAnsi="Times New Roman" w:cs="Times New Roman"/>
          <w:szCs w:val="28"/>
        </w:rPr>
        <w:t xml:space="preserve">, or equivalent) combined with DAPI nuclear staining reveals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distribution within tissue [</w:t>
      </w:r>
      <w:r w:rsidR="005530F6" w:rsidRPr="00A96C26">
        <w:rPr>
          <w:rFonts w:ascii="Times New Roman" w:hAnsi="Times New Roman" w:cs="Times New Roman"/>
          <w:szCs w:val="28"/>
        </w:rPr>
        <w:t>50,51</w:t>
      </w:r>
      <w:r w:rsidRPr="00A96C26">
        <w:rPr>
          <w:rFonts w:ascii="Times New Roman" w:hAnsi="Times New Roman" w:cs="Times New Roman"/>
          <w:szCs w:val="28"/>
        </w:rPr>
        <w:t xml:space="preserve">]. </w:t>
      </w:r>
    </w:p>
    <w:p w14:paraId="5DD6126D"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6.3 In Vivo Animal Models</w:t>
      </w:r>
    </w:p>
    <w:p w14:paraId="788DDA7A"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Arthritis Induction Models (CIA, AIA)</w:t>
      </w:r>
    </w:p>
    <w:p w14:paraId="75037653" w14:textId="6700DACE"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Collagen-induced arthritis (CIA) and adjuvant-induced arthritis (AIA) represent the two most widely employed preclinical animal models for assessing RA therapeutics efficacy and safety. CIA involves immunization of susceptible strains (typically DBA/1 or C57BL/6 mice, or Lewis rats) with bovine or chick type II collagen emulsified in complete Freund's adjuvant (CFA), inducing adaptive immune responses against endogenous collagen present in joint tissue. This model recapitulates key immunological features of RA including anti-collagen antibodies, T-cell mediated responses, and progressive erosive joint inflammation [</w:t>
      </w:r>
      <w:r w:rsidR="005530F6" w:rsidRPr="00A96C26">
        <w:rPr>
          <w:rFonts w:ascii="Times New Roman" w:hAnsi="Times New Roman" w:cs="Times New Roman"/>
          <w:szCs w:val="28"/>
        </w:rPr>
        <w:t>52</w:t>
      </w:r>
      <w:r w:rsidRPr="00A96C26">
        <w:rPr>
          <w:rFonts w:ascii="Times New Roman" w:hAnsi="Times New Roman" w:cs="Times New Roman"/>
          <w:szCs w:val="28"/>
        </w:rPr>
        <w:t>]. Disease typically initiates 3-4 weeks post-immunization and progresses over 8-12 weeks if untreated [</w:t>
      </w:r>
      <w:r w:rsidR="005530F6" w:rsidRPr="00A96C26">
        <w:rPr>
          <w:rFonts w:ascii="Times New Roman" w:hAnsi="Times New Roman" w:cs="Times New Roman"/>
          <w:szCs w:val="28"/>
        </w:rPr>
        <w:t>51,52</w:t>
      </w:r>
      <w:r w:rsidRPr="00A96C26">
        <w:rPr>
          <w:rFonts w:ascii="Times New Roman" w:hAnsi="Times New Roman" w:cs="Times New Roman"/>
          <w:szCs w:val="28"/>
        </w:rPr>
        <w:t xml:space="preserve">]. </w:t>
      </w:r>
    </w:p>
    <w:p w14:paraId="20DF3FAC"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Efficacy Comparisons vs. Conventional Formulations</w:t>
      </w:r>
    </w:p>
    <w:p w14:paraId="2F9A6428" w14:textId="2549455D"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In vivo efficacy studies in CIA or AIA models typically involve induction of arthritis, randomization of mice/rats into treatment groups (vehicle control, free drug, conventional liposomal drug,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drug) at treatment initiation, and assessment of disease progression over 4-8 weeks. Primary efficacy endpoints include paw thickness (measured daily using digital calipers), clinical arthritis score (0-4 scale assessing redness, swelling, and mobility), and radiographic scoring of joint erosions. Mechanistic endpoints include histopathological assessment (inflammation score, pannus formation, cartilage erosion, bone erosion on H&amp;E and safranin-O staining), immunological markers (anti-collagen or anti-CII antibodies, synovial cytokine production), and molecular markers (synovial MMP-9 and -13 activity, RANKL expression). Representative studies in CIA models demonstrate that MTX-loaded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at 0.5-1.0 mg/kg dose (administered intra-</w:t>
      </w:r>
      <w:proofErr w:type="spellStart"/>
      <w:r w:rsidRPr="00A96C26">
        <w:rPr>
          <w:rFonts w:ascii="Times New Roman" w:hAnsi="Times New Roman" w:cs="Times New Roman"/>
          <w:szCs w:val="28"/>
        </w:rPr>
        <w:t>articularly</w:t>
      </w:r>
      <w:proofErr w:type="spellEnd"/>
      <w:r w:rsidRPr="00A96C26">
        <w:rPr>
          <w:rFonts w:ascii="Times New Roman" w:hAnsi="Times New Roman" w:cs="Times New Roman"/>
          <w:szCs w:val="28"/>
        </w:rPr>
        <w:t xml:space="preserve"> twice weekly) produce 65-75% reduction in paw thickness and clinical arthritis score suppression compared to vehicle controls, with maximal effects evident by week 3-4 [</w:t>
      </w:r>
      <w:r w:rsidR="005530F6" w:rsidRPr="00A96C26">
        <w:rPr>
          <w:rFonts w:ascii="Times New Roman" w:hAnsi="Times New Roman" w:cs="Times New Roman"/>
          <w:szCs w:val="28"/>
        </w:rPr>
        <w:t>52,53</w:t>
      </w:r>
      <w:r w:rsidRPr="00A96C26">
        <w:rPr>
          <w:rFonts w:ascii="Times New Roman" w:hAnsi="Times New Roman" w:cs="Times New Roman"/>
          <w:szCs w:val="28"/>
        </w:rPr>
        <w:t xml:space="preserve">]. </w:t>
      </w:r>
    </w:p>
    <w:p w14:paraId="51010E9F"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Pharmacokinetic Profiles</w:t>
      </w:r>
    </w:p>
    <w:p w14:paraId="309ADD87" w14:textId="4603ACCC"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Pharmacokinetic (PK) studies characterize drug absorption, distribution, metabolism, and elimination following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administration, employing radiolabeled or fluorescently labeled drug or carrier to track movement through the body [</w:t>
      </w:r>
      <w:r w:rsidR="005530F6" w:rsidRPr="00A96C26">
        <w:rPr>
          <w:rFonts w:ascii="Times New Roman" w:hAnsi="Times New Roman" w:cs="Times New Roman"/>
          <w:szCs w:val="28"/>
        </w:rPr>
        <w:t>52</w:t>
      </w:r>
      <w:r w:rsidRPr="00A96C26">
        <w:rPr>
          <w:rFonts w:ascii="Times New Roman" w:hAnsi="Times New Roman" w:cs="Times New Roman"/>
          <w:szCs w:val="28"/>
        </w:rPr>
        <w:t xml:space="preserve">]. Following intra-articular injection of ¹⁴C-labeled MTX-loaded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(or equivalent radioisotope labeling of conventional </w:t>
      </w:r>
      <w:r w:rsidRPr="00A96C26">
        <w:rPr>
          <w:rFonts w:ascii="Times New Roman" w:hAnsi="Times New Roman" w:cs="Times New Roman"/>
          <w:szCs w:val="28"/>
        </w:rPr>
        <w:lastRenderedPageBreak/>
        <w:t>formulations) into CIA mice, blood samples are collected serially over 48-72 hours, with plasma separated and radioactivity quantified via liquid scintillation counting [</w:t>
      </w:r>
      <w:r w:rsidR="005530F6" w:rsidRPr="00A96C26">
        <w:rPr>
          <w:rFonts w:ascii="Times New Roman" w:hAnsi="Times New Roman" w:cs="Times New Roman"/>
          <w:szCs w:val="28"/>
        </w:rPr>
        <w:t>53</w:t>
      </w:r>
      <w:r w:rsidRPr="00A96C26">
        <w:rPr>
          <w:rFonts w:ascii="Times New Roman" w:hAnsi="Times New Roman" w:cs="Times New Roman"/>
          <w:szCs w:val="28"/>
        </w:rPr>
        <w:t>]. Pharmacokinetic parameters including peak plasma concentration (</w:t>
      </w:r>
      <w:proofErr w:type="spellStart"/>
      <w:r w:rsidRPr="00A96C26">
        <w:rPr>
          <w:rFonts w:ascii="Times New Roman" w:hAnsi="Times New Roman" w:cs="Times New Roman"/>
          <w:szCs w:val="28"/>
        </w:rPr>
        <w:t>Cmax</w:t>
      </w:r>
      <w:proofErr w:type="spellEnd"/>
      <w:r w:rsidRPr="00A96C26">
        <w:rPr>
          <w:rFonts w:ascii="Times New Roman" w:hAnsi="Times New Roman" w:cs="Times New Roman"/>
          <w:szCs w:val="28"/>
        </w:rPr>
        <w:t>), time to peak (</w:t>
      </w:r>
      <w:proofErr w:type="spellStart"/>
      <w:r w:rsidRPr="00A96C26">
        <w:rPr>
          <w:rFonts w:ascii="Times New Roman" w:hAnsi="Times New Roman" w:cs="Times New Roman"/>
          <w:szCs w:val="28"/>
        </w:rPr>
        <w:t>Tmax</w:t>
      </w:r>
      <w:proofErr w:type="spellEnd"/>
      <w:r w:rsidRPr="00A96C26">
        <w:rPr>
          <w:rFonts w:ascii="Times New Roman" w:hAnsi="Times New Roman" w:cs="Times New Roman"/>
          <w:szCs w:val="28"/>
        </w:rPr>
        <w:t>), area under the curve (AUC), and half-life (t₁/₂) are calculated [</w:t>
      </w:r>
      <w:r w:rsidR="005530F6" w:rsidRPr="00A96C26">
        <w:rPr>
          <w:rFonts w:ascii="Times New Roman" w:hAnsi="Times New Roman" w:cs="Times New Roman"/>
          <w:szCs w:val="28"/>
        </w:rPr>
        <w:t>54,55</w:t>
      </w:r>
      <w:r w:rsidRPr="00A96C26">
        <w:rPr>
          <w:rFonts w:ascii="Times New Roman" w:hAnsi="Times New Roman" w:cs="Times New Roman"/>
          <w:szCs w:val="28"/>
        </w:rPr>
        <w:t xml:space="preserve">]. </w:t>
      </w:r>
    </w:p>
    <w:p w14:paraId="40314FDF" w14:textId="77777777" w:rsidR="00DC1CDC" w:rsidRPr="00A96C26" w:rsidRDefault="00DC1CDC" w:rsidP="00DC1CDC">
      <w:pPr>
        <w:jc w:val="both"/>
        <w:rPr>
          <w:rFonts w:ascii="Times New Roman" w:hAnsi="Times New Roman" w:cs="Times New Roman"/>
          <w:b/>
          <w:bCs/>
          <w:szCs w:val="28"/>
        </w:rPr>
      </w:pPr>
      <w:r w:rsidRPr="00A96C26">
        <w:rPr>
          <w:rFonts w:ascii="Times New Roman" w:hAnsi="Times New Roman" w:cs="Times New Roman"/>
          <w:b/>
          <w:bCs/>
          <w:szCs w:val="28"/>
        </w:rPr>
        <w:t>Safety &amp; Tolerability Data</w:t>
      </w:r>
    </w:p>
    <w:p w14:paraId="3ED1F0F5" w14:textId="7481C354" w:rsidR="00DC1CDC" w:rsidRPr="00A96C26" w:rsidRDefault="00DC1CDC" w:rsidP="00DC1CDC">
      <w:pPr>
        <w:jc w:val="both"/>
        <w:rPr>
          <w:rFonts w:ascii="Times New Roman" w:hAnsi="Times New Roman" w:cs="Times New Roman"/>
          <w:szCs w:val="28"/>
        </w:rPr>
      </w:pPr>
      <w:r w:rsidRPr="00A96C26">
        <w:rPr>
          <w:rFonts w:ascii="Times New Roman" w:hAnsi="Times New Roman" w:cs="Times New Roman"/>
          <w:szCs w:val="28"/>
        </w:rPr>
        <w:t xml:space="preserve">Safety assessment of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formulations employs multiple complementary approaches: clinical monitoring (body weight, behavior, water/food intake) throughout the study; blood chemistry and hematology at endpoint (serum ALT, AST, creatinine, albumin, hemoglobin, white blood cell count); histopathological examination of liver, kidney, and bone marrow; and assessment of local joint tolerance [</w:t>
      </w:r>
      <w:r w:rsidR="005530F6" w:rsidRPr="00A96C26">
        <w:rPr>
          <w:rFonts w:ascii="Times New Roman" w:hAnsi="Times New Roman" w:cs="Times New Roman"/>
          <w:szCs w:val="28"/>
        </w:rPr>
        <w:t>52</w:t>
      </w:r>
      <w:r w:rsidRPr="00A96C26">
        <w:rPr>
          <w:rFonts w:ascii="Times New Roman" w:hAnsi="Times New Roman" w:cs="Times New Roman"/>
          <w:szCs w:val="28"/>
        </w:rPr>
        <w:t xml:space="preserve">]. In CIA studies with MTX-loaded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at doses producing maximal efficacy (0.5-1.0 mg/kg intra-</w:t>
      </w:r>
      <w:proofErr w:type="spellStart"/>
      <w:r w:rsidRPr="00A96C26">
        <w:rPr>
          <w:rFonts w:ascii="Times New Roman" w:hAnsi="Times New Roman" w:cs="Times New Roman"/>
          <w:szCs w:val="28"/>
        </w:rPr>
        <w:t>articularly</w:t>
      </w:r>
      <w:proofErr w:type="spellEnd"/>
      <w:r w:rsidRPr="00A96C26">
        <w:rPr>
          <w:rFonts w:ascii="Times New Roman" w:hAnsi="Times New Roman" w:cs="Times New Roman"/>
          <w:szCs w:val="28"/>
        </w:rPr>
        <w:t xml:space="preserve"> twice weekly for 4-8 weeks), representative safety data demonstrate: body weight maintenance equivalent to vehicle controls (no weight loss attributable to MTX treatment); liver enzyme levels (ALT, AST) within normal ranges in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MTX group, compared to 2-3 fold elevations in free MTX or conventional liposomal MTX groups; white blood cell counts and hemoglobin levels maintained near baseline in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group, versus 20-30% reductions in systemic MTX groups [</w:t>
      </w:r>
      <w:r w:rsidR="005530F6" w:rsidRPr="00A96C26">
        <w:rPr>
          <w:rFonts w:ascii="Times New Roman" w:hAnsi="Times New Roman" w:cs="Times New Roman"/>
          <w:szCs w:val="28"/>
        </w:rPr>
        <w:t>53,54</w:t>
      </w:r>
      <w:r w:rsidRPr="00A96C26">
        <w:rPr>
          <w:rFonts w:ascii="Times New Roman" w:hAnsi="Times New Roman" w:cs="Times New Roman"/>
          <w:szCs w:val="28"/>
        </w:rPr>
        <w:t xml:space="preserve">]. </w:t>
      </w:r>
    </w:p>
    <w:p w14:paraId="2B878271"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7. Clinical Advantages &amp; Potential Benefits</w:t>
      </w:r>
    </w:p>
    <w:p w14:paraId="08A3E3B9"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7.1 Superior Efficacy</w:t>
      </w:r>
    </w:p>
    <w:p w14:paraId="1263EC4D"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Increased Bioavailability</w:t>
      </w:r>
    </w:p>
    <w:p w14:paraId="1E6D1360" w14:textId="6DA6F9B1" w:rsidR="00235CAF" w:rsidRPr="00A96C26" w:rsidRDefault="00235CAF" w:rsidP="00235CAF">
      <w:pPr>
        <w:jc w:val="both"/>
        <w:rPr>
          <w:rFonts w:ascii="Times New Roman" w:hAnsi="Times New Roman" w:cs="Times New Roman"/>
          <w:szCs w:val="28"/>
        </w:rPr>
      </w:pP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formulations achieve substantially superior drug bioavailability compared to conventional formulations through multiple synergistic mechanisms operating at gastrointestinal, tissue, and cellular levels. For methotrexate, the flagship DMARD therapy for RA, oral bioavailability remains one of the major clinical limitations of conventional therapy; oral MTX demonstrates bioavailability of only 30-70% with considerable inter-individual variability that necessitates therapeutic drug monitoring and frequent dose adjustments.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MTX formulations designed for oral administration potentially achieve bioavailability of 75-90% through enhanced intestinal epithelial penetration via the deformable vesicles, bypassing the carrier-mediated active transport limitations that restrict conventional MTX absorption [</w:t>
      </w:r>
      <w:r w:rsidR="005530F6" w:rsidRPr="00A96C26">
        <w:rPr>
          <w:rFonts w:ascii="Times New Roman" w:hAnsi="Times New Roman" w:cs="Times New Roman"/>
          <w:szCs w:val="28"/>
        </w:rPr>
        <w:t>53,54</w:t>
      </w:r>
      <w:r w:rsidRPr="00A96C26">
        <w:rPr>
          <w:rFonts w:ascii="Times New Roman" w:hAnsi="Times New Roman" w:cs="Times New Roman"/>
          <w:szCs w:val="28"/>
        </w:rPr>
        <w:t>]. This increased oral bioavailability translates to more predictable plasma concentrations and more consistent intracellular MTX levels within synovial cells, enabling more stable disease control with less frequent dose adjustments [</w:t>
      </w:r>
      <w:r w:rsidR="005530F6" w:rsidRPr="00A96C26">
        <w:rPr>
          <w:rFonts w:ascii="Times New Roman" w:hAnsi="Times New Roman" w:cs="Times New Roman"/>
          <w:szCs w:val="28"/>
        </w:rPr>
        <w:t>53</w:t>
      </w:r>
      <w:r w:rsidRPr="00A96C26">
        <w:rPr>
          <w:rFonts w:ascii="Times New Roman" w:hAnsi="Times New Roman" w:cs="Times New Roman"/>
          <w:szCs w:val="28"/>
        </w:rPr>
        <w:t xml:space="preserve">]. </w:t>
      </w:r>
    </w:p>
    <w:p w14:paraId="598D15B4"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Better Synovial Targeting</w:t>
      </w:r>
    </w:p>
    <w:p w14:paraId="14866D57" w14:textId="56D73BD6"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 xml:space="preserve">The preferential accumulation of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in inflamed synovial tissue through the enhanced permeability and retention (EPR) effect represents a fundamental advantage over conventional formulations that distribute systemically without tissue selectivity. Quantitative biodistribution studies employing radiolabeled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demonstrate that inflamed RA joints accumulate </w:t>
      </w:r>
      <w:proofErr w:type="gramStart"/>
      <w:r w:rsidRPr="00A96C26">
        <w:rPr>
          <w:rFonts w:ascii="Times New Roman" w:hAnsi="Times New Roman" w:cs="Times New Roman"/>
          <w:szCs w:val="28"/>
        </w:rPr>
        <w:lastRenderedPageBreak/>
        <w:t>10-20 fold</w:t>
      </w:r>
      <w:proofErr w:type="gramEnd"/>
      <w:r w:rsidRPr="00A96C26">
        <w:rPr>
          <w:rFonts w:ascii="Times New Roman" w:hAnsi="Times New Roman" w:cs="Times New Roman"/>
          <w:szCs w:val="28"/>
        </w:rPr>
        <w:t xml:space="preserve"> higher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concentrations than healthy non-inflamed joints, and 3-5 fold higher concentrations than systemic blood compartment at 4-8 hours post-administration. This remarkable selectivity for inflamed tissue arises from the unique combination of increased vascular permeability in inflamed synovium (permitting extravasation of 100-200 nm particles while restricting them from healthy tissue), reduced lymphatic clearance in inflamed joints (due to inflammatory-induced lymphatic dysfunction), and the nanoscale size of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(optimal for EPR-mediated targeting) [</w:t>
      </w:r>
      <w:r w:rsidR="005530F6" w:rsidRPr="00A96C26">
        <w:rPr>
          <w:rFonts w:ascii="Times New Roman" w:hAnsi="Times New Roman" w:cs="Times New Roman"/>
          <w:szCs w:val="28"/>
        </w:rPr>
        <w:t>53</w:t>
      </w:r>
      <w:r w:rsidRPr="00A96C26">
        <w:rPr>
          <w:rFonts w:ascii="Times New Roman" w:hAnsi="Times New Roman" w:cs="Times New Roman"/>
          <w:szCs w:val="28"/>
        </w:rPr>
        <w:t>]. In contrast, conventional free drugs or non-targeted liposomes distribute relatively non-selectively throughout the body, with synovial concentrations only marginally elevated (if at all) relative to plasma concentrations [</w:t>
      </w:r>
      <w:r w:rsidR="005530F6" w:rsidRPr="00A96C26">
        <w:rPr>
          <w:rFonts w:ascii="Times New Roman" w:hAnsi="Times New Roman" w:cs="Times New Roman"/>
          <w:szCs w:val="28"/>
        </w:rPr>
        <w:t>53,54</w:t>
      </w:r>
      <w:r w:rsidRPr="00A96C26">
        <w:rPr>
          <w:rFonts w:ascii="Times New Roman" w:hAnsi="Times New Roman" w:cs="Times New Roman"/>
          <w:szCs w:val="28"/>
        </w:rPr>
        <w:t xml:space="preserve">]. </w:t>
      </w:r>
    </w:p>
    <w:p w14:paraId="041D5902"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Enhanced Anti-Inflammatory Response</w:t>
      </w:r>
    </w:p>
    <w:p w14:paraId="3ACF8C30" w14:textId="3ECED414" w:rsidR="005530F6"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 xml:space="preserve">The superior anti-inflammatory efficacy of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formulations manifests through multiple complementary mechanisms operating synergistically to maximize suppression of RA disease pathogenesis. The increased intracellular drug bioavailability achieved through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delivery enables more effective engagement of intracellular drug targets; for example, methotrexate functions as a cytoplasmic dihydrofolate reductase inhibitor, and the </w:t>
      </w:r>
      <w:proofErr w:type="gramStart"/>
      <w:r w:rsidRPr="00A96C26">
        <w:rPr>
          <w:rFonts w:ascii="Times New Roman" w:hAnsi="Times New Roman" w:cs="Times New Roman"/>
          <w:szCs w:val="28"/>
        </w:rPr>
        <w:t>3-5 fold</w:t>
      </w:r>
      <w:proofErr w:type="gramEnd"/>
      <w:r w:rsidRPr="00A96C26">
        <w:rPr>
          <w:rFonts w:ascii="Times New Roman" w:hAnsi="Times New Roman" w:cs="Times New Roman"/>
          <w:szCs w:val="28"/>
        </w:rPr>
        <w:t xml:space="preserve"> higher intracellular MTX concentrations achieved via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produce proportionally greater DHFR inhibition and downstream suppression of nucleotide synthesis and inflammatory gene expression. The combination of enhanced synovial tissue penetration and cellular uptake means that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effectively deliver drug to all cellular compartments within the inflamed synovium</w:t>
      </w:r>
      <w:r w:rsidR="00321525" w:rsidRPr="00A96C26">
        <w:rPr>
          <w:rFonts w:ascii="Times New Roman" w:hAnsi="Times New Roman" w:cs="Times New Roman"/>
          <w:szCs w:val="28"/>
        </w:rPr>
        <w:t xml:space="preserve"> </w:t>
      </w:r>
      <w:r w:rsidRPr="00A96C26">
        <w:rPr>
          <w:rFonts w:ascii="Times New Roman" w:hAnsi="Times New Roman" w:cs="Times New Roman"/>
          <w:szCs w:val="28"/>
        </w:rPr>
        <w:t xml:space="preserve">synovial lining cells, </w:t>
      </w:r>
      <w:proofErr w:type="spellStart"/>
      <w:r w:rsidRPr="00A96C26">
        <w:rPr>
          <w:rFonts w:ascii="Times New Roman" w:hAnsi="Times New Roman" w:cs="Times New Roman"/>
          <w:szCs w:val="28"/>
        </w:rPr>
        <w:t>sublining</w:t>
      </w:r>
      <w:proofErr w:type="spellEnd"/>
      <w:r w:rsidRPr="00A96C26">
        <w:rPr>
          <w:rFonts w:ascii="Times New Roman" w:hAnsi="Times New Roman" w:cs="Times New Roman"/>
          <w:szCs w:val="28"/>
        </w:rPr>
        <w:t xml:space="preserve"> macrophages, activated fibroblasts, infiltrating T-cells and B-cells</w:t>
      </w:r>
      <w:r w:rsidR="00321525" w:rsidRPr="00A96C26">
        <w:rPr>
          <w:rFonts w:ascii="Times New Roman" w:hAnsi="Times New Roman" w:cs="Times New Roman"/>
          <w:szCs w:val="28"/>
        </w:rPr>
        <w:t xml:space="preserve"> </w:t>
      </w:r>
      <w:r w:rsidRPr="00A96C26">
        <w:rPr>
          <w:rFonts w:ascii="Times New Roman" w:hAnsi="Times New Roman" w:cs="Times New Roman"/>
          <w:szCs w:val="28"/>
        </w:rPr>
        <w:t>rather than concentrating primarily at the tissue surface as conventional formulations do. This comprehensive cellular targeting enables suppression of inflammatory processes throughout the synovial depth, not just superficial layers [</w:t>
      </w:r>
      <w:r w:rsidR="005530F6" w:rsidRPr="00A96C26">
        <w:rPr>
          <w:rFonts w:ascii="Times New Roman" w:hAnsi="Times New Roman" w:cs="Times New Roman"/>
          <w:szCs w:val="28"/>
        </w:rPr>
        <w:t>53,54,55</w:t>
      </w:r>
      <w:r w:rsidRPr="00A96C26">
        <w:rPr>
          <w:rFonts w:ascii="Times New Roman" w:hAnsi="Times New Roman" w:cs="Times New Roman"/>
          <w:szCs w:val="28"/>
        </w:rPr>
        <w:t xml:space="preserve">]. </w:t>
      </w:r>
    </w:p>
    <w:p w14:paraId="45EF89EB" w14:textId="441027B1"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7.2 Reduced Systemic Side Effects</w:t>
      </w:r>
    </w:p>
    <w:p w14:paraId="118AD83D"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Lower Systemic Exposure</w:t>
      </w:r>
    </w:p>
    <w:p w14:paraId="169643CD" w14:textId="774E6CC9"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 xml:space="preserve">The fundamental mechanism enabling dramatically reduced systemic side effects of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formulations is the preferential synovial tissue accumulation and cellular sequestration that minimizes the free drug concentration in systemic circulation and extra-articular tissues. Pharmacokinetic studies comparing methotrexate-loaded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to free MTX and conventional liposomal MTX following intra-articular or periarticular injection demonstrate remarkable differences in systemic MTX exposure: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MTX achieves peak plasma MTX concentration (</w:t>
      </w:r>
      <w:proofErr w:type="spellStart"/>
      <w:r w:rsidRPr="00A96C26">
        <w:rPr>
          <w:rFonts w:ascii="Times New Roman" w:hAnsi="Times New Roman" w:cs="Times New Roman"/>
          <w:szCs w:val="28"/>
        </w:rPr>
        <w:t>Cmax</w:t>
      </w:r>
      <w:proofErr w:type="spellEnd"/>
      <w:r w:rsidRPr="00A96C26">
        <w:rPr>
          <w:rFonts w:ascii="Times New Roman" w:hAnsi="Times New Roman" w:cs="Times New Roman"/>
          <w:szCs w:val="28"/>
        </w:rPr>
        <w:t xml:space="preserve">) of 1.5-2.5 </w:t>
      </w:r>
      <w:proofErr w:type="spellStart"/>
      <w:r w:rsidRPr="00A96C26">
        <w:rPr>
          <w:rFonts w:ascii="Times New Roman" w:hAnsi="Times New Roman" w:cs="Times New Roman"/>
          <w:szCs w:val="28"/>
        </w:rPr>
        <w:t>μM</w:t>
      </w:r>
      <w:proofErr w:type="spellEnd"/>
      <w:r w:rsidRPr="00A96C26">
        <w:rPr>
          <w:rFonts w:ascii="Times New Roman" w:hAnsi="Times New Roman" w:cs="Times New Roman"/>
          <w:szCs w:val="28"/>
        </w:rPr>
        <w:t xml:space="preserve">, compared to 8-12 </w:t>
      </w:r>
      <w:proofErr w:type="spellStart"/>
      <w:r w:rsidRPr="00A96C26">
        <w:rPr>
          <w:rFonts w:ascii="Times New Roman" w:hAnsi="Times New Roman" w:cs="Times New Roman"/>
          <w:szCs w:val="28"/>
        </w:rPr>
        <w:t>μM</w:t>
      </w:r>
      <w:proofErr w:type="spellEnd"/>
      <w:r w:rsidRPr="00A96C26">
        <w:rPr>
          <w:rFonts w:ascii="Times New Roman" w:hAnsi="Times New Roman" w:cs="Times New Roman"/>
          <w:szCs w:val="28"/>
        </w:rPr>
        <w:t xml:space="preserve"> for free MTX and 5-7 </w:t>
      </w:r>
      <w:proofErr w:type="spellStart"/>
      <w:r w:rsidRPr="00A96C26">
        <w:rPr>
          <w:rFonts w:ascii="Times New Roman" w:hAnsi="Times New Roman" w:cs="Times New Roman"/>
          <w:szCs w:val="28"/>
        </w:rPr>
        <w:t>μM</w:t>
      </w:r>
      <w:proofErr w:type="spellEnd"/>
      <w:r w:rsidRPr="00A96C26">
        <w:rPr>
          <w:rFonts w:ascii="Times New Roman" w:hAnsi="Times New Roman" w:cs="Times New Roman"/>
          <w:szCs w:val="28"/>
        </w:rPr>
        <w:t xml:space="preserve"> for conventional liposomal MTX at equivalent doses. The area under the plasma concentration-time curve (AUC), a measure of total systemic drug exposure, is correspondingly </w:t>
      </w:r>
      <w:proofErr w:type="gramStart"/>
      <w:r w:rsidRPr="00A96C26">
        <w:rPr>
          <w:rFonts w:ascii="Times New Roman" w:hAnsi="Times New Roman" w:cs="Times New Roman"/>
          <w:szCs w:val="28"/>
        </w:rPr>
        <w:t>4-8 fold</w:t>
      </w:r>
      <w:proofErr w:type="gramEnd"/>
      <w:r w:rsidRPr="00A96C26">
        <w:rPr>
          <w:rFonts w:ascii="Times New Roman" w:hAnsi="Times New Roman" w:cs="Times New Roman"/>
          <w:szCs w:val="28"/>
        </w:rPr>
        <w:t xml:space="preserve"> lower for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MTX compared to free MTX. This dramatically reduced systemic exposure arises from multiple mechanisms: the preferential extravasation of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into inflamed synovial tissue removes a substantial fraction of the injected dose from the systemic circulation; the cellular uptake and sequestration of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by macrophages and dendritic cells within </w:t>
      </w:r>
      <w:r w:rsidRPr="00A96C26">
        <w:rPr>
          <w:rFonts w:ascii="Times New Roman" w:hAnsi="Times New Roman" w:cs="Times New Roman"/>
          <w:szCs w:val="28"/>
        </w:rPr>
        <w:lastRenderedPageBreak/>
        <w:t xml:space="preserve">synovial tissue further reduces the circulating free drug concentration; and the encapsulation of MTX within the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lipid bilayer makes it unavailable for immediate binding to plasma proteins and cellular targets outside the joint</w:t>
      </w:r>
      <w:r w:rsidR="005530F6" w:rsidRPr="00A96C26">
        <w:rPr>
          <w:rFonts w:ascii="Times New Roman" w:hAnsi="Times New Roman" w:cs="Times New Roman"/>
          <w:szCs w:val="28"/>
        </w:rPr>
        <w:t>.</w:t>
      </w:r>
    </w:p>
    <w:p w14:paraId="1DB3C653"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Decreased Hepatotoxicity (Especially MTX)</w:t>
      </w:r>
    </w:p>
    <w:p w14:paraId="14CC1022" w14:textId="5BE058CE"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Methotrexate-induced hepatotoxicity represents one of the most serious dose-limiting adverse effects in RA management, affecting 10-30% of patients on chronic therapy and potentially progressing to cirrhosis and hepatic failure [</w:t>
      </w:r>
      <w:r w:rsidR="005530F6" w:rsidRPr="00A96C26">
        <w:rPr>
          <w:rFonts w:ascii="Times New Roman" w:hAnsi="Times New Roman" w:cs="Times New Roman"/>
          <w:szCs w:val="28"/>
        </w:rPr>
        <w:t>53</w:t>
      </w:r>
      <w:r w:rsidRPr="00A96C26">
        <w:rPr>
          <w:rFonts w:ascii="Times New Roman" w:hAnsi="Times New Roman" w:cs="Times New Roman"/>
          <w:szCs w:val="28"/>
        </w:rPr>
        <w:t>]. MTX hepatotoxicity arises through multiple mechanisms: MTX accumulation in hepatocytes triggers oxidative stress through mitochondrial dysfunction; MTX metabolites generate reactive oxygen species that cause lipid peroxidation and hepatocyte apoptosis; chronic MTX exposure depletes folate cofactors essential for hepatocyte methylation and nucleotide synthesis; and MTX-induced inflammation recruits immune cells that perpetuate hepatic injury [</w:t>
      </w:r>
      <w:r w:rsidR="005530F6" w:rsidRPr="00A96C26">
        <w:rPr>
          <w:rFonts w:ascii="Times New Roman" w:hAnsi="Times New Roman" w:cs="Times New Roman"/>
          <w:szCs w:val="28"/>
        </w:rPr>
        <w:t>52</w:t>
      </w:r>
      <w:r w:rsidRPr="00A96C26">
        <w:rPr>
          <w:rFonts w:ascii="Times New Roman" w:hAnsi="Times New Roman" w:cs="Times New Roman"/>
          <w:szCs w:val="28"/>
        </w:rPr>
        <w:t>]. The risk of hepatotoxicity increases substantially with cumulative MTX dose, chronic alcohol use, obesity, and pre-existing hepatic disease [</w:t>
      </w:r>
      <w:r w:rsidR="005530F6" w:rsidRPr="00A96C26">
        <w:rPr>
          <w:rFonts w:ascii="Times New Roman" w:hAnsi="Times New Roman" w:cs="Times New Roman"/>
          <w:szCs w:val="28"/>
        </w:rPr>
        <w:t>53.54.55</w:t>
      </w:r>
      <w:r w:rsidRPr="00A96C26">
        <w:rPr>
          <w:rFonts w:ascii="Times New Roman" w:hAnsi="Times New Roman" w:cs="Times New Roman"/>
          <w:szCs w:val="28"/>
        </w:rPr>
        <w:t xml:space="preserve">]. </w:t>
      </w:r>
    </w:p>
    <w:p w14:paraId="71CAC671" w14:textId="2A61D93A" w:rsidR="007C1A14" w:rsidRPr="00A96C26" w:rsidRDefault="007C1A14" w:rsidP="007C1A14">
      <w:pPr>
        <w:jc w:val="both"/>
        <w:rPr>
          <w:rFonts w:ascii="Times New Roman" w:hAnsi="Times New Roman" w:cs="Times New Roman"/>
          <w:szCs w:val="28"/>
        </w:rPr>
      </w:pPr>
      <w:r w:rsidRPr="00A96C26">
        <w:rPr>
          <w:rFonts w:ascii="Times New Roman" w:hAnsi="Times New Roman" w:cs="Times New Roman"/>
          <w:noProof/>
          <w:szCs w:val="28"/>
        </w:rPr>
        <w:drawing>
          <wp:inline distT="0" distB="0" distL="0" distR="0" wp14:anchorId="21DE8CC3" wp14:editId="58EC2990">
            <wp:extent cx="5943600" cy="2407920"/>
            <wp:effectExtent l="0" t="0" r="0" b="0"/>
            <wp:docPr id="1276004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641" b="20078"/>
                    <a:stretch>
                      <a:fillRect/>
                    </a:stretch>
                  </pic:blipFill>
                  <pic:spPr bwMode="auto">
                    <a:xfrm>
                      <a:off x="0" y="0"/>
                      <a:ext cx="5943600" cy="2407920"/>
                    </a:xfrm>
                    <a:prstGeom prst="rect">
                      <a:avLst/>
                    </a:prstGeom>
                    <a:noFill/>
                    <a:ln>
                      <a:noFill/>
                    </a:ln>
                    <a:extLst>
                      <a:ext uri="{53640926-AAD7-44D8-BBD7-CCE9431645EC}">
                        <a14:shadowObscured xmlns:a14="http://schemas.microsoft.com/office/drawing/2010/main"/>
                      </a:ext>
                    </a:extLst>
                  </pic:spPr>
                </pic:pic>
              </a:graphicData>
            </a:graphic>
          </wp:inline>
        </w:drawing>
      </w:r>
    </w:p>
    <w:p w14:paraId="2E30C1C8" w14:textId="5C2D91EA" w:rsidR="007C1A14" w:rsidRPr="00A96C26" w:rsidRDefault="007C1A14" w:rsidP="00235CAF">
      <w:pPr>
        <w:jc w:val="both"/>
        <w:rPr>
          <w:rFonts w:ascii="Times New Roman" w:hAnsi="Times New Roman" w:cs="Times New Roman"/>
          <w:szCs w:val="28"/>
        </w:rPr>
      </w:pPr>
      <w:r w:rsidRPr="00A96C26">
        <w:rPr>
          <w:rFonts w:ascii="Times New Roman" w:hAnsi="Times New Roman" w:cs="Times New Roman"/>
          <w:szCs w:val="28"/>
        </w:rPr>
        <w:t xml:space="preserve">Figure No 05 - Future Solution: Transethosome Technology </w:t>
      </w:r>
    </w:p>
    <w:p w14:paraId="7393A1BE"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Improved Safety Profile</w:t>
      </w:r>
    </w:p>
    <w:p w14:paraId="7DAC17C3" w14:textId="15C389BD"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 xml:space="preserve">The overall safety profile of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formulations represents a major clinical advantage, with broadly reduced adverse effect frequencies across multiple organ systems compared to conventional formulations [</w:t>
      </w:r>
      <w:r w:rsidR="005530F6" w:rsidRPr="00A96C26">
        <w:rPr>
          <w:rFonts w:ascii="Times New Roman" w:hAnsi="Times New Roman" w:cs="Times New Roman"/>
          <w:szCs w:val="28"/>
        </w:rPr>
        <w:t>54</w:t>
      </w:r>
      <w:r w:rsidRPr="00A96C26">
        <w:rPr>
          <w:rFonts w:ascii="Times New Roman" w:hAnsi="Times New Roman" w:cs="Times New Roman"/>
          <w:szCs w:val="28"/>
        </w:rPr>
        <w:t xml:space="preserve">]. Beyond hepatotoxicity reduction,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MTX demonstrates substantially reduced bone marrow toxicity; preclinical studies show that white blood cell counts and hemoglobin levels remain near baseline in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MTX-treated animals, while conventional MTX-treated animals develop 20-30% reductions in white blood cell counts and mild anemia [</w:t>
      </w:r>
      <w:r w:rsidR="005530F6" w:rsidRPr="00A96C26">
        <w:rPr>
          <w:rFonts w:ascii="Times New Roman" w:hAnsi="Times New Roman" w:cs="Times New Roman"/>
          <w:szCs w:val="28"/>
        </w:rPr>
        <w:t>55</w:t>
      </w:r>
      <w:r w:rsidRPr="00A96C26">
        <w:rPr>
          <w:rFonts w:ascii="Times New Roman" w:hAnsi="Times New Roman" w:cs="Times New Roman"/>
          <w:szCs w:val="28"/>
        </w:rPr>
        <w:t xml:space="preserve">]. This reduced bone marrow toxicity manifests clinically as lower infection risk and improved patient-reported fatigue and dyspnea.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NSAID formulations demonstrate dramatically reduced gastrointestinal toxicity; preclinical studies in rodents receiving chronic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indomethacin show </w:t>
      </w:r>
      <w:r w:rsidR="005530F6" w:rsidRPr="00A96C26">
        <w:rPr>
          <w:rFonts w:ascii="Times New Roman" w:hAnsi="Times New Roman" w:cs="Times New Roman"/>
          <w:szCs w:val="28"/>
        </w:rPr>
        <w:t xml:space="preserve">the </w:t>
      </w:r>
      <w:r w:rsidRPr="00A96C26">
        <w:rPr>
          <w:rFonts w:ascii="Times New Roman" w:hAnsi="Times New Roman" w:cs="Times New Roman"/>
          <w:szCs w:val="28"/>
        </w:rPr>
        <w:t xml:space="preserve">absence of gastric ulceration and </w:t>
      </w:r>
      <w:r w:rsidRPr="00A96C26">
        <w:rPr>
          <w:rFonts w:ascii="Times New Roman" w:hAnsi="Times New Roman" w:cs="Times New Roman"/>
          <w:szCs w:val="28"/>
        </w:rPr>
        <w:lastRenderedPageBreak/>
        <w:t>mucosal damage visible in free indomethacin-treated animals [</w:t>
      </w:r>
      <w:r w:rsidR="005530F6" w:rsidRPr="00A96C26">
        <w:rPr>
          <w:rFonts w:ascii="Times New Roman" w:hAnsi="Times New Roman" w:cs="Times New Roman"/>
          <w:szCs w:val="28"/>
        </w:rPr>
        <w:t>55</w:t>
      </w:r>
      <w:r w:rsidRPr="00A96C26">
        <w:rPr>
          <w:rFonts w:ascii="Times New Roman" w:hAnsi="Times New Roman" w:cs="Times New Roman"/>
          <w:szCs w:val="28"/>
        </w:rPr>
        <w:t>]. The mechanism is straightforward: gastric mucosal damage from NSAIDs results from local prostaglandin inhibition in gastric tissue; the preferential synovial targeting and reduced systemic NSAID exposure means gastric prostaglandin synthesis is inhibited to a lesser extent, preserving gastric mucosal integrity [</w:t>
      </w:r>
      <w:r w:rsidR="005530F6" w:rsidRPr="00A96C26">
        <w:rPr>
          <w:rFonts w:ascii="Times New Roman" w:hAnsi="Times New Roman" w:cs="Times New Roman"/>
          <w:szCs w:val="28"/>
        </w:rPr>
        <w:t>5</w:t>
      </w:r>
      <w:r w:rsidRPr="00A96C26">
        <w:rPr>
          <w:rFonts w:ascii="Times New Roman" w:hAnsi="Times New Roman" w:cs="Times New Roman"/>
          <w:szCs w:val="28"/>
        </w:rPr>
        <w:t xml:space="preserve">5]. Additionally,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formulations maintain reduced systemic exposure at extended treatment durations, where conventional formulations accumulate in tissues; chronic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therapy (8-12 weeks) maintains safety parameters comparable to short-term therapy, while conventional chronic therapy typically shows progressive accumulation of adverse effects [</w:t>
      </w:r>
      <w:r w:rsidR="005530F6" w:rsidRPr="00A96C26">
        <w:rPr>
          <w:rFonts w:ascii="Times New Roman" w:hAnsi="Times New Roman" w:cs="Times New Roman"/>
          <w:szCs w:val="28"/>
        </w:rPr>
        <w:t>5</w:t>
      </w:r>
      <w:r w:rsidRPr="00A96C26">
        <w:rPr>
          <w:rFonts w:ascii="Times New Roman" w:hAnsi="Times New Roman" w:cs="Times New Roman"/>
          <w:szCs w:val="28"/>
        </w:rPr>
        <w:t xml:space="preserve">6]. </w:t>
      </w:r>
    </w:p>
    <w:p w14:paraId="4E1886A2"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7.3 Patient Benefits</w:t>
      </w:r>
    </w:p>
    <w:p w14:paraId="1DF1C9E6"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Non-Invasive Administration (Topical/Transdermal)</w:t>
      </w:r>
    </w:p>
    <w:p w14:paraId="5FDB363F" w14:textId="22A85FC8"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 xml:space="preserve">One of the most clinically significant advantages of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formulations is the potential for non-invasive routes of administration, particularly topical, transdermal, or intranasal delivery, avoiding the burden and complications of parenteral administration [</w:t>
      </w:r>
      <w:r w:rsidR="005530F6" w:rsidRPr="00A96C26">
        <w:rPr>
          <w:rFonts w:ascii="Times New Roman" w:hAnsi="Times New Roman" w:cs="Times New Roman"/>
          <w:szCs w:val="28"/>
        </w:rPr>
        <w:t>59</w:t>
      </w:r>
      <w:r w:rsidRPr="00A96C26">
        <w:rPr>
          <w:rFonts w:ascii="Times New Roman" w:hAnsi="Times New Roman" w:cs="Times New Roman"/>
          <w:szCs w:val="28"/>
        </w:rPr>
        <w:t>]. Current biologic RA therapies require intravenous infusion (infliximab, tocilizumab</w:t>
      </w:r>
      <w:r w:rsidR="00321525" w:rsidRPr="00A96C26">
        <w:rPr>
          <w:rFonts w:ascii="Times New Roman" w:hAnsi="Times New Roman" w:cs="Times New Roman"/>
          <w:szCs w:val="28"/>
        </w:rPr>
        <w:t xml:space="preserve"> </w:t>
      </w:r>
      <w:r w:rsidRPr="00A96C26">
        <w:rPr>
          <w:rFonts w:ascii="Times New Roman" w:hAnsi="Times New Roman" w:cs="Times New Roman"/>
          <w:szCs w:val="28"/>
        </w:rPr>
        <w:t xml:space="preserve">requiring </w:t>
      </w:r>
      <w:proofErr w:type="gramStart"/>
      <w:r w:rsidRPr="00A96C26">
        <w:rPr>
          <w:rFonts w:ascii="Times New Roman" w:hAnsi="Times New Roman" w:cs="Times New Roman"/>
          <w:szCs w:val="28"/>
        </w:rPr>
        <w:t>30-60 minute</w:t>
      </w:r>
      <w:proofErr w:type="gramEnd"/>
      <w:r w:rsidRPr="00A96C26">
        <w:rPr>
          <w:rFonts w:ascii="Times New Roman" w:hAnsi="Times New Roman" w:cs="Times New Roman"/>
          <w:szCs w:val="28"/>
        </w:rPr>
        <w:t xml:space="preserve"> infusion sessions every 2-4 weeks at infusion centers) or subcutaneous injection (etanercept, adalimumab, other TNF inhibitors</w:t>
      </w:r>
      <w:r w:rsidR="00321525" w:rsidRPr="00A96C26">
        <w:rPr>
          <w:rFonts w:ascii="Times New Roman" w:hAnsi="Times New Roman" w:cs="Times New Roman"/>
          <w:szCs w:val="28"/>
        </w:rPr>
        <w:t xml:space="preserve"> </w:t>
      </w:r>
      <w:r w:rsidRPr="00A96C26">
        <w:rPr>
          <w:rFonts w:ascii="Times New Roman" w:hAnsi="Times New Roman" w:cs="Times New Roman"/>
          <w:szCs w:val="28"/>
        </w:rPr>
        <w:t>requiring patient self-injection weekly or every 2 weeks) [</w:t>
      </w:r>
      <w:r w:rsidR="005530F6" w:rsidRPr="00A96C26">
        <w:rPr>
          <w:rFonts w:ascii="Times New Roman" w:hAnsi="Times New Roman" w:cs="Times New Roman"/>
          <w:szCs w:val="28"/>
        </w:rPr>
        <w:t>58</w:t>
      </w:r>
      <w:r w:rsidRPr="00A96C26">
        <w:rPr>
          <w:rFonts w:ascii="Times New Roman" w:hAnsi="Times New Roman" w:cs="Times New Roman"/>
          <w:szCs w:val="28"/>
        </w:rPr>
        <w:t>]. These parenteral administration routes impose substantial burdens on patients: requirement for repeated healthcare facility visits or home healthcare administration; needle-related anxiety affecting 10-20% of RA patients; injection site reactions including pain, bruising, and induration; and the psychological burden of living with a chronic injection-dependent disease [</w:t>
      </w:r>
      <w:r w:rsidR="005530F6" w:rsidRPr="00A96C26">
        <w:rPr>
          <w:rFonts w:ascii="Times New Roman" w:hAnsi="Times New Roman" w:cs="Times New Roman"/>
          <w:szCs w:val="28"/>
        </w:rPr>
        <w:t>57</w:t>
      </w:r>
      <w:r w:rsidRPr="00A96C26">
        <w:rPr>
          <w:rFonts w:ascii="Times New Roman" w:hAnsi="Times New Roman" w:cs="Times New Roman"/>
          <w:szCs w:val="28"/>
        </w:rPr>
        <w:t xml:space="preserv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DMARD and NSAID formulations designed for transdermal delivery (applied as patches or creams to skin overlying affected joints) could provide continuous or sustained drug delivery without parenteral administration burden [</w:t>
      </w:r>
      <w:r w:rsidR="005530F6" w:rsidRPr="00A96C26">
        <w:rPr>
          <w:rFonts w:ascii="Times New Roman" w:hAnsi="Times New Roman" w:cs="Times New Roman"/>
          <w:szCs w:val="28"/>
        </w:rPr>
        <w:t>60</w:t>
      </w:r>
      <w:r w:rsidRPr="00A96C26">
        <w:rPr>
          <w:rFonts w:ascii="Times New Roman" w:hAnsi="Times New Roman" w:cs="Times New Roman"/>
          <w:szCs w:val="28"/>
        </w:rPr>
        <w:t xml:space="preserve">]. Preclinical studies demonstrate that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MTX and NSAIDs effectively penetrate skin and achieve significant synovial tissue accumulation when applied topically, with therapeutic efficacy in animal models [</w:t>
      </w:r>
      <w:r w:rsidR="005530F6" w:rsidRPr="00A96C26">
        <w:rPr>
          <w:rFonts w:ascii="Times New Roman" w:hAnsi="Times New Roman" w:cs="Times New Roman"/>
          <w:szCs w:val="28"/>
        </w:rPr>
        <w:t>56</w:t>
      </w:r>
      <w:r w:rsidRPr="00A96C26">
        <w:rPr>
          <w:rFonts w:ascii="Times New Roman" w:hAnsi="Times New Roman" w:cs="Times New Roman"/>
          <w:szCs w:val="28"/>
        </w:rPr>
        <w:t xml:space="preserve">]. </w:t>
      </w:r>
    </w:p>
    <w:p w14:paraId="77BD09D7"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Improved Compliance</w:t>
      </w:r>
    </w:p>
    <w:p w14:paraId="2A2F8015" w14:textId="5E0F3640"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Medication non-compliance represents a major barrier to effective RA management, with studies indicating that 30-50% of RA patients demonstrate suboptimal medication adherence, directly correlating with inadequate disease control and progressive joint damage [</w:t>
      </w:r>
      <w:r w:rsidR="005530F6" w:rsidRPr="00A96C26">
        <w:rPr>
          <w:rFonts w:ascii="Times New Roman" w:hAnsi="Times New Roman" w:cs="Times New Roman"/>
          <w:szCs w:val="28"/>
        </w:rPr>
        <w:t>62</w:t>
      </w:r>
      <w:r w:rsidRPr="00A96C26">
        <w:rPr>
          <w:rFonts w:ascii="Times New Roman" w:hAnsi="Times New Roman" w:cs="Times New Roman"/>
          <w:szCs w:val="28"/>
        </w:rPr>
        <w:t>]. Multiple factors drive non-compliance in RA: complexity of multi-drug regimens with varying dosing schedules; frequent dosing requirements; injection burden and needle anxiety; perceived lack of efficacy given the delayed onset of action (6-12 weeks); and medication side effects requiring management [</w:t>
      </w:r>
      <w:r w:rsidR="005530F6" w:rsidRPr="00A96C26">
        <w:rPr>
          <w:rFonts w:ascii="Times New Roman" w:hAnsi="Times New Roman" w:cs="Times New Roman"/>
          <w:szCs w:val="28"/>
        </w:rPr>
        <w:t>63</w:t>
      </w:r>
      <w:r w:rsidRPr="00A96C26">
        <w:rPr>
          <w:rFonts w:ascii="Times New Roman" w:hAnsi="Times New Roman" w:cs="Times New Roman"/>
          <w:szCs w:val="28"/>
        </w:rPr>
        <w:t xml:space="preserv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formulations address several key compliance barriers: the reduced systemic toxicity profile should reduce medication side effects that drive discontinuation; the superior and more rapid efficacy should improve perceived benefit, enhancing patient motivation to continue therapy; the non-invasive administration routes (topical, transdermal, oral) should reduce injection burden; and the ability to achieve efficacy at lower systemic doses may enable once-daily or less </w:t>
      </w:r>
      <w:r w:rsidRPr="00A96C26">
        <w:rPr>
          <w:rFonts w:ascii="Times New Roman" w:hAnsi="Times New Roman" w:cs="Times New Roman"/>
          <w:szCs w:val="28"/>
        </w:rPr>
        <w:lastRenderedPageBreak/>
        <w:t>frequent dosing [</w:t>
      </w:r>
      <w:r w:rsidR="005530F6" w:rsidRPr="00A96C26">
        <w:rPr>
          <w:rFonts w:ascii="Times New Roman" w:hAnsi="Times New Roman" w:cs="Times New Roman"/>
          <w:szCs w:val="28"/>
        </w:rPr>
        <w:t>62</w:t>
      </w:r>
      <w:r w:rsidRPr="00A96C26">
        <w:rPr>
          <w:rFonts w:ascii="Times New Roman" w:hAnsi="Times New Roman" w:cs="Times New Roman"/>
          <w:szCs w:val="28"/>
        </w:rPr>
        <w:t>]. Quantitative studies of medication adherence in RA consistently demonstrate that more convenient administration routes and reduced adverse effects dramatically improve compliance rates; patients on oral medications demonstrate 70-80% compliance rates versus only 40-50% compliance on parenteral biologic therapy [</w:t>
      </w:r>
      <w:r w:rsidR="005530F6" w:rsidRPr="00A96C26">
        <w:rPr>
          <w:rFonts w:ascii="Times New Roman" w:hAnsi="Times New Roman" w:cs="Times New Roman"/>
          <w:szCs w:val="28"/>
        </w:rPr>
        <w:t>61</w:t>
      </w:r>
      <w:r w:rsidRPr="00A96C26">
        <w:rPr>
          <w:rFonts w:ascii="Times New Roman" w:hAnsi="Times New Roman" w:cs="Times New Roman"/>
          <w:szCs w:val="28"/>
        </w:rPr>
        <w:t>].</w:t>
      </w:r>
    </w:p>
    <w:p w14:paraId="7B516C95"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Reduced Injection Frequency</w:t>
      </w:r>
    </w:p>
    <w:p w14:paraId="7DBF90DA" w14:textId="19B511D6"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Current biologic RA therapies require parenteral administration at intervals ranging from weekly (etanercept) to every 2-4 weeks (TNF inhibitors, IL-6 inhibitors) or every 4-8 weeks (B-cell or T-cell depleting biologic agents). The frequent injection burden directly impairs quality of life and contributes to medication discontinuation; studies indicate that 20-30% of patients discontinue biologic therapy within the first year, with 30-40% of discontinuations attributable directly to injection burden [</w:t>
      </w:r>
      <w:r w:rsidR="00301F48" w:rsidRPr="00A96C26">
        <w:rPr>
          <w:rFonts w:ascii="Times New Roman" w:hAnsi="Times New Roman" w:cs="Times New Roman"/>
          <w:szCs w:val="28"/>
        </w:rPr>
        <w:t>59</w:t>
      </w:r>
      <w:r w:rsidRPr="00A96C26">
        <w:rPr>
          <w:rFonts w:ascii="Times New Roman" w:hAnsi="Times New Roman" w:cs="Times New Roman"/>
          <w:szCs w:val="28"/>
        </w:rPr>
        <w:t xml:space="preserv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formulations offer multiple strategies to reduce injection frequency: enhanced drug half-life at the target tissue (synovial joint) through cellular sequestration and protective encapsulation within vesicles enables less frequent dosing (potentially every 2-4 weeks instead of weekly); sustained-release transdermal formulations could provide continuous drug delivery without repeated administrations; and non-parenteral routes (oral, transdermal) eliminate the need for injections altogether [</w:t>
      </w:r>
      <w:r w:rsidR="00301F48" w:rsidRPr="00A96C26">
        <w:rPr>
          <w:rFonts w:ascii="Times New Roman" w:hAnsi="Times New Roman" w:cs="Times New Roman"/>
          <w:szCs w:val="28"/>
        </w:rPr>
        <w:t>60</w:t>
      </w:r>
      <w:r w:rsidRPr="00A96C26">
        <w:rPr>
          <w:rFonts w:ascii="Times New Roman" w:hAnsi="Times New Roman" w:cs="Times New Roman"/>
          <w:szCs w:val="28"/>
        </w:rPr>
        <w:t xml:space="preserve">]. The reduced injection frequency is particularly attractive for polyarticular RA affecting multiple joints; conventional therapy typically uses systemic administration affecting all affected joints equally, but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formulations enable intra-articular or periarticular injection targeting specific affected joints, with potential for injection spacing over multiple weeks rather than systemic injections weekly or biweekly [</w:t>
      </w:r>
      <w:r w:rsidR="00301F48" w:rsidRPr="00A96C26">
        <w:rPr>
          <w:rFonts w:ascii="Times New Roman" w:hAnsi="Times New Roman" w:cs="Times New Roman"/>
          <w:szCs w:val="28"/>
        </w:rPr>
        <w:t>61</w:t>
      </w:r>
      <w:r w:rsidRPr="00A96C26">
        <w:rPr>
          <w:rFonts w:ascii="Times New Roman" w:hAnsi="Times New Roman" w:cs="Times New Roman"/>
          <w:szCs w:val="28"/>
        </w:rPr>
        <w:t>].</w:t>
      </w:r>
    </w:p>
    <w:p w14:paraId="3924FDCC"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Better Quality of Life</w:t>
      </w:r>
    </w:p>
    <w:p w14:paraId="5B2945A9" w14:textId="4B13E328"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 xml:space="preserve">The cumulative effect of superior efficacy, reduced systemic toxicity, improved medication compliance, and reduced injection frequency is dramatically improved quality of life for RA patients managed with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formulations [</w:t>
      </w:r>
      <w:r w:rsidR="00301F48" w:rsidRPr="00A96C26">
        <w:rPr>
          <w:rFonts w:ascii="Times New Roman" w:hAnsi="Times New Roman" w:cs="Times New Roman"/>
          <w:szCs w:val="28"/>
        </w:rPr>
        <w:t>65</w:t>
      </w:r>
      <w:r w:rsidRPr="00A96C26">
        <w:rPr>
          <w:rFonts w:ascii="Times New Roman" w:hAnsi="Times New Roman" w:cs="Times New Roman"/>
          <w:szCs w:val="28"/>
        </w:rPr>
        <w:t>]. RA imposes substantial quality of life burden: chronic pain and disability reduce work productivity and household function; joint damage and disfigurement cause body image distress and social withdrawal; medication side effects (nausea, fatigue, cognitive impairment, infections) further limit activities and social engagement; and the burden of frequent medical appointments and monitoring tests consumes substantial time and resources [</w:t>
      </w:r>
      <w:r w:rsidR="00301F48" w:rsidRPr="00A96C26">
        <w:rPr>
          <w:rFonts w:ascii="Times New Roman" w:hAnsi="Times New Roman" w:cs="Times New Roman"/>
          <w:szCs w:val="28"/>
        </w:rPr>
        <w:t>64</w:t>
      </w:r>
      <w:r w:rsidRPr="00A96C26">
        <w:rPr>
          <w:rFonts w:ascii="Times New Roman" w:hAnsi="Times New Roman" w:cs="Times New Roman"/>
          <w:szCs w:val="28"/>
        </w:rPr>
        <w:t xml:space="preserv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formulations addressing the efficacy-toxicity trade-off should enable better disease suppression with fewer adverse effects, directly reducing pain, preserving joint function, and preventing progressive disability </w:t>
      </w:r>
      <w:r w:rsidR="00301F48" w:rsidRPr="00A96C26">
        <w:rPr>
          <w:rFonts w:ascii="Times New Roman" w:hAnsi="Times New Roman" w:cs="Times New Roman"/>
          <w:szCs w:val="28"/>
        </w:rPr>
        <w:t>[6</w:t>
      </w:r>
      <w:r w:rsidRPr="00A96C26">
        <w:rPr>
          <w:rFonts w:ascii="Times New Roman" w:hAnsi="Times New Roman" w:cs="Times New Roman"/>
          <w:szCs w:val="28"/>
        </w:rPr>
        <w:t>3]. The improved safety profile should reduce infection risk, hepatotoxicity, and hematologic toxicity, reducing infection-related illnesses and associated sick days, emergency department visits, and hospitalizations [</w:t>
      </w:r>
      <w:r w:rsidR="00301F48" w:rsidRPr="00A96C26">
        <w:rPr>
          <w:rFonts w:ascii="Times New Roman" w:hAnsi="Times New Roman" w:cs="Times New Roman"/>
          <w:szCs w:val="28"/>
        </w:rPr>
        <w:t>62</w:t>
      </w:r>
      <w:r w:rsidRPr="00A96C26">
        <w:rPr>
          <w:rFonts w:ascii="Times New Roman" w:hAnsi="Times New Roman" w:cs="Times New Roman"/>
          <w:szCs w:val="28"/>
        </w:rPr>
        <w:t>]. The non-invasive administration routes should reduce healthcare facility visits and simplify medication management, freeing patients' time and reducing the psychological burden of managing a complex disease requiring frequent medical intervention [</w:t>
      </w:r>
      <w:r w:rsidR="00301F48" w:rsidRPr="00A96C26">
        <w:rPr>
          <w:rFonts w:ascii="Times New Roman" w:hAnsi="Times New Roman" w:cs="Times New Roman"/>
          <w:szCs w:val="28"/>
        </w:rPr>
        <w:t>61</w:t>
      </w:r>
      <w:r w:rsidRPr="00A96C26">
        <w:rPr>
          <w:rFonts w:ascii="Times New Roman" w:hAnsi="Times New Roman" w:cs="Times New Roman"/>
          <w:szCs w:val="28"/>
        </w:rPr>
        <w:t xml:space="preserve">]. Studies of RA patients' quality of life using validated instruments (SF-36, HAQ, EQ-5D) demonstrate that patients achieving disease </w:t>
      </w:r>
      <w:r w:rsidRPr="00A96C26">
        <w:rPr>
          <w:rFonts w:ascii="Times New Roman" w:hAnsi="Times New Roman" w:cs="Times New Roman"/>
          <w:szCs w:val="28"/>
        </w:rPr>
        <w:lastRenderedPageBreak/>
        <w:t xml:space="preserve">remission or low disease activity have quality of life scores approaching population norms, compared to substantially reduced quality of life in inadequately controlled RA. </w:t>
      </w:r>
    </w:p>
    <w:p w14:paraId="09D7346D"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8. Comparison with Other Advanced Delivery Systems</w:t>
      </w:r>
    </w:p>
    <w:p w14:paraId="2CBDB306" w14:textId="52BF1CD6" w:rsidR="00235CAF" w:rsidRPr="00A96C26" w:rsidRDefault="00235CAF" w:rsidP="00235CAF">
      <w:pPr>
        <w:jc w:val="both"/>
        <w:rPr>
          <w:rFonts w:ascii="Times New Roman" w:hAnsi="Times New Roman" w:cs="Times New Roman"/>
          <w:szCs w:val="28"/>
        </w:rPr>
      </w:pP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represent a significant advancement in drug delivery technology, but their position within the broader landscape of nanotechnology-based delivery systems requires careful comparative analysis to establish their unique value proposition [</w:t>
      </w:r>
      <w:r w:rsidR="00301F48" w:rsidRPr="00A96C26">
        <w:rPr>
          <w:rFonts w:ascii="Times New Roman" w:hAnsi="Times New Roman" w:cs="Times New Roman"/>
          <w:szCs w:val="28"/>
        </w:rPr>
        <w:t>65</w:t>
      </w:r>
      <w:r w:rsidRPr="00A96C26">
        <w:rPr>
          <w:rFonts w:ascii="Times New Roman" w:hAnsi="Times New Roman" w:cs="Times New Roman"/>
          <w:szCs w:val="28"/>
        </w:rPr>
        <w:t>]. Multiple advanced delivery systems have been developed to overcome the limitations of conventional drug formulations, each with distinct advantages and limitations that influence their suitability for specific applications [</w:t>
      </w:r>
      <w:r w:rsidR="00301F48" w:rsidRPr="00A96C26">
        <w:rPr>
          <w:rFonts w:ascii="Times New Roman" w:hAnsi="Times New Roman" w:cs="Times New Roman"/>
          <w:szCs w:val="28"/>
        </w:rPr>
        <w:t>66</w:t>
      </w:r>
      <w:r w:rsidRPr="00A96C26">
        <w:rPr>
          <w:rFonts w:ascii="Times New Roman" w:hAnsi="Times New Roman" w:cs="Times New Roman"/>
          <w:szCs w:val="28"/>
        </w:rPr>
        <w:t>].</w:t>
      </w:r>
    </w:p>
    <w:p w14:paraId="0489A9CD"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Comparative Analysis</w:t>
      </w:r>
    </w:p>
    <w:p w14:paraId="3043CEED"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Deformability and Penetration Advantages</w:t>
      </w:r>
    </w:p>
    <w:p w14:paraId="6EF64277" w14:textId="1F234E34" w:rsidR="00235CAF" w:rsidRPr="00A96C26" w:rsidRDefault="00235CAF" w:rsidP="00235CAF">
      <w:pPr>
        <w:jc w:val="both"/>
        <w:rPr>
          <w:rFonts w:ascii="Times New Roman" w:hAnsi="Times New Roman" w:cs="Times New Roman"/>
          <w:szCs w:val="28"/>
        </w:rPr>
      </w:pP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demonstrate unparalleled deformability among lipid-based nanocarriers, with deformation indices </w:t>
      </w:r>
      <w:proofErr w:type="gramStart"/>
      <w:r w:rsidRPr="00A96C26">
        <w:rPr>
          <w:rFonts w:ascii="Times New Roman" w:hAnsi="Times New Roman" w:cs="Times New Roman"/>
          <w:szCs w:val="28"/>
        </w:rPr>
        <w:t>2-3 fold</w:t>
      </w:r>
      <w:proofErr w:type="gramEnd"/>
      <w:r w:rsidRPr="00A96C26">
        <w:rPr>
          <w:rFonts w:ascii="Times New Roman" w:hAnsi="Times New Roman" w:cs="Times New Roman"/>
          <w:szCs w:val="28"/>
        </w:rPr>
        <w:t xml:space="preserve"> superior to conventional liposomes, enabling traversal of pores 40-50% smaller than their native diameter [</w:t>
      </w:r>
      <w:r w:rsidR="00301F48" w:rsidRPr="00A96C26">
        <w:rPr>
          <w:rFonts w:ascii="Times New Roman" w:hAnsi="Times New Roman" w:cs="Times New Roman"/>
          <w:szCs w:val="28"/>
        </w:rPr>
        <w:t>65</w:t>
      </w:r>
      <w:r w:rsidRPr="00A96C26">
        <w:rPr>
          <w:rFonts w:ascii="Times New Roman" w:hAnsi="Times New Roman" w:cs="Times New Roman"/>
          <w:szCs w:val="28"/>
        </w:rPr>
        <w:t xml:space="preserve">]. This exceptional deformability directly translates to superior tissue penetration;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penetrate synovial tissue to depths of 180-220 micrometers within 2-4 hours, compared to only 30-50 micrometers for conventional liposomes and 50-80 micrometers for </w:t>
      </w:r>
      <w:proofErr w:type="spellStart"/>
      <w:r w:rsidRPr="00A96C26">
        <w:rPr>
          <w:rFonts w:ascii="Times New Roman" w:hAnsi="Times New Roman" w:cs="Times New Roman"/>
          <w:szCs w:val="28"/>
        </w:rPr>
        <w:t>niosomes</w:t>
      </w:r>
      <w:proofErr w:type="spellEnd"/>
      <w:r w:rsidRPr="00A96C26">
        <w:rPr>
          <w:rFonts w:ascii="Times New Roman" w:hAnsi="Times New Roman" w:cs="Times New Roman"/>
          <w:szCs w:val="28"/>
        </w:rPr>
        <w:t xml:space="preserve"> [</w:t>
      </w:r>
      <w:r w:rsidR="00301F48" w:rsidRPr="00A96C26">
        <w:rPr>
          <w:rFonts w:ascii="Times New Roman" w:hAnsi="Times New Roman" w:cs="Times New Roman"/>
          <w:szCs w:val="28"/>
        </w:rPr>
        <w:t>63</w:t>
      </w:r>
      <w:r w:rsidRPr="00A96C26">
        <w:rPr>
          <w:rFonts w:ascii="Times New Roman" w:hAnsi="Times New Roman" w:cs="Times New Roman"/>
          <w:szCs w:val="28"/>
        </w:rPr>
        <w:t>]. Micelles, which lack the vesicular bilayer structure, demonstrate intermediate penetration capacity through different mechanisms (smaller size enabling passive diffusion), while rigid nanoparticles show minimal penetration through dense tissue due to their inflexibility [</w:t>
      </w:r>
      <w:r w:rsidR="00301F48" w:rsidRPr="00A96C26">
        <w:rPr>
          <w:rFonts w:ascii="Times New Roman" w:hAnsi="Times New Roman" w:cs="Times New Roman"/>
          <w:szCs w:val="28"/>
        </w:rPr>
        <w:t>6</w:t>
      </w:r>
      <w:r w:rsidRPr="00A96C26">
        <w:rPr>
          <w:rFonts w:ascii="Times New Roman" w:hAnsi="Times New Roman" w:cs="Times New Roman"/>
          <w:szCs w:val="28"/>
        </w:rPr>
        <w:t xml:space="preserve">3]. The superior deformability of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directly addresses a critical limitation of conventional liposomes in RA applications; conventional liposomes, despite decades of research and development, have never achieved clinical efficacy in RA comparable to systemic DMARD therapy because their rigid structure prevents adequate synovial penetration [</w:t>
      </w:r>
      <w:r w:rsidR="00301F48" w:rsidRPr="00A96C26">
        <w:rPr>
          <w:rFonts w:ascii="Times New Roman" w:hAnsi="Times New Roman" w:cs="Times New Roman"/>
          <w:szCs w:val="28"/>
        </w:rPr>
        <w:t>6</w:t>
      </w:r>
      <w:r w:rsidRPr="00A96C26">
        <w:rPr>
          <w:rFonts w:ascii="Times New Roman" w:hAnsi="Times New Roman" w:cs="Times New Roman"/>
          <w:szCs w:val="28"/>
        </w:rPr>
        <w:t xml:space="preserve">4]. This fundamental mechanical advantage of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over liposomes represents a genuine technological advancement rather than incremental improvement [</w:t>
      </w:r>
      <w:r w:rsidR="00301F48" w:rsidRPr="00A96C26">
        <w:rPr>
          <w:rFonts w:ascii="Times New Roman" w:hAnsi="Times New Roman" w:cs="Times New Roman"/>
          <w:szCs w:val="28"/>
        </w:rPr>
        <w:t>6</w:t>
      </w:r>
      <w:r w:rsidRPr="00A96C26">
        <w:rPr>
          <w:rFonts w:ascii="Times New Roman" w:hAnsi="Times New Roman" w:cs="Times New Roman"/>
          <w:szCs w:val="28"/>
        </w:rPr>
        <w:t>5].</w:t>
      </w:r>
    </w:p>
    <w:p w14:paraId="7860CC95"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Regulatory and Clinical Development Pathways</w:t>
      </w:r>
    </w:p>
    <w:p w14:paraId="635C8620" w14:textId="2B3027BF" w:rsidR="00235CAF" w:rsidRPr="00A96C26" w:rsidRDefault="00235CAF" w:rsidP="00235CAF">
      <w:pPr>
        <w:jc w:val="both"/>
        <w:rPr>
          <w:rFonts w:ascii="Times New Roman" w:hAnsi="Times New Roman" w:cs="Times New Roman"/>
          <w:szCs w:val="28"/>
        </w:rPr>
      </w:pP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benefit from the established regulatory framework for lipid-based drug delivery systems; regulatory agencies (FDA, EMA) have decades of experience evaluating and approving liposomal and lipid nanoparticle formulations, facilitating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regulatory approval pathways [</w:t>
      </w:r>
      <w:r w:rsidR="00301F48" w:rsidRPr="00A96C26">
        <w:rPr>
          <w:rFonts w:ascii="Times New Roman" w:hAnsi="Times New Roman" w:cs="Times New Roman"/>
          <w:szCs w:val="28"/>
        </w:rPr>
        <w:t>6</w:t>
      </w:r>
      <w:r w:rsidRPr="00A96C26">
        <w:rPr>
          <w:rFonts w:ascii="Times New Roman" w:hAnsi="Times New Roman" w:cs="Times New Roman"/>
          <w:szCs w:val="28"/>
        </w:rPr>
        <w:t xml:space="preserve">1]. The regulatory pathway for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as novel formulations of approved drugs (e.g., MTX-loaded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is substantially simpler than approval of entirely new chemical entities or complex biologic agents [</w:t>
      </w:r>
      <w:r w:rsidR="00301F48" w:rsidRPr="00A96C26">
        <w:rPr>
          <w:rFonts w:ascii="Times New Roman" w:hAnsi="Times New Roman" w:cs="Times New Roman"/>
          <w:szCs w:val="28"/>
        </w:rPr>
        <w:t>6</w:t>
      </w:r>
      <w:r w:rsidRPr="00A96C26">
        <w:rPr>
          <w:rFonts w:ascii="Times New Roman" w:hAnsi="Times New Roman" w:cs="Times New Roman"/>
          <w:szCs w:val="28"/>
        </w:rPr>
        <w:t xml:space="preserve">2]. </w:t>
      </w:r>
      <w:proofErr w:type="spellStart"/>
      <w:r w:rsidRPr="00A96C26">
        <w:rPr>
          <w:rFonts w:ascii="Times New Roman" w:hAnsi="Times New Roman" w:cs="Times New Roman"/>
          <w:szCs w:val="28"/>
        </w:rPr>
        <w:t>Niosomes</w:t>
      </w:r>
      <w:proofErr w:type="spellEnd"/>
      <w:r w:rsidRPr="00A96C26">
        <w:rPr>
          <w:rFonts w:ascii="Times New Roman" w:hAnsi="Times New Roman" w:cs="Times New Roman"/>
          <w:szCs w:val="28"/>
        </w:rPr>
        <w:t xml:space="preserve"> similarly benefit from established regulatory pathways, though their history in approved pharmaceuticals is less extensive than liposomes [</w:t>
      </w:r>
      <w:r w:rsidR="00301F48" w:rsidRPr="00A96C26">
        <w:rPr>
          <w:rFonts w:ascii="Times New Roman" w:hAnsi="Times New Roman" w:cs="Times New Roman"/>
          <w:szCs w:val="28"/>
        </w:rPr>
        <w:t>6</w:t>
      </w:r>
      <w:r w:rsidRPr="00A96C26">
        <w:rPr>
          <w:rFonts w:ascii="Times New Roman" w:hAnsi="Times New Roman" w:cs="Times New Roman"/>
          <w:szCs w:val="28"/>
        </w:rPr>
        <w:t>3]. Micelles face somewhat more complex regulatory scrutiny regarding their physical stability and consistency [</w:t>
      </w:r>
      <w:r w:rsidR="00301F48" w:rsidRPr="00A96C26">
        <w:rPr>
          <w:rFonts w:ascii="Times New Roman" w:hAnsi="Times New Roman" w:cs="Times New Roman"/>
          <w:szCs w:val="28"/>
        </w:rPr>
        <w:t>6</w:t>
      </w:r>
      <w:r w:rsidRPr="00A96C26">
        <w:rPr>
          <w:rFonts w:ascii="Times New Roman" w:hAnsi="Times New Roman" w:cs="Times New Roman"/>
          <w:szCs w:val="28"/>
        </w:rPr>
        <w:t xml:space="preserve">4]. Polymeric and inorganic nanoparticles encounter more substantial regulatory challenges, particularly regarding long-term biodegradation and potential </w:t>
      </w:r>
      <w:r w:rsidRPr="00A96C26">
        <w:rPr>
          <w:rFonts w:ascii="Times New Roman" w:hAnsi="Times New Roman" w:cs="Times New Roman"/>
          <w:szCs w:val="28"/>
        </w:rPr>
        <w:lastRenderedPageBreak/>
        <w:t>tissue accumulation toxicity [</w:t>
      </w:r>
      <w:r w:rsidR="00301F48" w:rsidRPr="00A96C26">
        <w:rPr>
          <w:rFonts w:ascii="Times New Roman" w:hAnsi="Times New Roman" w:cs="Times New Roman"/>
          <w:szCs w:val="28"/>
        </w:rPr>
        <w:t>6</w:t>
      </w:r>
      <w:r w:rsidRPr="00A96C26">
        <w:rPr>
          <w:rFonts w:ascii="Times New Roman" w:hAnsi="Times New Roman" w:cs="Times New Roman"/>
          <w:szCs w:val="28"/>
        </w:rPr>
        <w:t xml:space="preserve">5]. The relatively straightforward regulatory pathway for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should accelerate clinical development and market availability compared to entirely novel delivery platforms [</w:t>
      </w:r>
      <w:r w:rsidR="00301F48" w:rsidRPr="00A96C26">
        <w:rPr>
          <w:rFonts w:ascii="Times New Roman" w:hAnsi="Times New Roman" w:cs="Times New Roman"/>
          <w:szCs w:val="28"/>
        </w:rPr>
        <w:t>6</w:t>
      </w:r>
      <w:r w:rsidRPr="00A96C26">
        <w:rPr>
          <w:rFonts w:ascii="Times New Roman" w:hAnsi="Times New Roman" w:cs="Times New Roman"/>
          <w:szCs w:val="28"/>
        </w:rPr>
        <w:t>6].</w:t>
      </w:r>
    </w:p>
    <w:p w14:paraId="71D474FE"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Key Conclusions from Comparative Analysis</w:t>
      </w:r>
    </w:p>
    <w:p w14:paraId="53E9DBD0" w14:textId="722E742A" w:rsidR="00235CAF" w:rsidRPr="00A96C26" w:rsidRDefault="00235CAF" w:rsidP="00235CAF">
      <w:pPr>
        <w:jc w:val="both"/>
        <w:rPr>
          <w:rFonts w:ascii="Times New Roman" w:hAnsi="Times New Roman" w:cs="Times New Roman"/>
          <w:szCs w:val="28"/>
        </w:rPr>
      </w:pP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occupy a unique position within the drug delivery landscape: they combine the biocompatibility and regulatory advantages of liposomal systems with mechanical properties (deformability) that fundamentally surpass conventional liposomes [</w:t>
      </w:r>
      <w:r w:rsidR="00573E48" w:rsidRPr="00A96C26">
        <w:rPr>
          <w:rFonts w:ascii="Times New Roman" w:hAnsi="Times New Roman" w:cs="Times New Roman"/>
          <w:szCs w:val="28"/>
        </w:rPr>
        <w:t>6</w:t>
      </w:r>
      <w:r w:rsidRPr="00A96C26">
        <w:rPr>
          <w:rFonts w:ascii="Times New Roman" w:hAnsi="Times New Roman" w:cs="Times New Roman"/>
          <w:szCs w:val="28"/>
        </w:rPr>
        <w:t xml:space="preserve">1]. While </w:t>
      </w:r>
      <w:proofErr w:type="spellStart"/>
      <w:r w:rsidRPr="00A96C26">
        <w:rPr>
          <w:rFonts w:ascii="Times New Roman" w:hAnsi="Times New Roman" w:cs="Times New Roman"/>
          <w:szCs w:val="28"/>
        </w:rPr>
        <w:t>niosomes</w:t>
      </w:r>
      <w:proofErr w:type="spellEnd"/>
      <w:r w:rsidRPr="00A96C26">
        <w:rPr>
          <w:rFonts w:ascii="Times New Roman" w:hAnsi="Times New Roman" w:cs="Times New Roman"/>
          <w:szCs w:val="28"/>
        </w:rPr>
        <w:t xml:space="preserve"> demonstrate superior physical stability and cost-equivalent manufacturing, they lack the superior deformability that distinguishes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w:t>
      </w:r>
      <w:r w:rsidR="00573E48" w:rsidRPr="00A96C26">
        <w:rPr>
          <w:rFonts w:ascii="Times New Roman" w:hAnsi="Times New Roman" w:cs="Times New Roman"/>
          <w:szCs w:val="28"/>
        </w:rPr>
        <w:t>6</w:t>
      </w:r>
      <w:r w:rsidRPr="00A96C26">
        <w:rPr>
          <w:rFonts w:ascii="Times New Roman" w:hAnsi="Times New Roman" w:cs="Times New Roman"/>
          <w:szCs w:val="28"/>
        </w:rPr>
        <w:t xml:space="preserve">2]. While nanoparticles offer exceptional stability and diverse engineering possibilities, they lack the tissue penetration capacity of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and face greater regulatory scrutiny [</w:t>
      </w:r>
      <w:r w:rsidR="00573E48" w:rsidRPr="00A96C26">
        <w:rPr>
          <w:rFonts w:ascii="Times New Roman" w:hAnsi="Times New Roman" w:cs="Times New Roman"/>
          <w:szCs w:val="28"/>
        </w:rPr>
        <w:t>6</w:t>
      </w:r>
      <w:r w:rsidRPr="00A96C26">
        <w:rPr>
          <w:rFonts w:ascii="Times New Roman" w:hAnsi="Times New Roman" w:cs="Times New Roman"/>
          <w:szCs w:val="28"/>
        </w:rPr>
        <w:t xml:space="preserve">3]. The comparison demonstrates that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represent a genuine technological advancement addressing real limitations of prior systems, rather than an incremental reformulation of existing technology [</w:t>
      </w:r>
      <w:r w:rsidR="00573E48" w:rsidRPr="00A96C26">
        <w:rPr>
          <w:rFonts w:ascii="Times New Roman" w:hAnsi="Times New Roman" w:cs="Times New Roman"/>
          <w:szCs w:val="28"/>
        </w:rPr>
        <w:t>6</w:t>
      </w:r>
      <w:r w:rsidRPr="00A96C26">
        <w:rPr>
          <w:rFonts w:ascii="Times New Roman" w:hAnsi="Times New Roman" w:cs="Times New Roman"/>
          <w:szCs w:val="28"/>
        </w:rPr>
        <w:t xml:space="preserve">4]. For RA applications specifically, where synovial tissue penetration and cellular uptake represent critical success factors,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demonstrate clear superiority over alternative lipid-based systems and comparable or superior efficacy to rigid nanoparticles while maintaining superior safety and manufacturing simplicity [</w:t>
      </w:r>
      <w:r w:rsidR="00573E48" w:rsidRPr="00A96C26">
        <w:rPr>
          <w:rFonts w:ascii="Times New Roman" w:hAnsi="Times New Roman" w:cs="Times New Roman"/>
          <w:szCs w:val="28"/>
        </w:rPr>
        <w:t>6</w:t>
      </w:r>
      <w:r w:rsidRPr="00A96C26">
        <w:rPr>
          <w:rFonts w:ascii="Times New Roman" w:hAnsi="Times New Roman" w:cs="Times New Roman"/>
          <w:szCs w:val="28"/>
        </w:rPr>
        <w:t>5].</w:t>
      </w:r>
    </w:p>
    <w:p w14:paraId="4DA28FC1"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9. Future Perspectives &amp; Emerging Trends</w:t>
      </w:r>
    </w:p>
    <w:p w14:paraId="7071CD1B"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9.1 Surface Modifications</w:t>
      </w:r>
    </w:p>
    <w:p w14:paraId="58D67786" w14:textId="77777777"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Targeting Ligands (Folate, Antibodies)</w:t>
      </w:r>
    </w:p>
    <w:p w14:paraId="39339EC8" w14:textId="18B0E1E4"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 xml:space="preserve">Active targeting of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to specific RA-relevant cell types represents an emerging frontier enhancing the selectivity already conferred by passive EPR-mediated targeting [</w:t>
      </w:r>
      <w:r w:rsidR="00573E48" w:rsidRPr="00A96C26">
        <w:rPr>
          <w:rFonts w:ascii="Times New Roman" w:hAnsi="Times New Roman" w:cs="Times New Roman"/>
          <w:szCs w:val="28"/>
        </w:rPr>
        <w:t>6</w:t>
      </w:r>
      <w:r w:rsidRPr="00A96C26">
        <w:rPr>
          <w:rFonts w:ascii="Times New Roman" w:hAnsi="Times New Roman" w:cs="Times New Roman"/>
          <w:szCs w:val="28"/>
        </w:rPr>
        <w:t>1]. Folate receptor α (FR-α) is substantially overexpressed on activated synovial macrophages and fibroblasts in RA, compared to minimal expression on healthy tissue [</w:t>
      </w:r>
      <w:r w:rsidR="00573E48" w:rsidRPr="00A96C26">
        <w:rPr>
          <w:rFonts w:ascii="Times New Roman" w:hAnsi="Times New Roman" w:cs="Times New Roman"/>
          <w:szCs w:val="28"/>
        </w:rPr>
        <w:t>6</w:t>
      </w:r>
      <w:r w:rsidRPr="00A96C26">
        <w:rPr>
          <w:rFonts w:ascii="Times New Roman" w:hAnsi="Times New Roman" w:cs="Times New Roman"/>
          <w:szCs w:val="28"/>
        </w:rPr>
        <w:t xml:space="preserve">2]. Folate conjugation to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surfaces via polyethylene glycol (PEG) linkers produces folate-targeted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that undergo receptor-mediated internalization by folate receptor-expressing cells [</w:t>
      </w:r>
      <w:r w:rsidR="00573E48" w:rsidRPr="00A96C26">
        <w:rPr>
          <w:rFonts w:ascii="Times New Roman" w:hAnsi="Times New Roman" w:cs="Times New Roman"/>
          <w:szCs w:val="28"/>
        </w:rPr>
        <w:t>6</w:t>
      </w:r>
      <w:r w:rsidRPr="00A96C26">
        <w:rPr>
          <w:rFonts w:ascii="Times New Roman" w:hAnsi="Times New Roman" w:cs="Times New Roman"/>
          <w:szCs w:val="28"/>
        </w:rPr>
        <w:t xml:space="preserve">3]. Preclinical studies demonstrate that folate-targeted MTX-loaded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achieve </w:t>
      </w:r>
      <w:proofErr w:type="gramStart"/>
      <w:r w:rsidRPr="00A96C26">
        <w:rPr>
          <w:rFonts w:ascii="Times New Roman" w:hAnsi="Times New Roman" w:cs="Times New Roman"/>
          <w:szCs w:val="28"/>
        </w:rPr>
        <w:t>2-3 fold</w:t>
      </w:r>
      <w:proofErr w:type="gramEnd"/>
      <w:r w:rsidRPr="00A96C26">
        <w:rPr>
          <w:rFonts w:ascii="Times New Roman" w:hAnsi="Times New Roman" w:cs="Times New Roman"/>
          <w:szCs w:val="28"/>
        </w:rPr>
        <w:t xml:space="preserve"> higher uptake by synovial macrophages compared to non-targeted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with corresponding enhanced anti-inflammatory efficacy [</w:t>
      </w:r>
      <w:r w:rsidR="00573E48" w:rsidRPr="00A96C26">
        <w:rPr>
          <w:rFonts w:ascii="Times New Roman" w:hAnsi="Times New Roman" w:cs="Times New Roman"/>
          <w:szCs w:val="28"/>
        </w:rPr>
        <w:t>6</w:t>
      </w:r>
      <w:r w:rsidRPr="00A96C26">
        <w:rPr>
          <w:rFonts w:ascii="Times New Roman" w:hAnsi="Times New Roman" w:cs="Times New Roman"/>
          <w:szCs w:val="28"/>
        </w:rPr>
        <w:t xml:space="preserve">4]. Antibody-based targeting employing monoclonal antibodies against inflammatory cell markers (anti-TNF-α, anti-IL-6R, anti-CD25) enables targeting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to cells expressing these surface markers [</w:t>
      </w:r>
      <w:r w:rsidR="00573E48" w:rsidRPr="00A96C26">
        <w:rPr>
          <w:rFonts w:ascii="Times New Roman" w:hAnsi="Times New Roman" w:cs="Times New Roman"/>
          <w:szCs w:val="28"/>
        </w:rPr>
        <w:t>6</w:t>
      </w:r>
      <w:r w:rsidRPr="00A96C26">
        <w:rPr>
          <w:rFonts w:ascii="Times New Roman" w:hAnsi="Times New Roman" w:cs="Times New Roman"/>
          <w:szCs w:val="28"/>
        </w:rPr>
        <w:t xml:space="preserve">5]. While antibody conjugation increases formulation complexity and cost, the potential for targeting TNF-α-producing cells directly with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TNF-inhibitors or other anti-inflammatory agents represents an attractive therapeutic strategy [</w:t>
      </w:r>
      <w:r w:rsidR="00573E48" w:rsidRPr="00A96C26">
        <w:rPr>
          <w:rFonts w:ascii="Times New Roman" w:hAnsi="Times New Roman" w:cs="Times New Roman"/>
          <w:szCs w:val="28"/>
        </w:rPr>
        <w:t>6</w:t>
      </w:r>
      <w:r w:rsidRPr="00A96C26">
        <w:rPr>
          <w:rFonts w:ascii="Times New Roman" w:hAnsi="Times New Roman" w:cs="Times New Roman"/>
          <w:szCs w:val="28"/>
        </w:rPr>
        <w:t>6]. Peptide-based targeting using short peptide ligands (e.g., RGD peptides targeting integrins overexpressed in inflamed tissue) offers intermediate complexity and cost between folate and antibody targeting [</w:t>
      </w:r>
      <w:r w:rsidR="00573E48" w:rsidRPr="00A96C26">
        <w:rPr>
          <w:rFonts w:ascii="Times New Roman" w:hAnsi="Times New Roman" w:cs="Times New Roman"/>
          <w:szCs w:val="28"/>
        </w:rPr>
        <w:t>6</w:t>
      </w:r>
      <w:r w:rsidRPr="00A96C26">
        <w:rPr>
          <w:rFonts w:ascii="Times New Roman" w:hAnsi="Times New Roman" w:cs="Times New Roman"/>
          <w:szCs w:val="28"/>
        </w:rPr>
        <w:t xml:space="preserve">7]. Emerging evidence suggests that combination of passive (EPR-mediated) and active (ligand-mediated) targeting </w:t>
      </w:r>
      <w:r w:rsidRPr="00A96C26">
        <w:rPr>
          <w:rFonts w:ascii="Times New Roman" w:hAnsi="Times New Roman" w:cs="Times New Roman"/>
          <w:szCs w:val="28"/>
        </w:rPr>
        <w:lastRenderedPageBreak/>
        <w:t xml:space="preserve">produces synergistic accumulation effects, with dual-targeted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achieving substantially higher synovial accumulation than either targeting mechanism alone [</w:t>
      </w:r>
      <w:r w:rsidR="00573E48" w:rsidRPr="00A96C26">
        <w:rPr>
          <w:rFonts w:ascii="Times New Roman" w:hAnsi="Times New Roman" w:cs="Times New Roman"/>
          <w:szCs w:val="28"/>
        </w:rPr>
        <w:t>6</w:t>
      </w:r>
      <w:r w:rsidRPr="00A96C26">
        <w:rPr>
          <w:rFonts w:ascii="Times New Roman" w:hAnsi="Times New Roman" w:cs="Times New Roman"/>
          <w:szCs w:val="28"/>
        </w:rPr>
        <w:t>8]</w:t>
      </w:r>
    </w:p>
    <w:p w14:paraId="0C5F320E"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 xml:space="preserve">Stimuli-Responsive </w:t>
      </w:r>
      <w:proofErr w:type="spellStart"/>
      <w:r w:rsidRPr="00A96C26">
        <w:rPr>
          <w:rFonts w:ascii="Times New Roman" w:hAnsi="Times New Roman" w:cs="Times New Roman"/>
          <w:b/>
          <w:bCs/>
          <w:szCs w:val="28"/>
        </w:rPr>
        <w:t>Transethosomes</w:t>
      </w:r>
      <w:proofErr w:type="spellEnd"/>
    </w:p>
    <w:p w14:paraId="6F6718FD" w14:textId="30ABE1BA"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 xml:space="preserve">Stimulus-triggered drug release, wherein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release encapsulated drug in response to pathophysiological conditions specific to inflamed RA joints, represents an emerging technology enhancing selectivity and reducing premature drug release during circulation [</w:t>
      </w:r>
      <w:r w:rsidR="00573E48" w:rsidRPr="00A96C26">
        <w:rPr>
          <w:rFonts w:ascii="Times New Roman" w:hAnsi="Times New Roman" w:cs="Times New Roman"/>
          <w:szCs w:val="28"/>
        </w:rPr>
        <w:t>69</w:t>
      </w:r>
      <w:r w:rsidRPr="00A96C26">
        <w:rPr>
          <w:rFonts w:ascii="Times New Roman" w:hAnsi="Times New Roman" w:cs="Times New Roman"/>
          <w:szCs w:val="28"/>
        </w:rPr>
        <w:t xml:space="preserve">]. pH-responsive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incorporating pH-sensitive linkers or functional groups release drug preferentially in the acidic microenvironment of inflamed synovial tissue (pH 6.2-6.8) compared to neutral blood pH [</w:t>
      </w:r>
      <w:r w:rsidR="00573E48" w:rsidRPr="00A96C26">
        <w:rPr>
          <w:rFonts w:ascii="Times New Roman" w:hAnsi="Times New Roman" w:cs="Times New Roman"/>
          <w:szCs w:val="28"/>
        </w:rPr>
        <w:t>70</w:t>
      </w:r>
      <w:r w:rsidRPr="00A96C26">
        <w:rPr>
          <w:rFonts w:ascii="Times New Roman" w:hAnsi="Times New Roman" w:cs="Times New Roman"/>
          <w:szCs w:val="28"/>
        </w:rPr>
        <w:t xml:space="preserve">]. Studies demonstrate that pH-responsive MTX-loaded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release 70-80% of encapsulated MTX within 4-6 hours in acidic buffer mimicking inflamed synovial pH, while releasing only 10-15% at neutral pH during circulation [</w:t>
      </w:r>
      <w:r w:rsidR="00573E48" w:rsidRPr="00A96C26">
        <w:rPr>
          <w:rFonts w:ascii="Times New Roman" w:hAnsi="Times New Roman" w:cs="Times New Roman"/>
          <w:szCs w:val="28"/>
        </w:rPr>
        <w:t>7</w:t>
      </w:r>
      <w:r w:rsidRPr="00A96C26">
        <w:rPr>
          <w:rFonts w:ascii="Times New Roman" w:hAnsi="Times New Roman" w:cs="Times New Roman"/>
          <w:szCs w:val="28"/>
        </w:rPr>
        <w:t xml:space="preserve">3]. Temperature-responsive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incorporating lipids with temperature-sensitive phase transitions release drug at elevated temperatures characteristic of inflamed joints (37.5-38.5°C) compared to normal tissue temperature [</w:t>
      </w:r>
      <w:r w:rsidR="00573E48" w:rsidRPr="00A96C26">
        <w:rPr>
          <w:rFonts w:ascii="Times New Roman" w:hAnsi="Times New Roman" w:cs="Times New Roman"/>
          <w:szCs w:val="28"/>
        </w:rPr>
        <w:t>72</w:t>
      </w:r>
      <w:r w:rsidRPr="00A96C26">
        <w:rPr>
          <w:rFonts w:ascii="Times New Roman" w:hAnsi="Times New Roman" w:cs="Times New Roman"/>
          <w:szCs w:val="28"/>
        </w:rPr>
        <w:t xml:space="preserve">]. Redox-responsive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incorporating disulfide-linked drug conjugates release drug in response to elevated glutathione concentrations within inflamed synovial cells, providing intracellular stimulus-triggered release [</w:t>
      </w:r>
      <w:r w:rsidR="00573E48" w:rsidRPr="00A96C26">
        <w:rPr>
          <w:rFonts w:ascii="Times New Roman" w:hAnsi="Times New Roman" w:cs="Times New Roman"/>
          <w:szCs w:val="28"/>
        </w:rPr>
        <w:t>71</w:t>
      </w:r>
      <w:r w:rsidRPr="00A96C26">
        <w:rPr>
          <w:rFonts w:ascii="Times New Roman" w:hAnsi="Times New Roman" w:cs="Times New Roman"/>
          <w:szCs w:val="28"/>
        </w:rPr>
        <w:t xml:space="preserve">]. Enzyme-responsive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undergo degradation and drug release in response to elevated protease concentrations (matrix metalloproteinases, cathepsins) in inflamed synovial tissue [</w:t>
      </w:r>
      <w:r w:rsidR="00573E48" w:rsidRPr="00A96C26">
        <w:rPr>
          <w:rFonts w:ascii="Times New Roman" w:hAnsi="Times New Roman" w:cs="Times New Roman"/>
          <w:szCs w:val="28"/>
        </w:rPr>
        <w:t>71</w:t>
      </w:r>
      <w:r w:rsidRPr="00A96C26">
        <w:rPr>
          <w:rFonts w:ascii="Times New Roman" w:hAnsi="Times New Roman" w:cs="Times New Roman"/>
          <w:szCs w:val="28"/>
        </w:rPr>
        <w:t xml:space="preserve">]. The advantage of stimulus-responsive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is the reduction in premature drug release during systemic circulation and the achievement of drug release specifically at the disease site, further reducing systemic toxicity while maximizing local efficacy [</w:t>
      </w:r>
      <w:r w:rsidR="00573E48" w:rsidRPr="00A96C26">
        <w:rPr>
          <w:rFonts w:ascii="Times New Roman" w:hAnsi="Times New Roman" w:cs="Times New Roman"/>
          <w:szCs w:val="28"/>
        </w:rPr>
        <w:t>72</w:t>
      </w:r>
      <w:r w:rsidRPr="00A96C26">
        <w:rPr>
          <w:rFonts w:ascii="Times New Roman" w:hAnsi="Times New Roman" w:cs="Times New Roman"/>
          <w:szCs w:val="28"/>
        </w:rPr>
        <w:t>]. Combination of multiple stimuli (pH + temperature + enzyme) provides additional specificity, with drug release occurring only when multiple disease-microenvironment characteristics are simultaneously present [</w:t>
      </w:r>
      <w:r w:rsidR="00573E48" w:rsidRPr="00A96C26">
        <w:rPr>
          <w:rFonts w:ascii="Times New Roman" w:hAnsi="Times New Roman" w:cs="Times New Roman"/>
          <w:szCs w:val="28"/>
        </w:rPr>
        <w:t>73</w:t>
      </w:r>
      <w:r w:rsidRPr="00A96C26">
        <w:rPr>
          <w:rFonts w:ascii="Times New Roman" w:hAnsi="Times New Roman" w:cs="Times New Roman"/>
          <w:szCs w:val="28"/>
        </w:rPr>
        <w:t>].</w:t>
      </w:r>
    </w:p>
    <w:p w14:paraId="61369CA4"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Combination with Nanoparticles</w:t>
      </w:r>
    </w:p>
    <w:p w14:paraId="11FDCC5F" w14:textId="1B3BC8DC"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 xml:space="preserve">Hybrid systems combining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with other nanoparticulate platforms represent an emerging approach leveraging complementary advantages of multiple technologies.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-gold nanoparticle hybrids, wherein gold nanoparticles are incorporated into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formulations or surface-conjugated, provide both photothermal therapy capacity (via gold nanoparticle near-infrared light absorption) and enhanced drug delivery (via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penetration).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-silica nanoparticle hybrids similarly combine improved stability (from silica) with enhanced penetration (from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-polymeric nanoparticle hybrids enable sustained release of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formulations, with initial rapid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-mediated delivery followed by sustained-release polymeric nanoparticle delivery. These hybrid approaches are still largely in preclinical development but represent promising directions for further enhancement of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RA therapy [</w:t>
      </w:r>
      <w:r w:rsidR="00573E48" w:rsidRPr="00A96C26">
        <w:rPr>
          <w:rFonts w:ascii="Times New Roman" w:hAnsi="Times New Roman" w:cs="Times New Roman"/>
          <w:szCs w:val="28"/>
        </w:rPr>
        <w:t>72,73</w:t>
      </w:r>
      <w:r w:rsidRPr="00A96C26">
        <w:rPr>
          <w:rFonts w:ascii="Times New Roman" w:hAnsi="Times New Roman" w:cs="Times New Roman"/>
          <w:szCs w:val="28"/>
        </w:rPr>
        <w:t>].</w:t>
      </w:r>
    </w:p>
    <w:p w14:paraId="50960325"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9.2 Advanced Formulations</w:t>
      </w:r>
    </w:p>
    <w:p w14:paraId="260389D8"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lastRenderedPageBreak/>
        <w:t>Hybrid Systems</w:t>
      </w:r>
    </w:p>
    <w:p w14:paraId="5AD3279D" w14:textId="6F4B5E11"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 xml:space="preserve">Combination delivery systems incorporating multiple therapeutic modalities within single formulations represent an emerging frontier.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-mesenchymal stem cell hybrids, wherein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are internalized by stem cells prior to intra-articular injection, leverage stem cell's inherent immunomodulatory properties combined with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drug delivery.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-immunoliposome hybrids incorporating immunostimulatory lipids (lipid A derivatives) that activate pattern recognition receptors combine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drug delivery with adjuvant-type immune activation, potentially promoting regulatory T-cell differentiation and immune tolerance induction [</w:t>
      </w:r>
      <w:r w:rsidR="00573E48" w:rsidRPr="00A96C26">
        <w:rPr>
          <w:rFonts w:ascii="Times New Roman" w:hAnsi="Times New Roman" w:cs="Times New Roman"/>
          <w:szCs w:val="28"/>
        </w:rPr>
        <w:t>73</w:t>
      </w:r>
      <w:r w:rsidRPr="00A96C26">
        <w:rPr>
          <w:rFonts w:ascii="Times New Roman" w:hAnsi="Times New Roman" w:cs="Times New Roman"/>
          <w:szCs w:val="28"/>
        </w:rPr>
        <w:t xml:space="preserv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-exosome hybrids employ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technology to load exosomes with therapeutic drugs, combining </w:t>
      </w:r>
      <w:proofErr w:type="spellStart"/>
      <w:r w:rsidRPr="00A96C26">
        <w:rPr>
          <w:rFonts w:ascii="Times New Roman" w:hAnsi="Times New Roman" w:cs="Times New Roman"/>
          <w:szCs w:val="28"/>
        </w:rPr>
        <w:t>exosomal</w:t>
      </w:r>
      <w:proofErr w:type="spellEnd"/>
      <w:r w:rsidRPr="00A96C26">
        <w:rPr>
          <w:rFonts w:ascii="Times New Roman" w:hAnsi="Times New Roman" w:cs="Times New Roman"/>
          <w:szCs w:val="28"/>
        </w:rPr>
        <w:t xml:space="preserve"> natural biocompatibility with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penetration capacity [</w:t>
      </w:r>
      <w:r w:rsidR="00573E48" w:rsidRPr="00A96C26">
        <w:rPr>
          <w:rFonts w:ascii="Times New Roman" w:hAnsi="Times New Roman" w:cs="Times New Roman"/>
          <w:szCs w:val="28"/>
        </w:rPr>
        <w:t>74</w:t>
      </w:r>
      <w:r w:rsidRPr="00A96C26">
        <w:rPr>
          <w:rFonts w:ascii="Times New Roman" w:hAnsi="Times New Roman" w:cs="Times New Roman"/>
          <w:szCs w:val="28"/>
        </w:rPr>
        <w:t>].</w:t>
      </w:r>
    </w:p>
    <w:p w14:paraId="71A39DDB"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Multi-Drug Combinations</w:t>
      </w:r>
    </w:p>
    <w:p w14:paraId="6BA505A8" w14:textId="3153C91D" w:rsidR="00235CAF" w:rsidRPr="00A96C26" w:rsidRDefault="00235CAF" w:rsidP="00235CAF">
      <w:pPr>
        <w:jc w:val="both"/>
        <w:rPr>
          <w:rFonts w:ascii="Times New Roman" w:hAnsi="Times New Roman" w:cs="Times New Roman"/>
          <w:szCs w:val="28"/>
        </w:rPr>
      </w:pP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enabling simultaneous delivery of multiple complementary drugs with synergistic anti-inflammatory effects represent an emerging formulation approach. Dual-loaded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containing both methotrexate and dexamethasone, or MTX and indomethacin, achieve additive or synergistic disease suppression at combined doses substantially lower than would be required for monotherapy. Preclinical CIA studies demonstrate that dual-loaded MTX + dexamethasone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at 0.5 mg/kg (total dose, distributed between two drugs) produce disease suppression equivalent to single-agent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MTX at 1.0 mg/kg [</w:t>
      </w:r>
      <w:r w:rsidR="00573E48" w:rsidRPr="00A96C26">
        <w:rPr>
          <w:rFonts w:ascii="Times New Roman" w:hAnsi="Times New Roman" w:cs="Times New Roman"/>
          <w:szCs w:val="28"/>
        </w:rPr>
        <w:t>72,73</w:t>
      </w:r>
      <w:r w:rsidRPr="00A96C26">
        <w:rPr>
          <w:rFonts w:ascii="Times New Roman" w:hAnsi="Times New Roman" w:cs="Times New Roman"/>
          <w:szCs w:val="28"/>
        </w:rPr>
        <w:t>]. This dose-reduction advantage of combination therapy translates to further reduced systemic toxicity while maintaining superior efficacy [</w:t>
      </w:r>
      <w:r w:rsidR="00573E48" w:rsidRPr="00A96C26">
        <w:rPr>
          <w:rFonts w:ascii="Times New Roman" w:hAnsi="Times New Roman" w:cs="Times New Roman"/>
          <w:szCs w:val="28"/>
        </w:rPr>
        <w:t>7</w:t>
      </w:r>
      <w:r w:rsidRPr="00A96C26">
        <w:rPr>
          <w:rFonts w:ascii="Times New Roman" w:hAnsi="Times New Roman" w:cs="Times New Roman"/>
          <w:szCs w:val="28"/>
        </w:rPr>
        <w:t xml:space="preserve">4]. Multi-drug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incorporating three or more complementary agents (e.g., MTX + </w:t>
      </w:r>
      <w:r w:rsidR="007C1A14" w:rsidRPr="00A96C26">
        <w:rPr>
          <w:rFonts w:ascii="Times New Roman" w:hAnsi="Times New Roman" w:cs="Times New Roman"/>
          <w:szCs w:val="28"/>
        </w:rPr>
        <w:t>TNF inhibitor + antioxidant) represent a future direction that could enable single-formulation therapy targeting</w:t>
      </w:r>
      <w:r w:rsidRPr="00A96C26">
        <w:rPr>
          <w:rFonts w:ascii="Times New Roman" w:hAnsi="Times New Roman" w:cs="Times New Roman"/>
          <w:szCs w:val="28"/>
        </w:rPr>
        <w:t xml:space="preserve"> multiple RA pathogenic mechanisms [</w:t>
      </w:r>
      <w:r w:rsidR="00573E48" w:rsidRPr="00A96C26">
        <w:rPr>
          <w:rFonts w:ascii="Times New Roman" w:hAnsi="Times New Roman" w:cs="Times New Roman"/>
          <w:szCs w:val="28"/>
        </w:rPr>
        <w:t>7</w:t>
      </w:r>
      <w:r w:rsidRPr="00A96C26">
        <w:rPr>
          <w:rFonts w:ascii="Times New Roman" w:hAnsi="Times New Roman" w:cs="Times New Roman"/>
          <w:szCs w:val="28"/>
        </w:rPr>
        <w:t>5].</w:t>
      </w:r>
    </w:p>
    <w:p w14:paraId="1F1458B6"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9.3 Technology Integration</w:t>
      </w:r>
    </w:p>
    <w:p w14:paraId="6A9C0A8B"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3D Bioprinting for RA Models</w:t>
      </w:r>
    </w:p>
    <w:p w14:paraId="55A232CF" w14:textId="289F0445"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Three-dimensional bioprinting technologies enabling creation of biomimetic synovial tissue constructs represent an emerging preclinical advancement [</w:t>
      </w:r>
      <w:r w:rsidR="00573E48" w:rsidRPr="00A96C26">
        <w:rPr>
          <w:rFonts w:ascii="Times New Roman" w:hAnsi="Times New Roman" w:cs="Times New Roman"/>
          <w:szCs w:val="28"/>
        </w:rPr>
        <w:t>75</w:t>
      </w:r>
      <w:r w:rsidRPr="00A96C26">
        <w:rPr>
          <w:rFonts w:ascii="Times New Roman" w:hAnsi="Times New Roman" w:cs="Times New Roman"/>
          <w:szCs w:val="28"/>
        </w:rPr>
        <w:t xml:space="preserve">]. </w:t>
      </w:r>
      <w:proofErr w:type="spellStart"/>
      <w:r w:rsidRPr="00A96C26">
        <w:rPr>
          <w:rFonts w:ascii="Times New Roman" w:hAnsi="Times New Roman" w:cs="Times New Roman"/>
          <w:szCs w:val="28"/>
        </w:rPr>
        <w:t>Bioprinted</w:t>
      </w:r>
      <w:proofErr w:type="spellEnd"/>
      <w:r w:rsidRPr="00A96C26">
        <w:rPr>
          <w:rFonts w:ascii="Times New Roman" w:hAnsi="Times New Roman" w:cs="Times New Roman"/>
          <w:szCs w:val="28"/>
        </w:rPr>
        <w:t xml:space="preserve"> synovial tissue containing layered synovial lining cells, </w:t>
      </w:r>
      <w:proofErr w:type="spellStart"/>
      <w:r w:rsidRPr="00A96C26">
        <w:rPr>
          <w:rFonts w:ascii="Times New Roman" w:hAnsi="Times New Roman" w:cs="Times New Roman"/>
          <w:szCs w:val="28"/>
        </w:rPr>
        <w:t>sublining</w:t>
      </w:r>
      <w:proofErr w:type="spellEnd"/>
      <w:r w:rsidRPr="00A96C26">
        <w:rPr>
          <w:rFonts w:ascii="Times New Roman" w:hAnsi="Times New Roman" w:cs="Times New Roman"/>
          <w:szCs w:val="28"/>
        </w:rPr>
        <w:t xml:space="preserve"> fibroblasts, macrophages, and extracellular matrix can be created with spatial organization approximating native tissue architecture [</w:t>
      </w:r>
      <w:r w:rsidR="00573E48" w:rsidRPr="00A96C26">
        <w:rPr>
          <w:rFonts w:ascii="Times New Roman" w:hAnsi="Times New Roman" w:cs="Times New Roman"/>
          <w:szCs w:val="28"/>
        </w:rPr>
        <w:t>7</w:t>
      </w:r>
      <w:r w:rsidR="007C1A14" w:rsidRPr="00A96C26">
        <w:rPr>
          <w:rFonts w:ascii="Times New Roman" w:hAnsi="Times New Roman" w:cs="Times New Roman"/>
          <w:szCs w:val="28"/>
        </w:rPr>
        <w:t>2</w:t>
      </w:r>
      <w:r w:rsidRPr="00A96C26">
        <w:rPr>
          <w:rFonts w:ascii="Times New Roman" w:hAnsi="Times New Roman" w:cs="Times New Roman"/>
          <w:szCs w:val="28"/>
        </w:rPr>
        <w:t xml:space="preserve">]. These </w:t>
      </w:r>
      <w:proofErr w:type="spellStart"/>
      <w:r w:rsidRPr="00A96C26">
        <w:rPr>
          <w:rFonts w:ascii="Times New Roman" w:hAnsi="Times New Roman" w:cs="Times New Roman"/>
          <w:szCs w:val="28"/>
        </w:rPr>
        <w:t>bioprinted</w:t>
      </w:r>
      <w:proofErr w:type="spellEnd"/>
      <w:r w:rsidRPr="00A96C26">
        <w:rPr>
          <w:rFonts w:ascii="Times New Roman" w:hAnsi="Times New Roman" w:cs="Times New Roman"/>
          <w:szCs w:val="28"/>
        </w:rPr>
        <w:t xml:space="preserve"> models provide substantially improved prediction of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penetration, cellular uptake, and efficacy compared to traditional 2D cell culture or tissue explant models. Drug screening and formulation </w:t>
      </w:r>
      <w:proofErr w:type="spellStart"/>
      <w:r w:rsidR="00573E48" w:rsidRPr="00A96C26">
        <w:rPr>
          <w:rFonts w:ascii="Times New Roman" w:hAnsi="Times New Roman" w:cs="Times New Roman"/>
          <w:szCs w:val="28"/>
        </w:rPr>
        <w:t>optimisation</w:t>
      </w:r>
      <w:proofErr w:type="spellEnd"/>
      <w:r w:rsidRPr="00A96C26">
        <w:rPr>
          <w:rFonts w:ascii="Times New Roman" w:hAnsi="Times New Roman" w:cs="Times New Roman"/>
          <w:szCs w:val="28"/>
        </w:rPr>
        <w:t xml:space="preserve"> using </w:t>
      </w:r>
      <w:proofErr w:type="spellStart"/>
      <w:r w:rsidRPr="00A96C26">
        <w:rPr>
          <w:rFonts w:ascii="Times New Roman" w:hAnsi="Times New Roman" w:cs="Times New Roman"/>
          <w:szCs w:val="28"/>
        </w:rPr>
        <w:t>bioprinted</w:t>
      </w:r>
      <w:proofErr w:type="spellEnd"/>
      <w:r w:rsidRPr="00A96C26">
        <w:rPr>
          <w:rFonts w:ascii="Times New Roman" w:hAnsi="Times New Roman" w:cs="Times New Roman"/>
          <w:szCs w:val="28"/>
        </w:rPr>
        <w:t xml:space="preserve"> RA models could accelerate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development and clinical translation [</w:t>
      </w:r>
      <w:r w:rsidR="00573E48" w:rsidRPr="00A96C26">
        <w:rPr>
          <w:rFonts w:ascii="Times New Roman" w:hAnsi="Times New Roman" w:cs="Times New Roman"/>
          <w:szCs w:val="28"/>
        </w:rPr>
        <w:t>7</w:t>
      </w:r>
      <w:r w:rsidR="007C1A14" w:rsidRPr="00A96C26">
        <w:rPr>
          <w:rFonts w:ascii="Times New Roman" w:hAnsi="Times New Roman" w:cs="Times New Roman"/>
          <w:szCs w:val="28"/>
        </w:rPr>
        <w:t>4</w:t>
      </w:r>
      <w:r w:rsidRPr="00A96C26">
        <w:rPr>
          <w:rFonts w:ascii="Times New Roman" w:hAnsi="Times New Roman" w:cs="Times New Roman"/>
          <w:szCs w:val="28"/>
        </w:rPr>
        <w:t>].</w:t>
      </w:r>
    </w:p>
    <w:p w14:paraId="4A84073D" w14:textId="7777777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AI-Driven Formulation Optimization</w:t>
      </w:r>
    </w:p>
    <w:p w14:paraId="6C081A59" w14:textId="6CDB70BE"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 xml:space="preserve">Machine learning and artificial intelligence algorithms applied to high-throughput formulation screening data can identify optimal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compositions with unprecedented efficiency </w:t>
      </w:r>
      <w:r w:rsidRPr="00A96C26">
        <w:rPr>
          <w:rFonts w:ascii="Times New Roman" w:hAnsi="Times New Roman" w:cs="Times New Roman"/>
          <w:szCs w:val="28"/>
        </w:rPr>
        <w:lastRenderedPageBreak/>
        <w:t>[</w:t>
      </w:r>
      <w:r w:rsidR="00573E48" w:rsidRPr="00A96C26">
        <w:rPr>
          <w:rFonts w:ascii="Times New Roman" w:hAnsi="Times New Roman" w:cs="Times New Roman"/>
          <w:szCs w:val="28"/>
        </w:rPr>
        <w:t>7</w:t>
      </w:r>
      <w:r w:rsidR="007C1A14" w:rsidRPr="00A96C26">
        <w:rPr>
          <w:rFonts w:ascii="Times New Roman" w:hAnsi="Times New Roman" w:cs="Times New Roman"/>
          <w:szCs w:val="28"/>
        </w:rPr>
        <w:t>3</w:t>
      </w:r>
      <w:r w:rsidRPr="00A96C26">
        <w:rPr>
          <w:rFonts w:ascii="Times New Roman" w:hAnsi="Times New Roman" w:cs="Times New Roman"/>
          <w:szCs w:val="28"/>
        </w:rPr>
        <w:t xml:space="preserve">]. AI analysis of physicochemical parameters (lipid type, edge activator type and concentration, pH, osmolarity), biological activity data (cellular uptake, inflammatory marker suppression), and safety parameters can predict optimal formulations for specific drug-disease combinations. Generative AI models trained on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literature and experimental data could accelerate discovery of novel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w:t>
      </w:r>
      <w:proofErr w:type="gramStart"/>
      <w:r w:rsidRPr="00A96C26">
        <w:rPr>
          <w:rFonts w:ascii="Times New Roman" w:hAnsi="Times New Roman" w:cs="Times New Roman"/>
          <w:szCs w:val="28"/>
        </w:rPr>
        <w:t>formulations .</w:t>
      </w:r>
      <w:proofErr w:type="gramEnd"/>
      <w:r w:rsidRPr="00A96C26">
        <w:rPr>
          <w:rFonts w:ascii="Times New Roman" w:hAnsi="Times New Roman" w:cs="Times New Roman"/>
          <w:szCs w:val="28"/>
        </w:rPr>
        <w:t xml:space="preserve"> These AI-driven approaches should substantially reduce formulation development timelines and cost [</w:t>
      </w:r>
      <w:r w:rsidR="00573E48" w:rsidRPr="00A96C26">
        <w:rPr>
          <w:rFonts w:ascii="Times New Roman" w:hAnsi="Times New Roman" w:cs="Times New Roman"/>
          <w:szCs w:val="28"/>
        </w:rPr>
        <w:t>7</w:t>
      </w:r>
      <w:r w:rsidR="007C1A14" w:rsidRPr="00A96C26">
        <w:rPr>
          <w:rFonts w:ascii="Times New Roman" w:hAnsi="Times New Roman" w:cs="Times New Roman"/>
          <w:szCs w:val="28"/>
        </w:rPr>
        <w:t>5</w:t>
      </w:r>
      <w:r w:rsidRPr="00A96C26">
        <w:rPr>
          <w:rFonts w:ascii="Times New Roman" w:hAnsi="Times New Roman" w:cs="Times New Roman"/>
          <w:szCs w:val="28"/>
        </w:rPr>
        <w:t>].</w:t>
      </w:r>
    </w:p>
    <w:p w14:paraId="17E5D0B5" w14:textId="471E28FD" w:rsidR="00235CAF" w:rsidRPr="00A96C26" w:rsidRDefault="00235CAF" w:rsidP="00235CAF">
      <w:pPr>
        <w:jc w:val="both"/>
        <w:rPr>
          <w:rFonts w:ascii="Times New Roman" w:hAnsi="Times New Roman" w:cs="Times New Roman"/>
          <w:szCs w:val="28"/>
        </w:rPr>
      </w:pPr>
    </w:p>
    <w:p w14:paraId="51EA43D4" w14:textId="0656AA47" w:rsidR="00235CAF" w:rsidRPr="00A96C26" w:rsidRDefault="00235CAF" w:rsidP="00235CAF">
      <w:pPr>
        <w:jc w:val="both"/>
        <w:rPr>
          <w:rFonts w:ascii="Times New Roman" w:hAnsi="Times New Roman" w:cs="Times New Roman"/>
          <w:b/>
          <w:bCs/>
          <w:szCs w:val="28"/>
        </w:rPr>
      </w:pPr>
      <w:r w:rsidRPr="00A96C26">
        <w:rPr>
          <w:rFonts w:ascii="Times New Roman" w:hAnsi="Times New Roman" w:cs="Times New Roman"/>
          <w:b/>
          <w:bCs/>
          <w:szCs w:val="28"/>
        </w:rPr>
        <w:t>Conclusion</w:t>
      </w:r>
    </w:p>
    <w:p w14:paraId="5453F936" w14:textId="7EBF8D36" w:rsidR="00235CAF" w:rsidRPr="00A96C26" w:rsidRDefault="00235CAF" w:rsidP="00235CAF">
      <w:pPr>
        <w:jc w:val="both"/>
        <w:rPr>
          <w:rFonts w:ascii="Times New Roman" w:hAnsi="Times New Roman" w:cs="Times New Roman"/>
          <w:szCs w:val="28"/>
        </w:rPr>
      </w:pP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represent a paradigm advancement in drug delivery technology specifically addressing the fundamental limitations of conventional RA therapeutics. By combining the biocompatibility and regulatory advantages of liposomal systems with exceptional deformability enabling superior tissue penetration,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achieve what conventional liposomes could not: clinically meaningful enhancement of RA drug efficacy and safety. The quantitative advantages are substantial and consistent across multiple preclinical models: 65-75% superior disease suppression compared to free drug at 50% lower systemic doses; 4-8 fold reduction in systemic drug exposure mitigating hepatotoxicity, bone marrow toxicity, and gastrointestinal complications; 180-220 micrometer penetration depth into synovial tissue versus 30-50 micrometers for conventional liposomes; and 3-5 fold enhanced cellular uptake and intracellular drug bioavailability. The dual advantage of enhanced efficacy combined with reduced systemic toxicity is rare in pharmaceutical development;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achieve this through fundamental mechanisms (deformability-mediated penetration and selective synovial accumulation) rather than incremental formulation optimization. Beyond efficacy and safety improvements,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enable non-invasive administration routes (topical, transdermal, oral, intranasal) that could dramatically improve patient compliance and quality of life compared to injection-dependent biologic therapy. The versatility of the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platform</w:t>
      </w:r>
      <w:r w:rsidR="00321525" w:rsidRPr="00A96C26">
        <w:rPr>
          <w:rFonts w:ascii="Times New Roman" w:hAnsi="Times New Roman" w:cs="Times New Roman"/>
          <w:szCs w:val="28"/>
        </w:rPr>
        <w:t xml:space="preserve"> </w:t>
      </w:r>
      <w:r w:rsidRPr="00A96C26">
        <w:rPr>
          <w:rFonts w:ascii="Times New Roman" w:hAnsi="Times New Roman" w:cs="Times New Roman"/>
          <w:szCs w:val="28"/>
        </w:rPr>
        <w:t>compatible with diverse drug classes from conventional DMARDs to NSAIDs to natural compounds to (with modifications) biologic agents</w:t>
      </w:r>
      <w:r w:rsidR="00321525" w:rsidRPr="00A96C26">
        <w:rPr>
          <w:rFonts w:ascii="Times New Roman" w:hAnsi="Times New Roman" w:cs="Times New Roman"/>
          <w:szCs w:val="28"/>
        </w:rPr>
        <w:t xml:space="preserve"> </w:t>
      </w:r>
      <w:r w:rsidRPr="00A96C26">
        <w:rPr>
          <w:rFonts w:ascii="Times New Roman" w:hAnsi="Times New Roman" w:cs="Times New Roman"/>
          <w:szCs w:val="28"/>
        </w:rPr>
        <w:t>suggests broad applicability beyond RA to other inflammatory and systemic diseases.</w:t>
      </w:r>
    </w:p>
    <w:p w14:paraId="258B90A4" w14:textId="626C5358" w:rsidR="00235CAF" w:rsidRPr="00A96C26" w:rsidRDefault="00235CAF" w:rsidP="00235CAF">
      <w:pPr>
        <w:jc w:val="both"/>
        <w:rPr>
          <w:rFonts w:ascii="Times New Roman" w:hAnsi="Times New Roman" w:cs="Times New Roman"/>
          <w:szCs w:val="28"/>
        </w:rPr>
      </w:pPr>
      <w:r w:rsidRPr="00A96C26">
        <w:rPr>
          <w:rFonts w:ascii="Times New Roman" w:hAnsi="Times New Roman" w:cs="Times New Roman"/>
          <w:szCs w:val="28"/>
        </w:rPr>
        <w:t xml:space="preserve">The scientific literature on </w:t>
      </w:r>
      <w:proofErr w:type="spellStart"/>
      <w:r w:rsidRPr="00A96C26">
        <w:rPr>
          <w:rFonts w:ascii="Times New Roman" w:hAnsi="Times New Roman" w:cs="Times New Roman"/>
          <w:szCs w:val="28"/>
        </w:rPr>
        <w:t>transethosomes</w:t>
      </w:r>
      <w:proofErr w:type="spellEnd"/>
      <w:r w:rsidRPr="00A96C26">
        <w:rPr>
          <w:rFonts w:ascii="Times New Roman" w:hAnsi="Times New Roman" w:cs="Times New Roman"/>
          <w:szCs w:val="28"/>
        </w:rPr>
        <w:t xml:space="preserve"> for RA encompasses hundreds of preclinical publications demonstrating consistent advantages over conventional formulations across in vitro, ex vivo, and in vivo models. Regulatory and industrial interest in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technology is substantial; multiple pharmaceutical companies and research institutions have active development programs. Key outstanding questions include: whether clinical efficacy in RA patients matches the dramatic preclinical efficacy demonstrated in animal models; whether the manufacturing scalability and cost-effectiveness anticipated in preclinical development translates to commercially viable products; and whether the regulatory pathway for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formulations of approved drugs can be navigated more efficiently than traditional new drug approvals. The field is positioned </w:t>
      </w:r>
      <w:r w:rsidRPr="00A96C26">
        <w:rPr>
          <w:rFonts w:ascii="Times New Roman" w:hAnsi="Times New Roman" w:cs="Times New Roman"/>
          <w:szCs w:val="28"/>
        </w:rPr>
        <w:lastRenderedPageBreak/>
        <w:t xml:space="preserve">at a critical juncture where early clinical trial results will determine whether </w:t>
      </w:r>
      <w:proofErr w:type="spellStart"/>
      <w:r w:rsidRPr="00A96C26">
        <w:rPr>
          <w:rFonts w:ascii="Times New Roman" w:hAnsi="Times New Roman" w:cs="Times New Roman"/>
          <w:szCs w:val="28"/>
        </w:rPr>
        <w:t>transethosomal</w:t>
      </w:r>
      <w:proofErr w:type="spellEnd"/>
      <w:r w:rsidRPr="00A96C26">
        <w:rPr>
          <w:rFonts w:ascii="Times New Roman" w:hAnsi="Times New Roman" w:cs="Times New Roman"/>
          <w:szCs w:val="28"/>
        </w:rPr>
        <w:t xml:space="preserve"> technology achieves clinical reality or remains a promising preclinical research direction.</w:t>
      </w:r>
    </w:p>
    <w:p w14:paraId="433937B6" w14:textId="77761A63" w:rsidR="007C1A14" w:rsidRPr="00A96C26" w:rsidRDefault="007C1A14" w:rsidP="00315EE3">
      <w:pPr>
        <w:jc w:val="both"/>
        <w:rPr>
          <w:rFonts w:ascii="Times New Roman" w:hAnsi="Times New Roman" w:cs="Times New Roman"/>
          <w:szCs w:val="28"/>
        </w:rPr>
      </w:pPr>
      <w:r w:rsidRPr="00A96C26">
        <w:rPr>
          <w:rFonts w:ascii="Times New Roman" w:hAnsi="Times New Roman" w:cs="Times New Roman"/>
          <w:szCs w:val="28"/>
        </w:rPr>
        <w:t xml:space="preserve">Reference- </w:t>
      </w:r>
    </w:p>
    <w:p w14:paraId="3AD157D2"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lang w:val="nb-NO"/>
        </w:rPr>
        <w:t>1.</w:t>
      </w:r>
      <w:r w:rsidRPr="00A96C26">
        <w:rPr>
          <w:rFonts w:ascii="Times New Roman" w:hAnsi="Times New Roman" w:cs="Times New Roman"/>
          <w:kern w:val="0"/>
          <w:lang w:val="nb-NO"/>
        </w:rPr>
        <w:tab/>
        <w:t xml:space="preserve">Patra M, Salonen E, Terama E, Vattulainen I, Faller R, Lee BW, et al. </w:t>
      </w:r>
      <w:r w:rsidRPr="00A96C26">
        <w:rPr>
          <w:rFonts w:ascii="Times New Roman" w:hAnsi="Times New Roman" w:cs="Times New Roman"/>
          <w:kern w:val="0"/>
        </w:rPr>
        <w:t>Under the Influence of Alcohol: The Effect of Ethanol and Methanol on Lipid Bilayers. Biophysical Journal. 2006 Feb;90(4):1121–35. doi:10.1529/biophysj.105.062364</w:t>
      </w:r>
    </w:p>
    <w:p w14:paraId="0C22F107"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2.</w:t>
      </w:r>
      <w:r w:rsidRPr="00A96C26">
        <w:rPr>
          <w:rFonts w:ascii="Times New Roman" w:hAnsi="Times New Roman" w:cs="Times New Roman"/>
          <w:kern w:val="0"/>
        </w:rPr>
        <w:tab/>
        <w:t xml:space="preserve">Pathan IB. Transdermal delivery of </w:t>
      </w:r>
      <w:proofErr w:type="spellStart"/>
      <w:r w:rsidRPr="00A96C26">
        <w:rPr>
          <w:rFonts w:ascii="Times New Roman" w:hAnsi="Times New Roman" w:cs="Times New Roman"/>
          <w:kern w:val="0"/>
        </w:rPr>
        <w:t>ethosomes</w:t>
      </w:r>
      <w:proofErr w:type="spellEnd"/>
      <w:r w:rsidRPr="00A96C26">
        <w:rPr>
          <w:rFonts w:ascii="Times New Roman" w:hAnsi="Times New Roman" w:cs="Times New Roman"/>
          <w:kern w:val="0"/>
        </w:rPr>
        <w:t xml:space="preserve"> as a novel vesicular carrier for paroxetine hydrochloride: In vitro evaluation and In vivo study. Marmara Pharm J. 2015 Sep 11;20(1):1. doi:10.12991/mpj.201620113534</w:t>
      </w:r>
    </w:p>
    <w:p w14:paraId="338555F0"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3.</w:t>
      </w:r>
      <w:r w:rsidRPr="00A96C26">
        <w:rPr>
          <w:rFonts w:ascii="Times New Roman" w:hAnsi="Times New Roman" w:cs="Times New Roman"/>
          <w:kern w:val="0"/>
        </w:rPr>
        <w:tab/>
      </w:r>
      <w:proofErr w:type="spellStart"/>
      <w:r w:rsidRPr="00A96C26">
        <w:rPr>
          <w:rFonts w:ascii="Times New Roman" w:hAnsi="Times New Roman" w:cs="Times New Roman"/>
          <w:kern w:val="0"/>
        </w:rPr>
        <w:t>Babasahib</w:t>
      </w:r>
      <w:proofErr w:type="spellEnd"/>
      <w:r w:rsidRPr="00A96C26">
        <w:rPr>
          <w:rFonts w:ascii="Times New Roman" w:hAnsi="Times New Roman" w:cs="Times New Roman"/>
          <w:kern w:val="0"/>
        </w:rPr>
        <w:t xml:space="preserve"> SK, Born RW, Raghavendra NM. Trans </w:t>
      </w:r>
      <w:proofErr w:type="spellStart"/>
      <w:r w:rsidRPr="00A96C26">
        <w:rPr>
          <w:rFonts w:ascii="Times New Roman" w:hAnsi="Times New Roman" w:cs="Times New Roman"/>
          <w:kern w:val="0"/>
        </w:rPr>
        <w:t>ethosomal</w:t>
      </w:r>
      <w:proofErr w:type="spellEnd"/>
      <w:r w:rsidRPr="00A96C26">
        <w:rPr>
          <w:rFonts w:ascii="Times New Roman" w:hAnsi="Times New Roman" w:cs="Times New Roman"/>
          <w:kern w:val="0"/>
        </w:rPr>
        <w:t xml:space="preserve"> hybrid composites of naproxen-</w:t>
      </w:r>
      <w:proofErr w:type="spellStart"/>
      <w:r w:rsidRPr="00A96C26">
        <w:rPr>
          <w:rFonts w:ascii="Times New Roman" w:hAnsi="Times New Roman" w:cs="Times New Roman"/>
          <w:kern w:val="0"/>
        </w:rPr>
        <w:t>sulfapyridine</w:t>
      </w:r>
      <w:proofErr w:type="spellEnd"/>
      <w:r w:rsidRPr="00A96C26">
        <w:rPr>
          <w:rFonts w:ascii="Times New Roman" w:hAnsi="Times New Roman" w:cs="Times New Roman"/>
          <w:kern w:val="0"/>
        </w:rPr>
        <w:t xml:space="preserve"> in hydrogel carrier: anti-inflammatory response in complete Freund’s adjuvant induced arthritis rats. Artificial Cells, Nanomedicine, and Biotechnology. 2022 Dec 31;50(1):59–70. doi:10.1080/21691401.2022.2047712</w:t>
      </w:r>
    </w:p>
    <w:p w14:paraId="1D3E9B1A"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4.</w:t>
      </w:r>
      <w:r w:rsidRPr="00A96C26">
        <w:rPr>
          <w:rFonts w:ascii="Times New Roman" w:hAnsi="Times New Roman" w:cs="Times New Roman"/>
          <w:kern w:val="0"/>
        </w:rPr>
        <w:tab/>
        <w:t xml:space="preserve">Kumar </w:t>
      </w:r>
      <w:proofErr w:type="spellStart"/>
      <w:r w:rsidRPr="00A96C26">
        <w:rPr>
          <w:rFonts w:ascii="Times New Roman" w:hAnsi="Times New Roman" w:cs="Times New Roman"/>
          <w:kern w:val="0"/>
        </w:rPr>
        <w:t>Sarwa</w:t>
      </w:r>
      <w:proofErr w:type="spellEnd"/>
      <w:r w:rsidRPr="00A96C26">
        <w:rPr>
          <w:rFonts w:ascii="Times New Roman" w:hAnsi="Times New Roman" w:cs="Times New Roman"/>
          <w:kern w:val="0"/>
        </w:rPr>
        <w:t xml:space="preserve"> K, </w:t>
      </w:r>
      <w:proofErr w:type="spellStart"/>
      <w:r w:rsidRPr="00A96C26">
        <w:rPr>
          <w:rFonts w:ascii="Times New Roman" w:hAnsi="Times New Roman" w:cs="Times New Roman"/>
          <w:kern w:val="0"/>
        </w:rPr>
        <w:t>Rudrapal</w:t>
      </w:r>
      <w:proofErr w:type="spellEnd"/>
      <w:r w:rsidRPr="00A96C26">
        <w:rPr>
          <w:rFonts w:ascii="Times New Roman" w:hAnsi="Times New Roman" w:cs="Times New Roman"/>
          <w:kern w:val="0"/>
        </w:rPr>
        <w:t xml:space="preserve"> M, </w:t>
      </w:r>
      <w:proofErr w:type="spellStart"/>
      <w:r w:rsidRPr="00A96C26">
        <w:rPr>
          <w:rFonts w:ascii="Times New Roman" w:hAnsi="Times New Roman" w:cs="Times New Roman"/>
          <w:kern w:val="0"/>
        </w:rPr>
        <w:t>Mazumder</w:t>
      </w:r>
      <w:proofErr w:type="spellEnd"/>
      <w:r w:rsidRPr="00A96C26">
        <w:rPr>
          <w:rFonts w:ascii="Times New Roman" w:hAnsi="Times New Roman" w:cs="Times New Roman"/>
          <w:kern w:val="0"/>
        </w:rPr>
        <w:t xml:space="preserve"> B. Topical </w:t>
      </w:r>
      <w:proofErr w:type="spellStart"/>
      <w:r w:rsidRPr="00A96C26">
        <w:rPr>
          <w:rFonts w:ascii="Times New Roman" w:hAnsi="Times New Roman" w:cs="Times New Roman"/>
          <w:kern w:val="0"/>
        </w:rPr>
        <w:t>ethosomal</w:t>
      </w:r>
      <w:proofErr w:type="spellEnd"/>
      <w:r w:rsidRPr="00A96C26">
        <w:rPr>
          <w:rFonts w:ascii="Times New Roman" w:hAnsi="Times New Roman" w:cs="Times New Roman"/>
          <w:kern w:val="0"/>
        </w:rPr>
        <w:t xml:space="preserve"> capsaicin attenuates edema and nociception in arthritic rats. Drug Delivery. 2015 Nov 17;22(8):1043–52. doi:10.3109/10717544.2013.861041</w:t>
      </w:r>
    </w:p>
    <w:p w14:paraId="05D0EFCB"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5.</w:t>
      </w:r>
      <w:r w:rsidRPr="00A96C26">
        <w:rPr>
          <w:rFonts w:ascii="Times New Roman" w:hAnsi="Times New Roman" w:cs="Times New Roman"/>
          <w:kern w:val="0"/>
        </w:rPr>
        <w:tab/>
        <w:t xml:space="preserve">El </w:t>
      </w:r>
      <w:proofErr w:type="spellStart"/>
      <w:r w:rsidRPr="00A96C26">
        <w:rPr>
          <w:rFonts w:ascii="Times New Roman" w:hAnsi="Times New Roman" w:cs="Times New Roman"/>
          <w:kern w:val="0"/>
        </w:rPr>
        <w:t>Hosary</w:t>
      </w:r>
      <w:proofErr w:type="spellEnd"/>
      <w:r w:rsidRPr="00A96C26">
        <w:rPr>
          <w:rFonts w:ascii="Times New Roman" w:hAnsi="Times New Roman" w:cs="Times New Roman"/>
          <w:kern w:val="0"/>
        </w:rPr>
        <w:t xml:space="preserve"> R, </w:t>
      </w:r>
      <w:proofErr w:type="spellStart"/>
      <w:r w:rsidRPr="00A96C26">
        <w:rPr>
          <w:rFonts w:ascii="Times New Roman" w:hAnsi="Times New Roman" w:cs="Times New Roman"/>
          <w:kern w:val="0"/>
        </w:rPr>
        <w:t>Teaima</w:t>
      </w:r>
      <w:proofErr w:type="spellEnd"/>
      <w:r w:rsidRPr="00A96C26">
        <w:rPr>
          <w:rFonts w:ascii="Times New Roman" w:hAnsi="Times New Roman" w:cs="Times New Roman"/>
          <w:kern w:val="0"/>
        </w:rPr>
        <w:t xml:space="preserve"> MH, El-</w:t>
      </w:r>
      <w:proofErr w:type="spellStart"/>
      <w:r w:rsidRPr="00A96C26">
        <w:rPr>
          <w:rFonts w:ascii="Times New Roman" w:hAnsi="Times New Roman" w:cs="Times New Roman"/>
          <w:kern w:val="0"/>
        </w:rPr>
        <w:t>Nabarawi</w:t>
      </w:r>
      <w:proofErr w:type="spellEnd"/>
      <w:r w:rsidRPr="00A96C26">
        <w:rPr>
          <w:rFonts w:ascii="Times New Roman" w:hAnsi="Times New Roman" w:cs="Times New Roman"/>
          <w:kern w:val="0"/>
        </w:rPr>
        <w:t xml:space="preserve"> M, </w:t>
      </w:r>
      <w:proofErr w:type="spellStart"/>
      <w:r w:rsidRPr="00A96C26">
        <w:rPr>
          <w:rFonts w:ascii="Times New Roman" w:hAnsi="Times New Roman" w:cs="Times New Roman"/>
          <w:kern w:val="0"/>
        </w:rPr>
        <w:t>Yousry</w:t>
      </w:r>
      <w:proofErr w:type="spellEnd"/>
      <w:r w:rsidRPr="00A96C26">
        <w:rPr>
          <w:rFonts w:ascii="Times New Roman" w:hAnsi="Times New Roman" w:cs="Times New Roman"/>
          <w:kern w:val="0"/>
        </w:rPr>
        <w:t xml:space="preserve"> Y, </w:t>
      </w:r>
      <w:proofErr w:type="spellStart"/>
      <w:r w:rsidRPr="00A96C26">
        <w:rPr>
          <w:rFonts w:ascii="Times New Roman" w:hAnsi="Times New Roman" w:cs="Times New Roman"/>
          <w:kern w:val="0"/>
        </w:rPr>
        <w:t>Eltahan</w:t>
      </w:r>
      <w:proofErr w:type="spellEnd"/>
      <w:r w:rsidRPr="00A96C26">
        <w:rPr>
          <w:rFonts w:ascii="Times New Roman" w:hAnsi="Times New Roman" w:cs="Times New Roman"/>
          <w:kern w:val="0"/>
        </w:rPr>
        <w:t xml:space="preserve"> M, Bakr A, et al. Topical delivery of extracted curcumin as curcumin loaded </w:t>
      </w:r>
      <w:proofErr w:type="spellStart"/>
      <w:r w:rsidRPr="00A96C26">
        <w:rPr>
          <w:rFonts w:ascii="Times New Roman" w:hAnsi="Times New Roman" w:cs="Times New Roman"/>
          <w:kern w:val="0"/>
        </w:rPr>
        <w:t>spanlastics</w:t>
      </w:r>
      <w:proofErr w:type="spellEnd"/>
      <w:r w:rsidRPr="00A96C26">
        <w:rPr>
          <w:rFonts w:ascii="Times New Roman" w:hAnsi="Times New Roman" w:cs="Times New Roman"/>
          <w:kern w:val="0"/>
        </w:rPr>
        <w:t xml:space="preserve"> anti-aging gel: Optimization using experimental design and ex-vivo evaluation. Saudi Pharmaceutical Journal. 2024 Jan;32(1):101912. </w:t>
      </w:r>
      <w:proofErr w:type="gramStart"/>
      <w:r w:rsidRPr="00A96C26">
        <w:rPr>
          <w:rFonts w:ascii="Times New Roman" w:hAnsi="Times New Roman" w:cs="Times New Roman"/>
          <w:kern w:val="0"/>
        </w:rPr>
        <w:t>doi:10.1016/j.jsps</w:t>
      </w:r>
      <w:proofErr w:type="gramEnd"/>
      <w:r w:rsidRPr="00A96C26">
        <w:rPr>
          <w:rFonts w:ascii="Times New Roman" w:hAnsi="Times New Roman" w:cs="Times New Roman"/>
          <w:kern w:val="0"/>
        </w:rPr>
        <w:t>.2023.101912</w:t>
      </w:r>
    </w:p>
    <w:p w14:paraId="3B8BECD4"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6.</w:t>
      </w:r>
      <w:r w:rsidRPr="00A96C26">
        <w:rPr>
          <w:rFonts w:ascii="Times New Roman" w:hAnsi="Times New Roman" w:cs="Times New Roman"/>
          <w:kern w:val="0"/>
        </w:rPr>
        <w:tab/>
      </w:r>
      <w:proofErr w:type="spellStart"/>
      <w:r w:rsidRPr="00A96C26">
        <w:rPr>
          <w:rFonts w:ascii="Times New Roman" w:hAnsi="Times New Roman" w:cs="Times New Roman"/>
          <w:kern w:val="0"/>
        </w:rPr>
        <w:t>Siouti</w:t>
      </w:r>
      <w:proofErr w:type="spellEnd"/>
      <w:r w:rsidRPr="00A96C26">
        <w:rPr>
          <w:rFonts w:ascii="Times New Roman" w:hAnsi="Times New Roman" w:cs="Times New Roman"/>
          <w:kern w:val="0"/>
        </w:rPr>
        <w:t xml:space="preserve"> E, </w:t>
      </w:r>
      <w:proofErr w:type="spellStart"/>
      <w:r w:rsidRPr="00A96C26">
        <w:rPr>
          <w:rFonts w:ascii="Times New Roman" w:hAnsi="Times New Roman" w:cs="Times New Roman"/>
          <w:kern w:val="0"/>
        </w:rPr>
        <w:t>Andreakos</w:t>
      </w:r>
      <w:proofErr w:type="spellEnd"/>
      <w:r w:rsidRPr="00A96C26">
        <w:rPr>
          <w:rFonts w:ascii="Times New Roman" w:hAnsi="Times New Roman" w:cs="Times New Roman"/>
          <w:kern w:val="0"/>
        </w:rPr>
        <w:t xml:space="preserve"> E. The many facets of macrophages in rheumatoid arthritis. Biochemical Pharmacology. 2019 </w:t>
      </w:r>
      <w:proofErr w:type="gramStart"/>
      <w:r w:rsidRPr="00A96C26">
        <w:rPr>
          <w:rFonts w:ascii="Times New Roman" w:hAnsi="Times New Roman" w:cs="Times New Roman"/>
          <w:kern w:val="0"/>
        </w:rPr>
        <w:t>Jul;165:152</w:t>
      </w:r>
      <w:proofErr w:type="gramEnd"/>
      <w:r w:rsidRPr="00A96C26">
        <w:rPr>
          <w:rFonts w:ascii="Times New Roman" w:hAnsi="Times New Roman" w:cs="Times New Roman"/>
          <w:kern w:val="0"/>
        </w:rPr>
        <w:t xml:space="preserve">–69. </w:t>
      </w:r>
      <w:proofErr w:type="gramStart"/>
      <w:r w:rsidRPr="00A96C26">
        <w:rPr>
          <w:rFonts w:ascii="Times New Roman" w:hAnsi="Times New Roman" w:cs="Times New Roman"/>
          <w:kern w:val="0"/>
        </w:rPr>
        <w:t>doi:10.1016/j.bcp</w:t>
      </w:r>
      <w:proofErr w:type="gramEnd"/>
      <w:r w:rsidRPr="00A96C26">
        <w:rPr>
          <w:rFonts w:ascii="Times New Roman" w:hAnsi="Times New Roman" w:cs="Times New Roman"/>
          <w:kern w:val="0"/>
        </w:rPr>
        <w:t>.2019.03.029</w:t>
      </w:r>
    </w:p>
    <w:p w14:paraId="02094FB2"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7.</w:t>
      </w:r>
      <w:r w:rsidRPr="00A96C26">
        <w:rPr>
          <w:rFonts w:ascii="Times New Roman" w:hAnsi="Times New Roman" w:cs="Times New Roman"/>
          <w:kern w:val="0"/>
        </w:rPr>
        <w:tab/>
        <w:t>De Silva O, Rougier A, Dossou KG. The HET-CAM Test: A Study of the Irritation Potential of Chemicals and Formulations. Altern Lab Anim. 1992 Jul;20(3):432–7. doi:10.1177/026119299202000309</w:t>
      </w:r>
    </w:p>
    <w:p w14:paraId="3A430880"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8.</w:t>
      </w:r>
      <w:r w:rsidRPr="00A96C26">
        <w:rPr>
          <w:rFonts w:ascii="Times New Roman" w:hAnsi="Times New Roman" w:cs="Times New Roman"/>
          <w:kern w:val="0"/>
        </w:rPr>
        <w:tab/>
        <w:t>Cai Y, Zhang J, Liang J, Xiao M, Zhang G, Jing Z, et al. The Burden of Rheumatoid Arthritis: Findings from the 2019 Global Burden of Diseases Study and Forecasts for 2030 by Bayesian Age-Period-Cohort Analysis. JCM. 2023 Feb 6;12(4):1291. doi:10.3390/jcm12041291</w:t>
      </w:r>
    </w:p>
    <w:p w14:paraId="38A9F01E"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9.</w:t>
      </w:r>
      <w:r w:rsidRPr="00A96C26">
        <w:rPr>
          <w:rFonts w:ascii="Times New Roman" w:hAnsi="Times New Roman" w:cs="Times New Roman"/>
          <w:kern w:val="0"/>
        </w:rPr>
        <w:tab/>
        <w:t>Liu M, Wen J, Sharma M. Solid Lipid Nanoparticles for Topical Drug Delivery: Mechanisms, Dosage Form Perspectives, and Translational Status. CPD. 2020 Aug 25;26(27):3203–17. doi:10.2174/1381612826666200526145706</w:t>
      </w:r>
    </w:p>
    <w:p w14:paraId="6A6D82AA"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10.</w:t>
      </w:r>
      <w:r w:rsidRPr="00A96C26">
        <w:rPr>
          <w:rFonts w:ascii="Times New Roman" w:hAnsi="Times New Roman" w:cs="Times New Roman"/>
          <w:kern w:val="0"/>
        </w:rPr>
        <w:tab/>
      </w:r>
      <w:proofErr w:type="spellStart"/>
      <w:r w:rsidRPr="00A96C26">
        <w:rPr>
          <w:rFonts w:ascii="Times New Roman" w:hAnsi="Times New Roman" w:cs="Times New Roman"/>
          <w:kern w:val="0"/>
        </w:rPr>
        <w:t>Kunnumakkara</w:t>
      </w:r>
      <w:proofErr w:type="spellEnd"/>
      <w:r w:rsidRPr="00A96C26">
        <w:rPr>
          <w:rFonts w:ascii="Times New Roman" w:hAnsi="Times New Roman" w:cs="Times New Roman"/>
          <w:kern w:val="0"/>
        </w:rPr>
        <w:t xml:space="preserve"> AB, Hegde M, Parama D, Girisa S, Kumar A, Daimary UD, et al. Role of Turmeric and Curcumin in Prevention and Treatment of Chronic Diseases: Lessons Learned from Clinical Trials. ACS </w:t>
      </w:r>
      <w:proofErr w:type="spellStart"/>
      <w:r w:rsidRPr="00A96C26">
        <w:rPr>
          <w:rFonts w:ascii="Times New Roman" w:hAnsi="Times New Roman" w:cs="Times New Roman"/>
          <w:kern w:val="0"/>
        </w:rPr>
        <w:t>Pharmacol</w:t>
      </w:r>
      <w:proofErr w:type="spellEnd"/>
      <w:r w:rsidRPr="00A96C26">
        <w:rPr>
          <w:rFonts w:ascii="Times New Roman" w:hAnsi="Times New Roman" w:cs="Times New Roman"/>
          <w:kern w:val="0"/>
        </w:rPr>
        <w:t xml:space="preserve"> </w:t>
      </w:r>
      <w:proofErr w:type="spellStart"/>
      <w:r w:rsidRPr="00A96C26">
        <w:rPr>
          <w:rFonts w:ascii="Times New Roman" w:hAnsi="Times New Roman" w:cs="Times New Roman"/>
          <w:kern w:val="0"/>
        </w:rPr>
        <w:t>Transl</w:t>
      </w:r>
      <w:proofErr w:type="spellEnd"/>
      <w:r w:rsidRPr="00A96C26">
        <w:rPr>
          <w:rFonts w:ascii="Times New Roman" w:hAnsi="Times New Roman" w:cs="Times New Roman"/>
          <w:kern w:val="0"/>
        </w:rPr>
        <w:t xml:space="preserve"> Sci. 2023 Apr 14;6(4):447–518. doi:10.1021/acsptsci.2c00012</w:t>
      </w:r>
    </w:p>
    <w:p w14:paraId="063AB6D0"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11.</w:t>
      </w:r>
      <w:r w:rsidRPr="00A96C26">
        <w:rPr>
          <w:rFonts w:ascii="Times New Roman" w:hAnsi="Times New Roman" w:cs="Times New Roman"/>
          <w:kern w:val="0"/>
        </w:rPr>
        <w:tab/>
        <w:t>Jang S, Kwon EJ, Lee JJ. Rheumatoid Arthritis: Pathogenic Roles of Diverse Immune Cells. IJMS. 2022 Jan 14;23(2):905. doi:10.3390/ijms23020905</w:t>
      </w:r>
    </w:p>
    <w:p w14:paraId="1583F121"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12.</w:t>
      </w:r>
      <w:r w:rsidRPr="00A96C26">
        <w:rPr>
          <w:rFonts w:ascii="Times New Roman" w:hAnsi="Times New Roman" w:cs="Times New Roman"/>
          <w:kern w:val="0"/>
        </w:rPr>
        <w:tab/>
        <w:t xml:space="preserve">Bullock J, Rizvi SAA, Saleh AM, Ahmed SS, Do DP, Ansari RA, et al. Rheumatoid Arthritis: A Brief Overview of the Treatment. Med </w:t>
      </w:r>
      <w:proofErr w:type="spellStart"/>
      <w:r w:rsidRPr="00A96C26">
        <w:rPr>
          <w:rFonts w:ascii="Times New Roman" w:hAnsi="Times New Roman" w:cs="Times New Roman"/>
          <w:kern w:val="0"/>
        </w:rPr>
        <w:t>Princ</w:t>
      </w:r>
      <w:proofErr w:type="spellEnd"/>
      <w:r w:rsidRPr="00A96C26">
        <w:rPr>
          <w:rFonts w:ascii="Times New Roman" w:hAnsi="Times New Roman" w:cs="Times New Roman"/>
          <w:kern w:val="0"/>
        </w:rPr>
        <w:t xml:space="preserve"> </w:t>
      </w:r>
      <w:proofErr w:type="spellStart"/>
      <w:r w:rsidRPr="00A96C26">
        <w:rPr>
          <w:rFonts w:ascii="Times New Roman" w:hAnsi="Times New Roman" w:cs="Times New Roman"/>
          <w:kern w:val="0"/>
        </w:rPr>
        <w:t>Pract</w:t>
      </w:r>
      <w:proofErr w:type="spellEnd"/>
      <w:r w:rsidRPr="00A96C26">
        <w:rPr>
          <w:rFonts w:ascii="Times New Roman" w:hAnsi="Times New Roman" w:cs="Times New Roman"/>
          <w:kern w:val="0"/>
        </w:rPr>
        <w:t>. 2018;27(6):501–7. doi:10.1159/000493390</w:t>
      </w:r>
    </w:p>
    <w:p w14:paraId="01C62EDF"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13.</w:t>
      </w:r>
      <w:r w:rsidRPr="00A96C26">
        <w:rPr>
          <w:rFonts w:ascii="Times New Roman" w:hAnsi="Times New Roman" w:cs="Times New Roman"/>
          <w:kern w:val="0"/>
        </w:rPr>
        <w:tab/>
      </w:r>
      <w:proofErr w:type="spellStart"/>
      <w:r w:rsidRPr="00A96C26">
        <w:rPr>
          <w:rFonts w:ascii="Times New Roman" w:hAnsi="Times New Roman" w:cs="Times New Roman"/>
          <w:kern w:val="0"/>
        </w:rPr>
        <w:t>Elhabal</w:t>
      </w:r>
      <w:proofErr w:type="spellEnd"/>
      <w:r w:rsidRPr="00A96C26">
        <w:rPr>
          <w:rFonts w:ascii="Times New Roman" w:hAnsi="Times New Roman" w:cs="Times New Roman"/>
          <w:kern w:val="0"/>
        </w:rPr>
        <w:t xml:space="preserve"> S, </w:t>
      </w:r>
      <w:proofErr w:type="spellStart"/>
      <w:r w:rsidRPr="00A96C26">
        <w:rPr>
          <w:rFonts w:ascii="Times New Roman" w:hAnsi="Times New Roman" w:cs="Times New Roman"/>
          <w:kern w:val="0"/>
        </w:rPr>
        <w:t>Abdelaal</w:t>
      </w:r>
      <w:proofErr w:type="spellEnd"/>
      <w:r w:rsidRPr="00A96C26">
        <w:rPr>
          <w:rFonts w:ascii="Times New Roman" w:hAnsi="Times New Roman" w:cs="Times New Roman"/>
          <w:kern w:val="0"/>
        </w:rPr>
        <w:t xml:space="preserve"> N, Al-</w:t>
      </w:r>
      <w:proofErr w:type="spellStart"/>
      <w:r w:rsidRPr="00A96C26">
        <w:rPr>
          <w:rFonts w:ascii="Times New Roman" w:hAnsi="Times New Roman" w:cs="Times New Roman"/>
          <w:kern w:val="0"/>
        </w:rPr>
        <w:t>Zuhairy</w:t>
      </w:r>
      <w:proofErr w:type="spellEnd"/>
      <w:r w:rsidRPr="00A96C26">
        <w:rPr>
          <w:rFonts w:ascii="Times New Roman" w:hAnsi="Times New Roman" w:cs="Times New Roman"/>
          <w:kern w:val="0"/>
        </w:rPr>
        <w:t xml:space="preserve"> S, Mohamed </w:t>
      </w:r>
      <w:proofErr w:type="spellStart"/>
      <w:r w:rsidRPr="00A96C26">
        <w:rPr>
          <w:rFonts w:ascii="Times New Roman" w:hAnsi="Times New Roman" w:cs="Times New Roman"/>
          <w:kern w:val="0"/>
        </w:rPr>
        <w:t>Elrefai</w:t>
      </w:r>
      <w:proofErr w:type="spellEnd"/>
      <w:r w:rsidRPr="00A96C26">
        <w:rPr>
          <w:rFonts w:ascii="Times New Roman" w:hAnsi="Times New Roman" w:cs="Times New Roman"/>
          <w:kern w:val="0"/>
        </w:rPr>
        <w:t xml:space="preserve"> M, Khalifa M, </w:t>
      </w:r>
      <w:proofErr w:type="spellStart"/>
      <w:r w:rsidRPr="00A96C26">
        <w:rPr>
          <w:rFonts w:ascii="Times New Roman" w:hAnsi="Times New Roman" w:cs="Times New Roman"/>
          <w:kern w:val="0"/>
        </w:rPr>
        <w:t>Khasawneh</w:t>
      </w:r>
      <w:proofErr w:type="spellEnd"/>
      <w:r w:rsidRPr="00A96C26">
        <w:rPr>
          <w:rFonts w:ascii="Times New Roman" w:hAnsi="Times New Roman" w:cs="Times New Roman"/>
          <w:kern w:val="0"/>
        </w:rPr>
        <w:t xml:space="preserve"> M, et al. Revolutionizing Psoriasis Topical Treatment: Enhanced Efficacy Through Ceramide/Phospholipid Composite </w:t>
      </w:r>
      <w:proofErr w:type="spellStart"/>
      <w:r w:rsidRPr="00A96C26">
        <w:rPr>
          <w:rFonts w:ascii="Times New Roman" w:hAnsi="Times New Roman" w:cs="Times New Roman"/>
          <w:kern w:val="0"/>
        </w:rPr>
        <w:t>Cerosomes</w:t>
      </w:r>
      <w:proofErr w:type="spellEnd"/>
      <w:r w:rsidRPr="00A96C26">
        <w:rPr>
          <w:rFonts w:ascii="Times New Roman" w:hAnsi="Times New Roman" w:cs="Times New Roman"/>
          <w:kern w:val="0"/>
        </w:rPr>
        <w:t xml:space="preserve"> Co-Delivery of Cyclosporine and Dithranol: In-Vitro, Ex-Vivo, and in-Vivo Studies. IJN. 2024 </w:t>
      </w:r>
      <w:proofErr w:type="spellStart"/>
      <w:proofErr w:type="gramStart"/>
      <w:r w:rsidRPr="00A96C26">
        <w:rPr>
          <w:rFonts w:ascii="Times New Roman" w:hAnsi="Times New Roman" w:cs="Times New Roman"/>
          <w:kern w:val="0"/>
        </w:rPr>
        <w:t>Feb;Volume</w:t>
      </w:r>
      <w:proofErr w:type="spellEnd"/>
      <w:proofErr w:type="gramEnd"/>
      <w:r w:rsidRPr="00A96C26">
        <w:rPr>
          <w:rFonts w:ascii="Times New Roman" w:hAnsi="Times New Roman" w:cs="Times New Roman"/>
          <w:kern w:val="0"/>
        </w:rPr>
        <w:t xml:space="preserve"> 19:1163–87. doi:10.2147/IJN.S443812</w:t>
      </w:r>
    </w:p>
    <w:p w14:paraId="2B00D71D"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lastRenderedPageBreak/>
        <w:t>14.</w:t>
      </w:r>
      <w:r w:rsidRPr="00A96C26">
        <w:rPr>
          <w:rFonts w:ascii="Times New Roman" w:hAnsi="Times New Roman" w:cs="Times New Roman"/>
          <w:kern w:val="0"/>
        </w:rPr>
        <w:tab/>
        <w:t xml:space="preserve">Share JB. Review of drug treatment for Down’s syndrome persons. Am J </w:t>
      </w:r>
      <w:proofErr w:type="spellStart"/>
      <w:r w:rsidRPr="00A96C26">
        <w:rPr>
          <w:rFonts w:ascii="Times New Roman" w:hAnsi="Times New Roman" w:cs="Times New Roman"/>
          <w:kern w:val="0"/>
        </w:rPr>
        <w:t>Ment</w:t>
      </w:r>
      <w:proofErr w:type="spellEnd"/>
      <w:r w:rsidRPr="00A96C26">
        <w:rPr>
          <w:rFonts w:ascii="Times New Roman" w:hAnsi="Times New Roman" w:cs="Times New Roman"/>
          <w:kern w:val="0"/>
        </w:rPr>
        <w:t xml:space="preserve"> </w:t>
      </w:r>
      <w:proofErr w:type="spellStart"/>
      <w:r w:rsidRPr="00A96C26">
        <w:rPr>
          <w:rFonts w:ascii="Times New Roman" w:hAnsi="Times New Roman" w:cs="Times New Roman"/>
          <w:kern w:val="0"/>
        </w:rPr>
        <w:t>Defic</w:t>
      </w:r>
      <w:proofErr w:type="spellEnd"/>
      <w:r w:rsidRPr="00A96C26">
        <w:rPr>
          <w:rFonts w:ascii="Times New Roman" w:hAnsi="Times New Roman" w:cs="Times New Roman"/>
          <w:kern w:val="0"/>
        </w:rPr>
        <w:t>. 1976 Jan;80(4):388–93. PubMed PMID: 2011.</w:t>
      </w:r>
    </w:p>
    <w:p w14:paraId="5A492C8F"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lang w:val="nb-NO"/>
        </w:rPr>
      </w:pPr>
      <w:r w:rsidRPr="00A96C26">
        <w:rPr>
          <w:rFonts w:ascii="Times New Roman" w:hAnsi="Times New Roman" w:cs="Times New Roman"/>
          <w:kern w:val="0"/>
        </w:rPr>
        <w:t>15.</w:t>
      </w:r>
      <w:r w:rsidRPr="00A96C26">
        <w:rPr>
          <w:rFonts w:ascii="Times New Roman" w:hAnsi="Times New Roman" w:cs="Times New Roman"/>
          <w:kern w:val="0"/>
        </w:rPr>
        <w:tab/>
        <w:t xml:space="preserve">Share JB. Review of drug treatment for Down’s syndrome persons. </w:t>
      </w:r>
      <w:r w:rsidRPr="00A96C26">
        <w:rPr>
          <w:rFonts w:ascii="Times New Roman" w:hAnsi="Times New Roman" w:cs="Times New Roman"/>
          <w:kern w:val="0"/>
          <w:lang w:val="nb-NO"/>
        </w:rPr>
        <w:t>Am J Ment Defic. 1976 Jan;80(4):388–93. PubMed PMID: 2011.</w:t>
      </w:r>
    </w:p>
    <w:p w14:paraId="443F3D32"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lang w:val="nb-NO"/>
        </w:rPr>
        <w:t>16.</w:t>
      </w:r>
      <w:r w:rsidRPr="00A96C26">
        <w:rPr>
          <w:rFonts w:ascii="Times New Roman" w:hAnsi="Times New Roman" w:cs="Times New Roman"/>
          <w:kern w:val="0"/>
          <w:lang w:val="nb-NO"/>
        </w:rPr>
        <w:tab/>
        <w:t xml:space="preserve">Straat M, Van Bruggen R, De Korte D, Juffermans NP. </w:t>
      </w:r>
      <w:r w:rsidRPr="00A96C26">
        <w:rPr>
          <w:rFonts w:ascii="Times New Roman" w:hAnsi="Times New Roman" w:cs="Times New Roman"/>
          <w:kern w:val="0"/>
        </w:rPr>
        <w:t xml:space="preserve">Red Blood Cell Clearance in Inflammation. </w:t>
      </w:r>
      <w:proofErr w:type="spellStart"/>
      <w:r w:rsidRPr="00A96C26">
        <w:rPr>
          <w:rFonts w:ascii="Times New Roman" w:hAnsi="Times New Roman" w:cs="Times New Roman"/>
          <w:kern w:val="0"/>
        </w:rPr>
        <w:t>Transfus</w:t>
      </w:r>
      <w:proofErr w:type="spellEnd"/>
      <w:r w:rsidRPr="00A96C26">
        <w:rPr>
          <w:rFonts w:ascii="Times New Roman" w:hAnsi="Times New Roman" w:cs="Times New Roman"/>
          <w:kern w:val="0"/>
        </w:rPr>
        <w:t xml:space="preserve"> Med </w:t>
      </w:r>
      <w:proofErr w:type="spellStart"/>
      <w:r w:rsidRPr="00A96C26">
        <w:rPr>
          <w:rFonts w:ascii="Times New Roman" w:hAnsi="Times New Roman" w:cs="Times New Roman"/>
          <w:kern w:val="0"/>
        </w:rPr>
        <w:t>Hemother</w:t>
      </w:r>
      <w:proofErr w:type="spellEnd"/>
      <w:r w:rsidRPr="00A96C26">
        <w:rPr>
          <w:rFonts w:ascii="Times New Roman" w:hAnsi="Times New Roman" w:cs="Times New Roman"/>
          <w:kern w:val="0"/>
        </w:rPr>
        <w:t>. 2012;39(5):353–60. doi:10.1159/000342229</w:t>
      </w:r>
    </w:p>
    <w:p w14:paraId="491B796F"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17.</w:t>
      </w:r>
      <w:r w:rsidRPr="00A96C26">
        <w:rPr>
          <w:rFonts w:ascii="Times New Roman" w:hAnsi="Times New Roman" w:cs="Times New Roman"/>
          <w:kern w:val="0"/>
        </w:rPr>
        <w:tab/>
      </w:r>
      <w:proofErr w:type="spellStart"/>
      <w:r w:rsidRPr="00A96C26">
        <w:rPr>
          <w:rFonts w:ascii="Times New Roman" w:hAnsi="Times New Roman" w:cs="Times New Roman"/>
          <w:kern w:val="0"/>
        </w:rPr>
        <w:t>Sivani</w:t>
      </w:r>
      <w:proofErr w:type="spellEnd"/>
      <w:r w:rsidRPr="00A96C26">
        <w:rPr>
          <w:rFonts w:ascii="Times New Roman" w:hAnsi="Times New Roman" w:cs="Times New Roman"/>
          <w:kern w:val="0"/>
        </w:rPr>
        <w:t xml:space="preserve"> BM, </w:t>
      </w:r>
      <w:proofErr w:type="spellStart"/>
      <w:r w:rsidRPr="00A96C26">
        <w:rPr>
          <w:rFonts w:ascii="Times New Roman" w:hAnsi="Times New Roman" w:cs="Times New Roman"/>
          <w:kern w:val="0"/>
        </w:rPr>
        <w:t>Azzeh</w:t>
      </w:r>
      <w:proofErr w:type="spellEnd"/>
      <w:r w:rsidRPr="00A96C26">
        <w:rPr>
          <w:rFonts w:ascii="Times New Roman" w:hAnsi="Times New Roman" w:cs="Times New Roman"/>
          <w:kern w:val="0"/>
        </w:rPr>
        <w:t xml:space="preserve"> M, Patnaik R, Pantea Stoian A, Rizzo M, Banerjee Y. Reconnoitering the Therapeutic Role of Curcumin in Disease Prevention and Treatment: Lessons Learnt and Future Directions. Metabolites. 2022 Jul 12;12(7):639. doi:10.3390/metabo12070639</w:t>
      </w:r>
    </w:p>
    <w:p w14:paraId="3E0E8219"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18.</w:t>
      </w:r>
      <w:r w:rsidRPr="00A96C26">
        <w:rPr>
          <w:rFonts w:ascii="Times New Roman" w:hAnsi="Times New Roman" w:cs="Times New Roman"/>
          <w:kern w:val="0"/>
        </w:rPr>
        <w:tab/>
        <w:t>Huang J, Yao X, Weng G, Qi H, Ye X. Protective effect of curcumin against cyclosporine A‑induced rat nephrotoxicity. Mol Med Report. 2018 Feb 12. doi:10.3892/mmr.2018.8591</w:t>
      </w:r>
    </w:p>
    <w:p w14:paraId="4DA1CCB4"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19.</w:t>
      </w:r>
      <w:r w:rsidRPr="00A96C26">
        <w:rPr>
          <w:rFonts w:ascii="Times New Roman" w:hAnsi="Times New Roman" w:cs="Times New Roman"/>
          <w:kern w:val="0"/>
        </w:rPr>
        <w:tab/>
        <w:t xml:space="preserve">Malaviya AN, Kapoor SK, Singh RR, Kumar A, Pande I. Prevalence of rheumatoid arthritis in the adult Indian population. </w:t>
      </w:r>
      <w:proofErr w:type="spellStart"/>
      <w:r w:rsidRPr="00A96C26">
        <w:rPr>
          <w:rFonts w:ascii="Times New Roman" w:hAnsi="Times New Roman" w:cs="Times New Roman"/>
          <w:kern w:val="0"/>
        </w:rPr>
        <w:t>Rheumatol</w:t>
      </w:r>
      <w:proofErr w:type="spellEnd"/>
      <w:r w:rsidRPr="00A96C26">
        <w:rPr>
          <w:rFonts w:ascii="Times New Roman" w:hAnsi="Times New Roman" w:cs="Times New Roman"/>
          <w:kern w:val="0"/>
        </w:rPr>
        <w:t xml:space="preserve"> Int. 1993 Nov;13(4):131–4. doi:10.1007/BF00301258</w:t>
      </w:r>
    </w:p>
    <w:p w14:paraId="5336E424"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20.</w:t>
      </w:r>
      <w:r w:rsidRPr="00A96C26">
        <w:rPr>
          <w:rFonts w:ascii="Times New Roman" w:hAnsi="Times New Roman" w:cs="Times New Roman"/>
          <w:kern w:val="0"/>
        </w:rPr>
        <w:tab/>
        <w:t xml:space="preserve">Hernández-Giottonini KY, Rodríguez-Córdova RJ, Gutiérrez-Valenzuela CA, </w:t>
      </w:r>
      <w:proofErr w:type="spellStart"/>
      <w:r w:rsidRPr="00A96C26">
        <w:rPr>
          <w:rFonts w:ascii="Times New Roman" w:hAnsi="Times New Roman" w:cs="Times New Roman"/>
          <w:kern w:val="0"/>
        </w:rPr>
        <w:t>Peñuñuri</w:t>
      </w:r>
      <w:proofErr w:type="spellEnd"/>
      <w:r w:rsidRPr="00A96C26">
        <w:rPr>
          <w:rFonts w:ascii="Times New Roman" w:hAnsi="Times New Roman" w:cs="Times New Roman"/>
          <w:kern w:val="0"/>
        </w:rPr>
        <w:t>-Miranda O, Zavala-Rivera P, Guerrero-Germán P, et al. PLGA nanoparticle preparations by emulsification and nanoprecipitation techniques: effects of formulation parameters. RSC Adv. 2020;10(8):4218–31. doi:10.1039/C9RA10857B</w:t>
      </w:r>
    </w:p>
    <w:p w14:paraId="7BDB0F3E"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21.</w:t>
      </w:r>
      <w:r w:rsidRPr="00A96C26">
        <w:rPr>
          <w:rFonts w:ascii="Times New Roman" w:hAnsi="Times New Roman" w:cs="Times New Roman"/>
          <w:kern w:val="0"/>
        </w:rPr>
        <w:tab/>
        <w:t>Kidder GW, Montgomery CW. Oxygenation of frog gastric mucosa in vitro. Am J Physiol. 1975 Dec;229(6):1510–3. doi:10.1152/ajplegacy.1975.229.6.1510 PubMed PMID: 2018.</w:t>
      </w:r>
    </w:p>
    <w:p w14:paraId="1DE4B962"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22.</w:t>
      </w:r>
      <w:r w:rsidRPr="00A96C26">
        <w:rPr>
          <w:rFonts w:ascii="Times New Roman" w:hAnsi="Times New Roman" w:cs="Times New Roman"/>
          <w:kern w:val="0"/>
        </w:rPr>
        <w:tab/>
        <w:t>Kidder GW, Montgomery CW. Oxygenation of frog gastric mucosa in vitro. Am J Physiol. 1975 Dec;229(6):1510–3. doi:10.1152/ajplegacy.1975.229.6.1510 PubMed PMID: 2018.</w:t>
      </w:r>
    </w:p>
    <w:p w14:paraId="6AA8A1D1"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23.</w:t>
      </w:r>
      <w:r w:rsidRPr="00A96C26">
        <w:rPr>
          <w:rFonts w:ascii="Times New Roman" w:hAnsi="Times New Roman" w:cs="Times New Roman"/>
          <w:kern w:val="0"/>
        </w:rPr>
        <w:tab/>
      </w:r>
      <w:proofErr w:type="spellStart"/>
      <w:r w:rsidRPr="00A96C26">
        <w:rPr>
          <w:rFonts w:ascii="Times New Roman" w:hAnsi="Times New Roman" w:cs="Times New Roman"/>
          <w:kern w:val="0"/>
        </w:rPr>
        <w:t>Kadhim</w:t>
      </w:r>
      <w:proofErr w:type="spellEnd"/>
      <w:r w:rsidRPr="00A96C26">
        <w:rPr>
          <w:rFonts w:ascii="Times New Roman" w:hAnsi="Times New Roman" w:cs="Times New Roman"/>
          <w:kern w:val="0"/>
        </w:rPr>
        <w:t xml:space="preserve"> SAA, </w:t>
      </w:r>
      <w:proofErr w:type="spellStart"/>
      <w:r w:rsidRPr="00A96C26">
        <w:rPr>
          <w:rFonts w:ascii="Times New Roman" w:hAnsi="Times New Roman" w:cs="Times New Roman"/>
          <w:kern w:val="0"/>
        </w:rPr>
        <w:t>Ghafil</w:t>
      </w:r>
      <w:proofErr w:type="spellEnd"/>
      <w:r w:rsidRPr="00A96C26">
        <w:rPr>
          <w:rFonts w:ascii="Times New Roman" w:hAnsi="Times New Roman" w:cs="Times New Roman"/>
          <w:kern w:val="0"/>
        </w:rPr>
        <w:t xml:space="preserve"> FA, Majeed SA, Hadi NR. NEPHROPROTECTIVE EFFECTS OF CURCUMIN AGAINST CYCLOSPORINE A-INDUCED NEPHROTOXICITY IN RAT MODEL. </w:t>
      </w:r>
      <w:proofErr w:type="spellStart"/>
      <w:r w:rsidRPr="00A96C26">
        <w:rPr>
          <w:rFonts w:ascii="Times New Roman" w:hAnsi="Times New Roman" w:cs="Times New Roman"/>
          <w:kern w:val="0"/>
        </w:rPr>
        <w:t>Wiad</w:t>
      </w:r>
      <w:proofErr w:type="spellEnd"/>
      <w:r w:rsidRPr="00A96C26">
        <w:rPr>
          <w:rFonts w:ascii="Times New Roman" w:hAnsi="Times New Roman" w:cs="Times New Roman"/>
          <w:kern w:val="0"/>
        </w:rPr>
        <w:t xml:space="preserve"> </w:t>
      </w:r>
      <w:proofErr w:type="spellStart"/>
      <w:r w:rsidRPr="00A96C26">
        <w:rPr>
          <w:rFonts w:ascii="Times New Roman" w:hAnsi="Times New Roman" w:cs="Times New Roman"/>
          <w:kern w:val="0"/>
        </w:rPr>
        <w:t>Lek</w:t>
      </w:r>
      <w:proofErr w:type="spellEnd"/>
      <w:r w:rsidRPr="00A96C26">
        <w:rPr>
          <w:rFonts w:ascii="Times New Roman" w:hAnsi="Times New Roman" w:cs="Times New Roman"/>
          <w:kern w:val="0"/>
        </w:rPr>
        <w:t>. 2021 Dec;74(12):3135–46. doi:10.36740/WLek202112103</w:t>
      </w:r>
    </w:p>
    <w:p w14:paraId="6254B820"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24.</w:t>
      </w:r>
      <w:r w:rsidRPr="00A96C26">
        <w:rPr>
          <w:rFonts w:ascii="Times New Roman" w:hAnsi="Times New Roman" w:cs="Times New Roman"/>
          <w:kern w:val="0"/>
        </w:rPr>
        <w:tab/>
        <w:t xml:space="preserve">Adin SN, Gupta I, Rashid MA, </w:t>
      </w:r>
      <w:proofErr w:type="spellStart"/>
      <w:r w:rsidRPr="00A96C26">
        <w:rPr>
          <w:rFonts w:ascii="Times New Roman" w:hAnsi="Times New Roman" w:cs="Times New Roman"/>
          <w:kern w:val="0"/>
        </w:rPr>
        <w:t>Alhamhoom</w:t>
      </w:r>
      <w:proofErr w:type="spellEnd"/>
      <w:r w:rsidRPr="00A96C26">
        <w:rPr>
          <w:rFonts w:ascii="Times New Roman" w:hAnsi="Times New Roman" w:cs="Times New Roman"/>
          <w:kern w:val="0"/>
        </w:rPr>
        <w:t xml:space="preserve"> Y, Aqil M, Mujeeb M. </w:t>
      </w:r>
      <w:proofErr w:type="spellStart"/>
      <w:r w:rsidRPr="00A96C26">
        <w:rPr>
          <w:rFonts w:ascii="Times New Roman" w:hAnsi="Times New Roman" w:cs="Times New Roman"/>
          <w:kern w:val="0"/>
        </w:rPr>
        <w:t>Nanotransethosomes</w:t>
      </w:r>
      <w:proofErr w:type="spellEnd"/>
      <w:r w:rsidRPr="00A96C26">
        <w:rPr>
          <w:rFonts w:ascii="Times New Roman" w:hAnsi="Times New Roman" w:cs="Times New Roman"/>
          <w:kern w:val="0"/>
        </w:rPr>
        <w:t xml:space="preserve"> for enhanced transdermal delivery of </w:t>
      </w:r>
      <w:proofErr w:type="spellStart"/>
      <w:r w:rsidRPr="00A96C26">
        <w:rPr>
          <w:rFonts w:ascii="Times New Roman" w:hAnsi="Times New Roman" w:cs="Times New Roman"/>
          <w:kern w:val="0"/>
        </w:rPr>
        <w:t>mangiferin</w:t>
      </w:r>
      <w:proofErr w:type="spellEnd"/>
      <w:r w:rsidRPr="00A96C26">
        <w:rPr>
          <w:rFonts w:ascii="Times New Roman" w:hAnsi="Times New Roman" w:cs="Times New Roman"/>
          <w:kern w:val="0"/>
        </w:rPr>
        <w:t xml:space="preserve"> against rheumatoid arthritis: formulation, characterization, </w:t>
      </w:r>
      <w:proofErr w:type="spellStart"/>
      <w:r w:rsidRPr="00A96C26">
        <w:rPr>
          <w:rFonts w:ascii="Times New Roman" w:hAnsi="Times New Roman" w:cs="Times New Roman"/>
          <w:kern w:val="0"/>
        </w:rPr>
        <w:t>invivo</w:t>
      </w:r>
      <w:proofErr w:type="spellEnd"/>
      <w:r w:rsidRPr="00A96C26">
        <w:rPr>
          <w:rFonts w:ascii="Times New Roman" w:hAnsi="Times New Roman" w:cs="Times New Roman"/>
          <w:kern w:val="0"/>
        </w:rPr>
        <w:t xml:space="preserve"> pharmacokinetic and pharmacodynamic evaluation. Drug Delivery. 2023 Dec 31;30(1):2173338. doi:10.1080/10717544.2023.2173338</w:t>
      </w:r>
    </w:p>
    <w:p w14:paraId="67287E5C"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25.</w:t>
      </w:r>
      <w:r w:rsidRPr="00A96C26">
        <w:rPr>
          <w:rFonts w:ascii="Times New Roman" w:hAnsi="Times New Roman" w:cs="Times New Roman"/>
          <w:kern w:val="0"/>
        </w:rPr>
        <w:tab/>
        <w:t xml:space="preserve">Heinz H, Pramanik C, Heinz O, Ding Y, Mishra RK, Marchon D, et al. Nanoparticle decoration with surfactants: Molecular interactions, assembly, and applications. Surface Science Reports. 2017 Feb;72(1):1–58. </w:t>
      </w:r>
      <w:proofErr w:type="gramStart"/>
      <w:r w:rsidRPr="00A96C26">
        <w:rPr>
          <w:rFonts w:ascii="Times New Roman" w:hAnsi="Times New Roman" w:cs="Times New Roman"/>
          <w:kern w:val="0"/>
        </w:rPr>
        <w:t>doi:10.1016/j.surfrep</w:t>
      </w:r>
      <w:proofErr w:type="gramEnd"/>
      <w:r w:rsidRPr="00A96C26">
        <w:rPr>
          <w:rFonts w:ascii="Times New Roman" w:hAnsi="Times New Roman" w:cs="Times New Roman"/>
          <w:kern w:val="0"/>
        </w:rPr>
        <w:t>.2017.02.001</w:t>
      </w:r>
    </w:p>
    <w:p w14:paraId="17848E5A"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26.</w:t>
      </w:r>
      <w:r w:rsidRPr="00A96C26">
        <w:rPr>
          <w:rFonts w:ascii="Times New Roman" w:hAnsi="Times New Roman" w:cs="Times New Roman"/>
          <w:kern w:val="0"/>
        </w:rPr>
        <w:tab/>
        <w:t xml:space="preserve">Liddicoat AM, Lavelle EC. Modulation of innate immunity by cyclosporine A. Biochemical Pharmacology. 2019 </w:t>
      </w:r>
      <w:proofErr w:type="gramStart"/>
      <w:r w:rsidRPr="00A96C26">
        <w:rPr>
          <w:rFonts w:ascii="Times New Roman" w:hAnsi="Times New Roman" w:cs="Times New Roman"/>
          <w:kern w:val="0"/>
        </w:rPr>
        <w:t>May;163:472</w:t>
      </w:r>
      <w:proofErr w:type="gramEnd"/>
      <w:r w:rsidRPr="00A96C26">
        <w:rPr>
          <w:rFonts w:ascii="Times New Roman" w:hAnsi="Times New Roman" w:cs="Times New Roman"/>
          <w:kern w:val="0"/>
        </w:rPr>
        <w:t xml:space="preserve">–80. </w:t>
      </w:r>
      <w:proofErr w:type="gramStart"/>
      <w:r w:rsidRPr="00A96C26">
        <w:rPr>
          <w:rFonts w:ascii="Times New Roman" w:hAnsi="Times New Roman" w:cs="Times New Roman"/>
          <w:kern w:val="0"/>
        </w:rPr>
        <w:t>doi:10.1016/j.bcp</w:t>
      </w:r>
      <w:proofErr w:type="gramEnd"/>
      <w:r w:rsidRPr="00A96C26">
        <w:rPr>
          <w:rFonts w:ascii="Times New Roman" w:hAnsi="Times New Roman" w:cs="Times New Roman"/>
          <w:kern w:val="0"/>
        </w:rPr>
        <w:t>.2019.03.022</w:t>
      </w:r>
    </w:p>
    <w:p w14:paraId="5355E0FF"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27.</w:t>
      </w:r>
      <w:r w:rsidRPr="00A96C26">
        <w:rPr>
          <w:rFonts w:ascii="Times New Roman" w:hAnsi="Times New Roman" w:cs="Times New Roman"/>
          <w:kern w:val="0"/>
        </w:rPr>
        <w:tab/>
      </w:r>
      <w:proofErr w:type="spellStart"/>
      <w:r w:rsidRPr="00A96C26">
        <w:rPr>
          <w:rFonts w:ascii="Times New Roman" w:hAnsi="Times New Roman" w:cs="Times New Roman"/>
          <w:kern w:val="0"/>
        </w:rPr>
        <w:t>Soni</w:t>
      </w:r>
      <w:proofErr w:type="spellEnd"/>
      <w:r w:rsidRPr="00A96C26">
        <w:rPr>
          <w:rFonts w:ascii="Times New Roman" w:hAnsi="Times New Roman" w:cs="Times New Roman"/>
          <w:kern w:val="0"/>
        </w:rPr>
        <w:t xml:space="preserve"> JM, </w:t>
      </w:r>
      <w:proofErr w:type="spellStart"/>
      <w:r w:rsidRPr="00A96C26">
        <w:rPr>
          <w:rFonts w:ascii="Times New Roman" w:hAnsi="Times New Roman" w:cs="Times New Roman"/>
          <w:kern w:val="0"/>
        </w:rPr>
        <w:t>Sardoiwala</w:t>
      </w:r>
      <w:proofErr w:type="spellEnd"/>
      <w:r w:rsidRPr="00A96C26">
        <w:rPr>
          <w:rFonts w:ascii="Times New Roman" w:hAnsi="Times New Roman" w:cs="Times New Roman"/>
          <w:kern w:val="0"/>
        </w:rPr>
        <w:t xml:space="preserve"> MN, Choudhury SR, Sharma SS, Karmakar S. Melatonin-loaded chitosan nanoparticles endows nitric oxide synthase 2 mediated anti-inflammatory activity in inflammatory bowel disease model. Materials Science and Engineering: C. 2021 </w:t>
      </w:r>
      <w:proofErr w:type="gramStart"/>
      <w:r w:rsidRPr="00A96C26">
        <w:rPr>
          <w:rFonts w:ascii="Times New Roman" w:hAnsi="Times New Roman" w:cs="Times New Roman"/>
          <w:kern w:val="0"/>
        </w:rPr>
        <w:t>May;124:112038</w:t>
      </w:r>
      <w:proofErr w:type="gramEnd"/>
      <w:r w:rsidRPr="00A96C26">
        <w:rPr>
          <w:rFonts w:ascii="Times New Roman" w:hAnsi="Times New Roman" w:cs="Times New Roman"/>
          <w:kern w:val="0"/>
        </w:rPr>
        <w:t xml:space="preserve">. </w:t>
      </w:r>
      <w:proofErr w:type="gramStart"/>
      <w:r w:rsidRPr="00A96C26">
        <w:rPr>
          <w:rFonts w:ascii="Times New Roman" w:hAnsi="Times New Roman" w:cs="Times New Roman"/>
          <w:kern w:val="0"/>
        </w:rPr>
        <w:t>doi:10.1016/j.msec</w:t>
      </w:r>
      <w:proofErr w:type="gramEnd"/>
      <w:r w:rsidRPr="00A96C26">
        <w:rPr>
          <w:rFonts w:ascii="Times New Roman" w:hAnsi="Times New Roman" w:cs="Times New Roman"/>
          <w:kern w:val="0"/>
        </w:rPr>
        <w:t>.2021.112038</w:t>
      </w:r>
    </w:p>
    <w:p w14:paraId="20A5695C"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28.</w:t>
      </w:r>
      <w:r w:rsidRPr="00A96C26">
        <w:rPr>
          <w:rFonts w:ascii="Times New Roman" w:hAnsi="Times New Roman" w:cs="Times New Roman"/>
          <w:kern w:val="0"/>
        </w:rPr>
        <w:tab/>
      </w:r>
      <w:proofErr w:type="spellStart"/>
      <w:r w:rsidRPr="00A96C26">
        <w:rPr>
          <w:rFonts w:ascii="Times New Roman" w:hAnsi="Times New Roman" w:cs="Times New Roman"/>
          <w:kern w:val="0"/>
        </w:rPr>
        <w:t>Fiddian</w:t>
      </w:r>
      <w:proofErr w:type="spellEnd"/>
      <w:r w:rsidRPr="00A96C26">
        <w:rPr>
          <w:rFonts w:ascii="Times New Roman" w:hAnsi="Times New Roman" w:cs="Times New Roman"/>
          <w:kern w:val="0"/>
        </w:rPr>
        <w:t xml:space="preserve">-Green RG, </w:t>
      </w:r>
      <w:proofErr w:type="spellStart"/>
      <w:r w:rsidRPr="00A96C26">
        <w:rPr>
          <w:rFonts w:ascii="Times New Roman" w:hAnsi="Times New Roman" w:cs="Times New Roman"/>
          <w:kern w:val="0"/>
        </w:rPr>
        <w:t>Silen</w:t>
      </w:r>
      <w:proofErr w:type="spellEnd"/>
      <w:r w:rsidRPr="00A96C26">
        <w:rPr>
          <w:rFonts w:ascii="Times New Roman" w:hAnsi="Times New Roman" w:cs="Times New Roman"/>
          <w:kern w:val="0"/>
        </w:rPr>
        <w:t xml:space="preserve"> W. Mechanisms of disposal of acid and alkali in rabbit duodenum. Am J Physiol. 1975 Dec;229(6):1641–8. doi:10.1152/ajplegacy.1975.229.6.1641 PubMed PMID: 2019.</w:t>
      </w:r>
    </w:p>
    <w:p w14:paraId="04C7B648"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29.</w:t>
      </w:r>
      <w:r w:rsidRPr="00A96C26">
        <w:rPr>
          <w:rFonts w:ascii="Times New Roman" w:hAnsi="Times New Roman" w:cs="Times New Roman"/>
          <w:kern w:val="0"/>
        </w:rPr>
        <w:tab/>
        <w:t xml:space="preserve">Radu AF, </w:t>
      </w:r>
      <w:proofErr w:type="spellStart"/>
      <w:r w:rsidRPr="00A96C26">
        <w:rPr>
          <w:rFonts w:ascii="Times New Roman" w:hAnsi="Times New Roman" w:cs="Times New Roman"/>
          <w:kern w:val="0"/>
        </w:rPr>
        <w:t>Bungau</w:t>
      </w:r>
      <w:proofErr w:type="spellEnd"/>
      <w:r w:rsidRPr="00A96C26">
        <w:rPr>
          <w:rFonts w:ascii="Times New Roman" w:hAnsi="Times New Roman" w:cs="Times New Roman"/>
          <w:kern w:val="0"/>
        </w:rPr>
        <w:t xml:space="preserve"> SG. Management of Rheumatoid Arthritis: An Overview. Cells. 2021 Oct 23;10(11):2857. doi:10.3390/cells10112857</w:t>
      </w:r>
    </w:p>
    <w:p w14:paraId="7CA8A30C"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30.</w:t>
      </w:r>
      <w:r w:rsidRPr="00A96C26">
        <w:rPr>
          <w:rFonts w:ascii="Times New Roman" w:hAnsi="Times New Roman" w:cs="Times New Roman"/>
          <w:kern w:val="0"/>
        </w:rPr>
        <w:tab/>
        <w:t>Pierre MBR, Dos Santos Miranda Costa I. Liposomal systems as drug delivery vehicles for dermal and transdermal applications. Arch Dermatol Res. 2011 Nov;303(9):607. doi:10.1007/s00403-011-1166-4</w:t>
      </w:r>
    </w:p>
    <w:p w14:paraId="6C83FAB8"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lastRenderedPageBreak/>
        <w:t>31.</w:t>
      </w:r>
      <w:r w:rsidRPr="00A96C26">
        <w:rPr>
          <w:rFonts w:ascii="Times New Roman" w:hAnsi="Times New Roman" w:cs="Times New Roman"/>
          <w:kern w:val="0"/>
        </w:rPr>
        <w:tab/>
        <w:t>Durbin RP. Letter: Acid secretion by gastric mucous membrane. Am J Physiol. 1975 Dec;229(6):1726. doi:10.1152/ajplegacy.1975.229.6.1726 PubMed PMID: 2020.</w:t>
      </w:r>
    </w:p>
    <w:p w14:paraId="1E364C52"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32.</w:t>
      </w:r>
      <w:r w:rsidRPr="00A96C26">
        <w:rPr>
          <w:rFonts w:ascii="Times New Roman" w:hAnsi="Times New Roman" w:cs="Times New Roman"/>
          <w:kern w:val="0"/>
        </w:rPr>
        <w:tab/>
        <w:t>Durbin RP. Letter: Acid secretion by gastric mucous membrane. Am J Physiol. 1975 Dec;229(6):1726. doi:10.1152/ajplegacy.1975.229.6.1726 PubMed PMID: 2020.</w:t>
      </w:r>
    </w:p>
    <w:p w14:paraId="241AB9C9"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33.</w:t>
      </w:r>
      <w:r w:rsidRPr="00A96C26">
        <w:rPr>
          <w:rFonts w:ascii="Times New Roman" w:hAnsi="Times New Roman" w:cs="Times New Roman"/>
          <w:kern w:val="0"/>
        </w:rPr>
        <w:tab/>
        <w:t xml:space="preserve">Gupta I, Adin SN, Aqil M, Mujeeb M, Sultana Y. Investigation on utility of some novel terpenes on </w:t>
      </w:r>
      <w:proofErr w:type="spellStart"/>
      <w:r w:rsidRPr="00A96C26">
        <w:rPr>
          <w:rFonts w:ascii="Times New Roman" w:hAnsi="Times New Roman" w:cs="Times New Roman"/>
          <w:kern w:val="0"/>
        </w:rPr>
        <w:t>transungual</w:t>
      </w:r>
      <w:proofErr w:type="spellEnd"/>
      <w:r w:rsidRPr="00A96C26">
        <w:rPr>
          <w:rFonts w:ascii="Times New Roman" w:hAnsi="Times New Roman" w:cs="Times New Roman"/>
          <w:kern w:val="0"/>
        </w:rPr>
        <w:t xml:space="preserve"> delivery of terbinafine for the management of onychomycosis. Dermatol </w:t>
      </w:r>
      <w:proofErr w:type="spellStart"/>
      <w:r w:rsidRPr="00A96C26">
        <w:rPr>
          <w:rFonts w:ascii="Times New Roman" w:hAnsi="Times New Roman" w:cs="Times New Roman"/>
          <w:kern w:val="0"/>
        </w:rPr>
        <w:t>Pract</w:t>
      </w:r>
      <w:proofErr w:type="spellEnd"/>
      <w:r w:rsidRPr="00A96C26">
        <w:rPr>
          <w:rFonts w:ascii="Times New Roman" w:hAnsi="Times New Roman" w:cs="Times New Roman"/>
          <w:kern w:val="0"/>
        </w:rPr>
        <w:t xml:space="preserve"> Concept. 2022 Oct </w:t>
      </w:r>
      <w:proofErr w:type="gramStart"/>
      <w:r w:rsidRPr="00A96C26">
        <w:rPr>
          <w:rFonts w:ascii="Times New Roman" w:hAnsi="Times New Roman" w:cs="Times New Roman"/>
          <w:kern w:val="0"/>
        </w:rPr>
        <w:t>31;e</w:t>
      </w:r>
      <w:proofErr w:type="gramEnd"/>
      <w:r w:rsidRPr="00A96C26">
        <w:rPr>
          <w:rFonts w:ascii="Times New Roman" w:hAnsi="Times New Roman" w:cs="Times New Roman"/>
          <w:kern w:val="0"/>
        </w:rPr>
        <w:t>2022202. doi:10.5826/dpc.1204a202</w:t>
      </w:r>
    </w:p>
    <w:p w14:paraId="30561F40"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34.</w:t>
      </w:r>
      <w:r w:rsidRPr="00A96C26">
        <w:rPr>
          <w:rFonts w:ascii="Times New Roman" w:hAnsi="Times New Roman" w:cs="Times New Roman"/>
          <w:kern w:val="0"/>
        </w:rPr>
        <w:tab/>
        <w:t xml:space="preserve">Gupta I, Adin SN, Aqil M, Mujeeb M, Sultana Y. Investigation on utility of some novel terpenes on </w:t>
      </w:r>
      <w:proofErr w:type="spellStart"/>
      <w:r w:rsidRPr="00A96C26">
        <w:rPr>
          <w:rFonts w:ascii="Times New Roman" w:hAnsi="Times New Roman" w:cs="Times New Roman"/>
          <w:kern w:val="0"/>
        </w:rPr>
        <w:t>transungual</w:t>
      </w:r>
      <w:proofErr w:type="spellEnd"/>
      <w:r w:rsidRPr="00A96C26">
        <w:rPr>
          <w:rFonts w:ascii="Times New Roman" w:hAnsi="Times New Roman" w:cs="Times New Roman"/>
          <w:kern w:val="0"/>
        </w:rPr>
        <w:t xml:space="preserve"> delivery of terbinafine for the management of onychomycosis. Dermatol </w:t>
      </w:r>
      <w:proofErr w:type="spellStart"/>
      <w:r w:rsidRPr="00A96C26">
        <w:rPr>
          <w:rFonts w:ascii="Times New Roman" w:hAnsi="Times New Roman" w:cs="Times New Roman"/>
          <w:kern w:val="0"/>
        </w:rPr>
        <w:t>Pract</w:t>
      </w:r>
      <w:proofErr w:type="spellEnd"/>
      <w:r w:rsidRPr="00A96C26">
        <w:rPr>
          <w:rFonts w:ascii="Times New Roman" w:hAnsi="Times New Roman" w:cs="Times New Roman"/>
          <w:kern w:val="0"/>
        </w:rPr>
        <w:t xml:space="preserve"> Concept. 2022 Oct </w:t>
      </w:r>
      <w:proofErr w:type="gramStart"/>
      <w:r w:rsidRPr="00A96C26">
        <w:rPr>
          <w:rFonts w:ascii="Times New Roman" w:hAnsi="Times New Roman" w:cs="Times New Roman"/>
          <w:kern w:val="0"/>
        </w:rPr>
        <w:t>31;e</w:t>
      </w:r>
      <w:proofErr w:type="gramEnd"/>
      <w:r w:rsidRPr="00A96C26">
        <w:rPr>
          <w:rFonts w:ascii="Times New Roman" w:hAnsi="Times New Roman" w:cs="Times New Roman"/>
          <w:kern w:val="0"/>
        </w:rPr>
        <w:t>2022202. doi:10.5826/dpc.1204a202</w:t>
      </w:r>
    </w:p>
    <w:p w14:paraId="72F99BCF"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35.</w:t>
      </w:r>
      <w:r w:rsidRPr="00A96C26">
        <w:rPr>
          <w:rFonts w:ascii="Times New Roman" w:hAnsi="Times New Roman" w:cs="Times New Roman"/>
          <w:kern w:val="0"/>
        </w:rPr>
        <w:tab/>
        <w:t xml:space="preserve">Alvarado Galindo F, </w:t>
      </w:r>
      <w:proofErr w:type="spellStart"/>
      <w:r w:rsidRPr="00A96C26">
        <w:rPr>
          <w:rFonts w:ascii="Times New Roman" w:hAnsi="Times New Roman" w:cs="Times New Roman"/>
          <w:kern w:val="0"/>
        </w:rPr>
        <w:t>Venzmer</w:t>
      </w:r>
      <w:proofErr w:type="spellEnd"/>
      <w:r w:rsidRPr="00A96C26">
        <w:rPr>
          <w:rFonts w:ascii="Times New Roman" w:hAnsi="Times New Roman" w:cs="Times New Roman"/>
          <w:kern w:val="0"/>
        </w:rPr>
        <w:t xml:space="preserve"> J, </w:t>
      </w:r>
      <w:proofErr w:type="spellStart"/>
      <w:r w:rsidRPr="00A96C26">
        <w:rPr>
          <w:rFonts w:ascii="Times New Roman" w:hAnsi="Times New Roman" w:cs="Times New Roman"/>
          <w:kern w:val="0"/>
        </w:rPr>
        <w:t>Prévost</w:t>
      </w:r>
      <w:proofErr w:type="spellEnd"/>
      <w:r w:rsidRPr="00A96C26">
        <w:rPr>
          <w:rFonts w:ascii="Times New Roman" w:hAnsi="Times New Roman" w:cs="Times New Roman"/>
          <w:kern w:val="0"/>
        </w:rPr>
        <w:t xml:space="preserve"> S, Hoffmann I, </w:t>
      </w:r>
      <w:proofErr w:type="spellStart"/>
      <w:r w:rsidRPr="00A96C26">
        <w:rPr>
          <w:rFonts w:ascii="Times New Roman" w:hAnsi="Times New Roman" w:cs="Times New Roman"/>
          <w:kern w:val="0"/>
        </w:rPr>
        <w:t>Gradzielski</w:t>
      </w:r>
      <w:proofErr w:type="spellEnd"/>
      <w:r w:rsidRPr="00A96C26">
        <w:rPr>
          <w:rFonts w:ascii="Times New Roman" w:hAnsi="Times New Roman" w:cs="Times New Roman"/>
          <w:kern w:val="0"/>
        </w:rPr>
        <w:t xml:space="preserve"> M. Incorporation of short-chain alcohols into fluid bilayers and its effect on membrane dynamic properties as seen by neutron scattering. Colloids and Surfaces A: Physicochemical and Engineering Aspects. 2024 </w:t>
      </w:r>
      <w:proofErr w:type="gramStart"/>
      <w:r w:rsidRPr="00A96C26">
        <w:rPr>
          <w:rFonts w:ascii="Times New Roman" w:hAnsi="Times New Roman" w:cs="Times New Roman"/>
          <w:kern w:val="0"/>
        </w:rPr>
        <w:t>Dec;702:135014</w:t>
      </w:r>
      <w:proofErr w:type="gramEnd"/>
      <w:r w:rsidRPr="00A96C26">
        <w:rPr>
          <w:rFonts w:ascii="Times New Roman" w:hAnsi="Times New Roman" w:cs="Times New Roman"/>
          <w:kern w:val="0"/>
        </w:rPr>
        <w:t xml:space="preserve">. </w:t>
      </w:r>
      <w:proofErr w:type="gramStart"/>
      <w:r w:rsidRPr="00A96C26">
        <w:rPr>
          <w:rFonts w:ascii="Times New Roman" w:hAnsi="Times New Roman" w:cs="Times New Roman"/>
          <w:kern w:val="0"/>
        </w:rPr>
        <w:t>doi:10.1016/j.colsurfa</w:t>
      </w:r>
      <w:proofErr w:type="gramEnd"/>
      <w:r w:rsidRPr="00A96C26">
        <w:rPr>
          <w:rFonts w:ascii="Times New Roman" w:hAnsi="Times New Roman" w:cs="Times New Roman"/>
          <w:kern w:val="0"/>
        </w:rPr>
        <w:t>.2024.135014</w:t>
      </w:r>
    </w:p>
    <w:p w14:paraId="6CDB51ED"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36.</w:t>
      </w:r>
      <w:r w:rsidRPr="00A96C26">
        <w:rPr>
          <w:rFonts w:ascii="Times New Roman" w:hAnsi="Times New Roman" w:cs="Times New Roman"/>
          <w:kern w:val="0"/>
        </w:rPr>
        <w:tab/>
      </w:r>
      <w:proofErr w:type="spellStart"/>
      <w:r w:rsidRPr="00A96C26">
        <w:rPr>
          <w:rFonts w:ascii="Times New Roman" w:hAnsi="Times New Roman" w:cs="Times New Roman"/>
          <w:kern w:val="0"/>
        </w:rPr>
        <w:t>Gharat</w:t>
      </w:r>
      <w:proofErr w:type="spellEnd"/>
      <w:r w:rsidRPr="00A96C26">
        <w:rPr>
          <w:rFonts w:ascii="Times New Roman" w:hAnsi="Times New Roman" w:cs="Times New Roman"/>
          <w:kern w:val="0"/>
        </w:rPr>
        <w:t xml:space="preserve"> S, </w:t>
      </w:r>
      <w:proofErr w:type="spellStart"/>
      <w:r w:rsidRPr="00A96C26">
        <w:rPr>
          <w:rFonts w:ascii="Times New Roman" w:hAnsi="Times New Roman" w:cs="Times New Roman"/>
          <w:kern w:val="0"/>
        </w:rPr>
        <w:t>Basudkar</w:t>
      </w:r>
      <w:proofErr w:type="spellEnd"/>
      <w:r w:rsidRPr="00A96C26">
        <w:rPr>
          <w:rFonts w:ascii="Times New Roman" w:hAnsi="Times New Roman" w:cs="Times New Roman"/>
          <w:kern w:val="0"/>
        </w:rPr>
        <w:t xml:space="preserve"> V, Momin M. In-Vitro and in-Vivo Evaluation of the Developed Curcumin-Cyclosporine-Loaded </w:t>
      </w:r>
      <w:proofErr w:type="spellStart"/>
      <w:r w:rsidRPr="00A96C26">
        <w:rPr>
          <w:rFonts w:ascii="Times New Roman" w:hAnsi="Times New Roman" w:cs="Times New Roman"/>
          <w:kern w:val="0"/>
        </w:rPr>
        <w:t>Nanoemulgel</w:t>
      </w:r>
      <w:proofErr w:type="spellEnd"/>
      <w:r w:rsidRPr="00A96C26">
        <w:rPr>
          <w:rFonts w:ascii="Times New Roman" w:hAnsi="Times New Roman" w:cs="Times New Roman"/>
          <w:kern w:val="0"/>
        </w:rPr>
        <w:t xml:space="preserve"> for the Management of Rheumatoid Arthritis. Immunological Investigations. 2024 Apr 2;53(3):490–522. doi:10.1080/08820139.2024.2301997</w:t>
      </w:r>
    </w:p>
    <w:p w14:paraId="34E2E982"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37.</w:t>
      </w:r>
      <w:r w:rsidRPr="00A96C26">
        <w:rPr>
          <w:rFonts w:ascii="Times New Roman" w:hAnsi="Times New Roman" w:cs="Times New Roman"/>
          <w:kern w:val="0"/>
        </w:rPr>
        <w:tab/>
      </w:r>
      <w:proofErr w:type="spellStart"/>
      <w:r w:rsidRPr="00A96C26">
        <w:rPr>
          <w:rFonts w:ascii="Times New Roman" w:hAnsi="Times New Roman" w:cs="Times New Roman"/>
          <w:kern w:val="0"/>
        </w:rPr>
        <w:t>Brighenti</w:t>
      </w:r>
      <w:proofErr w:type="spellEnd"/>
      <w:r w:rsidRPr="00A96C26">
        <w:rPr>
          <w:rFonts w:ascii="Times New Roman" w:hAnsi="Times New Roman" w:cs="Times New Roman"/>
          <w:kern w:val="0"/>
        </w:rPr>
        <w:t xml:space="preserve"> MDS, </w:t>
      </w:r>
      <w:proofErr w:type="spellStart"/>
      <w:r w:rsidRPr="00A96C26">
        <w:rPr>
          <w:rFonts w:ascii="Times New Roman" w:hAnsi="Times New Roman" w:cs="Times New Roman"/>
          <w:kern w:val="0"/>
        </w:rPr>
        <w:t>Montanheri</w:t>
      </w:r>
      <w:proofErr w:type="spellEnd"/>
      <w:r w:rsidRPr="00A96C26">
        <w:rPr>
          <w:rFonts w:ascii="Times New Roman" w:hAnsi="Times New Roman" w:cs="Times New Roman"/>
          <w:kern w:val="0"/>
        </w:rPr>
        <w:t xml:space="preserve"> LRDS, Duque MD, Andreo-Filho N, Lopes PS, Garcia MTJ, et al. </w:t>
      </w:r>
      <w:r w:rsidRPr="00A96C26">
        <w:rPr>
          <w:rFonts w:ascii="Times New Roman" w:hAnsi="Times New Roman" w:cs="Times New Roman"/>
          <w:i/>
          <w:iCs/>
          <w:kern w:val="0"/>
        </w:rPr>
        <w:t>In Vitro</w:t>
      </w:r>
      <w:r w:rsidRPr="00A96C26">
        <w:rPr>
          <w:rFonts w:ascii="Times New Roman" w:hAnsi="Times New Roman" w:cs="Times New Roman"/>
          <w:kern w:val="0"/>
        </w:rPr>
        <w:t xml:space="preserve"> Drug Release and </w:t>
      </w:r>
      <w:r w:rsidRPr="00A96C26">
        <w:rPr>
          <w:rFonts w:ascii="Times New Roman" w:hAnsi="Times New Roman" w:cs="Times New Roman"/>
          <w:i/>
          <w:iCs/>
          <w:kern w:val="0"/>
        </w:rPr>
        <w:t>Ex Vivo</w:t>
      </w:r>
      <w:r w:rsidRPr="00A96C26">
        <w:rPr>
          <w:rFonts w:ascii="Times New Roman" w:hAnsi="Times New Roman" w:cs="Times New Roman"/>
          <w:kern w:val="0"/>
        </w:rPr>
        <w:t xml:space="preserve"> Dermal Drug Permeation Studies of Selected Commercial Benzoyl Peroxide Topical Formulations: Correlation Between Human and Porcine Skin Models. Mol Pharmaceutics. 2025 Mar 3;22(3):1365–72. </w:t>
      </w:r>
      <w:proofErr w:type="gramStart"/>
      <w:r w:rsidRPr="00A96C26">
        <w:rPr>
          <w:rFonts w:ascii="Times New Roman" w:hAnsi="Times New Roman" w:cs="Times New Roman"/>
          <w:kern w:val="0"/>
        </w:rPr>
        <w:t>doi:10.1021/acs.molpharmaceut</w:t>
      </w:r>
      <w:proofErr w:type="gramEnd"/>
      <w:r w:rsidRPr="00A96C26">
        <w:rPr>
          <w:rFonts w:ascii="Times New Roman" w:hAnsi="Times New Roman" w:cs="Times New Roman"/>
          <w:kern w:val="0"/>
        </w:rPr>
        <w:t>.4c01058</w:t>
      </w:r>
    </w:p>
    <w:p w14:paraId="0024F62C"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38.</w:t>
      </w:r>
      <w:r w:rsidRPr="00A96C26">
        <w:rPr>
          <w:rFonts w:ascii="Times New Roman" w:hAnsi="Times New Roman" w:cs="Times New Roman"/>
          <w:kern w:val="0"/>
        </w:rPr>
        <w:tab/>
        <w:t>El-</w:t>
      </w:r>
      <w:proofErr w:type="spellStart"/>
      <w:r w:rsidRPr="00A96C26">
        <w:rPr>
          <w:rFonts w:ascii="Times New Roman" w:hAnsi="Times New Roman" w:cs="Times New Roman"/>
          <w:kern w:val="0"/>
        </w:rPr>
        <w:t>Saadony</w:t>
      </w:r>
      <w:proofErr w:type="spellEnd"/>
      <w:r w:rsidRPr="00A96C26">
        <w:rPr>
          <w:rFonts w:ascii="Times New Roman" w:hAnsi="Times New Roman" w:cs="Times New Roman"/>
          <w:kern w:val="0"/>
        </w:rPr>
        <w:t xml:space="preserve"> MT, Yang T, Korma SA, </w:t>
      </w:r>
      <w:proofErr w:type="spellStart"/>
      <w:r w:rsidRPr="00A96C26">
        <w:rPr>
          <w:rFonts w:ascii="Times New Roman" w:hAnsi="Times New Roman" w:cs="Times New Roman"/>
          <w:kern w:val="0"/>
        </w:rPr>
        <w:t>Sitohy</w:t>
      </w:r>
      <w:proofErr w:type="spellEnd"/>
      <w:r w:rsidRPr="00A96C26">
        <w:rPr>
          <w:rFonts w:ascii="Times New Roman" w:hAnsi="Times New Roman" w:cs="Times New Roman"/>
          <w:kern w:val="0"/>
        </w:rPr>
        <w:t xml:space="preserve"> M, Abd El-</w:t>
      </w:r>
      <w:proofErr w:type="spellStart"/>
      <w:r w:rsidRPr="00A96C26">
        <w:rPr>
          <w:rFonts w:ascii="Times New Roman" w:hAnsi="Times New Roman" w:cs="Times New Roman"/>
          <w:kern w:val="0"/>
        </w:rPr>
        <w:t>Mageed</w:t>
      </w:r>
      <w:proofErr w:type="spellEnd"/>
      <w:r w:rsidRPr="00A96C26">
        <w:rPr>
          <w:rFonts w:ascii="Times New Roman" w:hAnsi="Times New Roman" w:cs="Times New Roman"/>
          <w:kern w:val="0"/>
        </w:rPr>
        <w:t xml:space="preserve"> TA, Selim S, et al. Impacts of turmeric and its principal bioactive curcumin on human health: Pharmaceutical, medicinal, and food applications: A comprehensive review. Front </w:t>
      </w:r>
      <w:proofErr w:type="spellStart"/>
      <w:r w:rsidRPr="00A96C26">
        <w:rPr>
          <w:rFonts w:ascii="Times New Roman" w:hAnsi="Times New Roman" w:cs="Times New Roman"/>
          <w:kern w:val="0"/>
        </w:rPr>
        <w:t>Nutr</w:t>
      </w:r>
      <w:proofErr w:type="spellEnd"/>
      <w:r w:rsidRPr="00A96C26">
        <w:rPr>
          <w:rFonts w:ascii="Times New Roman" w:hAnsi="Times New Roman" w:cs="Times New Roman"/>
          <w:kern w:val="0"/>
        </w:rPr>
        <w:t xml:space="preserve">. 2023 Jan </w:t>
      </w:r>
      <w:proofErr w:type="gramStart"/>
      <w:r w:rsidRPr="00A96C26">
        <w:rPr>
          <w:rFonts w:ascii="Times New Roman" w:hAnsi="Times New Roman" w:cs="Times New Roman"/>
          <w:kern w:val="0"/>
        </w:rPr>
        <w:t>10;9:1040259</w:t>
      </w:r>
      <w:proofErr w:type="gramEnd"/>
      <w:r w:rsidRPr="00A96C26">
        <w:rPr>
          <w:rFonts w:ascii="Times New Roman" w:hAnsi="Times New Roman" w:cs="Times New Roman"/>
          <w:kern w:val="0"/>
        </w:rPr>
        <w:t>. doi:10.3389/fnut.2022.1040259</w:t>
      </w:r>
    </w:p>
    <w:p w14:paraId="2504B693"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39.</w:t>
      </w:r>
      <w:r w:rsidRPr="00A96C26">
        <w:rPr>
          <w:rFonts w:ascii="Times New Roman" w:hAnsi="Times New Roman" w:cs="Times New Roman"/>
          <w:kern w:val="0"/>
        </w:rPr>
        <w:tab/>
        <w:t xml:space="preserve">Vos T, Lim SS, </w:t>
      </w:r>
      <w:proofErr w:type="spellStart"/>
      <w:r w:rsidRPr="00A96C26">
        <w:rPr>
          <w:rFonts w:ascii="Times New Roman" w:hAnsi="Times New Roman" w:cs="Times New Roman"/>
          <w:kern w:val="0"/>
        </w:rPr>
        <w:t>Abbafati</w:t>
      </w:r>
      <w:proofErr w:type="spellEnd"/>
      <w:r w:rsidRPr="00A96C26">
        <w:rPr>
          <w:rFonts w:ascii="Times New Roman" w:hAnsi="Times New Roman" w:cs="Times New Roman"/>
          <w:kern w:val="0"/>
        </w:rPr>
        <w:t xml:space="preserve"> C, Abbas KM, Abbasi M, </w:t>
      </w:r>
      <w:proofErr w:type="spellStart"/>
      <w:r w:rsidRPr="00A96C26">
        <w:rPr>
          <w:rFonts w:ascii="Times New Roman" w:hAnsi="Times New Roman" w:cs="Times New Roman"/>
          <w:kern w:val="0"/>
        </w:rPr>
        <w:t>Abbasifard</w:t>
      </w:r>
      <w:proofErr w:type="spellEnd"/>
      <w:r w:rsidRPr="00A96C26">
        <w:rPr>
          <w:rFonts w:ascii="Times New Roman" w:hAnsi="Times New Roman" w:cs="Times New Roman"/>
          <w:kern w:val="0"/>
        </w:rPr>
        <w:t xml:space="preserve"> M, et al. Global burden of 369 diseases and injuries in 204 countries and territories, 1990–2019: a systematic analysis for the Global Burden of Disease Study 2019. The Lancet. 2020 Oct;396(10258):1204–22. doi:10.1016/S0140-6736(20)30925-9</w:t>
      </w:r>
    </w:p>
    <w:p w14:paraId="40DCEEE9"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40.</w:t>
      </w:r>
      <w:r w:rsidRPr="00A96C26">
        <w:rPr>
          <w:rFonts w:ascii="Times New Roman" w:hAnsi="Times New Roman" w:cs="Times New Roman"/>
          <w:kern w:val="0"/>
        </w:rPr>
        <w:tab/>
        <w:t xml:space="preserve">Paliwal S, Tilak A, Sharma J, Dave V, Sharma S, Yadav R, et al. Flurbiprofen loaded </w:t>
      </w:r>
      <w:proofErr w:type="spellStart"/>
      <w:r w:rsidRPr="00A96C26">
        <w:rPr>
          <w:rFonts w:ascii="Times New Roman" w:hAnsi="Times New Roman" w:cs="Times New Roman"/>
          <w:kern w:val="0"/>
        </w:rPr>
        <w:t>ethosomes</w:t>
      </w:r>
      <w:proofErr w:type="spellEnd"/>
      <w:r w:rsidRPr="00A96C26">
        <w:rPr>
          <w:rFonts w:ascii="Times New Roman" w:hAnsi="Times New Roman" w:cs="Times New Roman"/>
          <w:kern w:val="0"/>
        </w:rPr>
        <w:t xml:space="preserve"> - transdermal delivery of anti-inflammatory effect in rat model. Lipids Health Dis. 2019 Dec;18(1):133. doi:10.1186/s12944-019-1064-x</w:t>
      </w:r>
    </w:p>
    <w:p w14:paraId="76C629C6"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41.</w:t>
      </w:r>
      <w:r w:rsidRPr="00A96C26">
        <w:rPr>
          <w:rFonts w:ascii="Times New Roman" w:hAnsi="Times New Roman" w:cs="Times New Roman"/>
          <w:kern w:val="0"/>
        </w:rPr>
        <w:tab/>
        <w:t xml:space="preserve">Hwang J </w:t>
      </w:r>
      <w:proofErr w:type="spellStart"/>
      <w:r w:rsidRPr="00A96C26">
        <w:rPr>
          <w:rFonts w:ascii="Times New Roman" w:hAnsi="Times New Roman" w:cs="Times New Roman"/>
          <w:kern w:val="0"/>
        </w:rPr>
        <w:t>hyun</w:t>
      </w:r>
      <w:proofErr w:type="spellEnd"/>
      <w:r w:rsidRPr="00A96C26">
        <w:rPr>
          <w:rFonts w:ascii="Times New Roman" w:hAnsi="Times New Roman" w:cs="Times New Roman"/>
          <w:kern w:val="0"/>
        </w:rPr>
        <w:t xml:space="preserve">, </w:t>
      </w:r>
      <w:proofErr w:type="spellStart"/>
      <w:r w:rsidRPr="00A96C26">
        <w:rPr>
          <w:rFonts w:ascii="Times New Roman" w:hAnsi="Times New Roman" w:cs="Times New Roman"/>
          <w:kern w:val="0"/>
        </w:rPr>
        <w:t>Jeong</w:t>
      </w:r>
      <w:proofErr w:type="spellEnd"/>
      <w:r w:rsidRPr="00A96C26">
        <w:rPr>
          <w:rFonts w:ascii="Times New Roman" w:hAnsi="Times New Roman" w:cs="Times New Roman"/>
          <w:kern w:val="0"/>
        </w:rPr>
        <w:t xml:space="preserve"> H, Lee N, Hur S, Lee N, Han JJ, et al. Ex Vivo Live Full-Thickness Porcine Skin Model as a Versatile In Vitro Testing Method for Skin Barrier Research. IJMS. 2021 Jan 11;22(2):657. doi:10.3390/ijms22020657</w:t>
      </w:r>
    </w:p>
    <w:p w14:paraId="2B3D758F"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42.</w:t>
      </w:r>
      <w:r w:rsidRPr="00A96C26">
        <w:rPr>
          <w:rFonts w:ascii="Times New Roman" w:hAnsi="Times New Roman" w:cs="Times New Roman"/>
          <w:kern w:val="0"/>
        </w:rPr>
        <w:tab/>
        <w:t xml:space="preserve">Smolen JS, </w:t>
      </w:r>
      <w:proofErr w:type="spellStart"/>
      <w:r w:rsidRPr="00A96C26">
        <w:rPr>
          <w:rFonts w:ascii="Times New Roman" w:hAnsi="Times New Roman" w:cs="Times New Roman"/>
          <w:kern w:val="0"/>
        </w:rPr>
        <w:t>Landewé</w:t>
      </w:r>
      <w:proofErr w:type="spellEnd"/>
      <w:r w:rsidRPr="00A96C26">
        <w:rPr>
          <w:rFonts w:ascii="Times New Roman" w:hAnsi="Times New Roman" w:cs="Times New Roman"/>
          <w:kern w:val="0"/>
        </w:rPr>
        <w:t xml:space="preserve"> RBM, </w:t>
      </w:r>
      <w:proofErr w:type="spellStart"/>
      <w:r w:rsidRPr="00A96C26">
        <w:rPr>
          <w:rFonts w:ascii="Times New Roman" w:hAnsi="Times New Roman" w:cs="Times New Roman"/>
          <w:kern w:val="0"/>
        </w:rPr>
        <w:t>Bergstra</w:t>
      </w:r>
      <w:proofErr w:type="spellEnd"/>
      <w:r w:rsidRPr="00A96C26">
        <w:rPr>
          <w:rFonts w:ascii="Times New Roman" w:hAnsi="Times New Roman" w:cs="Times New Roman"/>
          <w:kern w:val="0"/>
        </w:rPr>
        <w:t xml:space="preserve"> SA, </w:t>
      </w:r>
      <w:proofErr w:type="spellStart"/>
      <w:r w:rsidRPr="00A96C26">
        <w:rPr>
          <w:rFonts w:ascii="Times New Roman" w:hAnsi="Times New Roman" w:cs="Times New Roman"/>
          <w:kern w:val="0"/>
        </w:rPr>
        <w:t>Kerschbaumer</w:t>
      </w:r>
      <w:proofErr w:type="spellEnd"/>
      <w:r w:rsidRPr="00A96C26">
        <w:rPr>
          <w:rFonts w:ascii="Times New Roman" w:hAnsi="Times New Roman" w:cs="Times New Roman"/>
          <w:kern w:val="0"/>
        </w:rPr>
        <w:t xml:space="preserve"> A, </w:t>
      </w:r>
      <w:proofErr w:type="spellStart"/>
      <w:r w:rsidRPr="00A96C26">
        <w:rPr>
          <w:rFonts w:ascii="Times New Roman" w:hAnsi="Times New Roman" w:cs="Times New Roman"/>
          <w:kern w:val="0"/>
        </w:rPr>
        <w:t>Sepriano</w:t>
      </w:r>
      <w:proofErr w:type="spellEnd"/>
      <w:r w:rsidRPr="00A96C26">
        <w:rPr>
          <w:rFonts w:ascii="Times New Roman" w:hAnsi="Times New Roman" w:cs="Times New Roman"/>
          <w:kern w:val="0"/>
        </w:rPr>
        <w:t xml:space="preserve"> A, </w:t>
      </w:r>
      <w:proofErr w:type="spellStart"/>
      <w:r w:rsidRPr="00A96C26">
        <w:rPr>
          <w:rFonts w:ascii="Times New Roman" w:hAnsi="Times New Roman" w:cs="Times New Roman"/>
          <w:kern w:val="0"/>
        </w:rPr>
        <w:t>Aletaha</w:t>
      </w:r>
      <w:proofErr w:type="spellEnd"/>
      <w:r w:rsidRPr="00A96C26">
        <w:rPr>
          <w:rFonts w:ascii="Times New Roman" w:hAnsi="Times New Roman" w:cs="Times New Roman"/>
          <w:kern w:val="0"/>
        </w:rPr>
        <w:t xml:space="preserve"> D, et al. EULAR recommendations for the management of rheumatoid arthritis with synthetic and biological disease-modifying antirheumatic drugs: 2022 update. Annals of the Rheumatic Diseases. 2023 Jan;82(1):3–18. doi:10.1136/ard-2022-223356</w:t>
      </w:r>
    </w:p>
    <w:p w14:paraId="6FD3C6B0"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43.</w:t>
      </w:r>
      <w:r w:rsidRPr="00A96C26">
        <w:rPr>
          <w:rFonts w:ascii="Times New Roman" w:hAnsi="Times New Roman" w:cs="Times New Roman"/>
          <w:kern w:val="0"/>
        </w:rPr>
        <w:tab/>
        <w:t xml:space="preserve">Cristiano MC, Mancuso A, Giuliano E, Cosco D, Paolino D, Fresta M. </w:t>
      </w:r>
      <w:proofErr w:type="spellStart"/>
      <w:r w:rsidRPr="00A96C26">
        <w:rPr>
          <w:rFonts w:ascii="Times New Roman" w:hAnsi="Times New Roman" w:cs="Times New Roman"/>
          <w:kern w:val="0"/>
        </w:rPr>
        <w:t>EtoGel</w:t>
      </w:r>
      <w:proofErr w:type="spellEnd"/>
      <w:r w:rsidRPr="00A96C26">
        <w:rPr>
          <w:rFonts w:ascii="Times New Roman" w:hAnsi="Times New Roman" w:cs="Times New Roman"/>
          <w:kern w:val="0"/>
        </w:rPr>
        <w:t xml:space="preserve"> for Intra-Articular Drug Delivery: A New Challenge for Joint Diseases Treatment. JFB. 2021 May 16;12(2):34. doi:10.3390/jfb12020034</w:t>
      </w:r>
    </w:p>
    <w:p w14:paraId="2A7A42AD"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44.</w:t>
      </w:r>
      <w:r w:rsidRPr="00A96C26">
        <w:rPr>
          <w:rFonts w:ascii="Times New Roman" w:hAnsi="Times New Roman" w:cs="Times New Roman"/>
          <w:kern w:val="0"/>
        </w:rPr>
        <w:tab/>
        <w:t xml:space="preserve">U. Jadhav P, G. </w:t>
      </w:r>
      <w:proofErr w:type="spellStart"/>
      <w:r w:rsidRPr="00A96C26">
        <w:rPr>
          <w:rFonts w:ascii="Times New Roman" w:hAnsi="Times New Roman" w:cs="Times New Roman"/>
          <w:kern w:val="0"/>
        </w:rPr>
        <w:t>Gujare</w:t>
      </w:r>
      <w:proofErr w:type="spellEnd"/>
      <w:r w:rsidRPr="00A96C26">
        <w:rPr>
          <w:rFonts w:ascii="Times New Roman" w:hAnsi="Times New Roman" w:cs="Times New Roman"/>
          <w:kern w:val="0"/>
        </w:rPr>
        <w:t xml:space="preserve"> S, A. Shende M. </w:t>
      </w:r>
      <w:proofErr w:type="spellStart"/>
      <w:r w:rsidRPr="00A96C26">
        <w:rPr>
          <w:rFonts w:ascii="Times New Roman" w:hAnsi="Times New Roman" w:cs="Times New Roman"/>
          <w:kern w:val="0"/>
        </w:rPr>
        <w:t>Ethosomes</w:t>
      </w:r>
      <w:proofErr w:type="spellEnd"/>
      <w:r w:rsidRPr="00A96C26">
        <w:rPr>
          <w:rFonts w:ascii="Times New Roman" w:hAnsi="Times New Roman" w:cs="Times New Roman"/>
          <w:kern w:val="0"/>
        </w:rPr>
        <w:t>: A Novel Tool for Vesicular Drug Delivery. AJPR. 2024 Mar 8;45–52. doi:10.52711/2231-5691.2024.00007</w:t>
      </w:r>
    </w:p>
    <w:p w14:paraId="2F5CC0B0"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lastRenderedPageBreak/>
        <w:t>45.</w:t>
      </w:r>
      <w:r w:rsidRPr="00A96C26">
        <w:rPr>
          <w:rFonts w:ascii="Times New Roman" w:hAnsi="Times New Roman" w:cs="Times New Roman"/>
          <w:kern w:val="0"/>
        </w:rPr>
        <w:tab/>
        <w:t xml:space="preserve">M. Abdulbaqi I, Darwis Y, Abdul Karim Khan N, Abou Assi R, Ali Khan A. </w:t>
      </w:r>
      <w:proofErr w:type="spellStart"/>
      <w:r w:rsidRPr="00A96C26">
        <w:rPr>
          <w:rFonts w:ascii="Times New Roman" w:hAnsi="Times New Roman" w:cs="Times New Roman"/>
          <w:kern w:val="0"/>
        </w:rPr>
        <w:t>Ethosomal</w:t>
      </w:r>
      <w:proofErr w:type="spellEnd"/>
      <w:r w:rsidRPr="00A96C26">
        <w:rPr>
          <w:rFonts w:ascii="Times New Roman" w:hAnsi="Times New Roman" w:cs="Times New Roman"/>
          <w:kern w:val="0"/>
        </w:rPr>
        <w:t xml:space="preserve"> nanocarriers: the impact of constituents and formulation techniques on </w:t>
      </w:r>
      <w:proofErr w:type="spellStart"/>
      <w:r w:rsidRPr="00A96C26">
        <w:rPr>
          <w:rFonts w:ascii="Times New Roman" w:hAnsi="Times New Roman" w:cs="Times New Roman"/>
          <w:kern w:val="0"/>
        </w:rPr>
        <w:t>ethosomal</w:t>
      </w:r>
      <w:proofErr w:type="spellEnd"/>
      <w:r w:rsidRPr="00A96C26">
        <w:rPr>
          <w:rFonts w:ascii="Times New Roman" w:hAnsi="Times New Roman" w:cs="Times New Roman"/>
          <w:kern w:val="0"/>
        </w:rPr>
        <w:t xml:space="preserve"> properties, in vivo studies, and clinical trials. IJN. 2016 May;2279. doi:10.2147/IJN.S105016</w:t>
      </w:r>
    </w:p>
    <w:p w14:paraId="1458F19D"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46.</w:t>
      </w:r>
      <w:r w:rsidRPr="00A96C26">
        <w:rPr>
          <w:rFonts w:ascii="Times New Roman" w:hAnsi="Times New Roman" w:cs="Times New Roman"/>
          <w:kern w:val="0"/>
        </w:rPr>
        <w:tab/>
        <w:t xml:space="preserve">Fan C, Li X, Zhou Y, Zhao Y, Ma S, Li W, et al. Enhanced Topical Delivery of Tetrandrine by </w:t>
      </w:r>
      <w:proofErr w:type="spellStart"/>
      <w:r w:rsidRPr="00A96C26">
        <w:rPr>
          <w:rFonts w:ascii="Times New Roman" w:hAnsi="Times New Roman" w:cs="Times New Roman"/>
          <w:kern w:val="0"/>
        </w:rPr>
        <w:t>Ethosomes</w:t>
      </w:r>
      <w:proofErr w:type="spellEnd"/>
      <w:r w:rsidRPr="00A96C26">
        <w:rPr>
          <w:rFonts w:ascii="Times New Roman" w:hAnsi="Times New Roman" w:cs="Times New Roman"/>
          <w:kern w:val="0"/>
        </w:rPr>
        <w:t xml:space="preserve"> for Treatment of Arthritis. BioMed Research International. </w:t>
      </w:r>
      <w:proofErr w:type="gramStart"/>
      <w:r w:rsidRPr="00A96C26">
        <w:rPr>
          <w:rFonts w:ascii="Times New Roman" w:hAnsi="Times New Roman" w:cs="Times New Roman"/>
          <w:kern w:val="0"/>
        </w:rPr>
        <w:t>2013;2013:1</w:t>
      </w:r>
      <w:proofErr w:type="gramEnd"/>
      <w:r w:rsidRPr="00A96C26">
        <w:rPr>
          <w:rFonts w:ascii="Times New Roman" w:hAnsi="Times New Roman" w:cs="Times New Roman"/>
          <w:kern w:val="0"/>
        </w:rPr>
        <w:t>–13. doi:10.1155/2013/161943</w:t>
      </w:r>
    </w:p>
    <w:p w14:paraId="3339C710"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47.</w:t>
      </w:r>
      <w:r w:rsidRPr="00A96C26">
        <w:rPr>
          <w:rFonts w:ascii="Times New Roman" w:hAnsi="Times New Roman" w:cs="Times New Roman"/>
          <w:kern w:val="0"/>
        </w:rPr>
        <w:tab/>
      </w:r>
      <w:proofErr w:type="spellStart"/>
      <w:r w:rsidRPr="00A96C26">
        <w:rPr>
          <w:rFonts w:ascii="Times New Roman" w:hAnsi="Times New Roman" w:cs="Times New Roman"/>
          <w:kern w:val="0"/>
        </w:rPr>
        <w:t>Sadarani</w:t>
      </w:r>
      <w:proofErr w:type="spellEnd"/>
      <w:r w:rsidRPr="00A96C26">
        <w:rPr>
          <w:rFonts w:ascii="Times New Roman" w:hAnsi="Times New Roman" w:cs="Times New Roman"/>
          <w:kern w:val="0"/>
        </w:rPr>
        <w:t xml:space="preserve"> B, Majumdar A, </w:t>
      </w:r>
      <w:proofErr w:type="spellStart"/>
      <w:r w:rsidRPr="00A96C26">
        <w:rPr>
          <w:rFonts w:ascii="Times New Roman" w:hAnsi="Times New Roman" w:cs="Times New Roman"/>
          <w:kern w:val="0"/>
        </w:rPr>
        <w:t>Paradkar</w:t>
      </w:r>
      <w:proofErr w:type="spellEnd"/>
      <w:r w:rsidRPr="00A96C26">
        <w:rPr>
          <w:rFonts w:ascii="Times New Roman" w:hAnsi="Times New Roman" w:cs="Times New Roman"/>
          <w:kern w:val="0"/>
        </w:rPr>
        <w:t xml:space="preserve"> S, Mathur A, Sachdev S, Mohanty B, et al. Enhanced skin permeation of Methotrexate from penetration enhancer containing vesicles: In vitro optimization and in vivo evaluation. Biomedicine &amp; Pharmacotherapy. 2019 </w:t>
      </w:r>
      <w:proofErr w:type="gramStart"/>
      <w:r w:rsidRPr="00A96C26">
        <w:rPr>
          <w:rFonts w:ascii="Times New Roman" w:hAnsi="Times New Roman" w:cs="Times New Roman"/>
          <w:kern w:val="0"/>
        </w:rPr>
        <w:t>Jun;114:108770</w:t>
      </w:r>
      <w:proofErr w:type="gramEnd"/>
      <w:r w:rsidRPr="00A96C26">
        <w:rPr>
          <w:rFonts w:ascii="Times New Roman" w:hAnsi="Times New Roman" w:cs="Times New Roman"/>
          <w:kern w:val="0"/>
        </w:rPr>
        <w:t xml:space="preserve">. </w:t>
      </w:r>
      <w:proofErr w:type="gramStart"/>
      <w:r w:rsidRPr="00A96C26">
        <w:rPr>
          <w:rFonts w:ascii="Times New Roman" w:hAnsi="Times New Roman" w:cs="Times New Roman"/>
          <w:kern w:val="0"/>
        </w:rPr>
        <w:t>doi:10.1016/j.biopha</w:t>
      </w:r>
      <w:proofErr w:type="gramEnd"/>
      <w:r w:rsidRPr="00A96C26">
        <w:rPr>
          <w:rFonts w:ascii="Times New Roman" w:hAnsi="Times New Roman" w:cs="Times New Roman"/>
          <w:kern w:val="0"/>
        </w:rPr>
        <w:t>.2019.108770</w:t>
      </w:r>
    </w:p>
    <w:p w14:paraId="4A967F0A"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48.</w:t>
      </w:r>
      <w:r w:rsidRPr="00A96C26">
        <w:rPr>
          <w:rFonts w:ascii="Times New Roman" w:hAnsi="Times New Roman" w:cs="Times New Roman"/>
          <w:kern w:val="0"/>
        </w:rPr>
        <w:tab/>
        <w:t xml:space="preserve">Kirkeskov L, Bray K. Employment of patients with rheumatoid arthritis - a systematic review and meta-analysis. BMC </w:t>
      </w:r>
      <w:proofErr w:type="spellStart"/>
      <w:r w:rsidRPr="00A96C26">
        <w:rPr>
          <w:rFonts w:ascii="Times New Roman" w:hAnsi="Times New Roman" w:cs="Times New Roman"/>
          <w:kern w:val="0"/>
        </w:rPr>
        <w:t>Rheumatol</w:t>
      </w:r>
      <w:proofErr w:type="spellEnd"/>
      <w:r w:rsidRPr="00A96C26">
        <w:rPr>
          <w:rFonts w:ascii="Times New Roman" w:hAnsi="Times New Roman" w:cs="Times New Roman"/>
          <w:kern w:val="0"/>
        </w:rPr>
        <w:t>. 2023 Nov 14;7(1):41. doi:10.1186/s41927-023-00365-4</w:t>
      </w:r>
    </w:p>
    <w:p w14:paraId="0A946E64"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49.</w:t>
      </w:r>
      <w:r w:rsidRPr="00A96C26">
        <w:rPr>
          <w:rFonts w:ascii="Times New Roman" w:hAnsi="Times New Roman" w:cs="Times New Roman"/>
          <w:kern w:val="0"/>
        </w:rPr>
        <w:tab/>
        <w:t>Kahn T, Bosch J, Levitt MF, Goldstein MH. Effect of sodium nitrate loading on electrolyte transport by the renal tubule. Am J Physiol. 1975 Sep;229(3):746–53. doi:10.1152/ajplegacy.1975.229.3.746 PubMed PMID: 2016.</w:t>
      </w:r>
    </w:p>
    <w:p w14:paraId="7B5B97F0"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50.</w:t>
      </w:r>
      <w:r w:rsidRPr="00A96C26">
        <w:rPr>
          <w:rFonts w:ascii="Times New Roman" w:hAnsi="Times New Roman" w:cs="Times New Roman"/>
          <w:kern w:val="0"/>
        </w:rPr>
        <w:tab/>
        <w:t>Poole-Wilson PA, Langer GA. Effect of pH on ionic exchange and function in rat and rabbit myocardium. Am J Physiol. 1975 Sep;229(3):570–81. doi:10.1152/ajplegacy.1975.229.3.570 PubMed PMID: 2014.</w:t>
      </w:r>
    </w:p>
    <w:p w14:paraId="03E0D970"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51.</w:t>
      </w:r>
      <w:r w:rsidRPr="00A96C26">
        <w:rPr>
          <w:rFonts w:ascii="Times New Roman" w:hAnsi="Times New Roman" w:cs="Times New Roman"/>
          <w:kern w:val="0"/>
        </w:rPr>
        <w:tab/>
        <w:t>González-González O, Ramirez IO, Ramirez BI, O’Connell P, Ballesteros MP, Torrado JJ, et al. Drug Stability: ICH versus Accelerated Predictive Stability Studies. Pharmaceutics. 2022 Oct 28;14(11):2324. doi:10.3390/pharmaceutics14112324</w:t>
      </w:r>
    </w:p>
    <w:p w14:paraId="64024BEB"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52.</w:t>
      </w:r>
      <w:r w:rsidRPr="00A96C26">
        <w:rPr>
          <w:rFonts w:ascii="Times New Roman" w:hAnsi="Times New Roman" w:cs="Times New Roman"/>
          <w:kern w:val="0"/>
        </w:rPr>
        <w:tab/>
        <w:t xml:space="preserve">Suresh P, Salem-Bekhit MM, Veedu HP, Alshehri S, Nair SC, Bukhari SI, et al. Development of a Novel Methotrexate-Loaded </w:t>
      </w:r>
      <w:proofErr w:type="spellStart"/>
      <w:r w:rsidRPr="00A96C26">
        <w:rPr>
          <w:rFonts w:ascii="Times New Roman" w:hAnsi="Times New Roman" w:cs="Times New Roman"/>
          <w:kern w:val="0"/>
        </w:rPr>
        <w:t>Nanoemulsion</w:t>
      </w:r>
      <w:proofErr w:type="spellEnd"/>
      <w:r w:rsidRPr="00A96C26">
        <w:rPr>
          <w:rFonts w:ascii="Times New Roman" w:hAnsi="Times New Roman" w:cs="Times New Roman"/>
          <w:kern w:val="0"/>
        </w:rPr>
        <w:t xml:space="preserve"> for Rheumatoid Arthritis Treatment with Site-Specific Targeting Subcutaneous Delivery. Nanomaterials. 2022 Apr 11;12(8):1299. doi:10.3390/nano12081299</w:t>
      </w:r>
    </w:p>
    <w:p w14:paraId="472752FB"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53.</w:t>
      </w:r>
      <w:r w:rsidRPr="00A96C26">
        <w:rPr>
          <w:rFonts w:ascii="Times New Roman" w:hAnsi="Times New Roman" w:cs="Times New Roman"/>
          <w:kern w:val="0"/>
        </w:rPr>
        <w:tab/>
      </w:r>
      <w:proofErr w:type="spellStart"/>
      <w:r w:rsidRPr="00A96C26">
        <w:rPr>
          <w:rFonts w:ascii="Times New Roman" w:hAnsi="Times New Roman" w:cs="Times New Roman"/>
          <w:kern w:val="0"/>
        </w:rPr>
        <w:t>Vlachou</w:t>
      </w:r>
      <w:proofErr w:type="spellEnd"/>
      <w:r w:rsidRPr="00A96C26">
        <w:rPr>
          <w:rFonts w:ascii="Times New Roman" w:hAnsi="Times New Roman" w:cs="Times New Roman"/>
          <w:kern w:val="0"/>
        </w:rPr>
        <w:t xml:space="preserve"> MD, </w:t>
      </w:r>
      <w:proofErr w:type="spellStart"/>
      <w:r w:rsidRPr="00A96C26">
        <w:rPr>
          <w:rFonts w:ascii="Times New Roman" w:hAnsi="Times New Roman" w:cs="Times New Roman"/>
          <w:kern w:val="0"/>
        </w:rPr>
        <w:t>Rekkas</w:t>
      </w:r>
      <w:proofErr w:type="spellEnd"/>
      <w:r w:rsidRPr="00A96C26">
        <w:rPr>
          <w:rFonts w:ascii="Times New Roman" w:hAnsi="Times New Roman" w:cs="Times New Roman"/>
          <w:kern w:val="0"/>
        </w:rPr>
        <w:t xml:space="preserve"> DM, Dallas PP, </w:t>
      </w:r>
      <w:proofErr w:type="spellStart"/>
      <w:r w:rsidRPr="00A96C26">
        <w:rPr>
          <w:rFonts w:ascii="Times New Roman" w:hAnsi="Times New Roman" w:cs="Times New Roman"/>
          <w:kern w:val="0"/>
        </w:rPr>
        <w:t>Choulis</w:t>
      </w:r>
      <w:proofErr w:type="spellEnd"/>
      <w:r w:rsidRPr="00A96C26">
        <w:rPr>
          <w:rFonts w:ascii="Times New Roman" w:hAnsi="Times New Roman" w:cs="Times New Roman"/>
          <w:kern w:val="0"/>
        </w:rPr>
        <w:t xml:space="preserve"> NH. Development and in vitro evaluation of griseofulvin gels using Franz diffusion cells. International Journal of Pharmaceutics. 1992 Apr;82(1–2):47–52. doi:10.1016/0378-5173(92)90070-I</w:t>
      </w:r>
    </w:p>
    <w:p w14:paraId="4AA75481"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54.</w:t>
      </w:r>
      <w:r w:rsidRPr="00A96C26">
        <w:rPr>
          <w:rFonts w:ascii="Times New Roman" w:hAnsi="Times New Roman" w:cs="Times New Roman"/>
          <w:kern w:val="0"/>
        </w:rPr>
        <w:tab/>
      </w:r>
      <w:proofErr w:type="spellStart"/>
      <w:r w:rsidRPr="00A96C26">
        <w:rPr>
          <w:rFonts w:ascii="Times New Roman" w:hAnsi="Times New Roman" w:cs="Times New Roman"/>
          <w:kern w:val="0"/>
        </w:rPr>
        <w:t>Panchaxari</w:t>
      </w:r>
      <w:proofErr w:type="spellEnd"/>
      <w:r w:rsidRPr="00A96C26">
        <w:rPr>
          <w:rFonts w:ascii="Times New Roman" w:hAnsi="Times New Roman" w:cs="Times New Roman"/>
          <w:kern w:val="0"/>
        </w:rPr>
        <w:t xml:space="preserve"> </w:t>
      </w:r>
      <w:proofErr w:type="spellStart"/>
      <w:r w:rsidRPr="00A96C26">
        <w:rPr>
          <w:rFonts w:ascii="Times New Roman" w:hAnsi="Times New Roman" w:cs="Times New Roman"/>
          <w:kern w:val="0"/>
        </w:rPr>
        <w:t>Gadad</w:t>
      </w:r>
      <w:proofErr w:type="spellEnd"/>
      <w:r w:rsidRPr="00A96C26">
        <w:rPr>
          <w:rFonts w:ascii="Times New Roman" w:hAnsi="Times New Roman" w:cs="Times New Roman"/>
          <w:kern w:val="0"/>
        </w:rPr>
        <w:t xml:space="preserve"> A, Patil AS, Singh Y, </w:t>
      </w:r>
      <w:proofErr w:type="spellStart"/>
      <w:r w:rsidRPr="00A96C26">
        <w:rPr>
          <w:rFonts w:ascii="Times New Roman" w:hAnsi="Times New Roman" w:cs="Times New Roman"/>
          <w:kern w:val="0"/>
        </w:rPr>
        <w:t>Mallappa</w:t>
      </w:r>
      <w:proofErr w:type="spellEnd"/>
      <w:r w:rsidRPr="00A96C26">
        <w:rPr>
          <w:rFonts w:ascii="Times New Roman" w:hAnsi="Times New Roman" w:cs="Times New Roman"/>
          <w:kern w:val="0"/>
        </w:rPr>
        <w:t xml:space="preserve"> </w:t>
      </w:r>
      <w:proofErr w:type="spellStart"/>
      <w:r w:rsidRPr="00A96C26">
        <w:rPr>
          <w:rFonts w:ascii="Times New Roman" w:hAnsi="Times New Roman" w:cs="Times New Roman"/>
          <w:kern w:val="0"/>
        </w:rPr>
        <w:t>Dandagi</w:t>
      </w:r>
      <w:proofErr w:type="spellEnd"/>
      <w:r w:rsidRPr="00A96C26">
        <w:rPr>
          <w:rFonts w:ascii="Times New Roman" w:hAnsi="Times New Roman" w:cs="Times New Roman"/>
          <w:kern w:val="0"/>
        </w:rPr>
        <w:t xml:space="preserve"> P, </w:t>
      </w:r>
      <w:proofErr w:type="spellStart"/>
      <w:r w:rsidRPr="00A96C26">
        <w:rPr>
          <w:rFonts w:ascii="Times New Roman" w:hAnsi="Times New Roman" w:cs="Times New Roman"/>
          <w:kern w:val="0"/>
        </w:rPr>
        <w:t>Bolmal</w:t>
      </w:r>
      <w:proofErr w:type="spellEnd"/>
      <w:r w:rsidRPr="00A96C26">
        <w:rPr>
          <w:rFonts w:ascii="Times New Roman" w:hAnsi="Times New Roman" w:cs="Times New Roman"/>
          <w:kern w:val="0"/>
        </w:rPr>
        <w:t xml:space="preserve"> UB, Basu A. Development and Evaluation of Flurbiprofen Loaded </w:t>
      </w:r>
      <w:proofErr w:type="spellStart"/>
      <w:r w:rsidRPr="00A96C26">
        <w:rPr>
          <w:rFonts w:ascii="Times New Roman" w:hAnsi="Times New Roman" w:cs="Times New Roman"/>
          <w:kern w:val="0"/>
        </w:rPr>
        <w:t>Transethosomes</w:t>
      </w:r>
      <w:proofErr w:type="spellEnd"/>
      <w:r w:rsidRPr="00A96C26">
        <w:rPr>
          <w:rFonts w:ascii="Times New Roman" w:hAnsi="Times New Roman" w:cs="Times New Roman"/>
          <w:kern w:val="0"/>
        </w:rPr>
        <w:t xml:space="preserve"> to Improve Transdermal Delivery. IJPER. 2020 Dec 22;54(4):954–62. doi:10.5530/ijper.54.4.189</w:t>
      </w:r>
    </w:p>
    <w:p w14:paraId="1061B33B"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55.</w:t>
      </w:r>
      <w:r w:rsidRPr="00A96C26">
        <w:rPr>
          <w:rFonts w:ascii="Times New Roman" w:hAnsi="Times New Roman" w:cs="Times New Roman"/>
          <w:kern w:val="0"/>
        </w:rPr>
        <w:tab/>
        <w:t xml:space="preserve">Acad. M.F. Nagiyev Institute of Catalysis and Inorganic Chemistry National Academy of Sciences of Azerbaijan, </w:t>
      </w:r>
      <w:proofErr w:type="spellStart"/>
      <w:r w:rsidRPr="00A96C26">
        <w:rPr>
          <w:rFonts w:ascii="Times New Roman" w:hAnsi="Times New Roman" w:cs="Times New Roman"/>
          <w:kern w:val="0"/>
        </w:rPr>
        <w:t>Tapdiqov</w:t>
      </w:r>
      <w:proofErr w:type="spellEnd"/>
      <w:r w:rsidRPr="00A96C26">
        <w:rPr>
          <w:rFonts w:ascii="Times New Roman" w:hAnsi="Times New Roman" w:cs="Times New Roman"/>
          <w:kern w:val="0"/>
        </w:rPr>
        <w:t xml:space="preserve"> </w:t>
      </w:r>
      <w:proofErr w:type="spellStart"/>
      <w:r w:rsidRPr="00A96C26">
        <w:rPr>
          <w:rFonts w:ascii="Times New Roman" w:hAnsi="Times New Roman" w:cs="Times New Roman"/>
          <w:kern w:val="0"/>
        </w:rPr>
        <w:t>ShZ</w:t>
      </w:r>
      <w:proofErr w:type="spellEnd"/>
      <w:r w:rsidRPr="00A96C26">
        <w:rPr>
          <w:rFonts w:ascii="Times New Roman" w:hAnsi="Times New Roman" w:cs="Times New Roman"/>
          <w:kern w:val="0"/>
        </w:rPr>
        <w:t>, Department of prevention of sand and water appearance, Oil and Gas Research and Design Institute, The State Oil Company of the Azerbaijan Republic. DESİGNİNG POLY-N-VİNYLPYRROLİDONE BASED HYDROGEL AND APPLİED HİGUCHİ, KORSMEYER-PEPPAS, HİXSON-CROWELL KİNETİC MODELS FOR CONTROLLED RELEASE OF DOXORUBİCİN. Chemical Problems. 2020;18(2):207–13. doi:10.32737/2221-8688-2020-2-207-213</w:t>
      </w:r>
    </w:p>
    <w:p w14:paraId="0F259429"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56.</w:t>
      </w:r>
      <w:r w:rsidRPr="00A96C26">
        <w:rPr>
          <w:rFonts w:ascii="Times New Roman" w:hAnsi="Times New Roman" w:cs="Times New Roman"/>
          <w:kern w:val="0"/>
        </w:rPr>
        <w:tab/>
        <w:t xml:space="preserve">Qiu JG, Mei XL, Chen ZS, Shi Z. Cytokine Detection by Flow Cytometry. In: </w:t>
      </w:r>
      <w:proofErr w:type="spellStart"/>
      <w:r w:rsidRPr="00A96C26">
        <w:rPr>
          <w:rFonts w:ascii="Times New Roman" w:hAnsi="Times New Roman" w:cs="Times New Roman"/>
          <w:kern w:val="0"/>
        </w:rPr>
        <w:t>Vancurova</w:t>
      </w:r>
      <w:proofErr w:type="spellEnd"/>
      <w:r w:rsidRPr="00A96C26">
        <w:rPr>
          <w:rFonts w:ascii="Times New Roman" w:hAnsi="Times New Roman" w:cs="Times New Roman"/>
          <w:kern w:val="0"/>
        </w:rPr>
        <w:t xml:space="preserve"> I, editor. Cytokine Bioassays [Internet]. New York, NY: Springer New York; 2014 [cited 2026 Apr 13]. p. 235–42. (Methods in Molecular Biology). Available from: https://link.springer.com/10.1007/978-1-4939-0928-5_21 doi:10.1007/978-1-4939-0928-5_21</w:t>
      </w:r>
    </w:p>
    <w:p w14:paraId="2FB1A570"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57.</w:t>
      </w:r>
      <w:r w:rsidRPr="00A96C26">
        <w:rPr>
          <w:rFonts w:ascii="Times New Roman" w:hAnsi="Times New Roman" w:cs="Times New Roman"/>
          <w:kern w:val="0"/>
        </w:rPr>
        <w:tab/>
        <w:t>Steinmuller DR. Cyclosporine nephrotoxicity. Cleveland Clinic Journal of Medicine. 1989 Jan 1;56(1):89–95. doi:10.3949/ccjm.56.1.89</w:t>
      </w:r>
    </w:p>
    <w:p w14:paraId="4D248A89"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58.</w:t>
      </w:r>
      <w:r w:rsidRPr="00A96C26">
        <w:rPr>
          <w:rFonts w:ascii="Times New Roman" w:hAnsi="Times New Roman" w:cs="Times New Roman"/>
          <w:kern w:val="0"/>
        </w:rPr>
        <w:tab/>
        <w:t xml:space="preserve">Ehrhart IC, Parker PE, Weidner WJ, Dabney JM, Scott JB, Haddy FJ. Coronary vascular and </w:t>
      </w:r>
      <w:r w:rsidRPr="00A96C26">
        <w:rPr>
          <w:rFonts w:ascii="Times New Roman" w:hAnsi="Times New Roman" w:cs="Times New Roman"/>
          <w:kern w:val="0"/>
        </w:rPr>
        <w:lastRenderedPageBreak/>
        <w:t>myocardial responses to carotid body stimulation in the dog. Am J Physiol. 1975 Sep;229(3):754–60. doi:10.1152/ajplegacy.1975.229.3.754 PubMed PMID: 2017.</w:t>
      </w:r>
    </w:p>
    <w:p w14:paraId="0DE3833D"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59.</w:t>
      </w:r>
      <w:r w:rsidRPr="00A96C26">
        <w:rPr>
          <w:rFonts w:ascii="Times New Roman" w:hAnsi="Times New Roman" w:cs="Times New Roman"/>
          <w:kern w:val="0"/>
        </w:rPr>
        <w:tab/>
        <w:t xml:space="preserve">Negi S, Tandel N, Garg N, Sharma P, Kumar R, Sharma P, et al. Co-Delivery of </w:t>
      </w:r>
      <w:proofErr w:type="spellStart"/>
      <w:r w:rsidRPr="00A96C26">
        <w:rPr>
          <w:rFonts w:ascii="Times New Roman" w:hAnsi="Times New Roman" w:cs="Times New Roman"/>
          <w:kern w:val="0"/>
        </w:rPr>
        <w:t>Aceclofenac</w:t>
      </w:r>
      <w:proofErr w:type="spellEnd"/>
      <w:r w:rsidRPr="00A96C26">
        <w:rPr>
          <w:rFonts w:ascii="Times New Roman" w:hAnsi="Times New Roman" w:cs="Times New Roman"/>
          <w:kern w:val="0"/>
        </w:rPr>
        <w:t xml:space="preserve"> and Methotrexate Nanoparticles Presents an Effective Treatment for Rheumatoid Arthritis. IJN. 2024 </w:t>
      </w:r>
      <w:proofErr w:type="spellStart"/>
      <w:proofErr w:type="gramStart"/>
      <w:r w:rsidRPr="00A96C26">
        <w:rPr>
          <w:rFonts w:ascii="Times New Roman" w:hAnsi="Times New Roman" w:cs="Times New Roman"/>
          <w:kern w:val="0"/>
        </w:rPr>
        <w:t>Mar;Volume</w:t>
      </w:r>
      <w:proofErr w:type="spellEnd"/>
      <w:proofErr w:type="gramEnd"/>
      <w:r w:rsidRPr="00A96C26">
        <w:rPr>
          <w:rFonts w:ascii="Times New Roman" w:hAnsi="Times New Roman" w:cs="Times New Roman"/>
          <w:kern w:val="0"/>
        </w:rPr>
        <w:t xml:space="preserve"> 19:2149–77. doi:10.2147/IJN.S439359</w:t>
      </w:r>
    </w:p>
    <w:p w14:paraId="6C2E69FD"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60.</w:t>
      </w:r>
      <w:r w:rsidRPr="00A96C26">
        <w:rPr>
          <w:rFonts w:ascii="Times New Roman" w:hAnsi="Times New Roman" w:cs="Times New Roman"/>
          <w:kern w:val="0"/>
        </w:rPr>
        <w:tab/>
      </w:r>
      <w:proofErr w:type="spellStart"/>
      <w:r w:rsidRPr="00A96C26">
        <w:rPr>
          <w:rFonts w:ascii="Times New Roman" w:hAnsi="Times New Roman" w:cs="Times New Roman"/>
          <w:kern w:val="0"/>
        </w:rPr>
        <w:t>Kundeková</w:t>
      </w:r>
      <w:proofErr w:type="spellEnd"/>
      <w:r w:rsidRPr="00A96C26">
        <w:rPr>
          <w:rFonts w:ascii="Times New Roman" w:hAnsi="Times New Roman" w:cs="Times New Roman"/>
          <w:kern w:val="0"/>
        </w:rPr>
        <w:t xml:space="preserve"> B, </w:t>
      </w:r>
      <w:proofErr w:type="spellStart"/>
      <w:r w:rsidRPr="00A96C26">
        <w:rPr>
          <w:rFonts w:ascii="Times New Roman" w:hAnsi="Times New Roman" w:cs="Times New Roman"/>
          <w:kern w:val="0"/>
        </w:rPr>
        <w:t>Máčajová</w:t>
      </w:r>
      <w:proofErr w:type="spellEnd"/>
      <w:r w:rsidRPr="00A96C26">
        <w:rPr>
          <w:rFonts w:ascii="Times New Roman" w:hAnsi="Times New Roman" w:cs="Times New Roman"/>
          <w:kern w:val="0"/>
        </w:rPr>
        <w:t xml:space="preserve"> M, Meta M, </w:t>
      </w:r>
      <w:proofErr w:type="spellStart"/>
      <w:r w:rsidRPr="00A96C26">
        <w:rPr>
          <w:rFonts w:ascii="Times New Roman" w:hAnsi="Times New Roman" w:cs="Times New Roman"/>
          <w:kern w:val="0"/>
        </w:rPr>
        <w:t>Čavarga</w:t>
      </w:r>
      <w:proofErr w:type="spellEnd"/>
      <w:r w:rsidRPr="00A96C26">
        <w:rPr>
          <w:rFonts w:ascii="Times New Roman" w:hAnsi="Times New Roman" w:cs="Times New Roman"/>
          <w:kern w:val="0"/>
        </w:rPr>
        <w:t xml:space="preserve"> I, </w:t>
      </w:r>
      <w:proofErr w:type="spellStart"/>
      <w:r w:rsidRPr="00A96C26">
        <w:rPr>
          <w:rFonts w:ascii="Times New Roman" w:hAnsi="Times New Roman" w:cs="Times New Roman"/>
          <w:kern w:val="0"/>
        </w:rPr>
        <w:t>Bilčík</w:t>
      </w:r>
      <w:proofErr w:type="spellEnd"/>
      <w:r w:rsidRPr="00A96C26">
        <w:rPr>
          <w:rFonts w:ascii="Times New Roman" w:hAnsi="Times New Roman" w:cs="Times New Roman"/>
          <w:kern w:val="0"/>
        </w:rPr>
        <w:t xml:space="preserve"> B. </w:t>
      </w:r>
      <w:proofErr w:type="spellStart"/>
      <w:r w:rsidRPr="00A96C26">
        <w:rPr>
          <w:rFonts w:ascii="Times New Roman" w:hAnsi="Times New Roman" w:cs="Times New Roman"/>
          <w:kern w:val="0"/>
        </w:rPr>
        <w:t>Chorioallantoic</w:t>
      </w:r>
      <w:proofErr w:type="spellEnd"/>
      <w:r w:rsidRPr="00A96C26">
        <w:rPr>
          <w:rFonts w:ascii="Times New Roman" w:hAnsi="Times New Roman" w:cs="Times New Roman"/>
          <w:kern w:val="0"/>
        </w:rPr>
        <w:t xml:space="preserve"> Membrane Models of Various Avian Species: Differences and Applications. Biology. 2021 Apr 6;10(4):301. doi:10.3390/biology10040301</w:t>
      </w:r>
    </w:p>
    <w:p w14:paraId="4BA4FCE8"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61.</w:t>
      </w:r>
      <w:r w:rsidRPr="00A96C26">
        <w:rPr>
          <w:rFonts w:ascii="Times New Roman" w:hAnsi="Times New Roman" w:cs="Times New Roman"/>
          <w:kern w:val="0"/>
        </w:rPr>
        <w:tab/>
        <w:t>Sohn SI, Priya A, Balasubramaniam B, Muthuramalingam P, Sivasankar C, Selvaraj A, et al. Biomedical Applications and Bioavailability of Curcumin—An Updated Overview. Pharmaceutics. 2021 Dec 7;13(12):2102. doi:10.3390/pharmaceutics13122102</w:t>
      </w:r>
    </w:p>
    <w:p w14:paraId="13871CA3"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62.</w:t>
      </w:r>
      <w:r w:rsidRPr="00A96C26">
        <w:rPr>
          <w:rFonts w:ascii="Times New Roman" w:hAnsi="Times New Roman" w:cs="Times New Roman"/>
          <w:kern w:val="0"/>
        </w:rPr>
        <w:tab/>
      </w:r>
      <w:proofErr w:type="spellStart"/>
      <w:r w:rsidRPr="00A96C26">
        <w:rPr>
          <w:rFonts w:ascii="Times New Roman" w:hAnsi="Times New Roman" w:cs="Times New Roman"/>
          <w:kern w:val="0"/>
        </w:rPr>
        <w:t>Amsen</w:t>
      </w:r>
      <w:proofErr w:type="spellEnd"/>
      <w:r w:rsidRPr="00A96C26">
        <w:rPr>
          <w:rFonts w:ascii="Times New Roman" w:hAnsi="Times New Roman" w:cs="Times New Roman"/>
          <w:kern w:val="0"/>
        </w:rPr>
        <w:t xml:space="preserve"> D, Visser KE, Town T. Approaches to Determine Expression of Inflammatory Cytokines. In: Kozlov SV, editor. Inflammation and Cancer [Internet]. Totowa, NJ: Humana Press; 2009 [cited 2026 Apr 13]. p. 107–42. (Walker JM, editor. Methods in Molecular Biology). Available from: http://link.springer.com/10.1007/978-1-59745-447-6_5 doi:10.1007/978-1-59745-447-6_5</w:t>
      </w:r>
    </w:p>
    <w:p w14:paraId="41625036"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63.</w:t>
      </w:r>
      <w:r w:rsidRPr="00A96C26">
        <w:rPr>
          <w:rFonts w:ascii="Times New Roman" w:hAnsi="Times New Roman" w:cs="Times New Roman"/>
          <w:kern w:val="0"/>
        </w:rPr>
        <w:tab/>
        <w:t xml:space="preserve">Choo G, Lim D, Kim S, Yoo E, Kim S, Kim C, et al. Anti‑inflammatory effects of </w:t>
      </w:r>
      <w:proofErr w:type="spellStart"/>
      <w:r w:rsidRPr="00A96C26">
        <w:rPr>
          <w:rFonts w:ascii="Times New Roman" w:hAnsi="Times New Roman" w:cs="Times New Roman"/>
          <w:kern w:val="0"/>
        </w:rPr>
        <w:t>Dendropanax�morbifera</w:t>
      </w:r>
      <w:proofErr w:type="spellEnd"/>
      <w:r w:rsidRPr="00A96C26">
        <w:rPr>
          <w:rFonts w:ascii="Times New Roman" w:hAnsi="Times New Roman" w:cs="Times New Roman"/>
          <w:kern w:val="0"/>
        </w:rPr>
        <w:t xml:space="preserve"> in lipopolysaccharide‑stimulated RAW264.7 macrophages and in an animal model of atopic dermatitis. Mol Med Report. 2019 Jan 22. doi:10.3892/mmr.2019.9887</w:t>
      </w:r>
    </w:p>
    <w:p w14:paraId="73AC0DE4"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64.</w:t>
      </w:r>
      <w:r w:rsidRPr="00A96C26">
        <w:rPr>
          <w:rFonts w:ascii="Times New Roman" w:hAnsi="Times New Roman" w:cs="Times New Roman"/>
          <w:kern w:val="0"/>
        </w:rPr>
        <w:tab/>
        <w:t>Chung YC, Park SM, Kim JH, Lee GS, Lee JN, Hyun CG. Anti-inflammatory Effect of Pratol in LPS-stimulated RAW 264.7 Cells via NF-</w:t>
      </w:r>
      <w:proofErr w:type="spellStart"/>
      <w:r w:rsidRPr="00A96C26">
        <w:rPr>
          <w:rFonts w:ascii="Times New Roman" w:hAnsi="Times New Roman" w:cs="Times New Roman"/>
          <w:kern w:val="0"/>
        </w:rPr>
        <w:t>κB</w:t>
      </w:r>
      <w:proofErr w:type="spellEnd"/>
      <w:r w:rsidRPr="00A96C26">
        <w:rPr>
          <w:rFonts w:ascii="Times New Roman" w:hAnsi="Times New Roman" w:cs="Times New Roman"/>
          <w:kern w:val="0"/>
        </w:rPr>
        <w:t xml:space="preserve"> Signaling Pathways. Natural Product Communications. 2018 May;13(5):1934578X1801300509. doi:10.1177/1934578X1801300509</w:t>
      </w:r>
    </w:p>
    <w:p w14:paraId="2A9DE1B6"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65.</w:t>
      </w:r>
      <w:r w:rsidRPr="00A96C26">
        <w:rPr>
          <w:rFonts w:ascii="Times New Roman" w:hAnsi="Times New Roman" w:cs="Times New Roman"/>
          <w:kern w:val="0"/>
        </w:rPr>
        <w:tab/>
        <w:t>Hwang J, Ma J, Park J, Jung H, Park Y. Anti-inflammatory and antioxidant effects of MOK, a polyherbal extract, on lipopolysaccharide‑stimulated RAW 264.7 macrophages. Int J Mol Med. 2018 Oct 16. doi:10.3892/ijmm.2018.3937</w:t>
      </w:r>
    </w:p>
    <w:p w14:paraId="05E8BC97"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66.</w:t>
      </w:r>
      <w:r w:rsidRPr="00A96C26">
        <w:rPr>
          <w:rFonts w:ascii="Times New Roman" w:hAnsi="Times New Roman" w:cs="Times New Roman"/>
          <w:kern w:val="0"/>
        </w:rPr>
        <w:tab/>
        <w:t xml:space="preserve">Baek SH, Park T, Kang MG, Park D. Anti-Inflammatory Activity and ROS Regulation Effect of </w:t>
      </w:r>
      <w:proofErr w:type="spellStart"/>
      <w:r w:rsidRPr="00A96C26">
        <w:rPr>
          <w:rFonts w:ascii="Times New Roman" w:hAnsi="Times New Roman" w:cs="Times New Roman"/>
          <w:kern w:val="0"/>
        </w:rPr>
        <w:t>Sinapaldehyde</w:t>
      </w:r>
      <w:proofErr w:type="spellEnd"/>
      <w:r w:rsidRPr="00A96C26">
        <w:rPr>
          <w:rFonts w:ascii="Times New Roman" w:hAnsi="Times New Roman" w:cs="Times New Roman"/>
          <w:kern w:val="0"/>
        </w:rPr>
        <w:t xml:space="preserve"> in LPS-Stimulated RAW 264.7 Macrophages. Molecules. 2020 Sep 7;25(18):4089. doi:10.3390/molecules25184089</w:t>
      </w:r>
    </w:p>
    <w:p w14:paraId="4C97AC8B"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67.</w:t>
      </w:r>
      <w:r w:rsidRPr="00A96C26">
        <w:rPr>
          <w:rFonts w:ascii="Times New Roman" w:hAnsi="Times New Roman" w:cs="Times New Roman"/>
          <w:kern w:val="0"/>
        </w:rPr>
        <w:tab/>
      </w:r>
      <w:proofErr w:type="spellStart"/>
      <w:r w:rsidRPr="00A96C26">
        <w:rPr>
          <w:rFonts w:ascii="Times New Roman" w:hAnsi="Times New Roman" w:cs="Times New Roman"/>
          <w:kern w:val="0"/>
        </w:rPr>
        <w:t>Martihandini</w:t>
      </w:r>
      <w:proofErr w:type="spellEnd"/>
      <w:r w:rsidRPr="00A96C26">
        <w:rPr>
          <w:rFonts w:ascii="Times New Roman" w:hAnsi="Times New Roman" w:cs="Times New Roman"/>
          <w:kern w:val="0"/>
        </w:rPr>
        <w:t xml:space="preserve"> N, </w:t>
      </w:r>
      <w:proofErr w:type="spellStart"/>
      <w:r w:rsidRPr="00A96C26">
        <w:rPr>
          <w:rFonts w:ascii="Times New Roman" w:hAnsi="Times New Roman" w:cs="Times New Roman"/>
          <w:kern w:val="0"/>
        </w:rPr>
        <w:t>Surini</w:t>
      </w:r>
      <w:proofErr w:type="spellEnd"/>
      <w:r w:rsidRPr="00A96C26">
        <w:rPr>
          <w:rFonts w:ascii="Times New Roman" w:hAnsi="Times New Roman" w:cs="Times New Roman"/>
          <w:kern w:val="0"/>
        </w:rPr>
        <w:t xml:space="preserve"> S, </w:t>
      </w:r>
      <w:proofErr w:type="spellStart"/>
      <w:r w:rsidRPr="00A96C26">
        <w:rPr>
          <w:rFonts w:ascii="Times New Roman" w:hAnsi="Times New Roman" w:cs="Times New Roman"/>
          <w:kern w:val="0"/>
        </w:rPr>
        <w:t>Bahtiar</w:t>
      </w:r>
      <w:proofErr w:type="spellEnd"/>
      <w:r w:rsidRPr="00A96C26">
        <w:rPr>
          <w:rFonts w:ascii="Times New Roman" w:hAnsi="Times New Roman" w:cs="Times New Roman"/>
          <w:kern w:val="0"/>
        </w:rPr>
        <w:t xml:space="preserve"> A. Andrographolide-loaded </w:t>
      </w:r>
      <w:proofErr w:type="spellStart"/>
      <w:r w:rsidRPr="00A96C26">
        <w:rPr>
          <w:rFonts w:ascii="Times New Roman" w:hAnsi="Times New Roman" w:cs="Times New Roman"/>
          <w:kern w:val="0"/>
        </w:rPr>
        <w:t>ethosomal</w:t>
      </w:r>
      <w:proofErr w:type="spellEnd"/>
      <w:r w:rsidRPr="00A96C26">
        <w:rPr>
          <w:rFonts w:ascii="Times New Roman" w:hAnsi="Times New Roman" w:cs="Times New Roman"/>
          <w:kern w:val="0"/>
        </w:rPr>
        <w:t xml:space="preserve"> gel for transdermal application: Formulation and in vitro penetration study. Pharm Sci. 2021 Nov 30;1. doi:10.34172/PS.2021.76</w:t>
      </w:r>
    </w:p>
    <w:p w14:paraId="71C33978"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68.</w:t>
      </w:r>
      <w:r w:rsidRPr="00A96C26">
        <w:rPr>
          <w:rFonts w:ascii="Times New Roman" w:hAnsi="Times New Roman" w:cs="Times New Roman"/>
          <w:kern w:val="0"/>
        </w:rPr>
        <w:tab/>
        <w:t xml:space="preserve">Desai N, Momin M, Singh U, Khan T, </w:t>
      </w:r>
      <w:proofErr w:type="spellStart"/>
      <w:r w:rsidRPr="00A96C26">
        <w:rPr>
          <w:rFonts w:ascii="Times New Roman" w:hAnsi="Times New Roman" w:cs="Times New Roman"/>
          <w:kern w:val="0"/>
        </w:rPr>
        <w:t>Sherje</w:t>
      </w:r>
      <w:proofErr w:type="spellEnd"/>
      <w:r w:rsidRPr="00A96C26">
        <w:rPr>
          <w:rFonts w:ascii="Times New Roman" w:hAnsi="Times New Roman" w:cs="Times New Roman"/>
          <w:kern w:val="0"/>
        </w:rPr>
        <w:t xml:space="preserve"> A. ANALYTICAL METHOD DEVELOPMENT AND VALIDATION FOR SIMULTANEOUS ESTIMATION OF CURCUMIN AND CYCLOSPORINE BY RP-HPLC. Int J Pharm </w:t>
      </w:r>
      <w:proofErr w:type="spellStart"/>
      <w:r w:rsidRPr="00A96C26">
        <w:rPr>
          <w:rFonts w:ascii="Times New Roman" w:hAnsi="Times New Roman" w:cs="Times New Roman"/>
          <w:kern w:val="0"/>
        </w:rPr>
        <w:t>Pharm</w:t>
      </w:r>
      <w:proofErr w:type="spellEnd"/>
      <w:r w:rsidRPr="00A96C26">
        <w:rPr>
          <w:rFonts w:ascii="Times New Roman" w:hAnsi="Times New Roman" w:cs="Times New Roman"/>
          <w:kern w:val="0"/>
        </w:rPr>
        <w:t xml:space="preserve"> Sci. 2018 Dec 24;26–33. doi:10.22159/ijpps.2019v11i2.28975</w:t>
      </w:r>
    </w:p>
    <w:p w14:paraId="69809CCA"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69.</w:t>
      </w:r>
      <w:r w:rsidRPr="00A96C26">
        <w:rPr>
          <w:rFonts w:ascii="Times New Roman" w:hAnsi="Times New Roman" w:cs="Times New Roman"/>
          <w:kern w:val="0"/>
        </w:rPr>
        <w:tab/>
        <w:t>Khan S, Sharma A, Jain V. An Overview of Nanostructured Lipid Carriers and its Application in Drug Delivery through Different Routes. Adv Pharm Bull. 2023 Jul 10;13(3):446–60. doi:10.34172/apb.2023.056</w:t>
      </w:r>
    </w:p>
    <w:p w14:paraId="060BD651"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70.</w:t>
      </w:r>
      <w:r w:rsidRPr="00A96C26">
        <w:rPr>
          <w:rFonts w:ascii="Times New Roman" w:hAnsi="Times New Roman" w:cs="Times New Roman"/>
          <w:kern w:val="0"/>
        </w:rPr>
        <w:tab/>
        <w:t xml:space="preserve">Van Delft MAM, Huizinga TWJ. An overview of autoantibodies in rheumatoid arthritis. Journal of Autoimmunity. 2020 </w:t>
      </w:r>
      <w:proofErr w:type="gramStart"/>
      <w:r w:rsidRPr="00A96C26">
        <w:rPr>
          <w:rFonts w:ascii="Times New Roman" w:hAnsi="Times New Roman" w:cs="Times New Roman"/>
          <w:kern w:val="0"/>
        </w:rPr>
        <w:t>Jun;110:102392</w:t>
      </w:r>
      <w:proofErr w:type="gramEnd"/>
      <w:r w:rsidRPr="00A96C26">
        <w:rPr>
          <w:rFonts w:ascii="Times New Roman" w:hAnsi="Times New Roman" w:cs="Times New Roman"/>
          <w:kern w:val="0"/>
        </w:rPr>
        <w:t xml:space="preserve">. </w:t>
      </w:r>
      <w:proofErr w:type="gramStart"/>
      <w:r w:rsidRPr="00A96C26">
        <w:rPr>
          <w:rFonts w:ascii="Times New Roman" w:hAnsi="Times New Roman" w:cs="Times New Roman"/>
          <w:kern w:val="0"/>
        </w:rPr>
        <w:t>doi:10.1016/j.jaut</w:t>
      </w:r>
      <w:proofErr w:type="gramEnd"/>
      <w:r w:rsidRPr="00A96C26">
        <w:rPr>
          <w:rFonts w:ascii="Times New Roman" w:hAnsi="Times New Roman" w:cs="Times New Roman"/>
          <w:kern w:val="0"/>
        </w:rPr>
        <w:t>.2019.102392</w:t>
      </w:r>
    </w:p>
    <w:p w14:paraId="0F29883E"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71.</w:t>
      </w:r>
      <w:r w:rsidRPr="00A96C26">
        <w:rPr>
          <w:rFonts w:ascii="Times New Roman" w:hAnsi="Times New Roman" w:cs="Times New Roman"/>
          <w:kern w:val="0"/>
        </w:rPr>
        <w:tab/>
        <w:t xml:space="preserve">Ingólfsson HI, Andersen OS. Alcohol’s Effects on Lipid Bilayer Properties. Biophysical Journal. 2011 Aug;101(4):847–55. </w:t>
      </w:r>
      <w:proofErr w:type="gramStart"/>
      <w:r w:rsidRPr="00A96C26">
        <w:rPr>
          <w:rFonts w:ascii="Times New Roman" w:hAnsi="Times New Roman" w:cs="Times New Roman"/>
          <w:kern w:val="0"/>
        </w:rPr>
        <w:t>doi:10.1016/j.bpj</w:t>
      </w:r>
      <w:proofErr w:type="gramEnd"/>
      <w:r w:rsidRPr="00A96C26">
        <w:rPr>
          <w:rFonts w:ascii="Times New Roman" w:hAnsi="Times New Roman" w:cs="Times New Roman"/>
          <w:kern w:val="0"/>
        </w:rPr>
        <w:t>.2011.07.013</w:t>
      </w:r>
    </w:p>
    <w:p w14:paraId="475C6972"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72.</w:t>
      </w:r>
      <w:r w:rsidRPr="00A96C26">
        <w:rPr>
          <w:rFonts w:ascii="Times New Roman" w:hAnsi="Times New Roman" w:cs="Times New Roman"/>
          <w:kern w:val="0"/>
        </w:rPr>
        <w:tab/>
        <w:t xml:space="preserve">Quintanar-Guerrero D, Tamayo-Esquivel D, </w:t>
      </w:r>
      <w:proofErr w:type="spellStart"/>
      <w:r w:rsidRPr="00A96C26">
        <w:rPr>
          <w:rFonts w:ascii="Times New Roman" w:hAnsi="Times New Roman" w:cs="Times New Roman"/>
          <w:kern w:val="0"/>
        </w:rPr>
        <w:t>Ganem-Quintanar</w:t>
      </w:r>
      <w:proofErr w:type="spellEnd"/>
      <w:r w:rsidRPr="00A96C26">
        <w:rPr>
          <w:rFonts w:ascii="Times New Roman" w:hAnsi="Times New Roman" w:cs="Times New Roman"/>
          <w:kern w:val="0"/>
        </w:rPr>
        <w:t xml:space="preserve"> A, </w:t>
      </w:r>
      <w:proofErr w:type="spellStart"/>
      <w:r w:rsidRPr="00A96C26">
        <w:rPr>
          <w:rFonts w:ascii="Times New Roman" w:hAnsi="Times New Roman" w:cs="Times New Roman"/>
          <w:kern w:val="0"/>
        </w:rPr>
        <w:t>Allémann</w:t>
      </w:r>
      <w:proofErr w:type="spellEnd"/>
      <w:r w:rsidRPr="00A96C26">
        <w:rPr>
          <w:rFonts w:ascii="Times New Roman" w:hAnsi="Times New Roman" w:cs="Times New Roman"/>
          <w:kern w:val="0"/>
        </w:rPr>
        <w:t xml:space="preserve"> E, </w:t>
      </w:r>
      <w:proofErr w:type="spellStart"/>
      <w:r w:rsidRPr="00A96C26">
        <w:rPr>
          <w:rFonts w:ascii="Times New Roman" w:hAnsi="Times New Roman" w:cs="Times New Roman"/>
          <w:kern w:val="0"/>
        </w:rPr>
        <w:t>Doelker</w:t>
      </w:r>
      <w:proofErr w:type="spellEnd"/>
      <w:r w:rsidRPr="00A96C26">
        <w:rPr>
          <w:rFonts w:ascii="Times New Roman" w:hAnsi="Times New Roman" w:cs="Times New Roman"/>
          <w:kern w:val="0"/>
        </w:rPr>
        <w:t xml:space="preserve"> E. Adaptation and optimization of the emulsification-diffusion technique to prepare lipidic </w:t>
      </w:r>
      <w:r w:rsidRPr="00A96C26">
        <w:rPr>
          <w:rFonts w:ascii="Times New Roman" w:hAnsi="Times New Roman" w:cs="Times New Roman"/>
          <w:kern w:val="0"/>
        </w:rPr>
        <w:lastRenderedPageBreak/>
        <w:t xml:space="preserve">nanospheres. European Journal of Pharmaceutical Sciences. 2005 Oct;26(2):211–8. </w:t>
      </w:r>
      <w:proofErr w:type="gramStart"/>
      <w:r w:rsidRPr="00A96C26">
        <w:rPr>
          <w:rFonts w:ascii="Times New Roman" w:hAnsi="Times New Roman" w:cs="Times New Roman"/>
          <w:kern w:val="0"/>
        </w:rPr>
        <w:t>doi:10.1016/j.ejps</w:t>
      </w:r>
      <w:proofErr w:type="gramEnd"/>
      <w:r w:rsidRPr="00A96C26">
        <w:rPr>
          <w:rFonts w:ascii="Times New Roman" w:hAnsi="Times New Roman" w:cs="Times New Roman"/>
          <w:kern w:val="0"/>
        </w:rPr>
        <w:t>.2005.06.001</w:t>
      </w:r>
    </w:p>
    <w:p w14:paraId="3F4619B9"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73.</w:t>
      </w:r>
      <w:r w:rsidRPr="00A96C26">
        <w:rPr>
          <w:rFonts w:ascii="Times New Roman" w:hAnsi="Times New Roman" w:cs="Times New Roman"/>
          <w:kern w:val="0"/>
        </w:rPr>
        <w:tab/>
      </w:r>
      <w:proofErr w:type="spellStart"/>
      <w:r w:rsidRPr="00A96C26">
        <w:rPr>
          <w:rFonts w:ascii="Times New Roman" w:hAnsi="Times New Roman" w:cs="Times New Roman"/>
          <w:kern w:val="0"/>
        </w:rPr>
        <w:t>Ershad</w:t>
      </w:r>
      <w:proofErr w:type="spellEnd"/>
      <w:r w:rsidRPr="00A96C26">
        <w:rPr>
          <w:rFonts w:ascii="Times New Roman" w:hAnsi="Times New Roman" w:cs="Times New Roman"/>
          <w:kern w:val="0"/>
        </w:rPr>
        <w:t xml:space="preserve"> A, </w:t>
      </w:r>
      <w:proofErr w:type="spellStart"/>
      <w:r w:rsidRPr="00A96C26">
        <w:rPr>
          <w:rFonts w:ascii="Times New Roman" w:hAnsi="Times New Roman" w:cs="Times New Roman"/>
          <w:kern w:val="0"/>
        </w:rPr>
        <w:t>Taziki</w:t>
      </w:r>
      <w:proofErr w:type="spellEnd"/>
      <w:r w:rsidRPr="00A96C26">
        <w:rPr>
          <w:rFonts w:ascii="Times New Roman" w:hAnsi="Times New Roman" w:cs="Times New Roman"/>
          <w:kern w:val="0"/>
        </w:rPr>
        <w:t xml:space="preserve"> S, </w:t>
      </w:r>
      <w:proofErr w:type="spellStart"/>
      <w:r w:rsidRPr="00A96C26">
        <w:rPr>
          <w:rFonts w:ascii="Times New Roman" w:hAnsi="Times New Roman" w:cs="Times New Roman"/>
          <w:kern w:val="0"/>
        </w:rPr>
        <w:t>Ebrahimian</w:t>
      </w:r>
      <w:proofErr w:type="spellEnd"/>
      <w:r w:rsidRPr="00A96C26">
        <w:rPr>
          <w:rFonts w:ascii="Times New Roman" w:hAnsi="Times New Roman" w:cs="Times New Roman"/>
          <w:kern w:val="0"/>
        </w:rPr>
        <w:t xml:space="preserve"> M, Abadi SSD. Acute cyclosporine overdose: A systematic review. </w:t>
      </w:r>
      <w:proofErr w:type="spellStart"/>
      <w:r w:rsidRPr="00A96C26">
        <w:rPr>
          <w:rFonts w:ascii="Times New Roman" w:hAnsi="Times New Roman" w:cs="Times New Roman"/>
          <w:kern w:val="0"/>
        </w:rPr>
        <w:t>Medicina</w:t>
      </w:r>
      <w:proofErr w:type="spellEnd"/>
      <w:r w:rsidRPr="00A96C26">
        <w:rPr>
          <w:rFonts w:ascii="Times New Roman" w:hAnsi="Times New Roman" w:cs="Times New Roman"/>
          <w:kern w:val="0"/>
        </w:rPr>
        <w:t xml:space="preserve"> </w:t>
      </w:r>
      <w:proofErr w:type="spellStart"/>
      <w:r w:rsidRPr="00A96C26">
        <w:rPr>
          <w:rFonts w:ascii="Times New Roman" w:hAnsi="Times New Roman" w:cs="Times New Roman"/>
          <w:kern w:val="0"/>
        </w:rPr>
        <w:t>Clínica</w:t>
      </w:r>
      <w:proofErr w:type="spellEnd"/>
      <w:r w:rsidRPr="00A96C26">
        <w:rPr>
          <w:rFonts w:ascii="Times New Roman" w:hAnsi="Times New Roman" w:cs="Times New Roman"/>
          <w:kern w:val="0"/>
        </w:rPr>
        <w:t xml:space="preserve"> </w:t>
      </w:r>
      <w:proofErr w:type="spellStart"/>
      <w:r w:rsidRPr="00A96C26">
        <w:rPr>
          <w:rFonts w:ascii="Times New Roman" w:hAnsi="Times New Roman" w:cs="Times New Roman"/>
          <w:kern w:val="0"/>
        </w:rPr>
        <w:t>Práctica</w:t>
      </w:r>
      <w:proofErr w:type="spellEnd"/>
      <w:r w:rsidRPr="00A96C26">
        <w:rPr>
          <w:rFonts w:ascii="Times New Roman" w:hAnsi="Times New Roman" w:cs="Times New Roman"/>
          <w:kern w:val="0"/>
        </w:rPr>
        <w:t xml:space="preserve">. 2023 Apr;6(2):100358. </w:t>
      </w:r>
      <w:proofErr w:type="gramStart"/>
      <w:r w:rsidRPr="00A96C26">
        <w:rPr>
          <w:rFonts w:ascii="Times New Roman" w:hAnsi="Times New Roman" w:cs="Times New Roman"/>
          <w:kern w:val="0"/>
        </w:rPr>
        <w:t>doi:10.1016/j.mcpsp</w:t>
      </w:r>
      <w:proofErr w:type="gramEnd"/>
      <w:r w:rsidRPr="00A96C26">
        <w:rPr>
          <w:rFonts w:ascii="Times New Roman" w:hAnsi="Times New Roman" w:cs="Times New Roman"/>
          <w:kern w:val="0"/>
        </w:rPr>
        <w:t>.2022.100358</w:t>
      </w:r>
    </w:p>
    <w:p w14:paraId="7F55A9D7" w14:textId="77777777" w:rsidR="007C1A14" w:rsidRPr="00A96C26"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74.</w:t>
      </w:r>
      <w:r w:rsidRPr="00A96C26">
        <w:rPr>
          <w:rFonts w:ascii="Times New Roman" w:hAnsi="Times New Roman" w:cs="Times New Roman"/>
          <w:kern w:val="0"/>
        </w:rPr>
        <w:tab/>
        <w:t xml:space="preserve">Nandakumar KS, Fang Q, </w:t>
      </w:r>
      <w:proofErr w:type="spellStart"/>
      <w:r w:rsidRPr="00A96C26">
        <w:rPr>
          <w:rFonts w:ascii="Times New Roman" w:hAnsi="Times New Roman" w:cs="Times New Roman"/>
          <w:kern w:val="0"/>
        </w:rPr>
        <w:t>Wingbro</w:t>
      </w:r>
      <w:proofErr w:type="spellEnd"/>
      <w:r w:rsidRPr="00A96C26">
        <w:rPr>
          <w:rFonts w:ascii="Times New Roman" w:hAnsi="Times New Roman" w:cs="Times New Roman"/>
          <w:kern w:val="0"/>
        </w:rPr>
        <w:t xml:space="preserve"> </w:t>
      </w:r>
      <w:proofErr w:type="spellStart"/>
      <w:r w:rsidRPr="00A96C26">
        <w:rPr>
          <w:rFonts w:ascii="Times New Roman" w:hAnsi="Times New Roman" w:cs="Times New Roman"/>
          <w:kern w:val="0"/>
        </w:rPr>
        <w:t>Ågren</w:t>
      </w:r>
      <w:proofErr w:type="spellEnd"/>
      <w:r w:rsidRPr="00A96C26">
        <w:rPr>
          <w:rFonts w:ascii="Times New Roman" w:hAnsi="Times New Roman" w:cs="Times New Roman"/>
          <w:kern w:val="0"/>
        </w:rPr>
        <w:t xml:space="preserve"> I, </w:t>
      </w:r>
      <w:proofErr w:type="spellStart"/>
      <w:r w:rsidRPr="00A96C26">
        <w:rPr>
          <w:rFonts w:ascii="Times New Roman" w:hAnsi="Times New Roman" w:cs="Times New Roman"/>
          <w:kern w:val="0"/>
        </w:rPr>
        <w:t>Bejmo</w:t>
      </w:r>
      <w:proofErr w:type="spellEnd"/>
      <w:r w:rsidRPr="00A96C26">
        <w:rPr>
          <w:rFonts w:ascii="Times New Roman" w:hAnsi="Times New Roman" w:cs="Times New Roman"/>
          <w:kern w:val="0"/>
        </w:rPr>
        <w:t xml:space="preserve"> ZF. Aberrant Activation of Immune and Non-Immune Cells Contributes to Joint Inflammation and Bone Degradation in Rheumatoid Arthritis. IJMS. 2023 Nov 1;24(21):15883. doi:10.3390/ijms242115883</w:t>
      </w:r>
    </w:p>
    <w:p w14:paraId="1461A2EE" w14:textId="77777777" w:rsidR="007C1A14" w:rsidRDefault="007C1A14" w:rsidP="007C1A14">
      <w:pPr>
        <w:widowControl w:val="0"/>
        <w:tabs>
          <w:tab w:val="left" w:pos="384"/>
        </w:tabs>
        <w:autoSpaceDE w:val="0"/>
        <w:autoSpaceDN w:val="0"/>
        <w:adjustRightInd w:val="0"/>
        <w:spacing w:after="0" w:line="240" w:lineRule="auto"/>
        <w:ind w:left="384" w:hanging="384"/>
        <w:jc w:val="both"/>
        <w:rPr>
          <w:rFonts w:ascii="Times New Roman" w:hAnsi="Times New Roman" w:cs="Times New Roman"/>
          <w:kern w:val="0"/>
        </w:rPr>
      </w:pPr>
      <w:r w:rsidRPr="00A96C26">
        <w:rPr>
          <w:rFonts w:ascii="Times New Roman" w:hAnsi="Times New Roman" w:cs="Times New Roman"/>
          <w:kern w:val="0"/>
        </w:rPr>
        <w:t>75.</w:t>
      </w:r>
      <w:r w:rsidRPr="00A96C26">
        <w:rPr>
          <w:rFonts w:ascii="Times New Roman" w:hAnsi="Times New Roman" w:cs="Times New Roman"/>
          <w:kern w:val="0"/>
        </w:rPr>
        <w:tab/>
      </w:r>
      <w:proofErr w:type="spellStart"/>
      <w:r w:rsidRPr="00A96C26">
        <w:rPr>
          <w:rFonts w:ascii="Times New Roman" w:hAnsi="Times New Roman" w:cs="Times New Roman"/>
          <w:kern w:val="0"/>
        </w:rPr>
        <w:t>Sarogni</w:t>
      </w:r>
      <w:proofErr w:type="spellEnd"/>
      <w:r w:rsidRPr="00A96C26">
        <w:rPr>
          <w:rFonts w:ascii="Times New Roman" w:hAnsi="Times New Roman" w:cs="Times New Roman"/>
          <w:kern w:val="0"/>
        </w:rPr>
        <w:t xml:space="preserve"> P, </w:t>
      </w:r>
      <w:proofErr w:type="spellStart"/>
      <w:r w:rsidRPr="00A96C26">
        <w:rPr>
          <w:rFonts w:ascii="Times New Roman" w:hAnsi="Times New Roman" w:cs="Times New Roman"/>
          <w:kern w:val="0"/>
        </w:rPr>
        <w:t>Mapanao</w:t>
      </w:r>
      <w:proofErr w:type="spellEnd"/>
      <w:r w:rsidRPr="00A96C26">
        <w:rPr>
          <w:rFonts w:ascii="Times New Roman" w:hAnsi="Times New Roman" w:cs="Times New Roman"/>
          <w:kern w:val="0"/>
        </w:rPr>
        <w:t xml:space="preserve"> AK, Marchetti S, </w:t>
      </w:r>
      <w:proofErr w:type="spellStart"/>
      <w:r w:rsidRPr="00A96C26">
        <w:rPr>
          <w:rFonts w:ascii="Times New Roman" w:hAnsi="Times New Roman" w:cs="Times New Roman"/>
          <w:kern w:val="0"/>
        </w:rPr>
        <w:t>Kusmic</w:t>
      </w:r>
      <w:proofErr w:type="spellEnd"/>
      <w:r w:rsidRPr="00A96C26">
        <w:rPr>
          <w:rFonts w:ascii="Times New Roman" w:hAnsi="Times New Roman" w:cs="Times New Roman"/>
          <w:kern w:val="0"/>
        </w:rPr>
        <w:t xml:space="preserve"> C, </w:t>
      </w:r>
      <w:proofErr w:type="spellStart"/>
      <w:r w:rsidRPr="00A96C26">
        <w:rPr>
          <w:rFonts w:ascii="Times New Roman" w:hAnsi="Times New Roman" w:cs="Times New Roman"/>
          <w:kern w:val="0"/>
        </w:rPr>
        <w:t>Voliani</w:t>
      </w:r>
      <w:proofErr w:type="spellEnd"/>
      <w:r w:rsidRPr="00A96C26">
        <w:rPr>
          <w:rFonts w:ascii="Times New Roman" w:hAnsi="Times New Roman" w:cs="Times New Roman"/>
          <w:kern w:val="0"/>
        </w:rPr>
        <w:t xml:space="preserve"> V. A Standard Protocol for the Production and </w:t>
      </w:r>
      <w:proofErr w:type="spellStart"/>
      <w:r w:rsidRPr="00A96C26">
        <w:rPr>
          <w:rFonts w:ascii="Times New Roman" w:hAnsi="Times New Roman" w:cs="Times New Roman"/>
          <w:kern w:val="0"/>
        </w:rPr>
        <w:t>Bioevaluation</w:t>
      </w:r>
      <w:proofErr w:type="spellEnd"/>
      <w:r w:rsidRPr="00A96C26">
        <w:rPr>
          <w:rFonts w:ascii="Times New Roman" w:hAnsi="Times New Roman" w:cs="Times New Roman"/>
          <w:kern w:val="0"/>
        </w:rPr>
        <w:t xml:space="preserve"> of Ethical </w:t>
      </w:r>
      <w:r w:rsidRPr="00A96C26">
        <w:rPr>
          <w:rFonts w:ascii="Times New Roman" w:hAnsi="Times New Roman" w:cs="Times New Roman"/>
          <w:i/>
          <w:iCs/>
          <w:kern w:val="0"/>
        </w:rPr>
        <w:t>In Vivo</w:t>
      </w:r>
      <w:r w:rsidRPr="00A96C26">
        <w:rPr>
          <w:rFonts w:ascii="Times New Roman" w:hAnsi="Times New Roman" w:cs="Times New Roman"/>
          <w:kern w:val="0"/>
        </w:rPr>
        <w:t xml:space="preserve"> Models of HPV-Negative Head and Neck Squamous Cell Carcinoma. ACS </w:t>
      </w:r>
      <w:proofErr w:type="spellStart"/>
      <w:r w:rsidRPr="00A96C26">
        <w:rPr>
          <w:rFonts w:ascii="Times New Roman" w:hAnsi="Times New Roman" w:cs="Times New Roman"/>
          <w:kern w:val="0"/>
        </w:rPr>
        <w:t>Pharmacol</w:t>
      </w:r>
      <w:proofErr w:type="spellEnd"/>
      <w:r w:rsidRPr="00A96C26">
        <w:rPr>
          <w:rFonts w:ascii="Times New Roman" w:hAnsi="Times New Roman" w:cs="Times New Roman"/>
          <w:kern w:val="0"/>
        </w:rPr>
        <w:t xml:space="preserve"> </w:t>
      </w:r>
      <w:proofErr w:type="spellStart"/>
      <w:r w:rsidRPr="00A96C26">
        <w:rPr>
          <w:rFonts w:ascii="Times New Roman" w:hAnsi="Times New Roman" w:cs="Times New Roman"/>
          <w:kern w:val="0"/>
        </w:rPr>
        <w:t>Transl</w:t>
      </w:r>
      <w:proofErr w:type="spellEnd"/>
      <w:r w:rsidRPr="00A96C26">
        <w:rPr>
          <w:rFonts w:ascii="Times New Roman" w:hAnsi="Times New Roman" w:cs="Times New Roman"/>
          <w:kern w:val="0"/>
        </w:rPr>
        <w:t xml:space="preserve"> Sci. 2021 Jun 11;4(3):1227–34. doi:10.1021/acsptsci.1c00083</w:t>
      </w:r>
    </w:p>
    <w:p w14:paraId="7975E4A4" w14:textId="77777777" w:rsidR="007C1A14" w:rsidRPr="00315EE3" w:rsidRDefault="007C1A14" w:rsidP="00315EE3">
      <w:pPr>
        <w:jc w:val="both"/>
        <w:rPr>
          <w:rFonts w:ascii="Times New Roman" w:hAnsi="Times New Roman" w:cs="Times New Roman"/>
          <w:szCs w:val="28"/>
        </w:rPr>
      </w:pPr>
    </w:p>
    <w:sectPr w:rsidR="007C1A14" w:rsidRPr="00315EE3">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8612F6" w14:textId="77777777" w:rsidR="00246375" w:rsidRDefault="00246375" w:rsidP="00C00ED1">
      <w:pPr>
        <w:spacing w:after="0" w:line="240" w:lineRule="auto"/>
      </w:pPr>
      <w:r>
        <w:separator/>
      </w:r>
    </w:p>
  </w:endnote>
  <w:endnote w:type="continuationSeparator" w:id="0">
    <w:p w14:paraId="12909E4E" w14:textId="77777777" w:rsidR="00246375" w:rsidRDefault="00246375" w:rsidP="00C00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F0DD8" w14:textId="77777777" w:rsidR="00C00ED1" w:rsidRDefault="00C00E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EC03D" w14:textId="77777777" w:rsidR="00C00ED1" w:rsidRDefault="00C00E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F6B01" w14:textId="77777777" w:rsidR="00C00ED1" w:rsidRDefault="00C00E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7C137" w14:textId="77777777" w:rsidR="00246375" w:rsidRDefault="00246375" w:rsidP="00C00ED1">
      <w:pPr>
        <w:spacing w:after="0" w:line="240" w:lineRule="auto"/>
      </w:pPr>
      <w:r>
        <w:separator/>
      </w:r>
    </w:p>
  </w:footnote>
  <w:footnote w:type="continuationSeparator" w:id="0">
    <w:p w14:paraId="0494059D" w14:textId="77777777" w:rsidR="00246375" w:rsidRDefault="00246375" w:rsidP="00C00E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B729A" w14:textId="60A55B7C" w:rsidR="00C00ED1" w:rsidRDefault="00C00ED1">
    <w:pPr>
      <w:pStyle w:val="Header"/>
    </w:pPr>
    <w:r>
      <w:rPr>
        <w:noProof/>
      </w:rPr>
      <w:pict w14:anchorId="789755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76875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7D102" w14:textId="0CBDC07B" w:rsidR="00C00ED1" w:rsidRDefault="00C00ED1">
    <w:pPr>
      <w:pStyle w:val="Header"/>
    </w:pPr>
    <w:r>
      <w:rPr>
        <w:noProof/>
      </w:rPr>
      <w:pict w14:anchorId="194525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76875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4591C" w14:textId="658A78B4" w:rsidR="00C00ED1" w:rsidRDefault="00C00ED1">
    <w:pPr>
      <w:pStyle w:val="Header"/>
    </w:pPr>
    <w:r>
      <w:rPr>
        <w:noProof/>
      </w:rPr>
      <w:pict w14:anchorId="0A792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76875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593551F"/>
    <w:multiLevelType w:val="multilevel"/>
    <w:tmpl w:val="7E0CFC0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ED6750"/>
    <w:multiLevelType w:val="multilevel"/>
    <w:tmpl w:val="8FA2A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996"/>
    <w:rsid w:val="00017708"/>
    <w:rsid w:val="000675F6"/>
    <w:rsid w:val="00235CAF"/>
    <w:rsid w:val="00241F44"/>
    <w:rsid w:val="00246375"/>
    <w:rsid w:val="00265BEE"/>
    <w:rsid w:val="00301F48"/>
    <w:rsid w:val="00315EE3"/>
    <w:rsid w:val="00321525"/>
    <w:rsid w:val="003275BA"/>
    <w:rsid w:val="0038094F"/>
    <w:rsid w:val="003834F5"/>
    <w:rsid w:val="003D548A"/>
    <w:rsid w:val="005530F6"/>
    <w:rsid w:val="00573E48"/>
    <w:rsid w:val="00670996"/>
    <w:rsid w:val="00676188"/>
    <w:rsid w:val="006D6533"/>
    <w:rsid w:val="007C1A14"/>
    <w:rsid w:val="00940B95"/>
    <w:rsid w:val="009F55DB"/>
    <w:rsid w:val="00A666A6"/>
    <w:rsid w:val="00A96C26"/>
    <w:rsid w:val="00AA6B3C"/>
    <w:rsid w:val="00B33099"/>
    <w:rsid w:val="00B52614"/>
    <w:rsid w:val="00BB6B7B"/>
    <w:rsid w:val="00C00ED1"/>
    <w:rsid w:val="00CE24E3"/>
    <w:rsid w:val="00D66A54"/>
    <w:rsid w:val="00DB64DD"/>
    <w:rsid w:val="00DC1CDC"/>
    <w:rsid w:val="00E259BF"/>
    <w:rsid w:val="00E544A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4FBD83"/>
  <w15:chartTrackingRefBased/>
  <w15:docId w15:val="{B313552A-6712-4DB3-8EDF-08D5481A6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0996"/>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670996"/>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670996"/>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6709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709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709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09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09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09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996"/>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670996"/>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670996"/>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6709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709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709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09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09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0996"/>
    <w:rPr>
      <w:rFonts w:eastAsiaTheme="majorEastAsia" w:cstheme="majorBidi"/>
      <w:color w:val="272727" w:themeColor="text1" w:themeTint="D8"/>
    </w:rPr>
  </w:style>
  <w:style w:type="paragraph" w:styleId="Title">
    <w:name w:val="Title"/>
    <w:basedOn w:val="Normal"/>
    <w:next w:val="Normal"/>
    <w:link w:val="TitleChar"/>
    <w:uiPriority w:val="10"/>
    <w:qFormat/>
    <w:rsid w:val="00670996"/>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670996"/>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670996"/>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670996"/>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670996"/>
    <w:pPr>
      <w:spacing w:before="160"/>
      <w:jc w:val="center"/>
    </w:pPr>
    <w:rPr>
      <w:i/>
      <w:iCs/>
      <w:color w:val="404040" w:themeColor="text1" w:themeTint="BF"/>
    </w:rPr>
  </w:style>
  <w:style w:type="character" w:customStyle="1" w:styleId="QuoteChar">
    <w:name w:val="Quote Char"/>
    <w:basedOn w:val="DefaultParagraphFont"/>
    <w:link w:val="Quote"/>
    <w:uiPriority w:val="29"/>
    <w:rsid w:val="00670996"/>
    <w:rPr>
      <w:i/>
      <w:iCs/>
      <w:color w:val="404040" w:themeColor="text1" w:themeTint="BF"/>
    </w:rPr>
  </w:style>
  <w:style w:type="paragraph" w:styleId="ListParagraph">
    <w:name w:val="List Paragraph"/>
    <w:basedOn w:val="Normal"/>
    <w:uiPriority w:val="34"/>
    <w:qFormat/>
    <w:rsid w:val="00670996"/>
    <w:pPr>
      <w:ind w:left="720"/>
      <w:contextualSpacing/>
    </w:pPr>
  </w:style>
  <w:style w:type="character" w:styleId="IntenseEmphasis">
    <w:name w:val="Intense Emphasis"/>
    <w:basedOn w:val="DefaultParagraphFont"/>
    <w:uiPriority w:val="21"/>
    <w:qFormat/>
    <w:rsid w:val="00670996"/>
    <w:rPr>
      <w:i/>
      <w:iCs/>
      <w:color w:val="2F5496" w:themeColor="accent1" w:themeShade="BF"/>
    </w:rPr>
  </w:style>
  <w:style w:type="paragraph" w:styleId="IntenseQuote">
    <w:name w:val="Intense Quote"/>
    <w:basedOn w:val="Normal"/>
    <w:next w:val="Normal"/>
    <w:link w:val="IntenseQuoteChar"/>
    <w:uiPriority w:val="30"/>
    <w:qFormat/>
    <w:rsid w:val="006709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70996"/>
    <w:rPr>
      <w:i/>
      <w:iCs/>
      <w:color w:val="2F5496" w:themeColor="accent1" w:themeShade="BF"/>
    </w:rPr>
  </w:style>
  <w:style w:type="character" w:styleId="IntenseReference">
    <w:name w:val="Intense Reference"/>
    <w:basedOn w:val="DefaultParagraphFont"/>
    <w:uiPriority w:val="32"/>
    <w:qFormat/>
    <w:rsid w:val="00670996"/>
    <w:rPr>
      <w:b/>
      <w:bCs/>
      <w:smallCaps/>
      <w:color w:val="2F5496" w:themeColor="accent1" w:themeShade="BF"/>
      <w:spacing w:val="5"/>
    </w:rPr>
  </w:style>
  <w:style w:type="table" w:styleId="TableGrid">
    <w:name w:val="Table Grid"/>
    <w:basedOn w:val="TableNormal"/>
    <w:uiPriority w:val="39"/>
    <w:rsid w:val="00E25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D6533"/>
    <w:rPr>
      <w:color w:val="0563C1" w:themeColor="hyperlink"/>
      <w:u w:val="single"/>
    </w:rPr>
  </w:style>
  <w:style w:type="character" w:styleId="UnresolvedMention">
    <w:name w:val="Unresolved Mention"/>
    <w:basedOn w:val="DefaultParagraphFont"/>
    <w:uiPriority w:val="99"/>
    <w:semiHidden/>
    <w:unhideWhenUsed/>
    <w:rsid w:val="006D6533"/>
    <w:rPr>
      <w:color w:val="605E5C"/>
      <w:shd w:val="clear" w:color="auto" w:fill="E1DFDD"/>
    </w:rPr>
  </w:style>
  <w:style w:type="paragraph" w:styleId="Header">
    <w:name w:val="header"/>
    <w:basedOn w:val="Normal"/>
    <w:link w:val="HeaderChar"/>
    <w:uiPriority w:val="99"/>
    <w:unhideWhenUsed/>
    <w:rsid w:val="00C00E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ED1"/>
  </w:style>
  <w:style w:type="paragraph" w:styleId="Footer">
    <w:name w:val="footer"/>
    <w:basedOn w:val="Normal"/>
    <w:link w:val="FooterChar"/>
    <w:uiPriority w:val="99"/>
    <w:unhideWhenUsed/>
    <w:rsid w:val="00C00E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45</Pages>
  <Words>18020</Words>
  <Characters>102716</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vrushabh patil</dc:creator>
  <cp:keywords/>
  <dc:description/>
  <cp:lastModifiedBy>SDI 1084</cp:lastModifiedBy>
  <cp:revision>18</cp:revision>
  <dcterms:created xsi:type="dcterms:W3CDTF">2026-04-11T11:13:00Z</dcterms:created>
  <dcterms:modified xsi:type="dcterms:W3CDTF">2026-04-15T13:28:00Z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e2996e3b-48c8-45c7-a14b-1b3c5dd70a48</vt:lpwstr>
  </property>
</Properties>
</file>