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E14B6" w14:textId="37F8AA15" w:rsidR="00682F44" w:rsidRDefault="00682F44" w:rsidP="009D7EFE">
      <w:pPr>
        <w:spacing w:after="240" w:line="360" w:lineRule="auto"/>
        <w:jc w:val="both"/>
        <w:rPr>
          <w:b/>
          <w:bCs/>
        </w:rPr>
      </w:pPr>
      <w:r w:rsidRPr="00682F44">
        <w:rPr>
          <w:b/>
          <w:bCs/>
        </w:rPr>
        <w:t>Toxicological Impact of Soot Exposure on Liver Integrity, Inflammatory Response, and Behavioural Outcomes in Wistar Rats</w:t>
      </w:r>
    </w:p>
    <w:p w14:paraId="3789B1BA" w14:textId="5AA6A296" w:rsidR="007625F4" w:rsidRDefault="007625F4" w:rsidP="0075049C">
      <w:pPr>
        <w:jc w:val="both"/>
        <w:rPr>
          <w:b/>
          <w:bCs/>
          <w:sz w:val="18"/>
          <w:szCs w:val="18"/>
        </w:rPr>
      </w:pPr>
    </w:p>
    <w:p w14:paraId="45B8390C" w14:textId="77777777" w:rsidR="009B10F0" w:rsidRPr="007625F4" w:rsidRDefault="009B10F0" w:rsidP="0075049C">
      <w:pPr>
        <w:jc w:val="both"/>
        <w:rPr>
          <w:b/>
          <w:bCs/>
          <w:sz w:val="18"/>
          <w:szCs w:val="18"/>
        </w:rPr>
      </w:pPr>
      <w:bookmarkStart w:id="0" w:name="_GoBack"/>
      <w:bookmarkEnd w:id="0"/>
    </w:p>
    <w:p w14:paraId="7168FB85" w14:textId="25976D8A" w:rsidR="005E6046" w:rsidRPr="005E6046" w:rsidRDefault="005E6046" w:rsidP="00E65FE9">
      <w:pPr>
        <w:spacing w:after="240"/>
        <w:jc w:val="both"/>
        <w:rPr>
          <w:b/>
          <w:bCs/>
        </w:rPr>
      </w:pPr>
      <w:r w:rsidRPr="0075049C">
        <w:rPr>
          <w:b/>
          <w:bCs/>
        </w:rPr>
        <w:t>ABSTRACT</w:t>
      </w:r>
    </w:p>
    <w:p w14:paraId="51CE79BA" w14:textId="74CF6C40" w:rsidR="005E6046" w:rsidRPr="005E6046" w:rsidRDefault="005E6046" w:rsidP="005E6046">
      <w:pPr>
        <w:spacing w:after="160" w:line="259" w:lineRule="auto"/>
        <w:jc w:val="both"/>
      </w:pPr>
      <w:r w:rsidRPr="005E6046">
        <w:rPr>
          <w:rFonts w:eastAsiaTheme="majorEastAsia"/>
          <w:b/>
          <w:bCs/>
        </w:rPr>
        <w:t>Background:</w:t>
      </w:r>
      <w:r w:rsidRPr="005E6046">
        <w:t> Exposure to carbon soot particulate matter from crude oil combustion is a growing environmental health concern, particularly in oil-producing regions. While respiratory effects are well known, systemic impacts on liver structure, inflammation, and behaviour remain poorly understood. This study evaluated hepatotoxic</w:t>
      </w:r>
      <w:r>
        <w:t>, inflammatory</w:t>
      </w:r>
      <w:r w:rsidRPr="005E6046">
        <w:t xml:space="preserve"> and neurobehavioural effects of PM₁₀ carbon soot in Wistar rats.</w:t>
      </w:r>
    </w:p>
    <w:p w14:paraId="244E5C68" w14:textId="77777777" w:rsidR="00F609E1" w:rsidRDefault="005E6046" w:rsidP="00F609E1">
      <w:pPr>
        <w:spacing w:after="160" w:line="259" w:lineRule="auto"/>
        <w:jc w:val="both"/>
      </w:pPr>
      <w:r w:rsidRPr="005E6046">
        <w:rPr>
          <w:rFonts w:eastAsiaTheme="majorEastAsia"/>
          <w:b/>
          <w:bCs/>
        </w:rPr>
        <w:t>Methods:</w:t>
      </w:r>
      <w:r w:rsidRPr="005E6046">
        <w:t> Forty male Wistar rats were assigned to control and three exposure groups (</w:t>
      </w:r>
      <w:r w:rsidRPr="00562289">
        <w:t>low: 2.131±0.207 mg/m³; moderate: 2.161±0.232 mg/m³; high: 2.278±0.221 mg/m³</w:t>
      </w:r>
      <w:r w:rsidRPr="005E6046">
        <w:t xml:space="preserve">). Animals were exposed for 1 hour daily over 28 days. Liver tissues were collected at days 3, 7, 14, 21, and 28 from separate cohorts for histology (H&amp;E) and </w:t>
      </w:r>
      <w:r w:rsidRPr="0075049C">
        <w:t xml:space="preserve">tumor necrosis factor-alpha (TNF-α) </w:t>
      </w:r>
      <w:r w:rsidRPr="005E6046">
        <w:t>ELISA. Anxiety-like behaviour was assessed using the elevated plus maze.</w:t>
      </w:r>
      <w:r>
        <w:t xml:space="preserve"> </w:t>
      </w:r>
      <w:r w:rsidRPr="00562289">
        <w:t>Data were analyzed using one-way ANOVA with Tukey’s post-hoc test.</w:t>
      </w:r>
    </w:p>
    <w:p w14:paraId="69188E6C" w14:textId="77777777" w:rsidR="00F609E1" w:rsidRDefault="005E6046" w:rsidP="00F609E1">
      <w:pPr>
        <w:spacing w:after="160" w:line="259" w:lineRule="auto"/>
        <w:jc w:val="both"/>
      </w:pPr>
      <w:r w:rsidRPr="005E6046">
        <w:rPr>
          <w:rFonts w:eastAsiaTheme="majorEastAsia"/>
          <w:b/>
          <w:bCs/>
        </w:rPr>
        <w:t>Results:</w:t>
      </w:r>
      <w:r w:rsidRPr="005E6046">
        <w:t> </w:t>
      </w:r>
      <w:r w:rsidRPr="00410C83">
        <w:t>Histological examination showed progressive hepatic injury characterized by hepatocyte degeneration, necrosis, sinusoidal dilation, vascular congestion, and inflammatory infiltration, with severity increasing over time and exposure concentration. TNF-α levels rose steadily across exposed groups, with early increases at day 3 (moderate: 11.40±0.40 pg/mL; high: 13.85±0.35 pg/mL vs control: 8.30±0.20 pg/mL) and marked elevations by day 7 (40.65±1.15 and 71.75±3.45 pg/mL, respectively). By day 21, TNF-α reached 116.50±3.50 pg/mL (moderate) and 204.50±7.50 pg/mL (high), peaking at day 28 (266.00±39.00 and 295.00±23.00 pg/mL, respectively) compared to control (59.25±8.25 pg/mL). The low exposure group also showed elevated levels at day 28 (119.00±2.00 pg/mL). Behaviourally, exposed groups exhibited reduced open arm entries (1.08±0.08 vs 1.33±0.21) and open arm duration (7.00±1.51 s vs 10.67±5.64 s), alongside decreased closed arm duration (194.10±20.50 s vs 236.55±1.53 s), indicating increased anxiety-like behaviour. Additional changes included increased central square duration (39.10±22.70 s) and altered rearing activity (15.86±4.68 in moderate group).</w:t>
      </w:r>
    </w:p>
    <w:p w14:paraId="1F3F44AD" w14:textId="31DD9F73" w:rsidR="005E6046" w:rsidRPr="00F609E1" w:rsidRDefault="005E6046" w:rsidP="00F609E1">
      <w:pPr>
        <w:spacing w:after="160" w:line="259" w:lineRule="auto"/>
        <w:jc w:val="both"/>
      </w:pPr>
      <w:r w:rsidRPr="005E6046">
        <w:rPr>
          <w:rFonts w:eastAsiaTheme="majorEastAsia"/>
          <w:b/>
          <w:bCs/>
        </w:rPr>
        <w:t>Conclusion:</w:t>
      </w:r>
      <w:r w:rsidRPr="005E6046">
        <w:t> Carbon soot PM</w:t>
      </w:r>
      <w:r w:rsidR="000B549B" w:rsidRPr="000B549B">
        <w:rPr>
          <w:vertAlign w:val="subscript"/>
        </w:rPr>
        <w:t>10</w:t>
      </w:r>
      <w:r w:rsidR="000B549B">
        <w:t xml:space="preserve"> </w:t>
      </w:r>
      <w:r w:rsidRPr="005E6046">
        <w:t xml:space="preserve">induces significant dose- and time-dependent hepatic injury, inflammatory activation, and anxiety-like behaviour. The atypical moderate-dose behavioural findings warrant further investigation. These results highlight systemic soot toxicity and </w:t>
      </w:r>
      <w:r w:rsidR="004046C9">
        <w:t>indicate</w:t>
      </w:r>
      <w:r w:rsidRPr="005E6046">
        <w:t xml:space="preserve"> the need for environmental health interventions.</w:t>
      </w:r>
    </w:p>
    <w:p w14:paraId="48C86433" w14:textId="3F29B07E" w:rsidR="0075049C" w:rsidRPr="0075049C" w:rsidRDefault="0075049C" w:rsidP="0075049C">
      <w:pPr>
        <w:jc w:val="both"/>
        <w:rPr>
          <w:b/>
          <w:bCs/>
          <w:i/>
          <w:iCs/>
        </w:rPr>
      </w:pPr>
      <w:r w:rsidRPr="0075049C">
        <w:rPr>
          <w:b/>
          <w:bCs/>
        </w:rPr>
        <w:t>Keywords</w:t>
      </w:r>
      <w:r>
        <w:rPr>
          <w:b/>
          <w:bCs/>
        </w:rPr>
        <w:t xml:space="preserve">: </w:t>
      </w:r>
      <w:r w:rsidRPr="0075049C">
        <w:rPr>
          <w:i/>
          <w:iCs/>
        </w:rPr>
        <w:t xml:space="preserve">Carbon soot; </w:t>
      </w:r>
      <w:r w:rsidR="005702BF" w:rsidRPr="0075049C">
        <w:rPr>
          <w:i/>
          <w:iCs/>
        </w:rPr>
        <w:t xml:space="preserve">particulate </w:t>
      </w:r>
      <w:r w:rsidRPr="0075049C">
        <w:rPr>
          <w:i/>
          <w:iCs/>
        </w:rPr>
        <w:t>matter</w:t>
      </w:r>
      <w:r w:rsidR="000B549B">
        <w:rPr>
          <w:i/>
          <w:iCs/>
        </w:rPr>
        <w:t xml:space="preserve"> </w:t>
      </w:r>
      <w:r w:rsidR="000B549B" w:rsidRPr="000B549B">
        <w:rPr>
          <w:i/>
          <w:iCs/>
        </w:rPr>
        <w:t>(PM</w:t>
      </w:r>
      <w:r w:rsidR="000B549B" w:rsidRPr="000B549B">
        <w:rPr>
          <w:i/>
          <w:iCs/>
          <w:vertAlign w:val="subscript"/>
        </w:rPr>
        <w:t>10</w:t>
      </w:r>
      <w:r w:rsidR="000B549B" w:rsidRPr="000B549B">
        <w:rPr>
          <w:i/>
          <w:iCs/>
        </w:rPr>
        <w:t>)</w:t>
      </w:r>
      <w:r w:rsidRPr="000B549B">
        <w:rPr>
          <w:i/>
          <w:iCs/>
        </w:rPr>
        <w:t>;</w:t>
      </w:r>
      <w:r w:rsidRPr="0075049C">
        <w:rPr>
          <w:i/>
          <w:iCs/>
        </w:rPr>
        <w:t xml:space="preserve"> </w:t>
      </w:r>
      <w:r w:rsidR="005702BF" w:rsidRPr="0075049C">
        <w:rPr>
          <w:i/>
          <w:iCs/>
        </w:rPr>
        <w:t>hepatotoxicity</w:t>
      </w:r>
      <w:r w:rsidRPr="0075049C">
        <w:rPr>
          <w:i/>
          <w:iCs/>
        </w:rPr>
        <w:t xml:space="preserve">; </w:t>
      </w:r>
      <w:r w:rsidR="005702BF" w:rsidRPr="0075049C">
        <w:rPr>
          <w:i/>
          <w:iCs/>
        </w:rPr>
        <w:t>tumor necrosis factor-alpha (TNF-α)</w:t>
      </w:r>
      <w:r w:rsidRPr="0075049C">
        <w:rPr>
          <w:i/>
          <w:iCs/>
        </w:rPr>
        <w:t xml:space="preserve">; </w:t>
      </w:r>
      <w:r w:rsidR="005702BF" w:rsidRPr="0075049C">
        <w:rPr>
          <w:i/>
          <w:iCs/>
        </w:rPr>
        <w:t>anxiety</w:t>
      </w:r>
      <w:r w:rsidRPr="0075049C">
        <w:rPr>
          <w:i/>
          <w:iCs/>
        </w:rPr>
        <w:t>-like behaviour; Wistar rats</w:t>
      </w:r>
    </w:p>
    <w:p w14:paraId="2B3C14C0" w14:textId="77777777" w:rsidR="00682F44" w:rsidRPr="0075049C" w:rsidRDefault="00682F44" w:rsidP="00682F44">
      <w:pPr>
        <w:jc w:val="both"/>
      </w:pPr>
    </w:p>
    <w:p w14:paraId="7BB63503" w14:textId="59A1B225" w:rsidR="00682F44" w:rsidRPr="00682F44" w:rsidRDefault="00682F44" w:rsidP="00B45B7F">
      <w:pPr>
        <w:spacing w:line="360" w:lineRule="auto"/>
        <w:jc w:val="both"/>
        <w:rPr>
          <w:b/>
          <w:bCs/>
        </w:rPr>
      </w:pPr>
      <w:r w:rsidRPr="00682F44">
        <w:rPr>
          <w:b/>
          <w:bCs/>
        </w:rPr>
        <w:t>INTRODUCTION</w:t>
      </w:r>
    </w:p>
    <w:p w14:paraId="1890A501" w14:textId="422E3F8B" w:rsidR="0075049C" w:rsidRPr="0075049C" w:rsidRDefault="0075049C" w:rsidP="0075049C">
      <w:pPr>
        <w:spacing w:line="360" w:lineRule="auto"/>
        <w:jc w:val="both"/>
      </w:pPr>
      <w:r w:rsidRPr="0075049C">
        <w:t>Air pollution remains a major global health challenge</w:t>
      </w:r>
      <w:r w:rsidR="00BC2C8C">
        <w:t xml:space="preserve"> (</w:t>
      </w:r>
      <w:r w:rsidR="00BC2C8C" w:rsidRPr="004A3BCC">
        <w:t>Boogaard</w:t>
      </w:r>
      <w:r w:rsidR="00BC2C8C">
        <w:t xml:space="preserve"> et al., 2019)</w:t>
      </w:r>
      <w:r w:rsidRPr="0075049C">
        <w:t>, with particulate matter (PM) recognized as a major environmental risk factor contributing to morbidity and mortality worldwide (Cohen et al., 201</w:t>
      </w:r>
      <w:r w:rsidR="00BC2C8C">
        <w:t>7</w:t>
      </w:r>
      <w:r w:rsidRPr="0075049C">
        <w:t xml:space="preserve">; World Health Organization, 2021). Fine and coarse </w:t>
      </w:r>
      <w:r w:rsidRPr="0075049C">
        <w:lastRenderedPageBreak/>
        <w:t xml:space="preserve">particles, including </w:t>
      </w:r>
      <w:r w:rsidRPr="00B45B7F">
        <w:t>PM</w:t>
      </w:r>
      <w:r w:rsidRPr="0075049C">
        <w:rPr>
          <w:vertAlign w:val="subscript"/>
        </w:rPr>
        <w:t>10</w:t>
      </w:r>
      <w:r>
        <w:t xml:space="preserve"> </w:t>
      </w:r>
      <w:r w:rsidRPr="00B45B7F">
        <w:t>and PM</w:t>
      </w:r>
      <w:r w:rsidRPr="0075049C">
        <w:rPr>
          <w:vertAlign w:val="subscript"/>
        </w:rPr>
        <w:t>2.5</w:t>
      </w:r>
      <w:r w:rsidRPr="00B45B7F">
        <w:t>,</w:t>
      </w:r>
      <w:r w:rsidRPr="0075049C">
        <w:t xml:space="preserve"> are generated from combustion processes such as fossil fuel burning and industrial activities, and have been strongly associated with systemic toxicity and organ dysfunction (Burnett et al., 20</w:t>
      </w:r>
      <w:r w:rsidR="00BC2C8C">
        <w:t>18</w:t>
      </w:r>
      <w:r w:rsidRPr="0075049C">
        <w:t>; Schraufnagel, 2020). In low- and middle-income countries</w:t>
      </w:r>
      <w:r w:rsidR="00BC2C8C">
        <w:t xml:space="preserve"> (LMICs)</w:t>
      </w:r>
      <w:r w:rsidRPr="0075049C">
        <w:t>, especially in oil-producing regions such as Nigeria, exposure to carbon soot derived from crude oil combustion and artisanal refining activities is increasingly prevalent, raising concerns about its potential health implications</w:t>
      </w:r>
      <w:r w:rsidR="00601718">
        <w:t xml:space="preserve"> (</w:t>
      </w:r>
      <w:r w:rsidR="00601718" w:rsidRPr="00C745F3">
        <w:t xml:space="preserve">Ephraim-Emmanuel </w:t>
      </w:r>
      <w:r w:rsidR="00601718">
        <w:t xml:space="preserve">et al., 2023; </w:t>
      </w:r>
      <w:r w:rsidR="00601718" w:rsidRPr="00C745F3">
        <w:t>Ekhator</w:t>
      </w:r>
      <w:r w:rsidR="00601718">
        <w:t xml:space="preserve"> et al., 2024)</w:t>
      </w:r>
      <w:r w:rsidRPr="0075049C">
        <w:t>.</w:t>
      </w:r>
    </w:p>
    <w:p w14:paraId="0016CED1" w14:textId="766A6FC7" w:rsidR="0075049C" w:rsidRPr="0075049C" w:rsidRDefault="0075049C" w:rsidP="0075049C">
      <w:pPr>
        <w:spacing w:line="360" w:lineRule="auto"/>
        <w:jc w:val="both"/>
      </w:pPr>
      <w:r w:rsidRPr="0075049C">
        <w:t>Emerging evidence indicates that inhaled particulate matter exerts deleterious effects beyond the respiratory system, including hepatic injury and neurobehavioural alterations (</w:t>
      </w:r>
      <w:r w:rsidR="00D41DD8" w:rsidRPr="00C745F3">
        <w:t>Tavera Busso</w:t>
      </w:r>
      <w:r w:rsidR="00D41DD8" w:rsidRPr="0075049C">
        <w:t xml:space="preserve"> </w:t>
      </w:r>
      <w:r w:rsidRPr="0075049C">
        <w:t>et al., 20</w:t>
      </w:r>
      <w:r w:rsidR="00D41DD8">
        <w:t>19</w:t>
      </w:r>
      <w:r w:rsidRPr="0075049C">
        <w:t xml:space="preserve">; </w:t>
      </w:r>
      <w:r w:rsidR="00D41DD8" w:rsidRPr="001A366B">
        <w:t>Salvi &amp; Salim</w:t>
      </w:r>
      <w:r w:rsidR="00D41DD8">
        <w:t xml:space="preserve">, 2019; </w:t>
      </w:r>
      <w:r w:rsidR="00D41DD8" w:rsidRPr="001A366B">
        <w:t>Calderón-Garcidueñas</w:t>
      </w:r>
      <w:r w:rsidR="00D41DD8" w:rsidRPr="00D41DD8">
        <w:t xml:space="preserve"> </w:t>
      </w:r>
      <w:r w:rsidR="00D41DD8">
        <w:t xml:space="preserve">et al., 2021; </w:t>
      </w:r>
      <w:r w:rsidR="00D41DD8" w:rsidRPr="00D41DD8">
        <w:t>Xiao</w:t>
      </w:r>
      <w:r w:rsidRPr="0075049C">
        <w:t xml:space="preserve"> et al., 202</w:t>
      </w:r>
      <w:r w:rsidR="00D41DD8">
        <w:t xml:space="preserve">4; </w:t>
      </w:r>
      <w:r w:rsidR="00D41DD8" w:rsidRPr="001A366B">
        <w:t>Kim</w:t>
      </w:r>
      <w:r w:rsidR="00D41DD8">
        <w:t xml:space="preserve"> et al., 2024</w:t>
      </w:r>
      <w:r w:rsidRPr="0075049C">
        <w:t>). The liver, as a central organ for detoxification, is particularly vulnerable to circulating toxicants, leading to oxidative stress, inflammation, and structural damage (</w:t>
      </w:r>
      <w:r w:rsidR="00D41DD8" w:rsidRPr="001A366B">
        <w:t>Allameh</w:t>
      </w:r>
      <w:r w:rsidR="00D41DD8" w:rsidRPr="0075049C">
        <w:t xml:space="preserve"> </w:t>
      </w:r>
      <w:r w:rsidRPr="0075049C">
        <w:t>et al., 20</w:t>
      </w:r>
      <w:r w:rsidR="00D41DD8">
        <w:t>23</w:t>
      </w:r>
      <w:r w:rsidRPr="0075049C">
        <w:t>). Experimental studies have demonstrated that exposure to carbon-based particulate matter induces hepatocellular degeneration, sinusoidal congestion, and inflammatory cell infiltration, thereby disrupting normal liver cytoarchitecture (Li et al., 20</w:t>
      </w:r>
      <w:r w:rsidR="00D41DD8">
        <w:t xml:space="preserve">18; </w:t>
      </w:r>
      <w:r w:rsidR="00D41DD8" w:rsidRPr="001A366B">
        <w:t>Sui</w:t>
      </w:r>
      <w:r w:rsidR="00D41DD8">
        <w:t xml:space="preserve"> et al., 2022</w:t>
      </w:r>
      <w:r w:rsidRPr="0075049C">
        <w:t>). Similarly, particulate matter has been shown to activate pro-inflammatory pathways, particularly through increased expression of tumor necrosis factor-alpha (TNF-α), a key cytokine implicated in systemic inflammation and tissue injury (</w:t>
      </w:r>
      <w:r w:rsidR="00471E73" w:rsidRPr="00F95485">
        <w:t>Zhao</w:t>
      </w:r>
      <w:r w:rsidR="00471E73">
        <w:t xml:space="preserve"> et al., 2013; Fu </w:t>
      </w:r>
      <w:r w:rsidRPr="0075049C">
        <w:t>et al., 202</w:t>
      </w:r>
      <w:r w:rsidR="00471E73">
        <w:t>0</w:t>
      </w:r>
      <w:r w:rsidRPr="0075049C">
        <w:t>).</w:t>
      </w:r>
    </w:p>
    <w:p w14:paraId="0608D295" w14:textId="0AB8FCED" w:rsidR="0075049C" w:rsidRPr="0075049C" w:rsidRDefault="0075049C" w:rsidP="0075049C">
      <w:pPr>
        <w:spacing w:line="360" w:lineRule="auto"/>
        <w:jc w:val="both"/>
      </w:pPr>
      <w:r w:rsidRPr="0075049C">
        <w:t>In addition to hepatic effects, growing attention has been directed toward the neurobehavioural consequences of particulate matter exposure. Evidence suggests that airborne pollutants can cross biological barriers, including the blood–brain barrier, leading to neuroinflammation and behavioural disturbances such as anxiety and cognitive impairment (Block &amp; Calderón-Garcidueñas, 20</w:t>
      </w:r>
      <w:r w:rsidR="00993375">
        <w:t>0</w:t>
      </w:r>
      <w:r w:rsidRPr="0075049C">
        <w:t xml:space="preserve">9; </w:t>
      </w:r>
      <w:r w:rsidR="00A8676E" w:rsidRPr="008D7DA3">
        <w:t>Kalenik</w:t>
      </w:r>
      <w:r w:rsidRPr="0075049C">
        <w:t xml:space="preserve"> et al., 202</w:t>
      </w:r>
      <w:r w:rsidR="00A8676E">
        <w:t>5</w:t>
      </w:r>
      <w:r w:rsidRPr="0075049C">
        <w:t>). Animal studies have further demonstrated alterations in brain histology and anxiety-like behaviours following exposure to carbon soot and related pollutants</w:t>
      </w:r>
      <w:r w:rsidR="00287739">
        <w:t xml:space="preserve"> (</w:t>
      </w:r>
      <w:r w:rsidR="00287739" w:rsidRPr="00874ADA">
        <w:t>Nephew</w:t>
      </w:r>
      <w:r w:rsidR="00287739" w:rsidRPr="008D7DA3">
        <w:t xml:space="preserve"> </w:t>
      </w:r>
      <w:r w:rsidR="00287739">
        <w:t xml:space="preserve">et al., 2020; </w:t>
      </w:r>
      <w:r w:rsidR="00287739" w:rsidRPr="008D7DA3">
        <w:t>Okoseimiema &amp; Uruaka</w:t>
      </w:r>
      <w:r w:rsidR="00287739">
        <w:t>, 2025</w:t>
      </w:r>
      <w:r w:rsidR="00CA1A1E">
        <w:t xml:space="preserve">; </w:t>
      </w:r>
      <w:r w:rsidR="00CA1A1E" w:rsidRPr="00F35875">
        <w:rPr>
          <w:rFonts w:ascii="Palatino" w:eastAsia="Palatino" w:hAnsi="Palatino" w:cs="Palatino"/>
          <w:bCs/>
        </w:rPr>
        <w:t>Okoseimiema</w:t>
      </w:r>
      <w:r w:rsidR="00CA1A1E">
        <w:rPr>
          <w:rFonts w:ascii="Palatino" w:eastAsia="Palatino" w:hAnsi="Palatino" w:cs="Palatino"/>
          <w:bCs/>
        </w:rPr>
        <w:t xml:space="preserve"> </w:t>
      </w:r>
      <w:r w:rsidR="00CA1A1E" w:rsidRPr="00CA1A1E">
        <w:rPr>
          <w:rFonts w:ascii="Palatino" w:eastAsia="Palatino" w:hAnsi="Palatino" w:cs="Palatino"/>
          <w:bCs/>
        </w:rPr>
        <w:t>&amp; Uahomo, 2025</w:t>
      </w:r>
      <w:r w:rsidR="00287739">
        <w:t>)</w:t>
      </w:r>
      <w:r w:rsidRPr="0075049C">
        <w:t>, highlighting the potential for multi-organ toxicity.</w:t>
      </w:r>
    </w:p>
    <w:p w14:paraId="1B835752" w14:textId="77777777" w:rsidR="0075049C" w:rsidRPr="0075049C" w:rsidRDefault="0075049C" w:rsidP="0075049C">
      <w:pPr>
        <w:spacing w:line="360" w:lineRule="auto"/>
        <w:jc w:val="both"/>
      </w:pPr>
      <w:r w:rsidRPr="0075049C">
        <w:t>Despite these advances, there remains a limited understanding of the integrated effects of soot particulate matter on hepatic structure, inflammatory responses, and behavioural outcomes, particularly within environmentally relevant exposure contexts. Moreover, few studies have simultaneously examined the progression of histopathological changes alongside molecular inflammatory markers and functional behavioural endpoints.</w:t>
      </w:r>
    </w:p>
    <w:p w14:paraId="599D30DE" w14:textId="582EED9D" w:rsidR="0075049C" w:rsidRDefault="0075049C" w:rsidP="00682F44">
      <w:pPr>
        <w:spacing w:line="360" w:lineRule="auto"/>
        <w:jc w:val="both"/>
      </w:pPr>
      <w:r w:rsidRPr="0075049C">
        <w:lastRenderedPageBreak/>
        <w:t xml:space="preserve">Therefore, this study aimed to investigate the hepatotoxic and neurobehavioural effects of carbon soot particulate matter in Wistar rats by assessing liver cytoarchitecture, TNF-α expression, and anxiety-like behaviour using the elevated plus maze. </w:t>
      </w:r>
      <w:r>
        <w:t xml:space="preserve">By </w:t>
      </w:r>
      <w:r w:rsidRPr="0075049C">
        <w:t>integrating structural, molecular, and functional assessments, this study provides a</w:t>
      </w:r>
      <w:r>
        <w:t>n</w:t>
      </w:r>
      <w:r w:rsidRPr="0075049C">
        <w:t xml:space="preserve"> evaluation of soot-induced toxicity and contributes to the growing body of evidence on the systemic health impacts of environmental particulate matter exposure.</w:t>
      </w:r>
    </w:p>
    <w:p w14:paraId="239271E7" w14:textId="77777777" w:rsidR="007625F4" w:rsidRDefault="007625F4" w:rsidP="007625F4">
      <w:pPr>
        <w:jc w:val="both"/>
      </w:pPr>
    </w:p>
    <w:p w14:paraId="220B34FC" w14:textId="57FE80B9" w:rsidR="00682F44" w:rsidRPr="00682F44" w:rsidRDefault="00682F44" w:rsidP="00682F44">
      <w:pPr>
        <w:spacing w:line="360" w:lineRule="auto"/>
        <w:jc w:val="both"/>
        <w:rPr>
          <w:b/>
          <w:bCs/>
        </w:rPr>
      </w:pPr>
      <w:r w:rsidRPr="00682F44">
        <w:rPr>
          <w:b/>
          <w:bCs/>
        </w:rPr>
        <w:t>MATERIALS AND METHODS</w:t>
      </w:r>
    </w:p>
    <w:p w14:paraId="22FC7CAB" w14:textId="3FBF1939" w:rsidR="00682F44" w:rsidRPr="00682F44" w:rsidRDefault="00682F44" w:rsidP="00682F44">
      <w:pPr>
        <w:spacing w:line="360" w:lineRule="auto"/>
        <w:jc w:val="both"/>
        <w:rPr>
          <w:b/>
          <w:bCs/>
        </w:rPr>
      </w:pPr>
      <w:r w:rsidRPr="00682F44">
        <w:rPr>
          <w:b/>
          <w:bCs/>
        </w:rPr>
        <w:t>Study design</w:t>
      </w:r>
    </w:p>
    <w:p w14:paraId="0E252B7F" w14:textId="463AA7F2" w:rsidR="00682F44" w:rsidRPr="00CA1A1E" w:rsidRDefault="00682F44" w:rsidP="00F609E1">
      <w:pPr>
        <w:spacing w:after="240" w:line="360" w:lineRule="auto"/>
        <w:jc w:val="both"/>
      </w:pPr>
      <w:r w:rsidRPr="00682F44">
        <w:t>This study employed a controlled laboratory-based experimental design to evaluate the effects of soot exposure on liver cytoarchitecture, inflammatory response, and neurobehavioural parameters in Wistar rats over a 28-day period.</w:t>
      </w:r>
    </w:p>
    <w:p w14:paraId="75E0BAF3" w14:textId="77777777" w:rsidR="00D24EE1" w:rsidRPr="00682F44" w:rsidRDefault="00D24EE1" w:rsidP="00D24EE1">
      <w:pPr>
        <w:spacing w:line="360" w:lineRule="auto"/>
        <w:jc w:val="both"/>
        <w:rPr>
          <w:b/>
          <w:bCs/>
        </w:rPr>
      </w:pPr>
      <w:r w:rsidRPr="00682F44">
        <w:rPr>
          <w:b/>
          <w:bCs/>
        </w:rPr>
        <w:t>Experimental Animals</w:t>
      </w:r>
    </w:p>
    <w:p w14:paraId="3F285F0A" w14:textId="08B0ED2B" w:rsidR="003F3F70" w:rsidRDefault="003F3F70" w:rsidP="00F609E1">
      <w:pPr>
        <w:spacing w:after="240" w:line="360" w:lineRule="auto"/>
        <w:jc w:val="both"/>
      </w:pPr>
      <w:r w:rsidRPr="003F3F70">
        <w:t>A total of forty-three (43) male Wistar rats, aged between 30 and 60 days and weighing 100–150 g, were procured from the Animal Farm House of the Faculty of Basic Medical Sciences, University of Port Harcourt, for the study. They were then acclimatized for two weeks before exposure. The rats were bred and housed in the animal house of the Faculty of Basic Medical Sciences, University of Port Harcourt. The animals were kept and nurtured under laboratory conditions, temperature, humidity, and light (temperature, 25±2.0°C, 12hr light/12hr dark cycle) and were allowed free access to food and water </w:t>
      </w:r>
      <w:r w:rsidRPr="003F3F70">
        <w:rPr>
          <w:rFonts w:eastAsiaTheme="majorEastAsia"/>
          <w:i/>
          <w:iCs/>
        </w:rPr>
        <w:t>ad libitum</w:t>
      </w:r>
      <w:r w:rsidRPr="003F3F70">
        <w:t>. The animals were fed standard rat feed (Eastern Premier Mills Limited, Calabar). The rats were identified by special markings on the ears. Wire mesh cages were used to house the animals, and sawdust was laid in bedding. The cages were cleaned daily to enhance the clean environment and reduce odour. There was cross ventilation in the animal housing. Before the experiment commenced, the animals were allowed to acclimatize for three weeks under standard temperature and illumination conditions.</w:t>
      </w:r>
    </w:p>
    <w:p w14:paraId="5B1C4554" w14:textId="1B761952" w:rsidR="00682F44" w:rsidRPr="00CC78E1" w:rsidRDefault="00CC78E1" w:rsidP="00682F44">
      <w:pPr>
        <w:spacing w:line="360" w:lineRule="auto"/>
        <w:jc w:val="both"/>
        <w:rPr>
          <w:b/>
          <w:bCs/>
        </w:rPr>
      </w:pPr>
      <w:r w:rsidRPr="00CC78E1">
        <w:rPr>
          <w:b/>
          <w:bCs/>
        </w:rPr>
        <w:t>Carbon Soot Particulate Matter</w:t>
      </w:r>
      <w:r>
        <w:rPr>
          <w:b/>
          <w:bCs/>
        </w:rPr>
        <w:t xml:space="preserve"> </w:t>
      </w:r>
      <w:r w:rsidRPr="00CC78E1">
        <w:rPr>
          <w:b/>
          <w:bCs/>
        </w:rPr>
        <w:t>Production and Authentication</w:t>
      </w:r>
    </w:p>
    <w:p w14:paraId="408CF4B6" w14:textId="3E4C05C8" w:rsidR="003F3F70" w:rsidRDefault="003F3F70" w:rsidP="00682F44">
      <w:pPr>
        <w:spacing w:line="360" w:lineRule="auto"/>
        <w:jc w:val="both"/>
      </w:pPr>
      <w:r w:rsidRPr="003F3F70">
        <w:t xml:space="preserve">The carbon soot used as particulate matter in this study was obtained from the combustion of crude oil sourced from the Shell-BP Petroleum Development Company of Nigeria Limited in Rivers State, Nigeria. Combustion was carried out in a local refinery and a controlled combustion chamber (Figure 1) at the Engineering Workshop of the Department of Mechanical Engineering, University of Port Harcourt. The resulting carbon soot particulate matter was </w:t>
      </w:r>
      <w:r w:rsidRPr="003F3F70">
        <w:lastRenderedPageBreak/>
        <w:t>subsequently identified and authenticated by Dr. Akuma Oji from the Department of Chemical Engineering, University of Port Harcourt, Choba, Rivers State, Nigeria.</w:t>
      </w:r>
    </w:p>
    <w:p w14:paraId="6BA4D8B1" w14:textId="77777777" w:rsidR="003F3F70" w:rsidRPr="003F3F70" w:rsidRDefault="003F3F70" w:rsidP="00682F44">
      <w:pPr>
        <w:spacing w:line="360" w:lineRule="auto"/>
        <w:jc w:val="both"/>
        <w:rPr>
          <w:b/>
          <w:bCs/>
          <w:i/>
          <w:iCs/>
        </w:rPr>
      </w:pPr>
      <w:r w:rsidRPr="003F3F70">
        <w:rPr>
          <w:rFonts w:eastAsiaTheme="majorEastAsia"/>
          <w:b/>
          <w:bCs/>
          <w:i/>
          <w:iCs/>
        </w:rPr>
        <w:t>Particle characterization</w:t>
      </w:r>
    </w:p>
    <w:p w14:paraId="3803419E" w14:textId="7F38DA94" w:rsidR="003F3F70" w:rsidRDefault="003F3F70" w:rsidP="00682F44">
      <w:pPr>
        <w:spacing w:line="360" w:lineRule="auto"/>
        <w:jc w:val="both"/>
      </w:pPr>
      <w:r w:rsidRPr="003F3F70">
        <w:t>The carbon soot particulate matter was characterized to enable comparison with other studies. Particle size distribution was determined using laser diffraction analysis (Mastersizer 3000, Malvern Panalytical, UK), revealing a mean particle size (Dv50) of 4.2 µm, with 68% of particles falling within the PM</w:t>
      </w:r>
      <w:r w:rsidRPr="003F3F70">
        <w:rPr>
          <w:vertAlign w:val="subscript"/>
        </w:rPr>
        <w:t>10</w:t>
      </w:r>
      <w:r>
        <w:t xml:space="preserve"> </w:t>
      </w:r>
      <w:r w:rsidRPr="003F3F70">
        <w:t>fraction (≤10 µm). Elemental composition was analyzed using energy-dispersive X-ray spectroscopy (EDS), which identified carbon (82.3%), oxygen (12.1%), and trace metals including iron (2.4%), zinc (1.5%), and lead (0.7%). Organic carbon content was determined using thermal-optical transmittance (TOT), accounting for 68% of total carbon mass. Polycyclic aromatic hydrocarbon (PAH) content was quantified using gas chromatography-mass spectrometry (GC-MS), with total PAHs measured at 124.6 µg/g of soot; the predominant PAHs were benzo[a]pyrene (18.4 µg/g), pyrene (15.2 µg/g), and fluoranthene (12.8 µg/g).</w:t>
      </w:r>
    </w:p>
    <w:p w14:paraId="4FADAE7B" w14:textId="17A6B8B5" w:rsidR="00DB4381" w:rsidRPr="00DB4381" w:rsidRDefault="0077313C" w:rsidP="00EE0609">
      <w:pPr>
        <w:jc w:val="center"/>
        <w:rPr>
          <w:b/>
          <w:bCs/>
        </w:rPr>
      </w:pPr>
      <w:r w:rsidRPr="0077313C">
        <w:rPr>
          <w:b/>
          <w:bCs/>
          <w:noProof/>
        </w:rPr>
        <w:drawing>
          <wp:inline distT="0" distB="0" distL="0" distR="0" wp14:anchorId="7208A3A9" wp14:editId="1D2FB95B">
            <wp:extent cx="5731510" cy="3771900"/>
            <wp:effectExtent l="0" t="0" r="2540" b="0"/>
            <wp:docPr id="187129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96391" name=""/>
                    <pic:cNvPicPr/>
                  </pic:nvPicPr>
                  <pic:blipFill>
                    <a:blip r:embed="rId7"/>
                    <a:stretch>
                      <a:fillRect/>
                    </a:stretch>
                  </pic:blipFill>
                  <pic:spPr>
                    <a:xfrm>
                      <a:off x="0" y="0"/>
                      <a:ext cx="5731510" cy="3771900"/>
                    </a:xfrm>
                    <a:prstGeom prst="rect">
                      <a:avLst/>
                    </a:prstGeom>
                  </pic:spPr>
                </pic:pic>
              </a:graphicData>
            </a:graphic>
          </wp:inline>
        </w:drawing>
      </w:r>
    </w:p>
    <w:p w14:paraId="7364FE13" w14:textId="432657F3" w:rsidR="00305117" w:rsidRDefault="00305117" w:rsidP="003F3F70">
      <w:pPr>
        <w:jc w:val="both"/>
        <w:rPr>
          <w:b/>
          <w:bCs/>
        </w:rPr>
      </w:pPr>
      <w:r w:rsidRPr="00305117">
        <w:rPr>
          <w:b/>
          <w:bCs/>
        </w:rPr>
        <w:t>Figure 1: Schematic representation of the carbon soot generation and whole-body inhalation exposure system</w:t>
      </w:r>
    </w:p>
    <w:p w14:paraId="3E69BC4B" w14:textId="77777777" w:rsidR="003F3F70" w:rsidRPr="003F3F70" w:rsidRDefault="003F3F70" w:rsidP="003F3F70">
      <w:pPr>
        <w:jc w:val="both"/>
        <w:rPr>
          <w:b/>
          <w:bCs/>
        </w:rPr>
      </w:pPr>
    </w:p>
    <w:p w14:paraId="597A58DC" w14:textId="77777777" w:rsidR="00CC78E1" w:rsidRPr="00CC78E1" w:rsidRDefault="00CC78E1" w:rsidP="00682F44">
      <w:pPr>
        <w:spacing w:line="360" w:lineRule="auto"/>
        <w:jc w:val="both"/>
        <w:rPr>
          <w:b/>
          <w:bCs/>
        </w:rPr>
      </w:pPr>
      <w:r w:rsidRPr="00CC78E1">
        <w:rPr>
          <w:b/>
          <w:bCs/>
        </w:rPr>
        <w:t>Particulate Matter Exposure System for Carbon Soot</w:t>
      </w:r>
    </w:p>
    <w:p w14:paraId="590B6BAF" w14:textId="401DD048" w:rsidR="003F3F70" w:rsidRDefault="003F3F70" w:rsidP="00CB799F">
      <w:pPr>
        <w:spacing w:after="240" w:line="360" w:lineRule="auto"/>
        <w:jc w:val="both"/>
      </w:pPr>
      <w:r w:rsidRPr="003F3F70">
        <w:t>A whole-body exposure system, a well-established method for studying the effects of airborne pollutants such as PM</w:t>
      </w:r>
      <w:r w:rsidRPr="003F3F70">
        <w:rPr>
          <w:vertAlign w:val="subscript"/>
        </w:rPr>
        <w:t>2.5</w:t>
      </w:r>
      <w:r w:rsidRPr="003F3F70">
        <w:t xml:space="preserve"> on animal models (Song et al., 2021), was utilized for this study. This </w:t>
      </w:r>
      <w:r w:rsidRPr="003F3F70">
        <w:lastRenderedPageBreak/>
        <w:t>approach allows for naturalistic exposure patterns similar to environmental conditions that humans might experience. The apparatus for the carbon soot particulate matter inhalation system comprised a carbon soot particulate matter sample, a particulate matter concentration analyzer and quantifier (PM sensor and meter), three inhalation exposure cages, a circulatory machine (installed fan), and a thermometer to monitor the system's temperature (see Figure 1).</w:t>
      </w:r>
    </w:p>
    <w:p w14:paraId="36A0DE62" w14:textId="77777777" w:rsidR="00507ACA" w:rsidRPr="00507ACA" w:rsidRDefault="00507ACA" w:rsidP="00682F44">
      <w:pPr>
        <w:spacing w:line="360" w:lineRule="auto"/>
        <w:jc w:val="both"/>
        <w:rPr>
          <w:b/>
          <w:bCs/>
        </w:rPr>
      </w:pPr>
      <w:r w:rsidRPr="00507ACA">
        <w:rPr>
          <w:b/>
          <w:bCs/>
        </w:rPr>
        <w:t>Quality Assessment of the Inhalation System</w:t>
      </w:r>
    </w:p>
    <w:p w14:paraId="7F218D3C" w14:textId="15BEAAB6" w:rsidR="003F3F70" w:rsidRDefault="003F3F70" w:rsidP="00CB799F">
      <w:pPr>
        <w:spacing w:after="240" w:line="360" w:lineRule="auto"/>
        <w:jc w:val="both"/>
      </w:pPr>
      <w:r w:rsidRPr="003F3F70">
        <w:t>Prior to rat exposure, a quality assessment was conducted on the inhalation system of the local refinery and combustion chamber to assess its efficiency and soot production and to determine the optimal exposure time and concentration. The analysis focused on volatile organic compounds (VOCs), methane, and CO₂. Soot production and accumulation were measured at intermittent time intervals of 30–60 minutes to evaluate variations in particulate matter generation.</w:t>
      </w:r>
    </w:p>
    <w:p w14:paraId="794B4969" w14:textId="77777777" w:rsidR="00D24EE1" w:rsidRPr="00D24EE1" w:rsidRDefault="00D24EE1" w:rsidP="00682F44">
      <w:pPr>
        <w:spacing w:line="360" w:lineRule="auto"/>
        <w:jc w:val="both"/>
        <w:rPr>
          <w:b/>
          <w:bCs/>
        </w:rPr>
      </w:pPr>
      <w:r w:rsidRPr="00D24EE1">
        <w:rPr>
          <w:b/>
          <w:bCs/>
        </w:rPr>
        <w:t>Baseline Assessment and Exposure Monitoring</w:t>
      </w:r>
    </w:p>
    <w:p w14:paraId="081EE1BE" w14:textId="4D696259" w:rsidR="003F3F70" w:rsidRDefault="003F3F70" w:rsidP="00CB799F">
      <w:pPr>
        <w:spacing w:after="240" w:line="360" w:lineRule="auto"/>
        <w:jc w:val="both"/>
      </w:pPr>
      <w:r w:rsidRPr="003F3F70">
        <w:t>To establish a baseline and confirm the absence of contamination, three (3) rats were sacrificed, and their cerebellar tissues were analyzed for soot deposition histologically. This was to ensure that the animals were free from soot contamination before the experiment. The rats were weighed, and their initial body weights were recorded. During the study, the rats were exposed for </w:t>
      </w:r>
      <w:r w:rsidRPr="003F3F70">
        <w:rPr>
          <w:rFonts w:eastAsiaTheme="majorEastAsia"/>
        </w:rPr>
        <w:t>one (1) hour per day</w:t>
      </w:r>
      <w:r w:rsidRPr="003F3F70">
        <w:t> (corrected from a prior discrepancy), and emission measurements were recorded every three (3) days. Temperature measurements were taken at least three times per cage daily, and an additional thermometer was placed in the combustion chamber for continuous monitoring throughout the exposure duration.</w:t>
      </w:r>
    </w:p>
    <w:p w14:paraId="3A7D2AC9" w14:textId="77777777" w:rsidR="00D24EE1" w:rsidRPr="00D24EE1" w:rsidRDefault="00D24EE1" w:rsidP="00682F44">
      <w:pPr>
        <w:spacing w:line="360" w:lineRule="auto"/>
        <w:jc w:val="both"/>
        <w:rPr>
          <w:b/>
          <w:bCs/>
        </w:rPr>
      </w:pPr>
      <w:r w:rsidRPr="00D24EE1">
        <w:rPr>
          <w:b/>
          <w:bCs/>
        </w:rPr>
        <w:t>Experimental Grouping/Randomization</w:t>
      </w:r>
    </w:p>
    <w:p w14:paraId="48C53B81" w14:textId="6A8E57AB" w:rsidR="003F3F70" w:rsidRDefault="003F3F70" w:rsidP="00CB799F">
      <w:pPr>
        <w:spacing w:after="240" w:line="360" w:lineRule="auto"/>
        <w:jc w:val="both"/>
      </w:pPr>
      <w:r w:rsidRPr="003F3F70">
        <w:t>The 40 male albino Wistar rats remaining after sacrificing 3 for baseline assessment were randomized into 4 groups of 10 (n=10) animals each, as shown in Table 1. Distinct exposure concentrations were achieved by varying the distance of exposure cages from the soot source and adjusting airflow rates within the inhalation system. Concentrations were continuously monitored using a real-time particulate matter sensor, with daily adjustments to maintain target ranges. The concentrations</w:t>
      </w:r>
      <w:r>
        <w:t xml:space="preserve"> (</w:t>
      </w:r>
      <w:r w:rsidRPr="003F3F70">
        <w:t>2.131±0.207 mg/m³, 2.161±0.232 mg/m³, and 2.278±0.221 mg/m³</w:t>
      </w:r>
      <w:r>
        <w:t xml:space="preserve">) </w:t>
      </w:r>
      <w:r w:rsidRPr="003F3F70">
        <w:t>were statistically distinguishable but biologically similar; they are therefore designated as </w:t>
      </w:r>
      <w:r w:rsidRPr="003F3F70">
        <w:rPr>
          <w:rFonts w:eastAsiaTheme="majorEastAsia"/>
        </w:rPr>
        <w:t>low, low-medium, and medium</w:t>
      </w:r>
      <w:r w:rsidRPr="003F3F70">
        <w:t> exposure groups rather than low, moderate, and high, to more accurately reflect the modest concentration gradient.</w:t>
      </w:r>
    </w:p>
    <w:p w14:paraId="7CC1B937" w14:textId="4BC432FA" w:rsidR="00AA74DC" w:rsidRPr="00AA74DC" w:rsidRDefault="00D24EE1" w:rsidP="00914F0F">
      <w:pPr>
        <w:spacing w:line="360" w:lineRule="auto"/>
        <w:jc w:val="both"/>
        <w:rPr>
          <w:b/>
          <w:bCs/>
        </w:rPr>
      </w:pPr>
      <w:r w:rsidRPr="00D24EE1">
        <w:rPr>
          <w:b/>
          <w:bCs/>
        </w:rPr>
        <w:lastRenderedPageBreak/>
        <w:t xml:space="preserve">Table 1. </w:t>
      </w:r>
      <w:r w:rsidR="00AA74DC" w:rsidRPr="00AA74DC">
        <w:rPr>
          <w:b/>
          <w:bCs/>
        </w:rPr>
        <w:t>Experimental Grouping and Exposure Conditions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2136"/>
        <w:gridCol w:w="5993"/>
      </w:tblGrid>
      <w:tr w:rsidR="00AA74DC" w:rsidRPr="00AA74DC" w14:paraId="65ECF819" w14:textId="77777777" w:rsidTr="00AA74DC">
        <w:tc>
          <w:tcPr>
            <w:tcW w:w="0" w:type="auto"/>
            <w:tcBorders>
              <w:top w:val="single" w:sz="4" w:space="0" w:color="auto"/>
              <w:bottom w:val="single" w:sz="4" w:space="0" w:color="auto"/>
            </w:tcBorders>
            <w:vAlign w:val="center"/>
            <w:hideMark/>
          </w:tcPr>
          <w:p w14:paraId="2EEB6566" w14:textId="77777777" w:rsidR="00AA74DC" w:rsidRPr="00AA74DC" w:rsidRDefault="00AA74DC" w:rsidP="00AA74DC">
            <w:pPr>
              <w:spacing w:line="360" w:lineRule="auto"/>
              <w:rPr>
                <w:b/>
                <w:bCs/>
              </w:rPr>
            </w:pPr>
            <w:r w:rsidRPr="00AA74DC">
              <w:rPr>
                <w:b/>
                <w:bCs/>
              </w:rPr>
              <w:t>Group</w:t>
            </w:r>
          </w:p>
        </w:tc>
        <w:tc>
          <w:tcPr>
            <w:tcW w:w="2136" w:type="dxa"/>
            <w:tcBorders>
              <w:top w:val="single" w:sz="4" w:space="0" w:color="auto"/>
              <w:bottom w:val="single" w:sz="4" w:space="0" w:color="auto"/>
            </w:tcBorders>
            <w:vAlign w:val="center"/>
            <w:hideMark/>
          </w:tcPr>
          <w:p w14:paraId="179DBB9F" w14:textId="77777777" w:rsidR="00AA74DC" w:rsidRPr="00AA74DC" w:rsidRDefault="00AA74DC" w:rsidP="00AA74DC">
            <w:pPr>
              <w:spacing w:line="360" w:lineRule="auto"/>
              <w:rPr>
                <w:b/>
                <w:bCs/>
              </w:rPr>
            </w:pPr>
            <w:r w:rsidRPr="00AA74DC">
              <w:rPr>
                <w:b/>
                <w:bCs/>
              </w:rPr>
              <w:t>Identification</w:t>
            </w:r>
          </w:p>
        </w:tc>
        <w:tc>
          <w:tcPr>
            <w:tcW w:w="5993" w:type="dxa"/>
            <w:tcBorders>
              <w:top w:val="single" w:sz="4" w:space="0" w:color="auto"/>
              <w:bottom w:val="single" w:sz="4" w:space="0" w:color="auto"/>
            </w:tcBorders>
            <w:vAlign w:val="center"/>
            <w:hideMark/>
          </w:tcPr>
          <w:p w14:paraId="193373C4" w14:textId="77777777" w:rsidR="00AA74DC" w:rsidRPr="00AA74DC" w:rsidRDefault="00AA74DC" w:rsidP="00AA74DC">
            <w:pPr>
              <w:spacing w:line="360" w:lineRule="auto"/>
              <w:rPr>
                <w:b/>
                <w:bCs/>
              </w:rPr>
            </w:pPr>
            <w:r w:rsidRPr="00AA74DC">
              <w:rPr>
                <w:b/>
                <w:bCs/>
              </w:rPr>
              <w:t>Exposure Description</w:t>
            </w:r>
          </w:p>
        </w:tc>
      </w:tr>
      <w:tr w:rsidR="00AA74DC" w:rsidRPr="00AA74DC" w14:paraId="021C97B8" w14:textId="77777777" w:rsidTr="00AA74DC">
        <w:tc>
          <w:tcPr>
            <w:tcW w:w="0" w:type="auto"/>
            <w:tcBorders>
              <w:top w:val="single" w:sz="4" w:space="0" w:color="auto"/>
              <w:bottom w:val="single" w:sz="4" w:space="0" w:color="auto"/>
            </w:tcBorders>
            <w:vAlign w:val="center"/>
            <w:hideMark/>
          </w:tcPr>
          <w:p w14:paraId="4EF6C560" w14:textId="77777777" w:rsidR="00AA74DC" w:rsidRPr="00AA74DC" w:rsidRDefault="00AA74DC" w:rsidP="00AA74DC">
            <w:pPr>
              <w:spacing w:line="360" w:lineRule="auto"/>
              <w:jc w:val="center"/>
            </w:pPr>
            <w:r w:rsidRPr="00AA74DC">
              <w:t>A</w:t>
            </w:r>
          </w:p>
        </w:tc>
        <w:tc>
          <w:tcPr>
            <w:tcW w:w="2136" w:type="dxa"/>
            <w:tcBorders>
              <w:top w:val="single" w:sz="4" w:space="0" w:color="auto"/>
              <w:bottom w:val="single" w:sz="4" w:space="0" w:color="auto"/>
            </w:tcBorders>
            <w:vAlign w:val="center"/>
            <w:hideMark/>
          </w:tcPr>
          <w:p w14:paraId="6BFEDC19" w14:textId="77777777" w:rsidR="00AA74DC" w:rsidRPr="00AA74DC" w:rsidRDefault="00AA74DC" w:rsidP="00AA74DC">
            <w:pPr>
              <w:spacing w:line="360" w:lineRule="auto"/>
            </w:pPr>
            <w:r w:rsidRPr="00AA74DC">
              <w:t>Control</w:t>
            </w:r>
          </w:p>
        </w:tc>
        <w:tc>
          <w:tcPr>
            <w:tcW w:w="5993" w:type="dxa"/>
            <w:tcBorders>
              <w:top w:val="single" w:sz="4" w:space="0" w:color="auto"/>
              <w:bottom w:val="single" w:sz="4" w:space="0" w:color="auto"/>
            </w:tcBorders>
            <w:vAlign w:val="center"/>
            <w:hideMark/>
          </w:tcPr>
          <w:p w14:paraId="2B4E9E53" w14:textId="77777777" w:rsidR="00AA74DC" w:rsidRPr="00AA74DC" w:rsidRDefault="00AA74DC" w:rsidP="00AA74DC">
            <w:pPr>
              <w:spacing w:line="360" w:lineRule="auto"/>
              <w:jc w:val="both"/>
            </w:pPr>
            <w:r w:rsidRPr="00AA74DC">
              <w:t>Rats in this group were not exposed to carbon soot particulate matter.</w:t>
            </w:r>
          </w:p>
        </w:tc>
      </w:tr>
      <w:tr w:rsidR="00AA74DC" w:rsidRPr="00AA74DC" w14:paraId="533113CE" w14:textId="77777777" w:rsidTr="00AA74DC">
        <w:tc>
          <w:tcPr>
            <w:tcW w:w="0" w:type="auto"/>
            <w:tcBorders>
              <w:top w:val="single" w:sz="4" w:space="0" w:color="auto"/>
              <w:bottom w:val="single" w:sz="4" w:space="0" w:color="auto"/>
            </w:tcBorders>
            <w:vAlign w:val="center"/>
            <w:hideMark/>
          </w:tcPr>
          <w:p w14:paraId="1DF51ED9" w14:textId="77777777" w:rsidR="00AA74DC" w:rsidRPr="00AA74DC" w:rsidRDefault="00AA74DC" w:rsidP="00AA74DC">
            <w:pPr>
              <w:spacing w:line="360" w:lineRule="auto"/>
              <w:jc w:val="center"/>
            </w:pPr>
            <w:r w:rsidRPr="00AA74DC">
              <w:t>B</w:t>
            </w:r>
          </w:p>
        </w:tc>
        <w:tc>
          <w:tcPr>
            <w:tcW w:w="2136" w:type="dxa"/>
            <w:tcBorders>
              <w:top w:val="single" w:sz="4" w:space="0" w:color="auto"/>
              <w:bottom w:val="single" w:sz="4" w:space="0" w:color="auto"/>
            </w:tcBorders>
            <w:vAlign w:val="center"/>
            <w:hideMark/>
          </w:tcPr>
          <w:p w14:paraId="5FAD3CBB" w14:textId="77777777" w:rsidR="00AA74DC" w:rsidRPr="00AA74DC" w:rsidRDefault="00AA74DC" w:rsidP="00AA74DC">
            <w:pPr>
              <w:spacing w:line="360" w:lineRule="auto"/>
            </w:pPr>
            <w:r w:rsidRPr="00AA74DC">
              <w:t>Low exposure</w:t>
            </w:r>
          </w:p>
        </w:tc>
        <w:tc>
          <w:tcPr>
            <w:tcW w:w="5993" w:type="dxa"/>
            <w:tcBorders>
              <w:top w:val="single" w:sz="4" w:space="0" w:color="auto"/>
              <w:bottom w:val="single" w:sz="4" w:space="0" w:color="auto"/>
            </w:tcBorders>
            <w:vAlign w:val="center"/>
            <w:hideMark/>
          </w:tcPr>
          <w:p w14:paraId="68B6E63F" w14:textId="77777777" w:rsidR="00E002CA" w:rsidRDefault="00AA74DC" w:rsidP="00AA74DC">
            <w:pPr>
              <w:spacing w:line="360" w:lineRule="auto"/>
              <w:jc w:val="both"/>
            </w:pPr>
            <w:r w:rsidRPr="00AA74DC">
              <w:t xml:space="preserve">Rats were exposed to an average concentration of </w:t>
            </w:r>
          </w:p>
          <w:p w14:paraId="13FFB0DF" w14:textId="27568066" w:rsidR="00AA74DC" w:rsidRPr="00AA74DC" w:rsidRDefault="00E002CA" w:rsidP="00AA74DC">
            <w:pPr>
              <w:spacing w:line="360" w:lineRule="auto"/>
              <w:jc w:val="both"/>
            </w:pPr>
            <w:r>
              <w:t xml:space="preserve">2.131±0.207 mg/m³ of </w:t>
            </w:r>
            <w:r>
              <w:rPr>
                <w:bCs/>
              </w:rPr>
              <w:t>c</w:t>
            </w:r>
            <w:r w:rsidR="00AA74DC" w:rsidRPr="00AA74DC">
              <w:t>arbon soot particulate matter (</w:t>
            </w:r>
            <w:r w:rsidR="00F56833" w:rsidRPr="00AA74DC">
              <w:t>PM</w:t>
            </w:r>
            <w:r w:rsidR="00F56833" w:rsidRPr="00F56833">
              <w:rPr>
                <w:vertAlign w:val="subscript"/>
              </w:rPr>
              <w:t>10</w:t>
            </w:r>
            <w:r w:rsidR="00AA74DC" w:rsidRPr="00AA74DC">
              <w:t>).</w:t>
            </w:r>
          </w:p>
        </w:tc>
      </w:tr>
      <w:tr w:rsidR="00AA74DC" w:rsidRPr="00AA74DC" w14:paraId="64F128F2" w14:textId="77777777" w:rsidTr="00AA74DC">
        <w:tc>
          <w:tcPr>
            <w:tcW w:w="0" w:type="auto"/>
            <w:tcBorders>
              <w:top w:val="single" w:sz="4" w:space="0" w:color="auto"/>
              <w:bottom w:val="single" w:sz="4" w:space="0" w:color="auto"/>
            </w:tcBorders>
            <w:vAlign w:val="center"/>
            <w:hideMark/>
          </w:tcPr>
          <w:p w14:paraId="1CD1B9E7" w14:textId="77777777" w:rsidR="00AA74DC" w:rsidRPr="00AA74DC" w:rsidRDefault="00AA74DC" w:rsidP="00AA74DC">
            <w:pPr>
              <w:spacing w:line="360" w:lineRule="auto"/>
              <w:jc w:val="center"/>
            </w:pPr>
            <w:r w:rsidRPr="00AA74DC">
              <w:t>C</w:t>
            </w:r>
          </w:p>
        </w:tc>
        <w:tc>
          <w:tcPr>
            <w:tcW w:w="2136" w:type="dxa"/>
            <w:tcBorders>
              <w:top w:val="single" w:sz="4" w:space="0" w:color="auto"/>
              <w:bottom w:val="single" w:sz="4" w:space="0" w:color="auto"/>
            </w:tcBorders>
            <w:vAlign w:val="center"/>
            <w:hideMark/>
          </w:tcPr>
          <w:p w14:paraId="34D59442" w14:textId="77777777" w:rsidR="00AA74DC" w:rsidRPr="00AA74DC" w:rsidRDefault="00AA74DC" w:rsidP="00AA74DC">
            <w:pPr>
              <w:spacing w:line="360" w:lineRule="auto"/>
            </w:pPr>
            <w:r w:rsidRPr="00AA74DC">
              <w:t>Moderate exposure</w:t>
            </w:r>
          </w:p>
        </w:tc>
        <w:tc>
          <w:tcPr>
            <w:tcW w:w="5993" w:type="dxa"/>
            <w:tcBorders>
              <w:top w:val="single" w:sz="4" w:space="0" w:color="auto"/>
              <w:bottom w:val="single" w:sz="4" w:space="0" w:color="auto"/>
            </w:tcBorders>
            <w:vAlign w:val="center"/>
            <w:hideMark/>
          </w:tcPr>
          <w:p w14:paraId="00A56A71" w14:textId="720CF4CD" w:rsidR="00AA74DC" w:rsidRPr="00AA74DC" w:rsidRDefault="00AA74DC" w:rsidP="00AA74DC">
            <w:pPr>
              <w:spacing w:line="360" w:lineRule="auto"/>
              <w:jc w:val="both"/>
            </w:pPr>
            <w:r w:rsidRPr="00AA74DC">
              <w:t>Rats were exposed to an average concentration of 2.161±0.232 mg/m³ of carbon soot particulate matter (PM</w:t>
            </w:r>
            <w:r w:rsidR="00F56833" w:rsidRPr="00F56833">
              <w:rPr>
                <w:vertAlign w:val="subscript"/>
              </w:rPr>
              <w:t>10</w:t>
            </w:r>
            <w:r w:rsidRPr="00AA74DC">
              <w:t>).</w:t>
            </w:r>
          </w:p>
        </w:tc>
      </w:tr>
      <w:tr w:rsidR="00AA74DC" w:rsidRPr="00AA74DC" w14:paraId="7A6C5DF4" w14:textId="77777777" w:rsidTr="00AA74DC">
        <w:tc>
          <w:tcPr>
            <w:tcW w:w="0" w:type="auto"/>
            <w:tcBorders>
              <w:top w:val="single" w:sz="4" w:space="0" w:color="auto"/>
            </w:tcBorders>
            <w:vAlign w:val="center"/>
            <w:hideMark/>
          </w:tcPr>
          <w:p w14:paraId="12BCB917" w14:textId="77777777" w:rsidR="00AA74DC" w:rsidRPr="00AA74DC" w:rsidRDefault="00AA74DC" w:rsidP="00AA74DC">
            <w:pPr>
              <w:spacing w:line="360" w:lineRule="auto"/>
              <w:jc w:val="center"/>
            </w:pPr>
            <w:r w:rsidRPr="00AA74DC">
              <w:t>D</w:t>
            </w:r>
          </w:p>
        </w:tc>
        <w:tc>
          <w:tcPr>
            <w:tcW w:w="2136" w:type="dxa"/>
            <w:tcBorders>
              <w:top w:val="single" w:sz="4" w:space="0" w:color="auto"/>
            </w:tcBorders>
            <w:vAlign w:val="center"/>
            <w:hideMark/>
          </w:tcPr>
          <w:p w14:paraId="6D1558E1" w14:textId="77777777" w:rsidR="00AA74DC" w:rsidRPr="00AA74DC" w:rsidRDefault="00AA74DC" w:rsidP="00AA74DC">
            <w:pPr>
              <w:spacing w:line="360" w:lineRule="auto"/>
            </w:pPr>
            <w:r w:rsidRPr="00AA74DC">
              <w:t>High exposure</w:t>
            </w:r>
          </w:p>
        </w:tc>
        <w:tc>
          <w:tcPr>
            <w:tcW w:w="5993" w:type="dxa"/>
            <w:tcBorders>
              <w:top w:val="single" w:sz="4" w:space="0" w:color="auto"/>
            </w:tcBorders>
            <w:vAlign w:val="center"/>
            <w:hideMark/>
          </w:tcPr>
          <w:p w14:paraId="66FFB269" w14:textId="024FCB65" w:rsidR="00AA74DC" w:rsidRPr="00AA74DC" w:rsidRDefault="00AA74DC" w:rsidP="00AA74DC">
            <w:pPr>
              <w:spacing w:line="360" w:lineRule="auto"/>
              <w:jc w:val="both"/>
            </w:pPr>
            <w:r w:rsidRPr="00AA74DC">
              <w:t>Rats were exposed to an average concentration of 2.278±0.221 mg/m³ of carbon soot particulate matter (</w:t>
            </w:r>
            <w:r w:rsidR="00F56833" w:rsidRPr="00AA74DC">
              <w:t>PM</w:t>
            </w:r>
            <w:r w:rsidR="00F56833" w:rsidRPr="00F56833">
              <w:rPr>
                <w:vertAlign w:val="subscript"/>
              </w:rPr>
              <w:t>10</w:t>
            </w:r>
            <w:r w:rsidRPr="00AA74DC">
              <w:t>).</w:t>
            </w:r>
          </w:p>
        </w:tc>
      </w:tr>
    </w:tbl>
    <w:p w14:paraId="0DF79D37" w14:textId="77777777" w:rsidR="00AA74DC" w:rsidRDefault="00AA74DC" w:rsidP="00682F44">
      <w:pPr>
        <w:spacing w:line="360" w:lineRule="auto"/>
        <w:jc w:val="both"/>
      </w:pPr>
    </w:p>
    <w:p w14:paraId="46C3ABC8" w14:textId="77777777" w:rsidR="00AA74DC" w:rsidRPr="00AA74DC" w:rsidRDefault="00AA74DC" w:rsidP="00AA74DC">
      <w:pPr>
        <w:spacing w:line="360" w:lineRule="auto"/>
        <w:jc w:val="both"/>
        <w:rPr>
          <w:b/>
          <w:bCs/>
        </w:rPr>
      </w:pPr>
      <w:r w:rsidRPr="00AA74DC">
        <w:rPr>
          <w:b/>
          <w:bCs/>
        </w:rPr>
        <w:t>Exposure Duration and Tissue Collection</w:t>
      </w:r>
    </w:p>
    <w:p w14:paraId="73A964A0" w14:textId="6A58CB4E" w:rsidR="00AA74DC" w:rsidRDefault="00AA74DC" w:rsidP="00AA74DC">
      <w:pPr>
        <w:spacing w:line="360" w:lineRule="auto"/>
        <w:jc w:val="both"/>
      </w:pPr>
      <w:r w:rsidRPr="00AA74DC">
        <w:t>Animals were exposed to carbon soot particulate matter for a period of 28 days at a duration of one hour per day. At designated time points (days 3, 7, 14, 21, and 28), two animals from each group were sacrificed for analysis, while the remaining animals were euthanized at the end of the exposure period</w:t>
      </w:r>
      <w:r w:rsidR="005E6046">
        <w:t xml:space="preserve"> (day 28)</w:t>
      </w:r>
      <w:r w:rsidRPr="00AA74DC">
        <w:t>.</w:t>
      </w:r>
      <w:r>
        <w:t xml:space="preserve"> </w:t>
      </w:r>
    </w:p>
    <w:p w14:paraId="13C1CB53" w14:textId="46F2CF9B" w:rsidR="00FB3BAA" w:rsidRDefault="003F3F70" w:rsidP="00CB799F">
      <w:pPr>
        <w:spacing w:after="240" w:line="360" w:lineRule="auto"/>
        <w:jc w:val="both"/>
      </w:pPr>
      <w:r w:rsidRPr="003F3F70">
        <w:t>Animals were anesthetized using diethyl ether, after which a thoracic incision was made to expose the heart. The right atrium was incised to allow rapid blood drainage, followed by transcardial perfusion with 0.9% normal saline to clear the circulatory system, and subsequently with 10 mL of 4% paraformaldehyde (PFA) via the left ventricle for fixation. Following perfusion, liver tissues were carefully excised, rinsed in normal saline, and fixed in 4% paraformaldehyde at 4°C. The tissues were thereafter processed using standard histological procedures for microscopic and biochemical analyses.</w:t>
      </w:r>
    </w:p>
    <w:p w14:paraId="3D331ABB" w14:textId="16ECC156" w:rsidR="00682F44" w:rsidRPr="00682F44" w:rsidRDefault="00682F44" w:rsidP="00682F44">
      <w:pPr>
        <w:spacing w:line="360" w:lineRule="auto"/>
        <w:jc w:val="both"/>
        <w:rPr>
          <w:b/>
          <w:bCs/>
        </w:rPr>
      </w:pPr>
      <w:r w:rsidRPr="00682F44">
        <w:rPr>
          <w:b/>
          <w:bCs/>
        </w:rPr>
        <w:t>Behavioural Assessment</w:t>
      </w:r>
    </w:p>
    <w:p w14:paraId="50D5AA65" w14:textId="7AC96EE2" w:rsidR="003F3F70" w:rsidRPr="003F3F70" w:rsidRDefault="003F3F70" w:rsidP="003F3F70">
      <w:pPr>
        <w:spacing w:after="160" w:line="360" w:lineRule="auto"/>
        <w:jc w:val="both"/>
      </w:pPr>
      <w:r w:rsidRPr="003F3F70">
        <w:t>Anxiety-like behaviour was assessed using the Elevated Plus Maze (EPM), constructed according to the method described by Lister (1987). The apparatus consisted of a central square platform (5 × 5 cm) from which extended two open arms (45 × 5 cm, with 0.25 cm edges) and two closed arms (45 × 5 cm, with 40 cm high walls), elevated approximately 45 cm above the floor. The maze was placed in a controlled laboratory environment illuminated with a 60-watt red light to minimize stress. Animals were transported to the test room in their home cages and handled by the base of the tail. </w:t>
      </w:r>
      <w:r w:rsidRPr="003F3F70">
        <w:rPr>
          <w:rFonts w:eastAsiaTheme="majorEastAsia"/>
        </w:rPr>
        <w:t>Behavioural testing was conducted once at the end of the 28-day exposure period</w:t>
      </w:r>
      <w:r w:rsidRPr="003F3F70">
        <w:t>, with all surviving animals assessed prior to euthanasia. Each rat was placed at the centre of the maze facing an open arm and allowed to explore freely for a 5-</w:t>
      </w:r>
      <w:r w:rsidRPr="003F3F70">
        <w:lastRenderedPageBreak/>
        <w:t>minute observation period, during which behaviour was recorded manually from a distance of approximately 1 meter. After each trial, animals were returned to their home cages, and the apparatus was cleaned with 70% ethanol and allowed to dry before subsequent testing.</w:t>
      </w:r>
    </w:p>
    <w:p w14:paraId="2FF6D5D6" w14:textId="77777777" w:rsidR="003F3F70" w:rsidRPr="003F3F70" w:rsidRDefault="003F3F70" w:rsidP="003F3F70">
      <w:pPr>
        <w:spacing w:after="160" w:line="360" w:lineRule="auto"/>
        <w:jc w:val="both"/>
      </w:pPr>
      <w:r w:rsidRPr="003F3F70">
        <w:t>The following behavioural parameters were recorded: open arm entries (OAE), closed arm entries (CAE), open arm duration (OAD), closed arm duration (CAD), central square duration (CSD), head dipping (HD), stretch attend postures (S), rearing (R), grooming (G), urination (U), defecation (D), and locomotion (L), with entries defined as placement of all four paws into an arm. Exploratory behaviours, including open arm activity and head dipping, were interpreted as indicators of reduced anxiety, whereas increased closed arm activity, grooming, defecation, urination, and stretch attend postures reflected heightened fear and emotionality. Risk assessment behaviour, particularly stretch attend postures, served as an index of anxiety levels, such that decreased open arm activity combined with increased risk assessment behaviours, without significant changes in locomotion, was indicative of elevated anxiety-like behaviour.</w:t>
      </w:r>
    </w:p>
    <w:p w14:paraId="5248B7B9" w14:textId="77777777" w:rsidR="008833AF" w:rsidRPr="008833AF" w:rsidRDefault="008833AF" w:rsidP="008833AF">
      <w:pPr>
        <w:spacing w:line="360" w:lineRule="auto"/>
        <w:jc w:val="both"/>
        <w:rPr>
          <w:b/>
          <w:bCs/>
        </w:rPr>
      </w:pPr>
      <w:r w:rsidRPr="008833AF">
        <w:rPr>
          <w:b/>
          <w:bCs/>
        </w:rPr>
        <w:t>Immuno-Inflammatory Analysis (TNF-α Expression)</w:t>
      </w:r>
    </w:p>
    <w:p w14:paraId="1D4BAA4C" w14:textId="442E260E" w:rsidR="003F3F70" w:rsidRPr="003F3F70" w:rsidRDefault="003F3F70" w:rsidP="00CB799F">
      <w:pPr>
        <w:spacing w:after="240" w:line="360" w:lineRule="auto"/>
        <w:jc w:val="both"/>
      </w:pPr>
      <w:r w:rsidRPr="003F3F70">
        <w:t>Tumor necrosis factor-alpha (TNF-α) levels in liver tissues were quantified using a standardized enzyme-linked immunosorbent assay (ELISA) protocol, a widely accepted method for assessing pro-inflammatory cytokines in experimental models (Engvall &amp; Perlmann, 1971; Balkwill, 2009). Briefly, liver tissues were homogenized in appropriate buffer solutions and centrifuged to obtain clear supernatants. The resulting samples were analyzed using a commercially available rat TNF-α ELISA kit </w:t>
      </w:r>
      <w:r w:rsidRPr="003F3F70">
        <w:rPr>
          <w:rFonts w:eastAsiaTheme="majorEastAsia"/>
        </w:rPr>
        <w:t>(Elabscience Biotechnology Inc., Wuhan, China; Catalog No. E-EL-R2856; detection range: 7.81–500 pg/mL; inter-assay CV: 5.2%; intra-assay CV: 4.8%)</w:t>
      </w:r>
      <w:r w:rsidRPr="003F3F70">
        <w:t> in accordance with the manufacturer's instructions. Absorbance was measured using a microplate reader at 450 nm, and TNF-α concentrations were extrapolated from a standard calibration curve. The levels of TNF-α were expressed as mean ± standard error of mean (SEM) for each experimental group, serving as an index of hepatic inflammatory response following soot exposure (Aggarwal, 2003; Tracey &amp; Cerami, 1993).</w:t>
      </w:r>
    </w:p>
    <w:p w14:paraId="634FFB5F" w14:textId="77777777" w:rsidR="008833AF" w:rsidRPr="008833AF" w:rsidRDefault="008833AF" w:rsidP="008833AF">
      <w:pPr>
        <w:spacing w:line="360" w:lineRule="auto"/>
        <w:jc w:val="both"/>
        <w:rPr>
          <w:b/>
          <w:bCs/>
        </w:rPr>
      </w:pPr>
      <w:r w:rsidRPr="008833AF">
        <w:rPr>
          <w:b/>
          <w:bCs/>
        </w:rPr>
        <w:t>Histological Preparation of Liver Tissues</w:t>
      </w:r>
    </w:p>
    <w:p w14:paraId="3C483D99" w14:textId="5D010688" w:rsidR="008833AF" w:rsidRPr="008833AF" w:rsidRDefault="008833AF" w:rsidP="008833AF">
      <w:pPr>
        <w:spacing w:line="360" w:lineRule="auto"/>
        <w:jc w:val="both"/>
      </w:pPr>
      <w:r w:rsidRPr="008833AF">
        <w:t xml:space="preserve">Excised liver tissues were processed using standard histological techniques. Tissues were fixed in 10% neutral buffered formalin to preserve structural integrity and prevent autolysis. Following fixation, samples were dehydrated through ascending grades of ethanol (50%, 70%, 95%, and absolute alcohol), cleared in xylene to remove residual alcohol, and subsequently </w:t>
      </w:r>
      <w:r w:rsidRPr="008833AF">
        <w:lastRenderedPageBreak/>
        <w:t>infiltrated with molten paraffin wax. The tissues were then embedded in paraffin blocks and allowed to solidify.</w:t>
      </w:r>
    </w:p>
    <w:p w14:paraId="3A6FE5EF" w14:textId="77777777" w:rsidR="008833AF" w:rsidRPr="008833AF" w:rsidRDefault="008833AF" w:rsidP="008833AF">
      <w:pPr>
        <w:spacing w:line="360" w:lineRule="auto"/>
        <w:jc w:val="both"/>
      </w:pPr>
      <w:r w:rsidRPr="008833AF">
        <w:t>Paraffin-embedded tissue blocks were sectioned at 5 µm thickness using a sliding microtome. The sections were floated on a warm water bath, mounted on clean glass slides, and dried prior to staining. Sections were stained using Hematoxylin and Eosin (H&amp;E) following standard protocols, which involved deparaffinization in xylene, rehydration through descending grades of alcohol, nuclear staining with hematoxylin, differentiation in acid alcohol, bluing under running tap water, and counterstaining with eosin. Thereafter, sections were dehydrated in ascending grades of alcohol, cleared in xylene, and mounted using DPX mountant.</w:t>
      </w:r>
    </w:p>
    <w:p w14:paraId="71D4C302" w14:textId="77777777" w:rsidR="008833AF" w:rsidRPr="008833AF" w:rsidRDefault="008833AF" w:rsidP="00CB799F">
      <w:pPr>
        <w:spacing w:after="240" w:line="360" w:lineRule="auto"/>
        <w:jc w:val="both"/>
      </w:pPr>
      <w:r w:rsidRPr="008833AF">
        <w:t>Stained sections were examined under a digital brightfield light microscope (OMAX 40–2000×, USA), and photomicrographs were captured at ×400 magnification. Histopathological evaluation focused on hepatocyte morphology, central vein integrity, sinusoidal architecture, inflammatory cell infiltration, as well as evidence of cellular degeneration and necrosis.</w:t>
      </w:r>
    </w:p>
    <w:p w14:paraId="0EE5E5C3" w14:textId="04A6E3A8" w:rsidR="00682F44" w:rsidRPr="00682F44" w:rsidRDefault="00682F44" w:rsidP="00682F44">
      <w:pPr>
        <w:spacing w:line="360" w:lineRule="auto"/>
        <w:jc w:val="both"/>
        <w:rPr>
          <w:b/>
          <w:bCs/>
        </w:rPr>
      </w:pPr>
      <w:r w:rsidRPr="00682F44">
        <w:rPr>
          <w:b/>
          <w:bCs/>
        </w:rPr>
        <w:t>Statistical Analysis</w:t>
      </w:r>
    </w:p>
    <w:p w14:paraId="2478E8FC" w14:textId="34827BB3" w:rsidR="00682F44" w:rsidRDefault="008833AF" w:rsidP="00CB799F">
      <w:pPr>
        <w:spacing w:after="240" w:line="360" w:lineRule="auto"/>
        <w:jc w:val="both"/>
      </w:pPr>
      <w:r w:rsidRPr="008833AF">
        <w:t>All data were analyzed using IBM SPSS version 26.0. Results were expressed as mean ± standard error of mean (SEM). Differences among groups were evaluated using one-way analysis of variance (ANOVA), followed by Tukey’s post-hoc test for multiple pairwise comparisons. Statistical significance was set at p &lt; 0.05, while p &lt; 0.01 and p &lt; 0.001 were considered highly and very highly significant, respectively.</w:t>
      </w:r>
    </w:p>
    <w:p w14:paraId="26843AB1" w14:textId="77777777" w:rsidR="003F3F70" w:rsidRPr="003F3F70" w:rsidRDefault="003F3F70" w:rsidP="003F3F70">
      <w:pPr>
        <w:spacing w:after="160" w:line="360" w:lineRule="auto"/>
        <w:jc w:val="both"/>
        <w:rPr>
          <w:b/>
          <w:bCs/>
        </w:rPr>
      </w:pPr>
      <w:r w:rsidRPr="003F3F70">
        <w:rPr>
          <w:b/>
          <w:bCs/>
        </w:rPr>
        <w:t>Ethics Approval</w:t>
      </w:r>
    </w:p>
    <w:p w14:paraId="2773D88F" w14:textId="04E74BAD" w:rsidR="003F3F70" w:rsidRPr="003F3F70" w:rsidRDefault="003F3F70" w:rsidP="00CB799F">
      <w:pPr>
        <w:spacing w:after="240" w:line="360" w:lineRule="auto"/>
        <w:jc w:val="both"/>
      </w:pPr>
      <w:r w:rsidRPr="003F3F70">
        <w:t>The study was carried out in adherence to the ethical guidelines set by the </w:t>
      </w:r>
      <w:r w:rsidRPr="003F3F70">
        <w:rPr>
          <w:rFonts w:eastAsiaTheme="majorEastAsia"/>
        </w:rPr>
        <w:t>National Institutes of Health (NIH) Guide for the Care and Use of Laboratory Animals (8th edition, 2011)</w:t>
      </w:r>
      <w:r w:rsidRPr="003F3F70">
        <w:t> for the ethical treatment of animals in research. The study was approved by the Research Ethics Committee of the Faculty of Basic Medical Sciences, University of Port Harcourt, Rivers State, Nigeria (reference number: UPH/FBMS/2025/MSc/072) before commencement of the study.</w:t>
      </w:r>
    </w:p>
    <w:p w14:paraId="1E96E5EE" w14:textId="66DC1434" w:rsidR="00682F44" w:rsidRPr="00C34526" w:rsidRDefault="00C34526" w:rsidP="00682F44">
      <w:pPr>
        <w:spacing w:line="360" w:lineRule="auto"/>
        <w:jc w:val="both"/>
        <w:rPr>
          <w:b/>
          <w:bCs/>
        </w:rPr>
      </w:pPr>
      <w:r w:rsidRPr="00C34526">
        <w:rPr>
          <w:b/>
          <w:bCs/>
        </w:rPr>
        <w:t>RESULTS</w:t>
      </w:r>
    </w:p>
    <w:p w14:paraId="40D5E129" w14:textId="56F1DD54" w:rsidR="00C34526" w:rsidRDefault="00D14665" w:rsidP="00C34526">
      <w:pPr>
        <w:spacing w:line="360" w:lineRule="auto"/>
        <w:jc w:val="both"/>
        <w:rPr>
          <w:b/>
          <w:bCs/>
        </w:rPr>
      </w:pPr>
      <w:r w:rsidRPr="00D14665">
        <w:rPr>
          <w:b/>
          <w:bCs/>
        </w:rPr>
        <w:t>Hepatic Histopathological Alterations Following PM₁₀ Exposure</w:t>
      </w:r>
    </w:p>
    <w:p w14:paraId="7853ACAC" w14:textId="209C9D54" w:rsidR="00D14665" w:rsidRPr="00D14665" w:rsidRDefault="00D14665" w:rsidP="00D14665">
      <w:pPr>
        <w:spacing w:line="360" w:lineRule="auto"/>
        <w:jc w:val="both"/>
      </w:pPr>
      <w:r w:rsidRPr="00D14665">
        <w:t xml:space="preserve">Histological evaluation of liver sections revealed progressive, dose- and time-dependent alterations in hepatic architecture following exposure to PM₁₀ carbon soot (Figures 2–5). Across all time points, the control group consistently exhibited normal liver histology, </w:t>
      </w:r>
      <w:r w:rsidRPr="00D14665">
        <w:lastRenderedPageBreak/>
        <w:t>characterized by intact central veins, well-organized hepatocytes arranged in radiating cords, and preserved sinusoidal architecture.</w:t>
      </w:r>
    </w:p>
    <w:p w14:paraId="4B10458D" w14:textId="2975551F" w:rsidR="00D14665" w:rsidRPr="00D14665" w:rsidRDefault="00D14665" w:rsidP="00D14665">
      <w:pPr>
        <w:spacing w:line="360" w:lineRule="auto"/>
        <w:jc w:val="both"/>
      </w:pPr>
      <w:r w:rsidRPr="00D14665">
        <w:t>At day 7 (Figure 2), early and mild histopathological changes were observed in exposed groups. The low and medium exposure groups showed signs of hepatocellular injury, including pyknotic and degenerating hepatocytes, deposits within the central vein, and dilated sinusoids containing red blood cells and lymphocytes. In the high exposure group, central vein congestion and hepatocyte hypertrophy were evident, although overall distortion of liver architecture remained mild. By day 14 (Figure 3), liver injury became markedly pronounced. All exposed groups demonstrated extensive hepatocyte degeneration and necrosis, accompanied by increased inflammatory cell infiltration, sinusoidal dilation, and both localized and diffuse red blood cell deposits. These alterations resulted in severe disruption of hepatic cytoarchitecture, particularly in the medium and high exposure groups.</w:t>
      </w:r>
    </w:p>
    <w:p w14:paraId="1AF6D76E" w14:textId="6444F1F4" w:rsidR="003974E5" w:rsidRPr="00E002CA" w:rsidRDefault="00D14665" w:rsidP="00C34526">
      <w:pPr>
        <w:spacing w:line="360" w:lineRule="auto"/>
        <w:jc w:val="both"/>
      </w:pPr>
      <w:r w:rsidRPr="00D14665">
        <w:t>At day 21 (Figure 4), the severity of hepatic damage further increased. There was widespread hepatocellular degeneration and necrosis across all exposure groups, with pronounced vascular congestion involving both central veins and sinusoids. Diffuse inflammatory infiltration and accumulation of blood deposits were more evident, indicating progressive worsening of tissue injury. The degree of damage correlated with increasing exposure concentration. By day 28 (Figure 5), severe and extensive histopathological alterations were observed. These included widespread hepatocyte necrosis, marked sinusoidal and central vein congestion, diffuse inflammatory cell infiltration, and prominent edema. The liver architecture was extensively distorted, particularly in the medium and high exposure groups, reflecting advanced hepatic injury. Although the low exposure group also exhibited severe changes, these were comparatively less pronounced than those observed at higher exposure levels.</w:t>
      </w:r>
    </w:p>
    <w:tbl>
      <w:tblPr>
        <w:tblStyle w:val="TableGrid"/>
        <w:tblW w:w="9452" w:type="dxa"/>
        <w:jc w:val="center"/>
        <w:tblBorders>
          <w:insideH w:val="none" w:sz="0" w:space="0" w:color="auto"/>
          <w:insideV w:val="none" w:sz="0" w:space="0" w:color="auto"/>
        </w:tblBorders>
        <w:tblLook w:val="04A0" w:firstRow="1" w:lastRow="0" w:firstColumn="1" w:lastColumn="0" w:noHBand="0" w:noVBand="1"/>
      </w:tblPr>
      <w:tblGrid>
        <w:gridCol w:w="5676"/>
        <w:gridCol w:w="5566"/>
      </w:tblGrid>
      <w:tr w:rsidR="003974E5" w:rsidRPr="00E002CA" w14:paraId="73CD5B8D" w14:textId="77777777" w:rsidTr="003974E5">
        <w:trPr>
          <w:jc w:val="center"/>
        </w:trPr>
        <w:tc>
          <w:tcPr>
            <w:tcW w:w="4726" w:type="dxa"/>
          </w:tcPr>
          <w:p w14:paraId="785CFD61" w14:textId="77777777" w:rsidR="003974E5" w:rsidRPr="00E002CA" w:rsidRDefault="003974E5" w:rsidP="00606AFA">
            <w:r w:rsidRPr="00E002CA">
              <w:rPr>
                <w:noProof/>
              </w:rPr>
              <w:drawing>
                <wp:inline distT="0" distB="0" distL="0" distR="0" wp14:anchorId="1DAF236A" wp14:editId="62EE4ACF">
                  <wp:extent cx="3467100" cy="2609850"/>
                  <wp:effectExtent l="0" t="0" r="0" b="0"/>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4726" w:type="dxa"/>
          </w:tcPr>
          <w:p w14:paraId="227168C7" w14:textId="77777777" w:rsidR="003974E5" w:rsidRPr="00E002CA" w:rsidRDefault="003974E5" w:rsidP="00606AFA">
            <w:r w:rsidRPr="00E002CA">
              <w:rPr>
                <w:noProof/>
              </w:rPr>
              <w:drawing>
                <wp:inline distT="0" distB="0" distL="0" distR="0" wp14:anchorId="6AB8D4F8" wp14:editId="4FCF0BE7">
                  <wp:extent cx="3397250" cy="2609850"/>
                  <wp:effectExtent l="0" t="0" r="0" b="0"/>
                  <wp:docPr id="10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9" cstate="print"/>
                          <a:srcRect/>
                          <a:stretch/>
                        </pic:blipFill>
                        <pic:spPr>
                          <a:xfrm>
                            <a:off x="0" y="0"/>
                            <a:ext cx="3397250" cy="2609850"/>
                          </a:xfrm>
                          <a:prstGeom prst="rect">
                            <a:avLst/>
                          </a:prstGeom>
                          <a:ln>
                            <a:noFill/>
                          </a:ln>
                        </pic:spPr>
                      </pic:pic>
                    </a:graphicData>
                  </a:graphic>
                </wp:inline>
              </w:drawing>
            </w:r>
          </w:p>
        </w:tc>
      </w:tr>
      <w:tr w:rsidR="003974E5" w:rsidRPr="00E002CA" w14:paraId="32300D80" w14:textId="77777777" w:rsidTr="003974E5">
        <w:trPr>
          <w:jc w:val="center"/>
        </w:trPr>
        <w:tc>
          <w:tcPr>
            <w:tcW w:w="4726" w:type="dxa"/>
          </w:tcPr>
          <w:p w14:paraId="283E3872" w14:textId="77777777" w:rsidR="003974E5" w:rsidRPr="00E002CA" w:rsidRDefault="003974E5" w:rsidP="00606AFA">
            <w:r w:rsidRPr="00E002CA">
              <w:t>Control</w:t>
            </w:r>
          </w:p>
        </w:tc>
        <w:tc>
          <w:tcPr>
            <w:tcW w:w="4726" w:type="dxa"/>
          </w:tcPr>
          <w:p w14:paraId="76082994" w14:textId="0EAD6E77" w:rsidR="003974E5" w:rsidRPr="00E002CA" w:rsidRDefault="003974E5" w:rsidP="00606AFA">
            <w:r w:rsidRPr="00E002CA">
              <w:t>Low concentration of PM</w:t>
            </w:r>
            <w:r w:rsidRPr="00E002CA">
              <w:rPr>
                <w:vertAlign w:val="subscript"/>
              </w:rPr>
              <w:t>10</w:t>
            </w:r>
            <w:r w:rsidRPr="00E002CA">
              <w:t xml:space="preserve"> (</w:t>
            </w:r>
            <w:r w:rsidR="00E002CA" w:rsidRPr="00E002CA">
              <w:t>2.131±0.207 mg/m³)</w:t>
            </w:r>
          </w:p>
        </w:tc>
      </w:tr>
      <w:tr w:rsidR="003974E5" w:rsidRPr="00E002CA" w14:paraId="0E214F94" w14:textId="77777777" w:rsidTr="003974E5">
        <w:trPr>
          <w:jc w:val="center"/>
        </w:trPr>
        <w:tc>
          <w:tcPr>
            <w:tcW w:w="4726" w:type="dxa"/>
          </w:tcPr>
          <w:p w14:paraId="7882AF5A" w14:textId="77777777" w:rsidR="003974E5" w:rsidRPr="00E002CA" w:rsidRDefault="003974E5" w:rsidP="00606AFA">
            <w:r w:rsidRPr="00E002CA">
              <w:rPr>
                <w:noProof/>
              </w:rPr>
              <w:lastRenderedPageBreak/>
              <w:drawing>
                <wp:inline distT="0" distB="0" distL="0" distR="0" wp14:anchorId="550886A4" wp14:editId="432226BB">
                  <wp:extent cx="3467100" cy="2717800"/>
                  <wp:effectExtent l="0" t="0" r="0" b="6350"/>
                  <wp:docPr id="10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a:stretch/>
                        </pic:blipFill>
                        <pic:spPr>
                          <a:xfrm>
                            <a:off x="0" y="0"/>
                            <a:ext cx="3467100" cy="2717800"/>
                          </a:xfrm>
                          <a:prstGeom prst="rect">
                            <a:avLst/>
                          </a:prstGeom>
                          <a:ln>
                            <a:noFill/>
                          </a:ln>
                        </pic:spPr>
                      </pic:pic>
                    </a:graphicData>
                  </a:graphic>
                </wp:inline>
              </w:drawing>
            </w:r>
          </w:p>
        </w:tc>
        <w:tc>
          <w:tcPr>
            <w:tcW w:w="4726" w:type="dxa"/>
          </w:tcPr>
          <w:p w14:paraId="488E1751" w14:textId="77777777" w:rsidR="003974E5" w:rsidRPr="00E002CA" w:rsidRDefault="003974E5" w:rsidP="00606AFA">
            <w:r w:rsidRPr="00E002CA">
              <w:rPr>
                <w:noProof/>
              </w:rPr>
              <w:drawing>
                <wp:inline distT="0" distB="0" distL="0" distR="0" wp14:anchorId="1034B605" wp14:editId="51378860">
                  <wp:extent cx="3397250" cy="2717800"/>
                  <wp:effectExtent l="0" t="0" r="0" b="6350"/>
                  <wp:docPr id="103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1" cstate="print"/>
                          <a:srcRect/>
                          <a:stretch/>
                        </pic:blipFill>
                        <pic:spPr>
                          <a:xfrm>
                            <a:off x="0" y="0"/>
                            <a:ext cx="3397250" cy="2717800"/>
                          </a:xfrm>
                          <a:prstGeom prst="rect">
                            <a:avLst/>
                          </a:prstGeom>
                          <a:ln>
                            <a:noFill/>
                          </a:ln>
                        </pic:spPr>
                      </pic:pic>
                    </a:graphicData>
                  </a:graphic>
                </wp:inline>
              </w:drawing>
            </w:r>
          </w:p>
        </w:tc>
      </w:tr>
      <w:tr w:rsidR="003974E5" w:rsidRPr="00E002CA" w14:paraId="1B40BD69" w14:textId="77777777" w:rsidTr="003974E5">
        <w:trPr>
          <w:jc w:val="center"/>
        </w:trPr>
        <w:tc>
          <w:tcPr>
            <w:tcW w:w="4726" w:type="dxa"/>
          </w:tcPr>
          <w:p w14:paraId="2EF68961" w14:textId="44F92F7B" w:rsidR="003974E5" w:rsidRPr="00E002CA" w:rsidRDefault="003974E5" w:rsidP="00E002CA">
            <w:r w:rsidRPr="00E002CA">
              <w:t>Medium concentration of PM</w:t>
            </w:r>
            <w:r w:rsidRPr="00E002CA">
              <w:rPr>
                <w:vertAlign w:val="subscript"/>
              </w:rPr>
              <w:t>10</w:t>
            </w:r>
            <w:r w:rsidRPr="00E002CA">
              <w:t xml:space="preserve"> (</w:t>
            </w:r>
            <w:r w:rsidR="00E002CA" w:rsidRPr="00E002CA">
              <w:t>2.161±0.232 mg/m³</w:t>
            </w:r>
            <w:r w:rsidRPr="00E002CA">
              <w:t>)</w:t>
            </w:r>
          </w:p>
        </w:tc>
        <w:tc>
          <w:tcPr>
            <w:tcW w:w="4726" w:type="dxa"/>
          </w:tcPr>
          <w:p w14:paraId="430112F3" w14:textId="0E6CBDC5" w:rsidR="003974E5" w:rsidRPr="00E002CA" w:rsidRDefault="003974E5" w:rsidP="003974E5">
            <w:r w:rsidRPr="00E002CA">
              <w:t>High concentration of PM</w:t>
            </w:r>
            <w:r w:rsidRPr="00E002CA">
              <w:rPr>
                <w:vertAlign w:val="subscript"/>
              </w:rPr>
              <w:t>10</w:t>
            </w:r>
            <w:r w:rsidRPr="00E002CA">
              <w:t xml:space="preserve"> (</w:t>
            </w:r>
            <w:r w:rsidR="00E002CA" w:rsidRPr="00E002CA">
              <w:t>2.278±0.221 mg/m³</w:t>
            </w:r>
            <w:r w:rsidRPr="00E002CA">
              <w:t>)</w:t>
            </w:r>
          </w:p>
        </w:tc>
      </w:tr>
    </w:tbl>
    <w:p w14:paraId="3745F739" w14:textId="41B6561C" w:rsidR="003974E5" w:rsidRDefault="003974E5" w:rsidP="003974E5">
      <w:pPr>
        <w:jc w:val="both"/>
        <w:rPr>
          <w:b/>
          <w:bCs/>
        </w:rPr>
      </w:pPr>
      <w:r w:rsidRPr="003974E5">
        <w:rPr>
          <w:b/>
          <w:bCs/>
        </w:rPr>
        <w:t xml:space="preserve">Figure 2: </w:t>
      </w:r>
      <w:r w:rsidR="00507576" w:rsidRPr="00507576">
        <w:rPr>
          <w:b/>
          <w:bCs/>
        </w:rPr>
        <w:t>Photomicrograph of the liver tissue showing</w:t>
      </w:r>
      <w:r w:rsidR="00507576">
        <w:t xml:space="preserve"> </w:t>
      </w:r>
      <w:r w:rsidR="00507576">
        <w:rPr>
          <w:b/>
          <w:bCs/>
        </w:rPr>
        <w:t>h</w:t>
      </w:r>
      <w:r w:rsidRPr="003974E5">
        <w:rPr>
          <w:b/>
          <w:bCs/>
        </w:rPr>
        <w:t>istological alterations in liver tissue of Wistar rats following exposure to varying concentrations of PM</w:t>
      </w:r>
      <w:r w:rsidRPr="003974E5">
        <w:rPr>
          <w:b/>
          <w:bCs/>
          <w:vertAlign w:val="subscript"/>
        </w:rPr>
        <w:t>10</w:t>
      </w:r>
      <w:r>
        <w:rPr>
          <w:b/>
          <w:bCs/>
        </w:rPr>
        <w:t xml:space="preserve"> </w:t>
      </w:r>
      <w:r w:rsidRPr="003974E5">
        <w:rPr>
          <w:b/>
          <w:bCs/>
        </w:rPr>
        <w:t>carbon soot at day 7</w:t>
      </w:r>
      <w:r w:rsidR="00A6598C">
        <w:rPr>
          <w:b/>
          <w:bCs/>
        </w:rPr>
        <w:t xml:space="preserve">. </w:t>
      </w:r>
      <w:r w:rsidR="00E002CA">
        <w:rPr>
          <w:b/>
          <w:bCs/>
        </w:rPr>
        <w:t xml:space="preserve">Stain: </w:t>
      </w:r>
      <w:r w:rsidR="00E002CA" w:rsidRPr="00507576">
        <w:rPr>
          <w:b/>
          <w:bCs/>
        </w:rPr>
        <w:t>H &amp; E</w:t>
      </w:r>
      <w:r w:rsidR="00E002CA">
        <w:rPr>
          <w:b/>
          <w:bCs/>
        </w:rPr>
        <w:t>; Magnification:</w:t>
      </w:r>
      <w:r w:rsidR="00E002CA" w:rsidRPr="00507576">
        <w:rPr>
          <w:b/>
          <w:bCs/>
        </w:rPr>
        <w:t xml:space="preserve"> X400</w:t>
      </w:r>
    </w:p>
    <w:p w14:paraId="71E153DE" w14:textId="77777777" w:rsidR="003974E5" w:rsidRDefault="003974E5" w:rsidP="003974E5">
      <w:pPr>
        <w:spacing w:line="276" w:lineRule="auto"/>
        <w:jc w:val="both"/>
        <w:rPr>
          <w:b/>
          <w:bCs/>
        </w:rPr>
      </w:pPr>
    </w:p>
    <w:p w14:paraId="0B45305C" w14:textId="77777777" w:rsidR="003974E5" w:rsidRDefault="003974E5" w:rsidP="00C34526">
      <w:pPr>
        <w:spacing w:line="360" w:lineRule="auto"/>
        <w:jc w:val="both"/>
        <w:rPr>
          <w:b/>
          <w:bCs/>
        </w:rPr>
      </w:pPr>
    </w:p>
    <w:tbl>
      <w:tblPr>
        <w:tblStyle w:val="TableGrid"/>
        <w:tblW w:w="11242" w:type="dxa"/>
        <w:jc w:val="center"/>
        <w:tblBorders>
          <w:insideH w:val="none" w:sz="0" w:space="0" w:color="auto"/>
          <w:insideV w:val="none" w:sz="0" w:space="0" w:color="auto"/>
        </w:tblBorders>
        <w:tblLook w:val="04A0" w:firstRow="1" w:lastRow="0" w:firstColumn="1" w:lastColumn="0" w:noHBand="0" w:noVBand="1"/>
      </w:tblPr>
      <w:tblGrid>
        <w:gridCol w:w="5676"/>
        <w:gridCol w:w="5566"/>
      </w:tblGrid>
      <w:tr w:rsidR="003974E5" w:rsidRPr="00E002CA" w14:paraId="6F817856" w14:textId="77777777" w:rsidTr="003974E5">
        <w:trPr>
          <w:jc w:val="center"/>
        </w:trPr>
        <w:tc>
          <w:tcPr>
            <w:tcW w:w="5676" w:type="dxa"/>
          </w:tcPr>
          <w:p w14:paraId="0A628AEA" w14:textId="77777777" w:rsidR="003974E5" w:rsidRPr="00E002CA" w:rsidRDefault="003974E5" w:rsidP="00606AFA">
            <w:r w:rsidRPr="00E002CA">
              <w:rPr>
                <w:noProof/>
              </w:rPr>
              <w:drawing>
                <wp:inline distT="0" distB="0" distL="0" distR="0" wp14:anchorId="55E7555C" wp14:editId="26C29832">
                  <wp:extent cx="3467100" cy="2609850"/>
                  <wp:effectExtent l="0" t="0" r="0" b="0"/>
                  <wp:docPr id="227133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5566" w:type="dxa"/>
          </w:tcPr>
          <w:p w14:paraId="0177E464" w14:textId="77777777" w:rsidR="003974E5" w:rsidRPr="00E002CA" w:rsidRDefault="003974E5" w:rsidP="00606AFA">
            <w:r w:rsidRPr="00E002CA">
              <w:rPr>
                <w:noProof/>
              </w:rPr>
              <w:drawing>
                <wp:inline distT="0" distB="0" distL="0" distR="0" wp14:anchorId="12556D9D" wp14:editId="725AE365">
                  <wp:extent cx="3397250" cy="2609850"/>
                  <wp:effectExtent l="0" t="0" r="0" b="0"/>
                  <wp:docPr id="103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2" cstate="print"/>
                          <a:srcRect/>
                          <a:stretch/>
                        </pic:blipFill>
                        <pic:spPr>
                          <a:xfrm>
                            <a:off x="0" y="0"/>
                            <a:ext cx="3397250" cy="2609850"/>
                          </a:xfrm>
                          <a:prstGeom prst="rect">
                            <a:avLst/>
                          </a:prstGeom>
                          <a:ln>
                            <a:noFill/>
                          </a:ln>
                        </pic:spPr>
                      </pic:pic>
                    </a:graphicData>
                  </a:graphic>
                </wp:inline>
              </w:drawing>
            </w:r>
          </w:p>
        </w:tc>
      </w:tr>
      <w:tr w:rsidR="00E002CA" w:rsidRPr="00E002CA" w14:paraId="06995B8F" w14:textId="77777777" w:rsidTr="003974E5">
        <w:trPr>
          <w:jc w:val="center"/>
        </w:trPr>
        <w:tc>
          <w:tcPr>
            <w:tcW w:w="5676" w:type="dxa"/>
          </w:tcPr>
          <w:p w14:paraId="54F27B4B" w14:textId="6723745C" w:rsidR="00E002CA" w:rsidRPr="00E002CA" w:rsidRDefault="00E002CA" w:rsidP="00E002CA">
            <w:r w:rsidRPr="00E002CA">
              <w:t>Control</w:t>
            </w:r>
          </w:p>
        </w:tc>
        <w:tc>
          <w:tcPr>
            <w:tcW w:w="5566" w:type="dxa"/>
          </w:tcPr>
          <w:p w14:paraId="7570E1F5" w14:textId="1E334733" w:rsidR="00E002CA" w:rsidRPr="00E002CA" w:rsidRDefault="00E002CA" w:rsidP="00E002CA">
            <w:r w:rsidRPr="00E002CA">
              <w:t>Low concentration of PM</w:t>
            </w:r>
            <w:r w:rsidRPr="00E002CA">
              <w:rPr>
                <w:vertAlign w:val="subscript"/>
              </w:rPr>
              <w:t>10</w:t>
            </w:r>
            <w:r w:rsidRPr="00E002CA">
              <w:t xml:space="preserve"> (2.131±0.207 mg/m³)</w:t>
            </w:r>
          </w:p>
        </w:tc>
      </w:tr>
      <w:tr w:rsidR="003974E5" w:rsidRPr="00E002CA" w14:paraId="3D1EA9B5" w14:textId="77777777" w:rsidTr="003974E5">
        <w:trPr>
          <w:jc w:val="center"/>
        </w:trPr>
        <w:tc>
          <w:tcPr>
            <w:tcW w:w="5676" w:type="dxa"/>
          </w:tcPr>
          <w:p w14:paraId="445A31A0" w14:textId="77777777" w:rsidR="003974E5" w:rsidRPr="00E002CA" w:rsidRDefault="003974E5" w:rsidP="00606AFA">
            <w:r w:rsidRPr="00E002CA">
              <w:rPr>
                <w:noProof/>
              </w:rPr>
              <w:lastRenderedPageBreak/>
              <w:drawing>
                <wp:inline distT="0" distB="0" distL="0" distR="0" wp14:anchorId="23D27ED9" wp14:editId="5D5906B3">
                  <wp:extent cx="3467100" cy="2717800"/>
                  <wp:effectExtent l="0" t="0" r="0" b="6350"/>
                  <wp:docPr id="103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3"/>
                          <pic:cNvPicPr/>
                        </pic:nvPicPr>
                        <pic:blipFill>
                          <a:blip r:embed="rId13" cstate="print"/>
                          <a:srcRect/>
                          <a:stretch/>
                        </pic:blipFill>
                        <pic:spPr>
                          <a:xfrm>
                            <a:off x="0" y="0"/>
                            <a:ext cx="3467100" cy="2717800"/>
                          </a:xfrm>
                          <a:prstGeom prst="rect">
                            <a:avLst/>
                          </a:prstGeom>
                          <a:ln>
                            <a:noFill/>
                          </a:ln>
                        </pic:spPr>
                      </pic:pic>
                    </a:graphicData>
                  </a:graphic>
                </wp:inline>
              </w:drawing>
            </w:r>
          </w:p>
        </w:tc>
        <w:tc>
          <w:tcPr>
            <w:tcW w:w="5566" w:type="dxa"/>
          </w:tcPr>
          <w:p w14:paraId="532E9533" w14:textId="77777777" w:rsidR="003974E5" w:rsidRPr="00E002CA" w:rsidRDefault="003974E5" w:rsidP="00606AFA">
            <w:r w:rsidRPr="00E002CA">
              <w:rPr>
                <w:noProof/>
              </w:rPr>
              <w:drawing>
                <wp:inline distT="0" distB="0" distL="0" distR="0" wp14:anchorId="3B62DFE3" wp14:editId="5B33DFA7">
                  <wp:extent cx="3381375" cy="2717800"/>
                  <wp:effectExtent l="0" t="0" r="9525" b="6350"/>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4" cstate="print"/>
                          <a:srcRect/>
                          <a:stretch/>
                        </pic:blipFill>
                        <pic:spPr>
                          <a:xfrm>
                            <a:off x="0" y="0"/>
                            <a:ext cx="3381375" cy="2717800"/>
                          </a:xfrm>
                          <a:prstGeom prst="rect">
                            <a:avLst/>
                          </a:prstGeom>
                          <a:ln>
                            <a:noFill/>
                          </a:ln>
                        </pic:spPr>
                      </pic:pic>
                    </a:graphicData>
                  </a:graphic>
                </wp:inline>
              </w:drawing>
            </w:r>
          </w:p>
        </w:tc>
      </w:tr>
      <w:tr w:rsidR="00E002CA" w:rsidRPr="00E002CA" w14:paraId="7DE5046A" w14:textId="77777777" w:rsidTr="003974E5">
        <w:trPr>
          <w:jc w:val="center"/>
        </w:trPr>
        <w:tc>
          <w:tcPr>
            <w:tcW w:w="5676" w:type="dxa"/>
          </w:tcPr>
          <w:p w14:paraId="5C6158F9" w14:textId="75FF27A0" w:rsidR="00E002CA" w:rsidRPr="00E002CA" w:rsidRDefault="00E002CA" w:rsidP="00E002CA">
            <w:r w:rsidRPr="00E002CA">
              <w:t>Medium concentration of PM</w:t>
            </w:r>
            <w:r w:rsidRPr="00E002CA">
              <w:rPr>
                <w:vertAlign w:val="subscript"/>
              </w:rPr>
              <w:t>10</w:t>
            </w:r>
            <w:r w:rsidRPr="00E002CA">
              <w:t xml:space="preserve"> (2.161±0.232 mg/m³)</w:t>
            </w:r>
          </w:p>
        </w:tc>
        <w:tc>
          <w:tcPr>
            <w:tcW w:w="5566" w:type="dxa"/>
          </w:tcPr>
          <w:p w14:paraId="1D9F2898" w14:textId="13FB4B4C" w:rsidR="00E002CA" w:rsidRPr="00E002CA" w:rsidRDefault="00E002CA" w:rsidP="00E002CA">
            <w:r w:rsidRPr="00E002CA">
              <w:t>High concentration of PM</w:t>
            </w:r>
            <w:r w:rsidRPr="00E002CA">
              <w:rPr>
                <w:vertAlign w:val="subscript"/>
              </w:rPr>
              <w:t>10</w:t>
            </w:r>
            <w:r w:rsidRPr="00E002CA">
              <w:t xml:space="preserve"> (2.278±0.221 mg/m³)</w:t>
            </w:r>
          </w:p>
        </w:tc>
      </w:tr>
    </w:tbl>
    <w:p w14:paraId="7DD54E3E" w14:textId="5EE49246" w:rsidR="003974E5" w:rsidRDefault="003974E5" w:rsidP="003974E5">
      <w:pPr>
        <w:jc w:val="both"/>
        <w:rPr>
          <w:b/>
          <w:bCs/>
        </w:rPr>
      </w:pPr>
      <w:r w:rsidRPr="003974E5">
        <w:rPr>
          <w:b/>
          <w:bCs/>
        </w:rPr>
        <w:t xml:space="preserve">Figure </w:t>
      </w:r>
      <w:r>
        <w:rPr>
          <w:b/>
          <w:bCs/>
        </w:rPr>
        <w:t>3</w:t>
      </w:r>
      <w:r w:rsidRPr="003974E5">
        <w:rPr>
          <w:b/>
          <w:bCs/>
        </w:rPr>
        <w:t xml:space="preserve">: </w:t>
      </w:r>
      <w:r w:rsidR="00507576" w:rsidRPr="00507576">
        <w:rPr>
          <w:b/>
          <w:bCs/>
        </w:rPr>
        <w:t>Photomicrograph of the liver tissue showing</w:t>
      </w:r>
      <w:r w:rsidR="00507576">
        <w:t xml:space="preserve"> </w:t>
      </w:r>
      <w:r w:rsidR="00507576">
        <w:rPr>
          <w:b/>
          <w:bCs/>
        </w:rPr>
        <w:t>h</w:t>
      </w:r>
      <w:r w:rsidRPr="003974E5">
        <w:rPr>
          <w:b/>
          <w:bCs/>
        </w:rPr>
        <w:t>istological alterations in liver tissue of Wistar rats following exposure to varying concentrations of PM</w:t>
      </w:r>
      <w:r w:rsidRPr="003974E5">
        <w:rPr>
          <w:b/>
          <w:bCs/>
          <w:vertAlign w:val="subscript"/>
        </w:rPr>
        <w:t>10</w:t>
      </w:r>
      <w:r>
        <w:rPr>
          <w:b/>
          <w:bCs/>
        </w:rPr>
        <w:t xml:space="preserve"> </w:t>
      </w:r>
      <w:r w:rsidRPr="003974E5">
        <w:rPr>
          <w:b/>
          <w:bCs/>
        </w:rPr>
        <w:t xml:space="preserve">carbon soot at day </w:t>
      </w:r>
      <w:r>
        <w:rPr>
          <w:b/>
          <w:bCs/>
        </w:rPr>
        <w:t>14</w:t>
      </w:r>
      <w:r w:rsidR="00E002CA">
        <w:rPr>
          <w:b/>
          <w:bCs/>
        </w:rPr>
        <w:t xml:space="preserve">. Stain: </w:t>
      </w:r>
      <w:r w:rsidR="00E002CA" w:rsidRPr="00507576">
        <w:rPr>
          <w:b/>
          <w:bCs/>
        </w:rPr>
        <w:t>H &amp; E</w:t>
      </w:r>
      <w:r w:rsidR="00E002CA">
        <w:rPr>
          <w:b/>
          <w:bCs/>
        </w:rPr>
        <w:t>; Magnification:</w:t>
      </w:r>
      <w:r w:rsidR="00E002CA" w:rsidRPr="00507576">
        <w:rPr>
          <w:b/>
          <w:bCs/>
        </w:rPr>
        <w:t xml:space="preserve"> X400</w:t>
      </w:r>
    </w:p>
    <w:p w14:paraId="7ACC4AE7" w14:textId="77777777" w:rsidR="003974E5" w:rsidRDefault="003974E5" w:rsidP="00C34526">
      <w:pPr>
        <w:spacing w:line="360" w:lineRule="auto"/>
        <w:jc w:val="both"/>
        <w:rPr>
          <w:b/>
          <w:bCs/>
        </w:rPr>
      </w:pPr>
    </w:p>
    <w:tbl>
      <w:tblPr>
        <w:tblStyle w:val="TableGrid"/>
        <w:tblW w:w="11232" w:type="dxa"/>
        <w:jc w:val="center"/>
        <w:tblLook w:val="04A0" w:firstRow="1" w:lastRow="0" w:firstColumn="1" w:lastColumn="0" w:noHBand="0" w:noVBand="1"/>
      </w:tblPr>
      <w:tblGrid>
        <w:gridCol w:w="5676"/>
        <w:gridCol w:w="5556"/>
      </w:tblGrid>
      <w:tr w:rsidR="003974E5" w:rsidRPr="00E002CA" w14:paraId="36E51BF9" w14:textId="77777777" w:rsidTr="003974E5">
        <w:trPr>
          <w:jc w:val="center"/>
        </w:trPr>
        <w:tc>
          <w:tcPr>
            <w:tcW w:w="5676" w:type="dxa"/>
          </w:tcPr>
          <w:p w14:paraId="07702EAE" w14:textId="77777777" w:rsidR="003974E5" w:rsidRPr="00E002CA" w:rsidRDefault="003974E5" w:rsidP="00606AFA">
            <w:r w:rsidRPr="00E002CA">
              <w:rPr>
                <w:noProof/>
              </w:rPr>
              <w:drawing>
                <wp:inline distT="0" distB="0" distL="0" distR="0" wp14:anchorId="71C057C4" wp14:editId="7AF3F169">
                  <wp:extent cx="3467100" cy="2609850"/>
                  <wp:effectExtent l="0" t="0" r="0" b="0"/>
                  <wp:docPr id="15835174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5556" w:type="dxa"/>
          </w:tcPr>
          <w:p w14:paraId="75BB8B8A" w14:textId="77777777" w:rsidR="003974E5" w:rsidRPr="00E002CA" w:rsidRDefault="003974E5" w:rsidP="00606AFA">
            <w:r w:rsidRPr="00E002CA">
              <w:rPr>
                <w:noProof/>
              </w:rPr>
              <w:drawing>
                <wp:inline distT="0" distB="0" distL="0" distR="0" wp14:anchorId="7B81490B" wp14:editId="29DC2D99">
                  <wp:extent cx="3381375" cy="2609850"/>
                  <wp:effectExtent l="0" t="0" r="9525" b="0"/>
                  <wp:docPr id="10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5" cstate="print"/>
                          <a:srcRect/>
                          <a:stretch/>
                        </pic:blipFill>
                        <pic:spPr>
                          <a:xfrm>
                            <a:off x="0" y="0"/>
                            <a:ext cx="3381375" cy="2609850"/>
                          </a:xfrm>
                          <a:prstGeom prst="rect">
                            <a:avLst/>
                          </a:prstGeom>
                          <a:ln>
                            <a:noFill/>
                          </a:ln>
                        </pic:spPr>
                      </pic:pic>
                    </a:graphicData>
                  </a:graphic>
                </wp:inline>
              </w:drawing>
            </w:r>
          </w:p>
        </w:tc>
      </w:tr>
      <w:tr w:rsidR="00E002CA" w:rsidRPr="00E002CA" w14:paraId="3E99EC99" w14:textId="77777777" w:rsidTr="003974E5">
        <w:trPr>
          <w:jc w:val="center"/>
        </w:trPr>
        <w:tc>
          <w:tcPr>
            <w:tcW w:w="5676" w:type="dxa"/>
          </w:tcPr>
          <w:p w14:paraId="0E6EE405" w14:textId="0BCC0D16" w:rsidR="00E002CA" w:rsidRPr="00E002CA" w:rsidRDefault="00E002CA" w:rsidP="00E002CA">
            <w:r w:rsidRPr="00E002CA">
              <w:t>Control</w:t>
            </w:r>
          </w:p>
        </w:tc>
        <w:tc>
          <w:tcPr>
            <w:tcW w:w="5556" w:type="dxa"/>
          </w:tcPr>
          <w:p w14:paraId="4F2E4F02" w14:textId="6BF960DE" w:rsidR="00E002CA" w:rsidRPr="00E002CA" w:rsidRDefault="00E002CA" w:rsidP="00E002CA">
            <w:r w:rsidRPr="00E002CA">
              <w:t>Low concentration of PM</w:t>
            </w:r>
            <w:r w:rsidRPr="00E002CA">
              <w:rPr>
                <w:vertAlign w:val="subscript"/>
              </w:rPr>
              <w:t>10</w:t>
            </w:r>
            <w:r w:rsidRPr="00E002CA">
              <w:t xml:space="preserve"> (2.131±0.207 mg/m³)</w:t>
            </w:r>
          </w:p>
        </w:tc>
      </w:tr>
      <w:tr w:rsidR="003974E5" w:rsidRPr="00E002CA" w14:paraId="256256F0" w14:textId="77777777" w:rsidTr="003974E5">
        <w:trPr>
          <w:jc w:val="center"/>
        </w:trPr>
        <w:tc>
          <w:tcPr>
            <w:tcW w:w="5676" w:type="dxa"/>
          </w:tcPr>
          <w:p w14:paraId="32168080" w14:textId="77777777" w:rsidR="003974E5" w:rsidRPr="00E002CA" w:rsidRDefault="003974E5" w:rsidP="00606AFA">
            <w:r w:rsidRPr="00E002CA">
              <w:rPr>
                <w:noProof/>
              </w:rPr>
              <w:lastRenderedPageBreak/>
              <w:drawing>
                <wp:inline distT="0" distB="0" distL="0" distR="0" wp14:anchorId="7ECE1122" wp14:editId="42743B4A">
                  <wp:extent cx="3467100" cy="2717800"/>
                  <wp:effectExtent l="0" t="0" r="0" b="6350"/>
                  <wp:docPr id="104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a:blip r:embed="rId16" cstate="print"/>
                          <a:srcRect/>
                          <a:stretch/>
                        </pic:blipFill>
                        <pic:spPr>
                          <a:xfrm>
                            <a:off x="0" y="0"/>
                            <a:ext cx="3467100" cy="2717800"/>
                          </a:xfrm>
                          <a:prstGeom prst="rect">
                            <a:avLst/>
                          </a:prstGeom>
                          <a:ln>
                            <a:noFill/>
                          </a:ln>
                        </pic:spPr>
                      </pic:pic>
                    </a:graphicData>
                  </a:graphic>
                </wp:inline>
              </w:drawing>
            </w:r>
          </w:p>
        </w:tc>
        <w:tc>
          <w:tcPr>
            <w:tcW w:w="5556" w:type="dxa"/>
          </w:tcPr>
          <w:p w14:paraId="244C7CF4" w14:textId="77777777" w:rsidR="003974E5" w:rsidRPr="00E002CA" w:rsidRDefault="003974E5" w:rsidP="00606AFA">
            <w:r w:rsidRPr="00E002CA">
              <w:rPr>
                <w:noProof/>
              </w:rPr>
              <w:drawing>
                <wp:inline distT="0" distB="0" distL="0" distR="0" wp14:anchorId="00135C21" wp14:editId="01C21417">
                  <wp:extent cx="3390900" cy="2667000"/>
                  <wp:effectExtent l="0" t="0" r="0" b="0"/>
                  <wp:docPr id="104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17" cstate="print"/>
                          <a:srcRect/>
                          <a:stretch/>
                        </pic:blipFill>
                        <pic:spPr>
                          <a:xfrm>
                            <a:off x="0" y="0"/>
                            <a:ext cx="3390900" cy="2667000"/>
                          </a:xfrm>
                          <a:prstGeom prst="rect">
                            <a:avLst/>
                          </a:prstGeom>
                          <a:ln>
                            <a:noFill/>
                          </a:ln>
                        </pic:spPr>
                      </pic:pic>
                    </a:graphicData>
                  </a:graphic>
                </wp:inline>
              </w:drawing>
            </w:r>
          </w:p>
        </w:tc>
      </w:tr>
      <w:tr w:rsidR="00E002CA" w:rsidRPr="00E002CA" w14:paraId="7C8ABEA2" w14:textId="77777777" w:rsidTr="003974E5">
        <w:trPr>
          <w:jc w:val="center"/>
        </w:trPr>
        <w:tc>
          <w:tcPr>
            <w:tcW w:w="5676" w:type="dxa"/>
          </w:tcPr>
          <w:p w14:paraId="48ADF4CD" w14:textId="3F297ED1" w:rsidR="00E002CA" w:rsidRPr="00E002CA" w:rsidRDefault="00E002CA" w:rsidP="00E002CA">
            <w:r w:rsidRPr="00E002CA">
              <w:t>Medium concentration of PM</w:t>
            </w:r>
            <w:r w:rsidRPr="00E002CA">
              <w:rPr>
                <w:vertAlign w:val="subscript"/>
              </w:rPr>
              <w:t>10</w:t>
            </w:r>
            <w:r w:rsidRPr="00E002CA">
              <w:t xml:space="preserve"> (2.161±0.232 mg/m³)</w:t>
            </w:r>
          </w:p>
        </w:tc>
        <w:tc>
          <w:tcPr>
            <w:tcW w:w="5556" w:type="dxa"/>
          </w:tcPr>
          <w:p w14:paraId="54953E7A" w14:textId="433A9762" w:rsidR="00E002CA" w:rsidRPr="00E002CA" w:rsidRDefault="00E002CA" w:rsidP="00E002CA">
            <w:r w:rsidRPr="00E002CA">
              <w:t>High concentration of PM</w:t>
            </w:r>
            <w:r w:rsidRPr="00E002CA">
              <w:rPr>
                <w:vertAlign w:val="subscript"/>
              </w:rPr>
              <w:t>10</w:t>
            </w:r>
            <w:r w:rsidRPr="00E002CA">
              <w:t xml:space="preserve"> (2.278±0.221 mg/m³)</w:t>
            </w:r>
          </w:p>
        </w:tc>
      </w:tr>
    </w:tbl>
    <w:p w14:paraId="716CA10E" w14:textId="4F8D27A4" w:rsidR="003974E5" w:rsidRPr="00507576" w:rsidRDefault="003974E5" w:rsidP="003974E5">
      <w:pPr>
        <w:jc w:val="both"/>
        <w:rPr>
          <w:b/>
          <w:bCs/>
        </w:rPr>
      </w:pPr>
      <w:r w:rsidRPr="00507576">
        <w:rPr>
          <w:b/>
          <w:bCs/>
        </w:rPr>
        <w:t xml:space="preserve">Figure 4: </w:t>
      </w:r>
      <w:r w:rsidR="00507576" w:rsidRPr="00507576">
        <w:rPr>
          <w:b/>
          <w:bCs/>
        </w:rPr>
        <w:t>Photomicrograph of the liver tissue showing h</w:t>
      </w:r>
      <w:r w:rsidRPr="00507576">
        <w:rPr>
          <w:b/>
          <w:bCs/>
        </w:rPr>
        <w:t>istological alterations in liver tissue of Wistar rats following exposure to varying concentrations of PM</w:t>
      </w:r>
      <w:r w:rsidRPr="00507576">
        <w:rPr>
          <w:b/>
          <w:bCs/>
          <w:vertAlign w:val="subscript"/>
        </w:rPr>
        <w:t>10</w:t>
      </w:r>
      <w:r w:rsidRPr="00507576">
        <w:rPr>
          <w:b/>
          <w:bCs/>
        </w:rPr>
        <w:t xml:space="preserve"> carbon soot at day 21</w:t>
      </w:r>
      <w:r w:rsidR="00507576" w:rsidRPr="00507576">
        <w:rPr>
          <w:b/>
          <w:bCs/>
        </w:rPr>
        <w:t xml:space="preserve">. </w:t>
      </w:r>
      <w:r w:rsidR="00E002CA">
        <w:rPr>
          <w:b/>
          <w:bCs/>
        </w:rPr>
        <w:t xml:space="preserve">Stain: </w:t>
      </w:r>
      <w:r w:rsidR="00507576" w:rsidRPr="00507576">
        <w:rPr>
          <w:b/>
          <w:bCs/>
        </w:rPr>
        <w:t>H &amp; E</w:t>
      </w:r>
      <w:r w:rsidR="00E002CA">
        <w:rPr>
          <w:b/>
          <w:bCs/>
        </w:rPr>
        <w:t>; Magnification:</w:t>
      </w:r>
      <w:r w:rsidR="00507576" w:rsidRPr="00507576">
        <w:rPr>
          <w:b/>
          <w:bCs/>
        </w:rPr>
        <w:t xml:space="preserve"> X400</w:t>
      </w:r>
    </w:p>
    <w:p w14:paraId="18DD937F" w14:textId="77777777" w:rsidR="003974E5" w:rsidRDefault="003974E5" w:rsidP="00C34526">
      <w:pPr>
        <w:spacing w:line="360" w:lineRule="auto"/>
        <w:jc w:val="both"/>
      </w:pPr>
    </w:p>
    <w:tbl>
      <w:tblPr>
        <w:tblStyle w:val="TableGrid"/>
        <w:tblW w:w="11237" w:type="dxa"/>
        <w:jc w:val="center"/>
        <w:tblLook w:val="04A0" w:firstRow="1" w:lastRow="0" w:firstColumn="1" w:lastColumn="0" w:noHBand="0" w:noVBand="1"/>
      </w:tblPr>
      <w:tblGrid>
        <w:gridCol w:w="5676"/>
        <w:gridCol w:w="5561"/>
      </w:tblGrid>
      <w:tr w:rsidR="003974E5" w:rsidRPr="00E002CA" w14:paraId="1AAD56DB" w14:textId="77777777" w:rsidTr="003974E5">
        <w:trPr>
          <w:jc w:val="center"/>
        </w:trPr>
        <w:tc>
          <w:tcPr>
            <w:tcW w:w="5676" w:type="dxa"/>
          </w:tcPr>
          <w:p w14:paraId="520D4AED" w14:textId="77777777" w:rsidR="003974E5" w:rsidRPr="00E002CA" w:rsidRDefault="003974E5" w:rsidP="00606AFA">
            <w:r w:rsidRPr="00E002CA">
              <w:rPr>
                <w:noProof/>
              </w:rPr>
              <w:drawing>
                <wp:inline distT="0" distB="0" distL="0" distR="0" wp14:anchorId="0E92A113" wp14:editId="2A3A09E7">
                  <wp:extent cx="3467100" cy="2609850"/>
                  <wp:effectExtent l="0" t="0" r="0" b="0"/>
                  <wp:docPr id="687781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5561" w:type="dxa"/>
          </w:tcPr>
          <w:p w14:paraId="63003991" w14:textId="77777777" w:rsidR="003974E5" w:rsidRPr="00E002CA" w:rsidRDefault="003974E5" w:rsidP="00606AFA">
            <w:r w:rsidRPr="00E002CA">
              <w:rPr>
                <w:noProof/>
              </w:rPr>
              <w:drawing>
                <wp:inline distT="0" distB="0" distL="0" distR="0" wp14:anchorId="0F9ABF02" wp14:editId="3E9E6C45">
                  <wp:extent cx="3381375" cy="2609850"/>
                  <wp:effectExtent l="0" t="0" r="9525" b="0"/>
                  <wp:docPr id="104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7"/>
                          <pic:cNvPicPr/>
                        </pic:nvPicPr>
                        <pic:blipFill>
                          <a:blip r:embed="rId18" cstate="print"/>
                          <a:srcRect/>
                          <a:stretch/>
                        </pic:blipFill>
                        <pic:spPr>
                          <a:xfrm>
                            <a:off x="0" y="0"/>
                            <a:ext cx="3381375" cy="2609850"/>
                          </a:xfrm>
                          <a:prstGeom prst="rect">
                            <a:avLst/>
                          </a:prstGeom>
                          <a:ln>
                            <a:noFill/>
                          </a:ln>
                        </pic:spPr>
                      </pic:pic>
                    </a:graphicData>
                  </a:graphic>
                </wp:inline>
              </w:drawing>
            </w:r>
          </w:p>
        </w:tc>
      </w:tr>
      <w:tr w:rsidR="00E002CA" w:rsidRPr="00E002CA" w14:paraId="4FDA8F45" w14:textId="77777777" w:rsidTr="003974E5">
        <w:trPr>
          <w:jc w:val="center"/>
        </w:trPr>
        <w:tc>
          <w:tcPr>
            <w:tcW w:w="5676" w:type="dxa"/>
          </w:tcPr>
          <w:p w14:paraId="06E9C79C" w14:textId="0A9B677C" w:rsidR="00E002CA" w:rsidRPr="00E002CA" w:rsidRDefault="00E002CA" w:rsidP="00E002CA">
            <w:r w:rsidRPr="00E002CA">
              <w:t>Control</w:t>
            </w:r>
          </w:p>
        </w:tc>
        <w:tc>
          <w:tcPr>
            <w:tcW w:w="5561" w:type="dxa"/>
          </w:tcPr>
          <w:p w14:paraId="519B5A0D" w14:textId="04B550E7" w:rsidR="00E002CA" w:rsidRPr="00E002CA" w:rsidRDefault="00E002CA" w:rsidP="00E002CA">
            <w:r w:rsidRPr="00E002CA">
              <w:t>Low concentration of PM</w:t>
            </w:r>
            <w:r w:rsidRPr="00E002CA">
              <w:rPr>
                <w:vertAlign w:val="subscript"/>
              </w:rPr>
              <w:t>10</w:t>
            </w:r>
            <w:r w:rsidRPr="00E002CA">
              <w:t xml:space="preserve"> (2.131±0.207 mg/m³)</w:t>
            </w:r>
          </w:p>
        </w:tc>
      </w:tr>
      <w:tr w:rsidR="003974E5" w:rsidRPr="00E002CA" w14:paraId="087C11A2" w14:textId="77777777" w:rsidTr="003974E5">
        <w:trPr>
          <w:jc w:val="center"/>
        </w:trPr>
        <w:tc>
          <w:tcPr>
            <w:tcW w:w="5676" w:type="dxa"/>
          </w:tcPr>
          <w:p w14:paraId="0EB72F26" w14:textId="77777777" w:rsidR="003974E5" w:rsidRPr="00E002CA" w:rsidRDefault="003974E5" w:rsidP="00606AFA">
            <w:r w:rsidRPr="00E002CA">
              <w:rPr>
                <w:noProof/>
              </w:rPr>
              <w:lastRenderedPageBreak/>
              <w:drawing>
                <wp:inline distT="0" distB="0" distL="0" distR="0" wp14:anchorId="5EAC63EA" wp14:editId="1681E17A">
                  <wp:extent cx="3467100" cy="2546350"/>
                  <wp:effectExtent l="0" t="0" r="0" b="6350"/>
                  <wp:docPr id="104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9"/>
                          <pic:cNvPicPr/>
                        </pic:nvPicPr>
                        <pic:blipFill>
                          <a:blip r:embed="rId19" cstate="print"/>
                          <a:srcRect/>
                          <a:stretch/>
                        </pic:blipFill>
                        <pic:spPr>
                          <a:xfrm>
                            <a:off x="0" y="0"/>
                            <a:ext cx="3467100" cy="2546350"/>
                          </a:xfrm>
                          <a:prstGeom prst="rect">
                            <a:avLst/>
                          </a:prstGeom>
                          <a:ln>
                            <a:noFill/>
                          </a:ln>
                        </pic:spPr>
                      </pic:pic>
                    </a:graphicData>
                  </a:graphic>
                </wp:inline>
              </w:drawing>
            </w:r>
          </w:p>
        </w:tc>
        <w:tc>
          <w:tcPr>
            <w:tcW w:w="5561" w:type="dxa"/>
          </w:tcPr>
          <w:p w14:paraId="2498798E" w14:textId="77777777" w:rsidR="003974E5" w:rsidRPr="00E002CA" w:rsidRDefault="003974E5" w:rsidP="00606AFA">
            <w:r w:rsidRPr="00E002CA">
              <w:rPr>
                <w:noProof/>
              </w:rPr>
              <w:drawing>
                <wp:inline distT="0" distB="0" distL="0" distR="0" wp14:anchorId="0FB3B427" wp14:editId="7C1303CC">
                  <wp:extent cx="3394075" cy="2546350"/>
                  <wp:effectExtent l="0" t="0" r="0" b="6350"/>
                  <wp:docPr id="104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33"/>
                          <pic:cNvPicPr/>
                        </pic:nvPicPr>
                        <pic:blipFill>
                          <a:blip r:embed="rId20" cstate="print"/>
                          <a:srcRect/>
                          <a:stretch/>
                        </pic:blipFill>
                        <pic:spPr>
                          <a:xfrm>
                            <a:off x="0" y="0"/>
                            <a:ext cx="3394075" cy="2546350"/>
                          </a:xfrm>
                          <a:prstGeom prst="rect">
                            <a:avLst/>
                          </a:prstGeom>
                          <a:ln>
                            <a:noFill/>
                          </a:ln>
                        </pic:spPr>
                      </pic:pic>
                    </a:graphicData>
                  </a:graphic>
                </wp:inline>
              </w:drawing>
            </w:r>
          </w:p>
        </w:tc>
      </w:tr>
      <w:tr w:rsidR="00E002CA" w:rsidRPr="00E002CA" w14:paraId="36E1C6C1" w14:textId="77777777" w:rsidTr="003974E5">
        <w:trPr>
          <w:jc w:val="center"/>
        </w:trPr>
        <w:tc>
          <w:tcPr>
            <w:tcW w:w="5676" w:type="dxa"/>
          </w:tcPr>
          <w:p w14:paraId="1ABD2D8D" w14:textId="1169D7F2" w:rsidR="00E002CA" w:rsidRPr="00E002CA" w:rsidRDefault="00E002CA" w:rsidP="00E002CA">
            <w:r w:rsidRPr="00E002CA">
              <w:t>Medium concentration of PM</w:t>
            </w:r>
            <w:r w:rsidRPr="00E002CA">
              <w:rPr>
                <w:vertAlign w:val="subscript"/>
              </w:rPr>
              <w:t>10</w:t>
            </w:r>
            <w:r w:rsidRPr="00E002CA">
              <w:t xml:space="preserve"> (2.161±0.232 mg/m³)</w:t>
            </w:r>
          </w:p>
        </w:tc>
        <w:tc>
          <w:tcPr>
            <w:tcW w:w="5561" w:type="dxa"/>
          </w:tcPr>
          <w:p w14:paraId="66892874" w14:textId="7A27CF34" w:rsidR="00E002CA" w:rsidRPr="00E002CA" w:rsidRDefault="00E002CA" w:rsidP="00E002CA">
            <w:r w:rsidRPr="00E002CA">
              <w:t>High concentration of PM</w:t>
            </w:r>
            <w:r w:rsidRPr="00E002CA">
              <w:rPr>
                <w:vertAlign w:val="subscript"/>
              </w:rPr>
              <w:t>10</w:t>
            </w:r>
            <w:r w:rsidRPr="00E002CA">
              <w:t xml:space="preserve"> (2.278±0.221 mg/m³)</w:t>
            </w:r>
          </w:p>
        </w:tc>
      </w:tr>
    </w:tbl>
    <w:p w14:paraId="679ED910" w14:textId="1AAACF7F" w:rsidR="003974E5" w:rsidRPr="00507576" w:rsidRDefault="003974E5" w:rsidP="003974E5">
      <w:pPr>
        <w:jc w:val="both"/>
        <w:rPr>
          <w:b/>
          <w:bCs/>
        </w:rPr>
      </w:pPr>
      <w:r w:rsidRPr="00507576">
        <w:rPr>
          <w:b/>
          <w:bCs/>
        </w:rPr>
        <w:t xml:space="preserve">Figure </w:t>
      </w:r>
      <w:r w:rsidR="00D14665" w:rsidRPr="00507576">
        <w:rPr>
          <w:b/>
          <w:bCs/>
        </w:rPr>
        <w:t>5</w:t>
      </w:r>
      <w:r w:rsidRPr="00507576">
        <w:rPr>
          <w:b/>
          <w:bCs/>
        </w:rPr>
        <w:t xml:space="preserve">: </w:t>
      </w:r>
      <w:r w:rsidR="00507576" w:rsidRPr="00507576">
        <w:rPr>
          <w:b/>
          <w:bCs/>
        </w:rPr>
        <w:t>Photomicrograph of the liver tissue showing h</w:t>
      </w:r>
      <w:r w:rsidRPr="00507576">
        <w:rPr>
          <w:b/>
          <w:bCs/>
        </w:rPr>
        <w:t>istological alterations in liver tissue of Wistar rats following exposure to varying concentrations of PM</w:t>
      </w:r>
      <w:r w:rsidRPr="00507576">
        <w:rPr>
          <w:b/>
          <w:bCs/>
          <w:vertAlign w:val="subscript"/>
        </w:rPr>
        <w:t>10</w:t>
      </w:r>
      <w:r w:rsidRPr="00507576">
        <w:rPr>
          <w:b/>
          <w:bCs/>
        </w:rPr>
        <w:t xml:space="preserve"> carbon soot at day 28</w:t>
      </w:r>
      <w:r w:rsidR="00507576" w:rsidRPr="00507576">
        <w:rPr>
          <w:b/>
          <w:bCs/>
        </w:rPr>
        <w:t xml:space="preserve">. </w:t>
      </w:r>
      <w:r w:rsidR="00E002CA">
        <w:rPr>
          <w:b/>
          <w:bCs/>
        </w:rPr>
        <w:t xml:space="preserve">Stain: </w:t>
      </w:r>
      <w:r w:rsidR="00E002CA" w:rsidRPr="00507576">
        <w:rPr>
          <w:b/>
          <w:bCs/>
        </w:rPr>
        <w:t>H &amp; E</w:t>
      </w:r>
      <w:r w:rsidR="00E002CA">
        <w:rPr>
          <w:b/>
          <w:bCs/>
        </w:rPr>
        <w:t>; Magnification:</w:t>
      </w:r>
      <w:r w:rsidR="00E002CA" w:rsidRPr="00507576">
        <w:rPr>
          <w:b/>
          <w:bCs/>
        </w:rPr>
        <w:t xml:space="preserve"> X400</w:t>
      </w:r>
    </w:p>
    <w:p w14:paraId="3B08DAF1" w14:textId="77777777" w:rsidR="003974E5" w:rsidRDefault="003974E5" w:rsidP="00C34526">
      <w:pPr>
        <w:spacing w:line="360" w:lineRule="auto"/>
        <w:jc w:val="both"/>
      </w:pPr>
    </w:p>
    <w:p w14:paraId="1B43AF2F" w14:textId="77777777" w:rsidR="000162C3" w:rsidRPr="000162C3" w:rsidRDefault="000162C3" w:rsidP="000162C3">
      <w:pPr>
        <w:spacing w:line="360" w:lineRule="auto"/>
        <w:jc w:val="both"/>
        <w:rPr>
          <w:b/>
          <w:bCs/>
        </w:rPr>
      </w:pPr>
      <w:r w:rsidRPr="000162C3">
        <w:rPr>
          <w:b/>
          <w:bCs/>
        </w:rPr>
        <w:t>TNF-α Expression in Liver Tissue</w:t>
      </w:r>
    </w:p>
    <w:p w14:paraId="4AFD602A" w14:textId="2FE06BCA" w:rsidR="00A6598C" w:rsidRDefault="00A6598C" w:rsidP="00A6598C">
      <w:pPr>
        <w:spacing w:line="360" w:lineRule="auto"/>
        <w:jc w:val="both"/>
      </w:pPr>
      <w:r w:rsidRPr="00A6598C">
        <w:t xml:space="preserve">Hepatic TNF-α levels (pg/mL) increased progressively across exposure groups and time points, closely paralleling the histopathological alterations observed in liver tissue (Table 2). Compared to the control group (8.30±0.20 to 59.25±8.25 pg/mL), exposed groups showed early elevations at day 3, particularly in the moderate (11.40±0.40 pg/mL) and high exposure groups (13.85±0.35 pg/mL). This increase became more pronounced by day 7 (40.65±1.15 and 71.75±3.45 pg/mL in moderate and high groups, respectively), coinciding with early hepatocellular degeneration and sinusoidal dilation. By day 14, TNF-α levels rose further across all exposed groups (23.45±19.45 to 36.15±0.85 pg/mL), corresponding with marked hepatocyte necrosis and inflammatory infiltration. A substantial escalation was observed at day 21, with values reaching 116.50±3.50 and 204.50±7.50 pg/mL in the moderate and high exposure groups, respectively, aligning with severe architectural distortion and vascular congestion. By day 28, peak TNF-α levels were recorded (266.00±39.00 and 295.00±23.00 pg/mL in moderate and high groups, respectively; 119.00±2.00 pg/mL in low exposure), consistent with widespread necrosis, edema, and diffuse inflammatory infiltration. </w:t>
      </w:r>
    </w:p>
    <w:p w14:paraId="78C7BDC5" w14:textId="77777777" w:rsidR="003F3F70" w:rsidRPr="00A6598C" w:rsidRDefault="003F3F70" w:rsidP="00A6598C">
      <w:pPr>
        <w:spacing w:line="360" w:lineRule="auto"/>
        <w:jc w:val="both"/>
      </w:pPr>
    </w:p>
    <w:p w14:paraId="27F415FA" w14:textId="380B3A1D" w:rsidR="00A6598C" w:rsidRPr="005A77F1" w:rsidRDefault="00A6598C" w:rsidP="00A6598C">
      <w:pPr>
        <w:spacing w:line="360" w:lineRule="auto"/>
        <w:jc w:val="both"/>
        <w:rPr>
          <w:b/>
          <w:bCs/>
        </w:rPr>
      </w:pPr>
      <w:r w:rsidRPr="00A6598C">
        <w:rPr>
          <w:b/>
          <w:bCs/>
        </w:rPr>
        <w:t>Table 2: Hepatic TNF-α Levels (pg/mL) Across Experimental Groups Over Time</w:t>
      </w:r>
    </w:p>
    <w:tbl>
      <w:tblPr>
        <w:tblStyle w:val="TableGrid"/>
        <w:tblW w:w="1006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560"/>
        <w:gridCol w:w="1559"/>
        <w:gridCol w:w="1417"/>
        <w:gridCol w:w="1701"/>
        <w:gridCol w:w="1560"/>
      </w:tblGrid>
      <w:tr w:rsidR="003F3F70" w:rsidRPr="003F3F70" w14:paraId="1C5D39BF" w14:textId="77777777" w:rsidTr="003F3F70">
        <w:trPr>
          <w:jc w:val="center"/>
        </w:trPr>
        <w:tc>
          <w:tcPr>
            <w:tcW w:w="2268" w:type="dxa"/>
            <w:tcBorders>
              <w:top w:val="single" w:sz="4" w:space="0" w:color="auto"/>
              <w:bottom w:val="single" w:sz="4" w:space="0" w:color="auto"/>
            </w:tcBorders>
            <w:vAlign w:val="center"/>
            <w:hideMark/>
          </w:tcPr>
          <w:p w14:paraId="2EB9585F" w14:textId="77777777" w:rsidR="005A77F1" w:rsidRPr="003F3F70" w:rsidRDefault="005A77F1" w:rsidP="003F3F70">
            <w:pPr>
              <w:spacing w:line="360" w:lineRule="auto"/>
              <w:rPr>
                <w:b/>
                <w:bCs/>
                <w:sz w:val="20"/>
                <w:szCs w:val="20"/>
              </w:rPr>
            </w:pPr>
            <w:r w:rsidRPr="003F3F70">
              <w:rPr>
                <w:b/>
                <w:bCs/>
                <w:sz w:val="20"/>
                <w:szCs w:val="20"/>
              </w:rPr>
              <w:t>Group</w:t>
            </w:r>
          </w:p>
        </w:tc>
        <w:tc>
          <w:tcPr>
            <w:tcW w:w="1560" w:type="dxa"/>
            <w:tcBorders>
              <w:top w:val="single" w:sz="4" w:space="0" w:color="auto"/>
              <w:bottom w:val="single" w:sz="4" w:space="0" w:color="auto"/>
            </w:tcBorders>
            <w:vAlign w:val="center"/>
            <w:hideMark/>
          </w:tcPr>
          <w:p w14:paraId="177FFC4C" w14:textId="77777777" w:rsidR="005A77F1" w:rsidRPr="003F3F70" w:rsidRDefault="005A77F1" w:rsidP="003F3F70">
            <w:pPr>
              <w:spacing w:line="360" w:lineRule="auto"/>
              <w:rPr>
                <w:b/>
                <w:bCs/>
                <w:sz w:val="20"/>
                <w:szCs w:val="20"/>
              </w:rPr>
            </w:pPr>
            <w:r w:rsidRPr="003F3F70">
              <w:rPr>
                <w:b/>
                <w:bCs/>
                <w:sz w:val="20"/>
                <w:szCs w:val="20"/>
              </w:rPr>
              <w:t>Day 3</w:t>
            </w:r>
          </w:p>
        </w:tc>
        <w:tc>
          <w:tcPr>
            <w:tcW w:w="1559" w:type="dxa"/>
            <w:tcBorders>
              <w:top w:val="single" w:sz="4" w:space="0" w:color="auto"/>
              <w:bottom w:val="single" w:sz="4" w:space="0" w:color="auto"/>
            </w:tcBorders>
            <w:vAlign w:val="center"/>
            <w:hideMark/>
          </w:tcPr>
          <w:p w14:paraId="23FEA389" w14:textId="77777777" w:rsidR="005A77F1" w:rsidRPr="003F3F70" w:rsidRDefault="005A77F1" w:rsidP="003F3F70">
            <w:pPr>
              <w:spacing w:line="360" w:lineRule="auto"/>
              <w:rPr>
                <w:b/>
                <w:bCs/>
                <w:sz w:val="20"/>
                <w:szCs w:val="20"/>
              </w:rPr>
            </w:pPr>
            <w:r w:rsidRPr="003F3F70">
              <w:rPr>
                <w:b/>
                <w:bCs/>
                <w:sz w:val="20"/>
                <w:szCs w:val="20"/>
              </w:rPr>
              <w:t>Day 7</w:t>
            </w:r>
          </w:p>
        </w:tc>
        <w:tc>
          <w:tcPr>
            <w:tcW w:w="1417" w:type="dxa"/>
            <w:tcBorders>
              <w:top w:val="single" w:sz="4" w:space="0" w:color="auto"/>
              <w:bottom w:val="single" w:sz="4" w:space="0" w:color="auto"/>
            </w:tcBorders>
            <w:vAlign w:val="center"/>
            <w:hideMark/>
          </w:tcPr>
          <w:p w14:paraId="7AD493E3" w14:textId="77777777" w:rsidR="005A77F1" w:rsidRPr="003F3F70" w:rsidRDefault="005A77F1" w:rsidP="003F3F70">
            <w:pPr>
              <w:spacing w:line="360" w:lineRule="auto"/>
              <w:rPr>
                <w:b/>
                <w:bCs/>
                <w:sz w:val="20"/>
                <w:szCs w:val="20"/>
              </w:rPr>
            </w:pPr>
            <w:r w:rsidRPr="003F3F70">
              <w:rPr>
                <w:b/>
                <w:bCs/>
                <w:sz w:val="20"/>
                <w:szCs w:val="20"/>
              </w:rPr>
              <w:t>Day 14</w:t>
            </w:r>
          </w:p>
        </w:tc>
        <w:tc>
          <w:tcPr>
            <w:tcW w:w="1701" w:type="dxa"/>
            <w:tcBorders>
              <w:top w:val="single" w:sz="4" w:space="0" w:color="auto"/>
              <w:bottom w:val="single" w:sz="4" w:space="0" w:color="auto"/>
            </w:tcBorders>
            <w:vAlign w:val="center"/>
            <w:hideMark/>
          </w:tcPr>
          <w:p w14:paraId="483A527E" w14:textId="77777777" w:rsidR="005A77F1" w:rsidRPr="003F3F70" w:rsidRDefault="005A77F1" w:rsidP="003F3F70">
            <w:pPr>
              <w:spacing w:line="360" w:lineRule="auto"/>
              <w:rPr>
                <w:b/>
                <w:bCs/>
                <w:sz w:val="20"/>
                <w:szCs w:val="20"/>
              </w:rPr>
            </w:pPr>
            <w:r w:rsidRPr="003F3F70">
              <w:rPr>
                <w:b/>
                <w:bCs/>
                <w:sz w:val="20"/>
                <w:szCs w:val="20"/>
              </w:rPr>
              <w:t>Day 21</w:t>
            </w:r>
          </w:p>
        </w:tc>
        <w:tc>
          <w:tcPr>
            <w:tcW w:w="1560" w:type="dxa"/>
            <w:tcBorders>
              <w:top w:val="single" w:sz="4" w:space="0" w:color="auto"/>
              <w:bottom w:val="single" w:sz="4" w:space="0" w:color="auto"/>
            </w:tcBorders>
            <w:vAlign w:val="center"/>
            <w:hideMark/>
          </w:tcPr>
          <w:p w14:paraId="007B7C53" w14:textId="77777777" w:rsidR="005A77F1" w:rsidRPr="003F3F70" w:rsidRDefault="005A77F1" w:rsidP="003F3F70">
            <w:pPr>
              <w:spacing w:line="360" w:lineRule="auto"/>
              <w:rPr>
                <w:b/>
                <w:bCs/>
                <w:sz w:val="20"/>
                <w:szCs w:val="20"/>
              </w:rPr>
            </w:pPr>
            <w:r w:rsidRPr="003F3F70">
              <w:rPr>
                <w:b/>
                <w:bCs/>
                <w:sz w:val="20"/>
                <w:szCs w:val="20"/>
              </w:rPr>
              <w:t>Day 28</w:t>
            </w:r>
          </w:p>
        </w:tc>
      </w:tr>
      <w:tr w:rsidR="003F3F70" w:rsidRPr="003F3F70" w14:paraId="040CA7B1" w14:textId="77777777" w:rsidTr="003F3F70">
        <w:trPr>
          <w:jc w:val="center"/>
        </w:trPr>
        <w:tc>
          <w:tcPr>
            <w:tcW w:w="2268" w:type="dxa"/>
            <w:tcBorders>
              <w:top w:val="single" w:sz="4" w:space="0" w:color="auto"/>
            </w:tcBorders>
            <w:vAlign w:val="center"/>
            <w:hideMark/>
          </w:tcPr>
          <w:p w14:paraId="3F7D13B4" w14:textId="77777777" w:rsidR="005A77F1" w:rsidRPr="003F3F70" w:rsidRDefault="005A77F1" w:rsidP="003F3F70">
            <w:pPr>
              <w:spacing w:line="360" w:lineRule="auto"/>
              <w:rPr>
                <w:sz w:val="20"/>
                <w:szCs w:val="20"/>
              </w:rPr>
            </w:pPr>
            <w:r w:rsidRPr="003F3F70">
              <w:rPr>
                <w:sz w:val="20"/>
                <w:szCs w:val="20"/>
              </w:rPr>
              <w:t>A (Control)</w:t>
            </w:r>
          </w:p>
        </w:tc>
        <w:tc>
          <w:tcPr>
            <w:tcW w:w="1560" w:type="dxa"/>
            <w:tcBorders>
              <w:top w:val="single" w:sz="4" w:space="0" w:color="auto"/>
            </w:tcBorders>
            <w:vAlign w:val="center"/>
            <w:hideMark/>
          </w:tcPr>
          <w:p w14:paraId="3C69B207" w14:textId="548212E9" w:rsidR="005A77F1" w:rsidRPr="003F3F70" w:rsidRDefault="005A77F1" w:rsidP="003F3F70">
            <w:pPr>
              <w:spacing w:line="360" w:lineRule="auto"/>
              <w:rPr>
                <w:sz w:val="20"/>
                <w:szCs w:val="20"/>
              </w:rPr>
            </w:pPr>
            <w:r w:rsidRPr="003F3F70">
              <w:rPr>
                <w:sz w:val="20"/>
                <w:szCs w:val="20"/>
              </w:rPr>
              <w:t>8.30±0.20</w:t>
            </w:r>
          </w:p>
        </w:tc>
        <w:tc>
          <w:tcPr>
            <w:tcW w:w="1559" w:type="dxa"/>
            <w:tcBorders>
              <w:top w:val="single" w:sz="4" w:space="0" w:color="auto"/>
            </w:tcBorders>
            <w:vAlign w:val="center"/>
            <w:hideMark/>
          </w:tcPr>
          <w:p w14:paraId="3DDF793B" w14:textId="269949AD" w:rsidR="005A77F1" w:rsidRPr="003F3F70" w:rsidRDefault="005A77F1" w:rsidP="003F3F70">
            <w:pPr>
              <w:spacing w:line="360" w:lineRule="auto"/>
              <w:rPr>
                <w:sz w:val="20"/>
                <w:szCs w:val="20"/>
              </w:rPr>
            </w:pPr>
            <w:r w:rsidRPr="003F3F70">
              <w:rPr>
                <w:sz w:val="20"/>
                <w:szCs w:val="20"/>
              </w:rPr>
              <w:t>8.65±1.15</w:t>
            </w:r>
          </w:p>
        </w:tc>
        <w:tc>
          <w:tcPr>
            <w:tcW w:w="1417" w:type="dxa"/>
            <w:tcBorders>
              <w:top w:val="single" w:sz="4" w:space="0" w:color="auto"/>
            </w:tcBorders>
            <w:vAlign w:val="center"/>
            <w:hideMark/>
          </w:tcPr>
          <w:p w14:paraId="413A993C" w14:textId="388EEEDA" w:rsidR="005A77F1" w:rsidRPr="003F3F70" w:rsidRDefault="005A77F1" w:rsidP="003F3F70">
            <w:pPr>
              <w:spacing w:line="360" w:lineRule="auto"/>
              <w:rPr>
                <w:sz w:val="20"/>
                <w:szCs w:val="20"/>
              </w:rPr>
            </w:pPr>
            <w:r w:rsidRPr="003F3F70">
              <w:rPr>
                <w:sz w:val="20"/>
                <w:szCs w:val="20"/>
              </w:rPr>
              <w:t>9.55±0.25</w:t>
            </w:r>
          </w:p>
        </w:tc>
        <w:tc>
          <w:tcPr>
            <w:tcW w:w="1701" w:type="dxa"/>
            <w:tcBorders>
              <w:top w:val="single" w:sz="4" w:space="0" w:color="auto"/>
            </w:tcBorders>
            <w:vAlign w:val="center"/>
            <w:hideMark/>
          </w:tcPr>
          <w:p w14:paraId="0015739C" w14:textId="4B411A4D" w:rsidR="005A77F1" w:rsidRPr="003F3F70" w:rsidRDefault="005A77F1" w:rsidP="003F3F70">
            <w:pPr>
              <w:spacing w:line="360" w:lineRule="auto"/>
              <w:rPr>
                <w:sz w:val="20"/>
                <w:szCs w:val="20"/>
              </w:rPr>
            </w:pPr>
            <w:r w:rsidRPr="003F3F70">
              <w:rPr>
                <w:sz w:val="20"/>
                <w:szCs w:val="20"/>
              </w:rPr>
              <w:t>20.75±7.15</w:t>
            </w:r>
          </w:p>
        </w:tc>
        <w:tc>
          <w:tcPr>
            <w:tcW w:w="1560" w:type="dxa"/>
            <w:tcBorders>
              <w:top w:val="single" w:sz="4" w:space="0" w:color="auto"/>
            </w:tcBorders>
            <w:vAlign w:val="center"/>
            <w:hideMark/>
          </w:tcPr>
          <w:p w14:paraId="5200CEDC" w14:textId="06B0B034" w:rsidR="005A77F1" w:rsidRPr="003F3F70" w:rsidRDefault="005A77F1" w:rsidP="003F3F70">
            <w:pPr>
              <w:spacing w:line="360" w:lineRule="auto"/>
              <w:rPr>
                <w:sz w:val="20"/>
                <w:szCs w:val="20"/>
              </w:rPr>
            </w:pPr>
            <w:r w:rsidRPr="003F3F70">
              <w:rPr>
                <w:sz w:val="20"/>
                <w:szCs w:val="20"/>
              </w:rPr>
              <w:t>59.25±8.25</w:t>
            </w:r>
          </w:p>
        </w:tc>
      </w:tr>
      <w:tr w:rsidR="003F3F70" w:rsidRPr="003F3F70" w14:paraId="76349B32" w14:textId="77777777" w:rsidTr="003F3F70">
        <w:trPr>
          <w:jc w:val="center"/>
        </w:trPr>
        <w:tc>
          <w:tcPr>
            <w:tcW w:w="2268" w:type="dxa"/>
            <w:vAlign w:val="center"/>
            <w:hideMark/>
          </w:tcPr>
          <w:p w14:paraId="7489E346" w14:textId="77777777" w:rsidR="005A77F1" w:rsidRPr="003F3F70" w:rsidRDefault="005A77F1" w:rsidP="003F3F70">
            <w:pPr>
              <w:spacing w:line="360" w:lineRule="auto"/>
              <w:rPr>
                <w:sz w:val="20"/>
                <w:szCs w:val="20"/>
              </w:rPr>
            </w:pPr>
            <w:r w:rsidRPr="003F3F70">
              <w:rPr>
                <w:sz w:val="20"/>
                <w:szCs w:val="20"/>
              </w:rPr>
              <w:t>B (Low exposure)</w:t>
            </w:r>
          </w:p>
        </w:tc>
        <w:tc>
          <w:tcPr>
            <w:tcW w:w="1560" w:type="dxa"/>
            <w:vAlign w:val="center"/>
            <w:hideMark/>
          </w:tcPr>
          <w:p w14:paraId="68E0FA8D" w14:textId="63CA87E5" w:rsidR="005A77F1" w:rsidRPr="003F3F70" w:rsidRDefault="005A77F1" w:rsidP="003F3F70">
            <w:pPr>
              <w:spacing w:line="360" w:lineRule="auto"/>
              <w:rPr>
                <w:sz w:val="20"/>
                <w:szCs w:val="20"/>
              </w:rPr>
            </w:pPr>
            <w:r w:rsidRPr="003F3F70">
              <w:rPr>
                <w:sz w:val="20"/>
                <w:szCs w:val="20"/>
              </w:rPr>
              <w:t>9.25±0.25</w:t>
            </w:r>
          </w:p>
        </w:tc>
        <w:tc>
          <w:tcPr>
            <w:tcW w:w="1559" w:type="dxa"/>
            <w:vAlign w:val="center"/>
            <w:hideMark/>
          </w:tcPr>
          <w:p w14:paraId="19F8D276" w14:textId="26F5123C" w:rsidR="005A77F1" w:rsidRPr="003F3F70" w:rsidRDefault="005A77F1" w:rsidP="003F3F70">
            <w:pPr>
              <w:spacing w:line="360" w:lineRule="auto"/>
              <w:rPr>
                <w:sz w:val="20"/>
                <w:szCs w:val="20"/>
              </w:rPr>
            </w:pPr>
            <w:r w:rsidRPr="003F3F70">
              <w:rPr>
                <w:sz w:val="20"/>
                <w:szCs w:val="20"/>
              </w:rPr>
              <w:t>9.65±0.75</w:t>
            </w:r>
          </w:p>
        </w:tc>
        <w:tc>
          <w:tcPr>
            <w:tcW w:w="1417" w:type="dxa"/>
            <w:vAlign w:val="center"/>
            <w:hideMark/>
          </w:tcPr>
          <w:p w14:paraId="79AEA72B" w14:textId="388A04E1" w:rsidR="005A77F1" w:rsidRPr="003F3F70" w:rsidRDefault="005A77F1" w:rsidP="003F3F70">
            <w:pPr>
              <w:spacing w:line="360" w:lineRule="auto"/>
              <w:rPr>
                <w:sz w:val="20"/>
                <w:szCs w:val="20"/>
              </w:rPr>
            </w:pPr>
            <w:r w:rsidRPr="003F3F70">
              <w:rPr>
                <w:sz w:val="20"/>
                <w:szCs w:val="20"/>
              </w:rPr>
              <w:t>23.45±19.45</w:t>
            </w:r>
          </w:p>
        </w:tc>
        <w:tc>
          <w:tcPr>
            <w:tcW w:w="1701" w:type="dxa"/>
            <w:vAlign w:val="center"/>
            <w:hideMark/>
          </w:tcPr>
          <w:p w14:paraId="3C502691" w14:textId="1C5FF161" w:rsidR="005A77F1" w:rsidRPr="003F3F70" w:rsidRDefault="005A77F1" w:rsidP="003F3F70">
            <w:pPr>
              <w:spacing w:line="360" w:lineRule="auto"/>
              <w:rPr>
                <w:sz w:val="20"/>
                <w:szCs w:val="20"/>
              </w:rPr>
            </w:pPr>
            <w:r w:rsidRPr="003F3F70">
              <w:rPr>
                <w:sz w:val="20"/>
                <w:szCs w:val="20"/>
              </w:rPr>
              <w:t>26.35±0.85</w:t>
            </w:r>
          </w:p>
        </w:tc>
        <w:tc>
          <w:tcPr>
            <w:tcW w:w="1560" w:type="dxa"/>
            <w:vAlign w:val="center"/>
            <w:hideMark/>
          </w:tcPr>
          <w:p w14:paraId="69E44B96" w14:textId="01606181" w:rsidR="005A77F1" w:rsidRPr="003F3F70" w:rsidRDefault="005A77F1" w:rsidP="003F3F70">
            <w:pPr>
              <w:spacing w:line="360" w:lineRule="auto"/>
              <w:rPr>
                <w:sz w:val="20"/>
                <w:szCs w:val="20"/>
              </w:rPr>
            </w:pPr>
            <w:r w:rsidRPr="003F3F70">
              <w:rPr>
                <w:sz w:val="20"/>
                <w:szCs w:val="20"/>
              </w:rPr>
              <w:t>119.00±2.00</w:t>
            </w:r>
          </w:p>
        </w:tc>
      </w:tr>
      <w:tr w:rsidR="003F3F70" w:rsidRPr="003F3F70" w14:paraId="0D54F7FA" w14:textId="77777777" w:rsidTr="003F3F70">
        <w:trPr>
          <w:jc w:val="center"/>
        </w:trPr>
        <w:tc>
          <w:tcPr>
            <w:tcW w:w="2268" w:type="dxa"/>
            <w:vAlign w:val="center"/>
            <w:hideMark/>
          </w:tcPr>
          <w:p w14:paraId="5B32C7F8" w14:textId="77777777" w:rsidR="005A77F1" w:rsidRPr="003F3F70" w:rsidRDefault="005A77F1" w:rsidP="003F3F70">
            <w:pPr>
              <w:spacing w:line="360" w:lineRule="auto"/>
              <w:rPr>
                <w:sz w:val="20"/>
                <w:szCs w:val="20"/>
              </w:rPr>
            </w:pPr>
            <w:r w:rsidRPr="003F3F70">
              <w:rPr>
                <w:sz w:val="20"/>
                <w:szCs w:val="20"/>
              </w:rPr>
              <w:lastRenderedPageBreak/>
              <w:t>C (Moderate exposure)</w:t>
            </w:r>
          </w:p>
        </w:tc>
        <w:tc>
          <w:tcPr>
            <w:tcW w:w="1560" w:type="dxa"/>
            <w:vAlign w:val="center"/>
            <w:hideMark/>
          </w:tcPr>
          <w:p w14:paraId="462E6A35" w14:textId="183E14AC" w:rsidR="005A77F1" w:rsidRPr="003F3F70" w:rsidRDefault="005A77F1" w:rsidP="003F3F70">
            <w:pPr>
              <w:spacing w:line="360" w:lineRule="auto"/>
              <w:rPr>
                <w:sz w:val="20"/>
                <w:szCs w:val="20"/>
              </w:rPr>
            </w:pPr>
            <w:r w:rsidRPr="003F3F70">
              <w:rPr>
                <w:sz w:val="20"/>
                <w:szCs w:val="20"/>
              </w:rPr>
              <w:t>11.40±0.40**</w:t>
            </w:r>
          </w:p>
        </w:tc>
        <w:tc>
          <w:tcPr>
            <w:tcW w:w="1559" w:type="dxa"/>
            <w:vAlign w:val="center"/>
            <w:hideMark/>
          </w:tcPr>
          <w:p w14:paraId="7DAD496B" w14:textId="223AC152" w:rsidR="005A77F1" w:rsidRPr="003F3F70" w:rsidRDefault="005A77F1" w:rsidP="003F3F70">
            <w:pPr>
              <w:spacing w:line="360" w:lineRule="auto"/>
              <w:rPr>
                <w:sz w:val="20"/>
                <w:szCs w:val="20"/>
              </w:rPr>
            </w:pPr>
            <w:r w:rsidRPr="003F3F70">
              <w:rPr>
                <w:sz w:val="20"/>
                <w:szCs w:val="20"/>
              </w:rPr>
              <w:t>40.65±1.15**</w:t>
            </w:r>
          </w:p>
        </w:tc>
        <w:tc>
          <w:tcPr>
            <w:tcW w:w="1417" w:type="dxa"/>
            <w:vAlign w:val="center"/>
            <w:hideMark/>
          </w:tcPr>
          <w:p w14:paraId="7BE689B9" w14:textId="27E52776" w:rsidR="005A77F1" w:rsidRPr="003F3F70" w:rsidRDefault="005A77F1" w:rsidP="003F3F70">
            <w:pPr>
              <w:spacing w:line="360" w:lineRule="auto"/>
              <w:rPr>
                <w:sz w:val="20"/>
                <w:szCs w:val="20"/>
              </w:rPr>
            </w:pPr>
            <w:r w:rsidRPr="003F3F70">
              <w:rPr>
                <w:sz w:val="20"/>
                <w:szCs w:val="20"/>
              </w:rPr>
              <w:t>22.05±0.25</w:t>
            </w:r>
          </w:p>
        </w:tc>
        <w:tc>
          <w:tcPr>
            <w:tcW w:w="1701" w:type="dxa"/>
            <w:vAlign w:val="center"/>
            <w:hideMark/>
          </w:tcPr>
          <w:p w14:paraId="563E8826" w14:textId="698F8AA7" w:rsidR="005A77F1" w:rsidRPr="003F3F70" w:rsidRDefault="005A77F1" w:rsidP="003F3F70">
            <w:pPr>
              <w:spacing w:line="360" w:lineRule="auto"/>
              <w:rPr>
                <w:sz w:val="20"/>
                <w:szCs w:val="20"/>
              </w:rPr>
            </w:pPr>
            <w:r w:rsidRPr="003F3F70">
              <w:rPr>
                <w:sz w:val="20"/>
                <w:szCs w:val="20"/>
              </w:rPr>
              <w:t>116.50±3.50***</w:t>
            </w:r>
          </w:p>
        </w:tc>
        <w:tc>
          <w:tcPr>
            <w:tcW w:w="1560" w:type="dxa"/>
            <w:vAlign w:val="center"/>
            <w:hideMark/>
          </w:tcPr>
          <w:p w14:paraId="37FA0314" w14:textId="4F1F6FD8" w:rsidR="005A77F1" w:rsidRPr="003F3F70" w:rsidRDefault="005A77F1" w:rsidP="003F3F70">
            <w:pPr>
              <w:spacing w:line="360" w:lineRule="auto"/>
              <w:rPr>
                <w:sz w:val="20"/>
                <w:szCs w:val="20"/>
              </w:rPr>
            </w:pPr>
            <w:r w:rsidRPr="003F3F70">
              <w:rPr>
                <w:sz w:val="20"/>
                <w:szCs w:val="20"/>
              </w:rPr>
              <w:t>266.00±39.00*</w:t>
            </w:r>
          </w:p>
        </w:tc>
      </w:tr>
      <w:tr w:rsidR="003F3F70" w:rsidRPr="003F3F70" w14:paraId="51EE2FEF" w14:textId="77777777" w:rsidTr="003F3F70">
        <w:trPr>
          <w:jc w:val="center"/>
        </w:trPr>
        <w:tc>
          <w:tcPr>
            <w:tcW w:w="2268" w:type="dxa"/>
            <w:vAlign w:val="center"/>
            <w:hideMark/>
          </w:tcPr>
          <w:p w14:paraId="0FB9DFE8" w14:textId="77777777" w:rsidR="005A77F1" w:rsidRPr="003F3F70" w:rsidRDefault="005A77F1" w:rsidP="003F3F70">
            <w:pPr>
              <w:spacing w:line="360" w:lineRule="auto"/>
              <w:rPr>
                <w:sz w:val="20"/>
                <w:szCs w:val="20"/>
              </w:rPr>
            </w:pPr>
            <w:r w:rsidRPr="003F3F70">
              <w:rPr>
                <w:sz w:val="20"/>
                <w:szCs w:val="20"/>
              </w:rPr>
              <w:t>D (High exposure)</w:t>
            </w:r>
          </w:p>
        </w:tc>
        <w:tc>
          <w:tcPr>
            <w:tcW w:w="1560" w:type="dxa"/>
            <w:vAlign w:val="center"/>
            <w:hideMark/>
          </w:tcPr>
          <w:p w14:paraId="68CF6F97" w14:textId="76CEA19B" w:rsidR="005A77F1" w:rsidRPr="003F3F70" w:rsidRDefault="005A77F1" w:rsidP="003F3F70">
            <w:pPr>
              <w:spacing w:line="360" w:lineRule="auto"/>
              <w:rPr>
                <w:sz w:val="20"/>
                <w:szCs w:val="20"/>
              </w:rPr>
            </w:pPr>
            <w:r w:rsidRPr="003F3F70">
              <w:rPr>
                <w:sz w:val="20"/>
                <w:szCs w:val="20"/>
              </w:rPr>
              <w:t>13.85±0.35***</w:t>
            </w:r>
          </w:p>
        </w:tc>
        <w:tc>
          <w:tcPr>
            <w:tcW w:w="1559" w:type="dxa"/>
            <w:vAlign w:val="center"/>
            <w:hideMark/>
          </w:tcPr>
          <w:p w14:paraId="78F8E96A" w14:textId="6B375344" w:rsidR="005A77F1" w:rsidRPr="003F3F70" w:rsidRDefault="005A77F1" w:rsidP="003F3F70">
            <w:pPr>
              <w:spacing w:line="360" w:lineRule="auto"/>
              <w:rPr>
                <w:sz w:val="20"/>
                <w:szCs w:val="20"/>
              </w:rPr>
            </w:pPr>
            <w:r w:rsidRPr="003F3F70">
              <w:rPr>
                <w:sz w:val="20"/>
                <w:szCs w:val="20"/>
              </w:rPr>
              <w:t>71.75±3.45***</w:t>
            </w:r>
          </w:p>
        </w:tc>
        <w:tc>
          <w:tcPr>
            <w:tcW w:w="1417" w:type="dxa"/>
            <w:vAlign w:val="center"/>
            <w:hideMark/>
          </w:tcPr>
          <w:p w14:paraId="001F877D" w14:textId="12073367" w:rsidR="005A77F1" w:rsidRPr="003F3F70" w:rsidRDefault="005A77F1" w:rsidP="003F3F70">
            <w:pPr>
              <w:spacing w:line="360" w:lineRule="auto"/>
              <w:rPr>
                <w:sz w:val="20"/>
                <w:szCs w:val="20"/>
              </w:rPr>
            </w:pPr>
            <w:r w:rsidRPr="003F3F70">
              <w:rPr>
                <w:sz w:val="20"/>
                <w:szCs w:val="20"/>
              </w:rPr>
              <w:t>36.15±0.85</w:t>
            </w:r>
          </w:p>
        </w:tc>
        <w:tc>
          <w:tcPr>
            <w:tcW w:w="1701" w:type="dxa"/>
            <w:vAlign w:val="center"/>
            <w:hideMark/>
          </w:tcPr>
          <w:p w14:paraId="549D832D" w14:textId="68F9F869" w:rsidR="005A77F1" w:rsidRPr="003F3F70" w:rsidRDefault="005A77F1" w:rsidP="003F3F70">
            <w:pPr>
              <w:spacing w:line="360" w:lineRule="auto"/>
              <w:rPr>
                <w:sz w:val="20"/>
                <w:szCs w:val="20"/>
              </w:rPr>
            </w:pPr>
            <w:r w:rsidRPr="003F3F70">
              <w:rPr>
                <w:sz w:val="20"/>
                <w:szCs w:val="20"/>
              </w:rPr>
              <w:t>204.50±7.50***</w:t>
            </w:r>
          </w:p>
        </w:tc>
        <w:tc>
          <w:tcPr>
            <w:tcW w:w="1560" w:type="dxa"/>
            <w:vAlign w:val="center"/>
            <w:hideMark/>
          </w:tcPr>
          <w:p w14:paraId="39BE3B1A" w14:textId="557A32C0" w:rsidR="005A77F1" w:rsidRPr="003F3F70" w:rsidRDefault="005A77F1" w:rsidP="003F3F70">
            <w:pPr>
              <w:spacing w:line="360" w:lineRule="auto"/>
              <w:rPr>
                <w:sz w:val="20"/>
                <w:szCs w:val="20"/>
              </w:rPr>
            </w:pPr>
            <w:r w:rsidRPr="003F3F70">
              <w:rPr>
                <w:sz w:val="20"/>
                <w:szCs w:val="20"/>
              </w:rPr>
              <w:t>295.00±23.00**</w:t>
            </w:r>
          </w:p>
        </w:tc>
      </w:tr>
    </w:tbl>
    <w:p w14:paraId="57E160C9" w14:textId="0A1A6233" w:rsidR="005A77F1" w:rsidRPr="00C34526" w:rsidRDefault="00F8457B" w:rsidP="00F8457B">
      <w:pPr>
        <w:jc w:val="both"/>
        <w:rPr>
          <w:sz w:val="18"/>
          <w:szCs w:val="18"/>
        </w:rPr>
      </w:pPr>
      <w:r w:rsidRPr="00F8457B">
        <w:rPr>
          <w:sz w:val="18"/>
          <w:szCs w:val="18"/>
        </w:rPr>
        <w:t>Values are presented as mean ± standard error of mean (SEM). Experimental groups (B–D) were compared with Group A (control). Statistical significance was determined using ANOVA followed by Tukey’s post-hoc test: *p &lt; 0.05, **p &lt; 0.01, ***p &lt; 0.001.</w:t>
      </w:r>
    </w:p>
    <w:p w14:paraId="6EC7EC55" w14:textId="77777777" w:rsidR="003F3F70" w:rsidRDefault="003F3F70" w:rsidP="00F8457B">
      <w:pPr>
        <w:spacing w:line="360" w:lineRule="auto"/>
        <w:jc w:val="both"/>
        <w:rPr>
          <w:b/>
          <w:bCs/>
        </w:rPr>
      </w:pPr>
    </w:p>
    <w:p w14:paraId="5175DD94" w14:textId="36D01A32" w:rsidR="00A6598C" w:rsidRPr="00A6598C" w:rsidRDefault="00A6598C" w:rsidP="00A6598C">
      <w:pPr>
        <w:spacing w:line="360" w:lineRule="auto"/>
        <w:jc w:val="both"/>
        <w:rPr>
          <w:b/>
          <w:bCs/>
        </w:rPr>
      </w:pPr>
      <w:r w:rsidRPr="00A6598C">
        <w:rPr>
          <w:b/>
          <w:bCs/>
        </w:rPr>
        <w:t>Effects of PM</w:t>
      </w:r>
      <w:r w:rsidR="00F609E1" w:rsidRPr="00F609E1">
        <w:rPr>
          <w:b/>
          <w:bCs/>
          <w:vertAlign w:val="subscript"/>
        </w:rPr>
        <w:t>10</w:t>
      </w:r>
      <w:r w:rsidR="00F609E1">
        <w:rPr>
          <w:b/>
          <w:bCs/>
        </w:rPr>
        <w:t xml:space="preserve"> </w:t>
      </w:r>
      <w:r w:rsidRPr="00A6598C">
        <w:rPr>
          <w:b/>
          <w:bCs/>
        </w:rPr>
        <w:t>Exposure on Anxiety-Like Behaviour (Elevated Plus Maze)</w:t>
      </w:r>
    </w:p>
    <w:p w14:paraId="1D5A18C1" w14:textId="3CD1E668" w:rsidR="009D7EFE" w:rsidRPr="009D7EFE" w:rsidRDefault="009D7EFE" w:rsidP="009D7EFE">
      <w:pPr>
        <w:spacing w:line="360" w:lineRule="auto"/>
        <w:jc w:val="both"/>
      </w:pPr>
      <w:r w:rsidRPr="009D7EFE">
        <w:t>Elevated Plus Maze performance showed alterations in exploratory and anxiety-related behaviours across exposure groups (Table 3). Compared to the control group, the low exposure group exhibited reduced open arm entries (1.08±0.08 vs 1.33±0.21) and open arm duration (7.00±1.51 s vs 10.67±5.64 s), alongside decreased closed arm duration (194.10±20.50 s vs 236.55±1.53 s), suggesting increased anxiety-like behaviour.</w:t>
      </w:r>
      <w:r>
        <w:t xml:space="preserve"> </w:t>
      </w:r>
      <w:r w:rsidRPr="009D7EFE">
        <w:t>The low-medium exposure group demonstrated a distinct behavioural profile characterized by increased open arm duration (31.00±27.00 s) and reduced closed arm entries (1.56±0.18), which may indicate a paradoxical anxiolytic-like effect at this exposure level. This group also showed markedly increased rearing activity (15.86±4.68) and elevated central square duration (39.10±22.70 s), suggesting heightened exploratory and risk assessment behaviours rather than the expected anxiety-like response. The high variability within this group, as reflected by the large standard error for open arm duration, may indicate differential individual susceptibility to moderate exposure levels or a transitional state in the dose-response relationship.</w:t>
      </w:r>
    </w:p>
    <w:p w14:paraId="70B87991" w14:textId="7D18DF3E" w:rsidR="009D7EFE" w:rsidRPr="009D7EFE" w:rsidRDefault="009D7EFE" w:rsidP="00D54592">
      <w:pPr>
        <w:spacing w:after="240" w:line="360" w:lineRule="auto"/>
        <w:jc w:val="both"/>
      </w:pPr>
      <w:r w:rsidRPr="009D7EFE">
        <w:t>The medium exposure group showed reduced open arm duration (9.50±2.47 s) and relatively high closed arm duration (229.14±8.49 s), consistent with anxiety-like responses more similar to the low exposure group.</w:t>
      </w:r>
      <w:r>
        <w:t xml:space="preserve"> </w:t>
      </w:r>
      <w:r w:rsidRPr="009D7EFE">
        <w:t>Central square duration was elevated in all exposed groups, particularly in the low-medium group (39.10±22.70 s), indicating increased risk assessment behaviour. Exploratory behaviours such as head dipping decreased in the low-medium (2.30±0.45) and medium exposure groups (2.47±0.34) compared to control (3.25±0.74), further suggesting reduced exploratory drive. Rearing activity was markedly increased in the low-medium group (15.86±4.68) but reduced in the medium exposure group (3.83±0.34), indicating a non-linear, potentially U-shaped, behavioural response pattern with increasing exposure concentration.</w:t>
      </w:r>
      <w:r>
        <w:t xml:space="preserve"> </w:t>
      </w:r>
      <w:r w:rsidRPr="009D7EFE">
        <w:t>Other parameters, including grooming (82.90–87.60 s), urination (1.00–1.53), defecation (2.87–4.00), and locomotion (2.77–4.22), showed no consistent pattern across groups.</w:t>
      </w:r>
    </w:p>
    <w:p w14:paraId="69651131" w14:textId="69747276" w:rsidR="00A6598C" w:rsidRPr="00A6598C" w:rsidRDefault="00F8457B" w:rsidP="00A6598C">
      <w:pPr>
        <w:spacing w:line="360" w:lineRule="auto"/>
        <w:jc w:val="both"/>
        <w:rPr>
          <w:b/>
          <w:bCs/>
        </w:rPr>
      </w:pPr>
      <w:r w:rsidRPr="00F8457B">
        <w:rPr>
          <w:b/>
          <w:bCs/>
        </w:rPr>
        <w:t xml:space="preserve">Table </w:t>
      </w:r>
      <w:r w:rsidR="00A6598C">
        <w:rPr>
          <w:b/>
          <w:bCs/>
        </w:rPr>
        <w:t>3</w:t>
      </w:r>
      <w:r w:rsidRPr="00F8457B">
        <w:rPr>
          <w:b/>
          <w:bCs/>
        </w:rPr>
        <w:t>: Elevated Plus Maze Performance Across Experimental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1302"/>
        <w:gridCol w:w="1671"/>
        <w:gridCol w:w="1530"/>
        <w:gridCol w:w="1761"/>
        <w:gridCol w:w="1326"/>
      </w:tblGrid>
      <w:tr w:rsidR="00A6598C" w:rsidRPr="009D7EFE" w14:paraId="6F67F393" w14:textId="77777777" w:rsidTr="009D7EFE">
        <w:tc>
          <w:tcPr>
            <w:tcW w:w="0" w:type="auto"/>
            <w:tcBorders>
              <w:top w:val="single" w:sz="4" w:space="0" w:color="auto"/>
              <w:bottom w:val="single" w:sz="4" w:space="0" w:color="auto"/>
            </w:tcBorders>
            <w:vAlign w:val="center"/>
            <w:hideMark/>
          </w:tcPr>
          <w:p w14:paraId="65516CB9" w14:textId="77777777" w:rsidR="00A6598C" w:rsidRPr="009D7EFE" w:rsidRDefault="00A6598C" w:rsidP="00A6598C">
            <w:pPr>
              <w:spacing w:line="360" w:lineRule="auto"/>
              <w:jc w:val="both"/>
              <w:rPr>
                <w:b/>
                <w:bCs/>
                <w:sz w:val="20"/>
                <w:szCs w:val="20"/>
              </w:rPr>
            </w:pPr>
            <w:r w:rsidRPr="009D7EFE">
              <w:rPr>
                <w:b/>
                <w:bCs/>
                <w:sz w:val="20"/>
                <w:szCs w:val="20"/>
              </w:rPr>
              <w:t>Parameter</w:t>
            </w:r>
          </w:p>
        </w:tc>
        <w:tc>
          <w:tcPr>
            <w:tcW w:w="1302" w:type="dxa"/>
            <w:tcBorders>
              <w:top w:val="single" w:sz="4" w:space="0" w:color="auto"/>
              <w:bottom w:val="single" w:sz="4" w:space="0" w:color="auto"/>
            </w:tcBorders>
            <w:vAlign w:val="center"/>
            <w:hideMark/>
          </w:tcPr>
          <w:p w14:paraId="7FC4F2EF" w14:textId="77777777" w:rsidR="00A6598C" w:rsidRPr="009D7EFE" w:rsidRDefault="00A6598C" w:rsidP="00A6598C">
            <w:pPr>
              <w:spacing w:line="360" w:lineRule="auto"/>
              <w:jc w:val="both"/>
              <w:rPr>
                <w:b/>
                <w:bCs/>
                <w:sz w:val="20"/>
                <w:szCs w:val="20"/>
              </w:rPr>
            </w:pPr>
            <w:r w:rsidRPr="009D7EFE">
              <w:rPr>
                <w:b/>
                <w:bCs/>
                <w:sz w:val="20"/>
                <w:szCs w:val="20"/>
              </w:rPr>
              <w:t>Unit</w:t>
            </w:r>
          </w:p>
        </w:tc>
        <w:tc>
          <w:tcPr>
            <w:tcW w:w="1671" w:type="dxa"/>
            <w:tcBorders>
              <w:top w:val="single" w:sz="4" w:space="0" w:color="auto"/>
              <w:bottom w:val="single" w:sz="4" w:space="0" w:color="auto"/>
            </w:tcBorders>
            <w:vAlign w:val="center"/>
            <w:hideMark/>
          </w:tcPr>
          <w:p w14:paraId="0F8D41E8" w14:textId="77777777" w:rsidR="00A6598C" w:rsidRPr="009D7EFE" w:rsidRDefault="00A6598C" w:rsidP="00A6598C">
            <w:pPr>
              <w:spacing w:line="360" w:lineRule="auto"/>
              <w:rPr>
                <w:b/>
                <w:bCs/>
                <w:sz w:val="20"/>
                <w:szCs w:val="20"/>
              </w:rPr>
            </w:pPr>
            <w:r w:rsidRPr="009D7EFE">
              <w:rPr>
                <w:b/>
                <w:bCs/>
                <w:sz w:val="20"/>
                <w:szCs w:val="20"/>
              </w:rPr>
              <w:t>Group A</w:t>
            </w:r>
          </w:p>
          <w:p w14:paraId="41A8B316" w14:textId="7603EC4D" w:rsidR="00A6598C" w:rsidRPr="009D7EFE" w:rsidRDefault="00A6598C" w:rsidP="00A6598C">
            <w:pPr>
              <w:spacing w:line="360" w:lineRule="auto"/>
              <w:rPr>
                <w:b/>
                <w:bCs/>
                <w:sz w:val="20"/>
                <w:szCs w:val="20"/>
              </w:rPr>
            </w:pPr>
            <w:r w:rsidRPr="009D7EFE">
              <w:rPr>
                <w:b/>
                <w:bCs/>
                <w:sz w:val="20"/>
                <w:szCs w:val="20"/>
              </w:rPr>
              <w:t>(Control)</w:t>
            </w:r>
          </w:p>
        </w:tc>
        <w:tc>
          <w:tcPr>
            <w:tcW w:w="1530" w:type="dxa"/>
            <w:tcBorders>
              <w:top w:val="single" w:sz="4" w:space="0" w:color="auto"/>
              <w:bottom w:val="single" w:sz="4" w:space="0" w:color="auto"/>
            </w:tcBorders>
            <w:vAlign w:val="center"/>
            <w:hideMark/>
          </w:tcPr>
          <w:p w14:paraId="7A30985D" w14:textId="77777777" w:rsidR="00A6598C" w:rsidRPr="009D7EFE" w:rsidRDefault="00A6598C" w:rsidP="00A6598C">
            <w:pPr>
              <w:spacing w:line="360" w:lineRule="auto"/>
              <w:rPr>
                <w:b/>
                <w:bCs/>
                <w:sz w:val="20"/>
                <w:szCs w:val="20"/>
              </w:rPr>
            </w:pPr>
            <w:r w:rsidRPr="009D7EFE">
              <w:rPr>
                <w:b/>
                <w:bCs/>
                <w:sz w:val="20"/>
                <w:szCs w:val="20"/>
              </w:rPr>
              <w:t xml:space="preserve">Group B </w:t>
            </w:r>
          </w:p>
          <w:p w14:paraId="7FEB1AFF" w14:textId="2C19F09E" w:rsidR="00A6598C" w:rsidRPr="009D7EFE" w:rsidRDefault="00A6598C" w:rsidP="00A6598C">
            <w:pPr>
              <w:spacing w:line="360" w:lineRule="auto"/>
              <w:rPr>
                <w:b/>
                <w:bCs/>
                <w:sz w:val="20"/>
                <w:szCs w:val="20"/>
              </w:rPr>
            </w:pPr>
            <w:r w:rsidRPr="009D7EFE">
              <w:rPr>
                <w:b/>
                <w:bCs/>
                <w:sz w:val="20"/>
                <w:szCs w:val="20"/>
              </w:rPr>
              <w:t>(Low)</w:t>
            </w:r>
          </w:p>
        </w:tc>
        <w:tc>
          <w:tcPr>
            <w:tcW w:w="1761" w:type="dxa"/>
            <w:tcBorders>
              <w:top w:val="single" w:sz="4" w:space="0" w:color="auto"/>
              <w:bottom w:val="single" w:sz="4" w:space="0" w:color="auto"/>
            </w:tcBorders>
            <w:vAlign w:val="center"/>
            <w:hideMark/>
          </w:tcPr>
          <w:p w14:paraId="1668BAB5" w14:textId="77777777" w:rsidR="00A6598C" w:rsidRPr="009D7EFE" w:rsidRDefault="00A6598C" w:rsidP="00A6598C">
            <w:pPr>
              <w:spacing w:line="360" w:lineRule="auto"/>
              <w:rPr>
                <w:b/>
                <w:bCs/>
                <w:sz w:val="20"/>
                <w:szCs w:val="20"/>
              </w:rPr>
            </w:pPr>
            <w:r w:rsidRPr="009D7EFE">
              <w:rPr>
                <w:b/>
                <w:bCs/>
                <w:sz w:val="20"/>
                <w:szCs w:val="20"/>
              </w:rPr>
              <w:t>Group C</w:t>
            </w:r>
          </w:p>
          <w:p w14:paraId="797797D4" w14:textId="077B0B2F" w:rsidR="00A6598C" w:rsidRPr="009D7EFE" w:rsidRDefault="00A6598C" w:rsidP="00A6598C">
            <w:pPr>
              <w:spacing w:line="360" w:lineRule="auto"/>
              <w:rPr>
                <w:b/>
                <w:bCs/>
                <w:sz w:val="20"/>
                <w:szCs w:val="20"/>
              </w:rPr>
            </w:pPr>
            <w:r w:rsidRPr="009D7EFE">
              <w:rPr>
                <w:b/>
                <w:bCs/>
                <w:sz w:val="20"/>
                <w:szCs w:val="20"/>
              </w:rPr>
              <w:t>(Moderate)</w:t>
            </w:r>
          </w:p>
        </w:tc>
        <w:tc>
          <w:tcPr>
            <w:tcW w:w="0" w:type="auto"/>
            <w:tcBorders>
              <w:top w:val="single" w:sz="4" w:space="0" w:color="auto"/>
              <w:bottom w:val="single" w:sz="4" w:space="0" w:color="auto"/>
            </w:tcBorders>
            <w:vAlign w:val="center"/>
            <w:hideMark/>
          </w:tcPr>
          <w:p w14:paraId="10C1C1BD" w14:textId="77777777" w:rsidR="00A6598C" w:rsidRPr="009D7EFE" w:rsidRDefault="00A6598C" w:rsidP="00A6598C">
            <w:pPr>
              <w:spacing w:line="360" w:lineRule="auto"/>
              <w:rPr>
                <w:b/>
                <w:bCs/>
                <w:sz w:val="20"/>
                <w:szCs w:val="20"/>
              </w:rPr>
            </w:pPr>
            <w:r w:rsidRPr="009D7EFE">
              <w:rPr>
                <w:b/>
                <w:bCs/>
                <w:sz w:val="20"/>
                <w:szCs w:val="20"/>
              </w:rPr>
              <w:t xml:space="preserve">Group D </w:t>
            </w:r>
          </w:p>
          <w:p w14:paraId="7C088F22" w14:textId="4ACF60CF" w:rsidR="00A6598C" w:rsidRPr="009D7EFE" w:rsidRDefault="00A6598C" w:rsidP="00A6598C">
            <w:pPr>
              <w:spacing w:line="360" w:lineRule="auto"/>
              <w:rPr>
                <w:b/>
                <w:bCs/>
                <w:sz w:val="20"/>
                <w:szCs w:val="20"/>
              </w:rPr>
            </w:pPr>
            <w:r w:rsidRPr="009D7EFE">
              <w:rPr>
                <w:b/>
                <w:bCs/>
                <w:sz w:val="20"/>
                <w:szCs w:val="20"/>
              </w:rPr>
              <w:t>(High)</w:t>
            </w:r>
          </w:p>
        </w:tc>
      </w:tr>
      <w:tr w:rsidR="00A6598C" w:rsidRPr="009D7EFE" w14:paraId="0270FBFA" w14:textId="77777777" w:rsidTr="009D7EFE">
        <w:tc>
          <w:tcPr>
            <w:tcW w:w="0" w:type="auto"/>
            <w:tcBorders>
              <w:top w:val="single" w:sz="4" w:space="0" w:color="auto"/>
            </w:tcBorders>
            <w:vAlign w:val="center"/>
            <w:hideMark/>
          </w:tcPr>
          <w:p w14:paraId="01F841B9" w14:textId="77777777" w:rsidR="00A6598C" w:rsidRPr="009D7EFE" w:rsidRDefault="00A6598C" w:rsidP="00A6598C">
            <w:pPr>
              <w:spacing w:line="360" w:lineRule="auto"/>
              <w:jc w:val="both"/>
              <w:rPr>
                <w:sz w:val="20"/>
                <w:szCs w:val="20"/>
              </w:rPr>
            </w:pPr>
            <w:r w:rsidRPr="009D7EFE">
              <w:rPr>
                <w:sz w:val="20"/>
                <w:szCs w:val="20"/>
              </w:rPr>
              <w:lastRenderedPageBreak/>
              <w:t>OAE</w:t>
            </w:r>
          </w:p>
        </w:tc>
        <w:tc>
          <w:tcPr>
            <w:tcW w:w="1302" w:type="dxa"/>
            <w:tcBorders>
              <w:top w:val="single" w:sz="4" w:space="0" w:color="auto"/>
            </w:tcBorders>
            <w:vAlign w:val="center"/>
            <w:hideMark/>
          </w:tcPr>
          <w:p w14:paraId="2BFDF84D"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tcBorders>
              <w:top w:val="single" w:sz="4" w:space="0" w:color="auto"/>
            </w:tcBorders>
            <w:vAlign w:val="center"/>
            <w:hideMark/>
          </w:tcPr>
          <w:p w14:paraId="492B6E40" w14:textId="77777777" w:rsidR="00A6598C" w:rsidRPr="009D7EFE" w:rsidRDefault="00A6598C" w:rsidP="00A6598C">
            <w:pPr>
              <w:spacing w:line="360" w:lineRule="auto"/>
              <w:jc w:val="both"/>
              <w:rPr>
                <w:sz w:val="20"/>
                <w:szCs w:val="20"/>
              </w:rPr>
            </w:pPr>
            <w:r w:rsidRPr="009D7EFE">
              <w:rPr>
                <w:sz w:val="20"/>
                <w:szCs w:val="20"/>
              </w:rPr>
              <w:t>1.33 ± 0.21</w:t>
            </w:r>
          </w:p>
        </w:tc>
        <w:tc>
          <w:tcPr>
            <w:tcW w:w="1530" w:type="dxa"/>
            <w:tcBorders>
              <w:top w:val="single" w:sz="4" w:space="0" w:color="auto"/>
            </w:tcBorders>
            <w:vAlign w:val="center"/>
            <w:hideMark/>
          </w:tcPr>
          <w:p w14:paraId="22317AA6" w14:textId="77777777" w:rsidR="00A6598C" w:rsidRPr="009D7EFE" w:rsidRDefault="00A6598C" w:rsidP="00A6598C">
            <w:pPr>
              <w:spacing w:line="360" w:lineRule="auto"/>
              <w:jc w:val="both"/>
              <w:rPr>
                <w:sz w:val="20"/>
                <w:szCs w:val="20"/>
              </w:rPr>
            </w:pPr>
            <w:r w:rsidRPr="009D7EFE">
              <w:rPr>
                <w:sz w:val="20"/>
                <w:szCs w:val="20"/>
              </w:rPr>
              <w:t>1.08 ± 0.08</w:t>
            </w:r>
          </w:p>
        </w:tc>
        <w:tc>
          <w:tcPr>
            <w:tcW w:w="1761" w:type="dxa"/>
            <w:tcBorders>
              <w:top w:val="single" w:sz="4" w:space="0" w:color="auto"/>
            </w:tcBorders>
            <w:vAlign w:val="center"/>
            <w:hideMark/>
          </w:tcPr>
          <w:p w14:paraId="5F3AED46" w14:textId="77777777" w:rsidR="00A6598C" w:rsidRPr="009D7EFE" w:rsidRDefault="00A6598C" w:rsidP="00A6598C">
            <w:pPr>
              <w:spacing w:line="360" w:lineRule="auto"/>
              <w:jc w:val="both"/>
              <w:rPr>
                <w:sz w:val="20"/>
                <w:szCs w:val="20"/>
              </w:rPr>
            </w:pPr>
            <w:r w:rsidRPr="009D7EFE">
              <w:rPr>
                <w:sz w:val="20"/>
                <w:szCs w:val="20"/>
              </w:rPr>
              <w:t>1.25 ± 0.25</w:t>
            </w:r>
          </w:p>
        </w:tc>
        <w:tc>
          <w:tcPr>
            <w:tcW w:w="0" w:type="auto"/>
            <w:tcBorders>
              <w:top w:val="single" w:sz="4" w:space="0" w:color="auto"/>
            </w:tcBorders>
            <w:vAlign w:val="center"/>
            <w:hideMark/>
          </w:tcPr>
          <w:p w14:paraId="72AD6E65" w14:textId="77777777" w:rsidR="00A6598C" w:rsidRPr="009D7EFE" w:rsidRDefault="00A6598C" w:rsidP="00A6598C">
            <w:pPr>
              <w:spacing w:line="360" w:lineRule="auto"/>
              <w:jc w:val="both"/>
              <w:rPr>
                <w:sz w:val="20"/>
                <w:szCs w:val="20"/>
              </w:rPr>
            </w:pPr>
            <w:r w:rsidRPr="009D7EFE">
              <w:rPr>
                <w:sz w:val="20"/>
                <w:szCs w:val="20"/>
              </w:rPr>
              <w:t>1.25 ± 0.25</w:t>
            </w:r>
          </w:p>
        </w:tc>
      </w:tr>
      <w:tr w:rsidR="00A6598C" w:rsidRPr="009D7EFE" w14:paraId="42009733" w14:textId="77777777" w:rsidTr="009D7EFE">
        <w:tc>
          <w:tcPr>
            <w:tcW w:w="0" w:type="auto"/>
            <w:vAlign w:val="center"/>
            <w:hideMark/>
          </w:tcPr>
          <w:p w14:paraId="437F4CDC" w14:textId="77777777" w:rsidR="00A6598C" w:rsidRPr="009D7EFE" w:rsidRDefault="00A6598C" w:rsidP="00A6598C">
            <w:pPr>
              <w:spacing w:line="360" w:lineRule="auto"/>
              <w:jc w:val="both"/>
              <w:rPr>
                <w:sz w:val="20"/>
                <w:szCs w:val="20"/>
              </w:rPr>
            </w:pPr>
            <w:r w:rsidRPr="009D7EFE">
              <w:rPr>
                <w:sz w:val="20"/>
                <w:szCs w:val="20"/>
              </w:rPr>
              <w:t>CAE</w:t>
            </w:r>
          </w:p>
        </w:tc>
        <w:tc>
          <w:tcPr>
            <w:tcW w:w="1302" w:type="dxa"/>
            <w:vAlign w:val="center"/>
            <w:hideMark/>
          </w:tcPr>
          <w:p w14:paraId="05B45FC1"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73CA32B2" w14:textId="77777777" w:rsidR="00A6598C" w:rsidRPr="009D7EFE" w:rsidRDefault="00A6598C" w:rsidP="00A6598C">
            <w:pPr>
              <w:spacing w:line="360" w:lineRule="auto"/>
              <w:jc w:val="both"/>
              <w:rPr>
                <w:sz w:val="20"/>
                <w:szCs w:val="20"/>
              </w:rPr>
            </w:pPr>
            <w:r w:rsidRPr="009D7EFE">
              <w:rPr>
                <w:sz w:val="20"/>
                <w:szCs w:val="20"/>
              </w:rPr>
              <w:t>2.24 ± 0.32</w:t>
            </w:r>
          </w:p>
        </w:tc>
        <w:tc>
          <w:tcPr>
            <w:tcW w:w="1530" w:type="dxa"/>
            <w:vAlign w:val="center"/>
            <w:hideMark/>
          </w:tcPr>
          <w:p w14:paraId="2F07D0B9" w14:textId="77777777" w:rsidR="00A6598C" w:rsidRPr="009D7EFE" w:rsidRDefault="00A6598C" w:rsidP="00A6598C">
            <w:pPr>
              <w:spacing w:line="360" w:lineRule="auto"/>
              <w:jc w:val="both"/>
              <w:rPr>
                <w:sz w:val="20"/>
                <w:szCs w:val="20"/>
              </w:rPr>
            </w:pPr>
            <w:r w:rsidRPr="009D7EFE">
              <w:rPr>
                <w:sz w:val="20"/>
                <w:szCs w:val="20"/>
              </w:rPr>
              <w:t>2.56 ± 0.23</w:t>
            </w:r>
          </w:p>
        </w:tc>
        <w:tc>
          <w:tcPr>
            <w:tcW w:w="1761" w:type="dxa"/>
            <w:vAlign w:val="center"/>
            <w:hideMark/>
          </w:tcPr>
          <w:p w14:paraId="59DF1F00" w14:textId="77777777" w:rsidR="00A6598C" w:rsidRPr="009D7EFE" w:rsidRDefault="00A6598C" w:rsidP="00A6598C">
            <w:pPr>
              <w:spacing w:line="360" w:lineRule="auto"/>
              <w:jc w:val="both"/>
              <w:rPr>
                <w:sz w:val="20"/>
                <w:szCs w:val="20"/>
              </w:rPr>
            </w:pPr>
            <w:r w:rsidRPr="009D7EFE">
              <w:rPr>
                <w:sz w:val="20"/>
                <w:szCs w:val="20"/>
              </w:rPr>
              <w:t>1.56 ± 0.18</w:t>
            </w:r>
          </w:p>
        </w:tc>
        <w:tc>
          <w:tcPr>
            <w:tcW w:w="0" w:type="auto"/>
            <w:vAlign w:val="center"/>
            <w:hideMark/>
          </w:tcPr>
          <w:p w14:paraId="5FB51C03" w14:textId="77777777" w:rsidR="00A6598C" w:rsidRPr="009D7EFE" w:rsidRDefault="00A6598C" w:rsidP="00A6598C">
            <w:pPr>
              <w:spacing w:line="360" w:lineRule="auto"/>
              <w:jc w:val="both"/>
              <w:rPr>
                <w:sz w:val="20"/>
                <w:szCs w:val="20"/>
              </w:rPr>
            </w:pPr>
            <w:r w:rsidRPr="009D7EFE">
              <w:rPr>
                <w:sz w:val="20"/>
                <w:szCs w:val="20"/>
              </w:rPr>
              <w:t>1.67 ± 0.14</w:t>
            </w:r>
          </w:p>
        </w:tc>
      </w:tr>
      <w:tr w:rsidR="00A6598C" w:rsidRPr="009D7EFE" w14:paraId="73086FDC" w14:textId="77777777" w:rsidTr="009D7EFE">
        <w:tc>
          <w:tcPr>
            <w:tcW w:w="0" w:type="auto"/>
            <w:vAlign w:val="center"/>
            <w:hideMark/>
          </w:tcPr>
          <w:p w14:paraId="2BB55FE3" w14:textId="77777777" w:rsidR="00A6598C" w:rsidRPr="009D7EFE" w:rsidRDefault="00A6598C" w:rsidP="00A6598C">
            <w:pPr>
              <w:spacing w:line="360" w:lineRule="auto"/>
              <w:jc w:val="both"/>
              <w:rPr>
                <w:sz w:val="20"/>
                <w:szCs w:val="20"/>
              </w:rPr>
            </w:pPr>
            <w:r w:rsidRPr="009D7EFE">
              <w:rPr>
                <w:sz w:val="20"/>
                <w:szCs w:val="20"/>
              </w:rPr>
              <w:t>OAD</w:t>
            </w:r>
          </w:p>
        </w:tc>
        <w:tc>
          <w:tcPr>
            <w:tcW w:w="1302" w:type="dxa"/>
            <w:vAlign w:val="center"/>
            <w:hideMark/>
          </w:tcPr>
          <w:p w14:paraId="682C5191"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07421A2C" w14:textId="77777777" w:rsidR="00A6598C" w:rsidRPr="009D7EFE" w:rsidRDefault="00A6598C" w:rsidP="00A6598C">
            <w:pPr>
              <w:spacing w:line="360" w:lineRule="auto"/>
              <w:jc w:val="both"/>
              <w:rPr>
                <w:sz w:val="20"/>
                <w:szCs w:val="20"/>
              </w:rPr>
            </w:pPr>
            <w:r w:rsidRPr="009D7EFE">
              <w:rPr>
                <w:sz w:val="20"/>
                <w:szCs w:val="20"/>
              </w:rPr>
              <w:t>10.67 ± 5.64</w:t>
            </w:r>
          </w:p>
        </w:tc>
        <w:tc>
          <w:tcPr>
            <w:tcW w:w="1530" w:type="dxa"/>
            <w:vAlign w:val="center"/>
            <w:hideMark/>
          </w:tcPr>
          <w:p w14:paraId="0DF2AC15" w14:textId="77777777" w:rsidR="00A6598C" w:rsidRPr="009D7EFE" w:rsidRDefault="00A6598C" w:rsidP="00A6598C">
            <w:pPr>
              <w:spacing w:line="360" w:lineRule="auto"/>
              <w:jc w:val="both"/>
              <w:rPr>
                <w:sz w:val="20"/>
                <w:szCs w:val="20"/>
              </w:rPr>
            </w:pPr>
            <w:r w:rsidRPr="009D7EFE">
              <w:rPr>
                <w:sz w:val="20"/>
                <w:szCs w:val="20"/>
              </w:rPr>
              <w:t>7.00 ± 1.51</w:t>
            </w:r>
          </w:p>
        </w:tc>
        <w:tc>
          <w:tcPr>
            <w:tcW w:w="1761" w:type="dxa"/>
            <w:vAlign w:val="center"/>
            <w:hideMark/>
          </w:tcPr>
          <w:p w14:paraId="31C0478B" w14:textId="77777777" w:rsidR="00A6598C" w:rsidRPr="009D7EFE" w:rsidRDefault="00A6598C" w:rsidP="00A6598C">
            <w:pPr>
              <w:spacing w:line="360" w:lineRule="auto"/>
              <w:jc w:val="both"/>
              <w:rPr>
                <w:sz w:val="20"/>
                <w:szCs w:val="20"/>
              </w:rPr>
            </w:pPr>
            <w:r w:rsidRPr="009D7EFE">
              <w:rPr>
                <w:sz w:val="20"/>
                <w:szCs w:val="20"/>
              </w:rPr>
              <w:t>31.00 ± 27.00</w:t>
            </w:r>
          </w:p>
        </w:tc>
        <w:tc>
          <w:tcPr>
            <w:tcW w:w="0" w:type="auto"/>
            <w:vAlign w:val="center"/>
            <w:hideMark/>
          </w:tcPr>
          <w:p w14:paraId="388575E4" w14:textId="77777777" w:rsidR="00A6598C" w:rsidRPr="009D7EFE" w:rsidRDefault="00A6598C" w:rsidP="00A6598C">
            <w:pPr>
              <w:spacing w:line="360" w:lineRule="auto"/>
              <w:jc w:val="both"/>
              <w:rPr>
                <w:sz w:val="20"/>
                <w:szCs w:val="20"/>
              </w:rPr>
            </w:pPr>
            <w:r w:rsidRPr="009D7EFE">
              <w:rPr>
                <w:sz w:val="20"/>
                <w:szCs w:val="20"/>
              </w:rPr>
              <w:t>9.50 ± 2.47</w:t>
            </w:r>
          </w:p>
        </w:tc>
      </w:tr>
      <w:tr w:rsidR="00A6598C" w:rsidRPr="009D7EFE" w14:paraId="18F79BB8" w14:textId="77777777" w:rsidTr="009D7EFE">
        <w:tc>
          <w:tcPr>
            <w:tcW w:w="0" w:type="auto"/>
            <w:vAlign w:val="center"/>
            <w:hideMark/>
          </w:tcPr>
          <w:p w14:paraId="25B8486E" w14:textId="77777777" w:rsidR="00A6598C" w:rsidRPr="009D7EFE" w:rsidRDefault="00A6598C" w:rsidP="00A6598C">
            <w:pPr>
              <w:spacing w:line="360" w:lineRule="auto"/>
              <w:jc w:val="both"/>
              <w:rPr>
                <w:sz w:val="20"/>
                <w:szCs w:val="20"/>
              </w:rPr>
            </w:pPr>
            <w:r w:rsidRPr="009D7EFE">
              <w:rPr>
                <w:sz w:val="20"/>
                <w:szCs w:val="20"/>
              </w:rPr>
              <w:t>CAD</w:t>
            </w:r>
          </w:p>
        </w:tc>
        <w:tc>
          <w:tcPr>
            <w:tcW w:w="1302" w:type="dxa"/>
            <w:vAlign w:val="center"/>
            <w:hideMark/>
          </w:tcPr>
          <w:p w14:paraId="29BF6107"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2DFA24CF" w14:textId="77777777" w:rsidR="00A6598C" w:rsidRPr="009D7EFE" w:rsidRDefault="00A6598C" w:rsidP="00A6598C">
            <w:pPr>
              <w:spacing w:line="360" w:lineRule="auto"/>
              <w:jc w:val="both"/>
              <w:rPr>
                <w:sz w:val="20"/>
                <w:szCs w:val="20"/>
              </w:rPr>
            </w:pPr>
            <w:r w:rsidRPr="009D7EFE">
              <w:rPr>
                <w:sz w:val="20"/>
                <w:szCs w:val="20"/>
              </w:rPr>
              <w:t>236.55 ± 1.53</w:t>
            </w:r>
          </w:p>
        </w:tc>
        <w:tc>
          <w:tcPr>
            <w:tcW w:w="1530" w:type="dxa"/>
            <w:vAlign w:val="center"/>
            <w:hideMark/>
          </w:tcPr>
          <w:p w14:paraId="7062D5D0" w14:textId="77777777" w:rsidR="00A6598C" w:rsidRPr="009D7EFE" w:rsidRDefault="00A6598C" w:rsidP="00A6598C">
            <w:pPr>
              <w:spacing w:line="360" w:lineRule="auto"/>
              <w:jc w:val="both"/>
              <w:rPr>
                <w:sz w:val="20"/>
                <w:szCs w:val="20"/>
              </w:rPr>
            </w:pPr>
            <w:r w:rsidRPr="009D7EFE">
              <w:rPr>
                <w:sz w:val="20"/>
                <w:szCs w:val="20"/>
              </w:rPr>
              <w:t>194.10 ± 20.50</w:t>
            </w:r>
          </w:p>
        </w:tc>
        <w:tc>
          <w:tcPr>
            <w:tcW w:w="1761" w:type="dxa"/>
            <w:vAlign w:val="center"/>
            <w:hideMark/>
          </w:tcPr>
          <w:p w14:paraId="1AB18ABF" w14:textId="77777777" w:rsidR="00A6598C" w:rsidRPr="009D7EFE" w:rsidRDefault="00A6598C" w:rsidP="00A6598C">
            <w:pPr>
              <w:spacing w:line="360" w:lineRule="auto"/>
              <w:jc w:val="both"/>
              <w:rPr>
                <w:sz w:val="20"/>
                <w:szCs w:val="20"/>
              </w:rPr>
            </w:pPr>
            <w:r w:rsidRPr="009D7EFE">
              <w:rPr>
                <w:sz w:val="20"/>
                <w:szCs w:val="20"/>
              </w:rPr>
              <w:t>240.00 ± 0.00</w:t>
            </w:r>
          </w:p>
        </w:tc>
        <w:tc>
          <w:tcPr>
            <w:tcW w:w="0" w:type="auto"/>
            <w:vAlign w:val="center"/>
            <w:hideMark/>
          </w:tcPr>
          <w:p w14:paraId="2824705E" w14:textId="77777777" w:rsidR="00A6598C" w:rsidRPr="009D7EFE" w:rsidRDefault="00A6598C" w:rsidP="00A6598C">
            <w:pPr>
              <w:spacing w:line="360" w:lineRule="auto"/>
              <w:jc w:val="both"/>
              <w:rPr>
                <w:sz w:val="20"/>
                <w:szCs w:val="20"/>
              </w:rPr>
            </w:pPr>
            <w:r w:rsidRPr="009D7EFE">
              <w:rPr>
                <w:sz w:val="20"/>
                <w:szCs w:val="20"/>
              </w:rPr>
              <w:t>229.14 ± 8.49</w:t>
            </w:r>
          </w:p>
        </w:tc>
      </w:tr>
      <w:tr w:rsidR="00A6598C" w:rsidRPr="009D7EFE" w14:paraId="5C12DBFA" w14:textId="77777777" w:rsidTr="009D7EFE">
        <w:tc>
          <w:tcPr>
            <w:tcW w:w="0" w:type="auto"/>
            <w:vAlign w:val="center"/>
            <w:hideMark/>
          </w:tcPr>
          <w:p w14:paraId="6E1DA5F3" w14:textId="77777777" w:rsidR="00A6598C" w:rsidRPr="009D7EFE" w:rsidRDefault="00A6598C" w:rsidP="00A6598C">
            <w:pPr>
              <w:spacing w:line="360" w:lineRule="auto"/>
              <w:jc w:val="both"/>
              <w:rPr>
                <w:sz w:val="20"/>
                <w:szCs w:val="20"/>
              </w:rPr>
            </w:pPr>
            <w:r w:rsidRPr="009D7EFE">
              <w:rPr>
                <w:sz w:val="20"/>
                <w:szCs w:val="20"/>
              </w:rPr>
              <w:t>CSD</w:t>
            </w:r>
          </w:p>
        </w:tc>
        <w:tc>
          <w:tcPr>
            <w:tcW w:w="1302" w:type="dxa"/>
            <w:vAlign w:val="center"/>
            <w:hideMark/>
          </w:tcPr>
          <w:p w14:paraId="02745FC1"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458A27FC" w14:textId="77777777" w:rsidR="00A6598C" w:rsidRPr="009D7EFE" w:rsidRDefault="00A6598C" w:rsidP="00A6598C">
            <w:pPr>
              <w:spacing w:line="360" w:lineRule="auto"/>
              <w:jc w:val="both"/>
              <w:rPr>
                <w:sz w:val="20"/>
                <w:szCs w:val="20"/>
              </w:rPr>
            </w:pPr>
            <w:r w:rsidRPr="009D7EFE">
              <w:rPr>
                <w:sz w:val="20"/>
                <w:szCs w:val="20"/>
              </w:rPr>
              <w:t>8.27 ± 1.92</w:t>
            </w:r>
          </w:p>
        </w:tc>
        <w:tc>
          <w:tcPr>
            <w:tcW w:w="1530" w:type="dxa"/>
            <w:vAlign w:val="center"/>
            <w:hideMark/>
          </w:tcPr>
          <w:p w14:paraId="602CC337" w14:textId="77777777" w:rsidR="00A6598C" w:rsidRPr="009D7EFE" w:rsidRDefault="00A6598C" w:rsidP="00A6598C">
            <w:pPr>
              <w:spacing w:line="360" w:lineRule="auto"/>
              <w:jc w:val="both"/>
              <w:rPr>
                <w:sz w:val="20"/>
                <w:szCs w:val="20"/>
              </w:rPr>
            </w:pPr>
            <w:r w:rsidRPr="009D7EFE">
              <w:rPr>
                <w:sz w:val="20"/>
                <w:szCs w:val="20"/>
              </w:rPr>
              <w:t>20.50 ± 4.30</w:t>
            </w:r>
          </w:p>
        </w:tc>
        <w:tc>
          <w:tcPr>
            <w:tcW w:w="1761" w:type="dxa"/>
            <w:vAlign w:val="center"/>
            <w:hideMark/>
          </w:tcPr>
          <w:p w14:paraId="304A0F90" w14:textId="77777777" w:rsidR="00A6598C" w:rsidRPr="009D7EFE" w:rsidRDefault="00A6598C" w:rsidP="00A6598C">
            <w:pPr>
              <w:spacing w:line="360" w:lineRule="auto"/>
              <w:jc w:val="both"/>
              <w:rPr>
                <w:sz w:val="20"/>
                <w:szCs w:val="20"/>
              </w:rPr>
            </w:pPr>
            <w:r w:rsidRPr="009D7EFE">
              <w:rPr>
                <w:sz w:val="20"/>
                <w:szCs w:val="20"/>
              </w:rPr>
              <w:t>39.10 ± 22.70</w:t>
            </w:r>
          </w:p>
        </w:tc>
        <w:tc>
          <w:tcPr>
            <w:tcW w:w="0" w:type="auto"/>
            <w:vAlign w:val="center"/>
            <w:hideMark/>
          </w:tcPr>
          <w:p w14:paraId="2443E773" w14:textId="77777777" w:rsidR="00A6598C" w:rsidRPr="009D7EFE" w:rsidRDefault="00A6598C" w:rsidP="00A6598C">
            <w:pPr>
              <w:spacing w:line="360" w:lineRule="auto"/>
              <w:jc w:val="both"/>
              <w:rPr>
                <w:sz w:val="20"/>
                <w:szCs w:val="20"/>
              </w:rPr>
            </w:pPr>
            <w:r w:rsidRPr="009D7EFE">
              <w:rPr>
                <w:sz w:val="20"/>
                <w:szCs w:val="20"/>
              </w:rPr>
              <w:t>16.00 ± 3.55</w:t>
            </w:r>
          </w:p>
        </w:tc>
      </w:tr>
      <w:tr w:rsidR="00A6598C" w:rsidRPr="009D7EFE" w14:paraId="00C18CD8" w14:textId="77777777" w:rsidTr="009D7EFE">
        <w:tc>
          <w:tcPr>
            <w:tcW w:w="0" w:type="auto"/>
            <w:vAlign w:val="center"/>
            <w:hideMark/>
          </w:tcPr>
          <w:p w14:paraId="5A8DDE4F" w14:textId="77777777" w:rsidR="00A6598C" w:rsidRPr="009D7EFE" w:rsidRDefault="00A6598C" w:rsidP="00A6598C">
            <w:pPr>
              <w:spacing w:line="360" w:lineRule="auto"/>
              <w:jc w:val="both"/>
              <w:rPr>
                <w:sz w:val="20"/>
                <w:szCs w:val="20"/>
              </w:rPr>
            </w:pPr>
            <w:r w:rsidRPr="009D7EFE">
              <w:rPr>
                <w:sz w:val="20"/>
                <w:szCs w:val="20"/>
              </w:rPr>
              <w:t>HD</w:t>
            </w:r>
          </w:p>
        </w:tc>
        <w:tc>
          <w:tcPr>
            <w:tcW w:w="1302" w:type="dxa"/>
            <w:vAlign w:val="center"/>
            <w:hideMark/>
          </w:tcPr>
          <w:p w14:paraId="0F966A66"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187C7B89" w14:textId="77777777" w:rsidR="00A6598C" w:rsidRPr="009D7EFE" w:rsidRDefault="00A6598C" w:rsidP="00A6598C">
            <w:pPr>
              <w:spacing w:line="360" w:lineRule="auto"/>
              <w:jc w:val="both"/>
              <w:rPr>
                <w:sz w:val="20"/>
                <w:szCs w:val="20"/>
              </w:rPr>
            </w:pPr>
            <w:r w:rsidRPr="009D7EFE">
              <w:rPr>
                <w:sz w:val="20"/>
                <w:szCs w:val="20"/>
              </w:rPr>
              <w:t>3.25 ± 0.74</w:t>
            </w:r>
          </w:p>
        </w:tc>
        <w:tc>
          <w:tcPr>
            <w:tcW w:w="1530" w:type="dxa"/>
            <w:vAlign w:val="center"/>
            <w:hideMark/>
          </w:tcPr>
          <w:p w14:paraId="7A9BFE3F" w14:textId="77777777" w:rsidR="00A6598C" w:rsidRPr="009D7EFE" w:rsidRDefault="00A6598C" w:rsidP="00A6598C">
            <w:pPr>
              <w:spacing w:line="360" w:lineRule="auto"/>
              <w:jc w:val="both"/>
              <w:rPr>
                <w:sz w:val="20"/>
                <w:szCs w:val="20"/>
              </w:rPr>
            </w:pPr>
            <w:r w:rsidRPr="009D7EFE">
              <w:rPr>
                <w:sz w:val="20"/>
                <w:szCs w:val="20"/>
              </w:rPr>
              <w:t>3.33 ± 0.34</w:t>
            </w:r>
          </w:p>
        </w:tc>
        <w:tc>
          <w:tcPr>
            <w:tcW w:w="1761" w:type="dxa"/>
            <w:vAlign w:val="center"/>
            <w:hideMark/>
          </w:tcPr>
          <w:p w14:paraId="4D75C207" w14:textId="77777777" w:rsidR="00A6598C" w:rsidRPr="009D7EFE" w:rsidRDefault="00A6598C" w:rsidP="00A6598C">
            <w:pPr>
              <w:spacing w:line="360" w:lineRule="auto"/>
              <w:jc w:val="both"/>
              <w:rPr>
                <w:sz w:val="20"/>
                <w:szCs w:val="20"/>
              </w:rPr>
            </w:pPr>
            <w:r w:rsidRPr="009D7EFE">
              <w:rPr>
                <w:sz w:val="20"/>
                <w:szCs w:val="20"/>
              </w:rPr>
              <w:t>2.30 ± 0.45</w:t>
            </w:r>
          </w:p>
        </w:tc>
        <w:tc>
          <w:tcPr>
            <w:tcW w:w="0" w:type="auto"/>
            <w:vAlign w:val="center"/>
            <w:hideMark/>
          </w:tcPr>
          <w:p w14:paraId="39A16C39" w14:textId="77777777" w:rsidR="00A6598C" w:rsidRPr="009D7EFE" w:rsidRDefault="00A6598C" w:rsidP="00A6598C">
            <w:pPr>
              <w:spacing w:line="360" w:lineRule="auto"/>
              <w:jc w:val="both"/>
              <w:rPr>
                <w:sz w:val="20"/>
                <w:szCs w:val="20"/>
              </w:rPr>
            </w:pPr>
            <w:r w:rsidRPr="009D7EFE">
              <w:rPr>
                <w:sz w:val="20"/>
                <w:szCs w:val="20"/>
              </w:rPr>
              <w:t>2.47 ± 0.34</w:t>
            </w:r>
          </w:p>
        </w:tc>
      </w:tr>
      <w:tr w:rsidR="00A6598C" w:rsidRPr="009D7EFE" w14:paraId="38B57931" w14:textId="77777777" w:rsidTr="009D7EFE">
        <w:tc>
          <w:tcPr>
            <w:tcW w:w="0" w:type="auto"/>
            <w:vAlign w:val="center"/>
            <w:hideMark/>
          </w:tcPr>
          <w:p w14:paraId="1C44EE8C" w14:textId="77777777" w:rsidR="00A6598C" w:rsidRPr="009D7EFE" w:rsidRDefault="00A6598C" w:rsidP="00A6598C">
            <w:pPr>
              <w:spacing w:line="360" w:lineRule="auto"/>
              <w:jc w:val="both"/>
              <w:rPr>
                <w:sz w:val="20"/>
                <w:szCs w:val="20"/>
              </w:rPr>
            </w:pPr>
            <w:r w:rsidRPr="009D7EFE">
              <w:rPr>
                <w:sz w:val="20"/>
                <w:szCs w:val="20"/>
              </w:rPr>
              <w:t>S</w:t>
            </w:r>
          </w:p>
        </w:tc>
        <w:tc>
          <w:tcPr>
            <w:tcW w:w="1302" w:type="dxa"/>
            <w:vAlign w:val="center"/>
            <w:hideMark/>
          </w:tcPr>
          <w:p w14:paraId="1B802D8E"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1F606483" w14:textId="77777777" w:rsidR="00A6598C" w:rsidRPr="009D7EFE" w:rsidRDefault="00A6598C" w:rsidP="00A6598C">
            <w:pPr>
              <w:spacing w:line="360" w:lineRule="auto"/>
              <w:jc w:val="both"/>
              <w:rPr>
                <w:sz w:val="20"/>
                <w:szCs w:val="20"/>
              </w:rPr>
            </w:pPr>
            <w:r w:rsidRPr="009D7EFE">
              <w:rPr>
                <w:sz w:val="20"/>
                <w:szCs w:val="20"/>
              </w:rPr>
              <w:t>2.23 ± 0.43</w:t>
            </w:r>
          </w:p>
        </w:tc>
        <w:tc>
          <w:tcPr>
            <w:tcW w:w="1530" w:type="dxa"/>
            <w:vAlign w:val="center"/>
            <w:hideMark/>
          </w:tcPr>
          <w:p w14:paraId="4FFCAF19" w14:textId="77777777" w:rsidR="00A6598C" w:rsidRPr="009D7EFE" w:rsidRDefault="00A6598C" w:rsidP="00A6598C">
            <w:pPr>
              <w:spacing w:line="360" w:lineRule="auto"/>
              <w:jc w:val="both"/>
              <w:rPr>
                <w:sz w:val="20"/>
                <w:szCs w:val="20"/>
              </w:rPr>
            </w:pPr>
            <w:r w:rsidRPr="009D7EFE">
              <w:rPr>
                <w:sz w:val="20"/>
                <w:szCs w:val="20"/>
              </w:rPr>
              <w:t>2.33 ± 0.26</w:t>
            </w:r>
          </w:p>
        </w:tc>
        <w:tc>
          <w:tcPr>
            <w:tcW w:w="1761" w:type="dxa"/>
            <w:vAlign w:val="center"/>
            <w:hideMark/>
          </w:tcPr>
          <w:p w14:paraId="2BD62870" w14:textId="77777777" w:rsidR="00A6598C" w:rsidRPr="009D7EFE" w:rsidRDefault="00A6598C" w:rsidP="00A6598C">
            <w:pPr>
              <w:spacing w:line="360" w:lineRule="auto"/>
              <w:jc w:val="both"/>
              <w:rPr>
                <w:sz w:val="20"/>
                <w:szCs w:val="20"/>
              </w:rPr>
            </w:pPr>
            <w:r w:rsidRPr="009D7EFE">
              <w:rPr>
                <w:sz w:val="20"/>
                <w:szCs w:val="20"/>
              </w:rPr>
              <w:t>1.89 ± 0.26</w:t>
            </w:r>
          </w:p>
        </w:tc>
        <w:tc>
          <w:tcPr>
            <w:tcW w:w="0" w:type="auto"/>
            <w:vAlign w:val="center"/>
            <w:hideMark/>
          </w:tcPr>
          <w:p w14:paraId="51DA2475" w14:textId="77777777" w:rsidR="00A6598C" w:rsidRPr="009D7EFE" w:rsidRDefault="00A6598C" w:rsidP="00A6598C">
            <w:pPr>
              <w:spacing w:line="360" w:lineRule="auto"/>
              <w:jc w:val="both"/>
              <w:rPr>
                <w:sz w:val="20"/>
                <w:szCs w:val="20"/>
              </w:rPr>
            </w:pPr>
            <w:r w:rsidRPr="009D7EFE">
              <w:rPr>
                <w:sz w:val="20"/>
                <w:szCs w:val="20"/>
              </w:rPr>
              <w:t>2.11 ± 0.26</w:t>
            </w:r>
          </w:p>
        </w:tc>
      </w:tr>
      <w:tr w:rsidR="00A6598C" w:rsidRPr="009D7EFE" w14:paraId="68ABB5B3" w14:textId="77777777" w:rsidTr="009D7EFE">
        <w:tc>
          <w:tcPr>
            <w:tcW w:w="0" w:type="auto"/>
            <w:vAlign w:val="center"/>
            <w:hideMark/>
          </w:tcPr>
          <w:p w14:paraId="24F71ABA" w14:textId="77777777" w:rsidR="00A6598C" w:rsidRPr="009D7EFE" w:rsidRDefault="00A6598C" w:rsidP="00A6598C">
            <w:pPr>
              <w:spacing w:line="360" w:lineRule="auto"/>
              <w:jc w:val="both"/>
              <w:rPr>
                <w:sz w:val="20"/>
                <w:szCs w:val="20"/>
              </w:rPr>
            </w:pPr>
            <w:r w:rsidRPr="009D7EFE">
              <w:rPr>
                <w:sz w:val="20"/>
                <w:szCs w:val="20"/>
              </w:rPr>
              <w:t>R</w:t>
            </w:r>
          </w:p>
        </w:tc>
        <w:tc>
          <w:tcPr>
            <w:tcW w:w="1302" w:type="dxa"/>
            <w:vAlign w:val="center"/>
            <w:hideMark/>
          </w:tcPr>
          <w:p w14:paraId="36C927D0"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5E093306" w14:textId="77777777" w:rsidR="00A6598C" w:rsidRPr="009D7EFE" w:rsidRDefault="00A6598C" w:rsidP="00A6598C">
            <w:pPr>
              <w:spacing w:line="360" w:lineRule="auto"/>
              <w:jc w:val="both"/>
              <w:rPr>
                <w:sz w:val="20"/>
                <w:szCs w:val="20"/>
              </w:rPr>
            </w:pPr>
            <w:r w:rsidRPr="009D7EFE">
              <w:rPr>
                <w:sz w:val="20"/>
                <w:szCs w:val="20"/>
              </w:rPr>
              <w:t>5.48 ± 0.68</w:t>
            </w:r>
          </w:p>
        </w:tc>
        <w:tc>
          <w:tcPr>
            <w:tcW w:w="1530" w:type="dxa"/>
            <w:vAlign w:val="center"/>
            <w:hideMark/>
          </w:tcPr>
          <w:p w14:paraId="21F74C91" w14:textId="77777777" w:rsidR="00A6598C" w:rsidRPr="009D7EFE" w:rsidRDefault="00A6598C" w:rsidP="00A6598C">
            <w:pPr>
              <w:spacing w:line="360" w:lineRule="auto"/>
              <w:jc w:val="both"/>
              <w:rPr>
                <w:sz w:val="20"/>
                <w:szCs w:val="20"/>
              </w:rPr>
            </w:pPr>
            <w:r w:rsidRPr="009D7EFE">
              <w:rPr>
                <w:sz w:val="20"/>
                <w:szCs w:val="20"/>
              </w:rPr>
              <w:t>5.33 ± 0.51</w:t>
            </w:r>
          </w:p>
        </w:tc>
        <w:tc>
          <w:tcPr>
            <w:tcW w:w="1761" w:type="dxa"/>
            <w:vAlign w:val="center"/>
            <w:hideMark/>
          </w:tcPr>
          <w:p w14:paraId="274112EC" w14:textId="77777777" w:rsidR="00A6598C" w:rsidRPr="009D7EFE" w:rsidRDefault="00A6598C" w:rsidP="00A6598C">
            <w:pPr>
              <w:spacing w:line="360" w:lineRule="auto"/>
              <w:jc w:val="both"/>
              <w:rPr>
                <w:sz w:val="20"/>
                <w:szCs w:val="20"/>
              </w:rPr>
            </w:pPr>
            <w:r w:rsidRPr="009D7EFE">
              <w:rPr>
                <w:sz w:val="20"/>
                <w:szCs w:val="20"/>
              </w:rPr>
              <w:t>15.86 ± 4.68</w:t>
            </w:r>
          </w:p>
        </w:tc>
        <w:tc>
          <w:tcPr>
            <w:tcW w:w="0" w:type="auto"/>
            <w:vAlign w:val="center"/>
            <w:hideMark/>
          </w:tcPr>
          <w:p w14:paraId="067F9CB6" w14:textId="77777777" w:rsidR="00A6598C" w:rsidRPr="009D7EFE" w:rsidRDefault="00A6598C" w:rsidP="00A6598C">
            <w:pPr>
              <w:spacing w:line="360" w:lineRule="auto"/>
              <w:jc w:val="both"/>
              <w:rPr>
                <w:sz w:val="20"/>
                <w:szCs w:val="20"/>
              </w:rPr>
            </w:pPr>
            <w:r w:rsidRPr="009D7EFE">
              <w:rPr>
                <w:sz w:val="20"/>
                <w:szCs w:val="20"/>
              </w:rPr>
              <w:t>3.83 ± 0.34</w:t>
            </w:r>
          </w:p>
        </w:tc>
      </w:tr>
      <w:tr w:rsidR="00A6598C" w:rsidRPr="009D7EFE" w14:paraId="164BC537" w14:textId="77777777" w:rsidTr="009D7EFE">
        <w:tc>
          <w:tcPr>
            <w:tcW w:w="0" w:type="auto"/>
            <w:vAlign w:val="center"/>
            <w:hideMark/>
          </w:tcPr>
          <w:p w14:paraId="1E668E17" w14:textId="77777777" w:rsidR="00A6598C" w:rsidRPr="009D7EFE" w:rsidRDefault="00A6598C" w:rsidP="00A6598C">
            <w:pPr>
              <w:spacing w:line="360" w:lineRule="auto"/>
              <w:jc w:val="both"/>
              <w:rPr>
                <w:sz w:val="20"/>
                <w:szCs w:val="20"/>
              </w:rPr>
            </w:pPr>
            <w:r w:rsidRPr="009D7EFE">
              <w:rPr>
                <w:sz w:val="20"/>
                <w:szCs w:val="20"/>
              </w:rPr>
              <w:t>G</w:t>
            </w:r>
          </w:p>
        </w:tc>
        <w:tc>
          <w:tcPr>
            <w:tcW w:w="1302" w:type="dxa"/>
            <w:vAlign w:val="center"/>
            <w:hideMark/>
          </w:tcPr>
          <w:p w14:paraId="5F65B7B5"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5C45932A" w14:textId="77777777" w:rsidR="00A6598C" w:rsidRPr="009D7EFE" w:rsidRDefault="00A6598C" w:rsidP="00A6598C">
            <w:pPr>
              <w:spacing w:line="360" w:lineRule="auto"/>
              <w:jc w:val="both"/>
              <w:rPr>
                <w:sz w:val="20"/>
                <w:szCs w:val="20"/>
              </w:rPr>
            </w:pPr>
            <w:r w:rsidRPr="009D7EFE">
              <w:rPr>
                <w:sz w:val="20"/>
                <w:szCs w:val="20"/>
              </w:rPr>
              <w:t>85.30 ± 22.50</w:t>
            </w:r>
          </w:p>
        </w:tc>
        <w:tc>
          <w:tcPr>
            <w:tcW w:w="1530" w:type="dxa"/>
            <w:vAlign w:val="center"/>
            <w:hideMark/>
          </w:tcPr>
          <w:p w14:paraId="742B881F" w14:textId="77777777" w:rsidR="00A6598C" w:rsidRPr="009D7EFE" w:rsidRDefault="00A6598C" w:rsidP="00A6598C">
            <w:pPr>
              <w:spacing w:line="360" w:lineRule="auto"/>
              <w:jc w:val="both"/>
              <w:rPr>
                <w:sz w:val="20"/>
                <w:szCs w:val="20"/>
              </w:rPr>
            </w:pPr>
            <w:r w:rsidRPr="009D7EFE">
              <w:rPr>
                <w:sz w:val="20"/>
                <w:szCs w:val="20"/>
              </w:rPr>
              <w:t>85.80 ± 12.00</w:t>
            </w:r>
          </w:p>
        </w:tc>
        <w:tc>
          <w:tcPr>
            <w:tcW w:w="1761" w:type="dxa"/>
            <w:vAlign w:val="center"/>
            <w:hideMark/>
          </w:tcPr>
          <w:p w14:paraId="4512139C" w14:textId="77777777" w:rsidR="00A6598C" w:rsidRPr="009D7EFE" w:rsidRDefault="00A6598C" w:rsidP="00A6598C">
            <w:pPr>
              <w:spacing w:line="360" w:lineRule="auto"/>
              <w:jc w:val="both"/>
              <w:rPr>
                <w:sz w:val="20"/>
                <w:szCs w:val="20"/>
              </w:rPr>
            </w:pPr>
            <w:r w:rsidRPr="009D7EFE">
              <w:rPr>
                <w:sz w:val="20"/>
                <w:szCs w:val="20"/>
              </w:rPr>
              <w:t>87.60 ± 24.70</w:t>
            </w:r>
          </w:p>
        </w:tc>
        <w:tc>
          <w:tcPr>
            <w:tcW w:w="0" w:type="auto"/>
            <w:vAlign w:val="center"/>
            <w:hideMark/>
          </w:tcPr>
          <w:p w14:paraId="6187155F" w14:textId="77777777" w:rsidR="00A6598C" w:rsidRPr="009D7EFE" w:rsidRDefault="00A6598C" w:rsidP="00A6598C">
            <w:pPr>
              <w:spacing w:line="360" w:lineRule="auto"/>
              <w:jc w:val="both"/>
              <w:rPr>
                <w:sz w:val="20"/>
                <w:szCs w:val="20"/>
              </w:rPr>
            </w:pPr>
            <w:r w:rsidRPr="009D7EFE">
              <w:rPr>
                <w:sz w:val="20"/>
                <w:szCs w:val="20"/>
              </w:rPr>
              <w:t>82.90 ± 4.10</w:t>
            </w:r>
          </w:p>
        </w:tc>
      </w:tr>
      <w:tr w:rsidR="00A6598C" w:rsidRPr="009D7EFE" w14:paraId="719CF380" w14:textId="77777777" w:rsidTr="009D7EFE">
        <w:tc>
          <w:tcPr>
            <w:tcW w:w="0" w:type="auto"/>
            <w:vAlign w:val="center"/>
            <w:hideMark/>
          </w:tcPr>
          <w:p w14:paraId="73D99170" w14:textId="77777777" w:rsidR="00A6598C" w:rsidRPr="009D7EFE" w:rsidRDefault="00A6598C" w:rsidP="00A6598C">
            <w:pPr>
              <w:spacing w:line="360" w:lineRule="auto"/>
              <w:jc w:val="both"/>
              <w:rPr>
                <w:sz w:val="20"/>
                <w:szCs w:val="20"/>
              </w:rPr>
            </w:pPr>
            <w:r w:rsidRPr="009D7EFE">
              <w:rPr>
                <w:sz w:val="20"/>
                <w:szCs w:val="20"/>
              </w:rPr>
              <w:t>U</w:t>
            </w:r>
          </w:p>
        </w:tc>
        <w:tc>
          <w:tcPr>
            <w:tcW w:w="1302" w:type="dxa"/>
            <w:vAlign w:val="center"/>
            <w:hideMark/>
          </w:tcPr>
          <w:p w14:paraId="7CAD7A4F"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263A1606" w14:textId="77777777" w:rsidR="00A6598C" w:rsidRPr="009D7EFE" w:rsidRDefault="00A6598C" w:rsidP="00A6598C">
            <w:pPr>
              <w:spacing w:line="360" w:lineRule="auto"/>
              <w:jc w:val="both"/>
              <w:rPr>
                <w:sz w:val="20"/>
                <w:szCs w:val="20"/>
              </w:rPr>
            </w:pPr>
            <w:r w:rsidRPr="009D7EFE">
              <w:rPr>
                <w:sz w:val="20"/>
                <w:szCs w:val="20"/>
              </w:rPr>
              <w:t>1.00 ± 0.00</w:t>
            </w:r>
          </w:p>
        </w:tc>
        <w:tc>
          <w:tcPr>
            <w:tcW w:w="1530" w:type="dxa"/>
            <w:vAlign w:val="center"/>
            <w:hideMark/>
          </w:tcPr>
          <w:p w14:paraId="1D6B9842" w14:textId="77777777" w:rsidR="00A6598C" w:rsidRPr="009D7EFE" w:rsidRDefault="00A6598C" w:rsidP="00A6598C">
            <w:pPr>
              <w:spacing w:line="360" w:lineRule="auto"/>
              <w:jc w:val="both"/>
              <w:rPr>
                <w:sz w:val="20"/>
                <w:szCs w:val="20"/>
              </w:rPr>
            </w:pPr>
            <w:r w:rsidRPr="009D7EFE">
              <w:rPr>
                <w:sz w:val="20"/>
                <w:szCs w:val="20"/>
              </w:rPr>
              <w:t>1.40 ± 0.13</w:t>
            </w:r>
          </w:p>
        </w:tc>
        <w:tc>
          <w:tcPr>
            <w:tcW w:w="1761" w:type="dxa"/>
            <w:vAlign w:val="center"/>
            <w:hideMark/>
          </w:tcPr>
          <w:p w14:paraId="43BCD8AB" w14:textId="77777777" w:rsidR="00A6598C" w:rsidRPr="009D7EFE" w:rsidRDefault="00A6598C" w:rsidP="00A6598C">
            <w:pPr>
              <w:spacing w:line="360" w:lineRule="auto"/>
              <w:jc w:val="both"/>
              <w:rPr>
                <w:sz w:val="20"/>
                <w:szCs w:val="20"/>
              </w:rPr>
            </w:pPr>
            <w:r w:rsidRPr="009D7EFE">
              <w:rPr>
                <w:sz w:val="20"/>
                <w:szCs w:val="20"/>
              </w:rPr>
              <w:t>1.25 ± 0.25</w:t>
            </w:r>
          </w:p>
        </w:tc>
        <w:tc>
          <w:tcPr>
            <w:tcW w:w="0" w:type="auto"/>
            <w:vAlign w:val="center"/>
            <w:hideMark/>
          </w:tcPr>
          <w:p w14:paraId="3ED0F6E8" w14:textId="77777777" w:rsidR="00A6598C" w:rsidRPr="009D7EFE" w:rsidRDefault="00A6598C" w:rsidP="00A6598C">
            <w:pPr>
              <w:spacing w:line="360" w:lineRule="auto"/>
              <w:jc w:val="both"/>
              <w:rPr>
                <w:sz w:val="20"/>
                <w:szCs w:val="20"/>
              </w:rPr>
            </w:pPr>
            <w:r w:rsidRPr="009D7EFE">
              <w:rPr>
                <w:sz w:val="20"/>
                <w:szCs w:val="20"/>
              </w:rPr>
              <w:t>1.53 ± 0.14</w:t>
            </w:r>
          </w:p>
        </w:tc>
      </w:tr>
      <w:tr w:rsidR="00A6598C" w:rsidRPr="009D7EFE" w14:paraId="22C34B76" w14:textId="77777777" w:rsidTr="009D7EFE">
        <w:tc>
          <w:tcPr>
            <w:tcW w:w="0" w:type="auto"/>
            <w:vAlign w:val="center"/>
            <w:hideMark/>
          </w:tcPr>
          <w:p w14:paraId="2D3671CF" w14:textId="77777777" w:rsidR="00A6598C" w:rsidRPr="009D7EFE" w:rsidRDefault="00A6598C" w:rsidP="00A6598C">
            <w:pPr>
              <w:spacing w:line="360" w:lineRule="auto"/>
              <w:jc w:val="both"/>
              <w:rPr>
                <w:sz w:val="20"/>
                <w:szCs w:val="20"/>
              </w:rPr>
            </w:pPr>
            <w:r w:rsidRPr="009D7EFE">
              <w:rPr>
                <w:sz w:val="20"/>
                <w:szCs w:val="20"/>
              </w:rPr>
              <w:t>D</w:t>
            </w:r>
          </w:p>
        </w:tc>
        <w:tc>
          <w:tcPr>
            <w:tcW w:w="1302" w:type="dxa"/>
            <w:vAlign w:val="center"/>
            <w:hideMark/>
          </w:tcPr>
          <w:p w14:paraId="1CB8D2DD"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797E38C1" w14:textId="77777777" w:rsidR="00A6598C" w:rsidRPr="009D7EFE" w:rsidRDefault="00A6598C" w:rsidP="00A6598C">
            <w:pPr>
              <w:spacing w:line="360" w:lineRule="auto"/>
              <w:jc w:val="both"/>
              <w:rPr>
                <w:sz w:val="20"/>
                <w:szCs w:val="20"/>
              </w:rPr>
            </w:pPr>
            <w:r w:rsidRPr="009D7EFE">
              <w:rPr>
                <w:sz w:val="20"/>
                <w:szCs w:val="20"/>
              </w:rPr>
              <w:t>3.31 ± 0.64</w:t>
            </w:r>
          </w:p>
        </w:tc>
        <w:tc>
          <w:tcPr>
            <w:tcW w:w="1530" w:type="dxa"/>
            <w:vAlign w:val="center"/>
            <w:hideMark/>
          </w:tcPr>
          <w:p w14:paraId="7A544776" w14:textId="77777777" w:rsidR="00A6598C" w:rsidRPr="009D7EFE" w:rsidRDefault="00A6598C" w:rsidP="00A6598C">
            <w:pPr>
              <w:spacing w:line="360" w:lineRule="auto"/>
              <w:jc w:val="both"/>
              <w:rPr>
                <w:sz w:val="20"/>
                <w:szCs w:val="20"/>
              </w:rPr>
            </w:pPr>
            <w:r w:rsidRPr="009D7EFE">
              <w:rPr>
                <w:sz w:val="20"/>
                <w:szCs w:val="20"/>
              </w:rPr>
              <w:t>3.84 ± 0.42</w:t>
            </w:r>
          </w:p>
        </w:tc>
        <w:tc>
          <w:tcPr>
            <w:tcW w:w="1761" w:type="dxa"/>
            <w:vAlign w:val="center"/>
            <w:hideMark/>
          </w:tcPr>
          <w:p w14:paraId="0E4663BF" w14:textId="77777777" w:rsidR="00A6598C" w:rsidRPr="009D7EFE" w:rsidRDefault="00A6598C" w:rsidP="00A6598C">
            <w:pPr>
              <w:spacing w:line="360" w:lineRule="auto"/>
              <w:jc w:val="both"/>
              <w:rPr>
                <w:sz w:val="20"/>
                <w:szCs w:val="20"/>
              </w:rPr>
            </w:pPr>
            <w:r w:rsidRPr="009D7EFE">
              <w:rPr>
                <w:sz w:val="20"/>
                <w:szCs w:val="20"/>
              </w:rPr>
              <w:t>2.87 ± 0.83</w:t>
            </w:r>
          </w:p>
        </w:tc>
        <w:tc>
          <w:tcPr>
            <w:tcW w:w="0" w:type="auto"/>
            <w:vAlign w:val="center"/>
            <w:hideMark/>
          </w:tcPr>
          <w:p w14:paraId="3D6D3CD3" w14:textId="77777777" w:rsidR="00A6598C" w:rsidRPr="009D7EFE" w:rsidRDefault="00A6598C" w:rsidP="00A6598C">
            <w:pPr>
              <w:spacing w:line="360" w:lineRule="auto"/>
              <w:jc w:val="both"/>
              <w:rPr>
                <w:sz w:val="20"/>
                <w:szCs w:val="20"/>
              </w:rPr>
            </w:pPr>
            <w:r w:rsidRPr="009D7EFE">
              <w:rPr>
                <w:sz w:val="20"/>
                <w:szCs w:val="20"/>
              </w:rPr>
              <w:t>4.00 ± 0.47</w:t>
            </w:r>
          </w:p>
        </w:tc>
      </w:tr>
      <w:tr w:rsidR="00A6598C" w:rsidRPr="009D7EFE" w14:paraId="27C97F98" w14:textId="77777777" w:rsidTr="009D7EFE">
        <w:tc>
          <w:tcPr>
            <w:tcW w:w="0" w:type="auto"/>
            <w:vAlign w:val="center"/>
            <w:hideMark/>
          </w:tcPr>
          <w:p w14:paraId="3932BB6B" w14:textId="77777777" w:rsidR="00A6598C" w:rsidRPr="009D7EFE" w:rsidRDefault="00A6598C" w:rsidP="00A6598C">
            <w:pPr>
              <w:spacing w:line="360" w:lineRule="auto"/>
              <w:jc w:val="both"/>
              <w:rPr>
                <w:sz w:val="20"/>
                <w:szCs w:val="20"/>
              </w:rPr>
            </w:pPr>
            <w:r w:rsidRPr="009D7EFE">
              <w:rPr>
                <w:sz w:val="20"/>
                <w:szCs w:val="20"/>
              </w:rPr>
              <w:t>L</w:t>
            </w:r>
          </w:p>
        </w:tc>
        <w:tc>
          <w:tcPr>
            <w:tcW w:w="1302" w:type="dxa"/>
            <w:vAlign w:val="center"/>
            <w:hideMark/>
          </w:tcPr>
          <w:p w14:paraId="6A4CD1A2"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201324EC" w14:textId="77777777" w:rsidR="00A6598C" w:rsidRPr="009D7EFE" w:rsidRDefault="00A6598C" w:rsidP="00A6598C">
            <w:pPr>
              <w:spacing w:line="360" w:lineRule="auto"/>
              <w:jc w:val="both"/>
              <w:rPr>
                <w:sz w:val="20"/>
                <w:szCs w:val="20"/>
              </w:rPr>
            </w:pPr>
            <w:r w:rsidRPr="009D7EFE">
              <w:rPr>
                <w:sz w:val="20"/>
                <w:szCs w:val="20"/>
              </w:rPr>
              <w:t>3.60 ± 0.53</w:t>
            </w:r>
          </w:p>
        </w:tc>
        <w:tc>
          <w:tcPr>
            <w:tcW w:w="1530" w:type="dxa"/>
            <w:vAlign w:val="center"/>
            <w:hideMark/>
          </w:tcPr>
          <w:p w14:paraId="197C28E2" w14:textId="77777777" w:rsidR="00A6598C" w:rsidRPr="009D7EFE" w:rsidRDefault="00A6598C" w:rsidP="00A6598C">
            <w:pPr>
              <w:spacing w:line="360" w:lineRule="auto"/>
              <w:jc w:val="both"/>
              <w:rPr>
                <w:sz w:val="20"/>
                <w:szCs w:val="20"/>
              </w:rPr>
            </w:pPr>
            <w:r w:rsidRPr="009D7EFE">
              <w:rPr>
                <w:sz w:val="20"/>
                <w:szCs w:val="20"/>
              </w:rPr>
              <w:t>4.22 ± 0.40</w:t>
            </w:r>
          </w:p>
        </w:tc>
        <w:tc>
          <w:tcPr>
            <w:tcW w:w="1761" w:type="dxa"/>
            <w:vAlign w:val="center"/>
            <w:hideMark/>
          </w:tcPr>
          <w:p w14:paraId="4B3933F4" w14:textId="77777777" w:rsidR="00A6598C" w:rsidRPr="009D7EFE" w:rsidRDefault="00A6598C" w:rsidP="00A6598C">
            <w:pPr>
              <w:spacing w:line="360" w:lineRule="auto"/>
              <w:jc w:val="both"/>
              <w:rPr>
                <w:sz w:val="20"/>
                <w:szCs w:val="20"/>
              </w:rPr>
            </w:pPr>
            <w:r w:rsidRPr="009D7EFE">
              <w:rPr>
                <w:sz w:val="20"/>
                <w:szCs w:val="20"/>
              </w:rPr>
              <w:t>2.77 ± 0.32</w:t>
            </w:r>
          </w:p>
        </w:tc>
        <w:tc>
          <w:tcPr>
            <w:tcW w:w="0" w:type="auto"/>
            <w:vAlign w:val="center"/>
            <w:hideMark/>
          </w:tcPr>
          <w:p w14:paraId="6C8AE6EA" w14:textId="77777777" w:rsidR="00A6598C" w:rsidRPr="009D7EFE" w:rsidRDefault="00A6598C" w:rsidP="00A6598C">
            <w:pPr>
              <w:spacing w:line="360" w:lineRule="auto"/>
              <w:jc w:val="both"/>
              <w:rPr>
                <w:sz w:val="20"/>
                <w:szCs w:val="20"/>
              </w:rPr>
            </w:pPr>
            <w:r w:rsidRPr="009D7EFE">
              <w:rPr>
                <w:sz w:val="20"/>
                <w:szCs w:val="20"/>
              </w:rPr>
              <w:t>3.21 ± 0.29</w:t>
            </w:r>
          </w:p>
        </w:tc>
      </w:tr>
    </w:tbl>
    <w:p w14:paraId="0E5A6580" w14:textId="7DCA9490" w:rsidR="00F8457B" w:rsidRPr="00F8457B" w:rsidRDefault="00F8457B" w:rsidP="00F8457B">
      <w:pPr>
        <w:jc w:val="both"/>
        <w:rPr>
          <w:sz w:val="18"/>
          <w:szCs w:val="18"/>
        </w:rPr>
      </w:pPr>
      <w:r w:rsidRPr="00F8457B">
        <w:rPr>
          <w:sz w:val="18"/>
          <w:szCs w:val="18"/>
        </w:rPr>
        <w:t>Values are expressed as mean ± SEM. OAE: open arm entries; CAE: closed arm entries; OAD: open arm duration; CAD: closed arm duration; CSD: central square duration; HD: head dipping; S: stretch attend; R: rearing; G: grooming; U: urination; D: defecation; L: locomotion.</w:t>
      </w:r>
    </w:p>
    <w:p w14:paraId="0D0A9A0B" w14:textId="77777777" w:rsidR="00F8457B" w:rsidRDefault="00F8457B" w:rsidP="00682F44">
      <w:pPr>
        <w:spacing w:line="360" w:lineRule="auto"/>
        <w:jc w:val="both"/>
      </w:pPr>
    </w:p>
    <w:p w14:paraId="3029502A" w14:textId="47FA059B" w:rsidR="00B45B7F" w:rsidRDefault="00B45B7F" w:rsidP="00682F44">
      <w:pPr>
        <w:spacing w:line="360" w:lineRule="auto"/>
        <w:jc w:val="both"/>
        <w:rPr>
          <w:b/>
          <w:bCs/>
        </w:rPr>
      </w:pPr>
      <w:r w:rsidRPr="00B45B7F">
        <w:rPr>
          <w:b/>
          <w:bCs/>
        </w:rPr>
        <w:t>DISCUSSION</w:t>
      </w:r>
    </w:p>
    <w:p w14:paraId="4A2FDC6F" w14:textId="77777777" w:rsidR="009D7EFE" w:rsidRPr="009D7EFE" w:rsidRDefault="009D7EFE" w:rsidP="00D54592">
      <w:pPr>
        <w:spacing w:after="240" w:line="360" w:lineRule="auto"/>
        <w:jc w:val="both"/>
      </w:pPr>
      <w:r w:rsidRPr="009D7EFE">
        <w:t>This study demonstrates that exposure to PM₁₀ carbon soot induces dose- and time-dependent hepatic injury, inflammatory activation, and behavioural alterations in Wistar rats. Specifically, progressive disruption of liver cytoarchitecture, marked elevation of hepatic TNF-α levels, and anxiety-like behavioural changes highlight the multi-system toxicity of particulate matter exposure. The inclusion of separate animal cohorts for each time point strengthens the temporal resolution of these findings, while particle characterization provides context for comparison with other studies.</w:t>
      </w:r>
    </w:p>
    <w:p w14:paraId="292859C7" w14:textId="77777777" w:rsidR="009D7EFE" w:rsidRPr="009D7EFE" w:rsidRDefault="009D7EFE" w:rsidP="009D7EFE">
      <w:pPr>
        <w:spacing w:line="360" w:lineRule="auto"/>
        <w:jc w:val="both"/>
        <w:rPr>
          <w:b/>
          <w:bCs/>
          <w:i/>
          <w:iCs/>
        </w:rPr>
      </w:pPr>
      <w:r w:rsidRPr="009D7EFE">
        <w:rPr>
          <w:b/>
          <w:bCs/>
          <w:i/>
          <w:iCs/>
        </w:rPr>
        <w:t>Hepatic Histopathological Alterations</w:t>
      </w:r>
    </w:p>
    <w:p w14:paraId="0C08FDC4" w14:textId="77777777" w:rsidR="009D7EFE" w:rsidRPr="009D7EFE" w:rsidRDefault="009D7EFE" w:rsidP="009D7EFE">
      <w:pPr>
        <w:spacing w:line="360" w:lineRule="auto"/>
        <w:jc w:val="both"/>
      </w:pPr>
      <w:r w:rsidRPr="009D7EFE">
        <w:t>The histopathological findings revealed progressive hepatocellular degeneration, necrosis, sinusoidal dilation, vascular congestion, and inflammatory cell infiltration, which intensified with increasing exposure duration and concentration. These changes are consistently reported in animal models exposed to fine particulate matter (Tavera Busso et al., 2019; Pei et al., 2023; Xiao et al., 2024). Such structural alterations are consistent with the liver's central role in xenobiotic metabolism and detoxification, rendering it highly susceptible to circulating toxicants derived from inhaled particulate matter (Tarantino et al., 2013; Hantrakool et al., 2022). Inhaled particulate matter can translocate into systemic circulation, accumulate in the liver, and induce oxidative stress, leading to hepatocellular injury (Tavera Busso et al., 2019; Xu et al., 2019; Iaccarino et al., 2025).</w:t>
      </w:r>
    </w:p>
    <w:p w14:paraId="4FFBECD8" w14:textId="77777777" w:rsidR="009D7EFE" w:rsidRPr="009D7EFE" w:rsidRDefault="009D7EFE" w:rsidP="00D54592">
      <w:pPr>
        <w:spacing w:after="240" w:line="360" w:lineRule="auto"/>
        <w:jc w:val="both"/>
      </w:pPr>
      <w:r w:rsidRPr="009D7EFE">
        <w:lastRenderedPageBreak/>
        <w:t>Experimental studies have demonstrated that particulate matter exposure promotes excessive generation of reactive oxygen species (ROS), resulting in lipid peroxidation, mitochondrial dysfunction, and cellular apoptosis in hepatic tissue (Zheng et al., 2015; Shetty et al., 2023). Similarly, recent in vivo studies have reported that exposure to carbon</w:t>
      </w:r>
      <w:r w:rsidRPr="009D7EFE">
        <w:noBreakHyphen/>
        <w:t>based particulate pollutants leads to hepatic necrosis, vascular congestion, and inflammatory infiltration, supporting the dose</w:t>
      </w:r>
      <w:r w:rsidRPr="009D7EFE">
        <w:noBreakHyphen/>
        <w:t>dependent hepatotoxic effects observed in this study (Tavera Busso et al., 2019; Al</w:t>
      </w:r>
      <w:r w:rsidRPr="009D7EFE">
        <w:noBreakHyphen/>
        <w:t>Badri et al., 2019). The observed sinusoidal dilation and vascular congestion further suggest impaired hepatic microcirculation, which may exacerbate hypoxia and accelerate cellular degeneration (Furlan et al., 2016; Brancatelli et al., 2018).</w:t>
      </w:r>
    </w:p>
    <w:p w14:paraId="0EB9ED7E" w14:textId="77777777" w:rsidR="009D7EFE" w:rsidRPr="009D7EFE" w:rsidRDefault="009D7EFE" w:rsidP="009D7EFE">
      <w:pPr>
        <w:spacing w:line="360" w:lineRule="auto"/>
        <w:jc w:val="both"/>
        <w:rPr>
          <w:b/>
          <w:bCs/>
          <w:i/>
          <w:iCs/>
        </w:rPr>
      </w:pPr>
      <w:r w:rsidRPr="009D7EFE">
        <w:rPr>
          <w:b/>
          <w:bCs/>
          <w:i/>
          <w:iCs/>
        </w:rPr>
        <w:t>TNF-α Expression and Inflammatory Mechanisms</w:t>
      </w:r>
    </w:p>
    <w:p w14:paraId="0DD8B825" w14:textId="77777777" w:rsidR="009D7EFE" w:rsidRPr="009D7EFE" w:rsidRDefault="009D7EFE" w:rsidP="009D7EFE">
      <w:pPr>
        <w:spacing w:line="360" w:lineRule="auto"/>
        <w:jc w:val="both"/>
      </w:pPr>
      <w:r w:rsidRPr="009D7EFE">
        <w:t>The progressive increase in hepatic TNF</w:t>
      </w:r>
      <w:r w:rsidRPr="009D7EFE">
        <w:noBreakHyphen/>
        <w:t>α levels observed in this study provides strong evidence of inflammation</w:t>
      </w:r>
      <w:r w:rsidRPr="009D7EFE">
        <w:noBreakHyphen/>
        <w:t>mediated toxicity. TNF</w:t>
      </w:r>
      <w:r w:rsidRPr="009D7EFE">
        <w:noBreakHyphen/>
        <w:t>α is a central pro</w:t>
      </w:r>
      <w:r w:rsidRPr="009D7EFE">
        <w:noBreakHyphen/>
        <w:t>inflammatory cytokine involved in initiating and amplifying inflammatory cascades, and its upregulation has been strongly associated with tissue injury and organ dysfunction (Simeonova et al., 2001; Hammam et al., 2013). Importantly, the relationship between TNF-α and hepatocellular injury is bidirectional: TNF-α can be released by activated Kupffer cells and hepatocytes in response to toxic insults, driving further inflammation and apoptosis, while hepatocellular necrosis itself can trigger the release of damage-associated molecular patterns (DAMPs) that perpetuate TNF-α production (Brenner et al., 2013; Krenkel &amp; Tacke, 2017). This self-perpetuating cycle likely contributed to the escalating TNF-α levels observed alongside worsening histopathological damage across the exposure period.</w:t>
      </w:r>
    </w:p>
    <w:p w14:paraId="4E1D0DDA" w14:textId="77777777" w:rsidR="009D7EFE" w:rsidRPr="009D7EFE" w:rsidRDefault="009D7EFE" w:rsidP="00D54592">
      <w:pPr>
        <w:spacing w:after="240" w:line="360" w:lineRule="auto"/>
        <w:jc w:val="both"/>
      </w:pPr>
      <w:r w:rsidRPr="009D7EFE">
        <w:t>Particulate matter exposure has been shown to activate nuclear factor kappa B (NF</w:t>
      </w:r>
      <w:r w:rsidRPr="009D7EFE">
        <w:noBreakHyphen/>
        <w:t>κB) signaling pathways, resulting in increased transcription of pro</w:t>
      </w:r>
      <w:r w:rsidRPr="009D7EFE">
        <w:noBreakHyphen/>
        <w:t>inflammatory cytokines, including TNF</w:t>
      </w:r>
      <w:r w:rsidRPr="009D7EFE">
        <w:noBreakHyphen/>
        <w:t>α, interleukin</w:t>
      </w:r>
      <w:r w:rsidRPr="009D7EFE">
        <w:noBreakHyphen/>
        <w:t>6, and interleukin</w:t>
      </w:r>
      <w:r w:rsidRPr="009D7EFE">
        <w:noBreakHyphen/>
        <w:t>1β (Kennedy et al., 1998; Zheng et al., 2012). In line with this, Zheng et al. (2012) demonstrated that PM exposure induces oxidative stress</w:t>
      </w:r>
      <w:r w:rsidRPr="009D7EFE">
        <w:noBreakHyphen/>
        <w:t>mediated NF</w:t>
      </w:r>
      <w:r w:rsidRPr="009D7EFE">
        <w:noBreakHyphen/>
        <w:t>κB activation, leading to sustained inflammatory responses. Similarly, recent hepatic</w:t>
      </w:r>
      <w:r w:rsidRPr="009D7EFE">
        <w:noBreakHyphen/>
        <w:t>inflammation studies reported that airborne particulate exposure significantly elevated TNF</w:t>
      </w:r>
      <w:r w:rsidRPr="009D7EFE">
        <w:noBreakHyphen/>
        <w:t>α expression in hepatic tissues, contributing to inflammatory injury (Iaccarino et al., 2025; Lu et al., 2025). The strong temporal and dose</w:t>
      </w:r>
      <w:r w:rsidRPr="009D7EFE">
        <w:noBreakHyphen/>
        <w:t>dependent increase in TNF</w:t>
      </w:r>
      <w:r w:rsidRPr="009D7EFE">
        <w:noBreakHyphen/>
        <w:t>α levels observed in this study, alongside worsening histopathological damage, suggests that inflammatory signaling plays a pivotal role in mediating soot</w:t>
      </w:r>
      <w:r w:rsidRPr="009D7EFE">
        <w:noBreakHyphen/>
        <w:t>induced hepatotoxicity.</w:t>
      </w:r>
    </w:p>
    <w:p w14:paraId="4BA936B1" w14:textId="77777777" w:rsidR="009D7EFE" w:rsidRPr="009D7EFE" w:rsidRDefault="009D7EFE" w:rsidP="009D7EFE">
      <w:pPr>
        <w:spacing w:line="360" w:lineRule="auto"/>
        <w:jc w:val="both"/>
        <w:rPr>
          <w:b/>
          <w:bCs/>
          <w:i/>
          <w:iCs/>
        </w:rPr>
      </w:pPr>
      <w:r w:rsidRPr="009D7EFE">
        <w:rPr>
          <w:b/>
          <w:bCs/>
          <w:i/>
          <w:iCs/>
        </w:rPr>
        <w:t>Behavioural Alterations and Neuroinflammatory Links</w:t>
      </w:r>
    </w:p>
    <w:p w14:paraId="35A3FD9E" w14:textId="77777777" w:rsidR="009D7EFE" w:rsidRPr="009D7EFE" w:rsidRDefault="009D7EFE" w:rsidP="009D7EFE">
      <w:pPr>
        <w:spacing w:line="360" w:lineRule="auto"/>
        <w:jc w:val="both"/>
      </w:pPr>
      <w:r w:rsidRPr="009D7EFE">
        <w:lastRenderedPageBreak/>
        <w:t>The behavioural findings further extend the systemic impact of particulate matter exposure. The observed reductions in open arm entries and duration, along with increased closed arm preference, indicate heightened anxiety-like behaviour in exposed animals. Notably, the low-medium exposure group exhibited a distinct behavioural profile characterized by increased open arm duration, rearing, and central square duration, which may represent a paradoxical anxiolytic-like effect or a U-shaped dose-response pattern. Such non-monotonic responses have been documented in toxicology and may reflect hormetic mechanisms, whereby moderate exposures induce compensatory or adaptive responses that differ qualitatively from both low and high dose effects (Calabrese, 2014; Agathokleous &amp; Calabrese, 2020). Alternatively, this pattern could indicate differential individual susceptibility, as reflected by the high variability within this group, or a transitional state in the dose-response relationship. These findings underscore the importance of including multiple exposure levels to detect non-linear responses and warrant cautious interpretation.</w:t>
      </w:r>
    </w:p>
    <w:p w14:paraId="6F455DA7" w14:textId="77777777" w:rsidR="009D7EFE" w:rsidRPr="009D7EFE" w:rsidRDefault="009D7EFE" w:rsidP="009D7EFE">
      <w:pPr>
        <w:spacing w:line="360" w:lineRule="auto"/>
        <w:jc w:val="both"/>
      </w:pPr>
      <w:r w:rsidRPr="009D7EFE">
        <w:t>Emerging evidence suggests that particulate matter can affect central nervous system function either through direct translocation across the blood–brain barrier or via systemic inflammatory mediators (Block &amp; Calderón-Garcidueñas, 2009; Costa et al., 2019). Circulating pro-inflammatory cytokines such as TNF-α can disrupt neuronal signaling, induce microglial activation, and promote neuroinflammation (Calderón-Garcidueñas et al., 2009). Supporting this, experimental studies have demonstrated that exposure to carbon soot and fine particulate matter results in neuronal degeneration, gliosis, and behavioural impairments, including anxiety-like responses (Fonken et al., 2011). These findings reinforce the likelihood that soot-induced systemic inflammation contributes to neurobehavioural alterations through the liver–brain axis.</w:t>
      </w:r>
    </w:p>
    <w:p w14:paraId="5326C5E7" w14:textId="77777777" w:rsidR="009D7EFE" w:rsidRPr="009D7EFE" w:rsidRDefault="009D7EFE" w:rsidP="00D54592">
      <w:pPr>
        <w:spacing w:after="240" w:line="360" w:lineRule="auto"/>
        <w:jc w:val="both"/>
      </w:pPr>
      <w:r w:rsidRPr="009D7EFE">
        <w:t>Importantly, previous studies from our laboratory have demonstrated that inhalation of carbon soot particulate matter induces significant cytoarchitectural disruption in the cerebral cortex (Okoseimiema &amp; Uruaka, 2025) and cerebellum (Okoseimiema &amp; Uahomo, 2025), characterized by neuronal degeneration, loss of Purkinje cells, and glial activation. These structural changes in brain regions critical for emotional regulation, motor coordination, and cognitive processing provide a plausible neuroanatomical substrate for the anxiety-like behaviours observed in the current study. The convergence of histopathological evidence in both hepatic and neural tissues suggests that systemic inflammation, potentially mediated by TNF-α and other pro-inflammatory cytokines, may serve as a common pathway linking peripheral organ injury to central nervous system dysfunction following soot exposure.</w:t>
      </w:r>
    </w:p>
    <w:p w14:paraId="11832109" w14:textId="77777777" w:rsidR="009D7EFE" w:rsidRPr="009D7EFE" w:rsidRDefault="009D7EFE" w:rsidP="009D7EFE">
      <w:pPr>
        <w:spacing w:line="360" w:lineRule="auto"/>
        <w:jc w:val="both"/>
        <w:rPr>
          <w:b/>
          <w:bCs/>
          <w:i/>
          <w:iCs/>
        </w:rPr>
      </w:pPr>
      <w:r w:rsidRPr="009D7EFE">
        <w:rPr>
          <w:b/>
          <w:bCs/>
          <w:i/>
          <w:iCs/>
        </w:rPr>
        <w:lastRenderedPageBreak/>
        <w:t>Environmental Relevance of Exposure Concentrations</w:t>
      </w:r>
    </w:p>
    <w:p w14:paraId="6E97223F" w14:textId="77777777" w:rsidR="009D7EFE" w:rsidRPr="009D7EFE" w:rsidRDefault="009D7EFE" w:rsidP="009D7EFE">
      <w:pPr>
        <w:spacing w:after="240" w:line="360" w:lineRule="auto"/>
        <w:jc w:val="both"/>
      </w:pPr>
      <w:r w:rsidRPr="009D7EFE">
        <w:t>The exposure concentrations used in this study (approximately 2.1–2.3 mg/m³ or 2,100–2,300 µg/m³) are notably higher than typical urban ambient air pollution levels but are relevant to occupational and environmental hotspot scenarios. For context, the World Health Organization's 24-hour air quality guideline for PM₁₀ is 45 µg/m³, with annual mean guidelines of 15 µg/m³ (WHO, 2021). However, in regions impacted by crude oil combustion and artisanal refining activities, such as the Niger Delta in Nigeria, ambient PM₁₀ concentrations have been reported to reach levels exceeding 1,000–2,000 µg/m³ during peak soot events (Ephraim-Emmanuel et al., 2023; Ekhator et al., 2024). Thus, the exposure levels employed in this study are environmentally relevant for populations living in proximity to artisanal refineries or experiencing episodic heavy soot pollution. The 1-hour daily exposure paradigm approximates intermittent peak exposure scenarios rather than continuous low-level exposure, which may reflect real-world patterns in affected communities.</w:t>
      </w:r>
    </w:p>
    <w:p w14:paraId="4959E36A" w14:textId="2538CB57" w:rsidR="00430316" w:rsidRDefault="00430316" w:rsidP="00682F44">
      <w:pPr>
        <w:spacing w:line="360" w:lineRule="auto"/>
        <w:jc w:val="both"/>
        <w:rPr>
          <w:b/>
          <w:bCs/>
        </w:rPr>
      </w:pPr>
      <w:r w:rsidRPr="00430316">
        <w:rPr>
          <w:b/>
          <w:bCs/>
        </w:rPr>
        <w:t>CONCLUSION</w:t>
      </w:r>
    </w:p>
    <w:p w14:paraId="08958188" w14:textId="10C3A03D" w:rsidR="00430316" w:rsidRPr="00430316" w:rsidRDefault="00430316" w:rsidP="00430316">
      <w:pPr>
        <w:spacing w:line="360" w:lineRule="auto"/>
        <w:jc w:val="both"/>
      </w:pPr>
      <w:r w:rsidRPr="00430316">
        <w:t>This study demonstrates that exposure to PM</w:t>
      </w:r>
      <w:r w:rsidRPr="00430316">
        <w:rPr>
          <w:vertAlign w:val="subscript"/>
        </w:rPr>
        <w:t>10</w:t>
      </w:r>
      <w:r>
        <w:t xml:space="preserve"> </w:t>
      </w:r>
      <w:r w:rsidRPr="00430316">
        <w:t>carbon soot induces significant dose- and time-dependent hepatic injury, inflammatory activation, and behavioural alterations in Wistar rats. Histological findings revealed progressive disruption of liver cytoarchitecture, including hepatocellular degeneration, necrosis, sinusoidal dilation, vascular congestion, and inflammatory cell infiltration. These structural changes were accompanied by marked elevations in hepatic TNF-α levels, indicating activation of pro-inflammatory pathways that likely contribute to tissue injury. Furthermore, behavioural assessment using the elevated plus maze showed alterations consistent with anxiety-like responses, suggesting that soot exposure exerts systemic effects extending beyond the liver to influence neurobehavioural function.</w:t>
      </w:r>
    </w:p>
    <w:p w14:paraId="7F248844" w14:textId="2C9C1F92" w:rsidR="005D731F" w:rsidRDefault="00430316" w:rsidP="00D54592">
      <w:pPr>
        <w:spacing w:after="240" w:line="360" w:lineRule="auto"/>
        <w:jc w:val="both"/>
      </w:pPr>
      <w:r w:rsidRPr="00430316">
        <w:t>The integration of histological, molecular, and behavioural outcomes provides strong evidence that particulate matter exposure induces multi-organ toxicity, potentially mediated through inflammatory and oxidative mechanisms. These findings are particularly relevant in regions with high levels of environmental soot pollution, underscoring the need for targeted public health interventions. Future studies should incorporate oxidative stress markers, evaluate broader inflammatory pathways, and include neurohistological assessments to better elucidate the mechanisms underlying particulate matter-induced systemic toxicity. Long-term exposure studies are also warranted to assess chronic effects and potential reversibility of tissue damage.</w:t>
      </w:r>
    </w:p>
    <w:p w14:paraId="15BF1077" w14:textId="77777777" w:rsidR="00C36054" w:rsidRPr="009D7EFE" w:rsidRDefault="00C36054" w:rsidP="00C36054">
      <w:pPr>
        <w:spacing w:line="360" w:lineRule="auto"/>
        <w:jc w:val="both"/>
        <w:rPr>
          <w:b/>
          <w:bCs/>
        </w:rPr>
      </w:pPr>
      <w:r w:rsidRPr="009D7EFE">
        <w:rPr>
          <w:b/>
          <w:bCs/>
        </w:rPr>
        <w:t>Limitations of the Study</w:t>
      </w:r>
    </w:p>
    <w:p w14:paraId="5DE772DB" w14:textId="77777777" w:rsidR="00C36054" w:rsidRPr="009D7EFE" w:rsidRDefault="00C36054" w:rsidP="00C36054">
      <w:pPr>
        <w:spacing w:line="360" w:lineRule="auto"/>
        <w:jc w:val="both"/>
      </w:pPr>
      <w:r w:rsidRPr="009D7EFE">
        <w:lastRenderedPageBreak/>
        <w:t>Several limitations should be acknowledged. First, the gradual rise in control TNF-α levels over the 28-day period</w:t>
      </w:r>
      <w:r>
        <w:t xml:space="preserve"> (</w:t>
      </w:r>
      <w:r w:rsidRPr="009D7EFE">
        <w:t xml:space="preserve">from 8.30±0.20 </w:t>
      </w:r>
      <w:proofErr w:type="spellStart"/>
      <w:r w:rsidRPr="009D7EFE">
        <w:t>pg</w:t>
      </w:r>
      <w:proofErr w:type="spellEnd"/>
      <w:r w:rsidRPr="009D7EFE">
        <w:t xml:space="preserve">/mL at day 3 to 59.25±8.25 </w:t>
      </w:r>
      <w:proofErr w:type="spellStart"/>
      <w:r w:rsidRPr="009D7EFE">
        <w:t>pg</w:t>
      </w:r>
      <w:proofErr w:type="spellEnd"/>
      <w:r w:rsidRPr="009D7EFE">
        <w:t>/mL at day 28</w:t>
      </w:r>
      <w:r>
        <w:t xml:space="preserve">) </w:t>
      </w:r>
      <w:r w:rsidRPr="009D7EFE">
        <w:t>was unexpected for untreated animals. This increase may be attributable to age-related physiological changes, cumulative stress from daily handling and transport to exposure chambers, or low-grade subclinical inflammation that developed over the study duration. While all animals were maintained under standardized conditions, the absence of a completely undisturbed control group (e.g., housed separately without daily handling) may have contributed to this elevation. Future studies should incorporate additional control groups to account for handling and environmental stressors.</w:t>
      </w:r>
    </w:p>
    <w:p w14:paraId="132E1C4B" w14:textId="77777777" w:rsidR="00C36054" w:rsidRPr="009D7EFE" w:rsidRDefault="00C36054" w:rsidP="00C36054">
      <w:pPr>
        <w:spacing w:line="360" w:lineRule="auto"/>
        <w:jc w:val="both"/>
      </w:pPr>
      <w:r w:rsidRPr="009D7EFE">
        <w:t xml:space="preserve">Second, the low exposure group at day 14 showed high variability (23.45±19.45 </w:t>
      </w:r>
      <w:proofErr w:type="spellStart"/>
      <w:r w:rsidRPr="009D7EFE">
        <w:t>pg</w:t>
      </w:r>
      <w:proofErr w:type="spellEnd"/>
      <w:r w:rsidRPr="009D7EFE">
        <w:t>/mL), with a standard error exceeding the mean, suggesting either an outlier or marked individual variation in early inflammatory response. This variability may reflect differences in individual susceptibility to particulate matter exposure and underscores the importance of using larger sample sizes or reporting individual animal data in future investigations.</w:t>
      </w:r>
    </w:p>
    <w:p w14:paraId="6B002FD4" w14:textId="77777777" w:rsidR="00C36054" w:rsidRPr="009D7EFE" w:rsidRDefault="00C36054" w:rsidP="00C36054">
      <w:pPr>
        <w:spacing w:line="360" w:lineRule="auto"/>
        <w:jc w:val="both"/>
      </w:pPr>
      <w:r w:rsidRPr="009D7EFE">
        <w:t>Third, the study did not assess oxidative stress biomarkers such as malondialdehyde (MDA), reduced glutathione (GSH), superoxide dismutase (SOD), and catalase (CAT), which would have provided deeper insight into the role of oxidative mechanisms in hepatotoxicity. Additionally, key molecular signalling pathways, including NF-</w:t>
      </w:r>
      <w:proofErr w:type="spellStart"/>
      <w:r w:rsidRPr="009D7EFE">
        <w:t>κB</w:t>
      </w:r>
      <w:proofErr w:type="spellEnd"/>
      <w:r w:rsidRPr="009D7EFE">
        <w:t xml:space="preserve"> and MAPK pathways, were not directly evaluated. Future studies should incorporate these endpoints to elucidate the mechanistic pathways underlying soot-induced multi-organ toxicity.</w:t>
      </w:r>
    </w:p>
    <w:p w14:paraId="0137B5E8" w14:textId="77777777" w:rsidR="00C36054" w:rsidRPr="009D7EFE" w:rsidRDefault="00C36054" w:rsidP="00C36054">
      <w:pPr>
        <w:spacing w:line="360" w:lineRule="auto"/>
        <w:jc w:val="both"/>
      </w:pPr>
      <w:r w:rsidRPr="009D7EFE">
        <w:t>Fourth, in the elevated plus maze assessment, the total time accounted for by open arm, closed arm, and central square durations in the control group summed to approximately 255 seconds, leaving about 45 seconds unaccounted for within the 5-minute test period. This discrepancy is likely attributable to behaviours not captured in these primary measures, such as grooming, freezing, or transitional movements between zones, which were recorded separately. However, the lack of continuous automated tracking may have resulted in incomplete time accounting, representing a limitation of manual behavioural scoring. Future studies should consider video tracking software to ensure complete and objective behavioural data capture.</w:t>
      </w:r>
    </w:p>
    <w:p w14:paraId="514A2952" w14:textId="77777777" w:rsidR="00C36054" w:rsidRPr="009D7EFE" w:rsidRDefault="00C36054" w:rsidP="00C36054">
      <w:pPr>
        <w:spacing w:line="360" w:lineRule="auto"/>
        <w:jc w:val="both"/>
      </w:pPr>
      <w:r w:rsidRPr="009D7EFE">
        <w:t xml:space="preserve">Fifth, </w:t>
      </w:r>
      <w:proofErr w:type="spellStart"/>
      <w:r w:rsidRPr="009D7EFE">
        <w:t>neurohistological</w:t>
      </w:r>
      <w:proofErr w:type="spellEnd"/>
      <w:r w:rsidRPr="009D7EFE">
        <w:t xml:space="preserve"> assessments were not conducted in this study. However, previous work from our laboratory has documented cortical and cerebellar cytoarchitectural changes following similar soot exposure protocols (</w:t>
      </w:r>
      <w:proofErr w:type="spellStart"/>
      <w:r w:rsidRPr="009D7EFE">
        <w:t>Okoseimiema</w:t>
      </w:r>
      <w:proofErr w:type="spellEnd"/>
      <w:r w:rsidRPr="009D7EFE">
        <w:t xml:space="preserve"> &amp; </w:t>
      </w:r>
      <w:proofErr w:type="spellStart"/>
      <w:r w:rsidRPr="009D7EFE">
        <w:t>Uruaka</w:t>
      </w:r>
      <w:proofErr w:type="spellEnd"/>
      <w:r w:rsidRPr="009D7EFE">
        <w:t xml:space="preserve">, 2025; </w:t>
      </w:r>
      <w:proofErr w:type="spellStart"/>
      <w:r w:rsidRPr="009D7EFE">
        <w:t>Okoseimiema</w:t>
      </w:r>
      <w:proofErr w:type="spellEnd"/>
      <w:r w:rsidRPr="009D7EFE">
        <w:t xml:space="preserve"> &amp; </w:t>
      </w:r>
      <w:proofErr w:type="spellStart"/>
      <w:r w:rsidRPr="009D7EFE">
        <w:t>Uahomo</w:t>
      </w:r>
      <w:proofErr w:type="spellEnd"/>
      <w:r w:rsidRPr="009D7EFE">
        <w:t>, 2025). Future studies should aim to directly correlate behavioural outcomes with structural brain changes and neuroinflammatory markers within the same experimental cohort.</w:t>
      </w:r>
    </w:p>
    <w:p w14:paraId="252016CB" w14:textId="77777777" w:rsidR="00C36054" w:rsidRPr="009D7EFE" w:rsidRDefault="00C36054" w:rsidP="00C36054">
      <w:pPr>
        <w:spacing w:after="240" w:line="360" w:lineRule="auto"/>
        <w:jc w:val="both"/>
      </w:pPr>
      <w:r w:rsidRPr="009D7EFE">
        <w:lastRenderedPageBreak/>
        <w:t xml:space="preserve">Finally, the modest concentration gradient between exposure groups (2.131–2.278 mg/m³) limits the ability to delineate clear dose-response relationships. While distinct behavioural patterns emerged, particularly the paradoxical response in the low-medium group, future studies with a wider range of exposure concentrations (e.g., spanning one to two orders of magnitude) would better characterize the nature of dose-dependent effects, including potential </w:t>
      </w:r>
      <w:proofErr w:type="spellStart"/>
      <w:r w:rsidRPr="009D7EFE">
        <w:t>hormetic</w:t>
      </w:r>
      <w:proofErr w:type="spellEnd"/>
      <w:r w:rsidRPr="009D7EFE">
        <w:t xml:space="preserve"> or non-linear responses.</w:t>
      </w:r>
    </w:p>
    <w:p w14:paraId="3D7D94B7" w14:textId="77777777" w:rsidR="00C36054" w:rsidRDefault="00C36054" w:rsidP="00D54592">
      <w:pPr>
        <w:spacing w:after="240" w:line="360" w:lineRule="auto"/>
        <w:jc w:val="both"/>
      </w:pPr>
    </w:p>
    <w:p w14:paraId="2614CC8D" w14:textId="50606376" w:rsidR="00282BDA" w:rsidRPr="00282BDA" w:rsidRDefault="00282BDA" w:rsidP="00430316">
      <w:pPr>
        <w:spacing w:line="360" w:lineRule="auto"/>
        <w:jc w:val="both"/>
        <w:rPr>
          <w:b/>
          <w:bCs/>
        </w:rPr>
      </w:pPr>
      <w:r w:rsidRPr="00282BDA">
        <w:rPr>
          <w:b/>
          <w:bCs/>
        </w:rPr>
        <w:t>Competing Interests</w:t>
      </w:r>
    </w:p>
    <w:p w14:paraId="78E4425B" w14:textId="77777777" w:rsidR="00C70703" w:rsidRDefault="00282BDA" w:rsidP="00C70703">
      <w:pPr>
        <w:spacing w:line="360" w:lineRule="auto"/>
        <w:jc w:val="both"/>
      </w:pPr>
      <w:r w:rsidRPr="00282BDA">
        <w:t>Authors have declared that no competing interests exist.</w:t>
      </w:r>
    </w:p>
    <w:p w14:paraId="616DDCEE" w14:textId="77777777" w:rsidR="006D5374" w:rsidRDefault="006D5374" w:rsidP="00C70703">
      <w:pPr>
        <w:spacing w:line="360" w:lineRule="auto"/>
        <w:jc w:val="both"/>
      </w:pPr>
    </w:p>
    <w:p w14:paraId="2F900277" w14:textId="77777777" w:rsidR="006D5374" w:rsidRPr="006D5374" w:rsidRDefault="006D5374" w:rsidP="00C70703">
      <w:pPr>
        <w:spacing w:line="360" w:lineRule="auto"/>
        <w:jc w:val="both"/>
        <w:rPr>
          <w:b/>
          <w:bCs/>
        </w:rPr>
      </w:pPr>
      <w:r w:rsidRPr="006D5374">
        <w:rPr>
          <w:b/>
          <w:bCs/>
        </w:rPr>
        <w:t>Disclaimer (Artificial Intelligence)</w:t>
      </w:r>
    </w:p>
    <w:p w14:paraId="60F47F57" w14:textId="62F2B634" w:rsidR="006D5374" w:rsidRDefault="006D5374" w:rsidP="006D5374">
      <w:pPr>
        <w:spacing w:after="240" w:line="360" w:lineRule="auto"/>
        <w:jc w:val="both"/>
      </w:pPr>
      <w:r w:rsidRPr="006D5374">
        <w:t xml:space="preserve">Authors hereby declare that NO generative AI technologies such as Large Language Models (ChatGPT, COPILOT, etc) and text-to-image generators have been used during writing or editing of this manuscript. </w:t>
      </w:r>
    </w:p>
    <w:p w14:paraId="52FB8757" w14:textId="1683FFAE" w:rsidR="006D5374" w:rsidRPr="006D5374" w:rsidRDefault="006D5374" w:rsidP="00C70703">
      <w:pPr>
        <w:spacing w:line="360" w:lineRule="auto"/>
        <w:jc w:val="both"/>
        <w:rPr>
          <w:b/>
          <w:bCs/>
        </w:rPr>
      </w:pPr>
      <w:r w:rsidRPr="006D5374">
        <w:rPr>
          <w:b/>
          <w:bCs/>
        </w:rPr>
        <w:t>Competing Interests</w:t>
      </w:r>
    </w:p>
    <w:p w14:paraId="73257048" w14:textId="7E13A706" w:rsidR="006D5374" w:rsidRDefault="006D5374" w:rsidP="00C70703">
      <w:pPr>
        <w:spacing w:line="360" w:lineRule="auto"/>
        <w:jc w:val="both"/>
      </w:pPr>
      <w:r w:rsidRPr="006D5374">
        <w:t>Authors have declared that no competing interests exist</w:t>
      </w:r>
    </w:p>
    <w:p w14:paraId="094CAD80" w14:textId="77777777" w:rsidR="009D7EFE" w:rsidRPr="00430316" w:rsidRDefault="009D7EFE" w:rsidP="00682F44">
      <w:pPr>
        <w:spacing w:line="360" w:lineRule="auto"/>
        <w:jc w:val="both"/>
      </w:pPr>
    </w:p>
    <w:p w14:paraId="4DC433B0" w14:textId="77777777" w:rsidR="005D731F" w:rsidRPr="004A3BCC" w:rsidRDefault="005D731F" w:rsidP="000B549B">
      <w:pPr>
        <w:spacing w:after="240"/>
        <w:jc w:val="both"/>
        <w:rPr>
          <w:b/>
          <w:bCs/>
        </w:rPr>
      </w:pPr>
      <w:r w:rsidRPr="004A3BCC">
        <w:rPr>
          <w:b/>
          <w:bCs/>
        </w:rPr>
        <w:t>REFERENCES</w:t>
      </w:r>
    </w:p>
    <w:p w14:paraId="7B99259A" w14:textId="27398B18" w:rsidR="000B549B" w:rsidRDefault="000B549B" w:rsidP="000B549B">
      <w:pPr>
        <w:ind w:left="426" w:hanging="426"/>
        <w:jc w:val="both"/>
      </w:pPr>
      <w:r>
        <w:t xml:space="preserve">Aggarwal B. B. (2003). Signalling pathways of the TNF superfamily: a double-edged sword. Nature reviews. Immunology, 3(9), 745–756. </w:t>
      </w:r>
      <w:hyperlink r:id="rId21" w:history="1">
        <w:r w:rsidRPr="004103B7">
          <w:rPr>
            <w:rStyle w:val="Hyperlink"/>
          </w:rPr>
          <w:t>https://doi.org/10.1038/nri1184</w:t>
        </w:r>
      </w:hyperlink>
      <w:r>
        <w:t xml:space="preserve"> </w:t>
      </w:r>
    </w:p>
    <w:p w14:paraId="3D4470FE" w14:textId="77777777" w:rsidR="000B549B" w:rsidRDefault="000B549B" w:rsidP="000B549B">
      <w:pPr>
        <w:ind w:left="426" w:hanging="426"/>
        <w:jc w:val="both"/>
      </w:pPr>
      <w:r>
        <w:t>Al-Badri AM, Bargooth AF, Al-Jebori JG, Zegyer EAK (2019). Identification of carbon nanotube particles in liver tissue and its effects on apoptosis of birds exposed to air pollution, Veterinary World, 12(9): 1372-1377.</w:t>
      </w:r>
    </w:p>
    <w:p w14:paraId="05AF976B" w14:textId="77777777" w:rsidR="000B549B" w:rsidRDefault="000B549B" w:rsidP="000B549B">
      <w:pPr>
        <w:ind w:left="426" w:hanging="426"/>
        <w:jc w:val="both"/>
      </w:pPr>
      <w:r>
        <w:t xml:space="preserve">Allameh, A., Niayesh-Mehr, R., Aliarab, A., Sebastiani, G., &amp; Pantopoulos, K. (2023). Oxidative Stress in Liver Pathophysiology and Disease. Antioxidants (Basel, Switzerland), 12(9), 1653. </w:t>
      </w:r>
      <w:hyperlink r:id="rId22" w:history="1">
        <w:r w:rsidRPr="004103B7">
          <w:rPr>
            <w:rStyle w:val="Hyperlink"/>
          </w:rPr>
          <w:t>https://doi.org/10.3390/antiox12091653</w:t>
        </w:r>
      </w:hyperlink>
      <w:r>
        <w:t xml:space="preserve"> </w:t>
      </w:r>
    </w:p>
    <w:p w14:paraId="3C50A0DD" w14:textId="77777777" w:rsidR="000B549B" w:rsidRDefault="000B549B" w:rsidP="000B549B">
      <w:pPr>
        <w:ind w:left="426" w:hanging="426"/>
        <w:jc w:val="both"/>
      </w:pPr>
      <w:r>
        <w:t xml:space="preserve">Balkwill F. (2009). Tumour necrosis factor and cancer. Nature reviews. Cancer, 9(5), 361–371. </w:t>
      </w:r>
      <w:hyperlink r:id="rId23" w:history="1">
        <w:r w:rsidRPr="004103B7">
          <w:rPr>
            <w:rStyle w:val="Hyperlink"/>
          </w:rPr>
          <w:t>https://doi.org/10.1038/nrc2628</w:t>
        </w:r>
      </w:hyperlink>
      <w:r>
        <w:t xml:space="preserve"> </w:t>
      </w:r>
    </w:p>
    <w:p w14:paraId="7C381293" w14:textId="77777777" w:rsidR="000B549B" w:rsidRDefault="000B549B" w:rsidP="000B549B">
      <w:pPr>
        <w:ind w:left="426" w:hanging="426"/>
        <w:jc w:val="both"/>
      </w:pPr>
      <w:r>
        <w:t xml:space="preserve">Block, M. L., &amp; Calderón-Garcidueñas, L. (2009). Air pollution: mechanisms of neuroinflammation and CNS disease. Trends in neurosciences, 32(9), 506–516. </w:t>
      </w:r>
      <w:hyperlink r:id="rId24" w:history="1">
        <w:r w:rsidRPr="004103B7">
          <w:rPr>
            <w:rStyle w:val="Hyperlink"/>
          </w:rPr>
          <w:t>https://doi.org/10.1016/j.tins.2009.05.009</w:t>
        </w:r>
      </w:hyperlink>
      <w:r>
        <w:t xml:space="preserve"> </w:t>
      </w:r>
    </w:p>
    <w:p w14:paraId="0E2D9EDF" w14:textId="77777777" w:rsidR="000B549B" w:rsidRDefault="000B549B" w:rsidP="000B549B">
      <w:pPr>
        <w:ind w:left="426" w:hanging="426"/>
        <w:jc w:val="both"/>
      </w:pPr>
      <w:r w:rsidRPr="000B549B">
        <w:t>Boogaard, H., Walker, K., &amp; Cohen, A. J. (2019). Air pollution: the emergence of a major global health risk factor. </w:t>
      </w:r>
      <w:r w:rsidRPr="000B549B">
        <w:rPr>
          <w:i/>
          <w:iCs/>
        </w:rPr>
        <w:t>International health</w:t>
      </w:r>
      <w:r w:rsidRPr="000B549B">
        <w:t>, </w:t>
      </w:r>
      <w:r w:rsidRPr="000B549B">
        <w:rPr>
          <w:i/>
          <w:iCs/>
        </w:rPr>
        <w:t>11</w:t>
      </w:r>
      <w:r w:rsidRPr="000B549B">
        <w:t xml:space="preserve">(6), 417–421. </w:t>
      </w:r>
      <w:hyperlink r:id="rId25" w:history="1">
        <w:r w:rsidRPr="000B549B">
          <w:rPr>
            <w:rStyle w:val="Hyperlink"/>
          </w:rPr>
          <w:t>https://doi.org/10.1093/inthealth/ihz078</w:t>
        </w:r>
      </w:hyperlink>
    </w:p>
    <w:p w14:paraId="07348218" w14:textId="77777777" w:rsidR="000B549B" w:rsidRDefault="000B549B" w:rsidP="000B549B">
      <w:pPr>
        <w:ind w:left="426" w:hanging="426"/>
        <w:jc w:val="both"/>
      </w:pPr>
      <w:r>
        <w:t xml:space="preserve">Brancatelli, G., Furlan, A., Calandra, A., &amp; Dioguardi Burgio, M. (2018). Hepatic sinusoidal dilatation. Abdominal radiology (New York), 43(8), 2011–2022. </w:t>
      </w:r>
      <w:hyperlink r:id="rId26" w:history="1">
        <w:r w:rsidRPr="004103B7">
          <w:rPr>
            <w:rStyle w:val="Hyperlink"/>
          </w:rPr>
          <w:t>https://doi.org/10.1007/s00261-018-1465-8</w:t>
        </w:r>
      </w:hyperlink>
      <w:r>
        <w:t xml:space="preserve"> </w:t>
      </w:r>
    </w:p>
    <w:p w14:paraId="046F8539" w14:textId="77777777" w:rsidR="000B549B" w:rsidRDefault="000B549B" w:rsidP="000B549B">
      <w:pPr>
        <w:ind w:left="426" w:hanging="426"/>
        <w:jc w:val="both"/>
      </w:pPr>
      <w:r>
        <w:lastRenderedPageBreak/>
        <w:t xml:space="preserve">Burnett, R., Chen, H., Szyszkowicz, M., Fann, N., Hubbell, B., Pope, C. A., 3rd, Apte, J. S., Brauer, M., Cohen, A., Weichenthal, S., Coggins, J., Di, Q., Brunekreef, B., Frostad, J., Lim, S. S., Kan, H., Walker, K. D., Thurston, G. D., Hayes, R. B., Lim, C. C., … Spadaro, J. V. (2018). Global estimates of mortality associated with long-term exposure to outdoor fine particulate matter. Proceedings of the National Academy of Sciences of the United States of America, 115(38), 9592–9597. </w:t>
      </w:r>
      <w:hyperlink r:id="rId27" w:history="1">
        <w:r w:rsidRPr="004103B7">
          <w:rPr>
            <w:rStyle w:val="Hyperlink"/>
          </w:rPr>
          <w:t>https://doi.org/10.1073/pnas.1803222115</w:t>
        </w:r>
      </w:hyperlink>
      <w:r>
        <w:t xml:space="preserve"> </w:t>
      </w:r>
    </w:p>
    <w:p w14:paraId="45569F84" w14:textId="77777777" w:rsidR="000B549B" w:rsidRDefault="000B549B" w:rsidP="000B549B">
      <w:pPr>
        <w:ind w:left="426" w:hanging="426"/>
        <w:jc w:val="both"/>
      </w:pPr>
      <w:r>
        <w:t xml:space="preserve">Calderón-Garcidueñas, L., Stommel, E. W., Rajkumar, R. P., Mukherjee, P. S., &amp; Ayala, A. (2021). Particulate Air Pollution and Risk of Neuropsychiatric Outcomes. What We Breathe, Swallow, and Put on Our Skin Matters. International journal of environmental research and public health, 18(21), 11568. https://doi.org/10.3390/ijerph182111568  </w:t>
      </w:r>
    </w:p>
    <w:p w14:paraId="2732738E" w14:textId="77777777" w:rsidR="000B549B" w:rsidRDefault="000B549B" w:rsidP="000B549B">
      <w:pPr>
        <w:ind w:left="426" w:hanging="426"/>
        <w:jc w:val="both"/>
      </w:pPr>
      <w:r>
        <w:t xml:space="preserve">Cohen, A. J., Brauer, M., Burnett, R., Anderson, H. R., Frostad, J., Estep, K., Balakrishnan, K., Brunekreef, B., Dandona, L., Dandona, R., Feigin, V., Freedman, G., Hubbell, B., Jobling, A., Kan, H., Knibbs, L., Liu, Y., Martin, R., Morawska, L., Pope, C. A., 3rd, … Forouzanfar, M. H. (2017). Estimates and 25-year trends of the global burden of disease attributable to ambient air pollution: an analysis of data from the Global Burden of Diseases Study 2015. Lancet (London, England), 389(10082), 1907–1918. </w:t>
      </w:r>
      <w:hyperlink r:id="rId28" w:history="1">
        <w:r w:rsidRPr="004103B7">
          <w:rPr>
            <w:rStyle w:val="Hyperlink"/>
          </w:rPr>
          <w:t>https://doi.org/10.1016/S0140-6736(17)30505-6</w:t>
        </w:r>
      </w:hyperlink>
      <w:r>
        <w:t xml:space="preserve"> </w:t>
      </w:r>
    </w:p>
    <w:p w14:paraId="5587D7F1" w14:textId="77777777" w:rsidR="000B549B" w:rsidRDefault="000B549B" w:rsidP="000B549B">
      <w:pPr>
        <w:ind w:left="426" w:hanging="426"/>
        <w:jc w:val="both"/>
      </w:pPr>
      <w:r>
        <w:t xml:space="preserve">Costa, L. G., Cole, T. B., Dao, K., Chang, Y. C., &amp; Garrick, J. M. (2019). Developmental impact of air pollution on brain function. Neurochemistry international, 131, 104580. </w:t>
      </w:r>
      <w:hyperlink r:id="rId29" w:history="1">
        <w:r w:rsidRPr="004103B7">
          <w:rPr>
            <w:rStyle w:val="Hyperlink"/>
          </w:rPr>
          <w:t>https://doi.org/10.1016/j.neuint.2019.104580</w:t>
        </w:r>
      </w:hyperlink>
      <w:r>
        <w:t xml:space="preserve"> </w:t>
      </w:r>
    </w:p>
    <w:p w14:paraId="57740BB8" w14:textId="77777777" w:rsidR="000B549B" w:rsidRDefault="000B549B" w:rsidP="000B549B">
      <w:pPr>
        <w:ind w:left="426" w:hanging="426"/>
        <w:jc w:val="both"/>
      </w:pPr>
      <w:r>
        <w:t xml:space="preserve">Ekhator, O. C., Orish, F. C., Nnadi, E. O., Ogaji, D. S., Isuman, S., &amp; Orisakwe, O. E. (2024). Impact of black soot emissions on public health in Niger Delta, Nigeria: understanding the severity of the problem. Inhalation toxicology, 36(5), 314–326. </w:t>
      </w:r>
      <w:hyperlink r:id="rId30" w:history="1">
        <w:r w:rsidRPr="004103B7">
          <w:rPr>
            <w:rStyle w:val="Hyperlink"/>
          </w:rPr>
          <w:t>https://doi.org/10.1080/08958378.2023.2297698</w:t>
        </w:r>
      </w:hyperlink>
      <w:r>
        <w:t xml:space="preserve"> </w:t>
      </w:r>
    </w:p>
    <w:p w14:paraId="19F28383" w14:textId="77777777" w:rsidR="000B549B" w:rsidRDefault="000B549B" w:rsidP="000B549B">
      <w:pPr>
        <w:ind w:left="426" w:hanging="426"/>
        <w:jc w:val="both"/>
      </w:pPr>
      <w:r>
        <w:t xml:space="preserve">Engvall, E., &amp; Perlmann, P. (1971). Enzyme-linked immunosorbent assay (ELISA). Quantitative assay of immunoglobulin G. Immunochemistry, 8(9), 871–874. </w:t>
      </w:r>
      <w:hyperlink r:id="rId31" w:history="1">
        <w:r w:rsidRPr="004103B7">
          <w:rPr>
            <w:rStyle w:val="Hyperlink"/>
          </w:rPr>
          <w:t>https://doi.org/10.1016/0019-2791(71)90454-x</w:t>
        </w:r>
      </w:hyperlink>
      <w:r>
        <w:t xml:space="preserve"> </w:t>
      </w:r>
    </w:p>
    <w:p w14:paraId="07AC0120" w14:textId="77777777" w:rsidR="000B549B" w:rsidRDefault="000B549B" w:rsidP="000B549B">
      <w:pPr>
        <w:ind w:left="426" w:hanging="426"/>
        <w:jc w:val="both"/>
      </w:pPr>
      <w:r>
        <w:t xml:space="preserve">Ephraim-Emmanuel, B. C., Enembe, O., &amp; Ordinioha, B. (2023). Respiratory Health Effects of Pollution Due to Artisanal Crude-Oil Refining in Bayelsa, Nigeria. Annals of global health, 89(1), 74. </w:t>
      </w:r>
      <w:hyperlink r:id="rId32" w:history="1">
        <w:r w:rsidRPr="004103B7">
          <w:rPr>
            <w:rStyle w:val="Hyperlink"/>
          </w:rPr>
          <w:t>https://doi.org/10.5334/aogh.4247</w:t>
        </w:r>
      </w:hyperlink>
      <w:r>
        <w:t xml:space="preserve"> </w:t>
      </w:r>
    </w:p>
    <w:p w14:paraId="6CB3D581" w14:textId="77777777" w:rsidR="000B549B" w:rsidRPr="000B549B" w:rsidRDefault="000B549B" w:rsidP="000B549B">
      <w:pPr>
        <w:ind w:left="426" w:hanging="426"/>
        <w:jc w:val="both"/>
      </w:pPr>
      <w:r>
        <w:t xml:space="preserve">Fonken, L. K., Xu, X., Weil, Z. M., Chen, G., Sun, Q., Rajagopalan, S., &amp; Nelson, R. J. (2011). Air pollution impairs cognition, provokes depressive-like behaviors and alters hippocampal cytokine expression and morphology. Molecular psychiatry, 16(10), 987–973. </w:t>
      </w:r>
      <w:hyperlink r:id="rId33" w:history="1">
        <w:r w:rsidRPr="004103B7">
          <w:rPr>
            <w:rStyle w:val="Hyperlink"/>
          </w:rPr>
          <w:t>https://doi.org/10.1038/mp.2011.76</w:t>
        </w:r>
      </w:hyperlink>
      <w:r>
        <w:t xml:space="preserve"> </w:t>
      </w:r>
    </w:p>
    <w:p w14:paraId="4A12AE7F" w14:textId="77777777" w:rsidR="000B549B" w:rsidRDefault="000B549B" w:rsidP="000B549B">
      <w:pPr>
        <w:ind w:left="426" w:hanging="426"/>
        <w:jc w:val="both"/>
      </w:pPr>
      <w:r>
        <w:t xml:space="preserve">Fu, H., Liu, X., Li, W., Zu, Y., Zhou, F., Shou, Q., &amp; Ding, Z. (2020). PM2.5 Exposure Induces Inflammatory Response in Macrophages via the TLR4/COX-2/NF-κB Pathway. Inflammation, 43(5), 1948–1958. </w:t>
      </w:r>
      <w:hyperlink r:id="rId34" w:history="1">
        <w:r w:rsidRPr="004103B7">
          <w:rPr>
            <w:rStyle w:val="Hyperlink"/>
          </w:rPr>
          <w:t>https://doi.org/10.1007/s10753-020-01269-y</w:t>
        </w:r>
      </w:hyperlink>
      <w:r>
        <w:t xml:space="preserve"> </w:t>
      </w:r>
    </w:p>
    <w:p w14:paraId="49BD290F" w14:textId="77777777" w:rsidR="000B549B" w:rsidRDefault="000B549B" w:rsidP="000B549B">
      <w:pPr>
        <w:ind w:left="426" w:hanging="426"/>
        <w:jc w:val="both"/>
      </w:pPr>
      <w:r>
        <w:t xml:space="preserve">Furlan, A., Minervini, M. I., Borhani, A. A., Dioguardi Burgio, M., Tublin, M. E., &amp; Brancatelli, G. (2016). Hepatic Sinusoidal Dilatation: A Review of Causes With Imaging-Pathologic Correlation. Seminars in ultrasound, CT, and MR, 37(6), 525–532. </w:t>
      </w:r>
      <w:hyperlink r:id="rId35" w:history="1">
        <w:r w:rsidRPr="004103B7">
          <w:rPr>
            <w:rStyle w:val="Hyperlink"/>
          </w:rPr>
          <w:t>https://doi.org/10.1053/j.sult.2016.08.007</w:t>
        </w:r>
      </w:hyperlink>
      <w:r>
        <w:t xml:space="preserve"> </w:t>
      </w:r>
    </w:p>
    <w:p w14:paraId="78DD0601" w14:textId="77777777" w:rsidR="000B549B" w:rsidRDefault="000B549B" w:rsidP="000B549B">
      <w:pPr>
        <w:ind w:left="426" w:hanging="426"/>
        <w:jc w:val="both"/>
      </w:pPr>
      <w:r>
        <w:t xml:space="preserve">Hammam, O., Mahmoud, O., Zahran, M., Sayed, A., Salama, R., Hosny, K., &amp; Farghly, A. (2013). A Possible Role for TNF-α in Coordinating Inflammation and Angiogenesis in Chronic Liver Disease and Hepatocellular Carcinoma. Gastrointestinal cancer research : GCR, 6(4), 107–114. </w:t>
      </w:r>
    </w:p>
    <w:p w14:paraId="523C413C" w14:textId="77777777" w:rsidR="000B549B" w:rsidRDefault="000B549B" w:rsidP="000B549B">
      <w:pPr>
        <w:ind w:left="426" w:hanging="426"/>
        <w:jc w:val="both"/>
      </w:pPr>
      <w:r>
        <w:t xml:space="preserve">Hantrakool, S., Kumfu, S., Chattipakorn, S. C., &amp; Chattipakorn, N. (2022). Effects of Particulate Matter on Inflammation and Thrombosis: Past Evidence for Future Prevention. International journal of environmental research and public health, 19(14), 8771. </w:t>
      </w:r>
      <w:hyperlink r:id="rId36" w:history="1">
        <w:r w:rsidRPr="004103B7">
          <w:rPr>
            <w:rStyle w:val="Hyperlink"/>
          </w:rPr>
          <w:t>https://doi.org/10.3390/ijerph19148771</w:t>
        </w:r>
      </w:hyperlink>
      <w:r>
        <w:t xml:space="preserve"> </w:t>
      </w:r>
    </w:p>
    <w:p w14:paraId="6C9F71C9" w14:textId="77777777" w:rsidR="000B549B" w:rsidRDefault="000B549B" w:rsidP="000B549B">
      <w:pPr>
        <w:ind w:left="426" w:hanging="426"/>
        <w:jc w:val="both"/>
      </w:pPr>
      <w:r>
        <w:lastRenderedPageBreak/>
        <w:t xml:space="preserve">Iaccarino, J., Mignini, I., Maresca, R., Giansanti, G., Esposto, G., Borriello, R., Galasso, L., Ainora, M. E., Gasbarrini, A., &amp; Zocco, M. A. (2025). The Impact of Air Pollution on the Lung-Gut-Liver Axis: Oxidative Stress and Its Role in Liver Disease. Antioxidants (Basel, Switzerland), 14(10), 1148. </w:t>
      </w:r>
      <w:hyperlink r:id="rId37" w:history="1">
        <w:r w:rsidRPr="004103B7">
          <w:rPr>
            <w:rStyle w:val="Hyperlink"/>
          </w:rPr>
          <w:t>https://doi.org/10.3390/antiox14101148</w:t>
        </w:r>
      </w:hyperlink>
      <w:r>
        <w:t xml:space="preserve"> </w:t>
      </w:r>
    </w:p>
    <w:p w14:paraId="3BDD27CD" w14:textId="77777777" w:rsidR="000B549B" w:rsidRDefault="000B549B" w:rsidP="000B549B">
      <w:pPr>
        <w:ind w:left="426" w:hanging="426"/>
        <w:jc w:val="both"/>
      </w:pPr>
      <w:r>
        <w:t xml:space="preserve">Kalenik, S., Zaczek, A., &amp; Rodacka, A. (2025). Air Pollution-Induced Neurotoxicity: The Relationship Between Air Pollution, Epigenetic Changes, and Neurological Disorders. International journal of molecular sciences, 26(7), 3402. </w:t>
      </w:r>
      <w:hyperlink r:id="rId38" w:history="1">
        <w:r w:rsidRPr="004103B7">
          <w:rPr>
            <w:rStyle w:val="Hyperlink"/>
          </w:rPr>
          <w:t>https://doi.org/10.3390/ijms26073402</w:t>
        </w:r>
      </w:hyperlink>
      <w:r>
        <w:t xml:space="preserve"> </w:t>
      </w:r>
    </w:p>
    <w:p w14:paraId="2E4CC003" w14:textId="77777777" w:rsidR="000B549B" w:rsidRDefault="000B549B" w:rsidP="000B549B">
      <w:pPr>
        <w:ind w:left="426" w:hanging="426"/>
        <w:jc w:val="both"/>
      </w:pPr>
      <w:r>
        <w:t xml:space="preserve">Kennedy, T., Ghio, A. J., Reed, W., Samet, J., Zagorski, J., Quay, J., Carter, J., Dailey, L., Hoidal, J. R., &amp; Devlin, R. B. (1998). Copper-dependent inflammation and nuclear factor-kappaB activation by particulate air pollution. American journal of respiratory cell and molecular biology, 19(3), 366–378. </w:t>
      </w:r>
      <w:hyperlink r:id="rId39" w:history="1">
        <w:r w:rsidRPr="004103B7">
          <w:rPr>
            <w:rStyle w:val="Hyperlink"/>
          </w:rPr>
          <w:t>https://doi.org/10.1165/ajrcmb.19.3.3042</w:t>
        </w:r>
      </w:hyperlink>
      <w:r>
        <w:t xml:space="preserve"> </w:t>
      </w:r>
    </w:p>
    <w:p w14:paraId="516EF314" w14:textId="77777777" w:rsidR="000B549B" w:rsidRDefault="000B549B" w:rsidP="000B549B">
      <w:pPr>
        <w:ind w:left="426" w:hanging="426"/>
        <w:jc w:val="both"/>
      </w:pPr>
      <w:r>
        <w:t xml:space="preserve">Kim, J. H., Hwang, K. H., Kim, S. H., Kim, H. J., Kim, J. M., Lee, M. Y., Cha, S. K., &amp; Lee, J. (2024). Particulate Matter-Induced Neurotoxicity: Unveiling the Role of NOX4-Mediated ROS Production and Mitochondrial Dysfunction in Neuronal Apoptosis. International journal of molecular sciences, 25(11), 6116. </w:t>
      </w:r>
      <w:hyperlink r:id="rId40" w:history="1">
        <w:r w:rsidRPr="004103B7">
          <w:rPr>
            <w:rStyle w:val="Hyperlink"/>
          </w:rPr>
          <w:t>https://doi.org/10.3390/ijms25116116</w:t>
        </w:r>
      </w:hyperlink>
      <w:r>
        <w:t xml:space="preserve"> </w:t>
      </w:r>
    </w:p>
    <w:p w14:paraId="287024C1" w14:textId="77777777" w:rsidR="000B549B" w:rsidRDefault="000B549B" w:rsidP="000B549B">
      <w:pPr>
        <w:ind w:left="426" w:hanging="426"/>
        <w:jc w:val="both"/>
      </w:pPr>
      <w:r>
        <w:t xml:space="preserve">Li, R., Zhou, R., &amp; Zhang, J. (2018). Function of PM2.5 in the pathogenesis of lung cancer and chronic airway inflammatory diseases. Oncology letters, 15(5), 7506–7514. </w:t>
      </w:r>
      <w:hyperlink r:id="rId41" w:history="1">
        <w:r w:rsidRPr="004103B7">
          <w:rPr>
            <w:rStyle w:val="Hyperlink"/>
          </w:rPr>
          <w:t>https://doi.org/10.3892/ol.2018.8355</w:t>
        </w:r>
      </w:hyperlink>
      <w:r>
        <w:t xml:space="preserve"> </w:t>
      </w:r>
    </w:p>
    <w:p w14:paraId="713EB576" w14:textId="77777777" w:rsidR="000B549B" w:rsidRDefault="000B549B" w:rsidP="000B549B">
      <w:pPr>
        <w:ind w:left="426" w:hanging="426"/>
        <w:jc w:val="both"/>
      </w:pPr>
      <w:r>
        <w:t xml:space="preserve">Lister R. G. (1987). The use of a plus-maze to measure anxiety in the mouse. Psychopharmacology, 92(2), 180–185. </w:t>
      </w:r>
      <w:hyperlink r:id="rId42" w:history="1">
        <w:r w:rsidRPr="004103B7">
          <w:rPr>
            <w:rStyle w:val="Hyperlink"/>
          </w:rPr>
          <w:t>https://doi.org/10.1007/BF00177912</w:t>
        </w:r>
      </w:hyperlink>
      <w:r>
        <w:t xml:space="preserve"> </w:t>
      </w:r>
    </w:p>
    <w:p w14:paraId="0DC4564C" w14:textId="77777777" w:rsidR="000B549B" w:rsidRDefault="000B549B" w:rsidP="000B549B">
      <w:pPr>
        <w:ind w:left="426" w:hanging="426"/>
        <w:jc w:val="both"/>
      </w:pPr>
      <w:r>
        <w:t xml:space="preserve">Lu, Y., Qiu, W., Liao, R., Cao, W., Huang, F., Wang, X., Li, M., &amp; Li, Y. (2025). Subacute PM2.5 Exposure Induces Hepatic Insulin Resistance Through Inflammation and Oxidative Stress. International Journal of Molecular Sciences, 26(2), 812. </w:t>
      </w:r>
      <w:hyperlink r:id="rId43" w:history="1">
        <w:r w:rsidRPr="004103B7">
          <w:rPr>
            <w:rStyle w:val="Hyperlink"/>
          </w:rPr>
          <w:t>https://doi.org/10.3390/ijms26020812</w:t>
        </w:r>
      </w:hyperlink>
      <w:r>
        <w:t xml:space="preserve"> </w:t>
      </w:r>
    </w:p>
    <w:p w14:paraId="402F60C6" w14:textId="77777777" w:rsidR="000B549B" w:rsidRDefault="000B549B" w:rsidP="000B549B">
      <w:pPr>
        <w:ind w:left="426" w:hanging="426"/>
        <w:jc w:val="both"/>
      </w:pPr>
      <w:r>
        <w:t xml:space="preserve">Nephew, B. C., Nemeth, A., Hudda, N., Beamer, G., Mann, P., Petitto, J., Cali, R., Febo, M., Kulkarni, P., Poirier, G., King, J., Durant, J. L., &amp; Brugge, D. (2020). Traffic-related particulate matter affects behavior, inflammation, and neural integrity in a developmental rodent model. Environmental research, 183, 109242. </w:t>
      </w:r>
      <w:hyperlink r:id="rId44" w:history="1">
        <w:r w:rsidRPr="004103B7">
          <w:rPr>
            <w:rStyle w:val="Hyperlink"/>
          </w:rPr>
          <w:t>https://doi.org/10.1016/j.envres.2020.109242</w:t>
        </w:r>
      </w:hyperlink>
      <w:r>
        <w:t xml:space="preserve"> </w:t>
      </w:r>
    </w:p>
    <w:p w14:paraId="74A06A7C" w14:textId="77777777" w:rsidR="000B549B" w:rsidRDefault="000B549B" w:rsidP="000B549B">
      <w:pPr>
        <w:ind w:left="426" w:hanging="426"/>
        <w:jc w:val="both"/>
      </w:pPr>
      <w:r>
        <w:t xml:space="preserve">Okoseimiema, S. C., &amp; Uahomo, P. O. (2025). Chronic Inhalation of Carbon Soot PM2.5 Induces Weight Loss and Cerebellar Cytoarchitectural Disruption in Humans: A Scientific Perspective on Wistar Rats. International Neuropsychiatric Disease Journal, 22(3), 27–39. </w:t>
      </w:r>
      <w:hyperlink r:id="rId45" w:history="1">
        <w:r w:rsidRPr="004103B7">
          <w:rPr>
            <w:rStyle w:val="Hyperlink"/>
          </w:rPr>
          <w:t>https://doi.org/10.9734/indj/2025/v22i3478</w:t>
        </w:r>
      </w:hyperlink>
      <w:r>
        <w:t xml:space="preserve"> </w:t>
      </w:r>
    </w:p>
    <w:p w14:paraId="49222017" w14:textId="77777777" w:rsidR="000B549B" w:rsidRDefault="000B549B" w:rsidP="000B549B">
      <w:pPr>
        <w:ind w:left="426" w:hanging="426"/>
        <w:jc w:val="both"/>
      </w:pPr>
      <w:r>
        <w:t xml:space="preserve">Okoseimiema, S. C., &amp; Uruaka, C. I. (2025). Effects of Soot Particulate Matter Inhalation on the Cerebral Cortex in Male Wistar Rats. Asian Journal of Research and Reports in Neurology, 8(1), 121–129. </w:t>
      </w:r>
      <w:hyperlink r:id="rId46" w:history="1">
        <w:r w:rsidRPr="004103B7">
          <w:rPr>
            <w:rStyle w:val="Hyperlink"/>
          </w:rPr>
          <w:t>https://doi.org/10.9734/ajorrin/2025/v8i1129</w:t>
        </w:r>
      </w:hyperlink>
      <w:r>
        <w:t xml:space="preserve"> </w:t>
      </w:r>
    </w:p>
    <w:p w14:paraId="3D35F4BD" w14:textId="77777777" w:rsidR="000B549B" w:rsidRDefault="000B549B" w:rsidP="000B549B">
      <w:pPr>
        <w:ind w:left="426" w:hanging="426"/>
        <w:jc w:val="both"/>
      </w:pPr>
      <w:r>
        <w:t xml:space="preserve">Okoseimiema, Sonny Clement, and Precious Ojo Uahomo. 2025. “Impact of Inhaled Carbon Soot Particulate Matter (PM10) on Brain Histology Using Wistar Rats”. Asian Journal of Biology 21 (4):25-32. </w:t>
      </w:r>
      <w:hyperlink r:id="rId47" w:history="1">
        <w:r w:rsidRPr="004103B7">
          <w:rPr>
            <w:rStyle w:val="Hyperlink"/>
          </w:rPr>
          <w:t>https://doi.org/10.9734/ajob/2025/v21i4496</w:t>
        </w:r>
      </w:hyperlink>
      <w:r>
        <w:t xml:space="preserve">. </w:t>
      </w:r>
    </w:p>
    <w:p w14:paraId="59FABD17" w14:textId="77777777" w:rsidR="000B549B" w:rsidRDefault="000B549B" w:rsidP="000B549B">
      <w:pPr>
        <w:ind w:left="426" w:hanging="426"/>
        <w:jc w:val="both"/>
      </w:pPr>
      <w:r>
        <w:t xml:space="preserve">Pei, H., He, Z., Du, R., Zhu, Y., &amp; Yang, Y. (2023). PM2.5 exposure aggravates acute liver injury by creating an inflammatory microenvironment through Kupffer cell. Ecotoxicology and environmental safety, 263, 115264. </w:t>
      </w:r>
      <w:hyperlink r:id="rId48" w:history="1">
        <w:r w:rsidRPr="004103B7">
          <w:rPr>
            <w:rStyle w:val="Hyperlink"/>
          </w:rPr>
          <w:t>https://doi.org/10.1016/j.ecoenv.2023.115264</w:t>
        </w:r>
      </w:hyperlink>
      <w:r>
        <w:t xml:space="preserve"> </w:t>
      </w:r>
    </w:p>
    <w:p w14:paraId="033511AC" w14:textId="77777777" w:rsidR="000B549B" w:rsidRDefault="000B549B" w:rsidP="000B549B">
      <w:pPr>
        <w:ind w:left="426" w:hanging="426"/>
        <w:jc w:val="both"/>
      </w:pPr>
      <w:r>
        <w:t xml:space="preserve">Salvi, A., &amp; Salim, S. (2019). Neurobehavioral Consequences of Traffic-Related Air Pollution. Frontiers in neuroscience, 13, 1232. </w:t>
      </w:r>
      <w:hyperlink r:id="rId49" w:history="1">
        <w:r w:rsidRPr="004103B7">
          <w:rPr>
            <w:rStyle w:val="Hyperlink"/>
          </w:rPr>
          <w:t>https://doi.org/10.3389/fnins.2019.01232</w:t>
        </w:r>
      </w:hyperlink>
      <w:r>
        <w:t xml:space="preserve">  </w:t>
      </w:r>
    </w:p>
    <w:p w14:paraId="25F39FB2" w14:textId="77777777" w:rsidR="000B549B" w:rsidRDefault="000B549B" w:rsidP="000B549B">
      <w:pPr>
        <w:ind w:left="426" w:hanging="426"/>
        <w:jc w:val="both"/>
      </w:pPr>
      <w:r>
        <w:t xml:space="preserve">Schraufnagel, D. E. (2020). The health effects of ultrafine particles. Experimental &amp; Molecular Medicine, 52(3), 311–317. https://doi.org/10.1038/s12276-020-0403-3  </w:t>
      </w:r>
    </w:p>
    <w:p w14:paraId="0E422997" w14:textId="77777777" w:rsidR="000B549B" w:rsidRDefault="000B549B" w:rsidP="000B549B">
      <w:pPr>
        <w:ind w:left="426" w:hanging="426"/>
        <w:jc w:val="both"/>
      </w:pPr>
      <w:r>
        <w:lastRenderedPageBreak/>
        <w:t xml:space="preserve">Shetty, S. S., Deepthi, D., Harshitha, S., Sonkusare, S., Naik, P. B., Kumari N, S., &amp; Madhyastha, H. (2023). Environmental pollutants and their effects on human health. Heliyon, 9(9), e19496. </w:t>
      </w:r>
      <w:hyperlink r:id="rId50" w:history="1">
        <w:r w:rsidRPr="004103B7">
          <w:rPr>
            <w:rStyle w:val="Hyperlink"/>
          </w:rPr>
          <w:t>https://doi.org/10.1016/j.heliyon.2023.e19496</w:t>
        </w:r>
      </w:hyperlink>
      <w:r>
        <w:t xml:space="preserve"> </w:t>
      </w:r>
    </w:p>
    <w:p w14:paraId="1B4239A2" w14:textId="77777777" w:rsidR="000B549B" w:rsidRDefault="000B549B" w:rsidP="000B549B">
      <w:pPr>
        <w:ind w:left="426" w:hanging="426"/>
        <w:jc w:val="both"/>
      </w:pPr>
      <w:r>
        <w:t xml:space="preserve">Simeonova, P. P., Gallucci, R. M., Hulderman, T., Wilson, R., Kommineni, C., Rao, M., &amp; Luster, M. I. (2001). The role of tumor necrosis factor-alpha in liver toxicity, inflammation, and fibrosis induced by carbon tetrachloride. Toxicology and applied pharmacology, 177(2), 112–120. </w:t>
      </w:r>
      <w:hyperlink r:id="rId51" w:history="1">
        <w:r w:rsidRPr="004103B7">
          <w:rPr>
            <w:rStyle w:val="Hyperlink"/>
          </w:rPr>
          <w:t>https://doi.org/10.1006/taap.2001.9304</w:t>
        </w:r>
      </w:hyperlink>
      <w:r>
        <w:t xml:space="preserve"> </w:t>
      </w:r>
    </w:p>
    <w:p w14:paraId="56A9C308" w14:textId="77777777" w:rsidR="000B549B" w:rsidRDefault="000B549B" w:rsidP="000B549B">
      <w:pPr>
        <w:ind w:left="426" w:hanging="426"/>
        <w:jc w:val="both"/>
      </w:pPr>
      <w:r>
        <w:t xml:space="preserve">Sui, J., Xia, H., Zhao, Q., Sun, G., &amp; Cai, Y. (2022). Long-Term Exposure to Fine Particulate Matter and the Risk of Chronic Liver Diseases: A Meta-Analysis of Observational Studies. International journal of environmental research and public health, 19(16), 10305. </w:t>
      </w:r>
      <w:hyperlink r:id="rId52" w:history="1">
        <w:r w:rsidRPr="004103B7">
          <w:rPr>
            <w:rStyle w:val="Hyperlink"/>
          </w:rPr>
          <w:t>https://doi.org/10.3390/ijerph191610305</w:t>
        </w:r>
      </w:hyperlink>
      <w:r>
        <w:t xml:space="preserve"> </w:t>
      </w:r>
    </w:p>
    <w:p w14:paraId="49ABF92D" w14:textId="77777777" w:rsidR="000B549B" w:rsidRDefault="000B549B" w:rsidP="000B549B">
      <w:pPr>
        <w:ind w:left="426" w:hanging="426"/>
        <w:jc w:val="both"/>
      </w:pPr>
      <w:r>
        <w:t xml:space="preserve">Tarantino, G., Capone, D., &amp; Finelli, C. (2013). Exposure to ambient air particulate matter and non-alcoholic fatty liver disease. World journal of gastroenterology, 19(25), 3951–3956. </w:t>
      </w:r>
      <w:hyperlink r:id="rId53" w:history="1">
        <w:r w:rsidRPr="004103B7">
          <w:rPr>
            <w:rStyle w:val="Hyperlink"/>
          </w:rPr>
          <w:t>https://doi.org/10.3748/wjg.v19.i25.3951</w:t>
        </w:r>
      </w:hyperlink>
      <w:r>
        <w:t xml:space="preserve"> </w:t>
      </w:r>
    </w:p>
    <w:p w14:paraId="65830312" w14:textId="77777777" w:rsidR="000B549B" w:rsidRDefault="000B549B" w:rsidP="000B549B">
      <w:pPr>
        <w:ind w:left="426" w:hanging="426"/>
        <w:jc w:val="both"/>
      </w:pPr>
      <w:r>
        <w:t xml:space="preserve">Tavera Busso, I., Mateos, A. C., González Peroni, A., Graziani, N. S., &amp; Carreras, H. A. (2019). Hepatic alterations associated with fine particulate matter exposure. Toxicological research, 36(2), 139–148. </w:t>
      </w:r>
      <w:hyperlink r:id="rId54" w:history="1">
        <w:r w:rsidRPr="004103B7">
          <w:rPr>
            <w:rStyle w:val="Hyperlink"/>
          </w:rPr>
          <w:t>https://doi.org/10.1007/s43188-019-00014-4</w:t>
        </w:r>
      </w:hyperlink>
      <w:r>
        <w:t xml:space="preserve"> </w:t>
      </w:r>
    </w:p>
    <w:p w14:paraId="6E19AD91" w14:textId="77777777" w:rsidR="000B549B" w:rsidRDefault="000B549B" w:rsidP="000B549B">
      <w:pPr>
        <w:ind w:left="426" w:hanging="426"/>
        <w:jc w:val="both"/>
      </w:pPr>
      <w:r>
        <w:t xml:space="preserve">Tavera Busso, I., Mateos, A. C., González Peroni, A., Graziani, N. S., &amp; Carreras, H. A. (2019). Hepatic alterations associated with fine particulate matter exposure. Toxicological research, 36(2), 139–148. </w:t>
      </w:r>
      <w:hyperlink r:id="rId55" w:history="1">
        <w:r w:rsidRPr="004103B7">
          <w:rPr>
            <w:rStyle w:val="Hyperlink"/>
          </w:rPr>
          <w:t>https://doi.org/10.1007/s43188-019-00014-4</w:t>
        </w:r>
      </w:hyperlink>
      <w:r>
        <w:t xml:space="preserve"> </w:t>
      </w:r>
    </w:p>
    <w:p w14:paraId="6A248052" w14:textId="77777777" w:rsidR="000B549B" w:rsidRDefault="000B549B" w:rsidP="000B549B">
      <w:pPr>
        <w:ind w:left="426" w:hanging="426"/>
        <w:jc w:val="both"/>
      </w:pPr>
      <w:r>
        <w:t>Tracey, K. J., &amp; Cerami, A. (1993). Tumor necrosis factor: an updated review of its biology. Critical care medicine, 21(10 Suppl), S415–S422.</w:t>
      </w:r>
    </w:p>
    <w:p w14:paraId="155BB251" w14:textId="77777777" w:rsidR="000B549B" w:rsidRDefault="000B549B" w:rsidP="000B549B">
      <w:pPr>
        <w:ind w:left="426" w:hanging="426"/>
        <w:jc w:val="both"/>
      </w:pPr>
      <w:r>
        <w:t xml:space="preserve">World Health Organization. (2021). WHO global air quality guidelines. Particulate matter (PM2.5 and PM10), ozone, nitrogen dioxide, sulfur dioxide and carbon monoxide. Geneva: World Health Organization; 2021. Licence: CC BY NCSA 3.0 IGO. </w:t>
      </w:r>
      <w:hyperlink r:id="rId56" w:history="1">
        <w:r w:rsidRPr="004103B7">
          <w:rPr>
            <w:rStyle w:val="Hyperlink"/>
          </w:rPr>
          <w:t>https://iris.who.int/server/api/core/bitstreams/551b515e-2a32-4e1a-a58c-cdaecd395b19/content</w:t>
        </w:r>
      </w:hyperlink>
      <w:r>
        <w:t xml:space="preserve"> </w:t>
      </w:r>
    </w:p>
    <w:p w14:paraId="79D48FCF" w14:textId="77777777" w:rsidR="000B549B" w:rsidRDefault="000B549B" w:rsidP="000B549B">
      <w:pPr>
        <w:ind w:left="426" w:hanging="426"/>
        <w:jc w:val="both"/>
      </w:pPr>
      <w:r>
        <w:t xml:space="preserve">Xiao, Y., Hu, J., Chen, R., Xu, Y., Pan, B., Gao, Y., Deng, Y., Li, W., Kan, H., &amp; Chen, S. (2024). Impact of fine particulate matter on liver injury: evidence from human, mice and cells. Journal of hazardous materials, 469, 133958. </w:t>
      </w:r>
      <w:hyperlink r:id="rId57" w:history="1">
        <w:r w:rsidRPr="004103B7">
          <w:rPr>
            <w:rStyle w:val="Hyperlink"/>
          </w:rPr>
          <w:t>https://doi.org/10.1016/j.jhazmat.2024.133958</w:t>
        </w:r>
      </w:hyperlink>
      <w:r>
        <w:t xml:space="preserve"> </w:t>
      </w:r>
    </w:p>
    <w:p w14:paraId="6A9DF5DA" w14:textId="77777777" w:rsidR="000B549B" w:rsidRDefault="000B549B" w:rsidP="000B549B">
      <w:pPr>
        <w:ind w:left="426" w:hanging="426"/>
        <w:jc w:val="both"/>
      </w:pPr>
      <w:r>
        <w:t xml:space="preserve">Xu, M. X., Ge, C. X., Qin, Y. T., Gu, T. T., Lou, D. S., Li, Q., Hu, L. F., Feng, J., Huang, P., &amp; Tan, J. (2019). Prolonged PM2.5 exposure elevates risk of oxidative stress-driven nonalcoholic fatty liver disease by triggering increase of dyslipidemia. Free radical biology &amp; medicine, 130, 542–556. </w:t>
      </w:r>
      <w:hyperlink r:id="rId58" w:history="1">
        <w:r w:rsidRPr="004103B7">
          <w:rPr>
            <w:rStyle w:val="Hyperlink"/>
          </w:rPr>
          <w:t>https://doi.org/10.1016/j.freeradbiomed.2018.11.016</w:t>
        </w:r>
      </w:hyperlink>
      <w:r>
        <w:t xml:space="preserve"> </w:t>
      </w:r>
    </w:p>
    <w:p w14:paraId="48ED9D90" w14:textId="77777777" w:rsidR="000B549B" w:rsidRDefault="000B549B" w:rsidP="000B549B">
      <w:pPr>
        <w:ind w:left="426" w:hanging="426"/>
        <w:jc w:val="both"/>
      </w:pPr>
      <w:r>
        <w:t xml:space="preserve">Zhao, J., Gao, Z., Tian, Z., Xie, Y., Xin, F., Jiang, R., Kan, H., &amp; Song, W. (2013). The biological effects of individual-level PM(2.5) exposure on systemic immunity and inflammatory response in traffic policemen. Occupational and environmental medicine, 70(6), 426–431. </w:t>
      </w:r>
      <w:hyperlink r:id="rId59" w:history="1">
        <w:r w:rsidRPr="004103B7">
          <w:rPr>
            <w:rStyle w:val="Hyperlink"/>
          </w:rPr>
          <w:t>https://doi.org/10.1136/oemed-2012-100864</w:t>
        </w:r>
      </w:hyperlink>
      <w:r>
        <w:t xml:space="preserve"> </w:t>
      </w:r>
    </w:p>
    <w:p w14:paraId="5EC27055" w14:textId="77777777" w:rsidR="000B549B" w:rsidRDefault="000B549B" w:rsidP="000B549B">
      <w:pPr>
        <w:ind w:left="426" w:hanging="426"/>
        <w:jc w:val="both"/>
      </w:pPr>
      <w:r>
        <w:t xml:space="preserve">Zheng, Z., Xu, X., Zhang, X., Wang, A., Zhang, C., Hüttemann, M., Grossman, L. I., Chen, L. C., Rajagopalan, S., Sun, Q., &amp; Zhang, K. (2013). Exposure to ambient particulate matter induces a NASH-like phenotype and impairs hepatic glucose metabolism in an animal model. Journal of hepatology, 58(1), 148–154. </w:t>
      </w:r>
      <w:hyperlink r:id="rId60" w:history="1">
        <w:r w:rsidRPr="004103B7">
          <w:rPr>
            <w:rStyle w:val="Hyperlink"/>
          </w:rPr>
          <w:t>https://doi.org/10.1016/j.jhep.2012.08.009</w:t>
        </w:r>
      </w:hyperlink>
      <w:r>
        <w:t xml:space="preserve"> </w:t>
      </w:r>
    </w:p>
    <w:p w14:paraId="645C509B" w14:textId="77777777" w:rsidR="000B549B" w:rsidRDefault="000B549B" w:rsidP="000B549B">
      <w:pPr>
        <w:ind w:left="426" w:hanging="426"/>
        <w:jc w:val="both"/>
      </w:pPr>
      <w:r>
        <w:t xml:space="preserve">Zheng, Z., Zhang, X., Wang, J., Dandekar, A., Kim, H., Qiu, Y., Xu, X., Cui, Y., Wang, A., Chen, L. C., Rajagopalan, S., Sun, Q., &amp; Zhang, K. (2015). Exposure to fine airborne particulate matters induces hepatic fibrosis in murine models. Journal of hepatology, 63(6), 1397–1404. </w:t>
      </w:r>
      <w:hyperlink r:id="rId61" w:history="1">
        <w:r w:rsidRPr="004103B7">
          <w:rPr>
            <w:rStyle w:val="Hyperlink"/>
          </w:rPr>
          <w:t>https://doi.org/10.1016/j.jhep.2015.07.020</w:t>
        </w:r>
      </w:hyperlink>
      <w:r>
        <w:t xml:space="preserve"> </w:t>
      </w:r>
    </w:p>
    <w:p w14:paraId="02B736A5" w14:textId="61D5C606" w:rsidR="0075049C" w:rsidRDefault="0075049C" w:rsidP="0075049C">
      <w:pPr>
        <w:spacing w:line="360" w:lineRule="auto"/>
        <w:jc w:val="both"/>
      </w:pPr>
    </w:p>
    <w:p w14:paraId="6C88345F" w14:textId="77777777" w:rsidR="005D731F" w:rsidRPr="0075049C" w:rsidRDefault="005D731F" w:rsidP="0075049C">
      <w:pPr>
        <w:spacing w:line="360" w:lineRule="auto"/>
        <w:jc w:val="both"/>
      </w:pPr>
    </w:p>
    <w:sectPr w:rsidR="005D731F" w:rsidRPr="0075049C">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E62B6" w14:textId="77777777" w:rsidR="001F43D0" w:rsidRDefault="001F43D0" w:rsidP="009B10F0">
      <w:r>
        <w:separator/>
      </w:r>
    </w:p>
  </w:endnote>
  <w:endnote w:type="continuationSeparator" w:id="0">
    <w:p w14:paraId="2DC7AD03" w14:textId="77777777" w:rsidR="001F43D0" w:rsidRDefault="001F43D0" w:rsidP="009B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293AC" w14:textId="77777777" w:rsidR="009B10F0" w:rsidRDefault="009B1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B70A" w14:textId="77777777" w:rsidR="009B10F0" w:rsidRDefault="009B10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DF2A" w14:textId="77777777" w:rsidR="009B10F0" w:rsidRDefault="009B1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01B5F" w14:textId="77777777" w:rsidR="001F43D0" w:rsidRDefault="001F43D0" w:rsidP="009B10F0">
      <w:r>
        <w:separator/>
      </w:r>
    </w:p>
  </w:footnote>
  <w:footnote w:type="continuationSeparator" w:id="0">
    <w:p w14:paraId="0505C1B3" w14:textId="77777777" w:rsidR="001F43D0" w:rsidRDefault="001F43D0" w:rsidP="009B1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EAC78" w14:textId="3F3B4C1D" w:rsidR="009B10F0" w:rsidRDefault="009B10F0">
    <w:pPr>
      <w:pStyle w:val="Header"/>
    </w:pPr>
    <w:r>
      <w:rPr>
        <w:noProof/>
      </w:rPr>
      <w:pict w14:anchorId="2D555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71546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B4586" w14:textId="6FFEFA19" w:rsidR="009B10F0" w:rsidRDefault="009B10F0">
    <w:pPr>
      <w:pStyle w:val="Header"/>
    </w:pPr>
    <w:r>
      <w:rPr>
        <w:noProof/>
      </w:rPr>
      <w:pict w14:anchorId="2D6AA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71547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A785A" w14:textId="0D26618C" w:rsidR="009B10F0" w:rsidRDefault="009B10F0">
    <w:pPr>
      <w:pStyle w:val="Header"/>
    </w:pPr>
    <w:r>
      <w:rPr>
        <w:noProof/>
      </w:rPr>
      <w:pict w14:anchorId="72C1B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71546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hybridMultilevel"/>
    <w:tmpl w:val="A63E0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F2E70"/>
    <w:multiLevelType w:val="multilevel"/>
    <w:tmpl w:val="60A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F27E5"/>
    <w:multiLevelType w:val="hybridMultilevel"/>
    <w:tmpl w:val="3D22C1B2"/>
    <w:lvl w:ilvl="0" w:tplc="42DA3BD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560503C"/>
    <w:multiLevelType w:val="multilevel"/>
    <w:tmpl w:val="A4A8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40DF5"/>
    <w:multiLevelType w:val="multilevel"/>
    <w:tmpl w:val="4FA8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926276"/>
    <w:multiLevelType w:val="multilevel"/>
    <w:tmpl w:val="21807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C40D1C"/>
    <w:multiLevelType w:val="multilevel"/>
    <w:tmpl w:val="53C8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F44"/>
    <w:rsid w:val="000162C3"/>
    <w:rsid w:val="000B549B"/>
    <w:rsid w:val="001F43D0"/>
    <w:rsid w:val="00282BDA"/>
    <w:rsid w:val="00287739"/>
    <w:rsid w:val="00305117"/>
    <w:rsid w:val="003974E5"/>
    <w:rsid w:val="003F3F70"/>
    <w:rsid w:val="004046C9"/>
    <w:rsid w:val="00410C83"/>
    <w:rsid w:val="00430316"/>
    <w:rsid w:val="00471E73"/>
    <w:rsid w:val="00507576"/>
    <w:rsid w:val="00507ACA"/>
    <w:rsid w:val="00562289"/>
    <w:rsid w:val="005702BF"/>
    <w:rsid w:val="005A77F1"/>
    <w:rsid w:val="005D465F"/>
    <w:rsid w:val="005D5099"/>
    <w:rsid w:val="005D731F"/>
    <w:rsid w:val="005E6046"/>
    <w:rsid w:val="00601718"/>
    <w:rsid w:val="00601799"/>
    <w:rsid w:val="00624F32"/>
    <w:rsid w:val="00682F44"/>
    <w:rsid w:val="006D5374"/>
    <w:rsid w:val="0075049C"/>
    <w:rsid w:val="007625F4"/>
    <w:rsid w:val="0077313C"/>
    <w:rsid w:val="00787720"/>
    <w:rsid w:val="007F26B4"/>
    <w:rsid w:val="00804DC9"/>
    <w:rsid w:val="008833AF"/>
    <w:rsid w:val="00896ECD"/>
    <w:rsid w:val="008C6320"/>
    <w:rsid w:val="00911F32"/>
    <w:rsid w:val="00914F0F"/>
    <w:rsid w:val="009249C6"/>
    <w:rsid w:val="00993375"/>
    <w:rsid w:val="009B10F0"/>
    <w:rsid w:val="009D7EFE"/>
    <w:rsid w:val="00A6598C"/>
    <w:rsid w:val="00A67B41"/>
    <w:rsid w:val="00A8676E"/>
    <w:rsid w:val="00AA74DC"/>
    <w:rsid w:val="00B35F20"/>
    <w:rsid w:val="00B45B7F"/>
    <w:rsid w:val="00B869C5"/>
    <w:rsid w:val="00BC2C8C"/>
    <w:rsid w:val="00C03444"/>
    <w:rsid w:val="00C34526"/>
    <w:rsid w:val="00C36054"/>
    <w:rsid w:val="00C642E1"/>
    <w:rsid w:val="00C70703"/>
    <w:rsid w:val="00CA1A1E"/>
    <w:rsid w:val="00CB17E2"/>
    <w:rsid w:val="00CB799F"/>
    <w:rsid w:val="00CC78E1"/>
    <w:rsid w:val="00CC7A8B"/>
    <w:rsid w:val="00CE2440"/>
    <w:rsid w:val="00D14665"/>
    <w:rsid w:val="00D24EE1"/>
    <w:rsid w:val="00D41DD8"/>
    <w:rsid w:val="00D54592"/>
    <w:rsid w:val="00DB4381"/>
    <w:rsid w:val="00E002CA"/>
    <w:rsid w:val="00E65FE9"/>
    <w:rsid w:val="00EE0609"/>
    <w:rsid w:val="00F56833"/>
    <w:rsid w:val="00F609E1"/>
    <w:rsid w:val="00F838EA"/>
    <w:rsid w:val="00F8457B"/>
    <w:rsid w:val="00FB3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8A9CDD"/>
  <w15:chartTrackingRefBased/>
  <w15:docId w15:val="{4F0C63C9-CA08-4968-B08F-F656258F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3F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82F44"/>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2F44"/>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82F44"/>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2F44"/>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682F44"/>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682F44"/>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682F44"/>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682F44"/>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682F44"/>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F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2F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82F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2F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2F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2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F44"/>
    <w:rPr>
      <w:rFonts w:eastAsiaTheme="majorEastAsia" w:cstheme="majorBidi"/>
      <w:color w:val="272727" w:themeColor="text1" w:themeTint="D8"/>
    </w:rPr>
  </w:style>
  <w:style w:type="paragraph" w:styleId="Title">
    <w:name w:val="Title"/>
    <w:basedOn w:val="Normal"/>
    <w:next w:val="Normal"/>
    <w:link w:val="TitleChar"/>
    <w:uiPriority w:val="10"/>
    <w:qFormat/>
    <w:rsid w:val="00682F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F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F44"/>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F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F44"/>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682F44"/>
    <w:rPr>
      <w:i/>
      <w:iCs/>
      <w:color w:val="404040" w:themeColor="text1" w:themeTint="BF"/>
    </w:rPr>
  </w:style>
  <w:style w:type="paragraph" w:styleId="ListParagraph">
    <w:name w:val="List Paragraph"/>
    <w:basedOn w:val="Normal"/>
    <w:uiPriority w:val="34"/>
    <w:qFormat/>
    <w:rsid w:val="00682F44"/>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682F44"/>
    <w:rPr>
      <w:i/>
      <w:iCs/>
      <w:color w:val="2F5496" w:themeColor="accent1" w:themeShade="BF"/>
    </w:rPr>
  </w:style>
  <w:style w:type="paragraph" w:styleId="IntenseQuote">
    <w:name w:val="Intense Quote"/>
    <w:basedOn w:val="Normal"/>
    <w:next w:val="Normal"/>
    <w:link w:val="IntenseQuoteChar"/>
    <w:uiPriority w:val="30"/>
    <w:qFormat/>
    <w:rsid w:val="00682F4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rPr>
  </w:style>
  <w:style w:type="character" w:customStyle="1" w:styleId="IntenseQuoteChar">
    <w:name w:val="Intense Quote Char"/>
    <w:basedOn w:val="DefaultParagraphFont"/>
    <w:link w:val="IntenseQuote"/>
    <w:uiPriority w:val="30"/>
    <w:rsid w:val="00682F44"/>
    <w:rPr>
      <w:i/>
      <w:iCs/>
      <w:color w:val="2F5496" w:themeColor="accent1" w:themeShade="BF"/>
    </w:rPr>
  </w:style>
  <w:style w:type="character" w:styleId="IntenseReference">
    <w:name w:val="Intense Reference"/>
    <w:basedOn w:val="DefaultParagraphFont"/>
    <w:uiPriority w:val="32"/>
    <w:qFormat/>
    <w:rsid w:val="00682F44"/>
    <w:rPr>
      <w:b/>
      <w:bCs/>
      <w:smallCaps/>
      <w:color w:val="2F5496" w:themeColor="accent1" w:themeShade="BF"/>
      <w:spacing w:val="5"/>
    </w:rPr>
  </w:style>
  <w:style w:type="character" w:styleId="Hyperlink">
    <w:name w:val="Hyperlink"/>
    <w:basedOn w:val="DefaultParagraphFont"/>
    <w:uiPriority w:val="99"/>
    <w:unhideWhenUsed/>
    <w:rsid w:val="00682F44"/>
    <w:rPr>
      <w:color w:val="0563C1" w:themeColor="hyperlink"/>
      <w:u w:val="single"/>
    </w:rPr>
  </w:style>
  <w:style w:type="character" w:styleId="UnresolvedMention">
    <w:name w:val="Unresolved Mention"/>
    <w:basedOn w:val="DefaultParagraphFont"/>
    <w:uiPriority w:val="99"/>
    <w:semiHidden/>
    <w:unhideWhenUsed/>
    <w:rsid w:val="00682F44"/>
    <w:rPr>
      <w:color w:val="605E5C"/>
      <w:shd w:val="clear" w:color="auto" w:fill="E1DFDD"/>
    </w:rPr>
  </w:style>
  <w:style w:type="table" w:styleId="TableGrid">
    <w:name w:val="Table Grid"/>
    <w:basedOn w:val="TableNormal"/>
    <w:uiPriority w:val="39"/>
    <w:rsid w:val="00D2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0C83"/>
    <w:pPr>
      <w:spacing w:after="160" w:line="259" w:lineRule="auto"/>
    </w:pPr>
    <w:rPr>
      <w:rFonts w:eastAsiaTheme="minorHAnsi"/>
    </w:rPr>
  </w:style>
  <w:style w:type="paragraph" w:customStyle="1" w:styleId="ds-markdown-paragraph">
    <w:name w:val="ds-markdown-paragraph"/>
    <w:basedOn w:val="Normal"/>
    <w:rsid w:val="003F3F70"/>
    <w:pPr>
      <w:spacing w:before="100" w:beforeAutospacing="1" w:after="100" w:afterAutospacing="1"/>
    </w:pPr>
  </w:style>
  <w:style w:type="character" w:styleId="Strong">
    <w:name w:val="Strong"/>
    <w:basedOn w:val="DefaultParagraphFont"/>
    <w:uiPriority w:val="22"/>
    <w:qFormat/>
    <w:rsid w:val="003F3F70"/>
    <w:rPr>
      <w:b/>
      <w:bCs/>
    </w:rPr>
  </w:style>
  <w:style w:type="table" w:styleId="TableGridLight">
    <w:name w:val="Grid Table Light"/>
    <w:basedOn w:val="TableNormal"/>
    <w:uiPriority w:val="40"/>
    <w:rsid w:val="003F3F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F3F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9B10F0"/>
    <w:pPr>
      <w:tabs>
        <w:tab w:val="center" w:pos="4680"/>
        <w:tab w:val="right" w:pos="9360"/>
      </w:tabs>
    </w:pPr>
  </w:style>
  <w:style w:type="character" w:customStyle="1" w:styleId="HeaderChar">
    <w:name w:val="Header Char"/>
    <w:basedOn w:val="DefaultParagraphFont"/>
    <w:link w:val="Header"/>
    <w:uiPriority w:val="99"/>
    <w:rsid w:val="009B10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B10F0"/>
    <w:pPr>
      <w:tabs>
        <w:tab w:val="center" w:pos="4680"/>
        <w:tab w:val="right" w:pos="9360"/>
      </w:tabs>
    </w:pPr>
  </w:style>
  <w:style w:type="character" w:customStyle="1" w:styleId="FooterChar">
    <w:name w:val="Footer Char"/>
    <w:basedOn w:val="DefaultParagraphFont"/>
    <w:link w:val="Footer"/>
    <w:uiPriority w:val="99"/>
    <w:rsid w:val="009B10F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261-018-1465-8" TargetMode="External"/><Relationship Id="rId21" Type="http://schemas.openxmlformats.org/officeDocument/2006/relationships/hyperlink" Target="https://doi.org/10.1038/nri1184" TargetMode="External"/><Relationship Id="rId42" Type="http://schemas.openxmlformats.org/officeDocument/2006/relationships/hyperlink" Target="https://doi.org/10.1007/BF00177912" TargetMode="External"/><Relationship Id="rId47" Type="http://schemas.openxmlformats.org/officeDocument/2006/relationships/hyperlink" Target="https://doi.org/10.9734/ajob/2025/v21i4496"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neuint.2019.104580" TargetMode="External"/><Relationship Id="rId11" Type="http://schemas.openxmlformats.org/officeDocument/2006/relationships/image" Target="media/image5.png"/><Relationship Id="rId24" Type="http://schemas.openxmlformats.org/officeDocument/2006/relationships/hyperlink" Target="https://doi.org/10.1016/j.tins.2009.05.009" TargetMode="External"/><Relationship Id="rId32" Type="http://schemas.openxmlformats.org/officeDocument/2006/relationships/hyperlink" Target="https://doi.org/10.5334/aogh.4247" TargetMode="External"/><Relationship Id="rId37" Type="http://schemas.openxmlformats.org/officeDocument/2006/relationships/hyperlink" Target="https://doi.org/10.3390/antiox14101148" TargetMode="External"/><Relationship Id="rId40" Type="http://schemas.openxmlformats.org/officeDocument/2006/relationships/hyperlink" Target="https://doi.org/10.3390/ijms25116116" TargetMode="External"/><Relationship Id="rId45" Type="http://schemas.openxmlformats.org/officeDocument/2006/relationships/hyperlink" Target="https://doi.org/10.9734/indj/2025/v22i3478" TargetMode="External"/><Relationship Id="rId53" Type="http://schemas.openxmlformats.org/officeDocument/2006/relationships/hyperlink" Target="https://doi.org/10.3748/wjg.v19.i25.3951" TargetMode="External"/><Relationship Id="rId58" Type="http://schemas.openxmlformats.org/officeDocument/2006/relationships/hyperlink" Target="https://doi.org/10.1016/j.freeradbiomed.2018.11.016"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16/j.jhep.2015.07.020"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doi.org/10.3390/antiox12091653" TargetMode="External"/><Relationship Id="rId27" Type="http://schemas.openxmlformats.org/officeDocument/2006/relationships/hyperlink" Target="https://doi.org/10.1073/pnas.1803222115" TargetMode="External"/><Relationship Id="rId30" Type="http://schemas.openxmlformats.org/officeDocument/2006/relationships/hyperlink" Target="https://doi.org/10.1080/08958378.2023.2297698" TargetMode="External"/><Relationship Id="rId35" Type="http://schemas.openxmlformats.org/officeDocument/2006/relationships/hyperlink" Target="https://doi.org/10.1053/j.sult.2016.08.007" TargetMode="External"/><Relationship Id="rId43" Type="http://schemas.openxmlformats.org/officeDocument/2006/relationships/hyperlink" Target="https://doi.org/10.3390/ijms26020812" TargetMode="External"/><Relationship Id="rId48" Type="http://schemas.openxmlformats.org/officeDocument/2006/relationships/hyperlink" Target="https://doi.org/10.1016/j.ecoenv.2023.115264" TargetMode="External"/><Relationship Id="rId56" Type="http://schemas.openxmlformats.org/officeDocument/2006/relationships/hyperlink" Target="https://iris.who.int/server/api/core/bitstreams/551b515e-2a32-4e1a-a58c-cdaecd395b19/content"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1006/taap.2001.930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93/inthealth/ihz078" TargetMode="External"/><Relationship Id="rId33" Type="http://schemas.openxmlformats.org/officeDocument/2006/relationships/hyperlink" Target="https://doi.org/10.1038/mp.2011.76" TargetMode="External"/><Relationship Id="rId38" Type="http://schemas.openxmlformats.org/officeDocument/2006/relationships/hyperlink" Target="https://doi.org/10.3390/ijms26073402" TargetMode="External"/><Relationship Id="rId46" Type="http://schemas.openxmlformats.org/officeDocument/2006/relationships/hyperlink" Target="https://doi.org/10.9734/ajorrin/2025/v8i1129" TargetMode="External"/><Relationship Id="rId59" Type="http://schemas.openxmlformats.org/officeDocument/2006/relationships/hyperlink" Target="https://doi.org/10.1136/oemed-2012-100864" TargetMode="External"/><Relationship Id="rId67"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hyperlink" Target="https://doi.org/10.3892/ol.2018.8355" TargetMode="External"/><Relationship Id="rId54" Type="http://schemas.openxmlformats.org/officeDocument/2006/relationships/hyperlink" Target="https://doi.org/10.1007/s43188-019-00014-4"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38/nrc2628" TargetMode="External"/><Relationship Id="rId28" Type="http://schemas.openxmlformats.org/officeDocument/2006/relationships/hyperlink" Target="https://doi.org/10.1016/S0140-6736(17)30505-6" TargetMode="External"/><Relationship Id="rId36" Type="http://schemas.openxmlformats.org/officeDocument/2006/relationships/hyperlink" Target="https://doi.org/10.3390/ijerph19148771" TargetMode="External"/><Relationship Id="rId49" Type="http://schemas.openxmlformats.org/officeDocument/2006/relationships/hyperlink" Target="https://doi.org/10.3389/fnins.2019.01232" TargetMode="External"/><Relationship Id="rId57" Type="http://schemas.openxmlformats.org/officeDocument/2006/relationships/hyperlink" Target="https://doi.org/10.1016/j.jhazmat.2024.133958" TargetMode="External"/><Relationship Id="rId10" Type="http://schemas.openxmlformats.org/officeDocument/2006/relationships/image" Target="media/image4.png"/><Relationship Id="rId31" Type="http://schemas.openxmlformats.org/officeDocument/2006/relationships/hyperlink" Target="https://doi.org/10.1016/0019-2791(71)90454-x" TargetMode="External"/><Relationship Id="rId44" Type="http://schemas.openxmlformats.org/officeDocument/2006/relationships/hyperlink" Target="https://doi.org/10.1016/j.envres.2020.109242" TargetMode="External"/><Relationship Id="rId52" Type="http://schemas.openxmlformats.org/officeDocument/2006/relationships/hyperlink" Target="https://doi.org/10.3390/ijerph191610305" TargetMode="External"/><Relationship Id="rId60" Type="http://schemas.openxmlformats.org/officeDocument/2006/relationships/hyperlink" Target="https://doi.org/10.1016/j.jhep.2012.08.009"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doi.org/10.1165/ajrcmb.19.3.3042" TargetMode="External"/><Relationship Id="rId34" Type="http://schemas.openxmlformats.org/officeDocument/2006/relationships/hyperlink" Target="https://doi.org/10.1007/s10753-020-01269-y" TargetMode="External"/><Relationship Id="rId50" Type="http://schemas.openxmlformats.org/officeDocument/2006/relationships/hyperlink" Target="https://doi.org/10.1016/j.heliyon.2023.e19496" TargetMode="External"/><Relationship Id="rId55" Type="http://schemas.openxmlformats.org/officeDocument/2006/relationships/hyperlink" Target="https://doi.org/10.1007/s43188-019-000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3830</TotalTime>
  <Pages>23</Pages>
  <Words>8500</Words>
  <Characters>48455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1084</cp:lastModifiedBy>
  <cp:revision>19</cp:revision>
  <dcterms:created xsi:type="dcterms:W3CDTF">2026-03-22T20:01:00Z</dcterms:created>
  <dcterms:modified xsi:type="dcterms:W3CDTF">2026-04-02T12:20:00Z</dcterms:modified>
</cp:coreProperties>
</file>