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DA0D" w14:textId="77777777" w:rsidR="00B70BB0" w:rsidRDefault="00C76947">
      <w:pPr>
        <w:rPr>
          <w:rFonts w:ascii="Times New Roman" w:hAnsi="Times New Roman"/>
          <w:b/>
          <w:bCs/>
          <w:color w:val="000000" w:themeColor="text1"/>
        </w:rPr>
      </w:pPr>
      <w:r w:rsidRPr="00EB2675">
        <w:rPr>
          <w:rFonts w:ascii="Times New Roman" w:hAnsi="Times New Roman"/>
          <w:b/>
          <w:bCs/>
          <w:color w:val="000000" w:themeColor="text1"/>
        </w:rPr>
        <w:t>Moderating effect of audit committee Independence on the relationship between of audit firm attributes and audit quality of listed Non-Service companies in Nigeria</w:t>
      </w:r>
    </w:p>
    <w:p w14:paraId="489AECF4" w14:textId="77777777" w:rsidR="009658C1" w:rsidRDefault="009658C1">
      <w:pPr>
        <w:rPr>
          <w:rFonts w:ascii="Times New Roman" w:hAnsi="Times New Roman"/>
          <w:b/>
          <w:bCs/>
          <w:color w:val="000000" w:themeColor="text1"/>
        </w:rPr>
      </w:pPr>
    </w:p>
    <w:p w14:paraId="234A6A07" w14:textId="77777777" w:rsidR="005241E1" w:rsidRDefault="005241E1" w:rsidP="005241E1">
      <w:pPr>
        <w:jc w:val="center"/>
        <w:rPr>
          <w:rFonts w:ascii="Times New Roman" w:hAnsi="Times New Roman"/>
          <w:b/>
          <w:bCs/>
          <w:color w:val="000000" w:themeColor="text1"/>
        </w:rPr>
      </w:pPr>
    </w:p>
    <w:p w14:paraId="78D243BD" w14:textId="77777777" w:rsidR="009658C1" w:rsidRPr="00EB2675" w:rsidRDefault="009658C1" w:rsidP="005241E1">
      <w:pPr>
        <w:jc w:val="center"/>
        <w:rPr>
          <w:rFonts w:ascii="Times New Roman" w:hAnsi="Times New Roman"/>
          <w:b/>
          <w:color w:val="000000" w:themeColor="text1"/>
        </w:rPr>
      </w:pPr>
    </w:p>
    <w:p w14:paraId="357DA884" w14:textId="77777777" w:rsidR="00B70BB0" w:rsidRPr="00EB2675" w:rsidRDefault="00B70BB0">
      <w:pPr>
        <w:rPr>
          <w:rFonts w:ascii="Times New Roman" w:hAnsi="Times New Roman"/>
          <w:b/>
          <w:color w:val="000000" w:themeColor="text1"/>
        </w:rPr>
      </w:pPr>
    </w:p>
    <w:p w14:paraId="30B6975C" w14:textId="77777777" w:rsidR="00B70BB0" w:rsidRPr="00EB2675" w:rsidRDefault="00C76947">
      <w:pPr>
        <w:rPr>
          <w:rFonts w:ascii="Times New Roman" w:hAnsi="Times New Roman"/>
          <w:b/>
          <w:color w:val="000000" w:themeColor="text1"/>
        </w:rPr>
      </w:pPr>
      <w:r w:rsidRPr="00EB2675">
        <w:rPr>
          <w:rFonts w:ascii="Times New Roman" w:hAnsi="Times New Roman"/>
          <w:b/>
          <w:color w:val="000000" w:themeColor="text1"/>
        </w:rPr>
        <w:t>Abstract</w:t>
      </w:r>
    </w:p>
    <w:p w14:paraId="67D9823B" w14:textId="77777777" w:rsidR="00B70BB0" w:rsidRPr="00EB2675" w:rsidRDefault="00C76947">
      <w:pPr>
        <w:jc w:val="both"/>
        <w:rPr>
          <w:rFonts w:ascii="Times New Roman" w:hAnsi="Times New Roman"/>
          <w:i/>
          <w:iCs/>
          <w:color w:val="000000" w:themeColor="text1"/>
        </w:rPr>
      </w:pPr>
      <w:r w:rsidRPr="00EB2675">
        <w:rPr>
          <w:rFonts w:ascii="Times New Roman" w:hAnsi="Times New Roman"/>
          <w:i/>
          <w:iCs/>
          <w:color w:val="000000" w:themeColor="text1"/>
        </w:rPr>
        <w:t xml:space="preserve">This study </w:t>
      </w:r>
      <w:r w:rsidR="002659A7">
        <w:rPr>
          <w:rFonts w:ascii="Times New Roman" w:hAnsi="Times New Roman"/>
          <w:i/>
          <w:iCs/>
          <w:color w:val="000000" w:themeColor="text1"/>
        </w:rPr>
        <w:t>examined</w:t>
      </w:r>
      <w:r w:rsidRPr="00EB2675">
        <w:rPr>
          <w:rFonts w:ascii="Times New Roman" w:hAnsi="Times New Roman"/>
          <w:i/>
          <w:iCs/>
          <w:color w:val="000000" w:themeColor="text1"/>
        </w:rPr>
        <w:t xml:space="preserve"> the moderating effect of Audit Committee Independence (ACI) on the relationship between key audit firm attributes</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Auditor Independence (AFI), Audit Fees (AFE), and Audit Partner Rotation (APR)</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and Audit Quality (ACQ) among listed non-service companies in Nigeria. Drawing upon Agency, Stakeholder, and Resource Dependence Theories, the research adopts a correlational design using panel data from 5</w:t>
      </w:r>
      <w:r w:rsidR="00081F20">
        <w:rPr>
          <w:rFonts w:ascii="Times New Roman" w:hAnsi="Times New Roman"/>
          <w:i/>
          <w:iCs/>
          <w:color w:val="000000" w:themeColor="text1"/>
        </w:rPr>
        <w:t>3</w:t>
      </w:r>
      <w:r w:rsidRPr="00EB2675">
        <w:rPr>
          <w:rFonts w:ascii="Times New Roman" w:hAnsi="Times New Roman"/>
          <w:i/>
          <w:iCs/>
          <w:color w:val="000000" w:themeColor="text1"/>
        </w:rPr>
        <w:t xml:space="preserve"> </w:t>
      </w:r>
      <w:r w:rsidR="00081F20">
        <w:rPr>
          <w:rFonts w:ascii="Times New Roman" w:hAnsi="Times New Roman"/>
          <w:i/>
          <w:iCs/>
          <w:color w:val="000000" w:themeColor="text1"/>
        </w:rPr>
        <w:t>companie</w:t>
      </w:r>
      <w:r w:rsidRPr="00EB2675">
        <w:rPr>
          <w:rFonts w:ascii="Times New Roman" w:hAnsi="Times New Roman"/>
          <w:i/>
          <w:iCs/>
          <w:color w:val="000000" w:themeColor="text1"/>
        </w:rPr>
        <w:t>s covering the period 201</w:t>
      </w:r>
      <w:r w:rsidR="00081F20">
        <w:rPr>
          <w:rFonts w:ascii="Times New Roman" w:hAnsi="Times New Roman"/>
          <w:i/>
          <w:iCs/>
          <w:color w:val="000000" w:themeColor="text1"/>
        </w:rPr>
        <w:t>2</w:t>
      </w:r>
      <w:r w:rsidRPr="00EB2675">
        <w:rPr>
          <w:rFonts w:ascii="Times New Roman" w:hAnsi="Times New Roman"/>
          <w:i/>
          <w:iCs/>
          <w:color w:val="000000" w:themeColor="text1"/>
        </w:rPr>
        <w:t>–2022. Audit q</w:t>
      </w:r>
      <w:r w:rsidRPr="00EB2675">
        <w:rPr>
          <w:rFonts w:ascii="Times New Roman" w:hAnsi="Times New Roman"/>
          <w:i/>
          <w:iCs/>
          <w:color w:val="000000" w:themeColor="text1"/>
        </w:rPr>
        <w:t xml:space="preserve">uality is proxied by accrual quality, while ACI is modelled as a moderating variable to test its capacity to strengthen audit governance relationships. Data were </w:t>
      </w:r>
      <w:proofErr w:type="spellStart"/>
      <w:r w:rsidRPr="00EB2675">
        <w:rPr>
          <w:rFonts w:ascii="Times New Roman" w:hAnsi="Times New Roman"/>
          <w:i/>
          <w:iCs/>
          <w:color w:val="000000" w:themeColor="text1"/>
        </w:rPr>
        <w:t>analysed</w:t>
      </w:r>
      <w:proofErr w:type="spellEnd"/>
      <w:r w:rsidRPr="00EB2675">
        <w:rPr>
          <w:rFonts w:ascii="Times New Roman" w:hAnsi="Times New Roman"/>
          <w:i/>
          <w:iCs/>
          <w:color w:val="000000" w:themeColor="text1"/>
        </w:rPr>
        <w:t xml:space="preserve"> using Feasible </w:t>
      </w:r>
      <w:proofErr w:type="spellStart"/>
      <w:r w:rsidRPr="00EB2675">
        <w:rPr>
          <w:rFonts w:ascii="Times New Roman" w:hAnsi="Times New Roman"/>
          <w:i/>
          <w:iCs/>
          <w:color w:val="000000" w:themeColor="text1"/>
        </w:rPr>
        <w:t>Generalised</w:t>
      </w:r>
      <w:proofErr w:type="spellEnd"/>
      <w:r w:rsidRPr="00EB2675">
        <w:rPr>
          <w:rFonts w:ascii="Times New Roman" w:hAnsi="Times New Roman"/>
          <w:i/>
          <w:iCs/>
          <w:color w:val="000000" w:themeColor="text1"/>
        </w:rPr>
        <w:t xml:space="preserve"> Least Squares (FGLS) and Panel-Corrected Standard Errors (</w:t>
      </w:r>
      <w:r w:rsidRPr="00EB2675">
        <w:rPr>
          <w:rFonts w:ascii="Times New Roman" w:hAnsi="Times New Roman"/>
          <w:i/>
          <w:iCs/>
          <w:color w:val="000000" w:themeColor="text1"/>
        </w:rPr>
        <w:t>PCSE) to control for heteroskedasticity and contemporaneous correlation.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Empirical findings reveal that auditor independence significantly and negatively influences accruals, implying improved audit quality, whereas audit fees exert a positive and signific</w:t>
      </w:r>
      <w:r w:rsidRPr="00EB2675">
        <w:rPr>
          <w:rFonts w:ascii="Times New Roman" w:hAnsi="Times New Roman"/>
          <w:i/>
          <w:iCs/>
          <w:color w:val="000000" w:themeColor="text1"/>
        </w:rPr>
        <w:t xml:space="preserve">ant effect, indicating potential impairment of auditor objectivity due to economic dependence. Audit partner rotation shows a weak and statistically insignificant </w:t>
      </w:r>
      <w:r w:rsidR="009658C1">
        <w:rPr>
          <w:rFonts w:ascii="Times New Roman" w:hAnsi="Times New Roman"/>
          <w:i/>
          <w:iCs/>
          <w:color w:val="000000" w:themeColor="text1"/>
        </w:rPr>
        <w:t>relationship</w:t>
      </w:r>
      <w:r w:rsidRPr="00EB2675">
        <w:rPr>
          <w:rFonts w:ascii="Times New Roman" w:hAnsi="Times New Roman"/>
          <w:i/>
          <w:iCs/>
          <w:color w:val="000000" w:themeColor="text1"/>
        </w:rPr>
        <w:t xml:space="preserve"> with audit quality. The inclusion of ACI as a moderator amplifies the positive e</w:t>
      </w:r>
      <w:r w:rsidRPr="00EB2675">
        <w:rPr>
          <w:rFonts w:ascii="Times New Roman" w:hAnsi="Times New Roman"/>
          <w:i/>
          <w:iCs/>
          <w:color w:val="000000" w:themeColor="text1"/>
        </w:rPr>
        <w:t>ffect of auditor independence but does not materially alter the effects of audit fees and partner rotation.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 xml:space="preserve">The study concludes that audit quality in Nigeria’s non-service sector is primarily driven by auditor independence and strengthened further through </w:t>
      </w:r>
      <w:r w:rsidRPr="00EB2675">
        <w:rPr>
          <w:rFonts w:ascii="Times New Roman" w:hAnsi="Times New Roman"/>
          <w:i/>
          <w:iCs/>
          <w:color w:val="000000" w:themeColor="text1"/>
        </w:rPr>
        <w:t>robust and independent audit committees. It recommends that regulators, such as the Financial Reporting Council of Nigeria and the Securities and Exchange Commission, reinforce compliance with the Nigerian Code of Corporate Governance (2018) to enhance com</w:t>
      </w:r>
      <w:r w:rsidRPr="00EB2675">
        <w:rPr>
          <w:rFonts w:ascii="Times New Roman" w:hAnsi="Times New Roman"/>
          <w:i/>
          <w:iCs/>
          <w:color w:val="000000" w:themeColor="text1"/>
        </w:rPr>
        <w:t>mittee independence, transparency in audit fee disclosure, and balanced partner rotation cycles. The study contributes to the global discourse on audit governance and aligns with Sustainable Development Goals (SDGs) 8, 9, 12, and 16, which advocate for dec</w:t>
      </w:r>
      <w:r w:rsidRPr="00EB2675">
        <w:rPr>
          <w:rFonts w:ascii="Times New Roman" w:hAnsi="Times New Roman"/>
          <w:i/>
          <w:iCs/>
          <w:color w:val="000000" w:themeColor="text1"/>
        </w:rPr>
        <w:t>ent work, industrial innovation, responsible reporting, and strong institutions.</w:t>
      </w:r>
    </w:p>
    <w:p w14:paraId="1E65FB29" w14:textId="77777777" w:rsidR="003C1913" w:rsidRDefault="003C1913">
      <w:pPr>
        <w:jc w:val="both"/>
        <w:rPr>
          <w:rFonts w:ascii="Times New Roman" w:hAnsi="Times New Roman"/>
          <w:b/>
          <w:bCs/>
          <w:i/>
          <w:iCs/>
          <w:color w:val="000000" w:themeColor="text1"/>
        </w:rPr>
      </w:pPr>
    </w:p>
    <w:p w14:paraId="496112AF" w14:textId="77777777" w:rsidR="00B70BB0" w:rsidRPr="003C1913" w:rsidRDefault="00C76947">
      <w:pPr>
        <w:jc w:val="both"/>
        <w:rPr>
          <w:rFonts w:ascii="Times New Roman" w:hAnsi="Times New Roman"/>
          <w:color w:val="000000" w:themeColor="text1"/>
        </w:rPr>
      </w:pPr>
      <w:r w:rsidRPr="003C1913">
        <w:rPr>
          <w:rFonts w:ascii="Times New Roman" w:hAnsi="Times New Roman"/>
          <w:b/>
          <w:bCs/>
          <w:color w:val="000000" w:themeColor="text1"/>
        </w:rPr>
        <w:t>Keywords:</w:t>
      </w:r>
      <w:r w:rsidRPr="003C1913">
        <w:rPr>
          <w:rFonts w:ascii="Times New Roman" w:hAnsi="Times New Roman"/>
          <w:color w:val="000000" w:themeColor="text1"/>
        </w:rPr>
        <w:t xml:space="preserve"> Audit Quality, Auditor Independence, Audit Fees, Audit Partner Rotation, Audit Committee Independence, Non-Service </w:t>
      </w:r>
      <w:r w:rsidR="003C1913">
        <w:rPr>
          <w:rFonts w:ascii="Times New Roman" w:hAnsi="Times New Roman"/>
          <w:color w:val="000000" w:themeColor="text1"/>
        </w:rPr>
        <w:t>Companies</w:t>
      </w:r>
      <w:r w:rsidR="009658C1">
        <w:rPr>
          <w:rFonts w:ascii="Times New Roman" w:hAnsi="Times New Roman"/>
          <w:color w:val="000000" w:themeColor="text1"/>
        </w:rPr>
        <w:t xml:space="preserve">, </w:t>
      </w:r>
      <w:r w:rsidRPr="003C1913">
        <w:rPr>
          <w:rFonts w:ascii="Times New Roman" w:hAnsi="Times New Roman"/>
          <w:color w:val="000000" w:themeColor="text1"/>
        </w:rPr>
        <w:t>Sustainable Development Goals (SDGs).</w:t>
      </w:r>
    </w:p>
    <w:p w14:paraId="2C16A5A8" w14:textId="77777777" w:rsidR="00B70BB0" w:rsidRPr="00EB2675" w:rsidRDefault="00B70BB0">
      <w:pPr>
        <w:rPr>
          <w:rFonts w:ascii="Times New Roman" w:hAnsi="Times New Roman"/>
          <w:color w:val="000000" w:themeColor="text1"/>
        </w:rPr>
      </w:pPr>
    </w:p>
    <w:p w14:paraId="7BDDEEF3" w14:textId="77777777" w:rsidR="009658C1" w:rsidRPr="00EB2675" w:rsidRDefault="009658C1">
      <w:pPr>
        <w:rPr>
          <w:rFonts w:ascii="Times New Roman" w:hAnsi="Times New Roman"/>
          <w:color w:val="000000" w:themeColor="text1"/>
        </w:rPr>
      </w:pPr>
    </w:p>
    <w:p w14:paraId="0C24E714" w14:textId="77777777" w:rsidR="00B70BB0" w:rsidRPr="00EB2675" w:rsidRDefault="00C76947">
      <w:pPr>
        <w:pStyle w:val="Heading1"/>
        <w:numPr>
          <w:ilvl w:val="0"/>
          <w:numId w:val="1"/>
        </w:numPr>
        <w:ind w:left="0"/>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Introduction</w:t>
      </w:r>
    </w:p>
    <w:p w14:paraId="7EC1950C" w14:textId="77777777" w:rsidR="00B70BB0" w:rsidRPr="00EB2675" w:rsidRDefault="00B70BB0">
      <w:pPr>
        <w:rPr>
          <w:rFonts w:ascii="Times New Roman" w:hAnsi="Times New Roman"/>
        </w:rPr>
      </w:pPr>
    </w:p>
    <w:p w14:paraId="637FE2B2" w14:textId="77777777" w:rsidR="00CD028B" w:rsidRPr="00EB2675" w:rsidRDefault="00C76947">
      <w:pPr>
        <w:spacing w:after="160" w:line="259" w:lineRule="auto"/>
        <w:jc w:val="both"/>
        <w:rPr>
          <w:rFonts w:ascii="Times New Roman" w:hAnsi="Times New Roman"/>
        </w:rPr>
      </w:pPr>
      <w:r w:rsidRPr="00EB2675">
        <w:rPr>
          <w:rFonts w:ascii="Times New Roman" w:hAnsi="Times New Roman"/>
        </w:rPr>
        <w:t xml:space="preserve">Audit quality remains the cornerstone of credible financial reporting and institutional trust. The </w:t>
      </w:r>
      <w:r w:rsidR="000B355B" w:rsidRPr="00EB2675">
        <w:rPr>
          <w:rFonts w:ascii="Times New Roman" w:hAnsi="Times New Roman"/>
        </w:rPr>
        <w:fldChar w:fldCharType="begin" w:fldLock="1"/>
      </w:r>
      <w:r w:rsidR="00CD028B" w:rsidRPr="00EB2675">
        <w:rPr>
          <w:rFonts w:ascii="Times New Roman" w:hAnsi="Times New Roman"/>
        </w:rPr>
        <w:instrText>ADDIN CSL_CITATION {"citationItems":[{"id":"ITEM-1","itemData":{"author":[{"dropping-particle":"","family":"AICPA","given":"American Institute of Chartered Public Accountants","non-dropping-particle":"","parse-names":false,"suffix":""}],"id":"ITEM-1","issued":{"date-parts":[["2022"]]},"number-of-pages":"1-16","title":"Enhancing audit auality","type":"report"},"uris":["http://www.mendeley.com/documents/?uuid=7d7eb5c7-1733-47ff-927e-b201a5adf99f"]}],"mendeley":{"formattedCitation":"(AICPA, 2022)","manualFormatting":"(American Institute of Chartered Public Accountants [AICPA], 2022)","plainTextFormattedCitation":"(AICPA, 2022)","previouslyFormattedCitation":"(AICPA, 2022)"},"properties":{"noteIndex":0},"schema":"https://github.com/citation-style-language/schema/raw/master/csl-citation.json"}</w:instrText>
      </w:r>
      <w:r w:rsidR="000B355B" w:rsidRPr="00EB2675">
        <w:rPr>
          <w:rFonts w:ascii="Times New Roman" w:hAnsi="Times New Roman"/>
        </w:rPr>
        <w:fldChar w:fldCharType="separate"/>
      </w:r>
      <w:r w:rsidR="000B355B" w:rsidRPr="00EB2675">
        <w:rPr>
          <w:rFonts w:ascii="Times New Roman" w:hAnsi="Times New Roman"/>
          <w:noProof/>
        </w:rPr>
        <w:t>(American Institute of Chartered Public Accountants [AICPA], 2022)</w:t>
      </w:r>
      <w:r w:rsidR="000B355B" w:rsidRPr="00EB2675">
        <w:rPr>
          <w:rFonts w:ascii="Times New Roman" w:hAnsi="Times New Roman"/>
        </w:rPr>
        <w:fldChar w:fldCharType="end"/>
      </w:r>
      <w:r w:rsidRPr="00EB2675">
        <w:rPr>
          <w:rFonts w:ascii="Times New Roman" w:hAnsi="Times New Roman"/>
        </w:rPr>
        <w:t xml:space="preserve"> acknowledges that “audit quality</w:t>
      </w:r>
      <w:r w:rsidRPr="00EB2675">
        <w:rPr>
          <w:rFonts w:ascii="Times New Roman" w:hAnsi="Times New Roman"/>
        </w:rPr>
        <w:t>” is a multifaceted construct encompassing the auditor’s professional competence, ethical integrity, and institutional independence. Fundamentally, audit quality reflects the auditor’s capacity to detect and report material misstatements, thereby mitigatin</w:t>
      </w:r>
      <w:r w:rsidRPr="00EB2675">
        <w:rPr>
          <w:rFonts w:ascii="Times New Roman" w:hAnsi="Times New Roman"/>
        </w:rPr>
        <w:t xml:space="preserve">g information asymmetry and ensuring that financial statements faithfully represent economic reality. In today’s </w:t>
      </w:r>
      <w:proofErr w:type="spellStart"/>
      <w:r w:rsidRPr="00EB2675">
        <w:rPr>
          <w:rFonts w:ascii="Times New Roman" w:hAnsi="Times New Roman"/>
        </w:rPr>
        <w:t>globalised</w:t>
      </w:r>
      <w:proofErr w:type="spellEnd"/>
      <w:r w:rsidRPr="00EB2675">
        <w:rPr>
          <w:rFonts w:ascii="Times New Roman" w:hAnsi="Times New Roman"/>
        </w:rPr>
        <w:t xml:space="preserve"> economy, where financial systems are deeply interconnected, high audit quality is indispensable </w:t>
      </w:r>
      <w:r w:rsidRPr="00EB2675">
        <w:rPr>
          <w:rFonts w:ascii="Times New Roman" w:hAnsi="Times New Roman"/>
        </w:rPr>
        <w:lastRenderedPageBreak/>
        <w:t>for sustaining market confidence, in</w:t>
      </w:r>
      <w:r w:rsidRPr="00EB2675">
        <w:rPr>
          <w:rFonts w:ascii="Times New Roman" w:hAnsi="Times New Roman"/>
        </w:rPr>
        <w:t xml:space="preserve">vestor protection, and public accountability </w:t>
      </w:r>
      <w:r w:rsidR="00CD028B" w:rsidRPr="00EB2675">
        <w:rPr>
          <w:rFonts w:ascii="Times New Roman" w:hAnsi="Times New Roman"/>
        </w:rPr>
        <w:fldChar w:fldCharType="begin" w:fldLock="1"/>
      </w:r>
      <w:r w:rsidR="00CD028B" w:rsidRPr="00EB2675">
        <w:rPr>
          <w:rFonts w:ascii="Times New Roman" w:hAnsi="Times New Roman"/>
        </w:rPr>
        <w:instrText>ADDIN CSL_CITATION {"citationItems":[{"id":"ITEM-1","itemData":{"abstract":"This study investigated the relationship between auditor independence, mandatory auditor rotation, and audit quality in non-financial institutions in Nigeria. The study was guided by two research questions, objectives, and hypotheses. Key concepts explored include auditor independence, mandatory rotation, and audit quality. A detailed review of empirical literature was conducted to uncover existing findings and gaps regarding the influence of auditor-related policies on the quality of audit outcomes in non- financial sectors. The study was underpinned by three theoretical frameworks: Agency Theory, the Independent Auditor Theory, and the Audit Tenure Theory. A correlational research design was adopted due to the reliance on historical data. Auditor independence and mandatory rotation were treated as independent variables, while audit quality served as the dependent variable. Data analysis involved the application of descriptive statistics and correlation analysis. The results revealed that auditor independence had a significant positive relationship with audit quality, while mandatory auditor rotation also significantly influenced the quality of audits in the sampled firms. Based on the findings, the study recommended strengthening independence safeguards and enforcing structured rotation policies to enhance audit transparency and trust in financial reporting within the non-financial sector.","author":[{"dropping-particle":"","family":"Abah-Marcus","given":"Olaladiza Princess","non-dropping-particle":"","parse-names":false,"suffix":""}],"container-title":"International Journal of Management Science and Business Analysis Research","id":"ITEM-1","issue":"7","issued":{"date-parts":[["2025"]]},"page":"287-297","title":"An empirical study of the relationship between auditor independence mandatory rotation and audit quality in non-financial institutions in Nigeria","type":"article-journal","volume":"8"},"uris":["http://www.mendeley.com/documents/?uuid=a58e06fb-02be-4db5-8e30-4e634b7fbd60"]},{"id":"ITEM-2","itemData":{"abstract":"…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Accounting","id":"ITEM-2","issue":"2","issued":{"date-parts":[["2021"]]},"page":"80-98","title":"IFRS adoption and audit quality in Nigeria : The conditional effect of auditor industry specialization","type":"article-journal","volume":"7"},"uris":["http://www.mendeley.com/documents/?uuid=d021bfb6-4144-4735-a33a-4dcc51ef3d03"]}],"mendeley":{"formattedCitation":"(Abah-Marcus, 2025; Uthman &amp; Salami, 2021)","plainTextFormattedCitation":"(Abah-Marcus, 2025; Uthman &amp; Salami, 2021)","previouslyFormattedCitation":"(Abah-Marcus, 2025; 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(Abah-Marcus, 2025; Uthman &amp; Salami, 2021)</w:t>
      </w:r>
      <w:r w:rsidR="00CD028B" w:rsidRPr="00EB2675">
        <w:rPr>
          <w:rFonts w:ascii="Times New Roman" w:hAnsi="Times New Roman"/>
        </w:rPr>
        <w:fldChar w:fldCharType="end"/>
      </w:r>
    </w:p>
    <w:p w14:paraId="3C28B1E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Nigeria, the adoption of the International Financial Reporting Standards (IFRS) in 2012 was expected to elevate the credibility of corporate disclosures and attract global invest</w:t>
      </w:r>
      <w:r w:rsidRPr="00EB2675">
        <w:rPr>
          <w:rFonts w:ascii="Times New Roman" w:hAnsi="Times New Roman"/>
        </w:rPr>
        <w:t xml:space="preserve">ment flows </w:t>
      </w:r>
      <w:r w:rsidR="00CD028B" w:rsidRPr="00EB2675">
        <w:rPr>
          <w:rFonts w:ascii="Times New Roman" w:hAnsi="Times New Roman"/>
        </w:rPr>
        <w:fldChar w:fldCharType="begin" w:fldLock="1"/>
      </w:r>
      <w:r w:rsidR="00E144B5" w:rsidRPr="00EB2675">
        <w:rPr>
          <w:rFonts w:ascii="Times New Roman" w:hAnsi="Times New Roman"/>
        </w:rPr>
        <w:instrText>ADDIN CSL_CITATION {"citationItems":[{"id":"ITEM-1","itemData":{"abstract":"…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Accounting","id":"ITEM-1","issue":"2","issued":{"date-parts":[["2021"]]},"page":"80-98","title":"IFRS adoption and audit quality in Nigeria : The conditional effect of auditor industry specialization","type":"article-journal","volume":"7"},"uris":["http://www.mendeley.com/documents/?uuid=d021bfb6-4144-4735-a33a-4dcc51ef3d03"]}],"mendeley":{"formattedCitation":"(Uthman &amp; Salami, 2021)","plainTextFormattedCitation":"(Uthman &amp; Salami, 2021)","previouslyFormattedCitation":"(Uthman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(Uthman &amp; Salami, 2021)</w:t>
      </w:r>
      <w:r w:rsidR="00CD028B"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However, recurrent incidents of financial mis</w:t>
      </w:r>
      <w:r w:rsidRPr="00EB2675">
        <w:rPr>
          <w:rFonts w:ascii="Times New Roman" w:hAnsi="Times New Roman"/>
        </w:rPr>
        <w:t>conduct, weak internal controls, and audit failures have raised serious concerns regarding the robustness of audit oversight and the integrity of the assurance process. Despite formal adherence to International Standards on Auditing (ISAs), many audit repo</w:t>
      </w:r>
      <w:r w:rsidRPr="00EB2675">
        <w:rPr>
          <w:rFonts w:ascii="Times New Roman" w:hAnsi="Times New Roman"/>
        </w:rPr>
        <w:t>rts fail to detect deep-seated governance failures, bribery, tax evasion, and related-party irregularities. This dissonance between form and substance erodes public confidence and undermines the objectives of Sustainable Development Goal 16 (Peace, Justice</w:t>
      </w:r>
      <w:r w:rsidRPr="00EB2675">
        <w:rPr>
          <w:rFonts w:ascii="Times New Roman" w:hAnsi="Times New Roman"/>
        </w:rPr>
        <w:t xml:space="preserve">, and Strong Institutions), which </w:t>
      </w:r>
      <w:proofErr w:type="spellStart"/>
      <w:r w:rsidRPr="00EB2675">
        <w:rPr>
          <w:rFonts w:ascii="Times New Roman" w:hAnsi="Times New Roman"/>
        </w:rPr>
        <w:t>emphasises</w:t>
      </w:r>
      <w:proofErr w:type="spellEnd"/>
      <w:r w:rsidRPr="00EB2675">
        <w:rPr>
          <w:rFonts w:ascii="Times New Roman" w:hAnsi="Times New Roman"/>
        </w:rPr>
        <w:t xml:space="preserve"> transparency, accountability, and institutional integrity</w:t>
      </w:r>
      <w:r w:rsidRPr="00EB2675">
        <w:rPr>
          <w:rFonts w:ascii="Times New Roman" w:hAnsi="Times New Roman"/>
          <w:b/>
          <w:bCs/>
        </w:rPr>
        <w:t xml:space="preserve"> </w:t>
      </w:r>
      <w:r w:rsidR="00C30A83" w:rsidRPr="00EB2675">
        <w:rPr>
          <w:rFonts w:ascii="Times New Roman" w:hAnsi="Times New Roman"/>
          <w:b/>
          <w:bCs/>
        </w:rPr>
        <w:fldChar w:fldCharType="begin" w:fldLock="1"/>
      </w:r>
      <w:r w:rsidR="00C30A83" w:rsidRPr="00EB2675">
        <w:rPr>
          <w:rFonts w:ascii="Times New Roman" w:hAnsi="Times New Roman"/>
          <w:b/>
          <w:bCs/>
        </w:rPr>
        <w:instrText>ADDIN CSL_CITATION {"citationItems":[{"id":"ITEM-1","itemData":{"DOI":"10.2139/ssrn.3360256","abstract":"In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Journal","id":"ITEM-1","issue":"March","issued":{"date-parts":[["2019"]]},"page":"1-31","title":"The effect of mandatory audit firm rotation on audit quality, audit fees and audit market concentration: Evidence from India","type":"article-journal"},"uris":["http://www.mendeley.com/documents/?uuid=7bd6e51e-89d2-44b8-9de0-59ade9a3033a"]},{"id":"ITEM-2","itemData":{"ISBN":"2348132850","ISSN":"1118-6828","abstract":"Article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Accountancy","id":"ITEM-2","issue":"1","issued":{"date-parts":[["2019"]]},"page":"1-13","title":"Auditor independence and audit quality: Empirical evidence from quoted oil and gas firms in Nigeria","type":"article-journal","volume":"6"},"uris":["http://www.mendeley.com/documents/?uuid=dc5efee9-f1d7-4f6e-92c7-bc046779b65e"]},{"id":"ITEM-3","itemData":{"DOI":"10.58709/niujhu.v10i1.2101","ISSN":"30071704","abstract":"The quality of financial reports has been a contemporary discuss in accounting and finance literature as it is capable of helping investors or the users of financial statement to make timely and informed economic decision. Financial statement should portray features like relevance, faithful understandability and timeliness. The reporting quality from literature is seen not to possess the relevant qualities as expected which has become worrisome for investors and stakeholders. The study investigated the effect of audit quality on the financial reporting quality of quoted manufacturing firms listed in Nigeria, employing a survey research design. The population of interest consisted of 250 auditors and accountants, with a sample size of 201 selected using the Taro Yamane Formula and purposive sampling. Data were gathered through a well-structured questionnaire and analyzed using both descriptive and inferential statistics. Findings revealed that audit quality had a significant impact on the relevance of financial reports (Adj. R² = 0.766; F = 99.565; p = 0.00) and also notably influenced the faithful representation of financial reports (Adj. R² = 0.598; F = 47.930; p = 0.00). The study concluded that audit quality plays a critical role in enhancing the financial reporting quality of listed manufacturing firms in Nigeria. The study recommended that management should prioritize the presentation of financial reports to improve their relevance to users. Keywords: Audit Quality, Financial Reporting, Financial Statement, Faithful Representation, Relevance, Understandability","author":[{"dropping-particle":"","family":"Oludare","given":"Israel","non-dropping-particle":"","parse-names":false,"suffix":""},{"dropping-particle":"","family":"Adedapo","given":"Kenny","non-dropping-particle":"","parse-names":false,"suffix":""},{"dropping-particle":"","family":"Ebenezer","given":"Mayowa","non-dropping-particle":"","parse-names":false,"suffix":""}],"container-title":"NIU Journal of Humanities","id":"ITEM-3","issue":"1","issued":{"date-parts":[["2025"]]},"page":"89-104","title":"Audit quality and financial reporting Quality of quoted manufacturing firms in Nigeria","type":"article-journal","volume":"10"},"uris":["http://www.mendeley.com/documents/?uuid=430a3288-ac63-4bc1-96e6-c1022979259f"]}],"mendeley":{"formattedCitation":"(Narayanaswamy &amp; Raghunandan, 2019; Okechukwu et al., 2019; Oludare et al., 2025)","plainTextFormattedCitation":"(Narayanaswamy &amp; Raghunandan, 2019; Okechukwu et al., 2019; Oludare et al., 2025)","previouslyFormattedCitation":"(Narayanaswamy &amp; Raghunandan, 2019; Okechukwu et al., 2019; Oludare et al., 2025)"},"properties":{"noteIndex":0},"schema":"https://github.com/citation-style-language/schema/raw/master/csl-citation.json"}</w:instrText>
      </w:r>
      <w:r w:rsidR="00C30A83" w:rsidRPr="00EB2675">
        <w:rPr>
          <w:rFonts w:ascii="Times New Roman" w:hAnsi="Times New Roman"/>
          <w:b/>
          <w:bCs/>
        </w:rPr>
        <w:fldChar w:fldCharType="separate"/>
      </w:r>
      <w:r w:rsidR="00C30A83" w:rsidRPr="00EB2675">
        <w:rPr>
          <w:rFonts w:ascii="Times New Roman" w:hAnsi="Times New Roman"/>
          <w:bCs/>
          <w:noProof/>
        </w:rPr>
        <w:t>(Narayanaswamy &amp; Raghunandan, 2019; Okechukwu et al., 2019; Oludare et al., 2025)</w:t>
      </w:r>
      <w:r w:rsidR="00C30A83" w:rsidRPr="00EB2675">
        <w:rPr>
          <w:rFonts w:ascii="Times New Roman" w:hAnsi="Times New Roman"/>
          <w:b/>
          <w:bCs/>
        </w:rPr>
        <w:fldChar w:fldCharType="end"/>
      </w:r>
      <w:r w:rsidRPr="00EB2675">
        <w:rPr>
          <w:rFonts w:ascii="Times New Roman" w:hAnsi="Times New Roman"/>
          <w:b/>
          <w:bCs/>
        </w:rPr>
        <w:t>.</w:t>
      </w:r>
    </w:p>
    <w:p w14:paraId="003D2889" w14:textId="77777777" w:rsidR="004E53B9" w:rsidRPr="00EB2675" w:rsidRDefault="00C76947">
      <w:pPr>
        <w:spacing w:after="160" w:line="259" w:lineRule="auto"/>
        <w:jc w:val="both"/>
        <w:rPr>
          <w:rFonts w:ascii="Times New Roman" w:hAnsi="Times New Roman"/>
        </w:rPr>
      </w:pPr>
      <w:r w:rsidRPr="00EB2675">
        <w:rPr>
          <w:rFonts w:ascii="Times New Roman" w:hAnsi="Times New Roman"/>
        </w:rPr>
        <w:t xml:space="preserve">Conceptually, three audit firm characteristics which are Auditor Independence (AFI), Audit Fees (AFE), and Audit Partner Rotation (APR) have emerged as critical determinants of audit quality. Auditor independence represents the ethical foundation of audit </w:t>
      </w:r>
      <w:r w:rsidRPr="00EB2675">
        <w:rPr>
          <w:rFonts w:ascii="Times New Roman" w:hAnsi="Times New Roman"/>
        </w:rPr>
        <w:t xml:space="preserve">credibility, enabling auditors to exercise professional </w:t>
      </w:r>
      <w:proofErr w:type="spellStart"/>
      <w:r w:rsidRPr="00EB2675">
        <w:rPr>
          <w:rFonts w:ascii="Times New Roman" w:hAnsi="Times New Roman"/>
        </w:rPr>
        <w:t>scepticism</w:t>
      </w:r>
      <w:proofErr w:type="spellEnd"/>
      <w:r w:rsidRPr="00EB2675">
        <w:rPr>
          <w:rFonts w:ascii="Times New Roman" w:hAnsi="Times New Roman"/>
        </w:rPr>
        <w:t xml:space="preserve"> and resist management influence, thereby reinforcing objectivity and deterring opportunistic earnings management </w:t>
      </w:r>
      <w:r w:rsidR="00C012C7" w:rsidRPr="00EB2675">
        <w:rPr>
          <w:rFonts w:ascii="Times New Roman" w:hAnsi="Times New Roman"/>
        </w:rPr>
        <w:fldChar w:fldCharType="begin" w:fldLock="1"/>
      </w:r>
      <w:r w:rsidR="006C0394" w:rsidRPr="00EB2675">
        <w:rPr>
          <w:rFonts w:ascii="Times New Roman" w:hAnsi="Times New Roman"/>
        </w:rPr>
        <w:instrText>ADDIN CSL_CITATION {"citationItems":[{"id":"ITEM-1","itemData":{"abstract":"This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Studies","id":"ITEM-1","issue":"2","issued":{"date-parts":[["2024"]]},"page":"207-221","title":"Audit committee and earnings management of listed consumer goods companies in Nigeria : Moderating effect of auditor size","type":"article-journal","volume":"03"},"uris":["http://www.mendeley.com/documents/?uuid=ba5d49c8-c091-43fd-92d1-c1e7dce84163"]},{"id":"ITEM-2","itemData":{"DOI":"10.37231/apj.2021.4.1.254","abstract":"This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(APJ)","id":"ITEM-2","issue":"1","issued":{"date-parts":[["2021"]]},"page":"84-92","title":"Audit committee attributes and real earnings management in Nigeria","type":"article-journal","volume":"4"},"uris":["http://www.mendeley.com/documents/?uuid=a4d35ae8-9ce2-4404-9300-969591466ce7"]},{"id":"ITEM-3","itemData":{"DOI":"10.2139/ssrn.3360256","abstract":"In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Journal","id":"ITEM-3","issue":"March","issued":{"date-parts":[["2019"]]},"page":"1-31","title":"The effect of mandatory audit firm rotation on audit quality, audit fees and audit market concentration: Evidence from India","type":"article-journal"},"uris":["http://www.mendeley.com/documents/?uuid=7bd6e51e-89d2-44b8-9de0-59ade9a3033a"]}],"mendeley":{"formattedCitation":"(Ahmad et al., 2021; Lazarus et al., 2024; Narayanaswamy &amp; Raghunandan, 2019)","plainTextFormattedCitation":"(Ahmad et al., 2021; Lazarus et al., 2024; Narayanaswamy &amp; Raghunandan, 2019)","previouslyFormattedCitation":"(Ahmad et al., 2021; Lazarus et al., 2024; Narayanaswamy &amp; Raghunandan, 2019)"},"properties":{"noteIndex":0},"schema":"https://github.com/citation-style-language/schema/raw/master/csl-citation.json"}</w:instrText>
      </w:r>
      <w:r w:rsidR="00C012C7" w:rsidRPr="00EB2675">
        <w:rPr>
          <w:rFonts w:ascii="Times New Roman" w:hAnsi="Times New Roman"/>
        </w:rPr>
        <w:fldChar w:fldCharType="separate"/>
      </w:r>
      <w:r w:rsidR="00C012C7" w:rsidRPr="00EB2675">
        <w:rPr>
          <w:rFonts w:ascii="Times New Roman" w:hAnsi="Times New Roman"/>
          <w:noProof/>
        </w:rPr>
        <w:t>(Ahmad et al., 2021; Lazarus et al., 2024; Narayanaswamy &amp; Raghunandan, 2019)</w:t>
      </w:r>
      <w:r w:rsidR="00C012C7" w:rsidRPr="00EB2675">
        <w:rPr>
          <w:rFonts w:ascii="Times New Roman" w:hAnsi="Times New Roman"/>
        </w:rPr>
        <w:fldChar w:fldCharType="end"/>
      </w:r>
      <w:r w:rsidR="00C012C7" w:rsidRPr="00EB2675">
        <w:rPr>
          <w:rFonts w:ascii="Times New Roman" w:hAnsi="Times New Roman"/>
        </w:rPr>
        <w:t>.</w:t>
      </w:r>
      <w:r w:rsidRPr="00EB2675">
        <w:rPr>
          <w:rFonts w:ascii="Times New Roman" w:hAnsi="Times New Roman"/>
        </w:rPr>
        <w:t xml:space="preserve"> Audit fees introduce a dual-edged relationship between economic dependence and professional diligence: while reasonable fees reflect adequate resource allocation and audit effort, excessive dependence on clie</w:t>
      </w:r>
      <w:r w:rsidRPr="00EB2675">
        <w:rPr>
          <w:rFonts w:ascii="Times New Roman" w:hAnsi="Times New Roman"/>
        </w:rPr>
        <w:t>nt fees may compromise objectivity</w:t>
      </w:r>
      <w:r w:rsidR="006C0394" w:rsidRPr="00EB2675">
        <w:rPr>
          <w:rFonts w:ascii="Times New Roman" w:hAnsi="Times New Roman"/>
        </w:rPr>
        <w:t xml:space="preserve"> </w:t>
      </w:r>
      <w:r w:rsidR="006C0394" w:rsidRPr="00EB2675">
        <w:rPr>
          <w:rFonts w:ascii="Times New Roman" w:hAnsi="Times New Roman"/>
        </w:rPr>
        <w:fldChar w:fldCharType="begin" w:fldLock="1"/>
      </w:r>
      <w:r w:rsidR="0018490A" w:rsidRPr="00EB2675">
        <w:rPr>
          <w:rFonts w:ascii="Times New Roman" w:hAnsi="Times New Roman"/>
        </w:rPr>
        <w:instrText>ADDIN CSL_CITATION {"citationItems":[{"id":"ITEM-1","itemData":{"DOI":"10.1007/s11573-025-01222-1","ISBN":"0123456789","ISSN":"18618928","abstract":"The study investigates the effect of the 2016 EU Audit Reform on audit fees and audit quality in Austria. The reform aimed to enhance audit quality through increased auditor independence and market competition. This study replicates and extends the analysis by Willekens et al. (2019), focusing on the Austrian market and covering a longer period: 2010–2022. The findings indicate that the reform led to a slight decrease in market concentration and a more even distribution of market shares among the Big4 audit firms. The number of auditors in the public interest entities (PIEs) market, however, decreased. Contrary to the trend in the EU identified by Willekens et al. (2019), we observed a significant negative effect of the audit reform indicator on audit fees in Austria following the reform. This is likely due to high competition and specific market conditions. Overall, we found a negative effect of the reform dummy, but the results for the individual reform measures were mixed. Using proxies, such as discretionary accruals and restatements, the study found mixed results regarding the reform’s effect on audit quality. The introduction of a fee cap for non-audit services led to a reduction in these fees, potentially enhancing auditor independence. The study highlights the unique characteristics of the Austrian audit market and suggests that the aims of the EU Audit Reform were partially met in Austria.","author":[{"dropping-particle":"","family":"Graschitz","given":"Sabine","non-dropping-particle":"","parse-names":false,"suffix":""},{"dropping-particle":"","family":"Steller","given":"Marcel","non-dropping-particle":"","parse-names":false,"suffix":""}],"container-title":"Journal of Business Economics","id":"ITEM-1","issue":"2","issued":{"date-parts":[["2025"]]},"number-of-pages":"295-332","publisher":"Springer Berlin Heidelberg","title":"Audit fees and audit quality in Austria—a replicatory study in the wake of the EU audit reform","type":"book","volume":"95"},"uris":["http://www.mendeley.com/documents/?uuid=77e80563-8349-4fd2-aeb0-660a898662a2"]},{"id":"ITEM-2","itemData":{"DOI":"10.59141/jiss.v4i10.899","ISSN":"2723-6692","abstract":"Various kinds of research on audit quality have been conducted and audit fees are one of the factors that affect the high and low quality of audits. In this correlation method meta-analysis study research aims to examine the relationship between audit fees and audit quality. In this study, the author conducted a review involving 37 study journals related to audit fees and audit quality in the last 5 years that have been filtered with certain eligibility criteria. The results of this study showed a correlation of 0.259 which was included in the low category and z value = 5.581; p &lt; .001 ; 95% CI [0.168; 0.350] which means that there is a significant positive correlation between audit fees and overall audit quality from the 37 studies in the meta-analysis. So that the relationship between audit fees and audit quality is significant positive but is in the low category. These results indicate that audit fees are less directly correlated with audit quality because they have a small effect size. This indicates that there are other variables that have a greater correlation value than the audit fee. And the results of the publication bias test stated that there was no publication bias problem in the meta-analysis study.","author":[{"dropping-particle":"","family":"Rezky Alyani","given":"Putri Dinda","non-dropping-particle":"","parse-names":false,"suffix":""}],"container-title":"Jurnal Indonesia Sosial Sains","id":"ITEM-2","issue":"10","issued":{"date-parts":[["2023"]]},"page":"982-992","title":"Audit Fee on Audit Quality in Indonesia: A Meta-Analysis Study","type":"article-journal","volume":"4"},"uris":["http://www.mendeley.com/documents/?uuid=eddfb327-eaef-4cc9-8188-d7daed789aa9"]},{"id":"ITEM-3","itemData":{"DOI":"10.24912/ijaeb.v1i4.1912-1922","abstract":"The aim of this study is to obtain empirical evidence regarding the effect of audit fee, audit tenure and firm size on audit quality in finance companies listed on the Indonesia Stock Exchange in 2018 – 2020. This study uses a purposive sampling method with 38 finance companies listed on the Indonesian Stock Exchange. The data in this study were inputted and calculated using the Microsoft Excel program and processed using the EViews 9.0 program. The result of this study indicate that audit fee has a significant negative effect on audit quality while audit tenure has no significant value on audit quality and firm size has a significant positive effect on audit quality.","author":[{"dropping-particle":"","family":"Regina","given":"Michelle","non-dropping-particle":"","parse-names":false,"suffix":""},{"dropping-particle":"","family":"Santioso","given":"Linda","non-dropping-particle":"","parse-names":false,"suffix":""}],"container-title":"International Journal of Application on Economics and Business","id":"ITEM-3","issue":"4","issued":{"date-parts":[["2023"]]},"page":"1912-1922","title":"The effect of audit fee, audit tenure, and firm size on audit quality","type":"article-journal","volume":"1"},"uris":["http://www.mendeley.com/documents/?uuid=049491fa-9c3c-45dd-8ff6-34e6ccb2ff60"]}],"mendeley":{"formattedCitation":"(Graschitz &amp; Steller, 2025; Regina &amp; Santioso, 2023; Rezky Alyani, 2023)","plainTextFormattedCitation":"(Graschitz &amp; Steller, 2025; Regina &amp; Santioso, 2023; Rezky Alyani, 2023)","previouslyFormattedCitation":"(Graschitz &amp; Steller, 2025; Regina &amp; Santioso, 2023; Rezky Alyani, 2023)"},"properties":{"noteIndex":0},"schema":"https://github.com/citation-style-language/schema/raw/master/csl-citation.json"}</w:instrText>
      </w:r>
      <w:r w:rsidR="006C0394" w:rsidRPr="00EB2675">
        <w:rPr>
          <w:rFonts w:ascii="Times New Roman" w:hAnsi="Times New Roman"/>
        </w:rPr>
        <w:fldChar w:fldCharType="separate"/>
      </w:r>
      <w:r w:rsidR="006C0394" w:rsidRPr="00EB2675">
        <w:rPr>
          <w:rFonts w:ascii="Times New Roman" w:hAnsi="Times New Roman"/>
          <w:noProof/>
        </w:rPr>
        <w:t>(Graschitz &amp; Steller, 2025; Regina &amp; Santioso, 2023; Rezky Alyani, 2023)</w:t>
      </w:r>
      <w:r w:rsidR="006C0394"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t>
      </w:r>
    </w:p>
    <w:p w14:paraId="4548C5C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Meanwhile, Audit Partner Rotation (APR) a regulatory mechanism designed to mitigate the familiarity threat enhances audit objectivity by introducing new perspectives and curbing the entrenchment</w:t>
      </w:r>
      <w:r w:rsidRPr="00EB2675">
        <w:rPr>
          <w:rFonts w:ascii="Times New Roman" w:hAnsi="Times New Roman"/>
        </w:rPr>
        <w:t xml:space="preserve"> of long-term client relationships</w:t>
      </w:r>
      <w:r w:rsidR="0018490A" w:rsidRPr="00EB2675">
        <w:rPr>
          <w:rFonts w:ascii="Times New Roman" w:hAnsi="Times New Roman"/>
        </w:rPr>
        <w:t xml:space="preserve"> </w:t>
      </w:r>
      <w:r w:rsidR="0018490A" w:rsidRPr="00EB2675">
        <w:rPr>
          <w:rFonts w:ascii="Times New Roman" w:hAnsi="Times New Roman"/>
        </w:rPr>
        <w:fldChar w:fldCharType="begin" w:fldLock="1"/>
      </w:r>
      <w:r w:rsidR="004E53B9" w:rsidRPr="00EB2675">
        <w:rPr>
          <w:rFonts w:ascii="Times New Roman" w:hAnsi="Times New Roman"/>
        </w:rPr>
        <w:instrText>ADDIN CSL_CITATION {"citationItems":[{"id":"ITEM-1","itemData":{"DOI":"10.18488/73.v10i4.3115","ISSN":"23124318","abstract":"Improved audit quality is needed to increase investor's confidence in a company's financial statements. Competence and independence are requirements to produce a quality audit. This study is a quantitative study that aimed to analyze the effect of audit tenure, time budget pressure, firm size, and auditor specialization on audit quality. The population and data in this study comprised banking companies listed in the Indonesia Stock Exchange (IDX) in 2015-2019 and were obtained using the purposive sampling method. Earnings surprise benchmark was used as a measure of audit quality in this study with logistic regression analysis method as the analysis method. The results of the study indicated that audit tenure and time budget pressure did not provide an increase in audit quality. While the size of the company had an effect on the decline in audit quality significantly, the auditor specialization greatly improved audit quality. The implication of this research proves that to maintain audit quality, auditors must always maintain and improve their professional qualifications and plan more mature audits on audit work in larger companies.","author":[{"dropping-particle":"","family":"Handoyo","given":"Sigit","non-dropping-particle":"","parse-names":false,"suffix":""},{"dropping-particle":"","family":"Putri","given":"Ayu Septiana","non-dropping-particle":"","parse-names":false,"suffix":""}],"container-title":"Humanities and Social Sciences Letters","id":"ITEM-1","issue":"4","issued":{"date-parts":[["2022"]]},"page":"463-481","title":"Factors Influencing Audit Quality of Banking Business Sector in Indonesia","type":"article-journal","volume":"10"},"uris":["http://www.mendeley.com/documents/?uuid=7e975661-65fd-4d8e-ab8a-efbecbfa81ef"]},{"id":"ITEM-2","itemData":{"author":[{"dropping-particle":"","family":"Alsmairat","given":"Yazan Yaseen","non-dropping-particle":"","parse-names":false,"suffix":""},{"dropping-particle":"","family":"Yusoff","given":"Wan Sallha","non-dropping-particle":"","parse-names":false,"suffix":""},{"dropping-particle":"","family":"Ali","given":"Muhammad Ahmar","non-dropping-particle":"","parse-names":false,"suffix":""}],"container-title":"International Journal of Business and Technopreneurship","id":"ITEM-2","issue":"1","issued":{"date-parts":[["2019"]]},"page":"15-24","title":"The effect of audit tenure and audit firm size on the audit quality : Evidence from Jordanian auditors","type":"article-journal","volume":"9"},"uris":["http://www.mendeley.com/documents/?uuid=d951fd60-9d51-4546-8e9d-0f0a9b3259d8"]},{"id":"ITEM-3","itemData":{"DOI":"10.25103/ijbesar.131.03","ISSN":"24080098","abstract":"Purpose: The mechanism of dual attestation system is to enhance audit quality through bonding legal liability of two signing partners. However, an intense debate regarding the retention or abolition of dual attestation system was discussed in recent years, because the amended Accountant Act have disputes over auditor's legal liabilities attributed to the Bardon and Rebar frauds. This study thus examines the audit quality of dual attestation system by exploring whether auditor locality and auditor tenure can affect audit quality simultaneously. Design/methodology/approach: This study investigates whether auditor locality and auditor tenure can affect audit quality simultaneously, using a regression model to examine my research issues. The sample is restricted to Taiwan's public listed companies of Big Four audit from 2002-2013 because data collection involves significant manual effort in reading individual auditor information of Big Four and searching lead/concurring auditor-client distance of Big Four. Financial data is obtained from Taiwan Economic Journal database (TEJ). Finding: I present evidence that audit quality is affected by auditor locality and auditor tenure, and differential portfolio of auditor locality and auditor tenure have different effects on audit quality under the dual attestation system. Research limitations/implications: This study has three limitations. First, the sample is limited to the clients of PwC, Deloitte, EY and KPMG because the required information for practice offices of lead and concurring auditors is only available for Big 4. Second, although discretionary accruals is a noisy proxy for audit quality and it does not necessarily reflect actual audit quality, it is widely used in the literature to provide rich insights into audit quality. Three, sample size is limited because of insufficient data to compute discretionary accruals. Originality/value: This investigation extends previous research on audit quality by examining the geographic proximity and auditor-client relationship. Furthermore, this study contributes to the debate regarding the retention or abolition of dual attestation system. [ABSTRACT FROM AUTHOR]","author":[{"dropping-particle":"","family":"Wang","given":"Ya-Fang","non-dropping-particle":"","parse-names":false,"suffix":""}],"container-title":"International Journal of Business and Economic Sciences Applied Research","id":"ITEM-3","issue":"1","issued":{"date-parts":[["2020"]]},"page":"21-28","title":"New Insights on Audit Quality","type":"article-journal","volume":"13"},"uris":["http://www.mendeley.com/documents/?uuid=2a2193f4-74d4-4c84-8791-54eadfb65bbc"]},{"id":"ITEM-4","itemData":{"DOI":"10.24018/ejbmr.2020.5.3.304","abstract":"This study discusses the audit quality measurement issues. The issue becomes important because of difficult will be to define audit quality measurements by many researchers. This research aims to map audit quality measurements with certain aspects and becomes important in making it easier for researchers, especially beginner researchers to choose the approach to audit quality measurement. The type of research is explanatory with a qualitative approach. Data analysis methods doing three steps viz. data reduction, data display, and data verification with data triangulation technique. The findings of this study show that researchers who are interested in measuring audit quality variables should do to mapping first to understand of measurement formats into the audit quality proxies according to the definition of audit quality, derived from proxies used in previous studies, measurement formulation and choose the use of scales. This study is very important considering secondary data usage will look at the measurement scale category to determine the methods and data analysis techniques to be selected as well as the statistical program assistance which can be used.","author":[{"dropping-particle":"","family":"Husain","given":"T.","non-dropping-particle":"","parse-names":false,"suffix":""}],"container-title":"European Journal of Business and Management Research","id":"ITEM-4","issue":"3","issued":{"date-parts":[["2020"]]},"title":"Mapping Evolution of Audit Quality Measurement","type":"article-journal","volume":"5"},"uris":["http://www.mendeley.com/documents/?uuid=c5ee2f11-18c9-47eb-ba02-655b0a4e7b4e"]}],"mendeley":{"formattedCitation":"(Alsmairat et al., 2019; Handoyo &amp; Putri, 2022; Husain, 2020; Wang, 2020)","plainTextFormattedCitation":"(Alsmairat et al., 2019; Handoyo &amp; Putri, 2022; Husain, 2020; Wang, 2020)","previouslyFormattedCitation":"(Alsmairat et al., 2019; Handoyo &amp; Putri, 2022; Husain, 2020; Wang, 2020)"},"properties":{"noteIndex":0},"schema":"https://github.com/citation-style-language/schema/raw/master/csl-citation.json"}</w:instrText>
      </w:r>
      <w:r w:rsidR="0018490A" w:rsidRPr="00EB2675">
        <w:rPr>
          <w:rFonts w:ascii="Times New Roman" w:hAnsi="Times New Roman"/>
        </w:rPr>
        <w:fldChar w:fldCharType="separate"/>
      </w:r>
      <w:r w:rsidR="0018490A" w:rsidRPr="00EB2675">
        <w:rPr>
          <w:rFonts w:ascii="Times New Roman" w:hAnsi="Times New Roman"/>
          <w:noProof/>
        </w:rPr>
        <w:t>(Alsmairat et al., 2019; Handoyo &amp; Putri, 2022; Husain, 2020; Wang, 2020)</w:t>
      </w:r>
      <w:r w:rsidR="0018490A"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N</w:t>
      </w:r>
      <w:r w:rsidRPr="00EB2675">
        <w:rPr>
          <w:rFonts w:ascii="Times New Roman" w:hAnsi="Times New Roman"/>
        </w:rPr>
        <w:t xml:space="preserve">evertheless, the empirical effects of partner rotation on audit quality remain inconsistent, particularly in emerging economies where institutional capacity and regulatory enforcement are weak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{"citationItems":[{"id":"ITEM-1","itemData":{"ISBN":"9789788535614","author":[{"dropping-particle":"","family":"Akpan","given":"Patrick.","non-dropping-particle":"","parse-names":false,"suffix":""},{"dropping-particle":"","family":"Muo","given":"M. C..","non-dropping-particle":"","parse-names":false,"suffix":""},{"dropping-particle":"","family":"Ibenta","given":"Steve N..","non-dropping-particle":"","parse-names":false,"suffix":""}],"container-title":"Faculty of Management Sciences 2019 International Conference Proceedings Nnamdi Azikiwe University, Awka","id":"ITEM-1","issued":{"date-parts":[["2019"]]},"page":"946","title":"Managing Nigeria economic diversification : lessons from other climes","type":"paper-conference"},"uris":["http://www.mendeley.com/documents/?uuid=1f3fd8a3-6d45-4b0f-924d-13a24c17f156"]},{"id":"ITEM-2","itemData":{"DOI":"10.14738/abr.1302.18265","abstract":"The purpose of this research paper was to examine the moderating effect of corporate governance on the relationship between auditor change and financial reporting in Nigeria. The study sample six (6) listed health and pharmaceutical Companies in the Nigerian Exchange Group (NGX) for the period of 2012 to 2023. The data were analysed using descriptive statistics, correlation analysis and least square regression technique. The results shows that auditor rotation exerted a positive and insignificant effect on financial reporting, audit fees exerted a negative and significant effect on financial reporting at 1% level of significance while the moderating effect between auditor rotation and corporate governance on financial reporting was positive and insignificant. The study recommended that relevant stakeholders of health and pharmaceutical companies should ensure that there is frequency of auditor rotation towards improving financial reporting overtime, and management should comply with the corporate governance code of conduct for ensuring quality financial reporting.","author":[{"dropping-particle":"","family":"Kwaghkule","given":"Philip","non-dropping-particle":"","parse-names":false,"suffix":""},{"dropping-particle":"","family":"Jackson-Akhigbe","given":"Beauty E.","non-dropping-particle":"","parse-names":false,"suffix":""},{"dropping-particle":"","family":"Abusomwan","given":"Rachael E.","non-dropping-particle":"","parse-names":false,"suffix":""}],"container-title":"Archives of Business Research","id":"ITEM-2","issue":"02","issued":{"date-parts":[["2025"]]},"page":"01-14","title":"Auditor rotation and financial reporting: A moderating role of corporate governance in Nigeria","type":"article-journal","volume":"13"},"uris":["http://www.mendeley.com/documents/?uuid=0ce26687-7117-4fc4-b749-849e8e6ff018"]}],"mendeley":{"formattedCitation":"(Akpan et al., 2019; Kwaghkule et al., 2025)","plainTextFormattedCitation":"(Akpan et al., 2019; Kwaghkule et al., 2025)","previouslyFormattedCitation":"(Akpan et al., 2019; Kwaghkule et al., 2025)"},"properties":{"noteIndex":0},"schema":"https://github.com/citation-style-language/schema/raw/master/csl-citation.json"}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(Akpan et al., 2019; Kwaghkule et al., 2025)</w:t>
      </w:r>
      <w:r w:rsidR="004E53B9" w:rsidRPr="00EB2675">
        <w:rPr>
          <w:rFonts w:ascii="Times New Roman" w:hAnsi="Times New Roman"/>
        </w:rPr>
        <w:fldChar w:fldCharType="end"/>
      </w:r>
      <w:r w:rsidRPr="00EB2675">
        <w:rPr>
          <w:rFonts w:ascii="Times New Roman" w:hAnsi="Times New Roman"/>
          <w:b/>
          <w:bCs/>
        </w:rPr>
        <w:t>.</w:t>
      </w:r>
    </w:p>
    <w:p w14:paraId="13D8D52A" w14:textId="77777777"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rPr>
        <w:t>From a theoretical perspective, both Agency Theory</w:t>
      </w:r>
      <w:r w:rsidR="004E53B9" w:rsidRPr="00EB2675">
        <w:rPr>
          <w:rFonts w:ascii="Times New Roman" w:hAnsi="Times New Roman"/>
        </w:rPr>
        <w:t xml:space="preserve">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1976)","plainTextFormattedCitation":"(Jensen &amp; Meckling, 1976)","previouslyFormattedCitation":"(Jensen &amp; Meckling, 1976)"},"properties":{"noteIndex":0},"schema":"https://github.com/citation-style-language/schema/raw/master/csl-citation.json"}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(Jensen &amp; Meckling, 1976)</w:t>
      </w:r>
      <w:r w:rsidR="004E53B9" w:rsidRPr="00EB2675">
        <w:rPr>
          <w:rFonts w:ascii="Times New Roman" w:hAnsi="Times New Roman"/>
        </w:rPr>
        <w:fldChar w:fldCharType="end"/>
      </w:r>
      <w:r w:rsidRPr="00EB2675">
        <w:rPr>
          <w:rFonts w:ascii="Times New Roman" w:hAnsi="Times New Roman"/>
        </w:rPr>
        <w:t xml:space="preserve"> and Stakeholder Theory </w:t>
      </w:r>
      <w:r w:rsidR="004E53B9" w:rsidRPr="00EB2675">
        <w:rPr>
          <w:rFonts w:ascii="Times New Roman" w:hAnsi="Times New Roman"/>
        </w:rPr>
        <w:fldChar w:fldCharType="begin" w:fldLock="1"/>
      </w:r>
      <w:r w:rsidR="009C3EA1" w:rsidRPr="00EB2675">
        <w:rPr>
          <w:rFonts w:ascii="Times New Roman" w:hAnsi="Times New Roman"/>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1984)","plainTextFormattedCitation":"(Freeman, 1984)","previouslyFormattedCitation":"(Freeman, 1984)"},"properties":{"noteIndex":0},"schema":"https://github.com/citation-style-language/schema/raw/master/csl-citation.json"}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(Freeman, 1984)</w:t>
      </w:r>
      <w:r w:rsidR="004E53B9" w:rsidRPr="00EB2675">
        <w:rPr>
          <w:rFonts w:ascii="Times New Roman" w:hAnsi="Times New Roman"/>
        </w:rPr>
        <w:fldChar w:fldCharType="end"/>
      </w:r>
      <w:r w:rsidRPr="00EB2675">
        <w:rPr>
          <w:rFonts w:ascii="Times New Roman" w:hAnsi="Times New Roman"/>
        </w:rPr>
        <w:t xml:space="preserve"> provide conceptual anchors for understanding how these characteristics shape audit outcomes. Agency Theor</w:t>
      </w:r>
      <w:r w:rsidRPr="00EB2675">
        <w:rPr>
          <w:rFonts w:ascii="Times New Roman" w:hAnsi="Times New Roman"/>
        </w:rPr>
        <w:t xml:space="preserve">y posits that independent auditing serves as a governance mechanism to align managerial actions with shareholders’ interests, reducing the scope for opportunistic </w:t>
      </w:r>
      <w:proofErr w:type="spellStart"/>
      <w:r w:rsidRPr="00EB2675">
        <w:rPr>
          <w:rFonts w:ascii="Times New Roman" w:hAnsi="Times New Roman"/>
        </w:rPr>
        <w:t>behaviour</w:t>
      </w:r>
      <w:proofErr w:type="spellEnd"/>
      <w:r w:rsidRPr="00EB2675">
        <w:rPr>
          <w:rFonts w:ascii="Times New Roman" w:hAnsi="Times New Roman"/>
        </w:rPr>
        <w:t xml:space="preserve">. Audit independence, fair remuneration, and periodic partner rotation collectively </w:t>
      </w:r>
      <w:r w:rsidRPr="00EB2675">
        <w:rPr>
          <w:rFonts w:ascii="Times New Roman" w:hAnsi="Times New Roman"/>
        </w:rPr>
        <w:t xml:space="preserve">strengthen the monitoring function of the audit process. Conversely, Stakeholder Theory extends the accountability horizon by </w:t>
      </w:r>
      <w:proofErr w:type="spellStart"/>
      <w:r w:rsidRPr="00EB2675">
        <w:rPr>
          <w:rFonts w:ascii="Times New Roman" w:hAnsi="Times New Roman"/>
        </w:rPr>
        <w:t>recognising</w:t>
      </w:r>
      <w:proofErr w:type="spellEnd"/>
      <w:r w:rsidRPr="00EB2675">
        <w:rPr>
          <w:rFonts w:ascii="Times New Roman" w:hAnsi="Times New Roman"/>
        </w:rPr>
        <w:t xml:space="preserve"> that the benefits of audit quality transcend shareholders to include regulators, creditors, employees, and the wider s</w:t>
      </w:r>
      <w:r w:rsidRPr="00EB2675">
        <w:rPr>
          <w:rFonts w:ascii="Times New Roman" w:hAnsi="Times New Roman"/>
        </w:rPr>
        <w:t>ociety</w:t>
      </w:r>
      <w:r w:rsidR="009C3EA1" w:rsidRPr="00EB2675">
        <w:rPr>
          <w:rFonts w:ascii="Times New Roman" w:hAnsi="Times New Roman"/>
        </w:rPr>
        <w:t xml:space="preserve"> </w:t>
      </w:r>
      <w:r w:rsidR="009C3EA1" w:rsidRPr="00EB2675">
        <w:rPr>
          <w:rFonts w:ascii="Times New Roman" w:hAnsi="Times New Roman"/>
        </w:rPr>
        <w:fldChar w:fldCharType="begin" w:fldLock="1"/>
      </w:r>
      <w:r w:rsidR="009C3EA1" w:rsidRPr="00EB2675">
        <w:rPr>
          <w:rFonts w:ascii="Times New Roman" w:hAnsi="Times New Roman"/>
        </w:rPr>
        <w:instrText>ADDIN CSL_CITATION {"citationItems":[{"id":"ITEM-1","itemData":{"DOI":"10.58661/ijsse.v4i1.237","ISSN":"2790-7716","abstract":"This study attempts to examine the dimensions of public audit in the context of audit quality to investigate the association in public sector. SPSS model starts with likert scales consisting of five dimensional structures: trust and confidence, integrity and credibility, independence and impartiality, conflict of interest and professional secrecy &amp; competence and objectivity to measure audit quality. 251 auditors are the respondents of Pakistan Military Accounts Department (PMAD) varying different demographics. The majority of the auditors were satisﬁed with the values and principle set up by DAGP regarding code of ethics for public auditors in line with the INTOSAI Code of ethics and auditing standards. The ﬁndings suggest that the standard model of public audit dimensions consist of the five dimensions and provides good determinants of satisfaction. Trust and confidence, Integrity and credibility, independence and impartiality and competence and objectivity have significant influence on audit quality and showing positive association while conflicts of interest and professional secrecy is the only variable is insignificant and negative association.","author":[{"dropping-particle":"","family":"Ahmed","given":"Mansoor","non-dropping-particle":"","parse-names":false,"suffix":""},{"dropping-particle":"","family":"Sajjad","given":"Faiza","non-dropping-particle":"","parse-names":false,"suffix":""},{"dropping-particle":"","family":"Fahim Qazi","given":"","non-dropping-particle":"","parse-names":false,"suffix":""},{"dropping-particle":"","family":"Raza","given":"Hasan","non-dropping-particle":"","parse-names":false,"suffix":""},{"dropping-particle":"","family":"Mubeen","given":"Muhammad","non-dropping-particle":"","parse-names":false,"suffix":""}],"container-title":"International Journal of Social Science &amp; Entrepreneurship","id":"ITEM-1","issue":"1","issued":{"date-parts":[["2024"]]},"page":"57-70","title":"Nexus between Public Audit Dimensions and Audit Quality","type":"article-journal","volume":"4"},"uris":["http://www.mendeley.com/documents/?uuid=b374a188-d56a-44f1-822e-53fc3a2b20d2"]},{"id":"ITEM-2","itemData":{"DOI":"10.37394/232018.2023.11.40","ISSN":"24151521","abstract":"Ensuring audit quality is crucial for many parties, including businesses, investors, shareholders, and researchers, who want to focus more on how auditors' input factors affect the quality of their work. The main objective of this study is to analyse the factors affecting the auditor's independence, ethics, and competence in audit quality, with the auditor's integrity as a mediator. The primary data was collected from questionnaires distributed to external auditors in the Sultanate of Oman's private sector with 236 respondents. A Smart-PLS (Partial Least Square) is used to analyse the data. The findings show that the auditor's independence, ethics, and competence significantly impact the audit quality. In addition, the result indicates that the auditor's independence with auditors' integrity as a mediator has a significant impact on audit quality, the auditor's ethics with auditors' integrity as a mediator has a significant effect on audit quality, and the auditors' competence with auditor's integrity as a mediator has a significant impact on audit quality.","author":[{"dropping-particle":"","family":"Hubais","given":"Abdullah Said Ahmed","non-dropping-particle":"","parse-names":false,"suffix":""},{"dropping-particle":"","family":"Kadir","given":"Mohd Rizuan Abdul","non-dropping-particle":"","parse-names":false,"suffix":""},{"dropping-particle":"","family":"Bilal","given":"Zaroug Osman","non-dropping-particle":"","parse-names":false,"suffix":""}],"container-title":"WSEAS Transactions on Computer Research","id":"ITEM-2","issued":{"date-parts":[["2023"]]},"page":"440-449","title":"The Impact of Auditor's Independence, Ethics, and Competency in Audit Quality: Using Auditor's Integrity as a Mediator in the Sultanate of Oman","type":"article-journal","volume":"11"},"uris":["http://www.mendeley.com/documents/?uuid=7264296a-1184-4e08-b01d-3651eda583d7"]},{"id":"ITEM-3","itemData":{"DOI":"10.55493/5002.v13i11.4861","ISSN":"22226737","abstract":"Audit quality has been one of the most controversial issues in auditing and financial reporting research. The implication of audit quality has become critically significant for accountants and users of accounting information. Some studies have shown that the improvement of audit quality lies with the application of artificial intelligence in audit exercises. This study examines the effect of artificial intelligence on audit quality by employing the survey method, using structured questionnaires administered to practicing accountants and staff of the Big Four accounting firms. The Taro Yamani formula was used to determine the sample size, and a total of 641 questionnaires were retrieved. Cronbach’s alpha was employed to test the reliability and validity alongside the pilot testing conducted. Descriptive statistics and inferential analysis were also used. The results of the descriptive method showed that many of the respondents support the usefulness of artificial intelligence. The regression results revealed that artificial intelligence has a positive effect on audit quality. Based on the results, it is recommended that managers and accountants in private, corporate, and accounting firms should embrace the application of artificial intelligence due to its economic value and helpful effect of improving audit quality in terms of accuracy, reliability, and timely financial reporting.","author":[{"dropping-particle":"","family":"Adeoye","given":"Isaiah Oluwasegun","non-dropping-particle":"","parse-names":false,"suffix":""},{"dropping-particle":"","family":"Akintoye","given":"Rufus Ishola","non-dropping-particle":"","parse-names":false,"suffix":""},{"dropping-particle":"","family":"Theophilus","given":"Anaekenwa Aguguom","non-dropping-particle":"","parse-names":false,"suffix":""},{"dropping-particle":"","family":"Olagunju","given":"Olubusola Ayoola","non-dropping-particle":"","parse-names":false,"suffix":""}],"container-title":"Asian Economic and Financial Review","id":"ITEM-3","issue":"11","issued":{"date-parts":[["2023"]]},"page":"756-772","title":"Artificial intelligence and audit quality: Implications for practicing accountants","type":"article-journal","volume":"13"},"uris":["http://www.mendeley.com/documents/?uuid=f960b412-d7bd-4242-bc06-8edc25796fb7"]},{"id":"ITEM-4","itemData":{"DOI":"10.1002/csr.1888","ISSN":"15353966","abstract":"This study primarily purposes to empirically examine the impact of stakeholder engagement mechanism in the form of professional shareholders on the corporate social responsibility (hereafter CSR) disclosure and how the previous nexus is shaped and moderated by the level of board independence within a dynamic framework. An agency theory framework is adopted to understand the extent to which professional shareholders, such as government, institutional, and foreign, influence the firm's CSR reporting. To the best of our knowledge, most of the prior studies in the CSR field have not yet provided a profound analysis of the moderating effect of board independence on the relationship between ownership structure and CSR disclosure. Hence, working on this sensitive issue merits our attention and deserves our recognition. Due to endogeneity bias, our reported results vary in their significance level across the three econometric models: pooled ordinary least square, fixed effects, and two-step system generalized method of moments. The findings unveiled that the effect of government, institutional, and foreign investors on CSR disclosure is more positive under conditions of the high level of board independence. The study sheds new light onto the paradoxical empirical findings of the prior research that has tried to link ownership structure to CSR disclosure directly by analyzing the significant role of independent directors on the aforementioned nexus. Further, this study pays rigorous attention to provide multidimensional insights for responsible parties to support the notion of stakeholder engagement mechanism beyond the current boundaries.","author":[{"dropping-particle":"","family":"Zaid","given":"Mohammad A.A.","non-dropping-particle":"","parse-names":false,"suffix":""},{"dropping-particle":"","family":"Abuhijleh","given":"Sara T.F.","non-dropping-particle":"","parse-names":false,"suffix":""},{"dropping-particle":"","family":"Pucheta-Martínez","given":"María Consuelo","non-dropping-particle":"","parse-names":false,"suffix":""}],"container-title":"Corporate Social Responsibility and Environmental Management","id":"ITEM-4","issue":"3","issued":{"date-parts":[["2020"]]},"page":"1344-1360","title":"Ownership structure, stakeholder engagement, and corporate social responsibility policies: The moderating effect of board independence","type":"article-journal","volume":"27"},"uris":["http://www.mendeley.com/documents/?uuid=0ece6d4c-e62e-42ef-b566-1892b9a073d0"]},{"id":"ITEM-5","itemData":{"DOI":"10.1002/csr.1793","ISSN":"15353966","abstract":"This paper aims to examine two closely related issues: first, the effect of the presence of female directors on boards on corporate social responsibility disclosure, focusing on the necessary critical mass of this minority group, and, second, the moderation of the human capital of board members—their background, skills, and experience—that could favor the intrinsic female directors' characteristics through the cognitive effect of equal board members. For an international sample of 9,744 firm-year observations from 2007 to 2016, different panel data regressions are proposed. The findings of this study reveal a positive impact of gender board diversity on voluntary socially responsible disclosure by examining the presence of at least three women on the board—the critical mass. Moreover, the paper reports a greater effect when the board's background, skills, and experience are greater. As a supplemental analysis, the evidence shows that the female role does not remain when women achieve the position of chairperson; that is, female directors adopt a male stereotype regarding voluntary information disclosure when they are also the chairperson of the firm, independently of the human capital of the board members.","author":[{"dropping-particle":"","family":"Amorelli","given":"María Florencia","non-dropping-particle":"","parse-names":false,"suffix":""},{"dropping-particle":"","family":"García-Sánchez","given":"Isabel María","non-dropping-particle":"","parse-names":false,"suffix":""}],"container-title":"Corporate Social Responsibility and Environmental Management","id":"ITEM-5","issue":"1","issued":{"date-parts":[["2020"]]},"page":"204-221","title":"Critical mass of female directors, human capital, and stakeholder engagement by corporate social reporting","type":"article-journal","volume":"27"},"uris":["http://www.mendeley.com/documents/?uuid=ee77a8e8-61b3-47cb-ac9d-6a3d57ccb450"]},{"id":"ITEM-6","itemData":{"author":[{"dropping-particle":"","family":"Donaldson","given":"Thomas","non-dropping-particle":"","parse-names":false,"suffix":""},{"dropping-particle":"","family":"Preston","given":"Lee E.","non-dropping-particle":"","parse-names":false,"suffix":""}],"container-title":"Academic of Management","id":"ITEM-6","issue":"1","issued":{"date-parts":[["1995"]]},"page":"65-91","title":"The stakeholder theory of the corporation : Concepts , evidence and implications.","type":"article-journal","volume":"20"},"uris":["http://www.mendeley.com/documents/?uuid=4881a2f9-085c-477c-8543-c4072a4cb6e5"]},{"id":"ITEM-7","itemData":{"DOI":"10.7176/rjfa/11-12-04","abstract":"… And Voluntary Disclosures Of Environmental Accounting To Company Performance : Evidence From Hospital Industries In Indonesia, Research Journal of Finance and Accounting … The Relationship Betweem Environmental Disclosures and Financial Perfomance of Public Listed …","author":[{"dropping-particle":"","family":"Choiriah","given":"Siti","non-dropping-particle":"","parse-names":false,"suffix":""},{"dropping-particle":"","family":"Ria","given":"Ria","non-dropping-particle":"","parse-names":false,"suffix":""}],"container-title":"Research Journal of Finance and Accounting","id":"ITEM-7","issue":"12","issued":{"date-parts":[["2020"]]},"page":"36-45","title":"The effect of stakeholder power, board gender diversity and human capital on environmental disclosure with board independent as moderation variable","type":"article-journal","volume":"11"},"uris":["http://www.mendeley.com/documents/?uuid=cf9ece10-8ac2-4242-9a71-96e792f3df2b"]}],"mendeley":{"formattedCitation":"(Adeoye et al., 2023; Ahmed et al., 2024; Amorelli &amp; García-Sánchez, 2020; Choiriah &amp; Ria, 2020; Donaldson &amp; Preston, 1995; Hubais et al., 2023; Zaid et al., 2020)","plainTextFormattedCitation":"(Adeoye et al., 2023; Ahmed et al., 2024; Amorelli &amp; García-Sánchez, 2020; Choiriah &amp; Ria, 2020; Donaldson &amp; Preston, 1995; Hubais et al., 2023; Zaid et al., 2020)","previouslyFormattedCitation":"(Adeoye et al., 2023; Ahmed et al., 2024; Amorelli &amp; García-Sánchez, 2020; Choiriah &amp; Ria, 2020; Donaldson &amp; Preston, 1995; Hubais et al., 2023; Zaid et al., 2020)"},"properties":{"noteIndex":0},"schema":"https://github.com/citation-style-language/schema/raw/master/csl-citation.json"}</w:instrText>
      </w:r>
      <w:r w:rsidR="009C3EA1" w:rsidRPr="00EB2675">
        <w:rPr>
          <w:rFonts w:ascii="Times New Roman" w:hAnsi="Times New Roman"/>
        </w:rPr>
        <w:fldChar w:fldCharType="separate"/>
      </w:r>
      <w:r w:rsidR="009C3EA1" w:rsidRPr="00EB2675">
        <w:rPr>
          <w:rFonts w:ascii="Times New Roman" w:hAnsi="Times New Roman"/>
          <w:noProof/>
        </w:rPr>
        <w:t>(Adeoye et al., 2023; Ahmed et al., 2024; Amorelli &amp; García-Sánchez, 2020; Choiriah &amp; Ria, 2020; Donaldson &amp; Preston, 1995; Hubais et al., 2023; Zaid et al., 2020)</w:t>
      </w:r>
      <w:r w:rsidR="009C3EA1" w:rsidRPr="00EB2675">
        <w:rPr>
          <w:rFonts w:ascii="Times New Roman" w:hAnsi="Times New Roman"/>
        </w:rPr>
        <w:fldChar w:fldCharType="end"/>
      </w:r>
      <w:r w:rsidRPr="00EB2675">
        <w:rPr>
          <w:rFonts w:ascii="Times New Roman" w:hAnsi="Times New Roman"/>
          <w:color w:val="FF0000"/>
        </w:rPr>
        <w:t xml:space="preserve">. </w:t>
      </w:r>
      <w:r w:rsidRPr="00EB2675">
        <w:rPr>
          <w:rFonts w:ascii="Times New Roman" w:hAnsi="Times New Roman"/>
          <w:color w:val="000000" w:themeColor="text1"/>
        </w:rPr>
        <w:t xml:space="preserve">High-quality audits thus contribute to Sustainable Development Goal 8 (Decent Work and Economic Growth) by promoting ethical corporate conduct, </w:t>
      </w:r>
      <w:r w:rsidRPr="00EB2675">
        <w:rPr>
          <w:rFonts w:ascii="Times New Roman" w:hAnsi="Times New Roman"/>
          <w:color w:val="000000" w:themeColor="text1"/>
        </w:rPr>
        <w:t>economic resilience, and investor confidence key enablers of sustainable development.</w:t>
      </w:r>
    </w:p>
    <w:p w14:paraId="00767B03" w14:textId="77777777" w:rsidR="00B70BB0" w:rsidRPr="00EB2675" w:rsidRDefault="00C76947">
      <w:pPr>
        <w:spacing w:after="160" w:line="259" w:lineRule="auto"/>
        <w:jc w:val="both"/>
        <w:rPr>
          <w:rFonts w:ascii="Times New Roman" w:hAnsi="Times New Roman"/>
          <w:color w:val="FF0000"/>
        </w:rPr>
      </w:pPr>
      <w:r w:rsidRPr="00EB2675">
        <w:rPr>
          <w:rFonts w:ascii="Times New Roman" w:hAnsi="Times New Roman"/>
        </w:rPr>
        <w:lastRenderedPageBreak/>
        <w:t>Empirically, however, Nigeria’s audit environment reveals a paradox. Regulatory frameworks such as the</w:t>
      </w:r>
      <w:r w:rsidR="00DC15CA" w:rsidRPr="00EB2675">
        <w:rPr>
          <w:rFonts w:ascii="Times New Roman" w:hAnsi="Times New Roman"/>
        </w:rPr>
        <w:t xml:space="preserve"> </w:t>
      </w:r>
      <w:r w:rsidR="00CE1362" w:rsidRPr="00EB2675">
        <w:rPr>
          <w:rFonts w:ascii="Times New Roman" w:hAnsi="Times New Roman"/>
        </w:rPr>
        <w:fldChar w:fldCharType="begin" w:fldLock="1"/>
      </w:r>
      <w:r w:rsidR="00D5380B" w:rsidRPr="00EB2675">
        <w:rPr>
          <w:rFonts w:ascii="Times New Roman" w:hAnsi="Times New Roman"/>
        </w:rPr>
        <w:instrText>ADDIN CSL_CITATION {"citationItems":[{"id":"ITEM-1","itemData":{"author":[{"dropping-particle":"","family":"FRCN","given":"Financial Reporting Council of Nigeria","non-dropping-particle":"","parse-names":false,"suffix":""}],"id":"ITEM-1","issued":{"date-parts":[["2023"]]},"page":"1-13","title":"Financial Reporting Coumcil of Nigeria Act","type":"legislation"},"uris":["http://www.mendeley.com/documents/?uuid=6a4c16f5-13b3-408d-a7c4-a760424c76f2"]}],"mendeley":{"formattedCitation":"(Financial Reporting Coumcil of Nigeria Act, 2023)","manualFormatting":"(Financial Reporting Council of Nigeria (FRCN) Act, 2023)","plainTextFormattedCitation":"(Financial Reporting Coumcil of Nigeria Act, 2023)","previouslyFormattedCitation":"(Financial Reporting Coumcil of Nigeria Act, 2023)"},"properties":{"noteIndex":0},"schema":"https://github.com/citation-style-language/schema/raw/master/csl-citation.json"}</w:instrText>
      </w:r>
      <w:r w:rsidR="00CE1362" w:rsidRPr="00EB2675">
        <w:rPr>
          <w:rFonts w:ascii="Times New Roman" w:hAnsi="Times New Roman"/>
        </w:rPr>
        <w:fldChar w:fldCharType="separate"/>
      </w:r>
      <w:r w:rsidR="00CE1362" w:rsidRPr="00EB2675">
        <w:rPr>
          <w:rFonts w:ascii="Times New Roman" w:hAnsi="Times New Roman"/>
          <w:noProof/>
        </w:rPr>
        <w:t>(Financial Reporting Cou</w:t>
      </w:r>
      <w:r w:rsidR="00811312" w:rsidRPr="00EB2675">
        <w:rPr>
          <w:rFonts w:ascii="Times New Roman" w:hAnsi="Times New Roman"/>
          <w:noProof/>
        </w:rPr>
        <w:t>n</w:t>
      </w:r>
      <w:r w:rsidR="00CE1362" w:rsidRPr="00EB2675">
        <w:rPr>
          <w:rFonts w:ascii="Times New Roman" w:hAnsi="Times New Roman"/>
          <w:noProof/>
        </w:rPr>
        <w:t>cil of Nigeria (FRCN) Act, 2023)</w:t>
      </w:r>
      <w:r w:rsidR="00CE1362" w:rsidRPr="00EB2675">
        <w:rPr>
          <w:rFonts w:ascii="Times New Roman" w:hAnsi="Times New Roman"/>
        </w:rPr>
        <w:fldChar w:fldCharType="end"/>
      </w:r>
      <w:r w:rsidRPr="00EB2675">
        <w:rPr>
          <w:rFonts w:ascii="Times New Roman" w:hAnsi="Times New Roman"/>
        </w:rPr>
        <w:t>and the Nigerian Code of Corporate Governance</w:t>
      </w:r>
      <w:r w:rsidR="00CE1362" w:rsidRPr="00EB2675">
        <w:rPr>
          <w:rFonts w:ascii="Times New Roman" w:hAnsi="Times New Roman"/>
          <w:b/>
          <w:bCs/>
        </w:rPr>
        <w:t xml:space="preserve"> </w:t>
      </w:r>
      <w:r w:rsidRPr="00EB2675">
        <w:rPr>
          <w:rFonts w:ascii="Times New Roman" w:hAnsi="Times New Roman"/>
        </w:rPr>
        <w:t xml:space="preserve"> </w:t>
      </w:r>
      <w:r w:rsidR="009C3EA1" w:rsidRPr="00EB2675">
        <w:rPr>
          <w:rFonts w:ascii="Times New Roman" w:hAnsi="Times New Roman"/>
        </w:rPr>
        <w:fldChar w:fldCharType="begin" w:fldLock="1"/>
      </w:r>
      <w:r w:rsidR="00CE1362" w:rsidRPr="00EB2675">
        <w:rPr>
          <w:rFonts w:ascii="Times New Roman" w:hAnsi="Times New Roman"/>
        </w:rPr>
        <w:instrText>ADDIN CSL_CITATION {"citationItems":[{"id":"ITEM-1","itemData":{"author":[{"dropping-particle":"","family":"Financial Reporting Council of Nigeria","given":"FRCN","non-dropping-particle":"","parse-names":false,"suffix":""}],"container-title":"Author","id":"ITEM-1","issued":{"date-parts":[["2018"]]},"page":"1-55","title":"Nigerian Code of Corporate Governance 2018","type":"article"},"uris":["http://www.mendeley.com/documents/?uuid=0370b4d1-bc99-41b0-990d-0c97cab32407"]}],"mendeley":{"formattedCitation":"(Financial Reporting Council of Nigeria, 2018)","manualFormatting":"(Financial Reporting Council of Nigeria (FRCN), 2018)","plainTextFormattedCitation":"(Financial Reporting Council of Nigeria, 2018)","previouslyFormattedCitation":"(Financial Reporting Council of Nigeria, 2018)"},"properties":{"noteIndex":0},"schema":"https://github.com/citation-style-language/schema/raw/master/csl-citation.json"}</w:instrText>
      </w:r>
      <w:r w:rsidR="009C3EA1" w:rsidRPr="00EB2675">
        <w:rPr>
          <w:rFonts w:ascii="Times New Roman" w:hAnsi="Times New Roman"/>
        </w:rPr>
        <w:fldChar w:fldCharType="separate"/>
      </w:r>
      <w:r w:rsidR="009C3EA1" w:rsidRPr="00EB2675">
        <w:rPr>
          <w:rFonts w:ascii="Times New Roman" w:hAnsi="Times New Roman"/>
          <w:noProof/>
        </w:rPr>
        <w:t>(Financial Reporting Council of Nigeria</w:t>
      </w:r>
      <w:r w:rsidR="00CE1362" w:rsidRPr="00EB2675">
        <w:rPr>
          <w:rFonts w:ascii="Times New Roman" w:hAnsi="Times New Roman"/>
          <w:noProof/>
        </w:rPr>
        <w:t xml:space="preserve"> (FRCN)</w:t>
      </w:r>
      <w:r w:rsidR="009C3EA1" w:rsidRPr="00EB2675">
        <w:rPr>
          <w:rFonts w:ascii="Times New Roman" w:hAnsi="Times New Roman"/>
          <w:noProof/>
        </w:rPr>
        <w:t>, 2018)</w:t>
      </w:r>
      <w:r w:rsidR="009C3EA1" w:rsidRPr="00EB2675">
        <w:rPr>
          <w:rFonts w:ascii="Times New Roman" w:hAnsi="Times New Roman"/>
        </w:rPr>
        <w:fldChar w:fldCharType="end"/>
      </w:r>
      <w:r w:rsidR="009C3EA1" w:rsidRPr="00EB2675">
        <w:rPr>
          <w:rFonts w:ascii="Times New Roman" w:hAnsi="Times New Roman"/>
        </w:rPr>
        <w:t xml:space="preserve"> </w:t>
      </w:r>
      <w:r w:rsidRPr="00EB2675">
        <w:rPr>
          <w:rFonts w:ascii="Times New Roman" w:hAnsi="Times New Roman"/>
        </w:rPr>
        <w:t>prescribe mechanisms to ensure auditor independence and quality oversight, yet</w:t>
      </w:r>
      <w:r w:rsidRPr="00EB2675">
        <w:rPr>
          <w:rFonts w:ascii="Times New Roman" w:hAnsi="Times New Roman"/>
        </w:rPr>
        <w:t xml:space="preserve"> enforcement remains inconsistent and often reactive. Prior studies have reported mixed and sometimes contradictory </w:t>
      </w:r>
      <w:r w:rsidRPr="00EB2675">
        <w:rPr>
          <w:rFonts w:ascii="Times New Roman" w:hAnsi="Times New Roman"/>
          <w:color w:val="000000" w:themeColor="text1"/>
        </w:rPr>
        <w:t xml:space="preserve">findings on the </w:t>
      </w:r>
      <w:r w:rsidR="00FE6349" w:rsidRPr="00EB2675">
        <w:rPr>
          <w:rFonts w:ascii="Times New Roman" w:hAnsi="Times New Roman"/>
          <w:color w:val="000000" w:themeColor="text1"/>
        </w:rPr>
        <w:t>relationships between</w:t>
      </w:r>
      <w:r w:rsidRPr="00EB2675">
        <w:rPr>
          <w:rFonts w:ascii="Times New Roman" w:hAnsi="Times New Roman"/>
          <w:color w:val="000000" w:themeColor="text1"/>
        </w:rPr>
        <w:t xml:space="preserve"> auditor independence, audit fees</w:t>
      </w:r>
      <w:r w:rsidR="00D5380B" w:rsidRPr="00EB2675">
        <w:rPr>
          <w:rFonts w:ascii="Times New Roman" w:hAnsi="Times New Roman"/>
          <w:color w:val="000000" w:themeColor="text1"/>
        </w:rPr>
        <w:t xml:space="preserve"> and </w:t>
      </w:r>
      <w:r w:rsidRPr="00EB2675">
        <w:rPr>
          <w:rFonts w:ascii="Times New Roman" w:hAnsi="Times New Roman"/>
          <w:color w:val="000000" w:themeColor="text1"/>
        </w:rPr>
        <w:t>audit partner rotation with audit quality, with some establishing</w:t>
      </w:r>
      <w:r w:rsidRPr="00EB2675">
        <w:rPr>
          <w:rFonts w:ascii="Times New Roman" w:hAnsi="Times New Roman"/>
          <w:color w:val="000000" w:themeColor="text1"/>
        </w:rPr>
        <w:t xml:space="preserve"> positive relationship and others observing negative or statistically insignificant relationships</w:t>
      </w:r>
      <w:r w:rsidR="00AC668A" w:rsidRPr="00EB2675">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{"citationItems":[{"id":"ITEM-1","itemData":{"author":[{"dropping-particle":"","family":"Chandra","given":"Kenny Ardillah Robby","non-dropping-particle":"","parse-names":false,"suffix":""}],"container-title":"Accounting Profession Journal (APAJI)","id":"ITEM-1","issue":"1","issued":{"date-parts":[["2019"]]},"page":"21-35","title":"Auditor Independence, audit ethics, audit experience and due professional care on audit quality","type":"article-journal","volume":"3"},"uris":["http://www.mendeley.com/documents/?uuid=dd205aa2-bf8f-49bd-b1bf-e2ae63aa73d6"]},{"id":"ITEM-2","itemData":{"DOI":"10.47772/IJRISS","abstract":"Successful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(IJRISS)","id":"ITEM-2","issue":"1","issued":{"date-parts":[["2025"]]},"page":"1506-1524","title":"Attributes of auditor’s independence, audit fees and audit quality in listed deposit money banks in Nigeria","type":"article-journal","volume":"IX"},"uris":["http://www.mendeley.com/documents/?uuid=834ef134-2afd-4d7f-b2a7-b282c7ba37cb"]},{"id":"ITEM-3","itemData":{"DOI":"10.32535/ijabim.v6i2.1147","ISSN":"26147432","abstract":"The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Management","id":"ITEM-3","issue":"2","issued":{"date-parts":[["2021"]]},"page":"55-67","title":"The effect of auditor's emotional intelligence, competence, and independence on audit quality","type":"article-journal","volume":"6"},"uris":["http://www.mendeley.com/documents/?uuid=5df1a983-06d3-40d8-b43e-13098b353685"]},{"id":"ITEM-4","itemData":{"ISSN":"1946-052X","abstract":"Citation: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Accounting","id":"ITEM-4","issue":"1","issued":{"date-parts":[["2022"]]},"page":"66-80","title":"Does audit fees and auditor's independence influence audit quality? Evidence from a weak corporate setting","type":"article-journal","volume":"14"},"uris":["http://www.mendeley.com/documents/?uuid=d0ea5fc1-6f2f-43c3-84c1-4612567b50a5"]},{"id":"ITEM-5","itemData":{"ISBN":"9781479978007","author":[{"dropping-particle":"","family":"Abdul-Rahman","given":"Onaolapo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Research","id":"ITEM-5","issue":"1","issued":{"date-parts":[["2017"]]},"page":"6-17","title":"Effect of audit fees on audit quality: Evidence from cement manufacturing companies in Nigeria.","type":"article-journal","volume":"5"},"uris":["http://www.mendeley.com/documents/?uuid=82cd12ae-3424-40e0-a0f4-9e158ca67dfb"]},{"id":"ITEM-6","itemData":{"DOI":"10.17230/ad-minister.38.5","ISSN":"16920279","abstract":"This study examines the association of audit fees with audit quality among a total of 104 and 108 non-financial companies listed on GCC stock markets for the periods preceding and subsequent the event, respectively, over the period 2005–2010. Using OLS regression, the results show that there is a significantly positive association between audit fees and audit quality for the periods preceding and subsequent the new auditor selection. Further, the results of this study contribute to the existing theory and empirical evidence of how the audit fees are associated with audit quality in the periods preceding and subsequent to the new auditor selection. This study offers policy-makers additional evidence to be used for setting up and/or enacting regulations in GCC region regarding issues related to audit fees.","author":[{"dropping-particle":"","family":"Salmen Aljaaidi","given":"Khaled","non-dropping-particle":"","parse-names":false,"suffix":""},{"dropping-particle":"","family":"Abidin","given":"Shamharir","non-dropping-particle":"Bin","parse-names":false,"suffix":""},{"dropping-particle":"","family":"Kamal Hassan","given":"Waddah","non-dropping-particle":"","parse-names":false,"suffix":""}],"container-title":"AD-minister","id":"ITEM-6","issue":"38","issued":{"date-parts":[["2021"]]},"page":"121-159","title":"Audit fees and audit quality: Evidence from GCC region","type":"article-journal"},"uris":["http://www.mendeley.com/documents/?uuid=c5c27f26-9a88-4577-8fbf-da60a6f4c98f"]},{"id":"ITEM-7","itemData":{"DOI":"10.1016/j.bar.2024.101497","author":[{"dropping-particle":"","family":"Schatt","given":"Alain","non-dropping-particle":"","parse-names":false,"suffix":""}],"container-title":"The British accounting review","id":"ITEM-7","issue":"August 2024","issued":{"date-parts":[["2025"]]},"page":"1-17","title":"Female lead auditors , audit fees , and audit quality","type":"article-journal","volume":"57"},"uris":["http://www.mendeley.com/documents/?uuid=17159543-4beb-4747-a0d8-1e71204262d7"]},{"id":"ITEM-8","itemData":{"DOI":"10.2991/978-94-6463-030-5","ISBN":"9789464630305","author":[{"dropping-particle":"","family":"Li","given":"Jingning","non-dropping-particle":"","parse-names":false,"suffix":""}],"container-title":"Beijing Jiaotong University","id":"ITEM-8","issued":{"date-parts":[["2023"]]},"number-of-pages":"1107-1112","publisher":"Atlantis Press International BV","title":"Accounting firm size , abnormal audit fees and audit quality","type":"book"},"uris":["http://www.mendeley.com/documents/?uuid=96f2dbc7-95c4-4a78-b57b-0653d5ef0777"]},{"id":"ITEM-9","itemData":{"ISBN":"2348132850","ISSN":"1118-6828","abstract":"Article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Accountancy","id":"ITEM-9","issue":"1","issued":{"date-parts":[["2019"]]},"page":"1-13","title":"Auditor independence and audit quality: Empirical evidence from quoted oil and gas firms in Nigeria","type":"article-journal","volume":"6"},"uris":["http://www.mendeley.com/documents/?uuid=dc5efee9-f1d7-4f6e-92c7-bc046779b65e"]}],"mendeley":{"formattedCitation":"(Abdul-Rahman et al., 2017; Chandra, 2019; Ime et al., 2025; Li, 2023; Okechukwu et al., 2019; Pinatik, 2021; Salmen Aljaaidi et al., 2021; Schatt, 2025; Yahaya &amp; Onyabe, 2022)","plainTextFormattedCitation":"(Abdul-Rahman et al., 2017; Chandra, 2019; Ime et al., 2025; Li, 2023; Okechukwu et al., 2019; Pinatik, 2021; Salmen Aljaaidi et al., 2021; Schatt, 2025; Yahaya &amp; Onyabe, 2022)","previouslyFormattedCitation":"(Abdul-Rahman et al., 2017; Chandra, 2019; Ime et al., 2025; Li, 2023; Okechukwu et al., 2019; Pinatik, 2021; Salmen Aljaaidi et al., 2021; Schatt, 2025; Yahaya &amp; Onyabe, 2022)"},"properties":{"noteIndex":0},"schema":"https://github.com/citation-style-language/schema/raw/master/csl-citation.json"}</w:instrText>
      </w:r>
      <w:r w:rsidR="00AC668A" w:rsidRPr="00EB2675">
        <w:rPr>
          <w:rFonts w:ascii="Times New Roman" w:hAnsi="Times New Roman"/>
          <w:color w:val="000000" w:themeColor="text1"/>
        </w:rPr>
        <w:fldChar w:fldCharType="separate"/>
      </w:r>
      <w:r w:rsidR="00AC668A" w:rsidRPr="00EB2675">
        <w:rPr>
          <w:rFonts w:ascii="Times New Roman" w:hAnsi="Times New Roman"/>
          <w:noProof/>
          <w:color w:val="000000" w:themeColor="text1"/>
        </w:rPr>
        <w:t>(Abdul-Rahman et al., 2017; Chandra, 2019; Ime et al., 2025; Li, 2023; Okechukwu et al., 2019; Pinatik, 2021; Salmen Aljaaidi et al., 2021; Schatt, 2025; Yahaya &amp; Onyabe, 2022)</w:t>
      </w:r>
      <w:r w:rsidR="00AC668A" w:rsidRPr="00EB2675">
        <w:rPr>
          <w:rFonts w:ascii="Times New Roman" w:hAnsi="Times New Roman"/>
          <w:color w:val="000000" w:themeColor="text1"/>
        </w:rPr>
        <w:fldChar w:fldCharType="end"/>
      </w:r>
      <w:r w:rsidRPr="00EB2675">
        <w:rPr>
          <w:rFonts w:ascii="Times New Roman" w:hAnsi="Times New Roman"/>
          <w:b/>
          <w:bCs/>
          <w:color w:val="000000" w:themeColor="text1"/>
        </w:rPr>
        <w:t>.</w:t>
      </w:r>
      <w:r w:rsidRPr="00EB2675">
        <w:rPr>
          <w:rFonts w:ascii="Times New Roman" w:hAnsi="Times New Roman"/>
          <w:color w:val="000000" w:themeColor="text1"/>
        </w:rPr>
        <w:t xml:space="preserve"> These inconsistencies highlight the contextual complexities of audit governance in emerging markets and underscore the need for a moderating mechanism capable of </w:t>
      </w:r>
      <w:proofErr w:type="spellStart"/>
      <w:r w:rsidRPr="00EB2675">
        <w:rPr>
          <w:rFonts w:ascii="Times New Roman" w:hAnsi="Times New Roman"/>
          <w:color w:val="000000" w:themeColor="text1"/>
        </w:rPr>
        <w:t>stabilising</w:t>
      </w:r>
      <w:proofErr w:type="spellEnd"/>
      <w:r w:rsidRPr="00EB2675">
        <w:rPr>
          <w:rFonts w:ascii="Times New Roman" w:hAnsi="Times New Roman"/>
          <w:color w:val="000000" w:themeColor="text1"/>
        </w:rPr>
        <w:t xml:space="preserve"> these relationships.</w:t>
      </w:r>
    </w:p>
    <w:p w14:paraId="5C59D1E5" w14:textId="77777777"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color w:val="000000" w:themeColor="text1"/>
        </w:rPr>
        <w:t xml:space="preserve">Consequently, the inclusion of Audit Committee Independence </w:t>
      </w:r>
      <w:r w:rsidRPr="00EB2675">
        <w:rPr>
          <w:rFonts w:ascii="Times New Roman" w:hAnsi="Times New Roman"/>
          <w:color w:val="000000" w:themeColor="text1"/>
        </w:rPr>
        <w:t xml:space="preserve">(ACI) in this study is conceptually and empirically justified. ACI serves as a </w:t>
      </w:r>
      <w:r w:rsidR="00AC668A" w:rsidRPr="00EB2675">
        <w:rPr>
          <w:rFonts w:ascii="Times New Roman" w:hAnsi="Times New Roman"/>
          <w:color w:val="000000" w:themeColor="text1"/>
        </w:rPr>
        <w:t xml:space="preserve">critical </w:t>
      </w:r>
      <w:r w:rsidRPr="00EB2675">
        <w:rPr>
          <w:rFonts w:ascii="Times New Roman" w:hAnsi="Times New Roman"/>
          <w:color w:val="000000" w:themeColor="text1"/>
        </w:rPr>
        <w:t>governance moderator that strengthens external auditor independence, enhances oversight credibility, and ensures that audit-related decisions are insulated from manager</w:t>
      </w:r>
      <w:r w:rsidRPr="00EB2675">
        <w:rPr>
          <w:rFonts w:ascii="Times New Roman" w:hAnsi="Times New Roman"/>
          <w:color w:val="000000" w:themeColor="text1"/>
        </w:rPr>
        <w:t xml:space="preserve">ial capture. Recent studies </w:t>
      </w:r>
      <w:r w:rsidR="002C17FC" w:rsidRPr="00EB2675">
        <w:rPr>
          <w:rFonts w:ascii="Times New Roman" w:hAnsi="Times New Roman"/>
          <w:color w:val="000000" w:themeColor="text1"/>
        </w:rPr>
        <w:fldChar w:fldCharType="begin" w:fldLock="1"/>
      </w:r>
      <w:r w:rsidR="005A6E16" w:rsidRPr="00EB2675">
        <w:rPr>
          <w:rFonts w:ascii="Times New Roman" w:hAnsi="Times New Roman"/>
          <w:color w:val="000000" w:themeColor="text1"/>
        </w:rPr>
        <w:instrText>ADDIN CSL_CITATION {"citationItems":[{"id":"ITEM-1","itemData":{"DOI":"10.37231/apj.2021.4.1.254","abstract":"This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(APJ)","id":"ITEM-1","issue":"1","issued":{"date-parts":[["2021"]]},"page":"84-92","title":"Audit committee attributes and real earnings management in Nigeria","type":"article-journal","volume":"4"},"uris":["http://www.mendeley.com/documents/?uuid=a4d35ae8-9ce2-4404-9300-969591466ce7"]},{"id":"ITEM-2","itemData":{"abstract":"This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Studies","id":"ITEM-2","issue":"2","issued":{"date-parts":[["2024"]]},"page":"207-221","title":"Audit committee and earnings management of listed consumer goods companies in Nigeria : Moderating effect of auditor size","type":"article-journal","volume":"03"},"uris":["http://www.mendeley.com/documents/?uuid=ba5d49c8-c091-43fd-92d1-c1e7dce84163"]}],"mendeley":{"formattedCitation":"(Ahmad et al., 2021; Lazarus et al., 2024)","manualFormatting":"(e.g., Ahmad et al., 2021; Lazarus et al., 2024)","plainTextFormattedCitation":"(Ahmad et al., 2021; Lazarus et al., 2024)","previouslyFormattedCitation":"(Ahmad et al., 2021; Lazarus et al., 2024)"},"properties":{"noteIndex":0},"schema":"https://github.com/citation-style-language/schema/raw/master/csl-citation.json"}</w:instrText>
      </w:r>
      <w:r w:rsidR="002C17FC" w:rsidRPr="00EB2675">
        <w:rPr>
          <w:rFonts w:ascii="Times New Roman" w:hAnsi="Times New Roman"/>
          <w:color w:val="000000" w:themeColor="text1"/>
        </w:rPr>
        <w:fldChar w:fldCharType="separate"/>
      </w:r>
      <w:r w:rsidR="002C17FC" w:rsidRPr="00EB2675">
        <w:rPr>
          <w:rFonts w:ascii="Times New Roman" w:hAnsi="Times New Roman"/>
          <w:noProof/>
          <w:color w:val="000000" w:themeColor="text1"/>
        </w:rPr>
        <w:t>(e.g., Ahmad et al., 2021; Lazarus et al., 2024)</w:t>
      </w:r>
      <w:r w:rsidR="002C17FC" w:rsidRPr="00EB2675">
        <w:rPr>
          <w:rFonts w:ascii="Times New Roman" w:hAnsi="Times New Roman"/>
          <w:color w:val="000000" w:themeColor="text1"/>
        </w:rPr>
        <w:fldChar w:fldCharType="end"/>
      </w:r>
      <w:r w:rsidRPr="00EB2675">
        <w:rPr>
          <w:rFonts w:ascii="Times New Roman" w:hAnsi="Times New Roman"/>
          <w:color w:val="000000" w:themeColor="text1"/>
        </w:rPr>
        <w:t>affirm that truly independent audit committees enhance the transparency of auditor–client interactions, mitigate excessive fee dependence, an</w:t>
      </w:r>
      <w:r w:rsidRPr="00EB2675">
        <w:rPr>
          <w:rFonts w:ascii="Times New Roman" w:hAnsi="Times New Roman"/>
          <w:color w:val="000000" w:themeColor="text1"/>
        </w:rPr>
        <w:t>d support periodic partner rotation as a safeguard for professional objectivity. Hence, introducing ACI into the analytical framework provides a robust lens for understanding how internal governance mechanisms complement external audit characteristics to i</w:t>
      </w:r>
      <w:r w:rsidRPr="00EB2675">
        <w:rPr>
          <w:rFonts w:ascii="Times New Roman" w:hAnsi="Times New Roman"/>
          <w:color w:val="000000" w:themeColor="text1"/>
        </w:rPr>
        <w:t>nfluence audit quality outcomes within Nigeria’s evolving corporate landscape.</w:t>
      </w:r>
    </w:p>
    <w:p w14:paraId="7CD613A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Furthermore, the selection of listed non-service companies in Nigeria is</w:t>
      </w:r>
      <w:r w:rsidR="002C17FC" w:rsidRPr="00EB2675">
        <w:rPr>
          <w:rFonts w:ascii="Times New Roman" w:hAnsi="Times New Roman"/>
        </w:rPr>
        <w:t xml:space="preserve"> </w:t>
      </w:r>
      <w:r w:rsidRPr="00EB2675">
        <w:rPr>
          <w:rFonts w:ascii="Times New Roman" w:hAnsi="Times New Roman"/>
        </w:rPr>
        <w:t xml:space="preserve">grounded in both theoretical and empirical reasoning. Non-service </w:t>
      </w:r>
      <w:r w:rsidR="002C17FC" w:rsidRPr="00EB2675">
        <w:rPr>
          <w:rFonts w:ascii="Times New Roman" w:hAnsi="Times New Roman"/>
        </w:rPr>
        <w:t xml:space="preserve">companies </w:t>
      </w:r>
      <w:r w:rsidRPr="00EB2675">
        <w:rPr>
          <w:rFonts w:ascii="Times New Roman" w:hAnsi="Times New Roman"/>
        </w:rPr>
        <w:t>comprising agriculture, cong</w:t>
      </w:r>
      <w:r w:rsidRPr="00EB2675">
        <w:rPr>
          <w:rFonts w:ascii="Times New Roman" w:hAnsi="Times New Roman"/>
        </w:rPr>
        <w:t xml:space="preserve">lomerates, construction/real estate, consumer goods, health care, industrial goods, natural resources and oil and gas are </w:t>
      </w:r>
      <w:proofErr w:type="spellStart"/>
      <w:r w:rsidRPr="00EB2675">
        <w:rPr>
          <w:rFonts w:ascii="Times New Roman" w:hAnsi="Times New Roman"/>
        </w:rPr>
        <w:t>characterised</w:t>
      </w:r>
      <w:proofErr w:type="spellEnd"/>
      <w:r w:rsidRPr="00EB2675">
        <w:rPr>
          <w:rFonts w:ascii="Times New Roman" w:hAnsi="Times New Roman"/>
        </w:rPr>
        <w:t xml:space="preserve"> by high capital intensity, complex inventory systems, and significant environmental exposure, all of which increase audi</w:t>
      </w:r>
      <w:r w:rsidRPr="00EB2675">
        <w:rPr>
          <w:rFonts w:ascii="Times New Roman" w:hAnsi="Times New Roman"/>
        </w:rPr>
        <w:t xml:space="preserve">t risk and demand greater auditor diligence </w:t>
      </w:r>
      <w:r w:rsidR="00F0766E" w:rsidRPr="00EB2675">
        <w:rPr>
          <w:rFonts w:ascii="Times New Roman" w:hAnsi="Times New Roman"/>
        </w:rPr>
        <w:fldChar w:fldCharType="begin" w:fldLock="1"/>
      </w:r>
      <w:r w:rsidR="006510E5" w:rsidRPr="00EB2675">
        <w:rPr>
          <w:rFonts w:ascii="Times New Roman" w:hAnsi="Times New Roman"/>
        </w:rPr>
        <w:instrText>ADDIN CSL_CITATION {"citationItems":[{"id":"ITEM-1","itemData":{"DOI":"10.56201/jafm.v10.no6.2024.pg199.218","ISSN":"2504-8856","abstract":"In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Management","id":"ITEM-1","issue":"6","issued":{"date-parts":[["2024"]]},"page":"199-218","title":"Impact of corporate governance mechanisms on social and environmental disclosure quality of listed non-service companies in Nigeria","type":"article-journal","volume":"10"},"uris":["http://www.mendeley.com/documents/?uuid=5a9a51ad-87d9-46ab-b14b-d871eb4f7b99"]},{"id":"ITEM-2","itemData":{"DOI":"10.56201/jafm.v10.no6.2024.pg199.218","ISSN":"2504-8856","abstract":"In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Management","id":"ITEM-2","issue":"6","issued":{"date-parts":[["2024"]]},"page":"199-218","publisher":"International Institute of Academic Research and Development","publisher-place":"Nigeria","title":"Impact of corporate governance mechanisms on social and environmental disclosure quality of listed non-service companies in Nigeria","type":"article-journal","volume":"10"},"uris":["http://www.mendeley.com/documents/?uuid=83a93335-db1f-4e57-8e64-200785772111"]},{"id":"ITEM-3","itemData":{"ISSN":"2736-1500","abstract":"This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Sustainablity","id":"ITEM-3","issue":"2","issued":{"date-parts":[["2024"]]},"page":"14-26","publisher":"Department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choice","type":"article-journal","volume":"9"},"uris":["http://www.mendeley.com/documents/?uuid=77470043-d8cb-4042-9782-fa7712affeb1"]},{"id":"ITEM-4","itemData":{"ISSN":"0455-0595","abstract":"The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Keywords","author":[{"dropping-particle":"","family":"Ogoun","given":"Stanley","non-dropping-particle":"","parse-names":false,"suffix":""},{"dropping-particle":"","family":"Godspower","given":"Anthony Ekpulu","non-dropping-particle":"","parse-names":false,"suffix":""}],"container-title":"International Journal of Intellectual Discourse","id":"ITEM-4","issue":"3","issued":{"date-parts":[["2020"]]},"page":"1-17","title":"Environmental reporting and operational performance: A study of listed manufacturing firms in Nigeria.","type":"article-journal","volume":"47"},"uris":["http://www.mendeley.com/documents/?uuid=b352d4bd-3906-4f8c-89c8-44a9b223bb76"]},{"id":"ITEM-5","itemData":{"DOI":"10.22178/pos.95-10","author":[{"dropping-particle":"","family":"Aranpu","given":"Shamaki","non-dropping-particle":"","parse-names":false,"suffix":""},{"dropping-particle":"","family":"Usman","given":"Shehu","non-dropping-particle":"","parse-names":false,"suffix":""},{"dropping-particle":"","family":"Rimamshung","given":"Shamaki Aranpu","non-dropping-particle":"","parse-names":false,"suffix":""},{"dropping-particle":"","family":"Hassan","given":"Shehu Usman","non-dropping-particle":"","parse-names":false,"suffix":""},{"dropping-particle":"","family":"Adamu","given":"Saidu","non-dropping-particle":"","parse-names":false,"suffix":""}],"container-title":"Path of Science","id":"ITEM-5","issue":"8","issued":{"date-parts":[["2023"]]},"page":"3001-3009","title":"Effect of board attributes on financial reporting quality of quoted consumer goods companies in Nigeria","type":"article-journal","volume":"9"},"uris":["http://www.mendeley.com/documents/?uuid=15d19b17-0128-4c45-89c2-e4b532530614"]},{"id":"ITEM-6","itemData":{"author":[{"dropping-particle":"","family":"Farouk","given":"Musa Adeiza","non-dropping-particle":"","parse-names":false,"suffix":""}],"id":"ITEM-6","issue":"2","issued":{"date-parts":[["2019"]]},"page":"42-57","title":"Impact of Characteristics of Firm on Quality of Financial Reporting of Quoted Industrial Goods Companies in Nigeria","type":"article-journal","volume":"4"},"uris":["http://www.mendeley.com/documents/?uuid=fcca5734-ace6-4f1f-83b1-85bd1ccce7b6"]}],"mendeley":{"formattedCitation":"(Aranpu et al., 2023; Bamenda, 2024; Bamenda et al., 2024a, 2024b; Farouk, 2019; Ogoun &amp; Godspower, 2020)","plainTextFormattedCitation":"(Aranpu et al., 2023; Bamenda, 2024; Bamenda et al., 2024a, 2024b; Farouk, 2019; Ogoun &amp; Godspower, 2020)","previouslyFormattedCitation":"(Aranpu et al., 2023; Bamenda, 2024; Bamenda et al., 2024a, 2024b; Farouk, 2019; Ogoun &amp; Godspower, 2020)"},"properties":{"noteIndex":0},"schema":"https://github.com/citation-style-language/schema/raw/master/csl-citation.json"}</w:instrText>
      </w:r>
      <w:r w:rsidR="00F0766E" w:rsidRPr="00EB2675">
        <w:rPr>
          <w:rFonts w:ascii="Times New Roman" w:hAnsi="Times New Roman"/>
        </w:rPr>
        <w:fldChar w:fldCharType="separate"/>
      </w:r>
      <w:r w:rsidR="00F0766E" w:rsidRPr="00EB2675">
        <w:rPr>
          <w:rFonts w:ascii="Times New Roman" w:hAnsi="Times New Roman"/>
          <w:noProof/>
        </w:rPr>
        <w:t>(Aranpu et al., 2023; Bamenda, 2024; Bamenda et al., 2024a, 2024b; Farouk, 2019; Ogoun &amp; Godspower, 2020)</w:t>
      </w:r>
      <w:r w:rsidR="00F0766E" w:rsidRPr="00EB2675">
        <w:rPr>
          <w:rFonts w:ascii="Times New Roman" w:hAnsi="Times New Roman"/>
        </w:rPr>
        <w:fldChar w:fldCharType="end"/>
      </w:r>
      <w:r w:rsidRPr="00EB2675">
        <w:rPr>
          <w:rFonts w:ascii="Times New Roman" w:hAnsi="Times New Roman"/>
        </w:rPr>
        <w:t>. These industries are more prone to asset misstatements, cost manipulations, and sustainability disclosure ga</w:t>
      </w:r>
      <w:r w:rsidRPr="00EB2675">
        <w:rPr>
          <w:rFonts w:ascii="Times New Roman" w:hAnsi="Times New Roman"/>
        </w:rPr>
        <w:t>ps compared to service-oriented entities, thereby providing a more rigorous environment for evaluating audit quality determinants. In addition, non-service sectors contribute over 60% of Nigeria’s non-oil GDP and are central to achieving Sustainable Develo</w:t>
      </w:r>
      <w:r w:rsidRPr="00EB2675">
        <w:rPr>
          <w:rFonts w:ascii="Times New Roman" w:hAnsi="Times New Roman"/>
        </w:rPr>
        <w:t>pment Goal 9 (Industry, Innovation, and Infrastructure) and Goal 12 (Responsible Consumption and Production). Focusing on these companies therefore not only enhances the study’s empirical robustness but also aligns with national economic priorities and the</w:t>
      </w:r>
      <w:r w:rsidRPr="00EB2675">
        <w:rPr>
          <w:rFonts w:ascii="Times New Roman" w:hAnsi="Times New Roman"/>
        </w:rPr>
        <w:t xml:space="preserve"> global agenda for sustainable industrial development.</w:t>
      </w:r>
    </w:p>
    <w:p w14:paraId="3BBE0F8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light of these considerations, this study re-examines how auditor independence, audit fees, and audit partner rotation collectively influence audit quality, while introducing audit committee indepen</w:t>
      </w:r>
      <w:r w:rsidRPr="00EB2675">
        <w:rPr>
          <w:rFonts w:ascii="Times New Roman" w:hAnsi="Times New Roman"/>
        </w:rPr>
        <w:t>dence as a moderating variable within Nigeria’s listed non-service companies. By bridging theoretical, empirical, and sustainability perspectives, the study aims to provide evidence-based insights that inform regulatory policy, professional practice, and s</w:t>
      </w:r>
      <w:r w:rsidRPr="00EB2675">
        <w:rPr>
          <w:rFonts w:ascii="Times New Roman" w:hAnsi="Times New Roman"/>
        </w:rPr>
        <w:t xml:space="preserve">cholarly understanding. </w:t>
      </w:r>
      <w:r w:rsidRPr="00EB2675">
        <w:rPr>
          <w:rFonts w:ascii="Times New Roman" w:hAnsi="Times New Roman"/>
        </w:rPr>
        <w:lastRenderedPageBreak/>
        <w:t>Ultimately, it contributes to strengthening Nigeria’s audit reform architecture and advancing global discourse on audit quality, governance, and sustainable institutional integrity.</w:t>
      </w:r>
    </w:p>
    <w:p w14:paraId="056721CA" w14:textId="77777777" w:rsidR="00B70BB0" w:rsidRPr="00EB2675" w:rsidRDefault="00B70BB0">
      <w:pPr>
        <w:jc w:val="both"/>
        <w:rPr>
          <w:rFonts w:ascii="Times New Roman" w:hAnsi="Times New Roman"/>
          <w:color w:val="000000" w:themeColor="text1"/>
        </w:rPr>
      </w:pPr>
    </w:p>
    <w:p w14:paraId="6087F123" w14:textId="77777777" w:rsidR="00B70BB0" w:rsidRPr="00EB2675" w:rsidRDefault="00C76947">
      <w:pPr>
        <w:pStyle w:val="ListParagraph"/>
        <w:numPr>
          <w:ilvl w:val="0"/>
          <w:numId w:val="1"/>
        </w:numPr>
        <w:ind w:left="0"/>
        <w:jc w:val="both"/>
        <w:outlineLvl w:val="0"/>
        <w:rPr>
          <w:rFonts w:ascii="Times New Roman" w:hAnsi="Times New Roman"/>
          <w:b/>
          <w:color w:val="000000" w:themeColor="text1"/>
        </w:rPr>
      </w:pPr>
      <w:r w:rsidRPr="00EB2675">
        <w:rPr>
          <w:rFonts w:ascii="Times New Roman" w:hAnsi="Times New Roman"/>
          <w:b/>
          <w:color w:val="000000" w:themeColor="text1"/>
        </w:rPr>
        <w:t>Empirical Review</w:t>
      </w:r>
    </w:p>
    <w:p w14:paraId="5A3AB2BD" w14:textId="77777777" w:rsidR="006510E5" w:rsidRPr="00EB2675" w:rsidRDefault="006510E5" w:rsidP="006510E5">
      <w:pPr>
        <w:jc w:val="both"/>
        <w:rPr>
          <w:rFonts w:ascii="Times New Roman" w:hAnsi="Times New Roman"/>
        </w:rPr>
      </w:pPr>
      <w:r w:rsidRPr="00EB2675">
        <w:rPr>
          <w:rFonts w:ascii="Times New Roman" w:hAnsi="Times New Roman"/>
        </w:rPr>
        <w:t xml:space="preserve">Research focusing on audit quality has concentrated on attributes related to auditors such as audit independence, audit fees and audit partner rotation as effective audit determinants. The objectivity is enhanced through audit independence, fees paid reflect audit effort and economic bonding, and familiarity threats are mitigated and the professional </w:t>
      </w:r>
      <w:proofErr w:type="spellStart"/>
      <w:r w:rsidRPr="00EB2675">
        <w:rPr>
          <w:rFonts w:ascii="Times New Roman" w:hAnsi="Times New Roman"/>
        </w:rPr>
        <w:t>scepticism</w:t>
      </w:r>
      <w:proofErr w:type="spellEnd"/>
      <w:r w:rsidRPr="00EB2675">
        <w:rPr>
          <w:rFonts w:ascii="Times New Roman" w:hAnsi="Times New Roman"/>
        </w:rPr>
        <w:t xml:space="preserve"> strengthened through audit partner majority. Also, the independence of the audit committee is an important governance mechanism that can influence the audit process. The independence of the audit committee as a moderating variable is expected to strengthen the relationship of audit attributes towards audit quality, as it enhances the scrutiny level and supports auditors’ independence. Thus, this review brings together previously published empirical evidence on these relationships.</w:t>
      </w:r>
    </w:p>
    <w:p w14:paraId="18E7F380" w14:textId="77777777" w:rsidR="00B70BB0" w:rsidRPr="00EB2675" w:rsidRDefault="00B70BB0">
      <w:pPr>
        <w:jc w:val="both"/>
        <w:rPr>
          <w:rFonts w:ascii="Times New Roman" w:hAnsi="Times New Roman"/>
        </w:rPr>
      </w:pPr>
    </w:p>
    <w:p w14:paraId="15752C20"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2.1 Auditor Independence and Audit Quality</w:t>
      </w:r>
    </w:p>
    <w:p w14:paraId="4B2A8B0F" w14:textId="77777777" w:rsidR="00B70BB0" w:rsidRPr="00EB2675" w:rsidRDefault="00C76947">
      <w:pPr>
        <w:pStyle w:val="NormalWeb"/>
        <w:jc w:val="both"/>
      </w:pPr>
      <w:r w:rsidRPr="00EB2675">
        <w:t xml:space="preserve">Auditor independence is the bedrock of the auditing profession and an essential determinant of audit quality. Independence allows </w:t>
      </w:r>
      <w:r w:rsidRPr="00EB2675">
        <w:t xml:space="preserve">auditors to exercise professional </w:t>
      </w:r>
      <w:proofErr w:type="spellStart"/>
      <w:r w:rsidRPr="00EB2675">
        <w:t>scepticism</w:t>
      </w:r>
      <w:proofErr w:type="spellEnd"/>
      <w:r w:rsidRPr="00EB2675">
        <w:t xml:space="preserve"> and make objective judgements free from management influence </w:t>
      </w:r>
      <w:r w:rsidR="006510E5" w:rsidRPr="00EB2675">
        <w:fldChar w:fldCharType="begin" w:fldLock="1"/>
      </w:r>
      <w:r w:rsidR="002E1431"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6510E5" w:rsidRPr="00EB2675">
        <w:fldChar w:fldCharType="separate"/>
      </w:r>
      <w:r w:rsidR="006510E5" w:rsidRPr="00EB2675">
        <w:rPr>
          <w:noProof/>
        </w:rPr>
        <w:t>(DeAngelo, 1981)</w:t>
      </w:r>
      <w:r w:rsidR="006510E5" w:rsidRPr="00EB2675">
        <w:fldChar w:fldCharType="end"/>
      </w:r>
      <w:r w:rsidRPr="00EB2675">
        <w:rPr>
          <w:b/>
          <w:bCs/>
        </w:rPr>
        <w:t>.</w:t>
      </w:r>
      <w:r w:rsidRPr="00EB2675">
        <w:t xml:space="preserve"> Theoretically, when auditors are independent, they are more likely to detect and r</w:t>
      </w:r>
      <w:r w:rsidRPr="00EB2675">
        <w:t xml:space="preserve">eport material misstatements, thereby enhancing the credibility of financial reports. However, empirical evidence on the relationship between auditor independence and audit quality remains </w:t>
      </w:r>
      <w:r w:rsidRPr="00EB2675">
        <w:rPr>
          <w:rStyle w:val="Strong"/>
          <w:b w:val="0"/>
          <w:bCs w:val="0"/>
        </w:rPr>
        <w:t>mixed</w:t>
      </w:r>
      <w:r w:rsidRPr="00EB2675">
        <w:rPr>
          <w:b/>
          <w:bCs/>
        </w:rPr>
        <w:t xml:space="preserve">, </w:t>
      </w:r>
      <w:r w:rsidRPr="00EB2675">
        <w:t>with studies reporting</w:t>
      </w:r>
      <w:r w:rsidRPr="00EB2675">
        <w:rPr>
          <w:b/>
          <w:bCs/>
        </w:rPr>
        <w:t xml:space="preserve"> </w:t>
      </w:r>
      <w:r w:rsidRPr="00EB2675">
        <w:rPr>
          <w:rStyle w:val="Strong"/>
          <w:b w:val="0"/>
          <w:bCs w:val="0"/>
        </w:rPr>
        <w:t>positive</w:t>
      </w:r>
      <w:r w:rsidRPr="00EB2675">
        <w:rPr>
          <w:b/>
          <w:bCs/>
        </w:rPr>
        <w:t xml:space="preserve">, </w:t>
      </w:r>
      <w:r w:rsidRPr="00EB2675">
        <w:rPr>
          <w:rStyle w:val="Strong"/>
          <w:b w:val="0"/>
          <w:bCs w:val="0"/>
        </w:rPr>
        <w:t>negative</w:t>
      </w:r>
      <w:r w:rsidRPr="00EB2675">
        <w:rPr>
          <w:b/>
          <w:bCs/>
        </w:rPr>
        <w:t xml:space="preserve">, </w:t>
      </w:r>
      <w:r w:rsidRPr="00EB2675">
        <w:t>and</w:t>
      </w:r>
      <w:r w:rsidRPr="00EB2675">
        <w:rPr>
          <w:b/>
          <w:bCs/>
        </w:rPr>
        <w:t xml:space="preserve"> </w:t>
      </w:r>
      <w:r w:rsidRPr="00EB2675">
        <w:rPr>
          <w:rStyle w:val="Strong"/>
          <w:b w:val="0"/>
          <w:bCs w:val="0"/>
        </w:rPr>
        <w:t>insignificant</w:t>
      </w:r>
      <w:r w:rsidRPr="00EB2675">
        <w:t xml:space="preserve"> relationships. These inconsistencies suggest that the relationship may be contingent on contextual and governance factors, such as audit committee independence.</w:t>
      </w:r>
    </w:p>
    <w:p w14:paraId="3A25AA92" w14:textId="77777777" w:rsidR="00B70BB0" w:rsidRPr="00EB2675" w:rsidRDefault="00C76947" w:rsidP="003965D1">
      <w:pPr>
        <w:pStyle w:val="NormalWeb"/>
        <w:jc w:val="both"/>
        <w:rPr>
          <w:color w:val="FF0000"/>
        </w:rPr>
      </w:pPr>
      <w:r w:rsidRPr="00EB2675">
        <w:t>Several empirical studies have found that auditor independence significantly improves audit qu</w:t>
      </w:r>
      <w:r w:rsidRPr="00EB2675">
        <w:t>ality. For example,</w:t>
      </w:r>
      <w:r w:rsidR="002E1431" w:rsidRPr="00EB2675">
        <w:t xml:space="preserve"> </w:t>
      </w:r>
      <w:r w:rsidR="002E1431" w:rsidRPr="00EB2675">
        <w:fldChar w:fldCharType="begin" w:fldLock="1"/>
      </w:r>
      <w:r w:rsidR="00BA7A65" w:rsidRPr="00EB2675">
        <w:instrText>ADDIN CSL_CITATION {"citationItems":[{"id":"ITEM-1","itemData":{"DOI":"10.32535/ijabim.v6i2.1147","ISSN":"26147432","abstract":"The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Management","id":"ITEM-1","issue":"2","issued":{"date-parts":[["2021"]]},"page":"55-67","title":"The effect of auditor's emotional intelligence, competence, and independence on audit quality","type":"article-journal","volume":"6"},"uris":["http://www.mendeley.com/documents/?uuid=5df1a983-06d3-40d8-b43e-13098b353685"]}],"mendeley":{"formattedCitation":"(Pinatik, 2021)","manualFormatting":"Pinatik (2021)","plainTextFormattedCitation":"(Pinatik, 2021)","previouslyFormattedCitation":"(Pinatik, 2021)"},"properties":{"noteIndex":0},"schema":"https://github.com/citation-style-language/schema/raw/master/csl-citation.json"}</w:instrText>
      </w:r>
      <w:r w:rsidR="002E1431" w:rsidRPr="00EB2675">
        <w:fldChar w:fldCharType="separate"/>
      </w:r>
      <w:r w:rsidR="002E1431" w:rsidRPr="00EB2675">
        <w:rPr>
          <w:noProof/>
        </w:rPr>
        <w:t>Pinatik (2021)</w:t>
      </w:r>
      <w:r w:rsidR="002E1431" w:rsidRPr="00EB2675">
        <w:fldChar w:fldCharType="end"/>
      </w:r>
      <w:r w:rsidR="002E1431" w:rsidRPr="00EB2675">
        <w:t xml:space="preserve">, </w:t>
      </w:r>
      <w:r w:rsidRPr="00EB2675">
        <w:t xml:space="preserve">examined </w:t>
      </w:r>
      <w:r w:rsidR="002E1431" w:rsidRPr="00EB2675">
        <w:t xml:space="preserve">auditors in </w:t>
      </w:r>
      <w:r w:rsidR="00FB1DA1" w:rsidRPr="00EB2675">
        <w:rPr>
          <w:i/>
          <w:iCs/>
        </w:rPr>
        <w:t xml:space="preserve">Badan </w:t>
      </w:r>
      <w:proofErr w:type="spellStart"/>
      <w:r w:rsidR="00FB1DA1" w:rsidRPr="00EB2675">
        <w:rPr>
          <w:i/>
          <w:iCs/>
        </w:rPr>
        <w:t>Pemeriksa</w:t>
      </w:r>
      <w:proofErr w:type="spellEnd"/>
      <w:r w:rsidR="00FB1DA1" w:rsidRPr="00EB2675">
        <w:rPr>
          <w:i/>
          <w:iCs/>
        </w:rPr>
        <w:t xml:space="preserve"> </w:t>
      </w:r>
      <w:proofErr w:type="spellStart"/>
      <w:r w:rsidR="00FB1DA1" w:rsidRPr="00EB2675">
        <w:rPr>
          <w:i/>
          <w:iCs/>
        </w:rPr>
        <w:t>Keuangan</w:t>
      </w:r>
      <w:proofErr w:type="spellEnd"/>
      <w:r w:rsidR="00FB1DA1" w:rsidRPr="00EB2675">
        <w:t> Republic of Indonesia (BPK RI) representatives of North Sulawesi Province</w:t>
      </w:r>
      <w:r w:rsidR="002E1431" w:rsidRPr="00EB2675">
        <w:t xml:space="preserve"> </w:t>
      </w:r>
      <w:r w:rsidRPr="00EB2675">
        <w:t>and discovered that stronger auditor independence</w:t>
      </w:r>
      <w:r w:rsidR="00FB1DA1" w:rsidRPr="00EB2675">
        <w:t xml:space="preserve"> </w:t>
      </w:r>
      <w:r w:rsidRPr="00EB2675">
        <w:t xml:space="preserve">measured through reduced economic ties and </w:t>
      </w:r>
      <w:r w:rsidRPr="00EB2675">
        <w:t>stricter compliance with the Financial Reporting Council (FRC) Code</w:t>
      </w:r>
      <w:r w:rsidR="00FB1DA1" w:rsidRPr="00EB2675">
        <w:t xml:space="preserve"> </w:t>
      </w:r>
      <w:r w:rsidRPr="00EB2675">
        <w:t xml:space="preserve">significantly enhanced audit quality. Similarly, </w:t>
      </w:r>
      <w:r w:rsidR="00BA7A65" w:rsidRPr="00EB2675">
        <w:fldChar w:fldCharType="begin" w:fldLock="1"/>
      </w:r>
      <w:r w:rsidR="004D7975" w:rsidRPr="00EB2675">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BA7A65" w:rsidRPr="00EB2675">
        <w:fldChar w:fldCharType="separate"/>
      </w:r>
      <w:r w:rsidR="00BA7A65" w:rsidRPr="00EB2675">
        <w:rPr>
          <w:noProof/>
        </w:rPr>
        <w:t>Yahaya and Onyabe (2022)</w:t>
      </w:r>
      <w:r w:rsidR="00BA7A65" w:rsidRPr="00EB2675">
        <w:fldChar w:fldCharType="end"/>
      </w:r>
      <w:r w:rsidRPr="00EB2675">
        <w:t xml:space="preserve">, using </w:t>
      </w:r>
      <w:r w:rsidR="00BA7A65" w:rsidRPr="00EB2675">
        <w:t xml:space="preserve"> a </w:t>
      </w:r>
      <w:r w:rsidRPr="00EB2675">
        <w:t>sample of</w:t>
      </w:r>
      <w:r w:rsidR="00BA7A65" w:rsidRPr="00EB2675">
        <w:t xml:space="preserve"> 12 listed industrial goods companies from Nigeria Exchange Group</w:t>
      </w:r>
      <w:r w:rsidRPr="00EB2675">
        <w:t>, found that auditors’ independence</w:t>
      </w:r>
      <w:r w:rsidR="00BA7A65" w:rsidRPr="00EB2675">
        <w:t xml:space="preserve"> was </w:t>
      </w:r>
      <w:r w:rsidRPr="00EB2675">
        <w:t xml:space="preserve">positively </w:t>
      </w:r>
      <w:r w:rsidR="00BA7A65" w:rsidRPr="00EB2675">
        <w:t xml:space="preserve">related </w:t>
      </w:r>
      <w:r w:rsidRPr="00EB2675">
        <w:t>with audit quality.</w:t>
      </w:r>
      <w:r w:rsidR="00BA7A65" w:rsidRPr="00EB2675">
        <w:t xml:space="preserve"> </w:t>
      </w:r>
      <w:r w:rsidRPr="00EB2675">
        <w:t xml:space="preserve">In </w:t>
      </w:r>
      <w:r w:rsidR="004D7975" w:rsidRPr="00EB2675">
        <w:t>Nigeria</w:t>
      </w:r>
      <w:r w:rsidRPr="00EB2675">
        <w:t xml:space="preserve">, </w:t>
      </w:r>
      <w:r w:rsidR="004D7975" w:rsidRPr="00EB2675">
        <w:fldChar w:fldCharType="begin" w:fldLock="1"/>
      </w:r>
      <w:r w:rsidR="00862335" w:rsidRPr="00EB2675">
        <w:instrText>ADDIN CSL_CITATION {"citationItems":[{"id":"ITEM-1","itemData":{"abstract":"managers with extensive experience in auditing listed oil and gas firms. The data were analyzed using multiple regression analysis to assess the influence of auditor independence indicators. Litigation Risk (LR), Access to Records (AR), and Time Constraints (TC) on financial report quality. The findings reveal a significant relationship between auditor independence and financial report quality. Specifically, Access to Records (AR) and Time Constraints (TC) demonstrated strong positive effects on both faithful representation and comparability, indicating that enhanced auditor access and reduced time pressures improved the quality of financial reports. Conversely, Litigation Risk (LR) showed a significant negative influence, suggesting that higher exposure to legal risks compromises auditor objectivity, thereby diminishing financial reporting quality. The regression analysis yielded high explanatory power, with R² values of 0.922 for faithful representation and 0.889 for comparability, underscoring the substantial influence of these variables on financial report quality. The study concludes that auditor independence is pivotal in enhancing the reliability and transparency of financial reports in Nigeria’s listed oil and gas companies.","author":[{"dropping-particle":"","family":"Tonade","given":"Abiola Mukaila","non-dropping-particle":"","parse-names":false,"suffix":""},{"dropping-particle":"","family":"Agbede","given":"Johnson Olugbenga","non-dropping-particle":"","parse-names":false,"suffix":""},{"dropping-particle":"","family":"Ajibola","given":"Hussein Olalekan","non-dropping-particle":"","parse-names":false,"suffix":""},{"dropping-particle":"","family":"Olorunfemi","given":"Gbenga Samuel","non-dropping-particle":"","parse-names":false,"suffix":""},{"dropping-particle":"","family":"Babajide","given":"Sheriff","non-dropping-particle":"","parse-names":false,"suffix":""}],"container-title":"Fuoye Journal of Accounting and Management","id":"ITEM-1","issue":"1","issued":{"date-parts":[["2025"]]},"page":"81-106","title":"Auditor's independence and its influence on financial report quality of listed oil and gas companies in Nigeria","type":"article-journal","volume":"8"},"uris":["http://www.mendeley.com/documents/?uuid=bb239ede-6ccc-44c5-b6f0-44f3a6fba191"]}],"mendeley":{"formattedCitation":"(Tonade et al., 2025)","manualFormatting":"Tonade et al., (2025)","plainTextFormattedCitation":"(Tonade et al., 2025)","previouslyFormattedCitation":"(Tonade et al., 2025)"},"properties":{"noteIndex":0},"schema":"https://github.com/citation-style-language/schema/raw/master/csl-citation.json"}</w:instrText>
      </w:r>
      <w:r w:rsidR="004D7975" w:rsidRPr="00EB2675">
        <w:fldChar w:fldCharType="separate"/>
      </w:r>
      <w:r w:rsidR="004D7975" w:rsidRPr="00EB2675">
        <w:rPr>
          <w:noProof/>
        </w:rPr>
        <w:t>Tonade et al., (2025)</w:t>
      </w:r>
      <w:r w:rsidR="004D7975" w:rsidRPr="00EB2675">
        <w:fldChar w:fldCharType="end"/>
      </w:r>
      <w:r w:rsidR="004D7975" w:rsidRPr="00EB2675">
        <w:t xml:space="preserve"> </w:t>
      </w:r>
      <w:r w:rsidRPr="00EB2675">
        <w:t>reported that firms with higher levels of auditor independence produced more reliable financial reports and demonstrated lower tendencies to</w:t>
      </w:r>
      <w:r w:rsidRPr="00EB2675">
        <w:t xml:space="preserve">ward earnings manipulation. </w:t>
      </w:r>
      <w:r w:rsidRPr="00EB2675">
        <w:rPr>
          <w:color w:val="000000" w:themeColor="text1"/>
        </w:rPr>
        <w:t>Likewise,</w:t>
      </w:r>
      <w:r w:rsidR="003965D1" w:rsidRPr="00EB2675">
        <w:rPr>
          <w:color w:val="000000" w:themeColor="text1"/>
        </w:rPr>
        <w:t xml:space="preserve"> </w:t>
      </w:r>
      <w:r w:rsidR="003965D1" w:rsidRPr="00EB2675">
        <w:rPr>
          <w:color w:val="000000" w:themeColor="text1"/>
        </w:rPr>
        <w:fldChar w:fldCharType="begin" w:fldLock="1"/>
      </w:r>
      <w:r w:rsidR="003965D1"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3965D1" w:rsidRPr="00EB2675">
        <w:rPr>
          <w:color w:val="000000" w:themeColor="text1"/>
        </w:rPr>
        <w:fldChar w:fldCharType="separate"/>
      </w:r>
      <w:r w:rsidR="003965D1" w:rsidRPr="00EB2675">
        <w:rPr>
          <w:noProof/>
          <w:color w:val="000000" w:themeColor="text1"/>
        </w:rPr>
        <w:t>Al-Shaer and Zaman (2024)</w:t>
      </w:r>
      <w:r w:rsidR="003965D1" w:rsidRPr="00EB2675">
        <w:rPr>
          <w:color w:val="000000" w:themeColor="text1"/>
        </w:rPr>
        <w:fldChar w:fldCharType="end"/>
      </w:r>
      <w:r w:rsidR="003965D1" w:rsidRPr="00EB2675">
        <w:rPr>
          <w:color w:val="000000" w:themeColor="text1"/>
        </w:rPr>
        <w:t>,</w:t>
      </w:r>
      <w:r w:rsidR="00862335" w:rsidRPr="00EB2675">
        <w:rPr>
          <w:color w:val="000000" w:themeColor="text1"/>
        </w:rPr>
        <w:t xml:space="preserve"> </w:t>
      </w:r>
      <w:r w:rsidRPr="00EB2675">
        <w:rPr>
          <w:color w:val="000000" w:themeColor="text1"/>
        </w:rPr>
        <w:t xml:space="preserve">documented </w:t>
      </w:r>
      <w:r w:rsidR="00FE6349" w:rsidRPr="00EB2675">
        <w:rPr>
          <w:color w:val="000000" w:themeColor="text1"/>
        </w:rPr>
        <w:t>that independent auditor</w:t>
      </w:r>
      <w:r w:rsidRPr="00EB2675">
        <w:rPr>
          <w:color w:val="000000" w:themeColor="text1"/>
        </w:rPr>
        <w:t xml:space="preserve"> improved both financial and sustainability assurance outcomes, especially</w:t>
      </w:r>
      <w:r w:rsidR="00FE6349" w:rsidRPr="00EB2675">
        <w:rPr>
          <w:color w:val="000000" w:themeColor="text1"/>
        </w:rPr>
        <w:t xml:space="preserve"> </w:t>
      </w:r>
      <w:r w:rsidRPr="00EB2675">
        <w:rPr>
          <w:color w:val="000000" w:themeColor="text1"/>
        </w:rPr>
        <w:t>in jurisdictions</w:t>
      </w:r>
      <w:r w:rsidR="00FE6349" w:rsidRPr="00EB2675">
        <w:rPr>
          <w:color w:val="000000" w:themeColor="text1"/>
        </w:rPr>
        <w:t xml:space="preserve"> </w:t>
      </w:r>
      <w:r w:rsidRPr="00EB2675">
        <w:rPr>
          <w:color w:val="000000" w:themeColor="text1"/>
        </w:rPr>
        <w:t xml:space="preserve">with strong governance </w:t>
      </w:r>
      <w:proofErr w:type="spellStart"/>
      <w:r w:rsidRPr="00EB2675">
        <w:rPr>
          <w:color w:val="000000" w:themeColor="text1"/>
        </w:rPr>
        <w:t>frameworks.These</w:t>
      </w:r>
      <w:proofErr w:type="spellEnd"/>
      <w:r w:rsidRPr="00EB2675">
        <w:rPr>
          <w:color w:val="000000" w:themeColor="text1"/>
        </w:rPr>
        <w:t xml:space="preserve"> studies collectively confirm that auditor independence enhances audit quality by </w:t>
      </w:r>
      <w:proofErr w:type="spellStart"/>
      <w:r w:rsidRPr="00EB2675">
        <w:rPr>
          <w:color w:val="000000" w:themeColor="text1"/>
        </w:rPr>
        <w:t>minimising</w:t>
      </w:r>
      <w:proofErr w:type="spellEnd"/>
      <w:r w:rsidRPr="00EB2675">
        <w:rPr>
          <w:color w:val="000000" w:themeColor="text1"/>
        </w:rPr>
        <w:t xml:space="preserve"> undue influence, strengthening auditor objectivity, and improving financial reporting credibility.</w:t>
      </w:r>
    </w:p>
    <w:p w14:paraId="520D8100" w14:textId="77777777" w:rsidR="00FE6349" w:rsidRPr="00EB2675" w:rsidRDefault="00C76947">
      <w:pPr>
        <w:pStyle w:val="NormalWeb"/>
        <w:jc w:val="both"/>
      </w:pPr>
      <w:r w:rsidRPr="00EB2675">
        <w:t>Conversely, a few studies have reported that excessive auditor i</w:t>
      </w:r>
      <w:r w:rsidRPr="00EB2675">
        <w:t>ndependence or enforced independence measures can sometimes impair audit quality. For instance,</w:t>
      </w:r>
      <w:r w:rsidR="003965D1" w:rsidRPr="00EB2675">
        <w:fldChar w:fldCharType="begin" w:fldLock="1"/>
      </w:r>
      <w:r w:rsidR="003965D1"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3965D1" w:rsidRPr="00EB2675">
        <w:fldChar w:fldCharType="separate"/>
      </w:r>
      <w:r w:rsidR="003965D1" w:rsidRPr="00EB2675">
        <w:rPr>
          <w:noProof/>
        </w:rPr>
        <w:t xml:space="preserve"> Khan et al., (2024)</w:t>
      </w:r>
      <w:r w:rsidR="003965D1" w:rsidRPr="00EB2675">
        <w:fldChar w:fldCharType="end"/>
      </w:r>
      <w:r w:rsidRPr="00EB2675">
        <w:t xml:space="preserve">, in their analysis of Asian emerging markets, found </w:t>
      </w:r>
      <w:r w:rsidRPr="00EB2675">
        <w:rPr>
          <w:b/>
          <w:bCs/>
        </w:rPr>
        <w:t xml:space="preserve">a </w:t>
      </w:r>
      <w:r w:rsidRPr="00EB2675">
        <w:rPr>
          <w:rStyle w:val="Strong"/>
          <w:b w:val="0"/>
          <w:bCs w:val="0"/>
        </w:rPr>
        <w:t>negative</w:t>
      </w:r>
      <w:r w:rsidRPr="00EB2675">
        <w:rPr>
          <w:rStyle w:val="Strong"/>
          <w:b w:val="0"/>
          <w:bCs w:val="0"/>
        </w:rPr>
        <w:t xml:space="preserve"> and significant</w:t>
      </w:r>
      <w:r w:rsidRPr="00EB2675">
        <w:t xml:space="preserve"> relationship between auditor independence and audit quality when independence was proxied through frequent auditor rotation. They argued that excessive rotation disrupted client-specific knowledge, leading</w:t>
      </w:r>
      <w:r w:rsidR="00FE6349" w:rsidRPr="00EB2675">
        <w:t xml:space="preserve"> </w:t>
      </w:r>
      <w:r w:rsidRPr="00EB2675">
        <w:t>to reduced audit effectiveness.</w:t>
      </w:r>
    </w:p>
    <w:p w14:paraId="6B1AAE4B" w14:textId="77777777" w:rsidR="00B70BB0" w:rsidRPr="00EB2675" w:rsidRDefault="00C76947" w:rsidP="00377587">
      <w:pPr>
        <w:pStyle w:val="NormalWeb"/>
        <w:jc w:val="both"/>
      </w:pPr>
      <w:r w:rsidRPr="00EB2675">
        <w:lastRenderedPageBreak/>
        <w:br/>
      </w:r>
      <w:r w:rsidRPr="00EB2675">
        <w:t>Similarly,</w:t>
      </w:r>
      <w:r w:rsidR="003965D1" w:rsidRPr="00EB2675">
        <w:fldChar w:fldCharType="begin" w:fldLock="1"/>
      </w:r>
      <w:r w:rsidR="003965D1"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3965D1" w:rsidRPr="00EB2675">
        <w:fldChar w:fldCharType="separate"/>
      </w:r>
      <w:r w:rsidR="003965D1" w:rsidRPr="00EB2675">
        <w:rPr>
          <w:noProof/>
        </w:rPr>
        <w:t xml:space="preserve"> Oloruntoba and Enyi (2024)</w:t>
      </w:r>
      <w:r w:rsidR="003965D1" w:rsidRPr="00EB2675">
        <w:fldChar w:fldCharType="end"/>
      </w:r>
      <w:r w:rsidR="003965D1" w:rsidRPr="00EB2675">
        <w:t xml:space="preserve"> </w:t>
      </w:r>
      <w:r w:rsidRPr="00EB2675">
        <w:t>found that mandatory independence enforcement in Nigeria’s listed firms occasionally led to lower audit efficiency due to loss of audit continuity and institutional learning. In another study,</w:t>
      </w:r>
      <w:r w:rsidR="003965D1" w:rsidRPr="00EB2675">
        <w:fldChar w:fldCharType="begin" w:fldLock="1"/>
      </w:r>
      <w:r w:rsidR="00377587"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 Obid et al., (2023)","plainTextFormattedCitation":"(Obid et al., 2023)","previouslyFormattedCitation":"(Obid et al., 2023)"},"properties":{"noteIndex":0},"schema":"https://github.com/citation-style-language/schema/raw/master/csl-citation.json"}</w:instrText>
      </w:r>
      <w:r w:rsidR="003965D1" w:rsidRPr="00EB2675">
        <w:fldChar w:fldCharType="separate"/>
      </w:r>
      <w:r w:rsidR="003965D1" w:rsidRPr="00EB2675">
        <w:rPr>
          <w:noProof/>
        </w:rPr>
        <w:t xml:space="preserve"> Obid et al., (2023)</w:t>
      </w:r>
      <w:r w:rsidR="003965D1" w:rsidRPr="00EB2675">
        <w:fldChar w:fldCharType="end"/>
      </w:r>
      <w:r w:rsidR="003965D1" w:rsidRPr="00EB2675">
        <w:t xml:space="preserve"> </w:t>
      </w:r>
      <w:r w:rsidRPr="00EB2675">
        <w:t>observed that independence, when achieved through fee restrictions, reduced auditors’ motivation and engagement quality because</w:t>
      </w:r>
      <w:r w:rsidR="00FE6349" w:rsidRPr="00EB2675">
        <w:t xml:space="preserve"> </w:t>
      </w:r>
      <w:r w:rsidRPr="00EB2675">
        <w:t>of decreased economic incentives.</w:t>
      </w:r>
      <w:r w:rsidR="00377587" w:rsidRPr="00EB2675">
        <w:t xml:space="preserve"> </w:t>
      </w:r>
      <w:r w:rsidRPr="00EB2675">
        <w:t>These findings suggest that while independence is des</w:t>
      </w:r>
      <w:r w:rsidRPr="00EB2675">
        <w:t>irable, an overly rigid interpretation or enforcement may inadvertently reduce audit effectiveness by undermining the auditor’s understanding of the client’s operations and internal controls.</w:t>
      </w:r>
    </w:p>
    <w:p w14:paraId="799D7684" w14:textId="77777777" w:rsidR="00377587" w:rsidRPr="00EB2675" w:rsidRDefault="00C76947">
      <w:pPr>
        <w:pStyle w:val="NormalWeb"/>
        <w:jc w:val="both"/>
      </w:pPr>
      <w:r w:rsidRPr="00EB2675">
        <w:t>A growing body of literature also reveals that auditor independe</w:t>
      </w:r>
      <w:r w:rsidRPr="00EB2675">
        <w:t xml:space="preserve">nce does not always significantly influence audit quality. </w:t>
      </w:r>
      <w:r w:rsidR="00FE6349" w:rsidRPr="00EB2675">
        <w:t xml:space="preserve"> </w:t>
      </w:r>
      <w:r w:rsidR="00377587" w:rsidRPr="00EB2675">
        <w:rPr>
          <w:rStyle w:val="Strong"/>
        </w:rPr>
        <w:fldChar w:fldCharType="begin" w:fldLock="1"/>
      </w:r>
      <w:r w:rsidR="00377587"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377587" w:rsidRPr="00EB2675">
        <w:rPr>
          <w:rStyle w:val="Strong"/>
        </w:rPr>
        <w:fldChar w:fldCharType="separate"/>
      </w:r>
      <w:r w:rsidR="00377587" w:rsidRPr="00EB2675">
        <w:rPr>
          <w:rStyle w:val="Strong"/>
          <w:b w:val="0"/>
          <w:noProof/>
        </w:rPr>
        <w:t>Akinsulire and Dabor (2024)</w:t>
      </w:r>
      <w:r w:rsidR="00377587" w:rsidRPr="00EB2675">
        <w:rPr>
          <w:rStyle w:val="Strong"/>
        </w:rPr>
        <w:fldChar w:fldCharType="end"/>
      </w:r>
      <w:r w:rsidRPr="00EB2675">
        <w:t>, for instance, found that while independence had a positive coefficient, its effect on audit quality was statistically insignificant in Nigerian non-financial firms, sugg</w:t>
      </w:r>
      <w:r w:rsidRPr="00EB2675">
        <w:t>esting that other factors such as regulatory oversight or auditor expertise might play more dominant roles.</w:t>
      </w:r>
      <w:r w:rsidR="00FE6349" w:rsidRPr="00EB2675">
        <w:t xml:space="preserve"> </w:t>
      </w:r>
      <w:r w:rsidRPr="00EB2675">
        <w:t>Similarly,</w:t>
      </w:r>
      <w:r w:rsidR="00377587" w:rsidRPr="00EB2675">
        <w:fldChar w:fldCharType="begin" w:fldLock="1"/>
      </w:r>
      <w:r w:rsidR="00377587"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377587" w:rsidRPr="00EB2675">
        <w:fldChar w:fldCharType="separate"/>
      </w:r>
      <w:r w:rsidR="00377587" w:rsidRPr="00EB2675">
        <w:rPr>
          <w:noProof/>
        </w:rPr>
        <w:t xml:space="preserve"> Oyeleke and Adebayo (2024)</w:t>
      </w:r>
      <w:r w:rsidR="00377587" w:rsidRPr="00EB2675">
        <w:fldChar w:fldCharType="end"/>
      </w:r>
      <w:r w:rsidR="00377587" w:rsidRPr="00EB2675">
        <w:t xml:space="preserve">, </w:t>
      </w:r>
      <w:r w:rsidRPr="00EB2675">
        <w:t xml:space="preserve">reported no significant relationship between auditor independence and audit quality among firms listed </w:t>
      </w:r>
      <w:r w:rsidRPr="00EB2675">
        <w:t>on the Nigerian Exchange Group, attributing the result to the weak enforcement of independence provisions and the</w:t>
      </w:r>
      <w:r w:rsidR="00377587" w:rsidRPr="00EB2675">
        <w:t xml:space="preserve"> </w:t>
      </w:r>
      <w:r w:rsidRPr="00EB2675">
        <w:t>prevalence of long-term auditor-client relationships.</w:t>
      </w:r>
    </w:p>
    <w:p w14:paraId="28D8AF26" w14:textId="77777777" w:rsidR="00B70BB0" w:rsidRPr="00EB2675" w:rsidRDefault="00C76947">
      <w:pPr>
        <w:pStyle w:val="NormalWeb"/>
        <w:jc w:val="both"/>
      </w:pPr>
      <w:r w:rsidRPr="00EB2675">
        <w:br/>
        <w:t>In a related study,</w:t>
      </w:r>
      <w:r w:rsidR="00377587" w:rsidRPr="00EB2675">
        <w:fldChar w:fldCharType="begin" w:fldLock="1"/>
      </w:r>
      <w:r w:rsidR="00377587"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 Lai and Tang ( 2023)","plainTextFormattedCitation":"(Lai &amp; Tang, 2023)","previouslyFormattedCitation":"(Lai &amp; Tang, 2023)"},"properties":{"noteIndex":0},"schema":"https://github.com/citation-style-language/schema/raw/master/csl-citation.json"}</w:instrText>
      </w:r>
      <w:r w:rsidR="00377587" w:rsidRPr="00EB2675">
        <w:fldChar w:fldCharType="separate"/>
      </w:r>
      <w:r w:rsidR="00377587" w:rsidRPr="00EB2675">
        <w:rPr>
          <w:noProof/>
        </w:rPr>
        <w:t xml:space="preserve"> Lai and Tang ( 2023)</w:t>
      </w:r>
      <w:r w:rsidR="00377587" w:rsidRPr="00EB2675">
        <w:fldChar w:fldCharType="end"/>
      </w:r>
      <w:r w:rsidRPr="00EB2675">
        <w:t xml:space="preserve"> found that independence was not a significant determinant of audit quality in developed markets where</w:t>
      </w:r>
      <w:r w:rsidRPr="00EB2675">
        <w:t xml:space="preserve"> professional ethics and litigation risk already constrained auditor </w:t>
      </w:r>
      <w:proofErr w:type="spellStart"/>
      <w:r w:rsidRPr="00EB2675">
        <w:t>behaviour</w:t>
      </w:r>
      <w:proofErr w:type="spellEnd"/>
      <w:r w:rsidRPr="00EB2675">
        <w:t>.</w:t>
      </w:r>
      <w:r w:rsidR="00377587" w:rsidRPr="00EB2675">
        <w:t xml:space="preserve"> </w:t>
      </w:r>
      <w:r w:rsidRPr="00EB2675">
        <w:t>These insignificant results reinforce the notion that independence alone may not guarantee high-quality audits, particularly in settings with weak monitoring or limited regulat</w:t>
      </w:r>
      <w:r w:rsidRPr="00EB2675">
        <w:t>ory sanctions.</w:t>
      </w:r>
    </w:p>
    <w:p w14:paraId="1BC40EC3" w14:textId="77777777" w:rsidR="00B70BB0" w:rsidRPr="00EB2675" w:rsidRDefault="00C76947">
      <w:pPr>
        <w:pStyle w:val="NormalWeb"/>
        <w:jc w:val="both"/>
      </w:pPr>
      <w:r w:rsidRPr="00EB2675">
        <w:t xml:space="preserve">From the foregoing, it is evident that the relationship between auditor independence and audit quality remains </w:t>
      </w:r>
      <w:r w:rsidRPr="00EB2675">
        <w:rPr>
          <w:rStyle w:val="Strong"/>
          <w:b w:val="0"/>
          <w:bCs w:val="0"/>
        </w:rPr>
        <w:t>inconclusive</w:t>
      </w:r>
      <w:r w:rsidR="00FE6349" w:rsidRPr="00EB2675">
        <w:t xml:space="preserve"> </w:t>
      </w:r>
      <w:r w:rsidRPr="00EB2675">
        <w:t>with studies showing positive, negative, and insignificant results across contexts. The divergence in findings may be</w:t>
      </w:r>
      <w:r w:rsidRPr="00EB2675">
        <w:t xml:space="preserve"> attributed to differences in measurement proxies (e.g., tenure, fees, rotation), institutional enforcement, and governance environments. Specifically, most prior studies in Nigeria and other developing economies have concentrated on </w:t>
      </w:r>
      <w:r w:rsidRPr="00EB2675">
        <w:rPr>
          <w:rStyle w:val="Strong"/>
          <w:b w:val="0"/>
          <w:bCs w:val="0"/>
        </w:rPr>
        <w:t>direct relationships</w:t>
      </w:r>
      <w:r w:rsidRPr="00EB2675">
        <w:rPr>
          <w:b/>
          <w:bCs/>
        </w:rPr>
        <w:t>,</w:t>
      </w:r>
      <w:r w:rsidRPr="00EB2675">
        <w:t xml:space="preserve"> </w:t>
      </w:r>
      <w:r w:rsidRPr="00EB2675">
        <w:t xml:space="preserve">neglecting the potential influence of </w:t>
      </w:r>
      <w:r w:rsidRPr="00EB2675">
        <w:rPr>
          <w:rStyle w:val="Strong"/>
          <w:b w:val="0"/>
          <w:bCs w:val="0"/>
        </w:rPr>
        <w:t>moderating governance mechanisms</w:t>
      </w:r>
      <w:r w:rsidRPr="00EB2675">
        <w:rPr>
          <w:b/>
          <w:bCs/>
        </w:rPr>
        <w:t xml:space="preserve"> </w:t>
      </w:r>
      <w:r w:rsidRPr="00EB2675">
        <w:t>that could explain these inconsistencies.</w:t>
      </w:r>
    </w:p>
    <w:p w14:paraId="4B770D08" w14:textId="77777777" w:rsidR="00B70BB0" w:rsidRPr="00EB2675" w:rsidRDefault="00C76947">
      <w:pPr>
        <w:pStyle w:val="NormalWeb"/>
        <w:jc w:val="both"/>
      </w:pPr>
      <w:r w:rsidRPr="00EB2675">
        <w:t xml:space="preserve">One such mechanism is </w:t>
      </w:r>
      <w:r w:rsidRPr="00EB2675">
        <w:rPr>
          <w:rStyle w:val="Strong"/>
          <w:b w:val="0"/>
          <w:bCs w:val="0"/>
        </w:rPr>
        <w:t>Audit Committee Independence</w:t>
      </w:r>
      <w:r w:rsidRPr="00EB2675">
        <w:rPr>
          <w:b/>
          <w:bCs/>
        </w:rPr>
        <w:t>,</w:t>
      </w:r>
      <w:r w:rsidRPr="00EB2675">
        <w:t xml:space="preserve"> which may play a </w:t>
      </w:r>
      <w:r w:rsidR="00377587" w:rsidRPr="00EB2675">
        <w:t xml:space="preserve">critical </w:t>
      </w:r>
      <w:r w:rsidRPr="00EB2675">
        <w:t>role in strengthening the link between auditor independence and a</w:t>
      </w:r>
      <w:r w:rsidRPr="00EB2675">
        <w:t xml:space="preserve">udit quality. An independent audit committee can enhance auditor autonomy by </w:t>
      </w:r>
      <w:proofErr w:type="spellStart"/>
      <w:r w:rsidRPr="00EB2675">
        <w:t>minimising</w:t>
      </w:r>
      <w:proofErr w:type="spellEnd"/>
      <w:r w:rsidRPr="00EB2675">
        <w:t xml:space="preserve"> management interference, reviewing audit scope, and approving auditor appointments and remuneration</w:t>
      </w:r>
      <w:r w:rsidR="00377587" w:rsidRPr="00EB2675">
        <w:t xml:space="preserve"> </w:t>
      </w:r>
      <w:r w:rsidR="00377587" w:rsidRPr="00EB2675">
        <w:fldChar w:fldCharType="begin" w:fldLock="1"/>
      </w:r>
      <w:r w:rsidR="004813FD"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377587" w:rsidRPr="00EB2675">
        <w:fldChar w:fldCharType="separate"/>
      </w:r>
      <w:r w:rsidR="00377587" w:rsidRPr="00EB2675">
        <w:rPr>
          <w:noProof/>
        </w:rPr>
        <w:t>DeZoort and Hermanson, (2024)</w:t>
      </w:r>
      <w:r w:rsidR="00377587" w:rsidRPr="00EB2675">
        <w:fldChar w:fldCharType="end"/>
      </w:r>
      <w:r w:rsidRPr="00EB2675">
        <w:t xml:space="preserve"> When the audit committee itself is independent and</w:t>
      </w:r>
      <w:r w:rsidRPr="00EB2675">
        <w:t xml:space="preserve"> professionally competent, it is better positioned to protect auditors from client pressure, ensuring that independence translates into higher audit quality.</w:t>
      </w:r>
    </w:p>
    <w:p w14:paraId="313BBC9B" w14:textId="77777777" w:rsidR="00B70BB0" w:rsidRPr="00EB2675" w:rsidRDefault="00C76947">
      <w:pPr>
        <w:pStyle w:val="NormalWeb"/>
        <w:jc w:val="both"/>
        <w:rPr>
          <w:b/>
          <w:bCs/>
        </w:rPr>
      </w:pPr>
      <w:r w:rsidRPr="00EB2675">
        <w:t xml:space="preserve">However, empirical evidence on this moderating relationship remains </w:t>
      </w:r>
      <w:r w:rsidRPr="00EB2675">
        <w:rPr>
          <w:rStyle w:val="Strong"/>
          <w:b w:val="0"/>
          <w:bCs w:val="0"/>
        </w:rPr>
        <w:t>sparse</w:t>
      </w:r>
      <w:r w:rsidRPr="00EB2675">
        <w:rPr>
          <w:b/>
          <w:bCs/>
        </w:rPr>
        <w:t>,</w:t>
      </w:r>
      <w:r w:rsidRPr="00EB2675">
        <w:t xml:space="preserve"> particularly in </w:t>
      </w:r>
      <w:r w:rsidRPr="00EB2675">
        <w:rPr>
          <w:rStyle w:val="Strong"/>
          <w:b w:val="0"/>
          <w:bCs w:val="0"/>
        </w:rPr>
        <w:t>Nigeri</w:t>
      </w:r>
      <w:r w:rsidRPr="00EB2675">
        <w:rPr>
          <w:rStyle w:val="Strong"/>
          <w:b w:val="0"/>
          <w:bCs w:val="0"/>
        </w:rPr>
        <w:t>a’s non-service sector</w:t>
      </w:r>
      <w:r w:rsidRPr="00EB2675">
        <w:t xml:space="preserve">, where governance dynamics differ from the heavily regulated banking and financial sectors. This absence of moderation-focused research forms a </w:t>
      </w:r>
      <w:r w:rsidRPr="00EB2675">
        <w:rPr>
          <w:rStyle w:val="Strong"/>
          <w:b w:val="0"/>
          <w:bCs w:val="0"/>
        </w:rPr>
        <w:t>critical gap</w:t>
      </w:r>
      <w:r w:rsidRPr="00EB2675">
        <w:t xml:space="preserve"> in the existing literature. Addressing this gap will not only clarify the in</w:t>
      </w:r>
      <w:r w:rsidRPr="00EB2675">
        <w:t xml:space="preserve">dependence–quality nexus but also contribute to the broader discourse on institutional governance and sustainable </w:t>
      </w:r>
      <w:r w:rsidRPr="00EB2675">
        <w:lastRenderedPageBreak/>
        <w:t xml:space="preserve">development by promoting transparency and accountability (aligned with </w:t>
      </w:r>
      <w:r w:rsidRPr="00EB2675">
        <w:rPr>
          <w:rStyle w:val="Strong"/>
          <w:b w:val="0"/>
          <w:bCs w:val="0"/>
        </w:rPr>
        <w:t>SDG 16: Peace, Justice, and Strong Institutions</w:t>
      </w:r>
      <w:r w:rsidRPr="00EB2675">
        <w:rPr>
          <w:b/>
          <w:bCs/>
        </w:rPr>
        <w:t>).</w:t>
      </w:r>
    </w:p>
    <w:p w14:paraId="5BBF51D6" w14:textId="77777777" w:rsidR="00B70BB0" w:rsidRPr="00EB2675" w:rsidRDefault="00C76947">
      <w:pPr>
        <w:pStyle w:val="NormalWeb"/>
        <w:jc w:val="both"/>
      </w:pPr>
      <w:r w:rsidRPr="00EB2675">
        <w:t>Based on this identif</w:t>
      </w:r>
      <w:r w:rsidRPr="00EB2675">
        <w:t>ied gap, the following hypothesis is proposed:</w:t>
      </w:r>
    </w:p>
    <w:p w14:paraId="55B35C2D" w14:textId="77777777" w:rsidR="00B70BB0" w:rsidRPr="00EB2675" w:rsidRDefault="00C76947" w:rsidP="00FE6349">
      <w:pPr>
        <w:pStyle w:val="NormalWeb"/>
        <w:ind w:right="720"/>
        <w:jc w:val="both"/>
        <w:rPr>
          <w:i/>
          <w:iCs/>
        </w:rPr>
      </w:pPr>
      <w:r w:rsidRPr="00EB2675">
        <w:rPr>
          <w:rStyle w:val="Strong"/>
          <w:i/>
          <w:iCs/>
        </w:rPr>
        <w:t>H</w:t>
      </w:r>
      <w:r w:rsidRPr="00EB2675">
        <w:rPr>
          <w:rStyle w:val="Strong"/>
          <w:i/>
          <w:iCs/>
          <w:vertAlign w:val="subscript"/>
        </w:rPr>
        <w:t>01</w:t>
      </w:r>
      <w:r w:rsidRPr="00EB2675">
        <w:rPr>
          <w:rStyle w:val="Strong"/>
          <w:i/>
          <w:iCs/>
        </w:rPr>
        <w:t>:</w:t>
      </w:r>
      <w:r w:rsidRPr="00EB2675">
        <w:rPr>
          <w:i/>
          <w:iCs/>
        </w:rPr>
        <w:t xml:space="preserve"> Audit committee independence does not moderate the relationship between auditor independence and audit quality of listed non-service companies in Nigeria.</w:t>
      </w:r>
    </w:p>
    <w:p w14:paraId="5CE41797" w14:textId="77777777" w:rsidR="00B70BB0" w:rsidRPr="00EB2675" w:rsidRDefault="00B70BB0">
      <w:pPr>
        <w:jc w:val="both"/>
        <w:rPr>
          <w:rFonts w:ascii="Times New Roman" w:hAnsi="Times New Roman"/>
          <w:bCs/>
          <w:iCs/>
          <w:color w:val="000000" w:themeColor="text1"/>
        </w:rPr>
      </w:pPr>
    </w:p>
    <w:p w14:paraId="3569F59D"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2.2</w:t>
      </w:r>
      <w:r w:rsidR="004813FD" w:rsidRPr="00EB2675">
        <w:rPr>
          <w:rStyle w:val="Strong"/>
          <w:rFonts w:ascii="Times New Roman" w:hAnsi="Times New Roman" w:cs="Times New Roman"/>
          <w:color w:val="000000" w:themeColor="text1"/>
          <w:sz w:val="24"/>
          <w:szCs w:val="24"/>
        </w:rPr>
        <w:t xml:space="preserve"> </w:t>
      </w:r>
      <w:r w:rsidRPr="00EB2675">
        <w:rPr>
          <w:rStyle w:val="Strong"/>
          <w:rFonts w:ascii="Times New Roman" w:hAnsi="Times New Roman" w:cs="Times New Roman"/>
          <w:color w:val="000000" w:themeColor="text1"/>
          <w:sz w:val="24"/>
          <w:szCs w:val="24"/>
        </w:rPr>
        <w:t>Audit Fees and Audit Quality</w:t>
      </w:r>
    </w:p>
    <w:p w14:paraId="3D00683E" w14:textId="77777777" w:rsidR="00B70BB0" w:rsidRPr="00EB2675" w:rsidRDefault="00C76947">
      <w:pPr>
        <w:pStyle w:val="NormalWeb"/>
        <w:jc w:val="both"/>
      </w:pPr>
      <w:r w:rsidRPr="00EB2675">
        <w:t>Audit fees represent the economic bond between the auditor and the client and are often regarded as a double-edged sword in the audit quality debate. On one hand, adequate fees enable auditors to devote sufficient time and expertise to an engagement, there</w:t>
      </w:r>
      <w:r w:rsidRPr="00EB2675">
        <w:t xml:space="preserve">by improving quality. On the other, excessive dependence on client fees can impair independence, undermining the auditor’s objectivity and </w:t>
      </w:r>
      <w:proofErr w:type="spellStart"/>
      <w:r w:rsidRPr="00EB2675">
        <w:t>scepticism</w:t>
      </w:r>
      <w:proofErr w:type="spellEnd"/>
      <w:r w:rsidRPr="00EB2675">
        <w:t xml:space="preserve"> </w:t>
      </w:r>
      <w:r w:rsidR="004813FD" w:rsidRPr="00EB2675">
        <w:fldChar w:fldCharType="begin" w:fldLock="1"/>
      </w:r>
      <w:r w:rsidR="00EA018C"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4813FD" w:rsidRPr="00EB2675">
        <w:fldChar w:fldCharType="separate"/>
      </w:r>
      <w:r w:rsidR="004813FD" w:rsidRPr="00EB2675">
        <w:rPr>
          <w:noProof/>
        </w:rPr>
        <w:t>(DeAngelo, 1981)</w:t>
      </w:r>
      <w:r w:rsidR="004813FD" w:rsidRPr="00EB2675">
        <w:fldChar w:fldCharType="end"/>
      </w:r>
      <w:r w:rsidR="004813FD" w:rsidRPr="00EB2675">
        <w:t>.</w:t>
      </w:r>
      <w:r w:rsidRPr="00EB2675">
        <w:t xml:space="preserve"> The empirical literature presents </w:t>
      </w:r>
      <w:r w:rsidRPr="00EB2675">
        <w:rPr>
          <w:rStyle w:val="Strong"/>
          <w:b w:val="0"/>
          <w:bCs w:val="0"/>
        </w:rPr>
        <w:t>mixe</w:t>
      </w:r>
      <w:r w:rsidRPr="00EB2675">
        <w:rPr>
          <w:rStyle w:val="Strong"/>
          <w:b w:val="0"/>
          <w:bCs w:val="0"/>
        </w:rPr>
        <w:t>d findings</w:t>
      </w:r>
      <w:r w:rsidRPr="00EB2675">
        <w:rPr>
          <w:b/>
          <w:bCs/>
        </w:rPr>
        <w:t>,</w:t>
      </w:r>
      <w:r w:rsidRPr="00EB2675">
        <w:t xml:space="preserve"> reflecting diverse contexts, proxies, and methodological approaches.</w:t>
      </w:r>
    </w:p>
    <w:p w14:paraId="53ABF50E" w14:textId="77777777" w:rsidR="00A7608D" w:rsidRPr="00EB2675" w:rsidRDefault="00C76947">
      <w:pPr>
        <w:pStyle w:val="NormalWeb"/>
        <w:jc w:val="both"/>
      </w:pPr>
      <w:r w:rsidRPr="00EB2675">
        <w:t xml:space="preserve">Several studies have reported a positive and significant </w:t>
      </w:r>
      <w:r w:rsidR="004813FD" w:rsidRPr="00EB2675">
        <w:t>relationship</w:t>
      </w:r>
      <w:r w:rsidRPr="00EB2675">
        <w:t xml:space="preserve"> between audit fees and audit quality. </w:t>
      </w:r>
      <w:r w:rsidR="00EA018C" w:rsidRPr="00EB2675">
        <w:fldChar w:fldCharType="begin" w:fldLock="1"/>
      </w:r>
      <w:r w:rsidR="00A7608D"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EA018C" w:rsidRPr="00EB2675">
        <w:fldChar w:fldCharType="separate"/>
      </w:r>
      <w:r w:rsidR="00EA018C" w:rsidRPr="00EB2675">
        <w:rPr>
          <w:noProof/>
        </w:rPr>
        <w:t>Al-Shaer and Zaman (2024)</w:t>
      </w:r>
      <w:r w:rsidR="00EA018C" w:rsidRPr="00EB2675">
        <w:fldChar w:fldCharType="end"/>
      </w:r>
      <w:r w:rsidRPr="00EB2675">
        <w:t xml:space="preserve"> found that higher audit fees, when reflective of greate</w:t>
      </w:r>
      <w:r w:rsidRPr="00EB2675">
        <w:t xml:space="preserve">r audit effort and expertise, improved both financial and sustainability assurance quality across multinational corporations. Similarly, </w:t>
      </w:r>
      <w:r w:rsidR="00A7608D" w:rsidRPr="00EB2675">
        <w:fldChar w:fldCharType="begin" w:fldLock="1"/>
      </w:r>
      <w:r w:rsidR="00A7608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A7608D" w:rsidRPr="00EB2675">
        <w:fldChar w:fldCharType="separate"/>
      </w:r>
      <w:r w:rsidR="00A7608D" w:rsidRPr="00EB2675">
        <w:rPr>
          <w:noProof/>
        </w:rPr>
        <w:t>Akinsulire and Dabor (2024)</w:t>
      </w:r>
      <w:r w:rsidR="00A7608D" w:rsidRPr="00EB2675">
        <w:fldChar w:fldCharType="end"/>
      </w:r>
      <w:r w:rsidRPr="00EB2675">
        <w:t>, examining Nigerian non-financial firms, revealed that firms paying higher audit fees experie</w:t>
      </w:r>
      <w:r w:rsidRPr="00EB2675">
        <w:t>nced fewer discretionary accruals, suggesting enhanced audit diligence.</w:t>
      </w:r>
    </w:p>
    <w:p w14:paraId="06E4EE76" w14:textId="77777777" w:rsidR="000559E0" w:rsidRPr="00EB2675" w:rsidRDefault="00C76947">
      <w:pPr>
        <w:pStyle w:val="NormalWeb"/>
        <w:jc w:val="both"/>
      </w:pPr>
      <w:r w:rsidRPr="00EB2675">
        <w:br/>
        <w:t xml:space="preserve">In a cross-country study, </w:t>
      </w:r>
      <w:r w:rsidR="00A7608D" w:rsidRPr="00EB2675">
        <w:fldChar w:fldCharType="begin" w:fldLock="1"/>
      </w:r>
      <w:r w:rsidR="00A7608D"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00A7608D" w:rsidRPr="00EB2675">
        <w:fldChar w:fldCharType="separate"/>
      </w:r>
      <w:r w:rsidR="00A7608D" w:rsidRPr="00EB2675">
        <w:rPr>
          <w:noProof/>
        </w:rPr>
        <w:t>Sawaya et al., (2025)</w:t>
      </w:r>
      <w:r w:rsidR="00A7608D" w:rsidRPr="00EB2675">
        <w:fldChar w:fldCharType="end"/>
      </w:r>
      <w:r w:rsidRPr="00EB2675">
        <w:t xml:space="preserve"> observed that higher fees corresponded with increased audit effort and more conservative reporting, particularly in jurisdictions with stronger investor protection. Likewise,</w:t>
      </w:r>
      <w:r w:rsidR="00A7608D" w:rsidRPr="00EB2675">
        <w:t xml:space="preserve"> </w:t>
      </w:r>
      <w:r w:rsidR="00A7608D" w:rsidRPr="00EB2675">
        <w:fldChar w:fldCharType="begin" w:fldLock="1"/>
      </w:r>
      <w:r w:rsidR="000559E0"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A7608D" w:rsidRPr="00EB2675">
        <w:fldChar w:fldCharType="separate"/>
      </w:r>
      <w:r w:rsidR="00A7608D" w:rsidRPr="00EB2675">
        <w:rPr>
          <w:noProof/>
        </w:rPr>
        <w:t>Adegbie et al., (2025)</w:t>
      </w:r>
      <w:r w:rsidR="00A7608D" w:rsidRPr="00EB2675">
        <w:fldChar w:fldCharType="end"/>
      </w:r>
      <w:r w:rsidRPr="00EB2675">
        <w:t xml:space="preserve"> noted that adequate audit fees strengthened financial reporting reliability in Sub-Saharan Africa’s listed companies by </w:t>
      </w:r>
      <w:r w:rsidRPr="00EB2675">
        <w:t>allowing auditors to recruit skilled staff and perform extensive risk assessments.</w:t>
      </w:r>
      <w:r w:rsidR="000559E0" w:rsidRPr="00EB2675">
        <w:t xml:space="preserve"> </w:t>
      </w:r>
    </w:p>
    <w:p w14:paraId="179CC637" w14:textId="77777777" w:rsidR="00B70BB0" w:rsidRPr="00EB2675" w:rsidRDefault="00C76947">
      <w:pPr>
        <w:pStyle w:val="NormalWeb"/>
        <w:jc w:val="both"/>
      </w:pPr>
      <w:r w:rsidRPr="00EB2675">
        <w:t>Collectively, these studies affirm that reasonable audit fees, aligned with engagement complexity and risk exposure, positively influence audit quality by supporting profes</w:t>
      </w:r>
      <w:r w:rsidRPr="00EB2675">
        <w:t>sional competence and independence of mind.</w:t>
      </w:r>
    </w:p>
    <w:p w14:paraId="746CD8EF" w14:textId="77777777" w:rsidR="00B70BB0" w:rsidRPr="00EB2675" w:rsidRDefault="00B70BB0">
      <w:pPr>
        <w:jc w:val="both"/>
        <w:rPr>
          <w:rFonts w:ascii="Times New Roman" w:hAnsi="Times New Roman"/>
        </w:rPr>
      </w:pPr>
    </w:p>
    <w:p w14:paraId="0ECB486E" w14:textId="77777777" w:rsidR="00B70BB0" w:rsidRPr="00EB2675" w:rsidRDefault="00C76947">
      <w:pPr>
        <w:pStyle w:val="NormalWeb"/>
        <w:jc w:val="both"/>
      </w:pPr>
      <w:r w:rsidRPr="00EB2675">
        <w:t>Contrary evidence exists suggesting that excessive audit fees may reduce audit quality due to economic dependence or compromised independence.</w:t>
      </w:r>
      <w:r w:rsidR="000559E0" w:rsidRPr="00EB2675">
        <w:t xml:space="preserve"> </w:t>
      </w:r>
      <w:r w:rsidR="000559E0" w:rsidRPr="00EB2675">
        <w:fldChar w:fldCharType="begin" w:fldLock="1"/>
      </w:r>
      <w:r w:rsidR="000559E0"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0559E0" w:rsidRPr="00EB2675">
        <w:fldChar w:fldCharType="separate"/>
      </w:r>
      <w:r w:rsidR="000559E0" w:rsidRPr="00EB2675">
        <w:rPr>
          <w:noProof/>
        </w:rPr>
        <w:t>Obid et al., (2023)</w:t>
      </w:r>
      <w:r w:rsidR="000559E0" w:rsidRPr="00EB2675">
        <w:fldChar w:fldCharType="end"/>
      </w:r>
      <w:r w:rsidR="000559E0" w:rsidRPr="00EB2675">
        <w:t xml:space="preserve">, </w:t>
      </w:r>
      <w:r w:rsidRPr="00EB2675">
        <w:t xml:space="preserve">found that abnormally high audit fees in Malaysian listed firms were negatively associated with audit quality, as auditors were reluctant to challenge management to preserve lucrative engagements. In a similar vein, </w:t>
      </w:r>
      <w:r w:rsidR="000559E0" w:rsidRPr="00EB2675">
        <w:fldChar w:fldCharType="begin" w:fldLock="1"/>
      </w:r>
      <w:r w:rsidR="000559E0"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0559E0" w:rsidRPr="00EB2675">
        <w:fldChar w:fldCharType="separate"/>
      </w:r>
      <w:r w:rsidR="000559E0" w:rsidRPr="00EB2675">
        <w:rPr>
          <w:noProof/>
        </w:rPr>
        <w:t xml:space="preserve"> Khan et al., (2024)</w:t>
      </w:r>
      <w:r w:rsidR="000559E0" w:rsidRPr="00EB2675">
        <w:fldChar w:fldCharType="end"/>
      </w:r>
      <w:r w:rsidR="000559E0" w:rsidRPr="00EB2675">
        <w:t xml:space="preserve"> </w:t>
      </w:r>
      <w:r w:rsidRPr="00EB2675">
        <w:t xml:space="preserve">discovered that fee dependence in Asian emerging markets led to audit complacency, with auditors </w:t>
      </w:r>
      <w:proofErr w:type="spellStart"/>
      <w:r w:rsidRPr="00EB2675">
        <w:t>prioritising</w:t>
      </w:r>
      <w:proofErr w:type="spellEnd"/>
      <w:r w:rsidRPr="00EB2675">
        <w:t xml:space="preserve"> client retention over professional </w:t>
      </w:r>
      <w:proofErr w:type="spellStart"/>
      <w:r w:rsidRPr="00EB2675">
        <w:t>scepticism</w:t>
      </w:r>
      <w:proofErr w:type="spellEnd"/>
      <w:r w:rsidRPr="00EB2675">
        <w:t>.</w:t>
      </w:r>
      <w:r w:rsidRPr="00EB2675">
        <w:br/>
        <w:t>In Nigeria,</w:t>
      </w:r>
      <w:r w:rsidR="000559E0" w:rsidRPr="00EB2675">
        <w:fldChar w:fldCharType="begin" w:fldLock="1"/>
      </w:r>
      <w:r w:rsidR="00890E07"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0559E0" w:rsidRPr="00EB2675">
        <w:fldChar w:fldCharType="separate"/>
      </w:r>
      <w:r w:rsidR="000559E0" w:rsidRPr="00EB2675">
        <w:rPr>
          <w:noProof/>
        </w:rPr>
        <w:t xml:space="preserve"> Oloruntoba and Enyi (2024)</w:t>
      </w:r>
      <w:r w:rsidR="000559E0" w:rsidRPr="00EB2675">
        <w:fldChar w:fldCharType="end"/>
      </w:r>
      <w:r w:rsidR="00890E07" w:rsidRPr="00EB2675">
        <w:t>,</w:t>
      </w:r>
      <w:r w:rsidR="000559E0" w:rsidRPr="00EB2675">
        <w:t xml:space="preserve"> </w:t>
      </w:r>
      <w:r w:rsidRPr="00EB2675">
        <w:t>re</w:t>
      </w:r>
      <w:r w:rsidRPr="00EB2675">
        <w:t xml:space="preserve">ported a negative and significant relationship between abnormal audit fees and audit quality, concluding that auditors who rely heavily on a single client’s </w:t>
      </w:r>
      <w:r w:rsidRPr="00EB2675">
        <w:lastRenderedPageBreak/>
        <w:t>fees face incentives to compromise independence.</w:t>
      </w:r>
      <w:r w:rsidR="00890E07" w:rsidRPr="00EB2675">
        <w:fldChar w:fldCharType="begin" w:fldLock="1"/>
      </w:r>
      <w:r w:rsidR="00FB767D"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890E07" w:rsidRPr="00EB2675">
        <w:fldChar w:fldCharType="separate"/>
      </w:r>
      <w:r w:rsidR="00890E07" w:rsidRPr="00EB2675">
        <w:rPr>
          <w:noProof/>
        </w:rPr>
        <w:t xml:space="preserve"> Oyeleke and Adebayo (2024)</w:t>
      </w:r>
      <w:r w:rsidR="00890E07" w:rsidRPr="00EB2675">
        <w:fldChar w:fldCharType="end"/>
      </w:r>
      <w:r w:rsidR="00890E07" w:rsidRPr="00EB2675">
        <w:t>,</w:t>
      </w:r>
      <w:r w:rsidRPr="00EB2675">
        <w:t xml:space="preserve"> also noted that </w:t>
      </w:r>
      <w:r w:rsidRPr="00EB2675">
        <w:t>fee-driven relationships often foster a quasi-client capture effect, resulting in less rigorous audit scrutiny.</w:t>
      </w:r>
      <w:r w:rsidR="00890E07" w:rsidRPr="00EB2675">
        <w:t xml:space="preserve"> </w:t>
      </w:r>
      <w:r w:rsidRPr="00EB2675">
        <w:t>These findings reveal that while remuneration is necessary for quality audits, excessive economic ties can compromise auditor objectivity, parti</w:t>
      </w:r>
      <w:r w:rsidRPr="00EB2675">
        <w:t>cularly in weak regulatory environments where oversight of fee structures is limited.</w:t>
      </w:r>
    </w:p>
    <w:p w14:paraId="27A66453" w14:textId="77777777" w:rsidR="00B70BB0" w:rsidRPr="00EB2675" w:rsidRDefault="00C76947">
      <w:pPr>
        <w:pStyle w:val="NormalWeb"/>
        <w:jc w:val="both"/>
      </w:pPr>
      <w:r w:rsidRPr="00EB2675">
        <w:t xml:space="preserve">Several studies document an insignificant relationship between audit fees and audit quality, implying that fee levels alone may not determine audit outcomes. </w:t>
      </w:r>
      <w:r w:rsidR="00FB767D" w:rsidRPr="00EB2675">
        <w:fldChar w:fldCharType="begin" w:fldLock="1"/>
      </w:r>
      <w:r w:rsidR="00FB767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FB767D" w:rsidRPr="00EB2675">
        <w:fldChar w:fldCharType="separate"/>
      </w:r>
      <w:r w:rsidR="00FB767D" w:rsidRPr="00EB2675">
        <w:rPr>
          <w:noProof/>
        </w:rPr>
        <w:t>Akinsulire and Dabor (2024)</w:t>
      </w:r>
      <w:r w:rsidR="00FB767D" w:rsidRPr="00EB2675">
        <w:fldChar w:fldCharType="end"/>
      </w:r>
      <w:r w:rsidR="00FB767D" w:rsidRPr="00EB2675">
        <w:t xml:space="preserve"> </w:t>
      </w:r>
      <w:r w:rsidRPr="00EB2675">
        <w:t xml:space="preserve"> observed that, although audit fees had a positive coefficient, the effect was statistically insignificant among Nigerian listed companies, suggesting that other firm-specific characteristics</w:t>
      </w:r>
      <w:r w:rsidR="008B0C77" w:rsidRPr="00EB2675">
        <w:t xml:space="preserve"> </w:t>
      </w:r>
      <w:r w:rsidRPr="00EB2675">
        <w:t>such as governance structure or auditor tenure</w:t>
      </w:r>
      <w:r w:rsidR="00FB767D" w:rsidRPr="00EB2675">
        <w:t xml:space="preserve"> </w:t>
      </w:r>
      <w:r w:rsidRPr="00EB2675">
        <w:t xml:space="preserve">might be more decisive. Similarly, </w:t>
      </w:r>
      <w:r w:rsidR="00FB767D" w:rsidRPr="00EB2675">
        <w:fldChar w:fldCharType="begin" w:fldLock="1"/>
      </w:r>
      <w:r w:rsidR="00FB767D"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FB767D" w:rsidRPr="00EB2675">
        <w:fldChar w:fldCharType="separate"/>
      </w:r>
      <w:r w:rsidR="00FB767D" w:rsidRPr="00EB2675">
        <w:rPr>
          <w:noProof/>
        </w:rPr>
        <w:t>Lai and Tang, (2023)</w:t>
      </w:r>
      <w:r w:rsidR="00FB767D" w:rsidRPr="00EB2675">
        <w:fldChar w:fldCharType="end"/>
      </w:r>
      <w:r w:rsidR="00FB767D" w:rsidRPr="00EB2675">
        <w:t xml:space="preserve"> </w:t>
      </w:r>
      <w:r w:rsidRPr="00EB2675">
        <w:t>found no significant effect of audit fees on audit quality in developed markets, attributing this to the high degree of professional regulation and reputational risk faced by auditors in those jurisdictions.</w:t>
      </w:r>
      <w:r w:rsidRPr="00EB2675">
        <w:br/>
      </w:r>
      <w:r w:rsidR="00FB767D" w:rsidRPr="00EB2675">
        <w:rPr>
          <w:rStyle w:val="Strong"/>
        </w:rPr>
        <w:fldChar w:fldCharType="begin" w:fldLock="1"/>
      </w:r>
      <w:r w:rsidR="00D92A21" w:rsidRPr="00EB2675">
        <w:rPr>
          <w:rStyle w:val="Strong"/>
        </w:rPr>
        <w:instrText>ADDIN CSL_CITATION {"citationItems":[{"id":"ITEM-1","itemData":{"author":[{"dropping-particle":"","family":"Adewale","given":"J. K.","non-dropping-particle":"","parse-names":false,"suffix":""},{"dropping-particle":"","family":"Oyeleke","given":"A. A.","non-dropping-particle":"","parse-names":false,"suffix":""}],"container-title":"African Journal of Accounting and Governance","id":"ITEM-1","issue":"1","issued":{"date-parts":[["2025"]]},"page":"67-89","title":"Audit fees, independence, and audit quality nexus in Nigerian non-financial firms","type":"article-journal","volume":"12"},"uris":["http://www.mendeley.com/documents/?uuid=e5a38cf0-5115-42d6-bfd6-1dee0d155186"]}],"mendeley":{"formattedCitation":"(Adewale &amp; Oyeleke, 2025)","manualFormatting":"Adewale and Oyeleke (2025)","plainTextFormattedCitation":"(Adewale &amp; Oyeleke, 2025)","previouslyFormattedCitation":"(Adewale &amp; Oyeleke, 2025)"},"properties":{"noteIndex":0},"schema":"https://github.com/citation-style-language/schema/raw/master/csl-citation.json"}</w:instrText>
      </w:r>
      <w:r w:rsidR="00FB767D" w:rsidRPr="00EB2675">
        <w:rPr>
          <w:rStyle w:val="Strong"/>
        </w:rPr>
        <w:fldChar w:fldCharType="separate"/>
      </w:r>
      <w:r w:rsidR="00FB767D" w:rsidRPr="00EB2675">
        <w:rPr>
          <w:rStyle w:val="Strong"/>
          <w:b w:val="0"/>
          <w:noProof/>
        </w:rPr>
        <w:t>Adewale and Oyeleke (2025)</w:t>
      </w:r>
      <w:r w:rsidR="00FB767D" w:rsidRPr="00EB2675">
        <w:rPr>
          <w:rStyle w:val="Strong"/>
        </w:rPr>
        <w:fldChar w:fldCharType="end"/>
      </w:r>
      <w:r w:rsidR="00FB767D" w:rsidRPr="00EB2675">
        <w:rPr>
          <w:rStyle w:val="Strong"/>
        </w:rPr>
        <w:t>,</w:t>
      </w:r>
      <w:r w:rsidRPr="00EB2675">
        <w:t xml:space="preserve"> </w:t>
      </w:r>
      <w:proofErr w:type="spellStart"/>
      <w:r w:rsidRPr="00EB2675">
        <w:t>analysing</w:t>
      </w:r>
      <w:proofErr w:type="spellEnd"/>
      <w:r w:rsidRPr="00EB2675">
        <w:t xml:space="preserve"> 85 non-finan</w:t>
      </w:r>
      <w:r w:rsidRPr="00EB2675">
        <w:t>cial firms in Nigeria, also reported that audit fees were not a significant predictor of audit quality when controlling for auditor independence and partner rotation. They concluded that in Nigeria’s evolving corporate environment, the quality of audit ove</w:t>
      </w:r>
      <w:r w:rsidRPr="00EB2675">
        <w:t>rsight, rather than fee magnitude, determines audit outcomes.</w:t>
      </w:r>
      <w:r w:rsidRPr="00EB2675">
        <w:br/>
        <w:t>The recurring insignificance of audit fees in some empirical models implies that fees may exert an indirect or conditional influence</w:t>
      </w:r>
      <w:r w:rsidR="00FB767D" w:rsidRPr="00EB2675">
        <w:t xml:space="preserve"> </w:t>
      </w:r>
      <w:r w:rsidRPr="00EB2675">
        <w:t>mediated or moderated by governance mechanisms and audit firm</w:t>
      </w:r>
      <w:r w:rsidRPr="00EB2675">
        <w:t xml:space="preserve"> attributes.</w:t>
      </w:r>
    </w:p>
    <w:p w14:paraId="35639F1E" w14:textId="77777777" w:rsidR="00B70BB0" w:rsidRPr="00EB2675" w:rsidRDefault="00C76947">
      <w:pPr>
        <w:pStyle w:val="NormalWeb"/>
        <w:jc w:val="both"/>
      </w:pPr>
      <w:r w:rsidRPr="00EB2675">
        <w:t xml:space="preserve">The foregoing evidence underscores a </w:t>
      </w:r>
      <w:r w:rsidRPr="00EB2675">
        <w:rPr>
          <w:rStyle w:val="Strong"/>
          <w:b w:val="0"/>
          <w:bCs w:val="0"/>
        </w:rPr>
        <w:t>persistent inconsistency</w:t>
      </w:r>
      <w:r w:rsidRPr="00EB2675">
        <w:t xml:space="preserve"> in the empirical relationship between audit fees and audit quality across both developed and emerging markets. While some studies posit that higher fees enhance audit effort, others</w:t>
      </w:r>
      <w:r w:rsidRPr="00EB2675">
        <w:t xml:space="preserve"> argue that they impair independence, and still others find no meaningful effect at all. These mixed results may arise from contextual differences, varying proxies for audit quality, and institutional disparities in fee regulation and auditor oversight.</w:t>
      </w:r>
    </w:p>
    <w:p w14:paraId="49DC0901" w14:textId="77777777" w:rsidR="00B70BB0" w:rsidRPr="00EB2675" w:rsidRDefault="00C76947">
      <w:pPr>
        <w:pStyle w:val="NormalWeb"/>
        <w:jc w:val="both"/>
      </w:pPr>
      <w:r w:rsidRPr="00EB2675">
        <w:t>Cr</w:t>
      </w:r>
      <w:r w:rsidR="00D92A21" w:rsidRPr="00EB2675">
        <w:t>itic</w:t>
      </w:r>
      <w:r w:rsidRPr="00EB2675">
        <w:t xml:space="preserve">ally, most prior studies in Nigeria have focused on the </w:t>
      </w:r>
      <w:r w:rsidRPr="00EB2675">
        <w:rPr>
          <w:rStyle w:val="Strong"/>
          <w:b w:val="0"/>
          <w:bCs w:val="0"/>
        </w:rPr>
        <w:t>direct link</w:t>
      </w:r>
      <w:r w:rsidRPr="00EB2675">
        <w:t xml:space="preserve"> between audit fees and audit quality, with limited attention to the </w:t>
      </w:r>
      <w:r w:rsidRPr="00EB2675">
        <w:rPr>
          <w:rStyle w:val="Strong"/>
          <w:b w:val="0"/>
          <w:bCs w:val="0"/>
        </w:rPr>
        <w:t>moderating influence of audit committee</w:t>
      </w:r>
      <w:r w:rsidRPr="00EB2675">
        <w:rPr>
          <w:rStyle w:val="Strong"/>
        </w:rPr>
        <w:t xml:space="preserve"> </w:t>
      </w:r>
      <w:r w:rsidRPr="00EB2675">
        <w:rPr>
          <w:rStyle w:val="Strong"/>
          <w:b w:val="0"/>
          <w:bCs w:val="0"/>
        </w:rPr>
        <w:t>independence</w:t>
      </w:r>
      <w:r w:rsidRPr="00EB2675">
        <w:t>. In theory, a truly independent audit committee serves as a buf</w:t>
      </w:r>
      <w:r w:rsidRPr="00EB2675">
        <w:t xml:space="preserve">fer between auditors and management by reviewing and approving audit fees objectively, ensuring they reflect engagement risk rather than management influence </w:t>
      </w:r>
      <w:r w:rsidR="00D92A21" w:rsidRPr="00EB2675">
        <w:fldChar w:fldCharType="begin" w:fldLock="1"/>
      </w:r>
      <w:r w:rsidR="000507A1"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92A21" w:rsidRPr="00EB2675">
        <w:fldChar w:fldCharType="separate"/>
      </w:r>
      <w:r w:rsidR="00D92A21" w:rsidRPr="00EB2675">
        <w:rPr>
          <w:noProof/>
        </w:rPr>
        <w:t>(DeZoort &amp; Hermanson, 2024)</w:t>
      </w:r>
      <w:r w:rsidR="00D92A21" w:rsidRPr="00EB2675">
        <w:fldChar w:fldCharType="end"/>
      </w:r>
      <w:r w:rsidRPr="00EB2675">
        <w:t>. When the audit committee is independent, it mitigates fee-related threats to auditor independence, thereby improving audit quality.</w:t>
      </w:r>
    </w:p>
    <w:p w14:paraId="195253AB" w14:textId="77777777" w:rsidR="00B70BB0" w:rsidRPr="00EB2675" w:rsidRDefault="00C76947">
      <w:pPr>
        <w:pStyle w:val="NormalWeb"/>
        <w:jc w:val="both"/>
      </w:pPr>
      <w:r w:rsidRPr="00EB2675">
        <w:t xml:space="preserve">However, empirical </w:t>
      </w:r>
      <w:r w:rsidR="00074248" w:rsidRPr="00EB2675">
        <w:t>examina</w:t>
      </w:r>
      <w:r w:rsidRPr="00EB2675">
        <w:t xml:space="preserve">tion of this moderating role remains sparse, particularly in Nigeria’s </w:t>
      </w:r>
      <w:r w:rsidRPr="00EB2675">
        <w:rPr>
          <w:rStyle w:val="Strong"/>
          <w:b w:val="0"/>
          <w:bCs w:val="0"/>
        </w:rPr>
        <w:t>non-service sectors</w:t>
      </w:r>
      <w:r w:rsidRPr="00EB2675">
        <w:rPr>
          <w:b/>
          <w:bCs/>
        </w:rPr>
        <w:t>,</w:t>
      </w:r>
      <w:r w:rsidRPr="00EB2675">
        <w:t xml:space="preserve"> where ownership concentration and weak governance structures are prevalent. Exploring this gap is not only relevant for corporate accounta</w:t>
      </w:r>
      <w:r w:rsidRPr="00EB2675">
        <w:t xml:space="preserve">bility but also supports </w:t>
      </w:r>
      <w:r w:rsidRPr="00EB2675">
        <w:rPr>
          <w:rStyle w:val="Strong"/>
          <w:b w:val="0"/>
          <w:bCs w:val="0"/>
        </w:rPr>
        <w:t>Sustainable Development Goal 16 (Peace, Justice, and Strong Institutions)</w:t>
      </w:r>
      <w:r w:rsidRPr="00EB2675">
        <w:t xml:space="preserve"> by promoting transparent and ethical financial oversight.</w:t>
      </w:r>
    </w:p>
    <w:p w14:paraId="0660749B" w14:textId="77777777" w:rsidR="00B70BB0" w:rsidRPr="00EB2675" w:rsidRDefault="00C76947">
      <w:pPr>
        <w:pStyle w:val="NormalWeb"/>
        <w:jc w:val="both"/>
      </w:pPr>
      <w:r w:rsidRPr="00EB2675">
        <w:t>Based on this gap, the following hypothesis is proposed:</w:t>
      </w:r>
    </w:p>
    <w:p w14:paraId="3D661B9A" w14:textId="77777777" w:rsidR="00B70BB0" w:rsidRPr="00EB2675" w:rsidRDefault="00C76947" w:rsidP="008B0C77">
      <w:pPr>
        <w:pStyle w:val="NormalWeb"/>
        <w:ind w:right="720"/>
        <w:jc w:val="both"/>
        <w:rPr>
          <w:i/>
          <w:iCs/>
        </w:rPr>
      </w:pPr>
      <w:r w:rsidRPr="00EB2675">
        <w:rPr>
          <w:rStyle w:val="Strong"/>
          <w:i/>
          <w:iCs/>
        </w:rPr>
        <w:lastRenderedPageBreak/>
        <w:t>H</w:t>
      </w:r>
      <w:r w:rsidRPr="00EB2675">
        <w:rPr>
          <w:rStyle w:val="Strong"/>
          <w:i/>
          <w:iCs/>
          <w:vertAlign w:val="subscript"/>
        </w:rPr>
        <w:t>02</w:t>
      </w:r>
      <w:r w:rsidRPr="00EB2675">
        <w:rPr>
          <w:rStyle w:val="Strong"/>
          <w:i/>
          <w:iCs/>
        </w:rPr>
        <w:t>:</w:t>
      </w:r>
      <w:r w:rsidRPr="00EB2675">
        <w:rPr>
          <w:i/>
          <w:iCs/>
        </w:rPr>
        <w:t xml:space="preserve"> Audit committee independence does not moderate the relationship between audit fees and audit quality of listed non-service companies in Nigeria.</w:t>
      </w:r>
    </w:p>
    <w:p w14:paraId="113DACC1" w14:textId="77777777" w:rsidR="00B70BB0" w:rsidRPr="00EB2675" w:rsidRDefault="00B70BB0">
      <w:pPr>
        <w:jc w:val="both"/>
        <w:rPr>
          <w:rFonts w:ascii="Times New Roman" w:hAnsi="Times New Roman"/>
          <w:color w:val="000000" w:themeColor="text1"/>
        </w:rPr>
      </w:pPr>
    </w:p>
    <w:p w14:paraId="0619185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2.3 Audit Partner Rotation and Audit Quality</w:t>
      </w:r>
    </w:p>
    <w:p w14:paraId="0BC8A718" w14:textId="77777777" w:rsidR="00B70BB0" w:rsidRPr="00EB2675" w:rsidRDefault="00C76947">
      <w:pPr>
        <w:pStyle w:val="NormalWeb"/>
        <w:jc w:val="both"/>
      </w:pPr>
      <w:r w:rsidRPr="00EB2675">
        <w:t xml:space="preserve">Audit partner rotation refers to the periodic replacement of the lead audit partner responsible for a client’s engagement, typically mandated by regulatory authorities to enhance independence, objectivity, and professional </w:t>
      </w:r>
      <w:proofErr w:type="spellStart"/>
      <w:r w:rsidRPr="00EB2675">
        <w:t>scepticism</w:t>
      </w:r>
      <w:proofErr w:type="spellEnd"/>
      <w:r w:rsidRPr="00EB2675">
        <w:t xml:space="preserve">. The central argument </w:t>
      </w:r>
      <w:r w:rsidRPr="00EB2675">
        <w:t>is that long-term relationships between auditors and clients may lead to familiarity threats, reducing the likelihood of detecting misstatements or irregularities</w:t>
      </w:r>
      <w:r w:rsidR="002441D1" w:rsidRPr="00EB2675">
        <w:t xml:space="preserve"> </w:t>
      </w:r>
      <w:r w:rsidR="002441D1" w:rsidRPr="00EB2675">
        <w:fldChar w:fldCharType="begin" w:fldLock="1"/>
      </w:r>
      <w:r w:rsidR="00D06EE6" w:rsidRPr="00EB2675">
        <w:instrText>ADDIN CSL_CITATION {"citationItems":[{"id":"ITEM-1","itemData":{"ISBN":"9781608155460","author":[{"dropping-particle":"","family":"International Auditing Assurance Standards Board","given":"IAASB","non-dropping-particle":"","parse-names":false,"suffix":""}],"container-title":"International Auditing Assurance Standards Board","id":"ITEM-1","issued":{"date-parts":[["2024"]]},"number-of-pages":"1-134","title":"Handbook of international quality management, auditing, review, other assurance, and related services pronouncements","type":"book","volume":"II"},"uris":["http://www.mendeley.com/documents/?uuid=be10dbd7-ca03-4776-b501-03f932dd65fd"]}],"mendeley":{"formattedCitation":"(International Auditing Assurance Standards Board, 2024)","manualFormatting":"(International Auditing Assurance Standards Board (IAASB), 2024)","plainTextFormattedCitation":"(International Auditing Assurance Standards Board, 2024)","previouslyFormattedCitation":"(International Auditing Assurance Standards Board, 2024)"},"properties":{"noteIndex":0},"schema":"https://github.com/citation-style-language/schema/raw/master/csl-citation.json"}</w:instrText>
      </w:r>
      <w:r w:rsidR="002441D1" w:rsidRPr="00EB2675">
        <w:fldChar w:fldCharType="separate"/>
      </w:r>
      <w:r w:rsidR="002441D1" w:rsidRPr="00EB2675">
        <w:rPr>
          <w:noProof/>
        </w:rPr>
        <w:t>(International Auditing Assurance Standards Board (IAASB), 2024)</w:t>
      </w:r>
      <w:r w:rsidR="002441D1" w:rsidRPr="00EB2675">
        <w:fldChar w:fldCharType="end"/>
      </w:r>
      <w:r w:rsidR="002441D1" w:rsidRPr="00EB2675">
        <w:t>.</w:t>
      </w:r>
      <w:r w:rsidRPr="00EB2675">
        <w:t xml:space="preserve"> Conversely, rotation may also erode client-specific knowledge and efficiency, particularly in complex engagements. Thus, empirical research on the relationship between audit partner </w:t>
      </w:r>
      <w:r w:rsidRPr="00EB2675">
        <w:t xml:space="preserve">rotation and audit quality reveals </w:t>
      </w:r>
      <w:r w:rsidRPr="00EB2675">
        <w:rPr>
          <w:rStyle w:val="Strong"/>
          <w:b w:val="0"/>
          <w:bCs w:val="0"/>
        </w:rPr>
        <w:t>mixed findings</w:t>
      </w:r>
      <w:r w:rsidRPr="00EB2675">
        <w:t>, with some studies reporting positive, others negative, and some insignificant effects.</w:t>
      </w:r>
    </w:p>
    <w:p w14:paraId="2BBEE823" w14:textId="77777777" w:rsidR="006E19CE" w:rsidRPr="00EB2675" w:rsidRDefault="00C76947">
      <w:pPr>
        <w:pStyle w:val="NormalWeb"/>
        <w:jc w:val="both"/>
      </w:pPr>
      <w:r w:rsidRPr="00EB2675">
        <w:t xml:space="preserve">A substantial body of evidence suggests that audit partner rotation enhances audit quality by refreshing professional </w:t>
      </w:r>
      <w:proofErr w:type="spellStart"/>
      <w:r w:rsidRPr="00EB2675">
        <w:t>scepticism</w:t>
      </w:r>
      <w:proofErr w:type="spellEnd"/>
      <w:r w:rsidRPr="00EB2675">
        <w:t xml:space="preserve"> and reducing familiarity bias. </w:t>
      </w:r>
      <w:r w:rsidR="0068108E" w:rsidRPr="00EB2675">
        <w:fldChar w:fldCharType="begin" w:fldLock="1"/>
      </w:r>
      <w:r w:rsidR="006E19CE"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68108E" w:rsidRPr="00EB2675">
        <w:fldChar w:fldCharType="separate"/>
      </w:r>
      <w:r w:rsidR="0068108E" w:rsidRPr="00EB2675">
        <w:rPr>
          <w:noProof/>
        </w:rPr>
        <w:t>Adegbie et al., (2025)</w:t>
      </w:r>
      <w:r w:rsidR="0068108E" w:rsidRPr="00EB2675">
        <w:fldChar w:fldCharType="end"/>
      </w:r>
      <w:r w:rsidR="006E19CE" w:rsidRPr="00EB2675">
        <w:t>,</w:t>
      </w:r>
      <w:r w:rsidRPr="00EB2675">
        <w:t xml:space="preserve"> found that mandatory partner rotation significantly improved finan</w:t>
      </w:r>
      <w:r w:rsidRPr="00EB2675">
        <w:t xml:space="preserve">cial reporting reliability in Nigerian listed firms, particularly within the oil and gas sector, where long-term engagements had previously contributed to audit complacency. Similarly, </w:t>
      </w:r>
      <w:r w:rsidR="000507A1" w:rsidRPr="00EB2675">
        <w:fldChar w:fldCharType="begin" w:fldLock="1"/>
      </w:r>
      <w:r w:rsidR="0068108E" w:rsidRPr="00EB2675">
        <w:instrText>ADDIN CSL_CITATION {"citationItems":[{"id":"ITEM-1","itemData":{"author":[{"dropping-particle":"","family":"Gipper","given":"B.","non-dropping-particle":"","parse-names":false,"suffix":""},{"dropping-particle":"","family":"Lombardi","given":"T.","non-dropping-particle":"","parse-names":false,"suffix":""},{"dropping-particle":"","family":"McCracken","given":"S.","non-dropping-particle":"","parse-names":false,"suffix":""}],"container-title":"The Accounting Review","id":"ITEM-1","issue":"1","issued":{"date-parts":[["2024"]]},"page":"77-101","title":"Revisiting audit partner rotation and its implications for independence perception.","type":"article-journal","volume":"99"},"uris":["http://www.mendeley.com/documents/?uuid=482e10c6-c3ec-4cd1-8dc0-41e9ec50228c"]}],"mendeley":{"formattedCitation":"(Gipper et al., 2024)","manualFormatting":"Gipper et al., (2024)","plainTextFormattedCitation":"(Gipper et al., 2024)","previouslyFormattedCitation":"(Gipper et al., 2024)"},"properties":{"noteIndex":0},"schema":"https://github.com/citation-style-language/schema/raw/master/csl-citation.json"}</w:instrText>
      </w:r>
      <w:r w:rsidR="000507A1" w:rsidRPr="00EB2675">
        <w:fldChar w:fldCharType="separate"/>
      </w:r>
      <w:r w:rsidR="000507A1" w:rsidRPr="00EB2675">
        <w:rPr>
          <w:noProof/>
        </w:rPr>
        <w:t>Gipper et al., (2024)</w:t>
      </w:r>
      <w:r w:rsidR="000507A1" w:rsidRPr="00EB2675">
        <w:fldChar w:fldCharType="end"/>
      </w:r>
      <w:r w:rsidR="000507A1" w:rsidRPr="00EB2675">
        <w:t xml:space="preserve"> </w:t>
      </w:r>
      <w:r w:rsidRPr="00EB2675">
        <w:t>documented that partner rotation strengthened public confidence in auditor independence and enhanced the perceived credibility of audit</w:t>
      </w:r>
      <w:r w:rsidR="006E19CE" w:rsidRPr="00EB2675">
        <w:t xml:space="preserve"> </w:t>
      </w:r>
      <w:r w:rsidRPr="00EB2675">
        <w:t>reports.</w:t>
      </w:r>
      <w:r w:rsidR="006E19CE" w:rsidRPr="00EB2675">
        <w:t xml:space="preserve"> </w:t>
      </w:r>
    </w:p>
    <w:p w14:paraId="55DC44D4" w14:textId="77777777" w:rsidR="006E19CE" w:rsidRPr="00EB2675" w:rsidRDefault="006E19CE">
      <w:pPr>
        <w:pStyle w:val="NormalWeb"/>
        <w:jc w:val="both"/>
      </w:pPr>
      <w:r w:rsidRPr="00EB2675">
        <w:rPr>
          <w:rStyle w:val="Strong"/>
        </w:rPr>
        <w:fldChar w:fldCharType="begin" w:fldLock="1"/>
      </w:r>
      <w:r w:rsidRPr="00EB2675">
        <w:rPr>
          <w:rStyle w:val="Strong"/>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Pr="00EB2675">
        <w:rPr>
          <w:rStyle w:val="Strong"/>
        </w:rPr>
        <w:fldChar w:fldCharType="separate"/>
      </w:r>
      <w:r w:rsidRPr="00EB2675">
        <w:rPr>
          <w:rStyle w:val="Strong"/>
          <w:b w:val="0"/>
          <w:noProof/>
        </w:rPr>
        <w:t>DeZoort and Hermanson, (2024)</w:t>
      </w:r>
      <w:r w:rsidRPr="00EB2675">
        <w:rPr>
          <w:rStyle w:val="Strong"/>
        </w:rPr>
        <w:fldChar w:fldCharType="end"/>
      </w:r>
      <w:r w:rsidRPr="00EB2675">
        <w:t xml:space="preserve"> also demonstrated that frequent audit partner rotation correlated positively with audit committee oversight effectiveness, as new partners brought fresh perspectives and strengthened accountability. In a multinational context, </w:t>
      </w:r>
      <w:r w:rsidRPr="00EB2675">
        <w:fldChar w:fldCharType="begin" w:fldLock="1"/>
      </w:r>
      <w:r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Pr="00EB2675">
        <w:fldChar w:fldCharType="separate"/>
      </w:r>
      <w:r w:rsidRPr="00EB2675">
        <w:rPr>
          <w:noProof/>
        </w:rPr>
        <w:t>Sawaya et al., (2025)</w:t>
      </w:r>
      <w:r w:rsidRPr="00EB2675">
        <w:fldChar w:fldCharType="end"/>
      </w:r>
      <w:r w:rsidRPr="00EB2675">
        <w:t xml:space="preserve"> found that jurisdictions enforcing strict partner rotation requirements exhibited higher audit quality, measured through lower abnormal accruals and reduced incidence of restatements. </w:t>
      </w:r>
    </w:p>
    <w:p w14:paraId="7E49691B" w14:textId="77777777" w:rsidR="00B70BB0" w:rsidRPr="00EB2675" w:rsidRDefault="00C76947">
      <w:pPr>
        <w:pStyle w:val="NormalWeb"/>
        <w:jc w:val="both"/>
      </w:pPr>
      <w:r w:rsidRPr="00EB2675">
        <w:t>Collectively</w:t>
      </w:r>
      <w:r w:rsidRPr="00EB2675">
        <w:t>, these studies support the argument that partner rotation mitigates over-familiarity and enhances audit objectivity, thereby improving both actual and perceived audit quality.</w:t>
      </w:r>
    </w:p>
    <w:p w14:paraId="615226D2" w14:textId="77777777" w:rsidR="00470914" w:rsidRPr="00EB2675" w:rsidRDefault="00C76947">
      <w:pPr>
        <w:pStyle w:val="NormalWeb"/>
        <w:jc w:val="both"/>
      </w:pPr>
      <w:r w:rsidRPr="00EB2675">
        <w:t>In contrast, several studies have found that audit partner rotation can sometim</w:t>
      </w:r>
      <w:r w:rsidRPr="00EB2675">
        <w:t>es diminish audit quality, primarily due to loss of client-specific knowledge and increased start-up costs.</w:t>
      </w:r>
      <w:r w:rsidR="006E19CE" w:rsidRPr="00EB2675">
        <w:t xml:space="preserve"> </w:t>
      </w:r>
      <w:r w:rsidR="006E19CE" w:rsidRPr="00EB2675">
        <w:fldChar w:fldCharType="begin" w:fldLock="1"/>
      </w:r>
      <w:r w:rsidR="00500F27"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6E19CE" w:rsidRPr="00EB2675">
        <w:fldChar w:fldCharType="separate"/>
      </w:r>
      <w:r w:rsidR="006E19CE" w:rsidRPr="00EB2675">
        <w:rPr>
          <w:noProof/>
        </w:rPr>
        <w:t>Khan et al., (2024)</w:t>
      </w:r>
      <w:r w:rsidR="006E19CE" w:rsidRPr="00EB2675">
        <w:fldChar w:fldCharType="end"/>
      </w:r>
      <w:r w:rsidR="006E19CE" w:rsidRPr="00EB2675">
        <w:t xml:space="preserve"> </w:t>
      </w:r>
      <w:r w:rsidRPr="00EB2675">
        <w:t>in their examination of Asian emerging markets, rep</w:t>
      </w:r>
      <w:r w:rsidRPr="00EB2675">
        <w:t xml:space="preserve">orted a </w:t>
      </w:r>
      <w:r w:rsidRPr="00EB2675">
        <w:rPr>
          <w:rStyle w:val="Strong"/>
          <w:b w:val="0"/>
          <w:bCs w:val="0"/>
        </w:rPr>
        <w:t>negative and significant</w:t>
      </w:r>
      <w:r w:rsidRPr="00EB2675">
        <w:t xml:space="preserve"> relationship between partner rotation and audit quality, arguing that newly assigned partners often require time to understand the client’s business environment, leading to reduced audit efficiency in the short term.</w:t>
      </w:r>
      <w:r w:rsidR="00470914" w:rsidRPr="00EB2675">
        <w:t xml:space="preserve"> </w:t>
      </w:r>
    </w:p>
    <w:p w14:paraId="27A8236D" w14:textId="77777777" w:rsidR="00470914" w:rsidRPr="00EB2675" w:rsidRDefault="00C76947">
      <w:pPr>
        <w:pStyle w:val="NormalWeb"/>
        <w:jc w:val="both"/>
      </w:pPr>
      <w:r w:rsidRPr="00EB2675">
        <w:t>Simil</w:t>
      </w:r>
      <w:r w:rsidRPr="00EB2675">
        <w:t xml:space="preserve">arly, </w:t>
      </w:r>
      <w:r w:rsidR="00500F27" w:rsidRPr="00EB2675">
        <w:fldChar w:fldCharType="begin" w:fldLock="1"/>
      </w:r>
      <w:r w:rsidR="00470914"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500F27" w:rsidRPr="00EB2675">
        <w:fldChar w:fldCharType="separate"/>
      </w:r>
      <w:r w:rsidR="00500F27" w:rsidRPr="00EB2675">
        <w:rPr>
          <w:noProof/>
        </w:rPr>
        <w:t>Lai and Tang (2023)</w:t>
      </w:r>
      <w:r w:rsidR="00500F27" w:rsidRPr="00EB2675">
        <w:fldChar w:fldCharType="end"/>
      </w:r>
      <w:r w:rsidR="00500F27" w:rsidRPr="00EB2675">
        <w:t>,</w:t>
      </w:r>
      <w:r w:rsidRPr="00EB2675">
        <w:t xml:space="preserve"> found that mandatory rotation </w:t>
      </w:r>
      <w:r w:rsidRPr="00EB2675">
        <w:t xml:space="preserve">disrupted long-standing auditor–client relationships that previously facilitated deeper institutional insight, resulting in lower audit performance during transition years. </w:t>
      </w:r>
      <w:r w:rsidR="00470914" w:rsidRPr="00EB2675">
        <w:rPr>
          <w:rStyle w:val="Strong"/>
        </w:rPr>
        <w:fldChar w:fldCharType="begin" w:fldLock="1"/>
      </w:r>
      <w:r w:rsidR="00470914" w:rsidRPr="00EB2675">
        <w:rPr>
          <w:rStyle w:val="Strong"/>
        </w:rPr>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470914" w:rsidRPr="00EB2675">
        <w:rPr>
          <w:rStyle w:val="Strong"/>
        </w:rPr>
        <w:fldChar w:fldCharType="separate"/>
      </w:r>
      <w:r w:rsidR="00470914" w:rsidRPr="00EB2675">
        <w:rPr>
          <w:rStyle w:val="Strong"/>
          <w:b w:val="0"/>
          <w:noProof/>
        </w:rPr>
        <w:t>Obid et al., (2023)</w:t>
      </w:r>
      <w:r w:rsidR="00470914" w:rsidRPr="00EB2675">
        <w:rPr>
          <w:rStyle w:val="Strong"/>
        </w:rPr>
        <w:fldChar w:fldCharType="end"/>
      </w:r>
      <w:r w:rsidR="00470914" w:rsidRPr="00EB2675">
        <w:rPr>
          <w:rStyle w:val="Strong"/>
        </w:rPr>
        <w:t>,</w:t>
      </w:r>
      <w:r w:rsidRPr="00EB2675">
        <w:t xml:space="preserve"> also reported that in </w:t>
      </w:r>
      <w:r w:rsidR="00470914" w:rsidRPr="00EB2675">
        <w:t>companies</w:t>
      </w:r>
      <w:r w:rsidRPr="00EB2675">
        <w:t xml:space="preserve"> with complex operations, excessive rotation introduced inefficiencies and communication breakdowns that adversely affected the quality of audit evidence collected.</w:t>
      </w:r>
      <w:r w:rsidR="00470914" w:rsidRPr="00EB2675">
        <w:t xml:space="preserve"> </w:t>
      </w:r>
    </w:p>
    <w:p w14:paraId="7863DDF7" w14:textId="77777777" w:rsidR="00B70BB0" w:rsidRPr="00EB2675" w:rsidRDefault="00C76947" w:rsidP="005241E1">
      <w:pPr>
        <w:pStyle w:val="NormalWeb"/>
        <w:jc w:val="both"/>
      </w:pPr>
      <w:r w:rsidRPr="00EB2675">
        <w:lastRenderedPageBreak/>
        <w:t>These findings highlight that, while intended to safeguard</w:t>
      </w:r>
      <w:r w:rsidRPr="00EB2675">
        <w:t xml:space="preserve"> independence, partner rotation may occasionally weaken audit quality by impairing continuity, institutional memory, and technical depth.</w:t>
      </w:r>
    </w:p>
    <w:p w14:paraId="2A4756FA" w14:textId="77777777" w:rsidR="00645FB6" w:rsidRPr="00EB2675" w:rsidRDefault="00C76947">
      <w:pPr>
        <w:pStyle w:val="NormalWeb"/>
        <w:jc w:val="both"/>
      </w:pPr>
      <w:r w:rsidRPr="00EB2675">
        <w:t>Other studies have found no statistically significant relationship between audit partner rotation and audit quality, s</w:t>
      </w:r>
      <w:r w:rsidRPr="00EB2675">
        <w:t xml:space="preserve">uggesting that its effectiveness may depend on complementary governance mechanisms and contextual factors. </w:t>
      </w:r>
      <w:r w:rsidR="00470914" w:rsidRPr="00EB2675">
        <w:fldChar w:fldCharType="begin" w:fldLock="1"/>
      </w:r>
      <w:r w:rsidR="00645FB6"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2024)","manualFormatting":"Oyeleke and Adebayo (2024)","plainTextFormattedCitation":"(Oyeleke &amp; Adebayo, 2024)","previouslyFormattedCitation":"(Oyeleke &amp; Adebayo, 2024)"},"properties":{"noteIndex":0},"schema":"https://github.com/citation-style-language/schema/raw/master/csl-citation.json"}</w:instrText>
      </w:r>
      <w:r w:rsidR="00470914" w:rsidRPr="00EB2675">
        <w:fldChar w:fldCharType="separate"/>
      </w:r>
      <w:r w:rsidR="00470914" w:rsidRPr="00EB2675">
        <w:rPr>
          <w:noProof/>
        </w:rPr>
        <w:t>Oyeleke and Adebayo (2024)</w:t>
      </w:r>
      <w:r w:rsidR="00470914" w:rsidRPr="00EB2675">
        <w:fldChar w:fldCharType="end"/>
      </w:r>
      <w:r w:rsidR="00470914" w:rsidRPr="00EB2675">
        <w:rPr>
          <w:rStyle w:val="Strong"/>
        </w:rPr>
        <w:t>,</w:t>
      </w:r>
      <w:r w:rsidRPr="00EB2675">
        <w:t xml:space="preserve"> studying Nigerian non-financial firms, reported an insignificant relationship between rotation frequency and audit q</w:t>
      </w:r>
      <w:r w:rsidRPr="00EB2675">
        <w:t>uality, indicating that audit quality improvements depend more on auditor competence and audit committee effectiveness than on rotation policy alone.</w:t>
      </w:r>
    </w:p>
    <w:p w14:paraId="0DE06D3F" w14:textId="77777777" w:rsidR="00645FB6" w:rsidRPr="00EB2675" w:rsidRDefault="00C76947">
      <w:pPr>
        <w:pStyle w:val="NormalWeb"/>
        <w:jc w:val="both"/>
      </w:pPr>
      <w:r w:rsidRPr="00EB2675">
        <w:t xml:space="preserve">Likewise, </w:t>
      </w:r>
      <w:r w:rsidR="00645FB6" w:rsidRPr="00EB2675">
        <w:fldChar w:fldCharType="begin" w:fldLock="1"/>
      </w:r>
      <w:r w:rsidR="00645FB6"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645FB6" w:rsidRPr="00EB2675">
        <w:fldChar w:fldCharType="separate"/>
      </w:r>
      <w:r w:rsidR="00645FB6" w:rsidRPr="00EB2675">
        <w:rPr>
          <w:noProof/>
        </w:rPr>
        <w:t>Akinsulire and  Dabor  (2024)</w:t>
      </w:r>
      <w:r w:rsidR="00645FB6" w:rsidRPr="00EB2675">
        <w:fldChar w:fldCharType="end"/>
      </w:r>
      <w:r w:rsidR="00645FB6" w:rsidRPr="00EB2675">
        <w:t xml:space="preserve"> </w:t>
      </w:r>
      <w:r w:rsidRPr="00EB2675">
        <w:t>found that rotation had no significant effect on audit quality aft</w:t>
      </w:r>
      <w:r w:rsidRPr="00EB2675">
        <w:t>er controlling for audit fees and independence, implying that in contexts with weak enforcement and limited auditor oversight, partner rotation may serve more as a symbolic compliance measure than a substantive quality enhancer.</w:t>
      </w:r>
    </w:p>
    <w:p w14:paraId="75CBB4BE" w14:textId="77777777" w:rsidR="00B70BB0" w:rsidRPr="00EB2675" w:rsidRDefault="00C76947">
      <w:pPr>
        <w:pStyle w:val="NormalWeb"/>
        <w:jc w:val="both"/>
      </w:pPr>
      <w:r w:rsidRPr="00EB2675">
        <w:t>In developed economies,</w:t>
      </w:r>
      <w:r w:rsidR="00645FB6" w:rsidRPr="00EB2675">
        <w:t xml:space="preserve"> </w:t>
      </w:r>
      <w:r w:rsidR="00645FB6" w:rsidRPr="00EB2675">
        <w:fldChar w:fldCharType="begin" w:fldLock="1"/>
      </w:r>
      <w:r w:rsidR="00B12F77"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&amp; Zaman, (2024)","plainTextFormattedCitation":"(Al-Shaer &amp; Zaman, 2024)","previouslyFormattedCitation":"(Al-Shaer &amp; Zaman, 2024)"},"properties":{"noteIndex":0},"schema":"https://github.com/citation-style-language/schema/raw/master/csl-citation.json"}</w:instrText>
      </w:r>
      <w:r w:rsidR="00645FB6" w:rsidRPr="00EB2675">
        <w:fldChar w:fldCharType="separate"/>
      </w:r>
      <w:r w:rsidR="00645FB6" w:rsidRPr="00EB2675">
        <w:rPr>
          <w:noProof/>
        </w:rPr>
        <w:t>Al-Shaer &amp; Zaman, (2024)</w:t>
      </w:r>
      <w:r w:rsidR="00645FB6" w:rsidRPr="00EB2675">
        <w:fldChar w:fldCharType="end"/>
      </w:r>
      <w:r w:rsidRPr="00EB2675">
        <w:t xml:space="preserve"> observed no significant impact of partner rotation on sustainability assurance quality, arguing that auditors in such jurisdictions already maintain high ethical standards and independence, rendering mandatory rotation redundant.</w:t>
      </w:r>
      <w:r w:rsidRPr="00EB2675">
        <w:br/>
        <w:t>These results sugge</w:t>
      </w:r>
      <w:r w:rsidRPr="00EB2675">
        <w:t>st that the efficacy of partner rotation is contingent upon the broader institutional environment, professional culture, and governance structure within which audits are conducted.</w:t>
      </w:r>
    </w:p>
    <w:p w14:paraId="22E1D955" w14:textId="77777777" w:rsidR="00B70BB0" w:rsidRPr="00EB2675" w:rsidRDefault="00C76947">
      <w:pPr>
        <w:pStyle w:val="NormalWeb"/>
        <w:jc w:val="both"/>
      </w:pPr>
      <w:r w:rsidRPr="00EB2675">
        <w:t>The evidence on the relationship between audit partner rotation and audit q</w:t>
      </w:r>
      <w:r w:rsidRPr="00EB2675">
        <w:t xml:space="preserve">uality remains </w:t>
      </w:r>
      <w:r w:rsidRPr="00EB2675">
        <w:rPr>
          <w:rStyle w:val="Strong"/>
          <w:b w:val="0"/>
          <w:bCs w:val="0"/>
        </w:rPr>
        <w:t>mixed and inconclusive</w:t>
      </w:r>
      <w:r w:rsidRPr="00EB2675">
        <w:t>, varying across regulatory contexts, industries, and governance systems. While some studies report improved audit outcomes following rotation, others highlight efficiency losses or no measurable change. In Nigeria, mos</w:t>
      </w:r>
      <w:r w:rsidRPr="00EB2675">
        <w:t xml:space="preserve">t empirical studies have focused on </w:t>
      </w:r>
      <w:r w:rsidRPr="00EB2675">
        <w:rPr>
          <w:rStyle w:val="Strong"/>
          <w:b w:val="0"/>
          <w:bCs w:val="0"/>
        </w:rPr>
        <w:t>the direct impact</w:t>
      </w:r>
      <w:r w:rsidRPr="00EB2675">
        <w:rPr>
          <w:rStyle w:val="Strong"/>
        </w:rPr>
        <w:t xml:space="preserve"> </w:t>
      </w:r>
      <w:r w:rsidRPr="00EB2675">
        <w:rPr>
          <w:rStyle w:val="Strong"/>
          <w:b w:val="0"/>
          <w:bCs w:val="0"/>
        </w:rPr>
        <w:t>of partner rotation</w:t>
      </w:r>
      <w:r w:rsidRPr="00EB2675">
        <w:t xml:space="preserve"> without examining how governance mechanisms, such as audit committee independence, might influence this relationship.</w:t>
      </w:r>
    </w:p>
    <w:p w14:paraId="4D5B528B" w14:textId="77777777" w:rsidR="00B70BB0" w:rsidRPr="00EB2675" w:rsidRDefault="00C76947">
      <w:pPr>
        <w:pStyle w:val="NormalWeb"/>
        <w:jc w:val="both"/>
      </w:pPr>
      <w:r w:rsidRPr="00EB2675">
        <w:t xml:space="preserve">An independent audit committee plays a </w:t>
      </w:r>
      <w:r w:rsidR="00645FB6" w:rsidRPr="00EB2675">
        <w:t xml:space="preserve"> critical </w:t>
      </w:r>
      <w:r w:rsidRPr="00EB2675">
        <w:t>role in ensurin</w:t>
      </w:r>
      <w:r w:rsidRPr="00EB2675">
        <w:t xml:space="preserve">g that partner rotation policies are properly implemented and that transitions between audit partners occur smoothly without compromising audit depth or continuity </w:t>
      </w:r>
      <w:r w:rsidR="00B12F77" w:rsidRPr="00EB2675">
        <w:fldChar w:fldCharType="begin" w:fldLock="1"/>
      </w:r>
      <w:r w:rsidR="002441D1" w:rsidRPr="00EB2675">
        <w:instrText>ADDIN CSL_CITATION {"citationItems":[{"id":"ITEM-1","itemData":{"DOI":"10.1108/AGJSR-09-2022-0202","ISSN":"25360051","abstract":"Purpose: The main aim of the present study is to assess the moderating effect of joint audit (JA) on the relationship between audit committee effectiveness (ACEFF) and audit quality (AQ) in Egypt. Design/methodology/approach: The sample included 61 non-financial corporations listed on the Egyptian Exchange from 2016 through 2020. The results are estimated using panel data analysis with fixed-effect models. Findings: The findings exhibit that audit committee (AC) independence, ACEFF; and audit firm size negatively affect AQ. Conversely, the influence of AC meetings on AQ is positive and significant. The findings also reveal that JA moderates the relation between the ACEFF and AQ. Research limitations/implications: The study offers theoretical contributions to corporate governance mechanisms, JA; and AQ by using data from listed firms in Egypt. The study is the first one that examines the moderating role of JA on ACEFF and AQ. Practical implications: The study has practical implications for investors, board members, practitioners, academicians; and policymakers. Moreover, the study contributes using a composite measure for the ACEFF score. Originality/value: The findings, supported by agency, resource dependence; and signaling theories, contribute to a better understanding of the relationship between ACEFF, AQ; and JA. The evidence about JA is still unknown in developing countries. Further, revisiting AQ with different measures, particularly accounting conservatism, has not been a subject of prior studies.","author":[{"dropping-particle":"","family":"Elmashtawy","given":"Ahmed","non-dropping-particle":"","parse-names":false,"suffix":""},{"dropping-particle":"","family":"Che Haat","given":"Mohd Hassan","non-dropping-particle":"","parse-names":false,"suffix":""},{"dropping-particle":"","family":"Ismail","given":"Shahnaz","non-dropping-particle":"","parse-names":false,"suffix":""},{"dropping-particle":"","family":"Almaqtari","given":"Faozi A.","non-dropping-particle":"","parse-names":false,"suffix":""}],"container-title":"Arab Gulf Journal of Scientific Research","id":"ITEM-1","issue":"3","issued":{"date-parts":[["2024"]]},"page":"512-533","title":"Audit committee effectiveness and audit quality: The moderating effect of joint audit","type":"article-journal","volume":"42"},"uris":["http://www.mendeley.com/documents/?uuid=d9912201-74e0-4a33-91c5-82e690ec8f3f"]},{"id":"ITEM-2","itemData":{"DOI":"10.1002/csr.3058","ISSN":"15353966","abstract":"This study investigates the impact of the board of directors' effectiveness (BODEF), audit committee effectiveness (AUDEF), and institutional ownership (IO) on carbon disclosure quality (CDQ) and examines the moderating effect of the environmental committee (EC) on such impacts. Thus, to evaluate CDQ, a self-constructed index was established based on standards and recommendations stated in several Malaysian and international guidelines related to carbon reporting. This study employs panel data analysis on 200 publicly listed Malaysian firms observed from 2015 to 2019. The findings showed a significant positive effect of BODEF, AUDEF, and IO on CDQ. Additionally, the results showed that EC has an insignificant moderating influence on the impact of BODEF and AUDEF on CDQ; meanwhile, it strengthens the effect of IO on CDQ. The reported findings offer valuable insights to policymakers, enhancing their awareness of carbon disclosure practices in Malaysia and emphasizing the significance of corporate governance in this context.","author":[{"dropping-particle":"","family":"Adam","given":"Abbas Abdelrahman","non-dropping-particle":"","parse-names":false,"suffix":""},{"dropping-particle":"","family":"Salleh","given":"Zalailah","non-dropping-particle":"","parse-names":false,"suffix":""},{"dropping-particle":"","family":"Alahdal","given":"Waleed M.","non-dropping-particle":"","parse-names":false,"suffix":""},{"dropping-particle":"","family":"Hussien","given":"Asaad Mubarak","non-dropping-particle":"","parse-names":false,"suffix":""},{"dropping-particle":"","family":"Bajaher","given":"Mohammed","non-dropping-particle":"","parse-names":false,"suffix":""},{"dropping-particle":"","family":"Baatwah","given":"Saeed Rabea","non-dropping-particle":"","parse-names":false,"suffix":""}],"container-title":"Corporate Social Responsibility and Environmental Management","id":"ITEM-2","issue":"2","issued":{"date-parts":[["2025"]]},"page":"2254-2270","title":"The effect of the board of directors, audit committee, and institutional ownership on carbon disclosure quality: The moderating effect of environmental committee","type":"article-journal","volume":"32"},"uris":["http://www.mendeley.com/documents/?uuid=af1a6cef-eb82-4c78-9e33-7c3894bb37db"]},{"id":"ITEM-3","itemData":{"DOI":"10.34109/ijefs.202416115","ISSN":"13098055","abstract":"Firm value is a crucial element for organizational success, necessitating emphasis from contemporary researchers. This study examines the impact of audit committee effectiveness, audit quality, and internal auditor effectiveness on the firm value within Indonesia’s hotel industry. Primary data were collected through survey questionnaires administered to the audit departments of hotels. Smart-PLS was employed to assess data reliability and the relationships among variables. The findings reveal a positive relationship between audit committee effectiveness, audit quality, internal auditor effectiveness, and firm value in the hotel industry in Indonesia. This article provides guidance for regulators on enhancing firm value through the implementation of effective audit committees, comprehensive audit quality, and efficient internal auditing practices.","author":[{"dropping-particle":"","family":"Ikhsan","given":"Arfan","non-dropping-particle":"","parse-names":false,"suffix":""},{"dropping-particle":"","family":"Mikrad","given":"","non-dropping-particle":"","parse-names":false,"suffix":""},{"dropping-particle":"","family":"Rosari","given":"Dina","non-dropping-particle":"","parse-names":false,"suffix":""},{"dropping-particle":"","family":"Pambudi","given":"Januar Eky","non-dropping-particle":"","parse-names":false,"suffix":""},{"dropping-particle":"","family":"Lubis","given":"Putri Kemala Dewi","non-dropping-particle":"","parse-names":false,"suffix":""},{"dropping-particle":"","family":"Fadillah","given":"Tri Dessy","non-dropping-particle":"","parse-names":false,"suffix":""}],"container-title":"International Journal of Economics and Finance Studies","id":"ITEM-3","issue":"1","issued":{"date-parts":[["2024"]]},"page":"337-354","title":"the Effect of Audit Committee, Internal Auditor and Audit Quality on Firm Value on Hotel Industry in Indonesia","type":"article-journal","volume":"16"},"uris":["http://www.mendeley.com/documents/?uuid=f0e98a5a-a5d9-4ca8-adfb-c8d0570cc0e5"]},{"id":"ITEM-4","itemData":{"DOI":"10.35912/ijfam.v5i4.1718","abstract":"Purpose: This study examines the effects of audit committee characteristics on the financial performance of listed industrial goods firms in Nigeria. Research methodology: This study used an ex-post factor research design and utilized secondary data collected from the annual reports and accounts of thirteen (13) sampled industrial goods firms for a period of 10 years (2013-2022). The sample of firms was obtained using a purposive sampling technique. Data were analyzed using descriptive statistics, correlation, and regression analysis (GLS Random Effect) with the aid of Stata 13. Results: The findings reveal that an insignificant positive effect exists between audit committee size and financial performance (ROA and ROE), while audit committee independence has a significant negative effect on return on assets (ROA) and a negative insignificant effect on return on equity (ROE), and audit committee meetings have a positive significant effect on asset (ROA) and a positive insignificant effect on return on equity (ROE). Limitations: The research is limited to only those companies in the industrial goods sector listed on the Nigerian Stock Exchange from 2013 to 2022 and only focuses on the effect of audit committee characteristics on firm financial performance. There was also incomplete data, which did not allow for a complete and thorough analysis of the entire sector. Contribution: This study contributes to the existing body of literature on the effect of audit committees on the financial performance of Nigeria’s listed industrial goods sector. It provides insights that can assist the board in formulating appropriate strategies to improve their performance.","author":[{"dropping-particle":"","family":"Abu","given":"Samuel Enejoh","non-dropping-particle":"","parse-names":false,"suffix":""}],"container-title":"International Journal of Financial, Accounting, and Management","id":"ITEM-4","issue":"4","issued":{"date-parts":[["2024"]]},"page":"445-458","title":"Audit committee characteristics and firm financial performance of quoted industrial goods firms in Nigeria","type":"article-journal","volume":"5"},"uris":["http://www.mendeley.com/documents/?uuid=fd1f565d-86c2-4090-ae1d-067035035b44"]}],"mendeley":{"formattedCitation":"(Abu, 2024; Adam et al., 2025; Elmashtawy et al., 2024; Ikhsan et al., 2024)","plainTextFormattedCitation":"(Abu, 2024; Adam et al., 2025; Elmashtawy et al., 2024; Ikhsan et al., 2024)","previouslyFormattedCitation":"(Abu, 2024; Adam et al., 2025; Elmashtawy et al., 2024; Ikhsan et al., 2024)"},"properties":{"noteIndex":0},"schema":"https://github.com/citation-style-language/schema/raw/master/csl-citation.json"}</w:instrText>
      </w:r>
      <w:r w:rsidR="00B12F77" w:rsidRPr="00EB2675">
        <w:fldChar w:fldCharType="separate"/>
      </w:r>
      <w:r w:rsidR="00B12F77" w:rsidRPr="00EB2675">
        <w:rPr>
          <w:noProof/>
        </w:rPr>
        <w:t>(Abu, 2024; Adam et al., 2025; Elmashtawy et al., 2024; Ikhsan et al., 2024)</w:t>
      </w:r>
      <w:r w:rsidR="00B12F77" w:rsidRPr="00EB2675">
        <w:fldChar w:fldCharType="end"/>
      </w:r>
      <w:r w:rsidRPr="00EB2675">
        <w:rPr>
          <w:b/>
          <w:bCs/>
        </w:rPr>
        <w:t>.</w:t>
      </w:r>
      <w:r w:rsidRPr="00EB2675">
        <w:t xml:space="preserve"> Audit committees with strong independenc</w:t>
      </w:r>
      <w:r w:rsidRPr="00EB2675">
        <w:t xml:space="preserve">e can provide institutional memory during partner transitions, facilitate communication between outgoing and incoming partners, and monitor compliance with rotation guidelines. This moderating effect is particularly vital in the </w:t>
      </w:r>
      <w:r w:rsidRPr="00EB2675">
        <w:rPr>
          <w:rStyle w:val="Strong"/>
          <w:b w:val="0"/>
          <w:bCs w:val="0"/>
        </w:rPr>
        <w:t>non-service sectors</w:t>
      </w:r>
      <w:r w:rsidRPr="00EB2675">
        <w:rPr>
          <w:b/>
          <w:bCs/>
        </w:rPr>
        <w:t>,</w:t>
      </w:r>
      <w:r w:rsidRPr="00EB2675">
        <w:t xml:space="preserve"> where audit complexity is high and internal governance structures are evolving.</w:t>
      </w:r>
    </w:p>
    <w:p w14:paraId="437A6EF8" w14:textId="77777777" w:rsidR="00B70BB0" w:rsidRPr="00EB2675" w:rsidRDefault="00C76947">
      <w:pPr>
        <w:pStyle w:val="NormalWeb"/>
        <w:jc w:val="both"/>
      </w:pPr>
      <w:r w:rsidRPr="00EB2675">
        <w:t>However, current empirical literature lacks adequate evidence on how audit committee independence interacts with partner rotation to influence audit quality, especially in eme</w:t>
      </w:r>
      <w:r w:rsidRPr="00EB2675">
        <w:t xml:space="preserve">rging economies like Nigeria. Addressing this gap would contribute significantly to both academic literature and corporate governance reforms, aligning with </w:t>
      </w:r>
      <w:r w:rsidRPr="00EB2675">
        <w:rPr>
          <w:rStyle w:val="Strong"/>
          <w:b w:val="0"/>
          <w:bCs w:val="0"/>
        </w:rPr>
        <w:t>Sustainable Development Goal 16 (Peace, Justice, and Strong Institutions)</w:t>
      </w:r>
      <w:r w:rsidRPr="00EB2675">
        <w:rPr>
          <w:b/>
          <w:bCs/>
        </w:rPr>
        <w:t>,</w:t>
      </w:r>
      <w:r w:rsidRPr="00EB2675">
        <w:t xml:space="preserve"> which </w:t>
      </w:r>
      <w:proofErr w:type="spellStart"/>
      <w:r w:rsidRPr="00EB2675">
        <w:t>emphasises</w:t>
      </w:r>
      <w:proofErr w:type="spellEnd"/>
      <w:r w:rsidRPr="00EB2675">
        <w:t xml:space="preserve"> transpa</w:t>
      </w:r>
      <w:r w:rsidRPr="00EB2675">
        <w:t>rency and institutional accountability.</w:t>
      </w:r>
    </w:p>
    <w:p w14:paraId="4AFFFD14" w14:textId="77777777" w:rsidR="00B70BB0" w:rsidRPr="00EB2675" w:rsidRDefault="00C76947">
      <w:pPr>
        <w:pStyle w:val="NormalWeb"/>
        <w:jc w:val="both"/>
      </w:pPr>
      <w:r w:rsidRPr="00EB2675">
        <w:lastRenderedPageBreak/>
        <w:t>Based on this identified gap, the following hypothesis is proposed:</w:t>
      </w:r>
    </w:p>
    <w:p w14:paraId="599CD210" w14:textId="77777777" w:rsidR="00B70BB0" w:rsidRPr="005241E1" w:rsidRDefault="00C76947" w:rsidP="005241E1">
      <w:pPr>
        <w:pStyle w:val="NormalWeb"/>
        <w:ind w:right="720"/>
        <w:jc w:val="both"/>
        <w:rPr>
          <w:i/>
          <w:iCs/>
        </w:rPr>
      </w:pPr>
      <w:r w:rsidRPr="00EB2675">
        <w:rPr>
          <w:rStyle w:val="Strong"/>
          <w:i/>
          <w:iCs/>
        </w:rPr>
        <w:t>H</w:t>
      </w:r>
      <w:r w:rsidRPr="00EB2675">
        <w:rPr>
          <w:rStyle w:val="Strong"/>
          <w:i/>
          <w:iCs/>
          <w:vertAlign w:val="subscript"/>
        </w:rPr>
        <w:t>03</w:t>
      </w:r>
      <w:r w:rsidRPr="00EB2675">
        <w:rPr>
          <w:rStyle w:val="Strong"/>
          <w:i/>
          <w:iCs/>
        </w:rPr>
        <w:t>:</w:t>
      </w:r>
      <w:r w:rsidRPr="00EB2675">
        <w:rPr>
          <w:i/>
          <w:iCs/>
        </w:rPr>
        <w:t xml:space="preserve"> Audit committee independence does not moderate the relationship between audit partner rotation and audit quality of listed non-service companie</w:t>
      </w:r>
      <w:r w:rsidRPr="00EB2675">
        <w:rPr>
          <w:i/>
          <w:iCs/>
        </w:rPr>
        <w:t>s in Nigeria.</w:t>
      </w:r>
    </w:p>
    <w:p w14:paraId="70339BEE" w14:textId="77777777" w:rsidR="00B70BB0" w:rsidRPr="00EB2675" w:rsidRDefault="00C76947" w:rsidP="002441D1">
      <w:pPr>
        <w:pStyle w:val="Heading2"/>
        <w:rPr>
          <w:rFonts w:ascii="Times New Roman" w:hAnsi="Times New Roman" w:cs="Times New Roman"/>
          <w:b/>
          <w:bCs/>
          <w:color w:val="000000" w:themeColor="text1"/>
          <w:sz w:val="24"/>
          <w:szCs w:val="24"/>
        </w:rPr>
      </w:pPr>
      <w:bookmarkStart w:id="0" w:name="_Hlk220129525"/>
      <w:r w:rsidRPr="00EB2675">
        <w:rPr>
          <w:rFonts w:ascii="Times New Roman" w:hAnsi="Times New Roman" w:cs="Times New Roman"/>
          <w:b/>
          <w:bCs/>
          <w:color w:val="000000" w:themeColor="text1"/>
          <w:sz w:val="24"/>
          <w:szCs w:val="24"/>
        </w:rPr>
        <w:t>2.2.4 Audit Committee Independence (ACI) and Audit Quality</w:t>
      </w:r>
    </w:p>
    <w:p w14:paraId="06F1FDCA" w14:textId="77777777" w:rsidR="00B70BB0" w:rsidRPr="00EB2675" w:rsidRDefault="00C76947">
      <w:pPr>
        <w:pStyle w:val="NormalWeb"/>
        <w:jc w:val="both"/>
        <w:rPr>
          <w:color w:val="000000" w:themeColor="text1"/>
        </w:rPr>
      </w:pPr>
      <w:r w:rsidRPr="00EB2675">
        <w:rPr>
          <w:color w:val="000000" w:themeColor="text1"/>
        </w:rPr>
        <w:t>Audit committee independence (ACI) refers to the degree to which audit committee members are free from management influence, enabling them to perform effective oversight of the financ</w:t>
      </w:r>
      <w:r w:rsidRPr="00EB2675">
        <w:rPr>
          <w:color w:val="000000" w:themeColor="text1"/>
        </w:rPr>
        <w:t>ial reporting and auditing processes. It is widely regarded as a cornerstone of corporate governance, enhancing the credibility of audited financial statements and fostering transparency</w:t>
      </w:r>
      <w:r w:rsidR="00D06EE6" w:rsidRPr="00EB2675">
        <w:rPr>
          <w:color w:val="000000" w:themeColor="text1"/>
        </w:rPr>
        <w:t xml:space="preserve"> </w:t>
      </w:r>
      <w:r w:rsidR="00D06EE6" w:rsidRPr="00EB2675">
        <w:rPr>
          <w:color w:val="000000" w:themeColor="text1"/>
        </w:rPr>
        <w:fldChar w:fldCharType="begin" w:fldLock="1"/>
      </w:r>
      <w:r w:rsidR="00D06EE6"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&amp; Hermanson, 2024)</w:t>
      </w:r>
      <w:r w:rsidR="00D06EE6" w:rsidRPr="00EB2675">
        <w:rPr>
          <w:color w:val="000000" w:themeColor="text1"/>
        </w:rPr>
        <w:fldChar w:fldCharType="end"/>
      </w:r>
      <w:r w:rsidRPr="00EB2675">
        <w:rPr>
          <w:color w:val="000000" w:themeColor="text1"/>
        </w:rPr>
        <w:t>. Theoretically, an independent audit committee acts as a monitoring mechanism within the agency framewor</w:t>
      </w:r>
      <w:r w:rsidRPr="00EB2675">
        <w:rPr>
          <w:color w:val="000000" w:themeColor="text1"/>
        </w:rPr>
        <w:t xml:space="preserve">k, ensuring that external auditors remain objective and that management adheres to ethical financial reporting practices. </w:t>
      </w:r>
      <w:r w:rsidR="00D06EE6" w:rsidRPr="00EB2675">
        <w:rPr>
          <w:color w:val="000000" w:themeColor="text1"/>
        </w:rPr>
        <w:t>Some</w:t>
      </w:r>
      <w:r w:rsidRPr="00EB2675">
        <w:rPr>
          <w:color w:val="000000" w:themeColor="text1"/>
        </w:rPr>
        <w:t xml:space="preserve"> empirical findings on the relationship between ACI and audit quality </w:t>
      </w:r>
      <w:r w:rsidR="00D06EE6" w:rsidRPr="00EB2675">
        <w:rPr>
          <w:color w:val="000000" w:themeColor="text1"/>
        </w:rPr>
        <w:t>is positive</w:t>
      </w:r>
      <w:r w:rsidRPr="00EB2675">
        <w:rPr>
          <w:color w:val="000000" w:themeColor="text1"/>
        </w:rPr>
        <w:t>, varying across institutional settings, firm typ</w:t>
      </w:r>
      <w:r w:rsidRPr="00EB2675">
        <w:rPr>
          <w:color w:val="000000" w:themeColor="text1"/>
        </w:rPr>
        <w:t>es, and measurement approaches.</w:t>
      </w:r>
    </w:p>
    <w:p w14:paraId="0CA1D978" w14:textId="77777777" w:rsidR="00760152" w:rsidRPr="00EB2675" w:rsidRDefault="00C76947">
      <w:pPr>
        <w:pStyle w:val="NormalWeb"/>
        <w:jc w:val="both"/>
        <w:rPr>
          <w:color w:val="000000" w:themeColor="text1"/>
        </w:rPr>
      </w:pPr>
      <w:r w:rsidRPr="00EB2675">
        <w:rPr>
          <w:color w:val="000000" w:themeColor="text1"/>
        </w:rPr>
        <w:t xml:space="preserve">A number of studies have found that greater audit committee independence enhances audit quality. </w:t>
      </w:r>
      <w:r w:rsidR="00D06EE6" w:rsidRPr="00EB2675">
        <w:rPr>
          <w:color w:val="000000" w:themeColor="text1"/>
        </w:rPr>
        <w:fldChar w:fldCharType="begin" w:fldLock="1"/>
      </w:r>
      <w:r w:rsidR="004B6508"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and Hermanson (2024)</w:t>
      </w:r>
      <w:r w:rsidR="00D06EE6" w:rsidRPr="00EB2675">
        <w:rPr>
          <w:color w:val="000000" w:themeColor="text1"/>
        </w:rPr>
        <w:fldChar w:fldCharType="end"/>
      </w:r>
      <w:r w:rsidRPr="00EB2675">
        <w:rPr>
          <w:color w:val="000000" w:themeColor="text1"/>
        </w:rPr>
        <w:t xml:space="preserve">, in a global study, established that audit committees composed predominantly of independent and financially literate members significantly improved oversight effectiveness and audit outcomes. Similarly, </w:t>
      </w:r>
      <w:r w:rsidR="004B6508" w:rsidRPr="00EB2675">
        <w:rPr>
          <w:color w:val="000000" w:themeColor="text1"/>
        </w:rPr>
        <w:fldChar w:fldCharType="begin" w:fldLock="1"/>
      </w:r>
      <w:r w:rsidR="00760152"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4B6508" w:rsidRPr="00EB2675">
        <w:rPr>
          <w:color w:val="000000" w:themeColor="text1"/>
        </w:rPr>
        <w:fldChar w:fldCharType="separate"/>
      </w:r>
      <w:r w:rsidR="004B6508" w:rsidRPr="00EB2675">
        <w:rPr>
          <w:noProof/>
          <w:color w:val="000000" w:themeColor="text1"/>
        </w:rPr>
        <w:t>Al-Shaer and Zaman, (2024)</w:t>
      </w:r>
      <w:r w:rsidR="004B6508" w:rsidRPr="00EB2675">
        <w:rPr>
          <w:color w:val="000000" w:themeColor="text1"/>
        </w:rPr>
        <w:fldChar w:fldCharType="end"/>
      </w:r>
      <w:r w:rsidRPr="00EB2675">
        <w:rPr>
          <w:color w:val="000000" w:themeColor="text1"/>
        </w:rPr>
        <w:t xml:space="preserve"> found that independent audit committee</w:t>
      </w:r>
      <w:r w:rsidRPr="00EB2675">
        <w:rPr>
          <w:color w:val="000000" w:themeColor="text1"/>
        </w:rPr>
        <w:t xml:space="preserve">s were positively </w:t>
      </w:r>
      <w:r w:rsidR="004B6508" w:rsidRPr="00EB2675">
        <w:rPr>
          <w:color w:val="000000" w:themeColor="text1"/>
        </w:rPr>
        <w:t>related</w:t>
      </w:r>
      <w:r w:rsidRPr="00EB2675">
        <w:rPr>
          <w:color w:val="000000" w:themeColor="text1"/>
        </w:rPr>
        <w:t xml:space="preserve"> with high-quality sustainability assurance reports, reflecting their role in promoting ethical corporate disclosure.</w:t>
      </w:r>
    </w:p>
    <w:p w14:paraId="38209514" w14:textId="77777777" w:rsidR="00B70BB0" w:rsidRPr="00EB2675" w:rsidRDefault="00C76947">
      <w:pPr>
        <w:pStyle w:val="NormalWeb"/>
        <w:jc w:val="both"/>
        <w:rPr>
          <w:color w:val="FF0000"/>
        </w:rPr>
      </w:pPr>
      <w:r w:rsidRPr="00EB2675">
        <w:rPr>
          <w:color w:val="000000" w:themeColor="text1"/>
        </w:rPr>
        <w:t xml:space="preserve">In Nigeria, </w:t>
      </w:r>
      <w:r w:rsidR="00760152" w:rsidRPr="00EB2675">
        <w:rPr>
          <w:color w:val="000000" w:themeColor="text1"/>
        </w:rPr>
        <w:fldChar w:fldCharType="begin" w:fldLock="1"/>
      </w:r>
      <w:r w:rsidR="00760152" w:rsidRPr="00EB2675">
        <w:rPr>
          <w:color w:val="000000" w:themeColor="text1"/>
        </w:rPr>
        <w:instrText>ADDIN CSL_CITATION {"citationItems":[{"id":"ITEM-1","itemData":{"author":[{"dropping-particle":"","family":"Dabor","given":"E. L.","non-dropping-particle":"","parse-names":false,"suffix":""},{"dropping-particle":"","family":"Ezeani","given":"N. S.","non-dropping-particle":"","parse-names":false,"suffix":""}],"container-title":"International Journal of Auditing and Governance Studies","id":"ITEM-1","issue":"1","issued":{"date-parts":[["2025"]]},"page":"55–74","title":"Re-examining audit independence and quality under Nigeria’s evolving corporate governance code.","type":"article-journal","volume":"12"},"uris":["http://www.mendeley.com/documents/?uuid=6cd94cda-b6f5-4ff7-83b2-23497828aff4"]}],"mendeley":{"formattedCitation":"(Dabor &amp; Ezeani, 2025)","manualFormatting":"Dabor and Ezeani (2025)","plainTextFormattedCitation":"(Dabor &amp; Ezeani, 2025)","previouslyFormattedCitation":"(Dabor &amp; Ezeani,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Dabor and Ezeani (2025)</w:t>
      </w:r>
      <w:r w:rsidR="00760152" w:rsidRPr="00EB2675">
        <w:rPr>
          <w:color w:val="000000" w:themeColor="text1"/>
        </w:rPr>
        <w:fldChar w:fldCharType="end"/>
      </w:r>
      <w:r w:rsidRPr="00EB2675">
        <w:rPr>
          <w:color w:val="000000" w:themeColor="text1"/>
        </w:rPr>
        <w:t xml:space="preserve"> discovered that audit committee independence was positively and sign</w:t>
      </w:r>
      <w:r w:rsidRPr="00EB2675">
        <w:rPr>
          <w:color w:val="000000" w:themeColor="text1"/>
        </w:rPr>
        <w:t xml:space="preserve">ificantly related to audit quality among listed non-financial firms, suggesting that independent committees strengthen external auditor objectivity and reduce management opportunism. </w:t>
      </w:r>
      <w:r w:rsidR="00760152" w:rsidRPr="00EB2675">
        <w:rPr>
          <w:color w:val="000000" w:themeColor="text1"/>
        </w:rPr>
        <w:fldChar w:fldCharType="begin" w:fldLock="1"/>
      </w:r>
      <w:r w:rsidR="009B589A" w:rsidRPr="00EB2675">
        <w:rPr>
          <w:color w:val="000000" w:themeColor="text1"/>
        </w:rPr>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Adegbie et al., (2025)</w:t>
      </w:r>
      <w:r w:rsidR="00760152" w:rsidRPr="00EB2675">
        <w:rPr>
          <w:color w:val="000000" w:themeColor="text1"/>
        </w:rPr>
        <w:fldChar w:fldCharType="end"/>
      </w:r>
      <w:r w:rsidRPr="00EB2675">
        <w:rPr>
          <w:color w:val="000000" w:themeColor="text1"/>
        </w:rPr>
        <w:t xml:space="preserve"> also observed that firms with independent audit committees reported fewer restatements and exhibited improved financial reporting reliability.</w:t>
      </w:r>
      <w:r w:rsidRPr="00EB2675">
        <w:rPr>
          <w:color w:val="000000" w:themeColor="text1"/>
        </w:rPr>
        <w:br/>
        <w:t>These studies collectively highlight th</w:t>
      </w:r>
      <w:r w:rsidRPr="00EB2675">
        <w:rPr>
          <w:color w:val="000000" w:themeColor="text1"/>
        </w:rPr>
        <w:t>at independent audit committees enhance communication between internal and external auditors, improve monitoring, and promote transparent reporting</w:t>
      </w:r>
      <w:r w:rsidR="00760152" w:rsidRPr="00EB2675">
        <w:rPr>
          <w:color w:val="000000" w:themeColor="text1"/>
        </w:rPr>
        <w:t xml:space="preserve"> </w:t>
      </w:r>
      <w:r w:rsidRPr="00EB2675">
        <w:rPr>
          <w:color w:val="000000" w:themeColor="text1"/>
        </w:rPr>
        <w:t>key attributes of high audit quality</w:t>
      </w:r>
      <w:r w:rsidRPr="00EB2675">
        <w:rPr>
          <w:color w:val="FF0000"/>
        </w:rPr>
        <w:t>.</w:t>
      </w:r>
    </w:p>
    <w:p w14:paraId="5503FADA" w14:textId="77777777" w:rsidR="00B70BB0" w:rsidRPr="00EB2675" w:rsidRDefault="00C76947" w:rsidP="009B589A">
      <w:pPr>
        <w:pStyle w:val="NormalWeb"/>
        <w:jc w:val="both"/>
      </w:pPr>
      <w:r w:rsidRPr="00EB2675">
        <w:t>Conversely, some studies have found that excessive or nominal independ</w:t>
      </w:r>
      <w:r w:rsidRPr="00EB2675">
        <w:t xml:space="preserve">ence may not always improve audit quality and may even have adverse effects. </w:t>
      </w:r>
      <w:r w:rsidR="009B589A" w:rsidRPr="00EB2675">
        <w:fldChar w:fldCharType="begin" w:fldLock="1"/>
      </w:r>
      <w:r w:rsidR="009B589A"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9B589A" w:rsidRPr="00EB2675">
        <w:fldChar w:fldCharType="separate"/>
      </w:r>
      <w:r w:rsidR="009B589A" w:rsidRPr="00EB2675">
        <w:rPr>
          <w:noProof/>
        </w:rPr>
        <w:t>Khan et al., (2024)</w:t>
      </w:r>
      <w:r w:rsidR="009B589A" w:rsidRPr="00EB2675">
        <w:fldChar w:fldCharType="end"/>
      </w:r>
      <w:r w:rsidRPr="00EB2675">
        <w:t xml:space="preserve"> reported a </w:t>
      </w:r>
      <w:r w:rsidRPr="00EB2675">
        <w:rPr>
          <w:rStyle w:val="Strong"/>
          <w:b w:val="0"/>
          <w:bCs w:val="0"/>
        </w:rPr>
        <w:t>negative and significant</w:t>
      </w:r>
      <w:r w:rsidRPr="00EB2675">
        <w:t xml:space="preserve"> </w:t>
      </w:r>
      <w:r w:rsidR="009B589A" w:rsidRPr="00EB2675">
        <w:t>relationship</w:t>
      </w:r>
      <w:r w:rsidRPr="00EB2675">
        <w:t xml:space="preserve"> between audit committee independence and audit quality in Asian emerging markets, suggesting that independence without sufficient expertise could lead to weak oversight and inefficiency. Similarly, </w:t>
      </w:r>
      <w:r w:rsidR="009B589A" w:rsidRPr="00EB2675">
        <w:fldChar w:fldCharType="begin" w:fldLock="1"/>
      </w:r>
      <w:r w:rsidR="009B589A"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9B589A" w:rsidRPr="00EB2675">
        <w:fldChar w:fldCharType="separate"/>
      </w:r>
      <w:r w:rsidR="009B589A" w:rsidRPr="00EB2675">
        <w:rPr>
          <w:noProof/>
        </w:rPr>
        <w:t>Obid et al., 2023)</w:t>
      </w:r>
      <w:r w:rsidR="009B589A" w:rsidRPr="00EB2675">
        <w:fldChar w:fldCharType="end"/>
      </w:r>
      <w:r w:rsidRPr="00EB2675">
        <w:t xml:space="preserve"> discovered that overly independent committees</w:t>
      </w:r>
      <w:r w:rsidR="00B1636C" w:rsidRPr="00EB2675">
        <w:t xml:space="preserve"> </w:t>
      </w:r>
      <w:r w:rsidRPr="00EB2675">
        <w:t>particularly those with limited technical knowledge of accounting and auditing</w:t>
      </w:r>
      <w:r w:rsidR="00B1636C" w:rsidRPr="00EB2675">
        <w:t xml:space="preserve"> </w:t>
      </w:r>
      <w:r w:rsidRPr="00EB2675">
        <w:t>were associated with longer audit report lags and lower audit effectiveness.</w:t>
      </w:r>
      <w:r w:rsidRPr="00EB2675">
        <w:br/>
        <w:t>In the Nigerian context,</w:t>
      </w:r>
      <w:r w:rsidR="009B589A" w:rsidRPr="00EB2675">
        <w:t xml:space="preserve"> </w:t>
      </w:r>
      <w:r w:rsidR="009B589A" w:rsidRPr="00EB2675">
        <w:fldChar w:fldCharType="begin" w:fldLock="1"/>
      </w:r>
      <w:r w:rsidR="009B589A"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2024)","manualFormatting":"Oloruntoba and Enyi, (2024)","plainTextFormattedCitation":"(Oloruntoba &amp; Enyi, 2024)","previouslyFormattedCitation":"(Oloruntoba &amp; Enyi, 2024)"},"properties":{"noteIndex":0},"schema":"https://github.com/citation-style-language/schema/raw/master/csl-citation.json"}</w:instrText>
      </w:r>
      <w:r w:rsidR="009B589A" w:rsidRPr="00EB2675">
        <w:fldChar w:fldCharType="separate"/>
      </w:r>
      <w:r w:rsidR="009B589A" w:rsidRPr="00EB2675">
        <w:rPr>
          <w:noProof/>
        </w:rPr>
        <w:t>Oloruntoba and Enyi, (2024)</w:t>
      </w:r>
      <w:r w:rsidR="009B589A" w:rsidRPr="00EB2675">
        <w:fldChar w:fldCharType="end"/>
      </w:r>
      <w:r w:rsidRPr="00EB2675">
        <w:t xml:space="preserve"> found that while independent audit committees reduced management interference, they sometimes lacked the technical depth necessary to challenge auditors’ judgements, resulting in suboptimal audit outcomes. These findings imply that independence alone </w:t>
      </w:r>
      <w:r w:rsidRPr="00EB2675">
        <w:t>may not guarantee quality oversight unless it is complemented by competence and active engagement.</w:t>
      </w:r>
    </w:p>
    <w:p w14:paraId="14BB6E31" w14:textId="77777777" w:rsidR="00B70BB0" w:rsidRPr="00EB2675" w:rsidRDefault="00C76947">
      <w:pPr>
        <w:pStyle w:val="NormalWeb"/>
        <w:jc w:val="both"/>
      </w:pPr>
      <w:r w:rsidRPr="00EB2675">
        <w:lastRenderedPageBreak/>
        <w:t>Several other studies have documented an insignificant relationship between audit committee independence and audit quality, suggesting that independence is a</w:t>
      </w:r>
      <w:r w:rsidRPr="00EB2675">
        <w:t xml:space="preserve"> necessary but insufficient condition for effective oversight.</w:t>
      </w:r>
      <w:r w:rsidR="009B589A" w:rsidRPr="00EB2675">
        <w:t xml:space="preserve"> </w:t>
      </w:r>
      <w:r w:rsidR="009B589A" w:rsidRPr="00EB2675">
        <w:fldChar w:fldCharType="begin" w:fldLock="1"/>
      </w:r>
      <w:r w:rsidR="009B589A"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fldChar w:fldCharType="separate"/>
      </w:r>
      <w:r w:rsidR="009B589A" w:rsidRPr="00EB2675">
        <w:rPr>
          <w:noProof/>
        </w:rPr>
        <w:t>Akinsulire and Dabor, (2024)</w:t>
      </w:r>
      <w:r w:rsidR="009B589A" w:rsidRPr="00EB2675">
        <w:fldChar w:fldCharType="end"/>
      </w:r>
      <w:r w:rsidRPr="00EB2675">
        <w:t xml:space="preserve"> found that the independence of the audit committee had an insignificant impact on audit quality among Nigerian non-financial firms once audit fees and partner rotati</w:t>
      </w:r>
      <w:r w:rsidRPr="00EB2675">
        <w:t xml:space="preserve">on were controlled for. </w:t>
      </w:r>
      <w:r w:rsidR="009B589A" w:rsidRPr="00EB2675">
        <w:rPr>
          <w:rStyle w:val="Strong"/>
        </w:rPr>
        <w:fldChar w:fldCharType="begin" w:fldLock="1"/>
      </w:r>
      <w:r w:rsidR="009B589A"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rPr>
          <w:rStyle w:val="Strong"/>
        </w:rPr>
        <w:fldChar w:fldCharType="separate"/>
      </w:r>
      <w:r w:rsidR="009B589A" w:rsidRPr="00EB2675">
        <w:rPr>
          <w:rStyle w:val="Strong"/>
          <w:b w:val="0"/>
          <w:noProof/>
        </w:rPr>
        <w:t>Akinsulire and Dabor, (2024)</w:t>
      </w:r>
      <w:r w:rsidR="009B589A" w:rsidRPr="00EB2675">
        <w:rPr>
          <w:rStyle w:val="Strong"/>
        </w:rPr>
        <w:fldChar w:fldCharType="end"/>
      </w:r>
      <w:r w:rsidRPr="00EB2675">
        <w:rPr>
          <w:rStyle w:val="Strong"/>
        </w:rPr>
        <w:t xml:space="preserve"> </w:t>
      </w:r>
      <w:r w:rsidRPr="00EB2675">
        <w:t>similarly reported no significant relationship between ACI and audit quality, attributing the result to weak institutional enforcement of governance codes and the presence of political appointees on audit</w:t>
      </w:r>
      <w:r w:rsidRPr="00EB2675">
        <w:t xml:space="preserve"> committees.</w:t>
      </w:r>
      <w:r w:rsidRPr="00EB2675">
        <w:br/>
      </w:r>
      <w:r w:rsidR="009B589A" w:rsidRPr="00EB2675">
        <w:fldChar w:fldCharType="begin" w:fldLock="1"/>
      </w:r>
      <w:r w:rsidR="00A07E75"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9B589A" w:rsidRPr="00EB2675">
        <w:fldChar w:fldCharType="separate"/>
      </w:r>
      <w:r w:rsidR="009B589A" w:rsidRPr="00EB2675">
        <w:rPr>
          <w:noProof/>
        </w:rPr>
        <w:t>Lai and Tang, (2023)</w:t>
      </w:r>
      <w:r w:rsidR="009B589A" w:rsidRPr="00EB2675">
        <w:fldChar w:fldCharType="end"/>
      </w:r>
      <w:r w:rsidRPr="00EB2675">
        <w:t xml:space="preserve"> also observed an insig</w:t>
      </w:r>
      <w:r w:rsidRPr="00EB2675">
        <w:t>nificant relationship in developed markets, arguing that external auditors’ reputation concerns and regulatory scrutiny already ensured high-quality audits, rendering committee independence less influential. These findings suggest that ACI may exert an ind</w:t>
      </w:r>
      <w:r w:rsidRPr="00EB2675">
        <w:t>irect or conditional effect on audit quality, possibly through its interaction with other audit firm characteristics such as independence, fees, and partner rotation.</w:t>
      </w:r>
    </w:p>
    <w:p w14:paraId="757EFDFA" w14:textId="77777777" w:rsidR="00B70BB0" w:rsidRPr="00EB2675" w:rsidRDefault="00C76947">
      <w:pPr>
        <w:pStyle w:val="NormalWeb"/>
        <w:jc w:val="both"/>
      </w:pPr>
      <w:r w:rsidRPr="00EB2675">
        <w:t xml:space="preserve">The literature reveals </w:t>
      </w:r>
      <w:r w:rsidRPr="00EB2675">
        <w:rPr>
          <w:rStyle w:val="Strong"/>
          <w:b w:val="0"/>
          <w:bCs w:val="0"/>
        </w:rPr>
        <w:t>inconsistent evidence</w:t>
      </w:r>
      <w:r w:rsidRPr="00EB2675">
        <w:t xml:space="preserve"> regarding the influence of audit committee i</w:t>
      </w:r>
      <w:r w:rsidRPr="00EB2675">
        <w:t>ndependence on audit quality. While some studies report that independent committees enhance oversight and strengthen audit outcomes, others find negative or insignificant effects, particularly where members lack expertise or institutional support. These in</w:t>
      </w:r>
      <w:r w:rsidRPr="00EB2675">
        <w:t>consistencies point to an</w:t>
      </w:r>
      <w:r w:rsidRPr="00EB2675">
        <w:rPr>
          <w:b/>
          <w:bCs/>
        </w:rPr>
        <w:t xml:space="preserve"> </w:t>
      </w:r>
      <w:r w:rsidRPr="00EB2675">
        <w:rPr>
          <w:rStyle w:val="Strong"/>
          <w:b w:val="0"/>
          <w:bCs w:val="0"/>
        </w:rPr>
        <w:t>empirical gap</w:t>
      </w:r>
      <w:r w:rsidRPr="00EB2675">
        <w:t xml:space="preserve">: most prior research treats ACI as a direct determinant of audit quality, but few have examined its </w:t>
      </w:r>
      <w:r w:rsidRPr="00EB2675">
        <w:rPr>
          <w:rStyle w:val="Strong"/>
          <w:b w:val="0"/>
          <w:bCs w:val="0"/>
        </w:rPr>
        <w:t>moderating role</w:t>
      </w:r>
      <w:r w:rsidRPr="00EB2675">
        <w:t xml:space="preserve"> in shaping the effectiveness of audit firm characteristics</w:t>
      </w:r>
      <w:r w:rsidR="00B1636C" w:rsidRPr="00EB2675">
        <w:t xml:space="preserve"> </w:t>
      </w:r>
      <w:r w:rsidRPr="00EB2675">
        <w:t xml:space="preserve">especially in the </w:t>
      </w:r>
      <w:r w:rsidRPr="00EB2675">
        <w:rPr>
          <w:rStyle w:val="Strong"/>
          <w:b w:val="0"/>
          <w:bCs w:val="0"/>
        </w:rPr>
        <w:t>non-service sectors</w:t>
      </w:r>
      <w:r w:rsidRPr="00EB2675">
        <w:t xml:space="preserve"> of </w:t>
      </w:r>
      <w:r w:rsidRPr="00EB2675">
        <w:t>Nigeria.</w:t>
      </w:r>
    </w:p>
    <w:p w14:paraId="23E25828" w14:textId="77777777" w:rsidR="00B70BB0" w:rsidRPr="00EB2675" w:rsidRDefault="00C76947">
      <w:pPr>
        <w:pStyle w:val="NormalWeb"/>
        <w:jc w:val="both"/>
      </w:pPr>
      <w:r w:rsidRPr="00EB2675">
        <w:t xml:space="preserve">Audit committee independence may act as a </w:t>
      </w:r>
      <w:r w:rsidRPr="00EB2675">
        <w:rPr>
          <w:rStyle w:val="Strong"/>
          <w:b w:val="0"/>
          <w:bCs w:val="0"/>
        </w:rPr>
        <w:t>governance buffer</w:t>
      </w:r>
      <w:r w:rsidRPr="00EB2675">
        <w:t xml:space="preserve"> that amplifies or constrains the effects of auditor independence, audit fees, and audit partner rotation on audit quality. For instance, an independent audit committee can reinforce audit</w:t>
      </w:r>
      <w:r w:rsidRPr="00EB2675">
        <w:t>or independence by shielding auditors from managerial pressure, approve fees that reflect engagement complexity rather than client influence, and ensure smooth partner rotation to maintain audit continuity. Hence, the audit committee serves as an instituti</w:t>
      </w:r>
      <w:r w:rsidRPr="00EB2675">
        <w:t>onal safeguard, linking audit firm characteristics to sustainable audit outcomes.</w:t>
      </w:r>
    </w:p>
    <w:p w14:paraId="3D5CC595" w14:textId="77777777" w:rsidR="00B70BB0" w:rsidRPr="00EB2675" w:rsidRDefault="00C76947">
      <w:pPr>
        <w:pStyle w:val="NormalWeb"/>
        <w:jc w:val="both"/>
      </w:pPr>
      <w:r w:rsidRPr="00EB2675">
        <w:t xml:space="preserve">The absence of robust empirical testing of this moderating effect, particularly within Nigeria’s evolving corporate governance framework, represents a critical research gap. </w:t>
      </w:r>
      <w:r w:rsidRPr="00EB2675">
        <w:t xml:space="preserve">Addressing this gap will not only contribute to the academic discourse on audit quality determinants but also support </w:t>
      </w:r>
      <w:r w:rsidRPr="00EB2675">
        <w:rPr>
          <w:rStyle w:val="Strong"/>
          <w:b w:val="0"/>
          <w:bCs w:val="0"/>
        </w:rPr>
        <w:t>Sustainable Development Goal 16 (Peace, Justice, and Strong Institutions)</w:t>
      </w:r>
      <w:r w:rsidRPr="00EB2675">
        <w:t xml:space="preserve"> by promoting transparent, accountable, and ethical financial rep</w:t>
      </w:r>
      <w:r w:rsidRPr="00EB2675">
        <w:t>orting systems.</w:t>
      </w:r>
    </w:p>
    <w:p w14:paraId="2B14B0CF" w14:textId="77777777" w:rsidR="00B70BB0" w:rsidRPr="00EB2675" w:rsidRDefault="00C76947">
      <w:pPr>
        <w:pStyle w:val="NormalWeb"/>
        <w:jc w:val="both"/>
      </w:pPr>
      <w:r w:rsidRPr="00EB2675">
        <w:t>Consequently, the following hypothes</w:t>
      </w:r>
      <w:r w:rsidR="00A17D0D" w:rsidRPr="00EB2675">
        <w:t>e</w:t>
      </w:r>
      <w:r w:rsidRPr="00EB2675">
        <w:t>s</w:t>
      </w:r>
      <w:r w:rsidR="00A17D0D" w:rsidRPr="00EB2675">
        <w:t xml:space="preserve"> were developed</w:t>
      </w:r>
      <w:r w:rsidRPr="00EB2675">
        <w:t>:</w:t>
      </w:r>
    </w:p>
    <w:p w14:paraId="53CFBA35" w14:textId="77777777" w:rsidR="00B70BB0" w:rsidRPr="00EB2675" w:rsidRDefault="00C76947" w:rsidP="00B1636C">
      <w:pPr>
        <w:pStyle w:val="NormalWeb"/>
        <w:ind w:right="720"/>
        <w:jc w:val="both"/>
      </w:pPr>
      <w:r w:rsidRPr="00EB2675">
        <w:rPr>
          <w:rStyle w:val="Strong"/>
        </w:rPr>
        <w:t>H</w:t>
      </w:r>
      <w:r w:rsidRPr="00EB2675">
        <w:rPr>
          <w:rStyle w:val="Strong"/>
          <w:vertAlign w:val="subscript"/>
        </w:rPr>
        <w:t>04</w:t>
      </w:r>
      <w:r w:rsidRPr="00EB2675">
        <w:rPr>
          <w:rStyle w:val="Strong"/>
        </w:rPr>
        <w:t>:</w:t>
      </w:r>
      <w:r w:rsidRPr="00EB2675">
        <w:t xml:space="preserve"> Audit committee independence has</w:t>
      </w:r>
      <w:r w:rsidR="00A17D0D" w:rsidRPr="00EB2675">
        <w:t xml:space="preserve"> no</w:t>
      </w:r>
      <w:r w:rsidRPr="00EB2675">
        <w:t xml:space="preserve"> significant moderating effect on the relationship between audit</w:t>
      </w:r>
      <w:r w:rsidR="00A17D0D" w:rsidRPr="00EB2675">
        <w:t>or independence</w:t>
      </w:r>
      <w:r w:rsidRPr="00EB2675">
        <w:t xml:space="preserve"> and audit quality of listed non-service companies in Nigeria.</w:t>
      </w:r>
    </w:p>
    <w:p w14:paraId="63276841" w14:textId="77777777" w:rsidR="00A17D0D" w:rsidRPr="00EB2675" w:rsidRDefault="00A17D0D" w:rsidP="00A17D0D">
      <w:pPr>
        <w:pStyle w:val="NormalWeb"/>
        <w:ind w:right="720"/>
        <w:jc w:val="both"/>
      </w:pPr>
      <w:r w:rsidRPr="00EB2675">
        <w:rPr>
          <w:rStyle w:val="Strong"/>
        </w:rPr>
        <w:t>H</w:t>
      </w:r>
      <w:r w:rsidRPr="00EB2675">
        <w:rPr>
          <w:rStyle w:val="Strong"/>
          <w:vertAlign w:val="subscript"/>
        </w:rPr>
        <w:t>05</w:t>
      </w:r>
      <w:r w:rsidRPr="00EB2675">
        <w:rPr>
          <w:rStyle w:val="Strong"/>
        </w:rPr>
        <w:t>:</w:t>
      </w:r>
      <w:r w:rsidRPr="00EB2675">
        <w:t xml:space="preserve"> Audit committee independence has a significant moderating effect on the relationship between audit fees and audit quality of listed non-service companies in Nigeria.</w:t>
      </w:r>
    </w:p>
    <w:p w14:paraId="79D7801E" w14:textId="77777777" w:rsidR="00B70BB0" w:rsidRPr="00EB2675" w:rsidRDefault="00A17D0D" w:rsidP="00A17D0D">
      <w:pPr>
        <w:pStyle w:val="NormalWeb"/>
        <w:ind w:right="720"/>
        <w:jc w:val="both"/>
      </w:pPr>
      <w:r w:rsidRPr="00EB2675">
        <w:rPr>
          <w:rStyle w:val="Strong"/>
        </w:rPr>
        <w:t>H</w:t>
      </w:r>
      <w:r w:rsidRPr="00EB2675">
        <w:rPr>
          <w:rStyle w:val="Strong"/>
          <w:vertAlign w:val="subscript"/>
        </w:rPr>
        <w:t>06</w:t>
      </w:r>
      <w:r w:rsidRPr="00EB2675">
        <w:rPr>
          <w:rStyle w:val="Strong"/>
        </w:rPr>
        <w:t>:</w:t>
      </w:r>
      <w:r w:rsidRPr="00EB2675">
        <w:t xml:space="preserve"> Audit committee independence has a significant moderating effect on the relationship between audit partner rotation and audit quality of listed non-service companies in Nigeria.</w:t>
      </w:r>
      <w:bookmarkEnd w:id="0"/>
    </w:p>
    <w:p w14:paraId="5B5AFE6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2.3 Theoretical Framework</w:t>
      </w:r>
    </w:p>
    <w:p w14:paraId="4CDF7B6E" w14:textId="77777777" w:rsidR="00B70BB0" w:rsidRPr="00EB2675" w:rsidRDefault="00B70BB0">
      <w:pPr>
        <w:jc w:val="both"/>
        <w:rPr>
          <w:rFonts w:ascii="Times New Roman" w:hAnsi="Times New Roman"/>
          <w:color w:val="000000" w:themeColor="text1"/>
        </w:rPr>
      </w:pPr>
    </w:p>
    <w:p w14:paraId="348F110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theoretical underpinnings of this study are anchored on three interrelated theories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Agency Theory, Stakeholder Theory, and the Res</w:t>
      </w:r>
      <w:r w:rsidRPr="00EB2675">
        <w:rPr>
          <w:rFonts w:ascii="Times New Roman" w:hAnsi="Times New Roman"/>
          <w:color w:val="000000" w:themeColor="text1"/>
        </w:rPr>
        <w:t>ource Dependence Theory</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each offering a distinct yet complementary explanation of how audit firm characteristics and governance mechanisms influence audit quality.</w:t>
      </w:r>
    </w:p>
    <w:p w14:paraId="6F8C8910"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Agency Theory</w:t>
      </w:r>
    </w:p>
    <w:p w14:paraId="7D731701"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Agency theory </w:t>
      </w:r>
      <w:r w:rsidR="00A07E75"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1976)","manualFormatting":"Jensen and Meckling, (1976)","plainTextFormattedCitation":"(Jensen &amp; Meckling, 1976)","previouslyFormattedCitation":"(Jensen &amp; Meckling, 1976)"},"properties":{"noteIndex":0},"schema":"https://github.com/citation-style-language/schema/raw/master/csl-citation.json"}</w:instrText>
      </w:r>
      <w:r w:rsidR="00A07E75" w:rsidRPr="00EB2675">
        <w:rPr>
          <w:rFonts w:ascii="Times New Roman" w:hAnsi="Times New Roman"/>
          <w:color w:val="000000" w:themeColor="text1"/>
        </w:rPr>
        <w:fldChar w:fldCharType="separate"/>
      </w:r>
      <w:r w:rsidR="00A07E75" w:rsidRPr="00EB2675">
        <w:rPr>
          <w:rFonts w:ascii="Times New Roman" w:hAnsi="Times New Roman"/>
          <w:noProof/>
          <w:color w:val="000000" w:themeColor="text1"/>
        </w:rPr>
        <w:t>Jensen and Meckling, (1976)</w:t>
      </w:r>
      <w:r w:rsidR="00A07E75"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provides the foundational premise for understanding the</w:t>
      </w:r>
      <w:r w:rsidRPr="00EB2675">
        <w:rPr>
          <w:rFonts w:ascii="Times New Roman" w:hAnsi="Times New Roman"/>
          <w:color w:val="000000" w:themeColor="text1"/>
        </w:rPr>
        <w:t xml:space="preserve"> relationship between management (agents) and shareholders (principals). Given the separation of ownership and control, information asymmetry often enables managers to engage in opportunistic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that can distort financial reporting. Independent audi</w:t>
      </w:r>
      <w:r w:rsidRPr="00EB2675">
        <w:rPr>
          <w:rFonts w:ascii="Times New Roman" w:hAnsi="Times New Roman"/>
          <w:color w:val="000000" w:themeColor="text1"/>
        </w:rPr>
        <w:t>ting serves as a monitoring mechanism that mitigates such agency problems by assuring the credibility of financial statements</w:t>
      </w:r>
      <w:r w:rsidR="00EF432B" w:rsidRPr="00EB2675">
        <w:rPr>
          <w:rFonts w:ascii="Times New Roman" w:hAnsi="Times New Roman"/>
          <w:color w:val="000000" w:themeColor="text1"/>
        </w:rPr>
        <w:t xml:space="preserve">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(DeAngelo, 1981)</w:t>
      </w:r>
      <w:r w:rsidR="00EF432B" w:rsidRPr="00EB2675">
        <w:rPr>
          <w:rFonts w:ascii="Times New Roman" w:hAnsi="Times New Roman"/>
          <w:color w:val="000000" w:themeColor="text1"/>
        </w:rPr>
        <w:fldChar w:fldCharType="end"/>
      </w:r>
      <w:r w:rsidRPr="00EB2675">
        <w:rPr>
          <w:rFonts w:ascii="Times New Roman" w:hAnsi="Times New Roman"/>
          <w:b/>
          <w:bCs/>
          <w:color w:val="000000" w:themeColor="text1"/>
        </w:rPr>
        <w:t>.</w:t>
      </w:r>
      <w:r w:rsidRPr="00EB2675">
        <w:rPr>
          <w:rFonts w:ascii="Times New Roman" w:hAnsi="Times New Roman"/>
          <w:color w:val="000000" w:themeColor="text1"/>
        </w:rPr>
        <w:t xml:space="preserve"> Within this framework, auditor independence and audit partner </w:t>
      </w:r>
      <w:r w:rsidRPr="00EB2675">
        <w:rPr>
          <w:rFonts w:ascii="Times New Roman" w:hAnsi="Times New Roman"/>
          <w:color w:val="000000" w:themeColor="text1"/>
        </w:rPr>
        <w:t xml:space="preserve">rotation are mechanisms designed to maintain auditor objectivity and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thereby enhancing audit quality.</w:t>
      </w:r>
    </w:p>
    <w:p w14:paraId="43468C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Furthermore, audit fees represent an economic aspect of the principal–agent relationship. While adequate fees are essential for t</w:t>
      </w:r>
      <w:r w:rsidRPr="00EB2675">
        <w:rPr>
          <w:rFonts w:ascii="Times New Roman" w:hAnsi="Times New Roman"/>
          <w:color w:val="000000" w:themeColor="text1"/>
        </w:rPr>
        <w:t xml:space="preserve">horough audit effort, excessively high or client-dependent fees may threaten auditor independence. Agency theory thus predicts a delicate equilibrium between audit effort and economic bonding. The audit committee, particularly when independent, acts as an </w:t>
      </w:r>
      <w:r w:rsidRPr="00EB2675">
        <w:rPr>
          <w:rFonts w:ascii="Times New Roman" w:hAnsi="Times New Roman"/>
          <w:color w:val="000000" w:themeColor="text1"/>
        </w:rPr>
        <w:t>intermediary governance organ that strengthens this equilibrium by safeguarding the auditor’s independence and promoting effective monitoring.</w:t>
      </w:r>
    </w:p>
    <w:p w14:paraId="048ED649"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Stakeholder Theory</w:t>
      </w:r>
    </w:p>
    <w:p w14:paraId="76BF6C6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Stakeholder theory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1984)","manualFormatting":"Freeman, (1984)","plainTextFormattedCitation":"(Freeman, 1984)","previouslyFormattedCitation":"(Freeman, 1984)"},"properties":{"noteIndex":0},"schema":"https://github.com/citation-style-language/schema/raw/master/csl-citation.json"}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Freeman, (1984)</w:t>
      </w:r>
      <w:r w:rsidR="00EF432B"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broadens the analytical scope by positing that firms are accountable not only to shareholders but also to multiple stakeholders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regulators, em</w:t>
      </w:r>
      <w:r w:rsidRPr="00EB2675">
        <w:rPr>
          <w:rFonts w:ascii="Times New Roman" w:hAnsi="Times New Roman"/>
          <w:color w:val="000000" w:themeColor="text1"/>
        </w:rPr>
        <w:t>ployees, investors, and the broader society. Audit quality, therefore, transcends the principal–agent dyad, functioning as a societal assurance mechanism that promotes transparency and trust. The independence and oversight roles of auditors and audit commi</w:t>
      </w:r>
      <w:r w:rsidRPr="00EB2675">
        <w:rPr>
          <w:rFonts w:ascii="Times New Roman" w:hAnsi="Times New Roman"/>
          <w:color w:val="000000" w:themeColor="text1"/>
        </w:rPr>
        <w:t>ttees align with stakeholder expectations for ethical conduct, fairness, and institutional integrity. Within the Nigerian context, where stakeholder confidence in corporate governance mechanisms remains fragile, strengthening auditor independence and commi</w:t>
      </w:r>
      <w:r w:rsidRPr="00EB2675">
        <w:rPr>
          <w:rFonts w:ascii="Times New Roman" w:hAnsi="Times New Roman"/>
          <w:color w:val="000000" w:themeColor="text1"/>
        </w:rPr>
        <w:t>ttee oversight contributes to restoring legitimacy and public trust. This aligns directly with Sustainable Development Goal 16 (Peace, Justice, and Strong Institutions) by reinforcing transparency and accountability in corporate reporting.</w:t>
      </w:r>
    </w:p>
    <w:p w14:paraId="28AED356"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Resource Depende</w:t>
      </w:r>
      <w:r w:rsidRPr="00EB2675">
        <w:rPr>
          <w:rFonts w:ascii="Times New Roman" w:hAnsi="Times New Roman"/>
          <w:b/>
          <w:bCs/>
          <w:color w:val="000000" w:themeColor="text1"/>
        </w:rPr>
        <w:t>nce Theory (RDT)</w:t>
      </w:r>
    </w:p>
    <w:p w14:paraId="55EE3FF7" w14:textId="77777777" w:rsidR="00B70BB0" w:rsidRPr="00EB2675" w:rsidRDefault="00EF432B">
      <w:pPr>
        <w:jc w:val="both"/>
        <w:rPr>
          <w:rFonts w:ascii="Times New Roman" w:hAnsi="Times New Roman"/>
          <w:color w:val="000000" w:themeColor="text1"/>
        </w:rPr>
      </w:pPr>
      <w:r w:rsidRPr="00EB2675">
        <w:rPr>
          <w:rFonts w:ascii="Times New Roman" w:hAnsi="Times New Roman"/>
          <w:color w:val="000000" w:themeColor="text1"/>
        </w:rPr>
        <w:t xml:space="preserve">Resource Dependence Theory developed by </w:t>
      </w:r>
      <w:r w:rsidRPr="00EB2675">
        <w:rPr>
          <w:rFonts w:ascii="Times New Roman" w:hAnsi="Times New Roman"/>
          <w:color w:val="000000" w:themeColor="text1"/>
        </w:rPr>
        <w:fldChar w:fldCharType="begin" w:fldLock="1"/>
      </w:r>
      <w:r w:rsidR="00EC00BF" w:rsidRPr="00EB2675">
        <w:rPr>
          <w:rFonts w:ascii="Times New Roman" w:hAnsi="Times New Roman"/>
          <w:color w:val="000000" w:themeColor="text1"/>
        </w:rPr>
        <w:instrText>ADDIN CSL_CITATION {"citationItems":[{"id":"ITEM-1","itemData":{"DOI":"10.2307/255463","ISSN":"00014273","PMID":"10305921","author":[{"dropping-particle":"","family":"Pfeffer","given":"J.","non-dropping-particle":"","parse-names":false,"suffix":""},{"dropping-particle":"","family":"Salancik","given":"G. R.","non-dropping-particle":"","parse-names":false,"suffix":""}],"container-title":"Academy of Management journal. Academy of Management","id":"ITEM-1","issue":"1","issued":{"date-parts":[["1977"]]},"page":"74-88","title":"Organizational context and the characteristics and tenure of hospital administrators.","type":"article-journal","volume":"20"},"uris":["http://www.mendeley.com/documents/?uuid=1ba6e788-d950-41b5-b7b7-094106ba74bb"]}],"mendeley":{"formattedCitation":"(Pfeffer &amp; Salancik, 1977)","manualFormatting":"Pfeffer and Salancik (1977)","plainTextFormattedCitation":"(Pfeffer &amp; Salancik, 1977)","previouslyFormattedCitation":"(Pfeffer &amp; Salancik, 1977)"},"properties":{"noteIndex":0},"schema":"https://github.com/citation-style-language/schema/raw/master/csl-citation.json"}</w:instrText>
      </w:r>
      <w:r w:rsidRPr="00EB2675">
        <w:rPr>
          <w:rFonts w:ascii="Times New Roman" w:hAnsi="Times New Roman"/>
          <w:color w:val="000000" w:themeColor="text1"/>
        </w:rPr>
        <w:fldChar w:fldCharType="separate"/>
      </w:r>
      <w:r w:rsidRPr="00EB2675">
        <w:rPr>
          <w:rFonts w:ascii="Times New Roman" w:hAnsi="Times New Roman"/>
          <w:noProof/>
          <w:color w:val="000000" w:themeColor="text1"/>
        </w:rPr>
        <w:t>Pfeffer and Salancik (1977)</w:t>
      </w:r>
      <w:r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complements the above frameworks by viewing the audit committee as a critical governance resource that supplies expertise, external connections, and legitimacy. Independence in audit committee composition enhances its ability to influence auditor selection, oversee fee negotiation, and ensure audit partner rotation in line with regulatory standards. The theory suggests that the audit committee’s independence and competence are vital resources that mediate external pressures and internal demands, thereby sustaining audit quality. RDT, therefore, justifies the study’s focus on Audit Committee Independence (ACI) not only as a direct predictor but also as a moderator that strengthens the effects of other audit firm characteristics auditor independence, audit fees, and partner rotation on audit quality.</w:t>
      </w:r>
    </w:p>
    <w:p w14:paraId="3018C9A3" w14:textId="77777777" w:rsidR="00B70BB0" w:rsidRPr="00EB2675" w:rsidRDefault="00B70BB0">
      <w:pPr>
        <w:jc w:val="both"/>
        <w:rPr>
          <w:rFonts w:ascii="Times New Roman" w:hAnsi="Times New Roman"/>
          <w:color w:val="000000" w:themeColor="text1"/>
        </w:rPr>
      </w:pPr>
    </w:p>
    <w:p w14:paraId="41FC4310" w14:textId="77777777" w:rsidR="00B70BB0" w:rsidRPr="00EB2675" w:rsidRDefault="00B70BB0">
      <w:pPr>
        <w:jc w:val="both"/>
        <w:rPr>
          <w:rFonts w:ascii="Times New Roman" w:hAnsi="Times New Roman"/>
          <w:color w:val="000000" w:themeColor="text1"/>
        </w:rPr>
      </w:pPr>
    </w:p>
    <w:p w14:paraId="05A59648"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2.4 Methodological Implications</w:t>
      </w:r>
    </w:p>
    <w:p w14:paraId="3C82F6FD" w14:textId="77777777" w:rsidR="00B70BB0" w:rsidRPr="00EB2675" w:rsidRDefault="00B70BB0">
      <w:pPr>
        <w:jc w:val="both"/>
        <w:rPr>
          <w:rFonts w:ascii="Times New Roman" w:hAnsi="Times New Roman"/>
          <w:color w:val="000000" w:themeColor="text1"/>
        </w:rPr>
      </w:pPr>
    </w:p>
    <w:p w14:paraId="074A0F8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theoretical </w:t>
      </w:r>
      <w:r w:rsidRPr="00EB2675">
        <w:rPr>
          <w:rFonts w:ascii="Times New Roman" w:hAnsi="Times New Roman"/>
          <w:color w:val="000000" w:themeColor="text1"/>
        </w:rPr>
        <w:t>synthesis above has important implications for the methodological design and analytical approach of this study.</w:t>
      </w:r>
    </w:p>
    <w:p w14:paraId="3F4313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First, the agency-theoretic foundation suggests the need for quantitative, firm-level data analysis capable of capturing variations in audit fir</w:t>
      </w:r>
      <w:r w:rsidRPr="00EB2675">
        <w:rPr>
          <w:rFonts w:ascii="Times New Roman" w:hAnsi="Times New Roman"/>
          <w:color w:val="000000" w:themeColor="text1"/>
        </w:rPr>
        <w:t>m characteristics and their measurable influence on audit quality proxies. Accordingly, the study employs panel data econometric techniques, allowing for the control of both firm-specific heterogeneity and temporal effects across Nigerian listed non-servic</w:t>
      </w:r>
      <w:r w:rsidRPr="00EB2675">
        <w:rPr>
          <w:rFonts w:ascii="Times New Roman" w:hAnsi="Times New Roman"/>
          <w:color w:val="000000" w:themeColor="text1"/>
        </w:rPr>
        <w:t>e firms. This choice enhances internal validity by mitigating omitted-variable bias commonly associated with cross-sectional designs.</w:t>
      </w:r>
    </w:p>
    <w:p w14:paraId="0B5D493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Second, consistent with the stakeholder and resource dependence perspectives, the study </w:t>
      </w:r>
      <w:proofErr w:type="spellStart"/>
      <w:r w:rsidRPr="00EB2675">
        <w:rPr>
          <w:rFonts w:ascii="Times New Roman" w:hAnsi="Times New Roman"/>
          <w:color w:val="000000" w:themeColor="text1"/>
        </w:rPr>
        <w:t>recognises</w:t>
      </w:r>
      <w:proofErr w:type="spellEnd"/>
      <w:r w:rsidRPr="00EB2675">
        <w:rPr>
          <w:rFonts w:ascii="Times New Roman" w:hAnsi="Times New Roman"/>
          <w:color w:val="000000" w:themeColor="text1"/>
        </w:rPr>
        <w:t xml:space="preserve"> that the relationship b</w:t>
      </w:r>
      <w:r w:rsidRPr="00EB2675">
        <w:rPr>
          <w:rFonts w:ascii="Times New Roman" w:hAnsi="Times New Roman"/>
          <w:color w:val="000000" w:themeColor="text1"/>
        </w:rPr>
        <w:t>etween audit firm attributes and audit quality may not be strictly direct but conditional. Thus, Audit Committee Independence (ACI) is modelled as a moderating variable, allowing the analysis to test whether governance oversight mechanisms amplify or dampe</w:t>
      </w:r>
      <w:r w:rsidRPr="00EB2675">
        <w:rPr>
          <w:rFonts w:ascii="Times New Roman" w:hAnsi="Times New Roman"/>
          <w:color w:val="000000" w:themeColor="text1"/>
        </w:rPr>
        <w:t>n the effects of auditor independence, audit fees, and audit partner rotation. This approach supports a more</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understanding of audit quality formation in emerging markets.</w:t>
      </w:r>
    </w:p>
    <w:p w14:paraId="14CDC315"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Third, grounded in the empirical heterogeneity identified in prior studies, this rese</w:t>
      </w:r>
      <w:r w:rsidRPr="00EB2675">
        <w:rPr>
          <w:rFonts w:ascii="Times New Roman" w:hAnsi="Times New Roman"/>
          <w:color w:val="000000" w:themeColor="text1"/>
        </w:rPr>
        <w:t xml:space="preserve">arch applies robust estimation techniques such as Panel Corrected Standard Errors (PCSE) and Feasible </w:t>
      </w:r>
      <w:proofErr w:type="spellStart"/>
      <w:r w:rsidRPr="00EB2675">
        <w:rPr>
          <w:rFonts w:ascii="Times New Roman" w:hAnsi="Times New Roman"/>
          <w:color w:val="000000" w:themeColor="text1"/>
        </w:rPr>
        <w:t>Generalised</w:t>
      </w:r>
      <w:proofErr w:type="spellEnd"/>
      <w:r w:rsidRPr="00EB2675">
        <w:rPr>
          <w:rFonts w:ascii="Times New Roman" w:hAnsi="Times New Roman"/>
          <w:color w:val="000000" w:themeColor="text1"/>
        </w:rPr>
        <w:t xml:space="preserve"> Least Squares (FGLS). These models are appropriate for handling potential heteroskedasticity, serial correlation, and cross-sectional dependen</w:t>
      </w:r>
      <w:r w:rsidRPr="00EB2675">
        <w:rPr>
          <w:rFonts w:ascii="Times New Roman" w:hAnsi="Times New Roman"/>
          <w:color w:val="000000" w:themeColor="text1"/>
        </w:rPr>
        <w:t>ce</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conditions common in audit quality data involving multiple firms and time periods. The inclusion of these diagnostic and corrective measures ensures the econometric robustness and replicability expected in top-tier research.</w:t>
      </w:r>
    </w:p>
    <w:p w14:paraId="34C1ADC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Lastly, by integrating theor</w:t>
      </w:r>
      <w:r w:rsidRPr="00EB2675">
        <w:rPr>
          <w:rFonts w:ascii="Times New Roman" w:hAnsi="Times New Roman"/>
          <w:color w:val="000000" w:themeColor="text1"/>
        </w:rPr>
        <w:t>etical predictions with rigorous quantitative methods, the study not only contributes to existing audit quality literature but also offers policy-relevant insights for regulators such as the Financial Reporting Council of Nigeria (FRCN) and the Institute o</w:t>
      </w:r>
      <w:r w:rsidRPr="00EB2675">
        <w:rPr>
          <w:rFonts w:ascii="Times New Roman" w:hAnsi="Times New Roman"/>
          <w:color w:val="000000" w:themeColor="text1"/>
        </w:rPr>
        <w:t xml:space="preserve">f Chartered Accountants of Nigeria (ICAN). The methodological design thus supports both theoretical </w:t>
      </w:r>
      <w:proofErr w:type="spellStart"/>
      <w:r w:rsidRPr="00EB2675">
        <w:rPr>
          <w:rFonts w:ascii="Times New Roman" w:hAnsi="Times New Roman"/>
          <w:color w:val="000000" w:themeColor="text1"/>
        </w:rPr>
        <w:t>generalisation</w:t>
      </w:r>
      <w:proofErr w:type="spellEnd"/>
      <w:r w:rsidRPr="00EB2675">
        <w:rPr>
          <w:rFonts w:ascii="Times New Roman" w:hAnsi="Times New Roman"/>
          <w:color w:val="000000" w:themeColor="text1"/>
        </w:rPr>
        <w:t xml:space="preserve"> and practical applicability</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bridging the gap between academic inquiry and regulatory reform in the Nigerian audit environment.</w:t>
      </w:r>
    </w:p>
    <w:p w14:paraId="0534B17E" w14:textId="77777777" w:rsidR="00B70BB0" w:rsidRPr="00EB2675" w:rsidRDefault="00B70BB0">
      <w:pPr>
        <w:jc w:val="both"/>
        <w:rPr>
          <w:rFonts w:ascii="Times New Roman" w:hAnsi="Times New Roman"/>
          <w:color w:val="000000" w:themeColor="text1"/>
        </w:rPr>
      </w:pPr>
    </w:p>
    <w:p w14:paraId="5189EE76" w14:textId="77777777" w:rsidR="00B70BB0" w:rsidRDefault="00C76947">
      <w:pPr>
        <w:pStyle w:val="Heading1"/>
        <w:ind w:hanging="360"/>
        <w:jc w:val="both"/>
        <w:rPr>
          <w:rFonts w:ascii="Times New Roma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3.</w:t>
      </w:r>
      <w:r w:rsidR="005A7887" w:rsidRPr="00EB2675">
        <w:rPr>
          <w:rFonts w:ascii="Times New Roman" w:hAnsi="Times New Roman" w:cs="Times New Roman"/>
          <w:b/>
          <w:color w:val="000000" w:themeColor="text1"/>
          <w:kern w:val="36"/>
          <w:sz w:val="24"/>
          <w:szCs w:val="24"/>
        </w:rPr>
        <w:t>0</w:t>
      </w:r>
      <w:r w:rsidRPr="00EB2675">
        <w:rPr>
          <w:rFonts w:ascii="Times New Roman" w:hAnsi="Times New Roman" w:cs="Times New Roman"/>
          <w:b/>
          <w:color w:val="000000" w:themeColor="text1"/>
          <w:kern w:val="36"/>
          <w:sz w:val="24"/>
          <w:szCs w:val="24"/>
        </w:rPr>
        <w:t xml:space="preserve"> </w:t>
      </w:r>
      <w:proofErr w:type="spellStart"/>
      <w:r w:rsidRPr="00EB2675">
        <w:rPr>
          <w:rFonts w:ascii="Times New Roman" w:hAnsi="Times New Roman" w:cs="Times New Roman"/>
          <w:b/>
          <w:color w:val="000000" w:themeColor="text1"/>
          <w:kern w:val="36"/>
          <w:sz w:val="24"/>
          <w:szCs w:val="24"/>
        </w:rPr>
        <w:t>Methodolgy</w:t>
      </w:r>
      <w:proofErr w:type="spellEnd"/>
    </w:p>
    <w:p w14:paraId="338E0DD8" w14:textId="77777777" w:rsidR="00E53960" w:rsidRPr="00E53960" w:rsidRDefault="00E53960" w:rsidP="00E53960"/>
    <w:p w14:paraId="6BB5DD4D" w14:textId="77777777" w:rsidR="003A1016" w:rsidRPr="00C41A6D" w:rsidRDefault="003A1016" w:rsidP="003A1016">
      <w:pPr>
        <w:jc w:val="both"/>
        <w:rPr>
          <w:rFonts w:ascii="Times New Roman" w:hAnsi="Times New Roman"/>
        </w:rPr>
      </w:pPr>
      <w:r w:rsidRPr="00C41A6D">
        <w:rPr>
          <w:rFonts w:ascii="Times New Roman" w:hAnsi="Times New Roman"/>
        </w:rPr>
        <w:t xml:space="preserve">This research assessed the moderating effect of audit committee independence on the relationship between of audit firm attributes and audit quality of listed non-service companies in Nigeria. The study employed correlational methods as its research design to achieve its objectives. The study encompasses all 74 non-service companies listed on the Nigerian Exchange Group as of December 31, 2025. The census technique </w:t>
      </w:r>
      <w:r>
        <w:rPr>
          <w:rFonts w:ascii="Times New Roman" w:hAnsi="Times New Roman"/>
        </w:rPr>
        <w:t xml:space="preserve">was used to obtain of the non-service companies in which 21 companies were excluded </w:t>
      </w:r>
      <w:r w:rsidRPr="00C41A6D">
        <w:rPr>
          <w:rFonts w:ascii="Times New Roman" w:hAnsi="Times New Roman"/>
        </w:rPr>
        <w:t xml:space="preserve">because their annual reports and necessary data were not accessible for the period between 2012 </w:t>
      </w:r>
      <w:r>
        <w:rPr>
          <w:rFonts w:ascii="Times New Roman" w:hAnsi="Times New Roman"/>
        </w:rPr>
        <w:t>to</w:t>
      </w:r>
      <w:r w:rsidRPr="00C41A6D">
        <w:rPr>
          <w:rFonts w:ascii="Times New Roman" w:hAnsi="Times New Roman"/>
        </w:rPr>
        <w:t xml:space="preserve"> 2022. Consequently, the adjusted population for analysis consisted of 53 companies. </w:t>
      </w:r>
    </w:p>
    <w:p w14:paraId="3AF7B7E7" w14:textId="77777777" w:rsidR="00C92E8A" w:rsidRPr="00EB2675" w:rsidRDefault="003A1016" w:rsidP="002753B3">
      <w:pPr>
        <w:spacing w:after="160" w:line="259" w:lineRule="auto"/>
        <w:jc w:val="both"/>
        <w:rPr>
          <w:rFonts w:ascii="Times New Roman" w:hAnsi="Times New Roman"/>
        </w:rPr>
      </w:pPr>
      <w:r w:rsidRPr="00C41A6D">
        <w:rPr>
          <w:rFonts w:ascii="Times New Roman" w:hAnsi="Times New Roman"/>
        </w:rPr>
        <w:t>The dependent variable in this study is audit quality, which is proxied by accrual quality and measured using the Modified Jones Model</w:t>
      </w:r>
      <w:r>
        <w:rPr>
          <w:rFonts w:ascii="Times New Roman" w:hAnsi="Times New Roman"/>
        </w:rPr>
        <w:t xml:space="preserve"> </w:t>
      </w:r>
      <w:r w:rsidR="00EC00BF" w:rsidRPr="00EB2675">
        <w:rPr>
          <w:rFonts w:ascii="Times New Roman" w:hAnsi="Times New Roman"/>
        </w:rPr>
        <w:fldChar w:fldCharType="begin" w:fldLock="1"/>
      </w:r>
      <w:r w:rsidR="00EC00BF"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w:t>
      </w:r>
      <w:r w:rsidR="008C65EE">
        <w:rPr>
          <w:rFonts w:ascii="Times New Roman" w:hAnsi="Times New Roman"/>
        </w:rPr>
        <w:t xml:space="preserve"> </w:t>
      </w:r>
      <w:r w:rsidRPr="00C41A6D">
        <w:rPr>
          <w:rFonts w:ascii="Times New Roman" w:hAnsi="Times New Roman"/>
        </w:rPr>
        <w:t xml:space="preserve">The study incorporates three audit firm characteristics as explanatory variables. </w:t>
      </w:r>
      <w:r>
        <w:rPr>
          <w:rFonts w:ascii="Times New Roman" w:hAnsi="Times New Roman"/>
        </w:rPr>
        <w:t>A</w:t>
      </w:r>
      <w:r w:rsidRPr="00C41A6D">
        <w:rPr>
          <w:rFonts w:ascii="Times New Roman" w:hAnsi="Times New Roman"/>
        </w:rPr>
        <w:t xml:space="preserve">uditor independence </w:t>
      </w:r>
      <w:r>
        <w:rPr>
          <w:rFonts w:ascii="Times New Roman" w:hAnsi="Times New Roman"/>
        </w:rPr>
        <w:t>was measured</w:t>
      </w:r>
      <w:r w:rsidRPr="00C41A6D">
        <w:rPr>
          <w:rFonts w:ascii="Times New Roman" w:hAnsi="Times New Roman"/>
        </w:rPr>
        <w:t xml:space="preserve"> through a calculation which divides audit expenses by company revenue</w:t>
      </w:r>
      <w:r w:rsidR="003E4F7C">
        <w:rPr>
          <w:rFonts w:ascii="Times New Roman" w:hAnsi="Times New Roman"/>
        </w:rPr>
        <w:t xml:space="preserve"> </w:t>
      </w:r>
      <w:r w:rsidR="00595009" w:rsidRPr="00EB2675">
        <w:rPr>
          <w:rFonts w:ascii="Times New Roman" w:hAnsi="Times New Roman"/>
        </w:rPr>
        <w:fldChar w:fldCharType="begin" w:fldLock="1"/>
      </w:r>
      <w:r w:rsidR="00C92E8A" w:rsidRPr="00EB2675">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2022)","plainTextFormattedCitation":"(Yahaya &amp; Onyabe, 2022)","previouslyFormattedCitation":"(Yahaya &amp; Onyabe, 2022)"},"properties":{"noteIndex":0},"schema":"https://github.com/citation-style-language/schema/raw/master/csl-citation.json"}</w:instrText>
      </w:r>
      <w:r w:rsidR="00595009" w:rsidRPr="00EB2675">
        <w:rPr>
          <w:rFonts w:ascii="Times New Roman" w:hAnsi="Times New Roman"/>
        </w:rPr>
        <w:fldChar w:fldCharType="separate"/>
      </w:r>
      <w:r w:rsidR="00595009" w:rsidRPr="00EB2675">
        <w:rPr>
          <w:rFonts w:ascii="Times New Roman" w:hAnsi="Times New Roman"/>
          <w:noProof/>
        </w:rPr>
        <w:t>(Yahaya &amp; Onyabe, 2022)</w:t>
      </w:r>
      <w:r w:rsidR="00595009" w:rsidRPr="00EB2675">
        <w:rPr>
          <w:rFonts w:ascii="Times New Roman" w:hAnsi="Times New Roman"/>
        </w:rPr>
        <w:fldChar w:fldCharType="end"/>
      </w:r>
      <w:r w:rsidR="002753B3" w:rsidRPr="00EB2675">
        <w:rPr>
          <w:rFonts w:ascii="Times New Roman" w:hAnsi="Times New Roman"/>
        </w:rPr>
        <w:t xml:space="preserve">. </w:t>
      </w:r>
      <w:r w:rsidR="0017346C" w:rsidRPr="00C41A6D">
        <w:rPr>
          <w:rFonts w:ascii="Times New Roman" w:hAnsi="Times New Roman"/>
        </w:rPr>
        <w:t xml:space="preserve">Audit fees are measured as the natural logarithm of the audit fees paid by the client </w:t>
      </w:r>
      <w:r w:rsidR="0017346C">
        <w:rPr>
          <w:rFonts w:ascii="Times New Roman" w:hAnsi="Times New Roman"/>
        </w:rPr>
        <w:t>company</w:t>
      </w:r>
      <w:r w:rsidR="002753B3" w:rsidRPr="00EB2675">
        <w:rPr>
          <w:rFonts w:ascii="Times New Roman" w:hAnsi="Times New Roman"/>
        </w:rPr>
        <w:t xml:space="preserve"> </w:t>
      </w:r>
      <w:r w:rsidR="00EC00BF" w:rsidRPr="00EB2675">
        <w:rPr>
          <w:rFonts w:ascii="Times New Roman" w:hAnsi="Times New Roman"/>
        </w:rPr>
        <w:fldChar w:fldCharType="begin" w:fldLock="1"/>
      </w:r>
      <w:r w:rsidR="00595009"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 xml:space="preserve">. </w:t>
      </w:r>
      <w:r w:rsidR="0017346C" w:rsidRPr="0017346C">
        <w:rPr>
          <w:rFonts w:ascii="Times New Roman" w:hAnsi="Times New Roman"/>
        </w:rPr>
        <w:lastRenderedPageBreak/>
        <w:t xml:space="preserve">Audit partner rotation is </w:t>
      </w:r>
      <w:proofErr w:type="spellStart"/>
      <w:r w:rsidR="0017346C" w:rsidRPr="0017346C">
        <w:rPr>
          <w:rFonts w:ascii="Times New Roman" w:hAnsi="Times New Roman"/>
        </w:rPr>
        <w:t>operationalised</w:t>
      </w:r>
      <w:proofErr w:type="spellEnd"/>
      <w:r w:rsidR="0017346C" w:rsidRPr="0017346C">
        <w:rPr>
          <w:rFonts w:ascii="Times New Roman" w:hAnsi="Times New Roman"/>
        </w:rPr>
        <w:t xml:space="preserve"> as a binary variable, coded as 1 if the audit partner who has audited the company for three consecutive years is replaced, and 0 otherwise</w:t>
      </w:r>
      <w:r w:rsidR="008C65EE">
        <w:rPr>
          <w:rFonts w:ascii="Times New Roman" w:hAnsi="Times New Roman"/>
        </w:rPr>
        <w:t xml:space="preserve"> </w:t>
      </w:r>
      <w:r w:rsidR="008C65EE">
        <w:rPr>
          <w:rFonts w:ascii="Times New Roman" w:hAnsi="Times New Roman"/>
        </w:rPr>
        <w:fldChar w:fldCharType="begin" w:fldLock="1"/>
      </w:r>
      <w:r w:rsidR="008C65EE">
        <w:rPr>
          <w:rFonts w:ascii="Times New Roman" w:hAnsi="Times New Roman"/>
        </w:rPr>
        <w:instrText>ADDIN CSL_CITATION {"citationItems":[{"id":"ITEM-1","itemData":{"author":[{"dropping-particle":"","family":"Hirki","given":"Benedict","non-dropping-particle":"","parse-names":false,"suffix":""}],"id":"ITEM-1","issued":{"date-parts":[["2025"]]},"number-of-pages":"1-270","publisher":"Adamawa State University Mubi","title":"Effect of audit firm attributes on audit quality of listed non- financial services companies in Nigeria: The moderating role of Audit committee independence","type":"thesis"},"uris":["http://www.mendeley.com/documents/?uuid=dadd71ec-c8a9-486e-9c1e-82df9fcaf3b3"]}],"mendeley":{"formattedCitation":"(Hirki, 2025)","plainTextFormattedCitation":"(Hirki, 2025)"},"properties":{"noteIndex":0},"schema":"https://github.com/citation-style-language/schema/raw/master/csl-citation.json"}</w:instrText>
      </w:r>
      <w:r w:rsidR="008C65EE">
        <w:rPr>
          <w:rFonts w:ascii="Times New Roman" w:hAnsi="Times New Roman"/>
        </w:rPr>
        <w:fldChar w:fldCharType="separate"/>
      </w:r>
      <w:r w:rsidR="008C65EE" w:rsidRPr="008C65EE">
        <w:rPr>
          <w:rFonts w:ascii="Times New Roman" w:hAnsi="Times New Roman"/>
          <w:noProof/>
        </w:rPr>
        <w:t>(Hirki, 2025)</w:t>
      </w:r>
      <w:r w:rsidR="008C65EE">
        <w:rPr>
          <w:rFonts w:ascii="Times New Roman" w:hAnsi="Times New Roman"/>
        </w:rPr>
        <w:fldChar w:fldCharType="end"/>
      </w:r>
      <w:r w:rsidR="0017346C" w:rsidRPr="0017346C">
        <w:rPr>
          <w:rFonts w:ascii="Times New Roman" w:hAnsi="Times New Roman"/>
        </w:rPr>
        <w:t>.</w:t>
      </w:r>
      <w:r w:rsidR="008C65EE">
        <w:rPr>
          <w:rFonts w:ascii="Times New Roman" w:hAnsi="Times New Roman"/>
        </w:rPr>
        <w:t xml:space="preserve"> </w:t>
      </w:r>
      <w:r w:rsidR="008C65EE" w:rsidRPr="00C41A6D">
        <w:rPr>
          <w:rFonts w:ascii="Times New Roman" w:hAnsi="Times New Roman"/>
        </w:rPr>
        <w:t>The moderating variable, audit committee independence, is measured as the proportion of independent non-executive directors to the total number of audit committee</w:t>
      </w:r>
      <w:r w:rsidR="008C65EE">
        <w:rPr>
          <w:rFonts w:ascii="Times New Roman" w:hAnsi="Times New Roman"/>
        </w:rPr>
        <w:t xml:space="preserve">  </w:t>
      </w:r>
      <w:r w:rsidR="00C92E8A" w:rsidRPr="00EB2675">
        <w:rPr>
          <w:rFonts w:ascii="Times New Roman" w:hAnsi="Times New Roman"/>
        </w:rPr>
        <w:fldChar w:fldCharType="begin" w:fldLock="1"/>
      </w:r>
      <w:r w:rsidR="00AA60B7">
        <w:rPr>
          <w:rFonts w:ascii="Times New Roman" w:hAnsi="Times New Roman"/>
        </w:rPr>
        <w:instrText>ADDIN CSL_CITATION {"citationItems":[{"id":"ITEM-1","itemData":{"DOI":"10.4236/ajibm.2025.158056","abstract":"The audit committee is the most important subcommittee of the board of di-rectors due to its specific role of protecting the interest of shareholders in rela-tion to financial oversight. It plays a very important role in corporate govern-ance and the internal audit procedure by monitoring managers’ activities con-cerning financial disclosure. This study seeks to identify the unique contribu-tions made by each proxy and to provide compelling evidence that demon-strates how an Audit Committee mechanism impacts Firm Value. This paper aims to investigate how the audit committee’s characteristics affect firm value in Egypt. Using a sample of 80 non-financial Egyptian companies listed on the Egyptian Stock Exchange for the eight financial years from 2012 to 2019. Audit Committee characteristics are represented by Audit Committee independ-ence, Audit Committee size, the frequency of Audit Committee meetings, Au-dit Committee expertise, and Audit committee gender. Tobin’s Q is used to measure Firm value. Panel data regression was used in the archival modeling study. Using a multiple regression model to test the relationship among the variables, the results provide evidences that Audit Committee Expertise, Audit Committee Size, Audit Committee Independence and Audit Committee Gen-der have a significant positive impact on firm value. Otherwise, Audit Com-mittee Meetings have a positive relation but insignificant with firm value. This study offers numerous recommendations to the regulatory authorities in Egypt on how to improve and strengthen the internal governance systems of busi-nesses, particularly the Audit Committee.","author":[{"dropping-particle":"","family":"Galal","given":"Heidi Mahmoud","non-dropping-particle":"","parse-names":false,"suffix":""}],"container-title":"Scientific Research Publishing","id":"ITEM-1","issue":"8","issued":{"date-parts":[["2025"]]},"page":"1125-1154","title":"The effect of audit committee characteristics on firm value : Evidence from firms listed on the Egyptian stock market","type":"article-journal","volume":"15"},"uris":["http://www.mendeley.com/documents/?uuid=3951c5da-b61b-4399-b7a3-96fa415e553e"]}],"mendeley":{"formattedCitation":"(Galal, 2025)","plainTextFormattedCitation":"(Galal, 2025)","previouslyFormattedCitation":"(Galal, 2025)"},"properties":{"noteIndex":0},"schema":"https://github.com/citation-style-language/schema/raw/master/csl-citation.json"}</w:instrText>
      </w:r>
      <w:r w:rsidR="00C92E8A" w:rsidRPr="00EB2675">
        <w:rPr>
          <w:rFonts w:ascii="Times New Roman" w:hAnsi="Times New Roman"/>
        </w:rPr>
        <w:fldChar w:fldCharType="separate"/>
      </w:r>
      <w:r w:rsidR="00C92E8A" w:rsidRPr="00EB2675">
        <w:rPr>
          <w:rFonts w:ascii="Times New Roman" w:hAnsi="Times New Roman"/>
          <w:noProof/>
        </w:rPr>
        <w:t>(Galal, 2025)</w:t>
      </w:r>
      <w:r w:rsidR="00C92E8A" w:rsidRPr="00EB2675">
        <w:rPr>
          <w:rFonts w:ascii="Times New Roman" w:hAnsi="Times New Roman"/>
        </w:rPr>
        <w:fldChar w:fldCharType="end"/>
      </w:r>
      <w:r w:rsidR="00C92E8A" w:rsidRPr="00EB2675">
        <w:rPr>
          <w:rFonts w:ascii="Times New Roman" w:hAnsi="Times New Roman"/>
        </w:rPr>
        <w:t>.</w:t>
      </w:r>
      <w:r w:rsidR="002753B3" w:rsidRPr="00EB2675">
        <w:rPr>
          <w:rFonts w:ascii="Times New Roman" w:hAnsi="Times New Roman"/>
        </w:rPr>
        <w:t xml:space="preserve"> </w:t>
      </w:r>
    </w:p>
    <w:p w14:paraId="4C56E62B" w14:textId="77777777" w:rsidR="00483AEA" w:rsidRPr="00EB2675" w:rsidRDefault="00483AEA" w:rsidP="002753B3">
      <w:pPr>
        <w:spacing w:after="160" w:line="259" w:lineRule="auto"/>
        <w:jc w:val="both"/>
        <w:rPr>
          <w:rFonts w:ascii="Times New Roman" w:hAnsi="Times New Roman"/>
        </w:rPr>
      </w:pPr>
    </w:p>
    <w:p w14:paraId="3CC8E3E0" w14:textId="77777777" w:rsidR="00483AEA" w:rsidRDefault="00696717" w:rsidP="00483AEA">
      <w:pPr>
        <w:spacing w:after="160" w:line="259" w:lineRule="auto"/>
        <w:jc w:val="both"/>
        <w:rPr>
          <w:rFonts w:ascii="Times New Roman" w:hAnsi="Times New Roman"/>
        </w:rPr>
      </w:pPr>
      <w:r>
        <w:rPr>
          <w:rFonts w:ascii="Times New Roman" w:hAnsi="Times New Roman"/>
        </w:rPr>
        <w:t>Drawing on the variables above, t</w:t>
      </w:r>
      <w:r w:rsidRPr="00696717">
        <w:rPr>
          <w:rFonts w:ascii="Times New Roman" w:hAnsi="Times New Roman"/>
        </w:rPr>
        <w:t>his study</w:t>
      </w:r>
      <w:r>
        <w:rPr>
          <w:rFonts w:ascii="Times New Roman" w:hAnsi="Times New Roman"/>
        </w:rPr>
        <w:t xml:space="preserve"> </w:t>
      </w:r>
      <w:r w:rsidRPr="00696717">
        <w:rPr>
          <w:rFonts w:ascii="Times New Roman" w:hAnsi="Times New Roman"/>
        </w:rPr>
        <w:t xml:space="preserve">regression model </w:t>
      </w:r>
      <w:r>
        <w:rPr>
          <w:rFonts w:ascii="Times New Roman" w:hAnsi="Times New Roman"/>
        </w:rPr>
        <w:t>was adapted from</w:t>
      </w:r>
      <w:r w:rsidRPr="00696717">
        <w:rPr>
          <w:rFonts w:ascii="Times New Roman" w:hAnsi="Times New Roman"/>
        </w:rPr>
        <w:t xml:space="preserve"> </w:t>
      </w:r>
      <w:r w:rsidR="00483AEA" w:rsidRPr="00EB2675">
        <w:rPr>
          <w:rFonts w:ascii="Times New Roman" w:hAnsi="Times New Roman"/>
          <w:color w:val="000000" w:themeColor="text1"/>
        </w:rPr>
        <w:fldChar w:fldCharType="begin" w:fldLock="1"/>
      </w:r>
      <w:r w:rsidR="00483AEA" w:rsidRPr="00EB2675">
        <w:rPr>
          <w:rFonts w:ascii="Times New Roman" w:hAnsi="Times New Roman"/>
          <w:color w:val="000000" w:themeColor="text1"/>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00483AEA" w:rsidRPr="00EB2675">
        <w:rPr>
          <w:rFonts w:ascii="Times New Roman" w:hAnsi="Times New Roman"/>
          <w:color w:val="000000" w:themeColor="text1"/>
        </w:rPr>
        <w:fldChar w:fldCharType="separate"/>
      </w:r>
      <w:r w:rsidR="00483AEA" w:rsidRPr="00EB2675">
        <w:rPr>
          <w:rFonts w:ascii="Times New Roman" w:hAnsi="Times New Roman"/>
          <w:noProof/>
          <w:color w:val="000000" w:themeColor="text1"/>
        </w:rPr>
        <w:t>Hasibuan et al., (2022)</w:t>
      </w:r>
      <w:r w:rsidR="00483AEA" w:rsidRPr="00EB2675">
        <w:rPr>
          <w:rFonts w:ascii="Times New Roman" w:hAnsi="Times New Roman"/>
          <w:color w:val="000000" w:themeColor="text1"/>
        </w:rPr>
        <w:fldChar w:fldCharType="end"/>
      </w:r>
      <w:r w:rsidR="00483AEA" w:rsidRPr="00EB2675">
        <w:rPr>
          <w:rFonts w:ascii="Times New Roman" w:hAnsi="Times New Roman"/>
          <w:color w:val="000000" w:themeColor="text1"/>
        </w:rPr>
        <w:t xml:space="preserve">, </w:t>
      </w:r>
      <w:r w:rsidRPr="00696717">
        <w:rPr>
          <w:rFonts w:ascii="Times New Roman" w:hAnsi="Times New Roman"/>
          <w:color w:val="000000" w:themeColor="text1"/>
        </w:rPr>
        <w:t>which serves as the analytical framework for the empirical analysis.</w:t>
      </w:r>
    </w:p>
    <w:p w14:paraId="01DAE391" w14:textId="77777777" w:rsidR="00B70BB0" w:rsidRPr="00EB2675" w:rsidRDefault="00026A9A">
      <w:pPr>
        <w:pStyle w:val="root-block-node"/>
        <w:jc w:val="both"/>
        <w:rPr>
          <w:b/>
          <w:color w:val="000000" w:themeColor="text1"/>
        </w:rPr>
      </w:pPr>
      <w:r w:rsidRPr="00EB2675">
        <w:rPr>
          <w:b/>
          <w:color w:val="000000" w:themeColor="text1"/>
        </w:rPr>
        <w:t>Audit Quality Model</w:t>
      </w:r>
      <w:r w:rsidR="00EB2675" w:rsidRPr="00EB2675">
        <w:rPr>
          <w:b/>
          <w:color w:val="000000" w:themeColor="text1"/>
        </w:rPr>
        <w:t>s</w:t>
      </w:r>
    </w:p>
    <w:p w14:paraId="4558E753" w14:textId="77777777" w:rsidR="00EB2675" w:rsidRPr="00EB2675" w:rsidRDefault="00EB2675" w:rsidP="00EB2675">
      <w:pPr>
        <w:pStyle w:val="root-block-node"/>
        <w:jc w:val="both"/>
        <w:rPr>
          <w:b/>
          <w:color w:val="000000" w:themeColor="text1"/>
        </w:rPr>
      </w:pPr>
      <w:r w:rsidRPr="00EB2675">
        <w:rPr>
          <w:b/>
          <w:color w:val="000000" w:themeColor="text1"/>
        </w:rPr>
        <w:t>Unmoderated</w:t>
      </w:r>
    </w:p>
    <w:p w14:paraId="7EAF3717" w14:textId="77777777" w:rsidR="00EB2675" w:rsidRPr="00EB2675" w:rsidRDefault="00EB2675" w:rsidP="00EB2675">
      <w:pPr>
        <w:pStyle w:val="root-block-node"/>
        <w:spacing w:line="480" w:lineRule="auto"/>
        <w:jc w:val="both"/>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Pr="00EB2675">
        <w:rPr>
          <w:b/>
          <w:bCs/>
          <w:i/>
          <w:iCs/>
          <w:noProof/>
          <w:color w:val="000000" w:themeColor="text1"/>
        </w:rPr>
        <w:t>……………………Model 1</w:t>
      </w:r>
    </w:p>
    <w:p w14:paraId="22E15954" w14:textId="77777777" w:rsidR="00EB2675" w:rsidRPr="00EB2675" w:rsidRDefault="00EB2675">
      <w:pPr>
        <w:pStyle w:val="root-block-node"/>
        <w:jc w:val="both"/>
        <w:rPr>
          <w:b/>
          <w:color w:val="000000" w:themeColor="text1"/>
        </w:rPr>
      </w:pPr>
      <w:r w:rsidRPr="00EB2675">
        <w:rPr>
          <w:b/>
          <w:color w:val="000000" w:themeColor="text1"/>
        </w:rPr>
        <w:t>Moderated</w:t>
      </w:r>
    </w:p>
    <w:p w14:paraId="3A2CBB9D" w14:textId="77777777" w:rsidR="00B70BB0" w:rsidRPr="00EB2675" w:rsidRDefault="00026A9A" w:rsidP="00EB2675">
      <w:pPr>
        <w:pStyle w:val="root-block-node"/>
        <w:spacing w:line="480" w:lineRule="auto"/>
        <w:ind w:right="-540"/>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4</w:t>
      </w:r>
      <w:r w:rsidRPr="00EB2675">
        <w:rPr>
          <w:b/>
          <w:bCs/>
          <w:i/>
          <w:iCs/>
          <w:noProof/>
          <w:color w:val="000000" w:themeColor="text1"/>
        </w:rPr>
        <w:t>ACI×AFI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5</w:t>
      </w:r>
      <w:r w:rsidRPr="00EB2675">
        <w:rPr>
          <w:b/>
          <w:bCs/>
          <w:i/>
          <w:iCs/>
          <w:noProof/>
          <w:color w:val="000000" w:themeColor="text1"/>
        </w:rPr>
        <w:t>ACI×AFE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6</w:t>
      </w:r>
      <w:r w:rsidRPr="00EB2675">
        <w:rPr>
          <w:b/>
          <w:bCs/>
          <w:i/>
          <w:iCs/>
          <w:noProof/>
          <w:color w:val="000000" w:themeColor="text1"/>
        </w:rPr>
        <w:t>ACI×APR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00EB2675" w:rsidRPr="00EB2675">
        <w:rPr>
          <w:b/>
          <w:bCs/>
          <w:i/>
          <w:iCs/>
          <w:noProof/>
          <w:color w:val="000000" w:themeColor="text1"/>
          <w:vertAlign w:val="subscript"/>
        </w:rPr>
        <w:t>…….</w:t>
      </w:r>
      <w:r w:rsidR="00EB2675" w:rsidRPr="00EB2675">
        <w:rPr>
          <w:b/>
          <w:bCs/>
          <w:i/>
          <w:iCs/>
          <w:noProof/>
          <w:color w:val="000000" w:themeColor="text1"/>
        </w:rPr>
        <w:t xml:space="preserve"> Model 2</w:t>
      </w:r>
    </w:p>
    <w:p w14:paraId="6126568B" w14:textId="77777777" w:rsidR="00483AEA" w:rsidRPr="00EB2675" w:rsidRDefault="00483AEA" w:rsidP="00483AEA">
      <w:pPr>
        <w:jc w:val="both"/>
        <w:rPr>
          <w:rFonts w:ascii="Times New Roman" w:hAnsi="Times New Roman"/>
        </w:rPr>
      </w:pPr>
      <w:r w:rsidRPr="00EB2675">
        <w:rPr>
          <w:rFonts w:ascii="Times New Roman" w:hAnsi="Times New Roman"/>
        </w:rPr>
        <w:t xml:space="preserve">Source: Authors adaptation of the model from </w:t>
      </w:r>
      <w:r w:rsidRPr="00EB2675">
        <w:rPr>
          <w:rFonts w:ascii="Times New Roman" w:hAnsi="Times New Roman"/>
        </w:rPr>
        <w:fldChar w:fldCharType="begin" w:fldLock="1"/>
      </w:r>
      <w:r w:rsidRPr="00EB2675">
        <w:rPr>
          <w:rFonts w:ascii="Times New Roman" w:hAnsi="Times New Roman"/>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Pr="00EB2675">
        <w:rPr>
          <w:rFonts w:ascii="Times New Roman" w:hAnsi="Times New Roman"/>
        </w:rPr>
        <w:fldChar w:fldCharType="separate"/>
      </w:r>
      <w:r w:rsidRPr="00EB2675">
        <w:rPr>
          <w:rFonts w:ascii="Times New Roman" w:hAnsi="Times New Roman"/>
          <w:noProof/>
        </w:rPr>
        <w:t>Hasibuan et al., (2022)</w:t>
      </w:r>
      <w:r w:rsidRPr="00EB2675">
        <w:rPr>
          <w:rFonts w:ascii="Times New Roman" w:hAnsi="Times New Roman"/>
        </w:rPr>
        <w:fldChar w:fldCharType="end"/>
      </w:r>
      <w:r w:rsidRPr="00EB2675">
        <w:rPr>
          <w:rFonts w:ascii="Times New Roman" w:hAnsi="Times New Roman"/>
        </w:rPr>
        <w:t>.</w:t>
      </w:r>
    </w:p>
    <w:p w14:paraId="16D2EA8A" w14:textId="77777777" w:rsidR="00483AEA" w:rsidRPr="00EB2675" w:rsidRDefault="00483AEA" w:rsidP="00483AEA">
      <w:pPr>
        <w:jc w:val="both"/>
        <w:rPr>
          <w:rFonts w:ascii="Times New Roman" w:hAnsi="Times New Roman"/>
        </w:rPr>
      </w:pPr>
      <w:r w:rsidRPr="00EB2675">
        <w:rPr>
          <w:rFonts w:ascii="Times New Roman" w:hAnsi="Times New Roman"/>
        </w:rPr>
        <w:t>Where:</w:t>
      </w:r>
    </w:p>
    <w:p w14:paraId="347C7405" w14:textId="77777777" w:rsidR="00483AEA" w:rsidRPr="00EB2675" w:rsidRDefault="00483AEA">
      <w:pPr>
        <w:jc w:val="both"/>
        <w:rPr>
          <w:rFonts w:ascii="Times New Roman" w:eastAsia="Calibri" w:hAnsi="Times New Roman"/>
          <w:color w:val="000000" w:themeColor="text1"/>
        </w:rPr>
      </w:pPr>
    </w:p>
    <w:p w14:paraId="257BAD06"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 xml:space="preserve">ACQ      </w:t>
      </w:r>
      <w:r w:rsidRPr="00EB2675">
        <w:rPr>
          <w:rFonts w:ascii="Times New Roman" w:eastAsia="Calibri" w:hAnsi="Times New Roman"/>
          <w:color w:val="000000" w:themeColor="text1"/>
        </w:rPr>
        <w:t>= Audit Quality;</w:t>
      </w:r>
    </w:p>
    <w:p w14:paraId="14A9846B"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it</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Longitudinal data indicator;</w:t>
      </w:r>
    </w:p>
    <w:p w14:paraId="4649AA0E"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0</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Intercept;</w:t>
      </w:r>
    </w:p>
    <w:p w14:paraId="130DA2D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1 </w:t>
      </w:r>
      <w:r w:rsidRPr="00EB2675">
        <w:rPr>
          <w:rFonts w:ascii="Times New Roman" w:eastAsia="Calibri" w:hAnsi="Times New Roman"/>
          <w:b/>
          <w:color w:val="000000" w:themeColor="text1"/>
        </w:rPr>
        <w:t>to β</w:t>
      </w:r>
      <w:r w:rsidR="00483AEA" w:rsidRPr="00EB2675">
        <w:rPr>
          <w:rFonts w:ascii="Times New Roman" w:eastAsia="Calibri" w:hAnsi="Times New Roman"/>
          <w:b/>
          <w:color w:val="000000" w:themeColor="text1"/>
          <w:vertAlign w:val="subscript"/>
        </w:rPr>
        <w:t>3</w:t>
      </w:r>
      <w:r w:rsidRPr="00EB2675">
        <w:rPr>
          <w:rFonts w:ascii="Times New Roman" w:eastAsia="Calibri" w:hAnsi="Times New Roman"/>
          <w:b/>
          <w:color w:val="000000" w:themeColor="text1"/>
          <w:vertAlign w:val="subscript"/>
        </w:rPr>
        <w:t xml:space="preserve">     </w:t>
      </w:r>
      <w:r w:rsidRPr="00EB2675">
        <w:rPr>
          <w:rFonts w:ascii="Times New Roman" w:eastAsia="Calibri" w:hAnsi="Times New Roman"/>
          <w:color w:val="000000" w:themeColor="text1"/>
        </w:rPr>
        <w:t>= Coefficient of independent variables;</w:t>
      </w:r>
    </w:p>
    <w:p w14:paraId="0D2DF8F1" w14:textId="77777777" w:rsidR="00483AEA"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4 </w:t>
      </w:r>
      <w:r w:rsidRPr="00EB2675">
        <w:rPr>
          <w:rFonts w:ascii="Times New Roman" w:eastAsia="Calibri" w:hAnsi="Times New Roman"/>
          <w:b/>
          <w:color w:val="000000" w:themeColor="text1"/>
        </w:rPr>
        <w:t>to β</w:t>
      </w:r>
      <w:r w:rsidRPr="00EB2675">
        <w:rPr>
          <w:rFonts w:ascii="Times New Roman" w:eastAsia="Calibri" w:hAnsi="Times New Roman"/>
          <w:b/>
          <w:color w:val="000000" w:themeColor="text1"/>
          <w:vertAlign w:val="subscript"/>
        </w:rPr>
        <w:t xml:space="preserve">6     </w:t>
      </w:r>
      <w:r w:rsidRPr="00EB2675">
        <w:rPr>
          <w:rFonts w:ascii="Times New Roman" w:eastAsia="Calibri" w:hAnsi="Times New Roman"/>
          <w:color w:val="000000" w:themeColor="text1"/>
        </w:rPr>
        <w:t>= Coefficient of Moderating effect;</w:t>
      </w:r>
    </w:p>
    <w:p w14:paraId="37B3E44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ε</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Error terms;</w:t>
      </w:r>
    </w:p>
    <w:p w14:paraId="0B4A6B5E"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AFI</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Firm Independence;</w:t>
      </w:r>
    </w:p>
    <w:p w14:paraId="41059F42"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AFE</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Feeds;</w:t>
      </w:r>
    </w:p>
    <w:p w14:paraId="0FBB83F7"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APR</w:t>
      </w:r>
      <w:r w:rsidRPr="00EB2675">
        <w:rPr>
          <w:rFonts w:ascii="Times New Roman" w:eastAsia="Calibri" w:hAnsi="Times New Roman"/>
          <w:color w:val="000000" w:themeColor="text1"/>
        </w:rPr>
        <w:tab/>
        <w:t xml:space="preserve">   = Audit Partner Rotation;</w:t>
      </w:r>
    </w:p>
    <w:p w14:paraId="27C25E2B"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ACI</w:t>
      </w:r>
      <w:r w:rsidRPr="00EB2675">
        <w:rPr>
          <w:rFonts w:ascii="Times New Roman" w:eastAsia="Calibri" w:hAnsi="Times New Roman"/>
          <w:color w:val="000000" w:themeColor="text1"/>
        </w:rPr>
        <w:tab/>
        <w:t xml:space="preserve">   = Audit Committee Independence;</w:t>
      </w:r>
    </w:p>
    <w:p w14:paraId="66A35D61" w14:textId="77777777" w:rsidR="00B70BB0" w:rsidRPr="00EB2675" w:rsidRDefault="00C76947">
      <w:pPr>
        <w:pStyle w:val="Heading1"/>
        <w:jc w:val="both"/>
        <w:rPr>
          <w:rFonts w:ascii="Times New Roman" w:eastAsia="SimSu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4.</w:t>
      </w:r>
      <w:r w:rsidR="005A7887" w:rsidRPr="00EB2675">
        <w:rPr>
          <w:rFonts w:ascii="Times New Roman" w:hAnsi="Times New Roman" w:cs="Times New Roman"/>
          <w:b/>
          <w:color w:val="000000" w:themeColor="text1"/>
          <w:kern w:val="36"/>
          <w:sz w:val="24"/>
          <w:szCs w:val="24"/>
        </w:rPr>
        <w:t xml:space="preserve">0 </w:t>
      </w:r>
      <w:r w:rsidRPr="00EB2675">
        <w:rPr>
          <w:rFonts w:ascii="Times New Roman" w:hAnsi="Times New Roman" w:cs="Times New Roman"/>
          <w:b/>
          <w:color w:val="000000" w:themeColor="text1"/>
          <w:kern w:val="36"/>
          <w:sz w:val="24"/>
          <w:szCs w:val="24"/>
        </w:rPr>
        <w:t>Result and Discussion</w:t>
      </w:r>
    </w:p>
    <w:p w14:paraId="24423033" w14:textId="77777777" w:rsidR="00EB2675" w:rsidRPr="00EB2675" w:rsidRDefault="00C76947" w:rsidP="00EB2675">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This section extends the study approach established in the previous section, focusing on </w:t>
      </w:r>
      <w:r w:rsidR="005A7887" w:rsidRPr="00EB2675">
        <w:rPr>
          <w:rFonts w:ascii="Times New Roman" w:hAnsi="Times New Roman"/>
          <w:color w:val="000000" w:themeColor="text1"/>
        </w:rPr>
        <w:t>moderating effect of audit committee independence on the relationship between of audit firm attributes and audit quality of listed non-service companies in Nigeria.</w:t>
      </w:r>
      <w:r w:rsidR="005A7887" w:rsidRPr="00EB2675">
        <w:rPr>
          <w:rFonts w:ascii="Times New Roman" w:hAnsi="Times New Roman"/>
          <w:b/>
          <w:color w:val="000000" w:themeColor="text1"/>
        </w:rPr>
        <w:t xml:space="preserve"> </w:t>
      </w:r>
      <w:r w:rsidRPr="00EB2675">
        <w:rPr>
          <w:rFonts w:ascii="Times New Roman" w:eastAsia="Calibri" w:hAnsi="Times New Roman"/>
          <w:color w:val="000000" w:themeColor="text1"/>
        </w:rPr>
        <w:t>It involves presenting descriptive statistics (minimum, mean, maximum, and standard deviation) and correlation, conduc</w:t>
      </w:r>
      <w:r w:rsidRPr="00EB2675">
        <w:rPr>
          <w:rFonts w:ascii="Times New Roman" w:eastAsia="Calibri" w:hAnsi="Times New Roman"/>
          <w:color w:val="000000" w:themeColor="text1"/>
        </w:rPr>
        <w:t xml:space="preserve">ting tests for multicollinearity, normality, heteroskedasticity and </w:t>
      </w:r>
      <w:r w:rsidR="00EB2675" w:rsidRPr="00EB2675">
        <w:rPr>
          <w:rFonts w:ascii="Times New Roman" w:eastAsia="Calibri" w:hAnsi="Times New Roman"/>
          <w:color w:val="000000" w:themeColor="text1"/>
        </w:rPr>
        <w:t xml:space="preserve">the regression analysis was conducted using the </w:t>
      </w:r>
      <w:proofErr w:type="spellStart"/>
      <w:r w:rsidR="00EB2675" w:rsidRPr="00EB2675">
        <w:rPr>
          <w:rFonts w:ascii="Times New Roman" w:eastAsia="Calibri" w:hAnsi="Times New Roman"/>
          <w:color w:val="000000" w:themeColor="text1"/>
        </w:rPr>
        <w:t>Generalised</w:t>
      </w:r>
      <w:proofErr w:type="spellEnd"/>
      <w:r w:rsidR="00EB2675" w:rsidRPr="00EB2675">
        <w:rPr>
          <w:rFonts w:ascii="Times New Roman" w:eastAsia="Calibri" w:hAnsi="Times New Roman"/>
          <w:color w:val="000000" w:themeColor="text1"/>
        </w:rPr>
        <w:t xml:space="preserve"> Least Squares (GLS) technique for the unmoderated model, while the Panel-Corrected Standard Errors (PCSE) approach was applied to the moderated model.</w:t>
      </w:r>
    </w:p>
    <w:p w14:paraId="1A3FE5D4" w14:textId="77777777" w:rsidR="00B70BB0" w:rsidRPr="00EB2675" w:rsidRDefault="00C76947" w:rsidP="005A7887">
      <w:pPr>
        <w:rPr>
          <w:rFonts w:ascii="Times New Roman" w:hAnsi="Times New Roman"/>
          <w:b/>
          <w:color w:val="000000" w:themeColor="text1"/>
        </w:rPr>
      </w:pPr>
      <w:r w:rsidRPr="00EB2675">
        <w:rPr>
          <w:rFonts w:ascii="Times New Roman" w:eastAsia="Calibri" w:hAnsi="Times New Roman"/>
          <w:color w:val="000000" w:themeColor="text1"/>
        </w:rPr>
        <w:t>All these steps contributed to estimating the study's evaluation of the influence of firm characteristics on SEADQ.</w:t>
      </w:r>
    </w:p>
    <w:p w14:paraId="2060AC91" w14:textId="77777777" w:rsidR="00B70BB0" w:rsidRPr="00EB2675" w:rsidRDefault="00C76947">
      <w:pPr>
        <w:pStyle w:val="Heading2"/>
        <w:jc w:val="both"/>
        <w:rPr>
          <w:rFonts w:ascii="Times New Roman" w:eastAsia="SimSun" w:hAnsi="Times New Roman" w:cs="Times New Roman"/>
          <w:b/>
          <w:color w:val="000000" w:themeColor="text1"/>
          <w:sz w:val="24"/>
          <w:szCs w:val="24"/>
        </w:rPr>
      </w:pPr>
      <w:bookmarkStart w:id="1" w:name="_Toc154958416"/>
      <w:bookmarkStart w:id="2" w:name="_Toc123311386"/>
      <w:bookmarkEnd w:id="1"/>
      <w:r w:rsidRPr="00EB2675">
        <w:rPr>
          <w:rFonts w:ascii="Times New Roman" w:hAnsi="Times New Roman" w:cs="Times New Roman"/>
          <w:b/>
          <w:color w:val="000000" w:themeColor="text1"/>
          <w:sz w:val="24"/>
          <w:szCs w:val="24"/>
        </w:rPr>
        <w:lastRenderedPageBreak/>
        <w:t>4.1 Descriptive Statistics</w:t>
      </w:r>
      <w:bookmarkEnd w:id="2"/>
    </w:p>
    <w:p w14:paraId="37C8F325" w14:textId="36EB5E9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Descriptive statistics in Table 1 present standard deviation, mean, minimum, and maximum v</w:t>
      </w:r>
      <w:r w:rsidRPr="00EB2675">
        <w:rPr>
          <w:rFonts w:ascii="Times New Roman" w:eastAsia="Calibri" w:hAnsi="Times New Roman"/>
          <w:color w:val="000000" w:themeColor="text1"/>
        </w:rPr>
        <w:t xml:space="preserve">alues for both the dependent and independent variables, aimed to </w:t>
      </w:r>
      <w:proofErr w:type="spellStart"/>
      <w:r w:rsidRPr="00EB2675">
        <w:rPr>
          <w:rFonts w:ascii="Times New Roman" w:eastAsia="Calibri" w:hAnsi="Times New Roman"/>
          <w:color w:val="000000" w:themeColor="text1"/>
        </w:rPr>
        <w:t>analysing</w:t>
      </w:r>
      <w:proofErr w:type="spellEnd"/>
      <w:r w:rsidRPr="00EB2675">
        <w:rPr>
          <w:rFonts w:ascii="Times New Roman" w:eastAsia="Calibri" w:hAnsi="Times New Roman"/>
          <w:color w:val="000000" w:themeColor="text1"/>
        </w:rPr>
        <w:t xml:space="preserve"> data behavior in terms of variance and deviation from the mean. This assessment helps in comparing the acquired data with the legal and policy requirements of companies.</w:t>
      </w:r>
    </w:p>
    <w:p w14:paraId="33249C52" w14:textId="7E99BC4B" w:rsidR="00B70BB0" w:rsidRPr="00EB2675" w:rsidRDefault="00C76947">
      <w:pPr>
        <w:pStyle w:val="Caption"/>
        <w:keepNext/>
        <w:jc w:val="both"/>
        <w:rPr>
          <w:rFonts w:ascii="Times New Roman" w:eastAsia="Calibri" w:hAnsi="Times New Roman"/>
          <w:color w:val="000000" w:themeColor="text1"/>
          <w:sz w:val="24"/>
          <w:szCs w:val="24"/>
        </w:rPr>
      </w:pPr>
      <w:bookmarkStart w:id="3" w:name="_Toc154936686"/>
      <w:bookmarkEnd w:id="3"/>
      <w:r w:rsidRPr="00EB2675">
        <w:rPr>
          <w:rFonts w:ascii="Times New Roman" w:eastAsia="Calibri" w:hAnsi="Times New Roman"/>
          <w:color w:val="000000" w:themeColor="text1"/>
          <w:sz w:val="24"/>
          <w:szCs w:val="24"/>
        </w:rPr>
        <w:t>Table 1: De</w:t>
      </w:r>
      <w:r w:rsidRPr="00EB2675">
        <w:rPr>
          <w:rFonts w:ascii="Times New Roman" w:eastAsia="Calibri" w:hAnsi="Times New Roman"/>
          <w:color w:val="000000" w:themeColor="text1"/>
          <w:sz w:val="24"/>
          <w:szCs w:val="24"/>
        </w:rPr>
        <w:t>scriptive Statistics</w:t>
      </w:r>
    </w:p>
    <w:tbl>
      <w:tblPr>
        <w:tblStyle w:val="LightShading"/>
        <w:tblW w:w="0" w:type="auto"/>
        <w:tblBorders>
          <w:insideH w:val="outset" w:sz="6" w:space="0" w:color="auto"/>
          <w:insideV w:val="outset" w:sz="6" w:space="0" w:color="auto"/>
        </w:tblBorders>
        <w:tblLook w:val="04A0" w:firstRow="1" w:lastRow="0" w:firstColumn="1" w:lastColumn="0" w:noHBand="0" w:noVBand="1"/>
      </w:tblPr>
      <w:tblGrid>
        <w:gridCol w:w="1203"/>
        <w:gridCol w:w="1112"/>
        <w:gridCol w:w="1111"/>
        <w:gridCol w:w="1254"/>
        <w:gridCol w:w="1170"/>
        <w:gridCol w:w="1002"/>
      </w:tblGrid>
      <w:tr w:rsidR="00B70BB0" w:rsidRPr="00EB2675" w14:paraId="1511A6B2" w14:textId="77777777" w:rsidTr="00B70BB0">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03" w:type="dxa"/>
            <w:noWrap/>
          </w:tcPr>
          <w:p w14:paraId="1E8DD36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color w:val="000000" w:themeColor="text1"/>
              </w:rPr>
              <w:t>Variables</w:t>
            </w:r>
          </w:p>
        </w:tc>
        <w:tc>
          <w:tcPr>
            <w:tcW w:w="1112" w:type="dxa"/>
            <w:tcBorders>
              <w:left w:val="inset" w:sz="6" w:space="0" w:color="auto"/>
            </w:tcBorders>
          </w:tcPr>
          <w:p w14:paraId="41F2DEB2"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proofErr w:type="spellStart"/>
            <w:r w:rsidRPr="00EB2675">
              <w:rPr>
                <w:rFonts w:ascii="Times New Roman" w:hAnsi="Times New Roman"/>
                <w:b w:val="0"/>
                <w:color w:val="000000" w:themeColor="text1"/>
              </w:rPr>
              <w:t>Obs</w:t>
            </w:r>
            <w:proofErr w:type="spellEnd"/>
          </w:p>
        </w:tc>
        <w:tc>
          <w:tcPr>
            <w:tcW w:w="1111" w:type="dxa"/>
            <w:tcBorders>
              <w:left w:val="inset" w:sz="6" w:space="0" w:color="auto"/>
            </w:tcBorders>
          </w:tcPr>
          <w:p w14:paraId="1D561DD2"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color w:val="000000" w:themeColor="text1"/>
              </w:rPr>
              <w:t>Mean</w:t>
            </w:r>
          </w:p>
        </w:tc>
        <w:tc>
          <w:tcPr>
            <w:tcW w:w="1254" w:type="dxa"/>
            <w:tcBorders>
              <w:left w:val="inset" w:sz="6" w:space="0" w:color="auto"/>
            </w:tcBorders>
          </w:tcPr>
          <w:p w14:paraId="0BC2BBE3"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 xml:space="preserve">Std. Dev.    </w:t>
            </w:r>
          </w:p>
        </w:tc>
        <w:tc>
          <w:tcPr>
            <w:tcW w:w="1170" w:type="dxa"/>
            <w:tcBorders>
              <w:left w:val="inset" w:sz="6" w:space="0" w:color="auto"/>
            </w:tcBorders>
          </w:tcPr>
          <w:p w14:paraId="48AEA897"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Min</w:t>
            </w:r>
          </w:p>
        </w:tc>
        <w:tc>
          <w:tcPr>
            <w:tcW w:w="1002" w:type="dxa"/>
            <w:tcBorders>
              <w:left w:val="inset" w:sz="6" w:space="0" w:color="auto"/>
            </w:tcBorders>
          </w:tcPr>
          <w:p w14:paraId="6F867A6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Max</w:t>
            </w:r>
          </w:p>
        </w:tc>
      </w:tr>
      <w:tr w:rsidR="00B70BB0" w:rsidRPr="00EB2675" w14:paraId="789842F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134AAD7" w14:textId="77777777" w:rsidR="00B70BB0" w:rsidRPr="00EB2675" w:rsidRDefault="00C76947">
            <w:pPr>
              <w:jc w:val="both"/>
              <w:rPr>
                <w:rFonts w:ascii="Times New Roman" w:hAnsi="Times New Roman"/>
                <w:b w:val="0"/>
                <w:bCs w:val="0"/>
                <w:color w:val="000000" w:themeColor="text1"/>
              </w:rPr>
            </w:pPr>
            <w:r w:rsidRPr="00EB2675">
              <w:rPr>
                <w:rFonts w:ascii="Times New Roman" w:hAnsi="Times New Roman"/>
                <w:color w:val="000000" w:themeColor="text1"/>
              </w:rPr>
              <w:t>ACQ</w:t>
            </w:r>
          </w:p>
        </w:tc>
        <w:tc>
          <w:tcPr>
            <w:tcW w:w="1112" w:type="dxa"/>
            <w:tcBorders>
              <w:top w:val="nil"/>
              <w:left w:val="nil"/>
              <w:bottom w:val="nil"/>
              <w:right w:val="nil"/>
            </w:tcBorders>
          </w:tcPr>
          <w:p w14:paraId="3C8AF27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3983A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1.5957</w:t>
            </w:r>
          </w:p>
        </w:tc>
        <w:tc>
          <w:tcPr>
            <w:tcW w:w="1254" w:type="dxa"/>
            <w:tcBorders>
              <w:top w:val="nil"/>
              <w:left w:val="nil"/>
              <w:bottom w:val="nil"/>
              <w:right w:val="nil"/>
            </w:tcBorders>
          </w:tcPr>
          <w:p w14:paraId="0ACEF96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1.5823</w:t>
            </w:r>
          </w:p>
        </w:tc>
        <w:tc>
          <w:tcPr>
            <w:tcW w:w="1170" w:type="dxa"/>
            <w:tcBorders>
              <w:top w:val="nil"/>
              <w:left w:val="nil"/>
              <w:bottom w:val="nil"/>
              <w:right w:val="nil"/>
            </w:tcBorders>
          </w:tcPr>
          <w:p w14:paraId="4141F1D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-2.172</w:t>
            </w:r>
          </w:p>
        </w:tc>
        <w:tc>
          <w:tcPr>
            <w:tcW w:w="1002" w:type="dxa"/>
            <w:tcBorders>
              <w:top w:val="nil"/>
              <w:left w:val="nil"/>
              <w:bottom w:val="nil"/>
              <w:right w:val="nil"/>
            </w:tcBorders>
          </w:tcPr>
          <w:p w14:paraId="19E81C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15.4018</w:t>
            </w:r>
          </w:p>
        </w:tc>
      </w:tr>
      <w:tr w:rsidR="00B70BB0" w:rsidRPr="00EB2675" w14:paraId="1EC779FC"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044DD9BF"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AFI</w:t>
            </w:r>
          </w:p>
        </w:tc>
        <w:tc>
          <w:tcPr>
            <w:tcW w:w="1112" w:type="dxa"/>
            <w:tcBorders>
              <w:top w:val="nil"/>
              <w:left w:val="nil"/>
              <w:bottom w:val="nil"/>
              <w:right w:val="nil"/>
            </w:tcBorders>
          </w:tcPr>
          <w:p w14:paraId="39A729F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5D01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0.0088</w:t>
            </w:r>
          </w:p>
        </w:tc>
        <w:tc>
          <w:tcPr>
            <w:tcW w:w="1254" w:type="dxa"/>
            <w:tcBorders>
              <w:top w:val="nil"/>
              <w:left w:val="nil"/>
              <w:bottom w:val="nil"/>
              <w:right w:val="nil"/>
            </w:tcBorders>
          </w:tcPr>
          <w:p w14:paraId="2117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0.0491</w:t>
            </w:r>
          </w:p>
        </w:tc>
        <w:tc>
          <w:tcPr>
            <w:tcW w:w="1170" w:type="dxa"/>
            <w:tcBorders>
              <w:top w:val="nil"/>
              <w:left w:val="nil"/>
              <w:bottom w:val="nil"/>
              <w:right w:val="nil"/>
            </w:tcBorders>
          </w:tcPr>
          <w:p w14:paraId="2115709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0.00004</w:t>
            </w:r>
          </w:p>
        </w:tc>
        <w:tc>
          <w:tcPr>
            <w:tcW w:w="1002" w:type="dxa"/>
            <w:tcBorders>
              <w:top w:val="nil"/>
              <w:left w:val="nil"/>
              <w:bottom w:val="nil"/>
              <w:right w:val="nil"/>
            </w:tcBorders>
          </w:tcPr>
          <w:p w14:paraId="4E8D53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57</w:t>
            </w:r>
          </w:p>
        </w:tc>
      </w:tr>
      <w:tr w:rsidR="00B70BB0" w:rsidRPr="00EB2675" w14:paraId="1F9598B0"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59F812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AFE</w:t>
            </w:r>
          </w:p>
        </w:tc>
        <w:tc>
          <w:tcPr>
            <w:tcW w:w="1112" w:type="dxa"/>
            <w:tcBorders>
              <w:top w:val="nil"/>
              <w:left w:val="nil"/>
              <w:bottom w:val="nil"/>
              <w:right w:val="nil"/>
            </w:tcBorders>
          </w:tcPr>
          <w:p w14:paraId="332A8F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02CB70C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9.5305</w:t>
            </w:r>
          </w:p>
        </w:tc>
        <w:tc>
          <w:tcPr>
            <w:tcW w:w="1254" w:type="dxa"/>
            <w:tcBorders>
              <w:top w:val="nil"/>
              <w:left w:val="nil"/>
              <w:bottom w:val="nil"/>
              <w:right w:val="nil"/>
            </w:tcBorders>
          </w:tcPr>
          <w:p w14:paraId="51B160E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1.3883</w:t>
            </w:r>
          </w:p>
        </w:tc>
        <w:tc>
          <w:tcPr>
            <w:tcW w:w="1170" w:type="dxa"/>
            <w:tcBorders>
              <w:top w:val="nil"/>
              <w:left w:val="nil"/>
              <w:bottom w:val="nil"/>
              <w:right w:val="nil"/>
            </w:tcBorders>
          </w:tcPr>
          <w:p w14:paraId="1CDF27A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5.2983</w:t>
            </w:r>
          </w:p>
        </w:tc>
        <w:tc>
          <w:tcPr>
            <w:tcW w:w="1002" w:type="dxa"/>
            <w:tcBorders>
              <w:top w:val="nil"/>
              <w:left w:val="nil"/>
              <w:bottom w:val="nil"/>
              <w:right w:val="nil"/>
            </w:tcBorders>
          </w:tcPr>
          <w:p w14:paraId="3801292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12.7966</w:t>
            </w:r>
          </w:p>
        </w:tc>
      </w:tr>
      <w:tr w:rsidR="00B70BB0" w:rsidRPr="00EB2675" w14:paraId="799A796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490F5CA6"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APR</w:t>
            </w:r>
          </w:p>
        </w:tc>
        <w:tc>
          <w:tcPr>
            <w:tcW w:w="1112" w:type="dxa"/>
            <w:tcBorders>
              <w:top w:val="nil"/>
              <w:left w:val="nil"/>
              <w:bottom w:val="nil"/>
              <w:right w:val="nil"/>
            </w:tcBorders>
          </w:tcPr>
          <w:p w14:paraId="6D62156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66DD2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0.6792</w:t>
            </w:r>
          </w:p>
        </w:tc>
        <w:tc>
          <w:tcPr>
            <w:tcW w:w="1254" w:type="dxa"/>
            <w:tcBorders>
              <w:top w:val="nil"/>
              <w:left w:val="nil"/>
              <w:bottom w:val="nil"/>
              <w:right w:val="nil"/>
            </w:tcBorders>
          </w:tcPr>
          <w:p w14:paraId="4D5293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0.4672</w:t>
            </w:r>
          </w:p>
        </w:tc>
        <w:tc>
          <w:tcPr>
            <w:tcW w:w="1170" w:type="dxa"/>
            <w:tcBorders>
              <w:top w:val="nil"/>
              <w:left w:val="nil"/>
              <w:bottom w:val="nil"/>
              <w:right w:val="nil"/>
            </w:tcBorders>
          </w:tcPr>
          <w:p w14:paraId="73ECE4F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w:t>
            </w:r>
          </w:p>
        </w:tc>
        <w:tc>
          <w:tcPr>
            <w:tcW w:w="1002" w:type="dxa"/>
            <w:tcBorders>
              <w:top w:val="nil"/>
              <w:left w:val="nil"/>
              <w:bottom w:val="nil"/>
              <w:right w:val="nil"/>
            </w:tcBorders>
          </w:tcPr>
          <w:p w14:paraId="621924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w:t>
            </w:r>
          </w:p>
        </w:tc>
      </w:tr>
      <w:tr w:rsidR="00B70BB0" w:rsidRPr="00EB2675" w14:paraId="2D7EAC2F"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single" w:sz="8" w:space="0" w:color="000000"/>
              <w:right w:val="nil"/>
            </w:tcBorders>
            <w:noWrap/>
          </w:tcPr>
          <w:p w14:paraId="363026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ACI</w:t>
            </w:r>
          </w:p>
        </w:tc>
        <w:tc>
          <w:tcPr>
            <w:tcW w:w="1112" w:type="dxa"/>
            <w:tcBorders>
              <w:top w:val="nil"/>
              <w:left w:val="nil"/>
              <w:bottom w:val="single" w:sz="8" w:space="0" w:color="000000"/>
              <w:right w:val="nil"/>
            </w:tcBorders>
          </w:tcPr>
          <w:p w14:paraId="7047C4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single" w:sz="8" w:space="0" w:color="000000"/>
              <w:right w:val="nil"/>
            </w:tcBorders>
          </w:tcPr>
          <w:p w14:paraId="0C45DD2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0.5187</w:t>
            </w:r>
          </w:p>
        </w:tc>
        <w:tc>
          <w:tcPr>
            <w:tcW w:w="1254" w:type="dxa"/>
            <w:tcBorders>
              <w:top w:val="nil"/>
              <w:left w:val="nil"/>
              <w:bottom w:val="single" w:sz="8" w:space="0" w:color="000000"/>
              <w:right w:val="nil"/>
            </w:tcBorders>
          </w:tcPr>
          <w:p w14:paraId="6F41532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0.0546</w:t>
            </w:r>
          </w:p>
        </w:tc>
        <w:tc>
          <w:tcPr>
            <w:tcW w:w="1170" w:type="dxa"/>
            <w:tcBorders>
              <w:top w:val="nil"/>
              <w:left w:val="nil"/>
              <w:bottom w:val="single" w:sz="8" w:space="0" w:color="000000"/>
              <w:right w:val="nil"/>
            </w:tcBorders>
          </w:tcPr>
          <w:p w14:paraId="38206F1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w:t>
            </w:r>
          </w:p>
        </w:tc>
        <w:tc>
          <w:tcPr>
            <w:tcW w:w="1002" w:type="dxa"/>
            <w:tcBorders>
              <w:top w:val="nil"/>
              <w:left w:val="nil"/>
              <w:bottom w:val="single" w:sz="8" w:space="0" w:color="000000"/>
              <w:right w:val="nil"/>
            </w:tcBorders>
          </w:tcPr>
          <w:p w14:paraId="4F5290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76.58</w:t>
            </w:r>
          </w:p>
        </w:tc>
      </w:tr>
    </w:tbl>
    <w:p w14:paraId="6FA0628F" w14:textId="77777777" w:rsidR="00B70BB0" w:rsidRPr="00EB2675" w:rsidRDefault="00C76947">
      <w:pPr>
        <w:pStyle w:val="FootnoteText"/>
        <w:jc w:val="both"/>
        <w:rPr>
          <w:rFonts w:ascii="Times New Roman" w:hAnsi="Times New Roman"/>
          <w:i/>
          <w:iCs/>
          <w:color w:val="000000" w:themeColor="text1"/>
          <w:sz w:val="24"/>
          <w:szCs w:val="24"/>
        </w:rPr>
      </w:pPr>
      <w:r w:rsidRPr="00EB2675">
        <w:rPr>
          <w:rFonts w:ascii="Times New Roman" w:hAnsi="Times New Roman"/>
          <w:i/>
          <w:iCs/>
          <w:color w:val="000000" w:themeColor="text1"/>
          <w:sz w:val="24"/>
          <w:szCs w:val="24"/>
        </w:rPr>
        <w:t>Source: Authors’ computation using STATA 17, 2025.</w:t>
      </w:r>
    </w:p>
    <w:p w14:paraId="76F1FFD5" w14:textId="382FBEDE"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descriptive statistics presented in Table </w:t>
      </w:r>
      <w:r w:rsidR="00B257B2">
        <w:rPr>
          <w:rFonts w:ascii="Times New Roman" w:hAnsi="Times New Roman"/>
          <w:color w:val="000000" w:themeColor="text1"/>
          <w:sz w:val="24"/>
          <w:szCs w:val="24"/>
        </w:rPr>
        <w:t>1</w:t>
      </w:r>
      <w:r w:rsidRPr="00EB2675">
        <w:rPr>
          <w:rFonts w:ascii="Times New Roman" w:hAnsi="Times New Roman"/>
          <w:color w:val="000000" w:themeColor="text1"/>
          <w:sz w:val="24"/>
          <w:szCs w:val="24"/>
        </w:rPr>
        <w:t xml:space="preserve">above provide a robust overview of the variables under examination. Audit Firm Independence (AFI), Audit Fees (AFE), Audit Partner Rotation (APR), </w:t>
      </w:r>
      <w:r w:rsidRPr="00EB2675">
        <w:rPr>
          <w:rFonts w:ascii="Times New Roman" w:hAnsi="Times New Roman"/>
          <w:color w:val="000000" w:themeColor="text1"/>
          <w:sz w:val="24"/>
          <w:szCs w:val="24"/>
        </w:rPr>
        <w:t>Audit Committee Independence (ACI), and Audit Quality (ACQ). The dataset consists of 583 firm-year observations, providing adequate power for statistical inference and external validity within the Nigerian context.</w:t>
      </w:r>
    </w:p>
    <w:p w14:paraId="3CF08032"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The mean value of ACQ is 1.5957 with a st</w:t>
      </w:r>
      <w:r w:rsidRPr="00EB2675">
        <w:rPr>
          <w:rFonts w:ascii="Times New Roman" w:hAnsi="Times New Roman"/>
          <w:color w:val="000000" w:themeColor="text1"/>
          <w:sz w:val="24"/>
          <w:szCs w:val="24"/>
        </w:rPr>
        <w:t xml:space="preserve">andard deviation of 1.5823, suggesting moderate variability across </w:t>
      </w:r>
      <w:r w:rsidR="00EB2675">
        <w:rPr>
          <w:rFonts w:ascii="Times New Roman" w:hAnsi="Times New Roman"/>
          <w:color w:val="000000" w:themeColor="text1"/>
          <w:sz w:val="24"/>
          <w:szCs w:val="24"/>
        </w:rPr>
        <w:t>the companies</w:t>
      </w:r>
      <w:r w:rsidRPr="00EB2675">
        <w:rPr>
          <w:rFonts w:ascii="Times New Roman" w:hAnsi="Times New Roman"/>
          <w:color w:val="000000" w:themeColor="text1"/>
          <w:sz w:val="24"/>
          <w:szCs w:val="24"/>
        </w:rPr>
        <w:t xml:space="preserve">. The minimum value of -2.172 indicates that certain </w:t>
      </w:r>
      <w:r w:rsidR="00EB2675">
        <w:rPr>
          <w:rFonts w:ascii="Times New Roman" w:hAnsi="Times New Roman"/>
          <w:color w:val="000000" w:themeColor="text1"/>
          <w:sz w:val="24"/>
          <w:szCs w:val="24"/>
        </w:rPr>
        <w:t>companie</w:t>
      </w:r>
      <w:r w:rsidRPr="00EB2675">
        <w:rPr>
          <w:rFonts w:ascii="Times New Roman" w:hAnsi="Times New Roman"/>
          <w:color w:val="000000" w:themeColor="text1"/>
          <w:sz w:val="24"/>
          <w:szCs w:val="24"/>
        </w:rPr>
        <w:t>s experience notably strong accrual quality, while the maximum value of 15.4018 demonstrates the presence of outlie</w:t>
      </w:r>
      <w:r w:rsidRPr="00EB2675">
        <w:rPr>
          <w:rFonts w:ascii="Times New Roman" w:hAnsi="Times New Roman"/>
          <w:color w:val="000000" w:themeColor="text1"/>
          <w:sz w:val="24"/>
          <w:szCs w:val="24"/>
        </w:rPr>
        <w:t>rs with exceptionally low audit quality scores. This wide range implies heterogeneity in audit outcomes, which may stem from differences in firm size, governance structures, and regulatory compliance levels. Such variation underscores the importance of ins</w:t>
      </w:r>
      <w:r w:rsidRPr="00EB2675">
        <w:rPr>
          <w:rFonts w:ascii="Times New Roman" w:hAnsi="Times New Roman"/>
          <w:color w:val="000000" w:themeColor="text1"/>
          <w:sz w:val="24"/>
          <w:szCs w:val="24"/>
        </w:rPr>
        <w:t>titutional mechanisms for ensuring quality assurance in line with SDG 16 (Peace, Justice, and Strong Institutions</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which promotes transparent and accountable institutions.</w:t>
      </w:r>
    </w:p>
    <w:p w14:paraId="7172D4B4"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Similarly,</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AFI has a very low mean of 0.0088 and a standard deviation of 0.0491, </w:t>
      </w:r>
      <w:r w:rsidRPr="00EB2675">
        <w:rPr>
          <w:rFonts w:ascii="Times New Roman" w:hAnsi="Times New Roman"/>
          <w:color w:val="000000" w:themeColor="text1"/>
          <w:sz w:val="24"/>
          <w:szCs w:val="24"/>
        </w:rPr>
        <w:t>with values ranging from 0.00004</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to 57. The minimum value indicates extreme cases of potential independence breaches in at least one company, possibly arising from long auditor client relationships or significant economic dependence on clients while the su</w:t>
      </w:r>
      <w:r w:rsidRPr="00EB2675">
        <w:rPr>
          <w:rFonts w:ascii="Times New Roman" w:hAnsi="Times New Roman"/>
          <w:color w:val="000000" w:themeColor="text1"/>
          <w:sz w:val="24"/>
          <w:szCs w:val="24"/>
        </w:rPr>
        <w:t>bstantial maximum value of 57% in at least one company means that the audit firm of such company exercises it independence to some reasonable level. This skewness highlights the need for regulatory monitoring and aligns with agency theory, which posits tha</w:t>
      </w:r>
      <w:r w:rsidRPr="00EB2675">
        <w:rPr>
          <w:rFonts w:ascii="Times New Roman" w:hAnsi="Times New Roman"/>
          <w:color w:val="000000" w:themeColor="text1"/>
          <w:sz w:val="24"/>
          <w:szCs w:val="24"/>
        </w:rPr>
        <w:t>t auditors’ independence is critical in mitigating agency conflicts. From a sustainability perspective, strengthening AFI supports SDG 12 (Responsible Consumption and Production) by ensuring that firms provide credible financial and non-financial disclosur</w:t>
      </w:r>
      <w:r w:rsidRPr="00EB2675">
        <w:rPr>
          <w:rFonts w:ascii="Times New Roman" w:hAnsi="Times New Roman"/>
          <w:color w:val="000000" w:themeColor="text1"/>
          <w:sz w:val="24"/>
          <w:szCs w:val="24"/>
        </w:rPr>
        <w:t>es to stakeholders.</w:t>
      </w:r>
    </w:p>
    <w:p w14:paraId="5D56F5B9"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Moreover, AFE which stands for audit fees measured by </w:t>
      </w:r>
      <w:proofErr w:type="gramStart"/>
      <w:r w:rsidRPr="00EB2675">
        <w:rPr>
          <w:rFonts w:ascii="Times New Roman" w:hAnsi="Times New Roman"/>
          <w:color w:val="000000" w:themeColor="text1"/>
          <w:sz w:val="24"/>
          <w:szCs w:val="24"/>
        </w:rPr>
        <w:t>it</w:t>
      </w:r>
      <w:proofErr w:type="gramEnd"/>
      <w:r w:rsidRPr="00EB2675">
        <w:rPr>
          <w:rFonts w:ascii="Times New Roman" w:hAnsi="Times New Roman"/>
          <w:color w:val="000000" w:themeColor="text1"/>
          <w:sz w:val="24"/>
          <w:szCs w:val="24"/>
        </w:rPr>
        <w:t xml:space="preserve"> natural log records a mean of 9.5305 with relatively low dispersion (standard deviation = 1.3883), and a range from 5.2983</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to 12.7966. These figures suggest a clustering of audit </w:t>
      </w:r>
      <w:r w:rsidRPr="00EB2675">
        <w:rPr>
          <w:rFonts w:ascii="Times New Roman" w:hAnsi="Times New Roman"/>
          <w:color w:val="000000" w:themeColor="text1"/>
          <w:sz w:val="24"/>
          <w:szCs w:val="24"/>
        </w:rPr>
        <w:t xml:space="preserve">fees within a fairly narrow band, consistent with the </w:t>
      </w:r>
      <w:r w:rsidRPr="00EB2675">
        <w:rPr>
          <w:rFonts w:ascii="Times New Roman" w:hAnsi="Times New Roman"/>
          <w:color w:val="000000" w:themeColor="text1"/>
          <w:sz w:val="24"/>
          <w:szCs w:val="24"/>
        </w:rPr>
        <w:lastRenderedPageBreak/>
        <w:t xml:space="preserve">notion that audit fees are influenced by firm size, complexity, and perceived risk. Excessively high fees, however, may compromise auditor independence, whereas extremely low fees could undermine audit </w:t>
      </w:r>
      <w:r w:rsidRPr="00EB2675">
        <w:rPr>
          <w:rFonts w:ascii="Times New Roman" w:hAnsi="Times New Roman"/>
          <w:color w:val="000000" w:themeColor="text1"/>
          <w:sz w:val="24"/>
          <w:szCs w:val="24"/>
        </w:rPr>
        <w:t xml:space="preserve">effort. This duality resonates with debates in the audit pricing literature and is critical for SDG 8 (Decent Work and Economic Growth), since fair pricing of professional services contributes to sustainable </w:t>
      </w:r>
      <w:proofErr w:type="spellStart"/>
      <w:r w:rsidRPr="00EB2675">
        <w:rPr>
          <w:rFonts w:ascii="Times New Roman" w:hAnsi="Times New Roman"/>
          <w:color w:val="000000" w:themeColor="text1"/>
          <w:sz w:val="24"/>
          <w:szCs w:val="24"/>
        </w:rPr>
        <w:t>labour</w:t>
      </w:r>
      <w:proofErr w:type="spellEnd"/>
      <w:r w:rsidRPr="00EB2675">
        <w:rPr>
          <w:rFonts w:ascii="Times New Roman" w:hAnsi="Times New Roman"/>
          <w:color w:val="000000" w:themeColor="text1"/>
          <w:sz w:val="24"/>
          <w:szCs w:val="24"/>
        </w:rPr>
        <w:t xml:space="preserve"> practices and ensures economic inclusivit</w:t>
      </w:r>
      <w:r w:rsidRPr="00EB2675">
        <w:rPr>
          <w:rFonts w:ascii="Times New Roman" w:hAnsi="Times New Roman"/>
          <w:color w:val="000000" w:themeColor="text1"/>
          <w:sz w:val="24"/>
          <w:szCs w:val="24"/>
        </w:rPr>
        <w:t>y.</w:t>
      </w:r>
    </w:p>
    <w:p w14:paraId="6C1DAF9E"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Furthermore,</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the mean APR of 0.6792 (standard deviation = 0.4672) suggests that, on average, audit partners rotate less than once within the studied period, though the maximum of 1 indicates that in some cases audit partner rotation</w:t>
      </w:r>
      <w:r w:rsidR="00A22F9A">
        <w:rPr>
          <w:rFonts w:ascii="Times New Roman" w:hAnsi="Times New Roman"/>
          <w:color w:val="000000" w:themeColor="text1"/>
          <w:sz w:val="24"/>
          <w:szCs w:val="24"/>
        </w:rPr>
        <w:t xml:space="preserve"> </w:t>
      </w:r>
      <w:r w:rsidRPr="00EB2675">
        <w:rPr>
          <w:rFonts w:ascii="Times New Roman" w:hAnsi="Times New Roman"/>
          <w:color w:val="000000" w:themeColor="text1"/>
          <w:sz w:val="24"/>
          <w:szCs w:val="24"/>
        </w:rPr>
        <w:t>has taken place in a</w:t>
      </w:r>
      <w:r w:rsidRPr="00EB2675">
        <w:rPr>
          <w:rFonts w:ascii="Times New Roman" w:hAnsi="Times New Roman"/>
          <w:color w:val="000000" w:themeColor="text1"/>
          <w:sz w:val="24"/>
          <w:szCs w:val="24"/>
        </w:rPr>
        <w:t>t least one company. The minimum of 0 reflects a situation in at least one company where no partner rotation occurred. This distribution raises concerns about audit familiarity threats, consistent with prior literature that links prolonged tenure with impa</w:t>
      </w:r>
      <w:r w:rsidRPr="00EB2675">
        <w:rPr>
          <w:rFonts w:ascii="Times New Roman" w:hAnsi="Times New Roman"/>
          <w:color w:val="000000" w:themeColor="text1"/>
          <w:sz w:val="24"/>
          <w:szCs w:val="24"/>
        </w:rPr>
        <w:t xml:space="preserve">ired independence. Conversely, rotation may enhance audit </w:t>
      </w:r>
      <w:proofErr w:type="spellStart"/>
      <w:r w:rsidRPr="00EB2675">
        <w:rPr>
          <w:rFonts w:ascii="Times New Roman" w:hAnsi="Times New Roman"/>
          <w:color w:val="000000" w:themeColor="text1"/>
          <w:sz w:val="24"/>
          <w:szCs w:val="24"/>
        </w:rPr>
        <w:t>scepticism</w:t>
      </w:r>
      <w:proofErr w:type="spellEnd"/>
      <w:r w:rsidRPr="00EB2675">
        <w:rPr>
          <w:rFonts w:ascii="Times New Roman" w:hAnsi="Times New Roman"/>
          <w:color w:val="000000" w:themeColor="text1"/>
          <w:sz w:val="24"/>
          <w:szCs w:val="24"/>
        </w:rPr>
        <w:t xml:space="preserve"> and innovation, contributing to SDG 9 (Industry, Innovation, and Infrastructure</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xml:space="preserve"> by fostering more resilient audit processes.</w:t>
      </w:r>
    </w:p>
    <w:p w14:paraId="49E73270"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Looking at</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ACI which stands for audit committee independence,</w:t>
      </w:r>
      <w:r w:rsidRPr="00EB2675">
        <w:rPr>
          <w:rFonts w:ascii="Times New Roman" w:hAnsi="Times New Roman"/>
          <w:color w:val="000000" w:themeColor="text1"/>
          <w:sz w:val="24"/>
          <w:szCs w:val="24"/>
        </w:rPr>
        <w:t xml:space="preserve"> records a mean of 0.5187 with a very narrow standard deviation of 0.0546, implying relative uniformity across the sample. However, the range is strikingly wide, spanning from 0.17</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to 76.58. The upper bound appears to be an outlier which means that there i</w:t>
      </w:r>
      <w:r w:rsidRPr="00EB2675">
        <w:rPr>
          <w:rFonts w:ascii="Times New Roman" w:hAnsi="Times New Roman"/>
          <w:color w:val="000000" w:themeColor="text1"/>
          <w:sz w:val="24"/>
          <w:szCs w:val="24"/>
        </w:rPr>
        <w:t xml:space="preserve">s at least one company whose audit committee is highly independence while the lower bound means that there is at least one company in which it </w:t>
      </w:r>
      <w:r w:rsidR="00A22F9A" w:rsidRPr="00EB2675">
        <w:rPr>
          <w:rFonts w:ascii="Times New Roman" w:hAnsi="Times New Roman"/>
          <w:color w:val="000000" w:themeColor="text1"/>
          <w:sz w:val="24"/>
          <w:szCs w:val="24"/>
        </w:rPr>
        <w:t>audits</w:t>
      </w:r>
      <w:r w:rsidRPr="00EB2675">
        <w:rPr>
          <w:rFonts w:ascii="Times New Roman" w:hAnsi="Times New Roman"/>
          <w:color w:val="000000" w:themeColor="text1"/>
          <w:sz w:val="24"/>
          <w:szCs w:val="24"/>
        </w:rPr>
        <w:t xml:space="preserve"> committee has a very low independence. A balanced level of audit committee independence is </w:t>
      </w:r>
      <w:r w:rsidR="00A22F9A">
        <w:rPr>
          <w:rFonts w:ascii="Times New Roman" w:hAnsi="Times New Roman"/>
          <w:color w:val="000000" w:themeColor="text1"/>
          <w:sz w:val="24"/>
          <w:szCs w:val="24"/>
        </w:rPr>
        <w:t>critical</w:t>
      </w:r>
      <w:r w:rsidRPr="00EB2675">
        <w:rPr>
          <w:rFonts w:ascii="Times New Roman" w:hAnsi="Times New Roman"/>
          <w:color w:val="000000" w:themeColor="text1"/>
          <w:sz w:val="24"/>
          <w:szCs w:val="24"/>
        </w:rPr>
        <w:t>, as it</w:t>
      </w:r>
      <w:r w:rsidRPr="00EB2675">
        <w:rPr>
          <w:rFonts w:ascii="Times New Roman" w:hAnsi="Times New Roman"/>
          <w:color w:val="000000" w:themeColor="text1"/>
          <w:sz w:val="24"/>
          <w:szCs w:val="24"/>
        </w:rPr>
        <w:t xml:space="preserve"> strengthens the oversight role of the board and complements external auditors in promoting accountability. This directly supports SDG 16, by reinforcing corporate governance structures essential for credible financial reporting and stakeholder trust.</w:t>
      </w:r>
    </w:p>
    <w:p w14:paraId="4586DE36" w14:textId="77777777" w:rsidR="00B70BB0"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w:t>
      </w:r>
      <w:r w:rsidRPr="00EB2675">
        <w:rPr>
          <w:rFonts w:ascii="Times New Roman" w:hAnsi="Times New Roman"/>
          <w:color w:val="000000" w:themeColor="text1"/>
          <w:sz w:val="24"/>
          <w:szCs w:val="24"/>
        </w:rPr>
        <w:t>descriptive statistics reveal structural gaps and opportunities for reform in Nigeria’s audit and governance systems. The large variations in ACQ, AFI, and APR point to weaknesses in regulatory enforcement and governance practices, whereas the relatively c</w:t>
      </w:r>
      <w:r w:rsidRPr="00EB2675">
        <w:rPr>
          <w:rFonts w:ascii="Times New Roman" w:hAnsi="Times New Roman"/>
          <w:color w:val="000000" w:themeColor="text1"/>
          <w:sz w:val="24"/>
          <w:szCs w:val="24"/>
        </w:rPr>
        <w:t xml:space="preserve">lustered values of AFE and ACI indicate some level of </w:t>
      </w:r>
      <w:proofErr w:type="spellStart"/>
      <w:r w:rsidRPr="00EB2675">
        <w:rPr>
          <w:rFonts w:ascii="Times New Roman" w:hAnsi="Times New Roman"/>
          <w:color w:val="000000" w:themeColor="text1"/>
          <w:sz w:val="24"/>
          <w:szCs w:val="24"/>
        </w:rPr>
        <w:t>standardisation</w:t>
      </w:r>
      <w:proofErr w:type="spellEnd"/>
      <w:r w:rsidRPr="00EB2675">
        <w:rPr>
          <w:rFonts w:ascii="Times New Roman" w:hAnsi="Times New Roman"/>
          <w:color w:val="000000" w:themeColor="text1"/>
          <w:sz w:val="24"/>
          <w:szCs w:val="24"/>
        </w:rPr>
        <w:t xml:space="preserve">. Strengthening these governance mechanisms contributes to global sustainability goals by ensuring transparent reporting (SDG 16), fair resource allocation (SDG 8), and responsible </w:t>
      </w:r>
      <w:proofErr w:type="spellStart"/>
      <w:r w:rsidRPr="00EB2675">
        <w:rPr>
          <w:rFonts w:ascii="Times New Roman" w:hAnsi="Times New Roman"/>
          <w:color w:val="000000" w:themeColor="text1"/>
          <w:sz w:val="24"/>
          <w:szCs w:val="24"/>
        </w:rPr>
        <w:t>organi</w:t>
      </w:r>
      <w:r w:rsidRPr="00EB2675">
        <w:rPr>
          <w:rFonts w:ascii="Times New Roman" w:hAnsi="Times New Roman"/>
          <w:color w:val="000000" w:themeColor="text1"/>
          <w:sz w:val="24"/>
          <w:szCs w:val="24"/>
        </w:rPr>
        <w:t>sational</w:t>
      </w:r>
      <w:proofErr w:type="spellEnd"/>
      <w:r w:rsidRPr="00EB2675">
        <w:rPr>
          <w:rFonts w:ascii="Times New Roman" w:hAnsi="Times New Roman"/>
          <w:color w:val="000000" w:themeColor="text1"/>
          <w:sz w:val="24"/>
          <w:szCs w:val="24"/>
        </w:rPr>
        <w:t xml:space="preserve"> practices (SDG 12).</w:t>
      </w:r>
    </w:p>
    <w:p w14:paraId="62078A31" w14:textId="77777777" w:rsidR="00A22F9A" w:rsidRDefault="00A22F9A">
      <w:pPr>
        <w:pStyle w:val="FootnoteText"/>
        <w:jc w:val="both"/>
        <w:rPr>
          <w:rFonts w:ascii="Times New Roman" w:hAnsi="Times New Roman"/>
          <w:color w:val="000000" w:themeColor="text1"/>
          <w:sz w:val="24"/>
          <w:szCs w:val="24"/>
        </w:rPr>
      </w:pPr>
    </w:p>
    <w:p w14:paraId="564D6C11" w14:textId="77777777" w:rsidR="00A22F9A" w:rsidRPr="00EB2675" w:rsidRDefault="00A22F9A">
      <w:pPr>
        <w:pStyle w:val="FootnoteText"/>
        <w:jc w:val="both"/>
        <w:rPr>
          <w:rFonts w:ascii="Times New Roman" w:hAnsi="Times New Roman"/>
          <w:color w:val="000000" w:themeColor="text1"/>
          <w:sz w:val="24"/>
          <w:szCs w:val="24"/>
        </w:rPr>
      </w:pPr>
    </w:p>
    <w:p w14:paraId="7337A216" w14:textId="77777777" w:rsidR="00B70BB0" w:rsidRPr="00EB2675" w:rsidRDefault="00B70BB0">
      <w:pPr>
        <w:jc w:val="both"/>
        <w:rPr>
          <w:rFonts w:ascii="Times New Roman" w:hAnsi="Times New Roman"/>
          <w:color w:val="000000" w:themeColor="text1"/>
        </w:rPr>
      </w:pPr>
    </w:p>
    <w:p w14:paraId="385224F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4.2 Correlation Results Discussion</w:t>
      </w:r>
    </w:p>
    <w:p w14:paraId="42621FFB" w14:textId="1ABA1E7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Table 2 presents the correlation matrix, offering insights into the associations under examination.</w:t>
      </w:r>
    </w:p>
    <w:p w14:paraId="4971B5C0" w14:textId="77777777" w:rsidR="00B70BB0" w:rsidRPr="00EB2675" w:rsidRDefault="00B70BB0">
      <w:pPr>
        <w:rPr>
          <w:rFonts w:ascii="Times New Roman" w:hAnsi="Times New Roman"/>
          <w:color w:val="000000" w:themeColor="text1"/>
        </w:rPr>
      </w:pPr>
    </w:p>
    <w:tbl>
      <w:tblPr>
        <w:tblStyle w:val="LightShading"/>
        <w:tblW w:w="0" w:type="auto"/>
        <w:tblLook w:val="04A0" w:firstRow="1" w:lastRow="0" w:firstColumn="1" w:lastColumn="0" w:noHBand="0" w:noVBand="1"/>
      </w:tblPr>
      <w:tblGrid>
        <w:gridCol w:w="723"/>
        <w:gridCol w:w="956"/>
        <w:gridCol w:w="956"/>
        <w:gridCol w:w="956"/>
        <w:gridCol w:w="956"/>
        <w:gridCol w:w="876"/>
      </w:tblGrid>
      <w:tr w:rsidR="00B70BB0" w:rsidRPr="00EB2675" w14:paraId="17BB9D11"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tcPr>
          <w:p w14:paraId="2A56713A" w14:textId="77777777" w:rsidR="00B70BB0" w:rsidRPr="00EB2675" w:rsidRDefault="00B70BB0">
            <w:pPr>
              <w:rPr>
                <w:rFonts w:ascii="Times New Roman" w:hAnsi="Times New Roman"/>
                <w:color w:val="000000" w:themeColor="text1"/>
              </w:rPr>
            </w:pPr>
          </w:p>
        </w:tc>
        <w:tc>
          <w:tcPr>
            <w:tcW w:w="0" w:type="auto"/>
          </w:tcPr>
          <w:p w14:paraId="514275D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Pr>
          <w:p w14:paraId="7DAEB228"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Pr>
          <w:p w14:paraId="31F5A39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Pr>
          <w:p w14:paraId="3790AF0B"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Pr>
          <w:p w14:paraId="449809C5"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r>
      <w:tr w:rsidR="00B70BB0" w:rsidRPr="00EB2675" w14:paraId="5AAEEF9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1385482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Borders>
              <w:top w:val="nil"/>
              <w:left w:val="nil"/>
              <w:bottom w:val="nil"/>
              <w:right w:val="nil"/>
            </w:tcBorders>
          </w:tcPr>
          <w:p w14:paraId="7B2CE13E"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03C9FDC4"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718ED97"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25FAC33"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B5DDB31"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1B46A975"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42B745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219FAD4"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0.1702</w:t>
            </w:r>
          </w:p>
        </w:tc>
        <w:tc>
          <w:tcPr>
            <w:tcW w:w="0" w:type="auto"/>
            <w:tcBorders>
              <w:top w:val="nil"/>
              <w:left w:val="nil"/>
              <w:bottom w:val="nil"/>
              <w:right w:val="nil"/>
            </w:tcBorders>
          </w:tcPr>
          <w:p w14:paraId="09B861B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c>
          <w:tcPr>
            <w:tcW w:w="0" w:type="auto"/>
            <w:tcBorders>
              <w:top w:val="nil"/>
              <w:left w:val="nil"/>
              <w:bottom w:val="nil"/>
              <w:right w:val="nil"/>
            </w:tcBorders>
          </w:tcPr>
          <w:p w14:paraId="0189AD5C"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9CC49E9"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4D3C3EEB"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74BCE5C1"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0DFB4D7"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21294C96"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0.4075</w:t>
            </w:r>
          </w:p>
        </w:tc>
        <w:tc>
          <w:tcPr>
            <w:tcW w:w="0" w:type="auto"/>
            <w:tcBorders>
              <w:top w:val="nil"/>
              <w:left w:val="nil"/>
              <w:bottom w:val="nil"/>
              <w:right w:val="nil"/>
            </w:tcBorders>
          </w:tcPr>
          <w:p w14:paraId="486BDDFA"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-0.0946</w:t>
            </w:r>
          </w:p>
        </w:tc>
        <w:tc>
          <w:tcPr>
            <w:tcW w:w="0" w:type="auto"/>
            <w:tcBorders>
              <w:top w:val="nil"/>
              <w:left w:val="nil"/>
              <w:bottom w:val="nil"/>
              <w:right w:val="nil"/>
            </w:tcBorders>
          </w:tcPr>
          <w:p w14:paraId="6D2F89BC"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53C3E596"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D4B81BD"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5DD80462"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DC722DD"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Borders>
              <w:top w:val="nil"/>
              <w:left w:val="nil"/>
              <w:bottom w:val="nil"/>
              <w:right w:val="nil"/>
            </w:tcBorders>
          </w:tcPr>
          <w:p w14:paraId="2B91349B"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-0.1711</w:t>
            </w:r>
          </w:p>
        </w:tc>
        <w:tc>
          <w:tcPr>
            <w:tcW w:w="0" w:type="auto"/>
            <w:tcBorders>
              <w:top w:val="nil"/>
              <w:left w:val="nil"/>
              <w:bottom w:val="nil"/>
              <w:right w:val="nil"/>
            </w:tcBorders>
          </w:tcPr>
          <w:p w14:paraId="7C9BDA3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-0.0239</w:t>
            </w:r>
          </w:p>
        </w:tc>
        <w:tc>
          <w:tcPr>
            <w:tcW w:w="0" w:type="auto"/>
            <w:tcBorders>
              <w:top w:val="nil"/>
              <w:left w:val="nil"/>
              <w:bottom w:val="nil"/>
              <w:right w:val="nil"/>
            </w:tcBorders>
          </w:tcPr>
          <w:p w14:paraId="0210AF15"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-0.1749</w:t>
            </w:r>
          </w:p>
        </w:tc>
        <w:tc>
          <w:tcPr>
            <w:tcW w:w="0" w:type="auto"/>
            <w:tcBorders>
              <w:top w:val="nil"/>
              <w:left w:val="nil"/>
              <w:bottom w:val="nil"/>
              <w:right w:val="nil"/>
            </w:tcBorders>
          </w:tcPr>
          <w:p w14:paraId="5519666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4A7AA350"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6EACD11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noWrap/>
          </w:tcPr>
          <w:p w14:paraId="432D1904"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c>
          <w:tcPr>
            <w:tcW w:w="0" w:type="auto"/>
            <w:tcBorders>
              <w:top w:val="nil"/>
              <w:left w:val="nil"/>
              <w:bottom w:val="single" w:sz="8" w:space="0" w:color="000000"/>
              <w:right w:val="nil"/>
            </w:tcBorders>
          </w:tcPr>
          <w:p w14:paraId="34257A22"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0.2047</w:t>
            </w:r>
          </w:p>
        </w:tc>
        <w:tc>
          <w:tcPr>
            <w:tcW w:w="0" w:type="auto"/>
            <w:tcBorders>
              <w:top w:val="nil"/>
              <w:left w:val="nil"/>
              <w:bottom w:val="single" w:sz="8" w:space="0" w:color="000000"/>
              <w:right w:val="nil"/>
            </w:tcBorders>
          </w:tcPr>
          <w:p w14:paraId="1CCB2F5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-0.0643</w:t>
            </w:r>
          </w:p>
        </w:tc>
        <w:tc>
          <w:tcPr>
            <w:tcW w:w="0" w:type="auto"/>
            <w:tcBorders>
              <w:top w:val="nil"/>
              <w:left w:val="nil"/>
              <w:bottom w:val="single" w:sz="8" w:space="0" w:color="000000"/>
              <w:right w:val="nil"/>
            </w:tcBorders>
          </w:tcPr>
          <w:p w14:paraId="39E4C16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0.1430</w:t>
            </w:r>
          </w:p>
        </w:tc>
        <w:tc>
          <w:tcPr>
            <w:tcW w:w="0" w:type="auto"/>
            <w:tcBorders>
              <w:top w:val="nil"/>
              <w:left w:val="nil"/>
              <w:bottom w:val="single" w:sz="8" w:space="0" w:color="000000"/>
              <w:right w:val="nil"/>
            </w:tcBorders>
          </w:tcPr>
          <w:p w14:paraId="17DD46B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-0.1959</w:t>
            </w:r>
          </w:p>
        </w:tc>
        <w:tc>
          <w:tcPr>
            <w:tcW w:w="0" w:type="auto"/>
            <w:tcBorders>
              <w:top w:val="nil"/>
              <w:left w:val="nil"/>
              <w:bottom w:val="single" w:sz="8" w:space="0" w:color="000000"/>
              <w:right w:val="nil"/>
            </w:tcBorders>
          </w:tcPr>
          <w:p w14:paraId="1EEFC031"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r>
    </w:tbl>
    <w:p w14:paraId="76DF6A60"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lastRenderedPageBreak/>
        <w:t>Source: Authors computation using STATA 17, 2025.</w:t>
      </w:r>
    </w:p>
    <w:p w14:paraId="7400D617" w14:textId="77777777" w:rsidR="00B70BB0" w:rsidRPr="00EB2675" w:rsidRDefault="00B70BB0">
      <w:pPr>
        <w:jc w:val="both"/>
        <w:rPr>
          <w:rFonts w:ascii="Times New Roman" w:hAnsi="Times New Roman"/>
          <w:color w:val="000000" w:themeColor="text1"/>
        </w:rPr>
      </w:pPr>
    </w:p>
    <w:p w14:paraId="5F221BE0" w14:textId="77777777" w:rsidR="00B70BB0" w:rsidRPr="00EB2675" w:rsidRDefault="00B70BB0">
      <w:pPr>
        <w:jc w:val="both"/>
        <w:rPr>
          <w:rFonts w:ascii="Times New Roman" w:hAnsi="Times New Roman"/>
          <w:color w:val="000000" w:themeColor="text1"/>
        </w:rPr>
      </w:pPr>
    </w:p>
    <w:p w14:paraId="3A945364" w14:textId="7130AB6D"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correlation matrix in Table 2 above provides important preliminary insights into the association among Audit Quality (ACQ), Audit Firm Independence (AFI), Audit Fees (AFE), Audit Partner Rotation (APR), and Audit Committee Independence (ACI). While cor</w:t>
      </w:r>
      <w:r w:rsidRPr="00EB2675">
        <w:rPr>
          <w:rFonts w:ascii="Times New Roman" w:hAnsi="Times New Roman"/>
          <w:color w:val="000000" w:themeColor="text1"/>
        </w:rPr>
        <w:t xml:space="preserve">relation does not imply causality, these results establish the foundational associations that guide the interpretation of subsequent regression analyses. </w:t>
      </w:r>
      <w:r w:rsidRPr="00EB2675">
        <w:rPr>
          <w:rFonts w:ascii="Times New Roman" w:hAnsi="Times New Roman"/>
        </w:rPr>
        <w:t>Also note that correlation results provide critical insights into the dynamics between audit firm attr</w:t>
      </w:r>
      <w:r w:rsidRPr="00EB2675">
        <w:rPr>
          <w:rFonts w:ascii="Times New Roman" w:hAnsi="Times New Roman"/>
        </w:rPr>
        <w:t xml:space="preserve">ibutes, governance structures, and audit quality (ACQ), with the latter measured using accruals. It is essential to </w:t>
      </w:r>
      <w:proofErr w:type="spellStart"/>
      <w:r w:rsidRPr="00EB2675">
        <w:rPr>
          <w:rFonts w:ascii="Times New Roman" w:hAnsi="Times New Roman"/>
        </w:rPr>
        <w:t>emphasise</w:t>
      </w:r>
      <w:proofErr w:type="spellEnd"/>
      <w:r w:rsidRPr="00EB2675">
        <w:rPr>
          <w:rFonts w:ascii="Times New Roman" w:hAnsi="Times New Roman"/>
        </w:rPr>
        <w:t xml:space="preserve"> that higher accruals denote lower audit quality; thus, positive correlations with ACQ indicate potential quality concerns, while n</w:t>
      </w:r>
      <w:r w:rsidRPr="00EB2675">
        <w:rPr>
          <w:rFonts w:ascii="Times New Roman" w:hAnsi="Times New Roman"/>
        </w:rPr>
        <w:t>egative correlations suggest an enhancement of audit quality. This measurement frames the interpretation of all the association observed in the results.</w:t>
      </w:r>
    </w:p>
    <w:p w14:paraId="674FF632"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association between audit fees (AFE) and audit quality (ACQ) is moderate and positive (r = 0.4075), which signals a potential impairment in quality. This association suggests that higher audit fees are aligned with higher accruals, indicating reduced a</w:t>
      </w:r>
      <w:r w:rsidRPr="00EB2675">
        <w:rPr>
          <w:rFonts w:ascii="Times New Roman" w:hAnsi="Times New Roman"/>
        </w:rPr>
        <w:t xml:space="preserve">udit quality. While elevated fees may sometimes reflect greater audit effort or complexity, they may equally foster economic bonding between auditors and clients, potentially eroding professional </w:t>
      </w:r>
      <w:proofErr w:type="spellStart"/>
      <w:r w:rsidRPr="00EB2675">
        <w:rPr>
          <w:rFonts w:ascii="Times New Roman" w:hAnsi="Times New Roman"/>
        </w:rPr>
        <w:t>scepticism</w:t>
      </w:r>
      <w:proofErr w:type="spellEnd"/>
      <w:r w:rsidRPr="00EB2675">
        <w:rPr>
          <w:rFonts w:ascii="Times New Roman" w:hAnsi="Times New Roman"/>
        </w:rPr>
        <w:t>. This aligns with the argument that financial dep</w:t>
      </w:r>
      <w:r w:rsidRPr="00EB2675">
        <w:rPr>
          <w:rFonts w:ascii="Times New Roman" w:hAnsi="Times New Roman"/>
        </w:rPr>
        <w:t>endence compromises auditor independence, thereby raising concerns about the credibility of financial reporting. However, it is equally plausible that the positive association arises from the complexity of larger clients who inherently exhibit higher accru</w:t>
      </w:r>
      <w:r w:rsidRPr="00EB2675">
        <w:rPr>
          <w:rFonts w:ascii="Times New Roman" w:hAnsi="Times New Roman"/>
        </w:rPr>
        <w:t>als. Consequently, disentangling effort-driven fees from economic dependence remains a critical empirical challenge.</w:t>
      </w:r>
    </w:p>
    <w:p w14:paraId="01A4D85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Similarly, the correlation between audit firm independence (AFI) and audit quality (ACQ) is positive but weak (r = 0.1702), implying that i</w:t>
      </w:r>
      <w:r w:rsidRPr="00EB2675">
        <w:rPr>
          <w:rFonts w:ascii="Times New Roman" w:hAnsi="Times New Roman"/>
        </w:rPr>
        <w:t xml:space="preserve">ncreased independence is paradoxically associated with lower audit quality. This outcome could reflect a measurement issue such as AFI being scaled in a manner where higher values denote weaker independence or it could indicate that more independent firms </w:t>
      </w:r>
      <w:r w:rsidRPr="00EB2675">
        <w:rPr>
          <w:rFonts w:ascii="Times New Roman" w:hAnsi="Times New Roman"/>
        </w:rPr>
        <w:t xml:space="preserve">are disproportionately engaged by high-risk clients whose accruals are structurally high. It may also signal a broader concern that independence, in form alone, is insufficient to constrain managerial opportunism unless complemented by substantive auditor </w:t>
      </w:r>
      <w:r w:rsidRPr="00EB2675">
        <w:rPr>
          <w:rFonts w:ascii="Times New Roman" w:hAnsi="Times New Roman"/>
        </w:rPr>
        <w:t>expertise and strong regulatory enforcement. This reinforces the importance of assessing not only the existence of independence safeguards but also their effectiveness in practice.</w:t>
      </w:r>
    </w:p>
    <w:p w14:paraId="2C0B9AC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Conversely, the association between audit partner rotation (APR) and audit </w:t>
      </w:r>
      <w:r w:rsidRPr="00EB2675">
        <w:rPr>
          <w:rFonts w:ascii="Times New Roman" w:hAnsi="Times New Roman"/>
        </w:rPr>
        <w:t xml:space="preserve">quality (ACQ) is negative (r = −0.1711), indicating that rotation is associated with lower accruals and, by extension, improved audit quality. This supports the argument that periodic partner rotation mitigates familiarity threats, injects fresh </w:t>
      </w:r>
      <w:proofErr w:type="spellStart"/>
      <w:r w:rsidRPr="00EB2675">
        <w:rPr>
          <w:rFonts w:ascii="Times New Roman" w:hAnsi="Times New Roman"/>
        </w:rPr>
        <w:t>scepticism</w:t>
      </w:r>
      <w:proofErr w:type="spellEnd"/>
      <w:r w:rsidRPr="00EB2675">
        <w:rPr>
          <w:rFonts w:ascii="Times New Roman" w:hAnsi="Times New Roman"/>
        </w:rPr>
        <w:t xml:space="preserve">, and curtails long-term auditor–client entrenchment. While frequent rotation can disrupt client-specific knowledge and may increase short-term costs, the evidence suggests that the benefits, in terms of curbing accrual discretion, outweigh the drawbacks. </w:t>
      </w:r>
      <w:r w:rsidRPr="00EB2675">
        <w:rPr>
          <w:rFonts w:ascii="Times New Roman" w:hAnsi="Times New Roman"/>
        </w:rPr>
        <w:t>This association lends empirical support to global regulatory frameworks that mandate audit partner rotation as a safeguard against independence erosion.</w:t>
      </w:r>
    </w:p>
    <w:p w14:paraId="543EA29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the case of audit committee independence (ACI), the correlation with audit quality (ACQ) is positiv</w:t>
      </w:r>
      <w:r w:rsidRPr="00EB2675">
        <w:rPr>
          <w:rFonts w:ascii="Times New Roman" w:hAnsi="Times New Roman"/>
        </w:rPr>
        <w:t xml:space="preserve">e (r = 0.2047), implying that more independent committees are associated with higher </w:t>
      </w:r>
      <w:r w:rsidRPr="00EB2675">
        <w:rPr>
          <w:rFonts w:ascii="Times New Roman" w:hAnsi="Times New Roman"/>
        </w:rPr>
        <w:lastRenderedPageBreak/>
        <w:t>accruals and weaker quality. Although counterintuitive, this association may reflect reactive governance, whereby boards appoint more independent committees in response to</w:t>
      </w:r>
      <w:r w:rsidRPr="00EB2675">
        <w:rPr>
          <w:rFonts w:ascii="Times New Roman" w:hAnsi="Times New Roman"/>
        </w:rPr>
        <w:t xml:space="preserve"> historical reporting failures. Alternatively, it may highlight the limitations of independence without substantive financial expertise or active oversight, resulting in committees that meet regulatory requirements but lack the capacity to enforce high-qua</w:t>
      </w:r>
      <w:r w:rsidRPr="00EB2675">
        <w:rPr>
          <w:rFonts w:ascii="Times New Roman" w:hAnsi="Times New Roman"/>
        </w:rPr>
        <w:t>lity reporting. This underscores the importance of distinguishing between structural independence and functional effectiveness.</w:t>
      </w:r>
    </w:p>
    <w:p w14:paraId="01F019F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inter</w:t>
      </w:r>
      <w:r w:rsidR="00DE34FD">
        <w:rPr>
          <w:rFonts w:ascii="Times New Roman" w:hAnsi="Times New Roman"/>
        </w:rPr>
        <w:t>-</w:t>
      </w:r>
      <w:r w:rsidRPr="00EB2675">
        <w:rPr>
          <w:rFonts w:ascii="Times New Roman" w:hAnsi="Times New Roman"/>
        </w:rPr>
        <w:t>association among the independent variables further suggest potential moderation effects. For example, the negative co</w:t>
      </w:r>
      <w:r w:rsidRPr="00EB2675">
        <w:rPr>
          <w:rFonts w:ascii="Times New Roman" w:hAnsi="Times New Roman"/>
        </w:rPr>
        <w:t xml:space="preserve">rrelation between ACI and APR (r = −0.1959) indicates that </w:t>
      </w:r>
      <w:r w:rsidR="00DE34FD">
        <w:rPr>
          <w:rFonts w:ascii="Times New Roman" w:hAnsi="Times New Roman"/>
        </w:rPr>
        <w:t>companies</w:t>
      </w:r>
      <w:r w:rsidRPr="00EB2675">
        <w:rPr>
          <w:rFonts w:ascii="Times New Roman" w:hAnsi="Times New Roman"/>
        </w:rPr>
        <w:t xml:space="preserve"> with more independent committees may rely less on partner rotation, or vice versa. Similarly, the negative association between AFE and APR (r = −0.1749) suggests that higher rotation prac</w:t>
      </w:r>
      <w:r w:rsidRPr="00EB2675">
        <w:rPr>
          <w:rFonts w:ascii="Times New Roman" w:hAnsi="Times New Roman"/>
        </w:rPr>
        <w:t>tices could moderate fee dependence, potentially mitigating the quality concerns linked to audit fees. These patterns imply that ACI could moderate the relationships of AFI, AFE, and APR with ACQ, strengthening beneficial effects (such as those from APR) a</w:t>
      </w:r>
      <w:r w:rsidRPr="00EB2675">
        <w:rPr>
          <w:rFonts w:ascii="Times New Roman" w:hAnsi="Times New Roman"/>
        </w:rPr>
        <w:t>nd dampening adverse ones (such as those from AFE). Such interactions are best tested in multivariate frameworks with interaction terms and endogeneity controls.</w:t>
      </w:r>
    </w:p>
    <w:p w14:paraId="7321D79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These correlation results carry important implications for sustainable governance and global i</w:t>
      </w:r>
      <w:r w:rsidRPr="00EB2675">
        <w:rPr>
          <w:rFonts w:ascii="Times New Roman" w:hAnsi="Times New Roman"/>
        </w:rPr>
        <w:t>nstitutional frameworks. The positive associations of AFE and ACI with ACQ highlight persistent challenges in ensuring transparency and accountability, which are central to SDG 16 (Peace, Justice, and Strong Institutions). By contrast, the negative link be</w:t>
      </w:r>
      <w:r w:rsidRPr="00EB2675">
        <w:rPr>
          <w:rFonts w:ascii="Times New Roman" w:hAnsi="Times New Roman"/>
        </w:rPr>
        <w:t>tween APR and ACQ demonstrates how effective regulation can foster stronger institutions, advancing SDG 16.6 (Develop effective, accountable and transparent institutions). Furthermore, strengthening audit quality directly enhances investor confidence and m</w:t>
      </w:r>
      <w:r w:rsidRPr="00EB2675">
        <w:rPr>
          <w:rFonts w:ascii="Times New Roman" w:hAnsi="Times New Roman"/>
        </w:rPr>
        <w:t>arket efficiency, aligning with SDG 8 (Decent Work and Economic Growth). Improved governance mechanisms also contribute to SDG 12 (Responsible Consumption and Production) by ensuring reliable which guides sustainable investment decisions.</w:t>
      </w:r>
    </w:p>
    <w:p w14:paraId="7459F15C" w14:textId="77777777" w:rsidR="00B70BB0" w:rsidRPr="00EB2675" w:rsidRDefault="00B70BB0">
      <w:pPr>
        <w:jc w:val="both"/>
        <w:rPr>
          <w:rFonts w:ascii="Times New Roman" w:hAnsi="Times New Roman"/>
        </w:rPr>
      </w:pPr>
    </w:p>
    <w:p w14:paraId="398D5E45" w14:textId="77777777" w:rsidR="00B70BB0" w:rsidRPr="00EB2675" w:rsidRDefault="00B70BB0">
      <w:pPr>
        <w:jc w:val="both"/>
        <w:rPr>
          <w:rFonts w:ascii="Times New Roman" w:hAnsi="Times New Roman"/>
          <w:color w:val="000000" w:themeColor="text1"/>
        </w:rPr>
      </w:pPr>
    </w:p>
    <w:p w14:paraId="7F663CAD" w14:textId="77777777" w:rsidR="00B70BB0" w:rsidRPr="00EB2675" w:rsidRDefault="00B70BB0">
      <w:pPr>
        <w:jc w:val="both"/>
        <w:rPr>
          <w:rFonts w:ascii="Times New Roman" w:hAnsi="Times New Roman"/>
          <w:b/>
          <w:bCs/>
          <w:color w:val="000000" w:themeColor="text1"/>
        </w:rPr>
      </w:pPr>
    </w:p>
    <w:p w14:paraId="1032C138" w14:textId="77777777" w:rsidR="00B70BB0" w:rsidRPr="00EB2675" w:rsidRDefault="00B70BB0">
      <w:pPr>
        <w:jc w:val="both"/>
        <w:rPr>
          <w:rFonts w:ascii="Times New Roman" w:hAnsi="Times New Roman"/>
          <w:color w:val="000000" w:themeColor="text1"/>
        </w:rPr>
      </w:pPr>
    </w:p>
    <w:p w14:paraId="062B4B4D" w14:textId="77777777" w:rsidR="00B70BB0" w:rsidRPr="00EB2675" w:rsidRDefault="00C76947">
      <w:pPr>
        <w:pStyle w:val="Heading2"/>
        <w:rPr>
          <w:rFonts w:ascii="Times New Roman" w:eastAsia="SimSu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4.3 Normality</w:t>
      </w:r>
      <w:r w:rsidRPr="00EB2675">
        <w:rPr>
          <w:rFonts w:ascii="Times New Roman" w:hAnsi="Times New Roman" w:cs="Times New Roman"/>
          <w:b/>
          <w:bCs/>
          <w:color w:val="000000" w:themeColor="text1"/>
          <w:sz w:val="24"/>
          <w:szCs w:val="24"/>
        </w:rPr>
        <w:t xml:space="preserve"> Test Discussion</w:t>
      </w:r>
    </w:p>
    <w:p w14:paraId="45F4872A" w14:textId="732D64C3"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hAnsi="Times New Roman"/>
          <w:b w:val="0"/>
          <w:bCs w:val="0"/>
          <w:color w:val="000000" w:themeColor="text1"/>
          <w:sz w:val="24"/>
          <w:szCs w:val="24"/>
        </w:rPr>
        <w:t xml:space="preserve"> </w:t>
      </w:r>
      <w:r w:rsidRPr="00EB2675">
        <w:rPr>
          <w:rFonts w:ascii="Times New Roman" w:eastAsia="Calibri" w:hAnsi="Times New Roman"/>
          <w:b w:val="0"/>
          <w:color w:val="000000" w:themeColor="text1"/>
          <w:sz w:val="24"/>
          <w:szCs w:val="24"/>
        </w:rPr>
        <w:t>Table 3: Jarque-Bera Test</w:t>
      </w:r>
    </w:p>
    <w:tbl>
      <w:tblPr>
        <w:tblStyle w:val="TableGrid"/>
        <w:tblW w:w="0" w:type="auto"/>
        <w:tblLook w:val="04A0" w:firstRow="1" w:lastRow="0" w:firstColumn="1" w:lastColumn="0" w:noHBand="0" w:noVBand="1"/>
      </w:tblPr>
      <w:tblGrid>
        <w:gridCol w:w="3258"/>
        <w:gridCol w:w="2520"/>
      </w:tblGrid>
      <w:tr w:rsidR="00B70BB0" w:rsidRPr="00EB2675" w14:paraId="6663DEF6" w14:textId="77777777">
        <w:trPr>
          <w:trHeight w:val="1045"/>
        </w:trPr>
        <w:tc>
          <w:tcPr>
            <w:tcW w:w="3258" w:type="dxa"/>
            <w:tcBorders>
              <w:top w:val="single" w:sz="4" w:space="0" w:color="auto"/>
              <w:left w:val="nil"/>
              <w:bottom w:val="single" w:sz="4" w:space="0" w:color="auto"/>
              <w:right w:val="nil"/>
            </w:tcBorders>
          </w:tcPr>
          <w:p w14:paraId="50F226F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Jarque-Bera normality test:</w:t>
            </w:r>
          </w:p>
          <w:p w14:paraId="74CD508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Test for Ho: Normality</w:t>
            </w:r>
          </w:p>
        </w:tc>
        <w:tc>
          <w:tcPr>
            <w:tcW w:w="2520" w:type="dxa"/>
            <w:tcBorders>
              <w:top w:val="single" w:sz="4" w:space="0" w:color="auto"/>
              <w:left w:val="nil"/>
              <w:bottom w:val="single" w:sz="4" w:space="0" w:color="auto"/>
              <w:right w:val="nil"/>
            </w:tcBorders>
          </w:tcPr>
          <w:p w14:paraId="03974E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8781 Chi (2) </w:t>
            </w:r>
            <w:r w:rsidRPr="00EB2675">
              <w:rPr>
                <w:rFonts w:ascii="Times New Roman" w:eastAsia="Calibri" w:hAnsi="Times New Roman"/>
                <w:color w:val="000000" w:themeColor="text1"/>
              </w:rPr>
              <w:t>0</w:t>
            </w:r>
          </w:p>
          <w:p w14:paraId="5EB87B6D" w14:textId="77777777" w:rsidR="00B70BB0" w:rsidRPr="00EB2675" w:rsidRDefault="00B70BB0">
            <w:pPr>
              <w:jc w:val="both"/>
              <w:rPr>
                <w:rFonts w:ascii="Times New Roman" w:hAnsi="Times New Roman"/>
                <w:color w:val="000000" w:themeColor="text1"/>
              </w:rPr>
            </w:pPr>
          </w:p>
        </w:tc>
      </w:tr>
    </w:tbl>
    <w:p w14:paraId="206D5F75" w14:textId="77777777" w:rsidR="00B70BB0" w:rsidRPr="00EB2675" w:rsidRDefault="00C76947">
      <w:pPr>
        <w:pStyle w:val="FootnoteText"/>
        <w:jc w:val="both"/>
        <w:rPr>
          <w:rFonts w:ascii="Times New Roman" w:hAnsi="Times New Roman"/>
          <w:color w:val="000000" w:themeColor="text1"/>
          <w:sz w:val="24"/>
          <w:szCs w:val="24"/>
        </w:rPr>
      </w:pPr>
      <w:r w:rsidRPr="00EB2675">
        <w:rPr>
          <w:rStyle w:val="15"/>
          <w:rFonts w:ascii="Times New Roman" w:hAnsi="Times New Roman" w:cs="Times New Roman"/>
          <w:color w:val="000000" w:themeColor="text1"/>
          <w:sz w:val="24"/>
          <w:szCs w:val="24"/>
        </w:rPr>
        <w:t>Source:</w:t>
      </w:r>
      <w:r w:rsidRPr="00EB2675">
        <w:rPr>
          <w:rFonts w:ascii="Times New Roman" w:hAnsi="Times New Roman"/>
          <w:color w:val="000000" w:themeColor="text1"/>
          <w:sz w:val="24"/>
          <w:szCs w:val="24"/>
        </w:rPr>
        <w:t xml:space="preserve"> Authors’ computation using STATA 17, 2025.</w:t>
      </w:r>
    </w:p>
    <w:p w14:paraId="1EF3C80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094E4536" w14:textId="2F7F89E6"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Jarque–Bera (JB) normality test reported in Table 3 indicates a test statistic of chi</w:t>
      </w:r>
      <w:proofErr w:type="gramStart"/>
      <w:r w:rsidRPr="00EB2675">
        <w:rPr>
          <w:rFonts w:ascii="Times New Roman" w:hAnsi="Times New Roman"/>
          <w:color w:val="000000" w:themeColor="text1"/>
        </w:rPr>
        <w:t>²(</w:t>
      </w:r>
      <w:proofErr w:type="gramEnd"/>
      <w:r w:rsidRPr="00EB2675">
        <w:rPr>
          <w:rFonts w:ascii="Times New Roman" w:hAnsi="Times New Roman"/>
          <w:color w:val="000000" w:themeColor="text1"/>
        </w:rPr>
        <w:t xml:space="preserve">2) = 8,781 with an associated Prob &gt; chi² ≈ 0.000. Interpreted in the standard way, this strongly rejects the null hypothesis of normality at any conventional significance level. Because the JB test jointly </w:t>
      </w:r>
      <w:r w:rsidRPr="00EB2675">
        <w:rPr>
          <w:rFonts w:ascii="Times New Roman" w:hAnsi="Times New Roman"/>
          <w:color w:val="000000" w:themeColor="text1"/>
        </w:rPr>
        <w:lastRenderedPageBreak/>
        <w:t>evaluates whether residuals exhibit zero skewness</w:t>
      </w:r>
      <w:r w:rsidRPr="00EB2675">
        <w:rPr>
          <w:rFonts w:ascii="Times New Roman" w:hAnsi="Times New Roman"/>
          <w:color w:val="000000" w:themeColor="text1"/>
        </w:rPr>
        <w:t xml:space="preserve"> and kurtosis of three, such an extreme statistic points to material departures from symmetry and/or tail thickness. Importantly, the relevant object of this assumption is the regression residuals</w:t>
      </w:r>
      <w:r w:rsidR="002A424E">
        <w:rPr>
          <w:rFonts w:ascii="Times New Roman" w:hAnsi="Times New Roman"/>
          <w:color w:val="000000" w:themeColor="text1"/>
        </w:rPr>
        <w:t xml:space="preserve"> </w:t>
      </w:r>
      <w:r w:rsidRPr="00EB2675">
        <w:rPr>
          <w:rFonts w:ascii="Times New Roman" w:hAnsi="Times New Roman"/>
          <w:color w:val="000000" w:themeColor="text1"/>
        </w:rPr>
        <w:t>not the raw variables</w:t>
      </w:r>
      <w:r w:rsidR="002A424E">
        <w:rPr>
          <w:rFonts w:ascii="Times New Roman" w:hAnsi="Times New Roman"/>
          <w:color w:val="000000" w:themeColor="text1"/>
        </w:rPr>
        <w:t xml:space="preserve"> </w:t>
      </w:r>
      <w:r w:rsidRPr="00EB2675">
        <w:rPr>
          <w:rFonts w:ascii="Times New Roman" w:hAnsi="Times New Roman"/>
          <w:color w:val="000000" w:themeColor="text1"/>
        </w:rPr>
        <w:t>since normality underpins the small-s</w:t>
      </w:r>
      <w:r w:rsidRPr="00EB2675">
        <w:rPr>
          <w:rFonts w:ascii="Times New Roman" w:hAnsi="Times New Roman"/>
          <w:color w:val="000000" w:themeColor="text1"/>
        </w:rPr>
        <w:t>ample exactness of t- and F-tests for coefficient inference. In large samples, non-normality does not bias OLS point estimates if exogeneity holds, but it can undermine the accuracy of conventional standard errors and p-values, particularly when heavy tail</w:t>
      </w:r>
      <w:r w:rsidRPr="00EB2675">
        <w:rPr>
          <w:rFonts w:ascii="Times New Roman" w:hAnsi="Times New Roman"/>
          <w:color w:val="000000" w:themeColor="text1"/>
        </w:rPr>
        <w:t>s and outliers are present. In the context of Nigeria’s economy, this non-normality likely reflects the significant diversity among companies, ranging from well-established multinationals to smaller local companies. This also points to the volatile economi</w:t>
      </w:r>
      <w:r w:rsidRPr="00EB2675">
        <w:rPr>
          <w:rFonts w:ascii="Times New Roman" w:hAnsi="Times New Roman"/>
          <w:color w:val="000000" w:themeColor="text1"/>
        </w:rPr>
        <w:t xml:space="preserve">c environment, which may contribute to skewed audit quality and sustainability practices. Aligning with SDG 8 (Decent Work and Economic Growth), there is a need to foster more inclusive growth across </w:t>
      </w:r>
      <w:r w:rsidR="002A424E">
        <w:rPr>
          <w:rFonts w:ascii="Times New Roman" w:hAnsi="Times New Roman"/>
          <w:color w:val="000000" w:themeColor="text1"/>
        </w:rPr>
        <w:t>companies</w:t>
      </w:r>
      <w:r w:rsidRPr="00EB2675">
        <w:rPr>
          <w:rFonts w:ascii="Times New Roman" w:hAnsi="Times New Roman"/>
          <w:color w:val="000000" w:themeColor="text1"/>
        </w:rPr>
        <w:t xml:space="preserve"> of all sizes.</w:t>
      </w:r>
    </w:p>
    <w:p w14:paraId="1AC1DBB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1A16F70A"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4.4 Multicollinearity Analysis</w:t>
      </w:r>
    </w:p>
    <w:p w14:paraId="7E100243" w14:textId="4AD9F62D"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multicollinearity result is presented in Table 4.</w:t>
      </w:r>
    </w:p>
    <w:p w14:paraId="4733B70E" w14:textId="26C5E9FA"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Table.4: Multicollinearity Result</w:t>
      </w:r>
    </w:p>
    <w:tbl>
      <w:tblPr>
        <w:tblStyle w:val="LightShading"/>
        <w:tblW w:w="2788" w:type="dxa"/>
        <w:tblLook w:val="04A0" w:firstRow="1" w:lastRow="0" w:firstColumn="1" w:lastColumn="0" w:noHBand="0" w:noVBand="1"/>
      </w:tblPr>
      <w:tblGrid>
        <w:gridCol w:w="1276"/>
        <w:gridCol w:w="636"/>
        <w:gridCol w:w="876"/>
      </w:tblGrid>
      <w:tr w:rsidR="00B70BB0" w:rsidRPr="00EB2675" w14:paraId="4EC092F6" w14:textId="77777777" w:rsidTr="00B70BB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0" w:type="auto"/>
            <w:noWrap/>
          </w:tcPr>
          <w:p w14:paraId="2602718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Variable</w:t>
            </w:r>
          </w:p>
        </w:tc>
        <w:tc>
          <w:tcPr>
            <w:tcW w:w="0" w:type="auto"/>
          </w:tcPr>
          <w:p w14:paraId="46C9E89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VIF</w:t>
            </w:r>
          </w:p>
        </w:tc>
        <w:tc>
          <w:tcPr>
            <w:tcW w:w="0" w:type="auto"/>
          </w:tcPr>
          <w:p w14:paraId="4AEBAFB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 xml:space="preserve"> 1/VIF</w:t>
            </w:r>
          </w:p>
        </w:tc>
      </w:tr>
      <w:tr w:rsidR="00B70BB0" w:rsidRPr="00EB2675" w14:paraId="367FC128"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4CD2C9E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4D9850E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1.04</w:t>
            </w:r>
          </w:p>
        </w:tc>
        <w:tc>
          <w:tcPr>
            <w:tcW w:w="0" w:type="auto"/>
            <w:tcBorders>
              <w:top w:val="nil"/>
              <w:left w:val="nil"/>
              <w:bottom w:val="nil"/>
              <w:right w:val="nil"/>
            </w:tcBorders>
          </w:tcPr>
          <w:p w14:paraId="67655BC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0.9656</w:t>
            </w:r>
          </w:p>
        </w:tc>
      </w:tr>
      <w:tr w:rsidR="00B70BB0" w:rsidRPr="00EB2675" w14:paraId="4B73BCD5"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5E21F4C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 w:val="0"/>
                <w:color w:val="000000" w:themeColor="text1"/>
              </w:rPr>
              <w:t>APR</w:t>
            </w:r>
          </w:p>
        </w:tc>
        <w:tc>
          <w:tcPr>
            <w:tcW w:w="0" w:type="auto"/>
            <w:tcBorders>
              <w:top w:val="nil"/>
              <w:left w:val="nil"/>
              <w:bottom w:val="nil"/>
              <w:right w:val="nil"/>
            </w:tcBorders>
          </w:tcPr>
          <w:p w14:paraId="57B8103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1.03</w:t>
            </w:r>
          </w:p>
        </w:tc>
        <w:tc>
          <w:tcPr>
            <w:tcW w:w="0" w:type="auto"/>
            <w:tcBorders>
              <w:top w:val="nil"/>
              <w:left w:val="nil"/>
              <w:bottom w:val="nil"/>
              <w:right w:val="nil"/>
            </w:tcBorders>
          </w:tcPr>
          <w:p w14:paraId="4B53085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0.9707</w:t>
            </w:r>
          </w:p>
        </w:tc>
      </w:tr>
      <w:tr w:rsidR="00B70BB0" w:rsidRPr="00EB2675" w14:paraId="1B7437D1"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32201F4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55DCAB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1.02</w:t>
            </w:r>
          </w:p>
        </w:tc>
        <w:tc>
          <w:tcPr>
            <w:tcW w:w="0" w:type="auto"/>
            <w:tcBorders>
              <w:top w:val="nil"/>
              <w:left w:val="nil"/>
              <w:bottom w:val="nil"/>
              <w:right w:val="nil"/>
            </w:tcBorders>
          </w:tcPr>
          <w:p w14:paraId="4A362D4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0.9829</w:t>
            </w:r>
          </w:p>
        </w:tc>
      </w:tr>
      <w:tr w:rsidR="00B70BB0" w:rsidRPr="00EB2675" w14:paraId="0F64DC8C"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left w:val="nil"/>
              <w:bottom w:val="single" w:sz="8" w:space="0" w:color="000000"/>
              <w:right w:val="nil"/>
            </w:tcBorders>
            <w:noWrap/>
          </w:tcPr>
          <w:p w14:paraId="548E0EC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Mean VIF</w:t>
            </w:r>
          </w:p>
        </w:tc>
        <w:tc>
          <w:tcPr>
            <w:tcW w:w="0" w:type="auto"/>
            <w:tcBorders>
              <w:top w:val="single" w:sz="8" w:space="0" w:color="000000"/>
              <w:left w:val="nil"/>
              <w:bottom w:val="single" w:sz="8" w:space="0" w:color="000000"/>
              <w:right w:val="nil"/>
            </w:tcBorders>
          </w:tcPr>
          <w:p w14:paraId="68DA284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r w:rsidRPr="00EB2675">
              <w:rPr>
                <w:rFonts w:ascii="Times New Roman" w:hAnsi="Times New Roman"/>
                <w:bCs/>
                <w:color w:val="000000" w:themeColor="text1"/>
              </w:rPr>
              <w:t>1.03</w:t>
            </w:r>
          </w:p>
        </w:tc>
        <w:tc>
          <w:tcPr>
            <w:tcW w:w="0" w:type="auto"/>
            <w:tcBorders>
              <w:top w:val="single" w:sz="8" w:space="0" w:color="000000"/>
              <w:left w:val="nil"/>
              <w:bottom w:val="single" w:sz="8" w:space="0" w:color="000000"/>
              <w:right w:val="nil"/>
            </w:tcBorders>
          </w:tcPr>
          <w:p w14:paraId="144753C1"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2B6D9AA3"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EB2675">
        <w:rPr>
          <w:rFonts w:ascii="Times New Roman" w:eastAsia="Calibri" w:hAnsi="Times New Roman"/>
          <w:color w:val="000000" w:themeColor="text1"/>
        </w:rPr>
        <w:t>Authors’ computation using STATA 17, 2025</w:t>
      </w:r>
      <w:r w:rsidRPr="00EB2675">
        <w:rPr>
          <w:rFonts w:ascii="Times New Roman" w:hAnsi="Times New Roman"/>
          <w:color w:val="000000" w:themeColor="text1"/>
        </w:rPr>
        <w:t>.</w:t>
      </w:r>
    </w:p>
    <w:p w14:paraId="26D22666" w14:textId="77777777" w:rsidR="00B70BB0" w:rsidRPr="00EB2675" w:rsidRDefault="00B70BB0">
      <w:pPr>
        <w:jc w:val="both"/>
        <w:rPr>
          <w:rFonts w:ascii="Times New Roman" w:hAnsi="Times New Roman"/>
          <w:color w:val="000000" w:themeColor="text1"/>
        </w:rPr>
      </w:pPr>
    </w:p>
    <w:p w14:paraId="6717DFF5" w14:textId="11ADD631"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multicollinearity results presented in Table.4 demonstrate that the independent variables which are Audit Firm Independence (AFI), Audit Fees (AFE), and Audit Partner Rotation (APR) do not exhibit significant multicollinearity. The reported Variance In</w:t>
      </w:r>
      <w:r w:rsidRPr="00EB2675">
        <w:rPr>
          <w:rFonts w:ascii="Times New Roman" w:hAnsi="Times New Roman"/>
          <w:color w:val="000000" w:themeColor="text1"/>
        </w:rPr>
        <w:t xml:space="preserve">flation Factors (VIFs) are 1.04 for AFE, 1.03 for APR, and 1.02 for AFI, with a mean VIF of 1.03. These values fall well below the commonly accepted </w:t>
      </w:r>
      <w:bookmarkStart w:id="4" w:name="_Hlk220220978"/>
      <w:r w:rsidRPr="00EB2675">
        <w:rPr>
          <w:rFonts w:ascii="Times New Roman" w:hAnsi="Times New Roman"/>
          <w:color w:val="000000" w:themeColor="text1"/>
        </w:rPr>
        <w:t xml:space="preserve">thresholds of 5.0 </w:t>
      </w:r>
      <w:r w:rsidR="00AA60B7">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{"citationItems":[{"id":"ITEM-1","itemData":{"ISBN":"9781292021904","author":[{"dropping-particle":"","family":"Hair","given":"Joseph F .Jr .","non-dropping-particle":"","parse-names":false,"suffix":""},{"dropping-particle":"","family":"Black","given":"William C .","non-dropping-particle":"","parse-names":false,"suffix":""},{"dropping-particle":"","family":"Babin","given":"Barry J","non-dropping-particle":"","parse-names":false,"suffix":""},{"dropping-particle":"","family":"Anderson","given":"Rolph E","non-dropping-particle":"","parse-names":false,"suffix":""}],"container-title":"Pearson New International Edition","id":"ITEM-1","issued":{"date-parts":[["2014"]]},"number-of-pages":"1-739","title":"Multivariate Data Analysis","type":"book","volume":"7"},"uris":["http://www.mendeley.com/documents/?uuid=bef5ea1a-e510-426b-9e49-5d3057c6c8ae"]}],"mendeley":{"formattedCitation":"(Hair et al., 2014)","plainTextFormattedCitation":"(Hair et al., 2014)","previouslyFormattedCitation":"(Hair et al., 2014)"},"properties":{"noteIndex":0},"schema":"https://github.com/citation-style-language/schema/raw/master/csl-citation.json"}</w:instrText>
      </w:r>
      <w:r w:rsidR="00AA60B7">
        <w:rPr>
          <w:rFonts w:ascii="Times New Roman" w:hAnsi="Times New Roman"/>
          <w:color w:val="000000" w:themeColor="text1"/>
        </w:rPr>
        <w:fldChar w:fldCharType="separate"/>
      </w:r>
      <w:r w:rsidR="00AA60B7" w:rsidRPr="00AA60B7">
        <w:rPr>
          <w:rFonts w:ascii="Times New Roman" w:hAnsi="Times New Roman"/>
          <w:noProof/>
          <w:color w:val="000000" w:themeColor="text1"/>
        </w:rPr>
        <w:t>(Hair et al., 2014)</w:t>
      </w:r>
      <w:r w:rsidR="00AA60B7">
        <w:rPr>
          <w:rFonts w:ascii="Times New Roman" w:hAnsi="Times New Roman"/>
          <w:color w:val="000000" w:themeColor="text1"/>
        </w:rPr>
        <w:fldChar w:fldCharType="end"/>
      </w:r>
      <w:bookmarkEnd w:id="4"/>
      <w:r w:rsidR="00384026">
        <w:rPr>
          <w:rFonts w:ascii="Times New Roman" w:hAnsi="Times New Roman"/>
          <w:color w:val="000000" w:themeColor="text1"/>
        </w:rPr>
        <w:t>.</w:t>
      </w:r>
      <w:r w:rsidRPr="00EB2675">
        <w:rPr>
          <w:rFonts w:ascii="Times New Roman" w:hAnsi="Times New Roman"/>
          <w:color w:val="000000" w:themeColor="text1"/>
        </w:rPr>
        <w:t xml:space="preserve"> Similarly, the tolerance values (1/VIF) range between 0.9656 and 0.9829, further confirming that the explanatory variables are not excessively correlated. This indicates that the estimates derived from the regression model are statistically robust, reliab</w:t>
      </w:r>
      <w:r w:rsidRPr="00EB2675">
        <w:rPr>
          <w:rFonts w:ascii="Times New Roman" w:hAnsi="Times New Roman"/>
          <w:color w:val="000000" w:themeColor="text1"/>
        </w:rPr>
        <w:t>le, and free from bias caused by collinearity.</w:t>
      </w:r>
    </w:p>
    <w:p w14:paraId="19F7B018" w14:textId="77777777" w:rsidR="00B70BB0" w:rsidRPr="00EB2675" w:rsidRDefault="00B70BB0">
      <w:pPr>
        <w:jc w:val="both"/>
        <w:rPr>
          <w:rFonts w:ascii="Times New Roman" w:hAnsi="Times New Roman"/>
          <w:color w:val="000000" w:themeColor="text1"/>
        </w:rPr>
      </w:pPr>
    </w:p>
    <w:p w14:paraId="4E2B466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independence of the audit firm (AFI) reflects structural autonomy from clients, which is essential for audit objectivity and integrity. The low VIF of 1.02 suggests that AFI operates as a distinct constru</w:t>
      </w:r>
      <w:r w:rsidRPr="00EB2675">
        <w:rPr>
          <w:rFonts w:ascii="Times New Roman" w:hAnsi="Times New Roman"/>
          <w:color w:val="000000" w:themeColor="text1"/>
        </w:rPr>
        <w:t xml:space="preserve">ct and is not overly confounded with audit fees (AFE) or audit partner rotation (APR). This distinction is crucial, as prior studies have cautioned that auditor independence may be compromised when entangled with economic bonding through fees or long-term </w:t>
      </w:r>
      <w:r w:rsidRPr="00EB2675">
        <w:rPr>
          <w:rFonts w:ascii="Times New Roman" w:hAnsi="Times New Roman"/>
          <w:color w:val="000000" w:themeColor="text1"/>
        </w:rPr>
        <w:t xml:space="preserve">engagement relationships </w:t>
      </w:r>
      <w:r w:rsidR="00384026">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id":"ITEM-2","itemData":{"DOI":"10.2991/978-94-6463-030-5","ISBN":"9789464630305","author":[{"dropping-particle":"","family":"Li","given":"Jingning","non-dropping-particle":"","parse-names":false,"suffix":""}],"container-title":"Beijing Jiaotong University","id":"ITEM-2","issued":{"date-parts":[["2023"]]},"number-of-pages":"1107-1112","publisher":"Atlantis Press International BV","title":"Accounting firm size , abnormal audit fees and audit quality","type":"book"},"uris":["http://www.mendeley.com/documents/?uuid=96f2dbc7-95c4-4a78-b57b-0653d5ef0777"]}],"mendeley":{"formattedCitation":"(Li, 2023; Schatt, 2025)","plainTextFormattedCitation":"(Li, 2023; Schatt, 2025)","previouslyFormattedCitation":"(Li, 2023; Schatt, 2025)"},"properties":{"noteIndex":0},"schema":"https://github.com/citation-style-language/schema/raw/master/csl-citation.json"}</w:instrText>
      </w:r>
      <w:r w:rsidR="00384026">
        <w:rPr>
          <w:rFonts w:ascii="Times New Roman" w:hAnsi="Times New Roman"/>
          <w:color w:val="000000" w:themeColor="text1"/>
        </w:rPr>
        <w:fldChar w:fldCharType="separate"/>
      </w:r>
      <w:r w:rsidR="00384026" w:rsidRPr="00384026">
        <w:rPr>
          <w:rFonts w:ascii="Times New Roman" w:hAnsi="Times New Roman"/>
          <w:noProof/>
          <w:color w:val="000000" w:themeColor="text1"/>
        </w:rPr>
        <w:t>(Li, 2023; Schatt, 2025)</w:t>
      </w:r>
      <w:r w:rsidR="00384026">
        <w:rPr>
          <w:rFonts w:ascii="Times New Roman" w:hAnsi="Times New Roman"/>
          <w:color w:val="000000" w:themeColor="text1"/>
        </w:rPr>
        <w:fldChar w:fldCharType="end"/>
      </w:r>
      <w:r w:rsidRPr="00EB2675">
        <w:rPr>
          <w:rFonts w:ascii="Times New Roman" w:hAnsi="Times New Roman"/>
          <w:b/>
          <w:bCs/>
          <w:color w:val="000000" w:themeColor="text1"/>
        </w:rPr>
        <w:t>.</w:t>
      </w:r>
    </w:p>
    <w:p w14:paraId="6D380A3F" w14:textId="77777777" w:rsidR="00B70BB0" w:rsidRPr="00EB2675" w:rsidRDefault="00B70BB0">
      <w:pPr>
        <w:jc w:val="both"/>
        <w:rPr>
          <w:rFonts w:ascii="Times New Roman" w:hAnsi="Times New Roman"/>
          <w:color w:val="000000" w:themeColor="text1"/>
        </w:rPr>
      </w:pPr>
    </w:p>
    <w:p w14:paraId="19EDFB4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Similarly, audit fees (AFE), with a VIF of 1.04, show no substantial over</w:t>
      </w:r>
      <w:r w:rsidRPr="00EB2675">
        <w:rPr>
          <w:rFonts w:ascii="Times New Roman" w:hAnsi="Times New Roman"/>
          <w:color w:val="000000" w:themeColor="text1"/>
        </w:rPr>
        <w:t>lap with AFI or APR. This is important because audit pricing often reflects both audit risk and client dependence</w:t>
      </w:r>
      <w:r w:rsidR="00895E36">
        <w:rPr>
          <w:rFonts w:ascii="Times New Roman" w:hAnsi="Times New Roman"/>
          <w:color w:val="000000" w:themeColor="text1"/>
        </w:rPr>
        <w:t xml:space="preserve"> </w:t>
      </w:r>
      <w:r w:rsidR="00895E36">
        <w:rPr>
          <w:rFonts w:ascii="Times New Roman" w:hAnsi="Times New Roman"/>
          <w:color w:val="000000" w:themeColor="text1"/>
        </w:rPr>
        <w:fldChar w:fldCharType="begin" w:fldLock="1"/>
      </w:r>
      <w:r w:rsidR="008B2A77">
        <w:rPr>
          <w:rFonts w:ascii="Times New Roman" w:hAnsi="Times New Roman"/>
          <w:color w:val="000000" w:themeColor="text1"/>
        </w:rPr>
        <w:instrText>ADDIN CSL_CITATION {"citationItems":[{"id":"ITEM-1","itemData":{"ISBN":"9781479978007","author":[{"dropping-particle":"","family":"Abdul-Rahman","given":"Onaolapo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Research","id":"ITEM-1","issue":"1","issued":{"date-parts":[["2017"]]},"page":"6-17","title":"Effect of audit fees on audit quality: Evidence from cement manufacturing companies in Nigeria.","type":"article-journal","volume":"5"},"uris":["http://www.mendeley.com/documents/?uuid=82cd12ae-3424-40e0-a0f4-9e158ca67dfb"]},{"id":"ITEM-2","itemData":{"DOI":"10.1108/jabes-11-2018-0100","ISSN":"2515-964X","abstract":"This paper provides new evidence on the characteristics of firms that commit financial statement fraud. We examine how previous earnings management impacts the likelihood that a firm will commit financial statement fraud and in doing so develop three new fraud predictors. Using a sample of 54 fraud and 54 non-fraud firms, we find that fraud firms are more likely to have managed earnings in prior years and that earnings management in prior years is associated with a higher likelihood that firms that meet or beat analyst forecasts or that inflate revenue are committing fraud. We further find that fraud firms are more likely to meet or beat analyst forecasts and inflate revenue than non-fraud firms are even when there is no evidence of prior earnings management. This paper contributes to the fraud detection literature and the earnings management literature, and can help practitioners and regulators develop better fraud detection models. © 2010 Elsevier Ltd.","author":[{"dropping-particle":"","family":"Salehi","given":"Mahdi","non-dropping-particle":"","parse-names":false,"suffix":""},{"dropping-particle":"","family":"Tarighi","given":"Hossein","non-dropping-particle":"","parse-names":false,"suffix":""},{"dropping-particle":"","family":"Shahri","given":"Tahereh Alidoust","non-dropping-particle":"","parse-names":false,"suffix":""}],"container-title":"Journal of Asian Business and Economic Studies","id":"ITEM-2","issued":{"date-parts":[["2020"]]},"title":"The effect of auditor characteristics on tax avoidance of Iranian companies","type":"article-journal"},"uris":["http://www.mendeley.com/documents/?uuid=25f63f95-3cd7-4872-9012-301533a7e28a"]}],"mendeley":{"formattedCitation":"(Abdul-Rahman et al., 2017; Salehi et al., 2020)","plainTextFormattedCitation":"(Abdul-Rahman et al., 2017; Salehi et al., 2020)","previouslyFormattedCitation":"(Abdul-Rahman et al., 2017; Salehi et al., 2020)"},"properties":{"noteIndex":0},"schema":"https://github.com/citation-style-language/schema/raw/master/csl-citation.json"}</w:instrText>
      </w:r>
      <w:r w:rsidR="00895E36">
        <w:rPr>
          <w:rFonts w:ascii="Times New Roman" w:hAnsi="Times New Roman"/>
          <w:color w:val="000000" w:themeColor="text1"/>
        </w:rPr>
        <w:fldChar w:fldCharType="separate"/>
      </w:r>
      <w:r w:rsidR="00895E36" w:rsidRPr="00895E36">
        <w:rPr>
          <w:rFonts w:ascii="Times New Roman" w:hAnsi="Times New Roman"/>
          <w:noProof/>
          <w:color w:val="000000" w:themeColor="text1"/>
        </w:rPr>
        <w:t>(Abdul-Rahman et al., 2017; Salehi et al., 2020)</w:t>
      </w:r>
      <w:r w:rsidR="00895E36">
        <w:rPr>
          <w:rFonts w:ascii="Times New Roman" w:hAnsi="Times New Roman"/>
          <w:color w:val="000000" w:themeColor="text1"/>
        </w:rPr>
        <w:fldChar w:fldCharType="end"/>
      </w:r>
      <w:r w:rsidR="00895E36">
        <w:rPr>
          <w:rFonts w:ascii="Times New Roman" w:hAnsi="Times New Roman"/>
          <w:color w:val="000000" w:themeColor="text1"/>
        </w:rPr>
        <w:t xml:space="preserve">. </w:t>
      </w:r>
      <w:r w:rsidRPr="00EB2675">
        <w:rPr>
          <w:rFonts w:ascii="Times New Roman" w:hAnsi="Times New Roman"/>
          <w:color w:val="000000" w:themeColor="text1"/>
        </w:rPr>
        <w:t>The absence of multicollinearity here strengthens the reliability of interpreting audit fees as a separate determinant of audit quality.</w:t>
      </w:r>
    </w:p>
    <w:p w14:paraId="59CD143A" w14:textId="77777777" w:rsidR="00B70BB0" w:rsidRPr="00EB2675" w:rsidRDefault="00B70BB0">
      <w:pPr>
        <w:jc w:val="both"/>
        <w:rPr>
          <w:rFonts w:ascii="Times New Roman" w:hAnsi="Times New Roman"/>
          <w:color w:val="000000" w:themeColor="text1"/>
        </w:rPr>
      </w:pPr>
    </w:p>
    <w:p w14:paraId="2B8DDB93"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lastRenderedPageBreak/>
        <w:t>Audit partner rot</w:t>
      </w:r>
      <w:r w:rsidRPr="00EB2675">
        <w:rPr>
          <w:rFonts w:ascii="Times New Roman" w:hAnsi="Times New Roman"/>
          <w:color w:val="000000" w:themeColor="text1"/>
        </w:rPr>
        <w:t xml:space="preserve">ation (APR) also demonstrates a very low VIF of 1.03. Rotation policies are designed to mitigate familiarity threats and enhance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The results suggest that APR is sufficiently independent of both AFI and AFE, enabling the study to is</w:t>
      </w:r>
      <w:r w:rsidRPr="00EB2675">
        <w:rPr>
          <w:rFonts w:ascii="Times New Roman" w:hAnsi="Times New Roman"/>
          <w:color w:val="000000" w:themeColor="text1"/>
        </w:rPr>
        <w:t xml:space="preserve">olate its unique contribution to audit quality. This finding is consistent with international best practices under ISA 540 and regulatory reforms, which </w:t>
      </w:r>
      <w:proofErr w:type="spellStart"/>
      <w:r w:rsidRPr="00EB2675">
        <w:rPr>
          <w:rFonts w:ascii="Times New Roman" w:hAnsi="Times New Roman"/>
          <w:color w:val="000000" w:themeColor="text1"/>
        </w:rPr>
        <w:t>emphasise</w:t>
      </w:r>
      <w:proofErr w:type="spellEnd"/>
      <w:r w:rsidRPr="00EB2675">
        <w:rPr>
          <w:rFonts w:ascii="Times New Roman" w:hAnsi="Times New Roman"/>
          <w:color w:val="000000" w:themeColor="text1"/>
        </w:rPr>
        <w:t xml:space="preserve"> rotation to prevent entrenchment and complacency</w:t>
      </w:r>
      <w:r w:rsidRPr="00EB2675">
        <w:rPr>
          <w:rFonts w:ascii="Times New Roman" w:hAnsi="Times New Roman"/>
          <w:b/>
          <w:bCs/>
          <w:color w:val="000000" w:themeColor="text1"/>
        </w:rPr>
        <w:t>.</w:t>
      </w:r>
    </w:p>
    <w:p w14:paraId="7C2D5C75" w14:textId="77777777" w:rsidR="00B70BB0" w:rsidRPr="00EB2675" w:rsidRDefault="00B70BB0">
      <w:pPr>
        <w:jc w:val="both"/>
        <w:rPr>
          <w:rFonts w:ascii="Times New Roman" w:hAnsi="Times New Roman"/>
          <w:color w:val="000000" w:themeColor="text1"/>
        </w:rPr>
      </w:pPr>
    </w:p>
    <w:p w14:paraId="7340EE56" w14:textId="77777777" w:rsidR="008B2A77" w:rsidRDefault="00C76947">
      <w:pPr>
        <w:jc w:val="both"/>
        <w:rPr>
          <w:rFonts w:ascii="Times New Roman" w:hAnsi="Times New Roman"/>
          <w:b/>
          <w:bCs/>
          <w:color w:val="000000" w:themeColor="text1"/>
        </w:rPr>
      </w:pPr>
      <w:r w:rsidRPr="00EB2675">
        <w:rPr>
          <w:rFonts w:ascii="Times New Roman" w:hAnsi="Times New Roman"/>
          <w:color w:val="000000" w:themeColor="text1"/>
        </w:rPr>
        <w:t>From a sustainability and governance persp</w:t>
      </w:r>
      <w:r w:rsidRPr="00EB2675">
        <w:rPr>
          <w:rFonts w:ascii="Times New Roman" w:hAnsi="Times New Roman"/>
          <w:color w:val="000000" w:themeColor="text1"/>
        </w:rPr>
        <w:t>ective, the multicollinearity results carry broader implications that directly align with the United Nations Sustainable Development Goals (SDGs). Specifically, the findings reinforce SDG 16 (Peace, Justice, and Strong Institutions), as the confirmation th</w:t>
      </w:r>
      <w:r w:rsidRPr="00EB2675">
        <w:rPr>
          <w:rFonts w:ascii="Times New Roman" w:hAnsi="Times New Roman"/>
          <w:color w:val="000000" w:themeColor="text1"/>
        </w:rPr>
        <w:t>at AFI, AFE, and APR are independent constructs underscores the importance of strong, transparent, and accountable audit mechanisms. Low multicollinearity provides robust empirical support for the role of audit governance in enhancing institutional integri</w:t>
      </w:r>
      <w:r w:rsidRPr="00EB2675">
        <w:rPr>
          <w:rFonts w:ascii="Times New Roman" w:hAnsi="Times New Roman"/>
          <w:color w:val="000000" w:themeColor="text1"/>
        </w:rPr>
        <w:t xml:space="preserve">ty, thereby contributing to stronger and more resilient institutions </w:t>
      </w:r>
      <w:r w:rsidR="008B2A77">
        <w:rPr>
          <w:rFonts w:ascii="Times New Roman" w:hAnsi="Times New Roman"/>
          <w:color w:val="000000" w:themeColor="text1"/>
        </w:rPr>
        <w:fldChar w:fldCharType="begin" w:fldLock="1"/>
      </w:r>
      <w:r w:rsidR="00892A0D">
        <w:rPr>
          <w:rFonts w:ascii="Times New Roman" w:hAnsi="Times New Roman"/>
          <w:color w:val="000000" w:themeColor="text1"/>
        </w:rPr>
        <w:instrText>ADDIN CSL_CITATION {"citationItems":[{"id":"ITEM-1","itemData":{"ISSN":"2736-1500","abstract":"This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Sustainablity","id":"ITEM-1","issue":"2","issued":{"date-parts":[["2024"]]},"page":"14-26","publisher":"Department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choice","type":"article-journal","volume":"9"},"uris":["http://www.mendeley.com/documents/?uuid=77470043-d8cb-4042-9782-fa7712affeb1"]}],"mendeley":{"formattedCitation":"(Bamenda, 2024)","plainTextFormattedCitation":"(Bamenda, 2024)","previouslyFormattedCitation":"(Bamenda, 2024)"},"properties":{"noteIndex":0},"schema":"https://github.com/citation-style-language/schema/raw/master/csl-citation.json"}</w:instrText>
      </w:r>
      <w:r w:rsidR="008B2A77">
        <w:rPr>
          <w:rFonts w:ascii="Times New Roman" w:hAnsi="Times New Roman"/>
          <w:color w:val="000000" w:themeColor="text1"/>
        </w:rPr>
        <w:fldChar w:fldCharType="separate"/>
      </w:r>
      <w:r w:rsidR="008B2A77" w:rsidRPr="008B2A77">
        <w:rPr>
          <w:rFonts w:ascii="Times New Roman" w:hAnsi="Times New Roman"/>
          <w:noProof/>
          <w:color w:val="000000" w:themeColor="text1"/>
        </w:rPr>
        <w:t>(Bamenda, 2024)</w:t>
      </w:r>
      <w:r w:rsidR="008B2A77">
        <w:rPr>
          <w:rFonts w:ascii="Times New Roman" w:hAnsi="Times New Roman"/>
          <w:color w:val="000000" w:themeColor="text1"/>
        </w:rPr>
        <w:fldChar w:fldCharType="end"/>
      </w:r>
      <w:r w:rsidR="008B2A77">
        <w:rPr>
          <w:rFonts w:ascii="Times New Roman" w:hAnsi="Times New Roman"/>
          <w:color w:val="000000" w:themeColor="text1"/>
        </w:rPr>
        <w:t>.</w:t>
      </w:r>
    </w:p>
    <w:p w14:paraId="1D044092" w14:textId="77777777" w:rsidR="00B70BB0" w:rsidRDefault="00C76947">
      <w:pPr>
        <w:jc w:val="both"/>
        <w:rPr>
          <w:rFonts w:ascii="Times New Roman" w:hAnsi="Times New Roman"/>
          <w:b/>
          <w:bCs/>
          <w:color w:val="000000" w:themeColor="text1"/>
        </w:rPr>
      </w:pPr>
      <w:r w:rsidRPr="00892A0D">
        <w:rPr>
          <w:rFonts w:ascii="Times New Roman" w:hAnsi="Times New Roman"/>
          <w:color w:val="000000" w:themeColor="text1"/>
        </w:rPr>
        <w:t>Building on this, the results also advance SDG 8 (Decent Work and Economic Growth). Reliable audit quality research, underpinned by sound econometric diagnostics, ensures that financial markets function more efficiently. By reducing risks of misrepresentat</w:t>
      </w:r>
      <w:r w:rsidRPr="00892A0D">
        <w:rPr>
          <w:rFonts w:ascii="Times New Roman" w:hAnsi="Times New Roman"/>
          <w:color w:val="000000" w:themeColor="text1"/>
        </w:rPr>
        <w:t xml:space="preserve">ion, the evidence generated promotes sustainable economic growth, protects investors, and strengthens stakeholder confidence in corporate reporting </w:t>
      </w:r>
      <w:r w:rsidR="00892A0D" w:rsidRPr="00892A0D">
        <w:rPr>
          <w:rFonts w:ascii="Times New Roman" w:hAnsi="Times New Roman"/>
          <w:b/>
          <w:bCs/>
          <w:color w:val="000000" w:themeColor="text1"/>
        </w:rPr>
        <w:fldChar w:fldCharType="begin" w:fldLock="1"/>
      </w:r>
      <w:r w:rsidR="004E0CA4">
        <w:rPr>
          <w:rFonts w:ascii="Times New Roman" w:hAnsi="Times New Roman"/>
          <w:b/>
          <w:bCs/>
          <w:color w:val="000000" w:themeColor="text1"/>
        </w:rPr>
        <w:instrText>ADDIN CSL_CITATION {"citationItems":[{"id":"ITEM-1","itemData":{"ISBN":"9781608155736","author":[{"dropping-particle":"","family":"International Auditing and Assurance Standards Board","given":"","non-dropping-particle":"","parse-names":false,"suffix":""}],"container-title":"International Auditing and Assurance Standards Board","id":"ITEM-1","issued":{"date-parts":[["2024"]]},"number-of-pages":"1-831","title":"Handbook of international quality management, auditing, review, other assurance, and related services pronouncements","type":"book","volume":"I"},"uris":["http://www.mendeley.com/documents/?uuid=dab436f2-0beb-4c4b-a4c0-8f89c9476ce1"]}],"mendeley":{"formattedCitation":"(International Auditing and Assurance Standards Board, 2024)","manualFormatting":"(International Auditing and Assurance Standards Board[IAASB], 2024)","plainTextFormattedCitation":"(International Auditing and Assurance Standards Board, 2024)","previouslyFormattedCitation":"(International Auditing and Assurance Standards Board, 2024)"},"properties":{"noteIndex":0},"schema":"https://github.com/citation-style-language/schema/raw/master/csl-citation.json"}</w:instrText>
      </w:r>
      <w:r w:rsidR="00892A0D" w:rsidRPr="00892A0D">
        <w:rPr>
          <w:rFonts w:ascii="Times New Roman" w:hAnsi="Times New Roman"/>
          <w:b/>
          <w:bCs/>
          <w:color w:val="000000" w:themeColor="text1"/>
        </w:rPr>
        <w:fldChar w:fldCharType="separate"/>
      </w:r>
      <w:r w:rsidR="00892A0D" w:rsidRPr="00892A0D">
        <w:rPr>
          <w:rFonts w:ascii="Times New Roman" w:hAnsi="Times New Roman"/>
          <w:bCs/>
          <w:noProof/>
          <w:color w:val="000000" w:themeColor="text1"/>
        </w:rPr>
        <w:t>(International Auditing and Assurance Standards Board[IAASB], 2024)</w:t>
      </w:r>
      <w:r w:rsidR="00892A0D" w:rsidRPr="00892A0D">
        <w:rPr>
          <w:rFonts w:ascii="Times New Roman" w:hAnsi="Times New Roman"/>
          <w:b/>
          <w:bCs/>
          <w:color w:val="000000" w:themeColor="text1"/>
        </w:rPr>
        <w:fldChar w:fldCharType="end"/>
      </w:r>
      <w:r w:rsidR="00892A0D" w:rsidRPr="00892A0D">
        <w:rPr>
          <w:rFonts w:ascii="Times New Roman" w:hAnsi="Times New Roman"/>
          <w:b/>
          <w:bCs/>
          <w:color w:val="000000" w:themeColor="text1"/>
        </w:rPr>
        <w:t>.</w:t>
      </w:r>
    </w:p>
    <w:p w14:paraId="472DE719" w14:textId="77777777" w:rsidR="00892A0D" w:rsidRPr="00892A0D" w:rsidRDefault="00892A0D">
      <w:pPr>
        <w:jc w:val="both"/>
        <w:rPr>
          <w:rFonts w:ascii="Times New Roman" w:hAnsi="Times New Roman"/>
          <w:color w:val="000000" w:themeColor="text1"/>
        </w:rPr>
      </w:pPr>
    </w:p>
    <w:p w14:paraId="47077D8D" w14:textId="77777777" w:rsidR="00B70BB0" w:rsidRPr="00EB2675" w:rsidRDefault="00C76947">
      <w:pPr>
        <w:jc w:val="both"/>
        <w:rPr>
          <w:rFonts w:ascii="Times New Roman" w:hAnsi="Times New Roman"/>
          <w:b/>
          <w:bCs/>
          <w:color w:val="000000" w:themeColor="text1"/>
        </w:rPr>
      </w:pPr>
      <w:r w:rsidRPr="00EB2675">
        <w:rPr>
          <w:rFonts w:ascii="Times New Roman" w:hAnsi="Times New Roman"/>
          <w:color w:val="000000" w:themeColor="text1"/>
        </w:rPr>
        <w:t>In addition,</w:t>
      </w:r>
      <w:r w:rsidR="00892A0D">
        <w:rPr>
          <w:rFonts w:ascii="Times New Roman" w:hAnsi="Times New Roman"/>
          <w:color w:val="000000" w:themeColor="text1"/>
        </w:rPr>
        <w:t xml:space="preserve"> it </w:t>
      </w:r>
      <w:proofErr w:type="gramStart"/>
      <w:r w:rsidRPr="00EB2675">
        <w:rPr>
          <w:rFonts w:ascii="Times New Roman" w:hAnsi="Times New Roman"/>
          <w:color w:val="000000" w:themeColor="text1"/>
        </w:rPr>
        <w:t>contribute</w:t>
      </w:r>
      <w:proofErr w:type="gramEnd"/>
      <w:r w:rsidRPr="00EB2675">
        <w:rPr>
          <w:rFonts w:ascii="Times New Roman" w:hAnsi="Times New Roman"/>
          <w:color w:val="000000" w:themeColor="text1"/>
        </w:rPr>
        <w:t xml:space="preserve"> to SDG 12 (Responsible Consumption and Production) by fostering transparent auditing practices. The independence of explanatory variables ensures tha</w:t>
      </w:r>
      <w:r w:rsidRPr="00EB2675">
        <w:rPr>
          <w:rFonts w:ascii="Times New Roman" w:hAnsi="Times New Roman"/>
          <w:color w:val="000000" w:themeColor="text1"/>
        </w:rPr>
        <w:t xml:space="preserve">t conclusions about audit quality are credible, which in turn supports responsible corporate reporting. Such transparency discourages financial misrepresentation and aligns corporate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with sustainable production and consumption patterns</w:t>
      </w:r>
      <w:r w:rsidR="003E23C2">
        <w:rPr>
          <w:rFonts w:ascii="Times New Roman" w:hAnsi="Times New Roman"/>
          <w:color w:val="000000" w:themeColor="text1"/>
        </w:rPr>
        <w:t>.</w:t>
      </w:r>
    </w:p>
    <w:p w14:paraId="05687167" w14:textId="77777777" w:rsidR="00B70BB0" w:rsidRPr="00EB2675" w:rsidRDefault="00B70BB0">
      <w:pPr>
        <w:jc w:val="both"/>
        <w:rPr>
          <w:rFonts w:ascii="Times New Roman" w:hAnsi="Times New Roman"/>
          <w:b/>
          <w:bCs/>
          <w:color w:val="000000" w:themeColor="text1"/>
        </w:rPr>
      </w:pPr>
    </w:p>
    <w:p w14:paraId="12D3347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Thus, the methodological </w:t>
      </w:r>
      <w:proofErr w:type="spellStart"/>
      <w:r w:rsidRPr="00EB2675">
        <w:rPr>
          <w:rFonts w:ascii="Times New Roman" w:hAnsi="Times New Roman"/>
          <w:color w:val="000000" w:themeColor="text1"/>
        </w:rPr>
        <w:t>rigour</w:t>
      </w:r>
      <w:proofErr w:type="spellEnd"/>
      <w:r w:rsidRPr="00EB2675">
        <w:rPr>
          <w:rFonts w:ascii="Times New Roman" w:hAnsi="Times New Roman"/>
          <w:color w:val="000000" w:themeColor="text1"/>
        </w:rPr>
        <w:t xml:space="preserve"> exhibited through low multicollinearity not only strengthens the validity of this study’s findings but also advances the global governance agenda by providing evidence that can inform both corporate policy and regulatory ref</w:t>
      </w:r>
      <w:r w:rsidRPr="00EB2675">
        <w:rPr>
          <w:rFonts w:ascii="Times New Roman" w:hAnsi="Times New Roman"/>
          <w:color w:val="000000" w:themeColor="text1"/>
        </w:rPr>
        <w:t>orms.</w:t>
      </w:r>
    </w:p>
    <w:p w14:paraId="4B908DF9" w14:textId="77777777" w:rsidR="00B70BB0" w:rsidRPr="00EB2675" w:rsidRDefault="00B70BB0">
      <w:pPr>
        <w:jc w:val="both"/>
        <w:rPr>
          <w:rFonts w:ascii="Times New Roman" w:hAnsi="Times New Roman"/>
          <w:color w:val="000000" w:themeColor="text1"/>
        </w:rPr>
      </w:pPr>
    </w:p>
    <w:p w14:paraId="03A3740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multicollinearity analysis demonstrates that AFI, AFE, and APR are distinct, non-overlapping constructs, as evidenced by mean VIF values close to 1.0. This assures that subsequent regression estimates will not suffer from instability or inflated</w:t>
      </w:r>
      <w:r w:rsidRPr="00EB2675">
        <w:rPr>
          <w:rFonts w:ascii="Times New Roman" w:hAnsi="Times New Roman"/>
          <w:color w:val="000000" w:themeColor="text1"/>
        </w:rPr>
        <w:t xml:space="preserve"> standard errors, thereby enhancing the credibility of the study’s conclusions. Furthermore, situating the findings within the SDGs framework underscores the broader significance of methodological soundness in advancing transparency, accountability, and su</w:t>
      </w:r>
      <w:r w:rsidRPr="00EB2675">
        <w:rPr>
          <w:rFonts w:ascii="Times New Roman" w:hAnsi="Times New Roman"/>
          <w:color w:val="000000" w:themeColor="text1"/>
        </w:rPr>
        <w:t>stainable governance across global audit practices.</w:t>
      </w:r>
    </w:p>
    <w:p w14:paraId="30A62F71" w14:textId="77777777" w:rsidR="00B70BB0" w:rsidRPr="00EB2675" w:rsidRDefault="00B70BB0">
      <w:pPr>
        <w:jc w:val="both"/>
        <w:rPr>
          <w:rFonts w:ascii="Times New Roman" w:hAnsi="Times New Roman"/>
          <w:color w:val="000000" w:themeColor="text1"/>
        </w:rPr>
      </w:pPr>
    </w:p>
    <w:p w14:paraId="7276DD29" w14:textId="77777777" w:rsidR="00B70BB0" w:rsidRPr="00EB2675" w:rsidRDefault="00B70BB0">
      <w:pPr>
        <w:jc w:val="both"/>
        <w:rPr>
          <w:rFonts w:ascii="Times New Roman" w:hAnsi="Times New Roman"/>
          <w:color w:val="000000" w:themeColor="text1"/>
        </w:rPr>
      </w:pPr>
    </w:p>
    <w:p w14:paraId="550F694D" w14:textId="77777777" w:rsidR="00B70BB0" w:rsidRPr="00EB2675" w:rsidRDefault="00C76947">
      <w:pPr>
        <w:pStyle w:val="Heading2"/>
        <w:rPr>
          <w:rFonts w:ascii="Times New Roma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4.5 Hausman Test Discussion</w:t>
      </w:r>
    </w:p>
    <w:p w14:paraId="4B478F1B" w14:textId="77777777" w:rsidR="00B70BB0" w:rsidRPr="00EB2675" w:rsidRDefault="00B70BB0">
      <w:pPr>
        <w:jc w:val="both"/>
        <w:rPr>
          <w:rFonts w:ascii="Times New Roman" w:eastAsia="Calibri" w:hAnsi="Times New Roman"/>
          <w:color w:val="000000" w:themeColor="text1"/>
        </w:rPr>
      </w:pPr>
    </w:p>
    <w:p w14:paraId="1349DA60" w14:textId="54FEDC62" w:rsidR="00B70BB0" w:rsidRPr="00EB2675" w:rsidRDefault="00C76947">
      <w:pPr>
        <w:spacing w:after="160" w:line="259" w:lineRule="auto"/>
        <w:jc w:val="both"/>
        <w:rPr>
          <w:rFonts w:ascii="Times New Roman" w:hAnsi="Times New Roman"/>
        </w:rPr>
      </w:pPr>
      <w:r w:rsidRPr="00EB2675">
        <w:rPr>
          <w:rFonts w:ascii="Times New Roman" w:hAnsi="Times New Roman"/>
        </w:rPr>
        <w:t>The Hausman specification test was conducted to determine the most appropriate estimation technique between the Fixed Effects Model (FEM) and the Random Effects Model (REM).</w:t>
      </w:r>
      <w:r w:rsidRPr="00EB2675">
        <w:rPr>
          <w:rFonts w:ascii="Times New Roman" w:hAnsi="Times New Roman"/>
        </w:rPr>
        <w:t xml:space="preserve"> The null hypothesis of the Hausman test posits that the difference in coefficients between the FEM and REM estimators is not systematic, implying that the REM is consistent and efficient. Conversely, rejection of the null hypothesis indicates that the REM</w:t>
      </w:r>
      <w:r w:rsidRPr="00EB2675">
        <w:rPr>
          <w:rFonts w:ascii="Times New Roman" w:hAnsi="Times New Roman"/>
        </w:rPr>
        <w:t xml:space="preserve"> is inconsistent due to correlation between the regressors and the error term, thus validating the REM as the preferred model. </w:t>
      </w:r>
      <w:r w:rsidRPr="00EB2675">
        <w:rPr>
          <w:rFonts w:ascii="Times New Roman" w:eastAsia="Calibri" w:hAnsi="Times New Roman"/>
          <w:color w:val="000000" w:themeColor="text1"/>
        </w:rPr>
        <w:t>The results of the Hausman test can be found in Table.5.</w:t>
      </w:r>
    </w:p>
    <w:p w14:paraId="134B4701" w14:textId="5059797C" w:rsidR="00B70BB0" w:rsidRPr="00EB2675" w:rsidRDefault="00C76947">
      <w:pPr>
        <w:pStyle w:val="Caption"/>
        <w:keepNext/>
        <w:jc w:val="both"/>
        <w:rPr>
          <w:rFonts w:ascii="Times New Roman" w:eastAsia="Calibri" w:hAnsi="Times New Roman"/>
          <w:color w:val="000000" w:themeColor="text1"/>
          <w:sz w:val="24"/>
          <w:szCs w:val="24"/>
        </w:rPr>
      </w:pPr>
      <w:r w:rsidRPr="00EB2675">
        <w:rPr>
          <w:rFonts w:ascii="Times New Roman" w:eastAsia="Calibri" w:hAnsi="Times New Roman"/>
          <w:color w:val="000000" w:themeColor="text1"/>
          <w:sz w:val="24"/>
          <w:szCs w:val="24"/>
        </w:rPr>
        <w:lastRenderedPageBreak/>
        <w:t>Table.5: Hausman Test</w:t>
      </w:r>
    </w:p>
    <w:tbl>
      <w:tblPr>
        <w:tblStyle w:val="LightShading"/>
        <w:tblW w:w="0" w:type="auto"/>
        <w:tblLook w:val="04A0" w:firstRow="1" w:lastRow="0" w:firstColumn="1" w:lastColumn="0" w:noHBand="0" w:noVBand="1"/>
      </w:tblPr>
      <w:tblGrid>
        <w:gridCol w:w="5082"/>
      </w:tblGrid>
      <w:tr w:rsidR="00B70BB0" w:rsidRPr="00EB2675" w14:paraId="0C8D5B82"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EFB8B2"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Hausman </w:t>
            </w:r>
          </w:p>
        </w:tc>
      </w:tr>
      <w:tr w:rsidR="00B70BB0" w:rsidRPr="00EB2675" w14:paraId="7A56BA3F"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25FC51B6"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 xml:space="preserve">Test Ho: difference in coefficient not </w:t>
            </w:r>
            <w:r w:rsidRPr="00EB2675">
              <w:rPr>
                <w:rFonts w:ascii="Times New Roman" w:hAnsi="Times New Roman"/>
                <w:bCs w:val="0"/>
                <w:color w:val="000000" w:themeColor="text1"/>
              </w:rPr>
              <w:t>systematic</w:t>
            </w:r>
          </w:p>
          <w:p w14:paraId="5BD7718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(3)      = (b-B) ‘[(V b-V_B) ^ (-1)] (b-B)</w:t>
            </w:r>
          </w:p>
          <w:p w14:paraId="732B5402"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 xml:space="preserve">                     =            4.07</w:t>
            </w:r>
          </w:p>
          <w:p w14:paraId="6042B64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0.2545</w:t>
            </w:r>
          </w:p>
        </w:tc>
      </w:tr>
    </w:tbl>
    <w:p w14:paraId="6C33EC89" w14:textId="77777777" w:rsidR="00B70BB0" w:rsidRPr="00EB2675" w:rsidRDefault="00C76947">
      <w:pPr>
        <w:jc w:val="both"/>
        <w:rPr>
          <w:rFonts w:ascii="Times New Roman" w:hAnsi="Times New Roman"/>
          <w:i/>
          <w:iCs/>
          <w:color w:val="000000" w:themeColor="text1"/>
        </w:rPr>
      </w:pPr>
      <w:r w:rsidRPr="00EB2675">
        <w:rPr>
          <w:rStyle w:val="15"/>
          <w:rFonts w:ascii="Times New Roman" w:eastAsia="Calibri" w:hAnsi="Times New Roman" w:cs="Times New Roman"/>
          <w:i w:val="0"/>
          <w:iCs w:val="0"/>
          <w:color w:val="000000" w:themeColor="text1"/>
        </w:rPr>
        <w:t xml:space="preserve">Source: </w:t>
      </w:r>
      <w:r w:rsidRPr="00EB2675">
        <w:rPr>
          <w:rFonts w:ascii="Times New Roman" w:eastAsia="Calibri" w:hAnsi="Times New Roman"/>
          <w:i/>
          <w:iCs/>
          <w:color w:val="000000" w:themeColor="text1"/>
        </w:rPr>
        <w:t>Authors’ computation using STATA 17, 2025</w:t>
      </w:r>
      <w:r w:rsidRPr="00EB2675">
        <w:rPr>
          <w:rFonts w:ascii="Times New Roman" w:hAnsi="Times New Roman"/>
          <w:i/>
          <w:iCs/>
          <w:color w:val="000000" w:themeColor="text1"/>
        </w:rPr>
        <w:t>.</w:t>
      </w:r>
    </w:p>
    <w:p w14:paraId="1F06221B" w14:textId="77777777" w:rsidR="00B70BB0" w:rsidRPr="00EB2675" w:rsidRDefault="00B70BB0">
      <w:pPr>
        <w:jc w:val="both"/>
        <w:rPr>
          <w:rFonts w:ascii="Times New Roman" w:hAnsi="Times New Roman"/>
          <w:color w:val="000000" w:themeColor="text1"/>
        </w:rPr>
      </w:pPr>
    </w:p>
    <w:p w14:paraId="495733A9"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null hypothesis of the test is that the difference in coefficients </w:t>
      </w:r>
      <w:r w:rsidRPr="00EB2675">
        <w:rPr>
          <w:rFonts w:ascii="Times New Roman" w:hAnsi="Times New Roman"/>
        </w:rPr>
        <w:t>between the fixed effects (FE) and random effects (RE) models is not systematic, implying that the RE estimator is consistent and efficient. The reported Chi-square statistic is 4.07 with three degrees of freedom, yielding a p-value of 0.2545. Since this p</w:t>
      </w:r>
      <w:r w:rsidRPr="00EB2675">
        <w:rPr>
          <w:rFonts w:ascii="Times New Roman" w:hAnsi="Times New Roman"/>
        </w:rPr>
        <w:t>robability exceeds the conventional 5% significance level, the null hypothesis cannot be rejected.</w:t>
      </w:r>
    </w:p>
    <w:p w14:paraId="3165A9A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This result suggests that the random effects estimator is more appropriate than the fixed effects alternative for the model under examination. Practically, t</w:t>
      </w:r>
      <w:r w:rsidRPr="00EB2675">
        <w:rPr>
          <w:rFonts w:ascii="Times New Roman" w:hAnsi="Times New Roman"/>
        </w:rPr>
        <w:t>his indicates that unobserved heterogeneity across firms in the sample is not significantly correlated with the explanatory variables. As such, the RE model provides consistent estimates while also preserving efficiency by allowing both within- and between</w:t>
      </w:r>
      <w:r w:rsidRPr="00EB2675">
        <w:rPr>
          <w:rFonts w:ascii="Times New Roman" w:hAnsi="Times New Roman"/>
        </w:rPr>
        <w:t>-entity variation to be exploited. In the context of audit quality research, this finding strengthens the argument that firm-specific, time-invariant characteristics (e.g., ownership structure, regulatory environment, or reporting culture) do not materiall</w:t>
      </w:r>
      <w:r w:rsidRPr="00EB2675">
        <w:rPr>
          <w:rFonts w:ascii="Times New Roman" w:hAnsi="Times New Roman"/>
        </w:rPr>
        <w:t>y bias the estimated relationships between audit firm independence, audit fees, audit partner rotation, and audit quality.</w:t>
      </w:r>
    </w:p>
    <w:p w14:paraId="242AE5B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Hausman outcome carries both methodological and substantive implications. Methodologically, it validates the selection of the RE </w:t>
      </w:r>
      <w:r w:rsidRPr="00EB2675">
        <w:rPr>
          <w:rFonts w:ascii="Times New Roman" w:hAnsi="Times New Roman"/>
        </w:rPr>
        <w:t>estimator, ensuring that the study’s inference is not undermined by endogeneity concerns arising from omitted, time-invariant firm effects. Substantively, it implies that variations in audit quality can credibly be attributed to differences in audit firm a</w:t>
      </w:r>
      <w:r w:rsidRPr="00EB2675">
        <w:rPr>
          <w:rFonts w:ascii="Times New Roman" w:hAnsi="Times New Roman"/>
        </w:rPr>
        <w:t xml:space="preserve">ttributes and governance mechanisms rather than unobserved, idiosyncratic firm traits. This enhances the </w:t>
      </w:r>
      <w:proofErr w:type="spellStart"/>
      <w:r w:rsidRPr="00EB2675">
        <w:rPr>
          <w:rFonts w:ascii="Times New Roman" w:hAnsi="Times New Roman"/>
        </w:rPr>
        <w:t>generalisability</w:t>
      </w:r>
      <w:proofErr w:type="spellEnd"/>
      <w:r w:rsidRPr="00EB2675">
        <w:rPr>
          <w:rFonts w:ascii="Times New Roman" w:hAnsi="Times New Roman"/>
        </w:rPr>
        <w:t xml:space="preserve"> of the results, thereby making the findings more robust for policymaking and professional application across diverse institutional set</w:t>
      </w:r>
      <w:r w:rsidRPr="00EB2675">
        <w:rPr>
          <w:rFonts w:ascii="Times New Roman" w:hAnsi="Times New Roman"/>
        </w:rPr>
        <w:t>tings.</w:t>
      </w:r>
    </w:p>
    <w:p w14:paraId="1CBB0967" w14:textId="77777777" w:rsidR="00B70BB0" w:rsidRPr="00EB2675" w:rsidRDefault="00B70BB0">
      <w:pPr>
        <w:spacing w:after="160" w:line="259" w:lineRule="auto"/>
        <w:jc w:val="both"/>
        <w:rPr>
          <w:rFonts w:ascii="Times New Roman" w:hAnsi="Times New Roman"/>
        </w:rPr>
      </w:pPr>
    </w:p>
    <w:p w14:paraId="4E64742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Hausman result also aligns with broader global governance and sustainability objectives.</w:t>
      </w:r>
    </w:p>
    <w:p w14:paraId="7EC9F8A6" w14:textId="77777777" w:rsidR="00B70BB0" w:rsidRPr="00EB2675" w:rsidRDefault="00C76947">
      <w:pPr>
        <w:jc w:val="both"/>
        <w:rPr>
          <w:rFonts w:ascii="Times New Roman" w:hAnsi="Times New Roman"/>
        </w:rPr>
      </w:pPr>
      <w:r w:rsidRPr="00EB2675">
        <w:rPr>
          <w:rFonts w:ascii="Times New Roman" w:hAnsi="Times New Roman"/>
        </w:rPr>
        <w:t>Firstly, SDG 16 (Peace, Justice, and Strong Institutions): By demonstrating that the RE model is statistically justified, the study reinforces confidence i</w:t>
      </w:r>
      <w:r w:rsidRPr="00EB2675">
        <w:rPr>
          <w:rFonts w:ascii="Times New Roman" w:hAnsi="Times New Roman"/>
        </w:rPr>
        <w:t>n the reliability of econometric evidence on audit quality. Strong, unbiased econometric foundations underpin credible insights into audit governance, which in turn support the design of effective regulatory and institutional frameworks for transparency an</w:t>
      </w:r>
      <w:r w:rsidRPr="00EB2675">
        <w:rPr>
          <w:rFonts w:ascii="Times New Roman" w:hAnsi="Times New Roman"/>
        </w:rPr>
        <w:t>d accountability.</w:t>
      </w:r>
    </w:p>
    <w:p w14:paraId="255506BF" w14:textId="77777777" w:rsidR="00B70BB0" w:rsidRPr="00EB2675" w:rsidRDefault="00C76947">
      <w:pPr>
        <w:jc w:val="both"/>
        <w:rPr>
          <w:rFonts w:ascii="Times New Roman" w:hAnsi="Times New Roman"/>
        </w:rPr>
      </w:pPr>
      <w:r w:rsidRPr="00EB2675">
        <w:rPr>
          <w:rFonts w:ascii="Times New Roman" w:hAnsi="Times New Roman"/>
        </w:rPr>
        <w:t>Secondly, SDG 8 (Decent Work and Economic Growth): Efficient econometric modelling ensures that empirical findings about the audit market’s functioning are robust. This contributes to stable and transparent financial systems that safeguar</w:t>
      </w:r>
      <w:r w:rsidRPr="00EB2675">
        <w:rPr>
          <w:rFonts w:ascii="Times New Roman" w:hAnsi="Times New Roman"/>
        </w:rPr>
        <w:t>d investors, promote capital market efficiency, and stimulate sustainable economic growth.</w:t>
      </w:r>
    </w:p>
    <w:p w14:paraId="49F08C6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lastRenderedPageBreak/>
        <w:t>Thirdly, SDG 12 (Responsible Consumption and Production): By ensuring that the determinants of audit quality are modelled without bias, the Hausman result indirectly</w:t>
      </w:r>
      <w:r w:rsidRPr="00EB2675">
        <w:rPr>
          <w:rFonts w:ascii="Times New Roman" w:hAnsi="Times New Roman"/>
        </w:rPr>
        <w:t xml:space="preserve"> supports responsible corporate reporting. Reliable research outcomes can guide firms and regulators in embedding audit practices that </w:t>
      </w:r>
      <w:proofErr w:type="spellStart"/>
      <w:r w:rsidRPr="00EB2675">
        <w:rPr>
          <w:rFonts w:ascii="Times New Roman" w:hAnsi="Times New Roman"/>
        </w:rPr>
        <w:t>minimise</w:t>
      </w:r>
      <w:proofErr w:type="spellEnd"/>
      <w:r w:rsidRPr="00EB2675">
        <w:rPr>
          <w:rFonts w:ascii="Times New Roman" w:hAnsi="Times New Roman"/>
        </w:rPr>
        <w:t xml:space="preserve"> misrepresentation, thus aligning corporate disclosure with sustainable consumption and production patterns.</w:t>
      </w:r>
    </w:p>
    <w:p w14:paraId="2C471C0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w:t>
      </w:r>
      <w:r w:rsidRPr="00EB2675">
        <w:rPr>
          <w:rFonts w:ascii="Times New Roman" w:hAnsi="Times New Roman"/>
        </w:rPr>
        <w:t>summary, the Hausman test result (χ² = 4.07, p = 0.2545) validates the use of the random effects model in this study, thereby ensuring efficiency and reliability of the estimated parameters. Beyond econometric appropriateness, this finding contributes to a</w:t>
      </w:r>
      <w:r w:rsidRPr="00EB2675">
        <w:rPr>
          <w:rFonts w:ascii="Times New Roman" w:hAnsi="Times New Roman"/>
        </w:rPr>
        <w:t>dvancing institutional accountability, transparency, and sustainable governance practices. The result thus not only underpins the technical robustness of the study but also resonates with global calls for responsible audit governance in line with the Unite</w:t>
      </w:r>
      <w:r w:rsidRPr="00EB2675">
        <w:rPr>
          <w:rFonts w:ascii="Times New Roman" w:hAnsi="Times New Roman"/>
        </w:rPr>
        <w:t>d Nations Sustainable Development Goals.</w:t>
      </w:r>
    </w:p>
    <w:p w14:paraId="3F0B968E" w14:textId="77777777" w:rsidR="00B70BB0" w:rsidRPr="00EB2675" w:rsidRDefault="00B70BB0">
      <w:pPr>
        <w:spacing w:after="160" w:line="259" w:lineRule="auto"/>
        <w:jc w:val="both"/>
        <w:rPr>
          <w:rFonts w:ascii="Times New Roman" w:hAnsi="Times New Roman"/>
        </w:rPr>
      </w:pPr>
    </w:p>
    <w:p w14:paraId="3A9BA725" w14:textId="77777777" w:rsidR="00B70BB0" w:rsidRPr="00EB2675" w:rsidRDefault="00C76947">
      <w:pPr>
        <w:pStyle w:val="Heading2"/>
        <w:rPr>
          <w:rFonts w:ascii="Times New Roman" w:hAnsi="Times New Roman" w:cs="Times New Roman"/>
          <w:b/>
          <w:bCs/>
          <w:color w:val="auto"/>
          <w:sz w:val="24"/>
          <w:szCs w:val="24"/>
        </w:rPr>
      </w:pPr>
      <w:r w:rsidRPr="00EB2675">
        <w:rPr>
          <w:rFonts w:ascii="Times New Roman" w:hAnsi="Times New Roman" w:cs="Times New Roman"/>
          <w:b/>
          <w:bCs/>
          <w:color w:val="auto"/>
          <w:sz w:val="24"/>
          <w:szCs w:val="24"/>
        </w:rPr>
        <w:t xml:space="preserve">4.6 </w:t>
      </w:r>
      <w:proofErr w:type="spellStart"/>
      <w:r w:rsidRPr="00EB2675">
        <w:rPr>
          <w:rFonts w:ascii="Times New Roman" w:hAnsi="Times New Roman" w:cs="Times New Roman"/>
          <w:b/>
          <w:bCs/>
          <w:color w:val="auto"/>
          <w:sz w:val="24"/>
          <w:szCs w:val="24"/>
        </w:rPr>
        <w:t>Breush</w:t>
      </w:r>
      <w:proofErr w:type="spellEnd"/>
      <w:r w:rsidRPr="00EB2675">
        <w:rPr>
          <w:rFonts w:ascii="Times New Roman" w:hAnsi="Times New Roman" w:cs="Times New Roman"/>
          <w:b/>
          <w:bCs/>
          <w:color w:val="auto"/>
          <w:sz w:val="24"/>
          <w:szCs w:val="24"/>
        </w:rPr>
        <w:t xml:space="preserve"> and Pagan </w:t>
      </w:r>
      <w:proofErr w:type="spellStart"/>
      <w:r w:rsidRPr="00EB2675">
        <w:rPr>
          <w:rFonts w:ascii="Times New Roman" w:hAnsi="Times New Roman" w:cs="Times New Roman"/>
          <w:b/>
          <w:bCs/>
          <w:color w:val="auto"/>
          <w:sz w:val="24"/>
          <w:szCs w:val="24"/>
        </w:rPr>
        <w:t>Lagrangian</w:t>
      </w:r>
      <w:proofErr w:type="spellEnd"/>
      <w:r w:rsidRPr="00EB2675">
        <w:rPr>
          <w:rFonts w:ascii="Times New Roman" w:hAnsi="Times New Roman" w:cs="Times New Roman"/>
          <w:b/>
          <w:bCs/>
          <w:color w:val="auto"/>
          <w:sz w:val="24"/>
          <w:szCs w:val="24"/>
        </w:rPr>
        <w:t xml:space="preserve"> Multiplier Test for Random Effects</w:t>
      </w:r>
    </w:p>
    <w:p w14:paraId="0067FCF4" w14:textId="77777777" w:rsidR="00B70BB0" w:rsidRPr="00EB2675" w:rsidRDefault="00B70BB0">
      <w:pPr>
        <w:jc w:val="both"/>
        <w:rPr>
          <w:rFonts w:ascii="Times New Roman" w:hAnsi="Times New Roman"/>
        </w:rPr>
      </w:pPr>
    </w:p>
    <w:p w14:paraId="305FCD32" w14:textId="77777777" w:rsidR="00B70BB0" w:rsidRPr="00EB2675" w:rsidRDefault="00C76947">
      <w:pPr>
        <w:jc w:val="both"/>
        <w:rPr>
          <w:rFonts w:ascii="Times New Roman" w:hAnsi="Times New Roman"/>
          <w:color w:val="000000" w:themeColor="text1"/>
        </w:rPr>
      </w:pPr>
      <w:r w:rsidRPr="00EB2675">
        <w:rPr>
          <w:rFonts w:ascii="Times New Roman" w:hAnsi="Times New Roman"/>
        </w:rPr>
        <w:t xml:space="preserve">The Breusch–Pagan </w:t>
      </w:r>
      <w:proofErr w:type="spellStart"/>
      <w:r w:rsidRPr="00EB2675">
        <w:rPr>
          <w:rFonts w:ascii="Times New Roman" w:hAnsi="Times New Roman"/>
        </w:rPr>
        <w:t>Lagrangian</w:t>
      </w:r>
      <w:proofErr w:type="spellEnd"/>
      <w:r w:rsidRPr="00EB2675">
        <w:rPr>
          <w:rFonts w:ascii="Times New Roman" w:hAnsi="Times New Roman"/>
        </w:rPr>
        <w:t xml:space="preserve"> Multiplier (LM) test for random effects was conducted to determine the appropriateness of applying a panel model rather than a pooled Ordinary Least Squares (OLS) regression. The null hypothesis of the test assumes that the variance across entities, repre</w:t>
      </w:r>
      <w:r w:rsidRPr="00EB2675">
        <w:rPr>
          <w:rFonts w:ascii="Times New Roman" w:hAnsi="Times New Roman"/>
        </w:rPr>
        <w:t>sented by Var(u), is zero, implying no significant panel effect.</w:t>
      </w:r>
    </w:p>
    <w:p w14:paraId="664FC59D" w14:textId="13967ABE"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6: </w:t>
      </w:r>
      <w:proofErr w:type="spellStart"/>
      <w:r w:rsidRPr="00EB2675">
        <w:rPr>
          <w:rFonts w:ascii="Times New Roman" w:hAnsi="Times New Roman"/>
          <w:b w:val="0"/>
          <w:bCs w:val="0"/>
          <w:color w:val="auto"/>
          <w:sz w:val="24"/>
          <w:szCs w:val="24"/>
        </w:rPr>
        <w:t>Breush</w:t>
      </w:r>
      <w:proofErr w:type="spellEnd"/>
      <w:r w:rsidRPr="00EB2675">
        <w:rPr>
          <w:rFonts w:ascii="Times New Roman" w:hAnsi="Times New Roman"/>
          <w:b w:val="0"/>
          <w:bCs w:val="0"/>
          <w:color w:val="auto"/>
          <w:sz w:val="24"/>
          <w:szCs w:val="24"/>
        </w:rPr>
        <w:t xml:space="preserve"> and Pagan </w:t>
      </w:r>
      <w:proofErr w:type="spellStart"/>
      <w:r w:rsidRPr="00EB2675">
        <w:rPr>
          <w:rFonts w:ascii="Times New Roman" w:hAnsi="Times New Roman"/>
          <w:b w:val="0"/>
          <w:bCs w:val="0"/>
          <w:color w:val="auto"/>
          <w:sz w:val="24"/>
          <w:szCs w:val="24"/>
        </w:rPr>
        <w:t>Lagrangian</w:t>
      </w:r>
      <w:proofErr w:type="spellEnd"/>
      <w:r w:rsidRPr="00EB2675">
        <w:rPr>
          <w:rFonts w:ascii="Times New Roman" w:hAnsi="Times New Roman"/>
          <w:b w:val="0"/>
          <w:bCs w:val="0"/>
          <w:color w:val="auto"/>
          <w:sz w:val="24"/>
          <w:szCs w:val="24"/>
        </w:rPr>
        <w:t xml:space="preserve"> Multiplier Test for Random Effects Result</w:t>
      </w:r>
    </w:p>
    <w:tbl>
      <w:tblPr>
        <w:tblStyle w:val="LightShading"/>
        <w:tblW w:w="0" w:type="auto"/>
        <w:tblLook w:val="04A0" w:firstRow="1" w:lastRow="0" w:firstColumn="1" w:lastColumn="0" w:noHBand="0" w:noVBand="1"/>
      </w:tblPr>
      <w:tblGrid>
        <w:gridCol w:w="3698"/>
      </w:tblGrid>
      <w:tr w:rsidR="00B70BB0" w:rsidRPr="00EB2675" w14:paraId="14E56B73"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5D0715"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                     Var       SD= sqrt (Var)</w:t>
            </w:r>
          </w:p>
        </w:tc>
      </w:tr>
      <w:tr w:rsidR="00B70BB0" w:rsidRPr="00EB2675" w14:paraId="656C54F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4057E4CF" w14:textId="77777777" w:rsidR="00B70BB0" w:rsidRPr="00EB2675" w:rsidRDefault="00C76947">
            <w:pPr>
              <w:jc w:val="both"/>
              <w:rPr>
                <w:rFonts w:ascii="Times New Roman" w:hAnsi="Times New Roman"/>
                <w:bCs w:val="0"/>
                <w:color w:val="000000" w:themeColor="text1"/>
              </w:rPr>
            </w:pPr>
            <w:proofErr w:type="spellStart"/>
            <w:r w:rsidRPr="00EB2675">
              <w:rPr>
                <w:rFonts w:ascii="Times New Roman" w:hAnsi="Times New Roman"/>
                <w:b w:val="0"/>
                <w:color w:val="000000" w:themeColor="text1"/>
              </w:rPr>
              <w:t>Acq</w:t>
            </w:r>
            <w:proofErr w:type="spellEnd"/>
            <w:r w:rsidRPr="00EB2675">
              <w:rPr>
                <w:rFonts w:ascii="Times New Roman" w:hAnsi="Times New Roman"/>
                <w:b w:val="0"/>
                <w:color w:val="000000" w:themeColor="text1"/>
              </w:rPr>
              <w:t xml:space="preserve">             2.5033     1.5822</w:t>
            </w:r>
          </w:p>
          <w:p w14:paraId="06F19E5D"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e                 1.1922      1</w:t>
            </w:r>
            <w:r w:rsidRPr="00EB2675">
              <w:rPr>
                <w:rFonts w:ascii="Times New Roman" w:hAnsi="Times New Roman"/>
                <w:b w:val="0"/>
                <w:color w:val="000000" w:themeColor="text1"/>
              </w:rPr>
              <w:t>.0919</w:t>
            </w:r>
          </w:p>
          <w:p w14:paraId="7E54FBFF"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u                 1.2538      1.1197</w:t>
            </w:r>
          </w:p>
          <w:p w14:paraId="1D5457E8" w14:textId="77777777" w:rsidR="00B70BB0" w:rsidRPr="00EB2675" w:rsidRDefault="00C76947">
            <w:pPr>
              <w:tabs>
                <w:tab w:val="left" w:pos="1250"/>
              </w:tabs>
              <w:jc w:val="both"/>
              <w:rPr>
                <w:rFonts w:ascii="Times New Roman" w:hAnsi="Times New Roman"/>
                <w:b w:val="0"/>
                <w:color w:val="000000" w:themeColor="text1"/>
              </w:rPr>
            </w:pPr>
            <w:r w:rsidRPr="00EB2675">
              <w:rPr>
                <w:rFonts w:ascii="Times New Roman" w:hAnsi="Times New Roman"/>
                <w:b w:val="0"/>
                <w:color w:val="000000" w:themeColor="text1"/>
              </w:rPr>
              <w:t>Test: Var(u)= 0</w:t>
            </w:r>
          </w:p>
          <w:p w14:paraId="47BD12E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Chibar2</w:t>
            </w:r>
            <w:r w:rsidRPr="00EB2675">
              <w:rPr>
                <w:rFonts w:ascii="Times New Roman" w:hAnsi="Times New Roman"/>
                <w:bCs w:val="0"/>
                <w:color w:val="000000" w:themeColor="text1"/>
                <w:vertAlign w:val="superscript"/>
              </w:rPr>
              <w:t xml:space="preserve"> </w:t>
            </w:r>
            <w:r w:rsidRPr="00EB2675">
              <w:rPr>
                <w:rFonts w:ascii="Times New Roman" w:hAnsi="Times New Roman"/>
                <w:bCs w:val="0"/>
                <w:color w:val="000000" w:themeColor="text1"/>
              </w:rPr>
              <w:t>(01)      = 723.47</w:t>
            </w:r>
          </w:p>
          <w:p w14:paraId="3B8B2DE4"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chibar2 = 0.0000</w:t>
            </w:r>
          </w:p>
        </w:tc>
      </w:tr>
    </w:tbl>
    <w:p w14:paraId="0804C9CC" w14:textId="77777777" w:rsidR="00B70BB0" w:rsidRPr="003E23C2" w:rsidRDefault="00C76947" w:rsidP="003E23C2">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EB2675">
        <w:rPr>
          <w:rFonts w:ascii="Times New Roman" w:eastAsia="Calibri" w:hAnsi="Times New Roman"/>
          <w:color w:val="000000" w:themeColor="text1"/>
        </w:rPr>
        <w:t>Authors’ computation using STATA 17, 2025</w:t>
      </w:r>
      <w:r w:rsidRPr="00EB2675">
        <w:rPr>
          <w:rFonts w:ascii="Times New Roman" w:hAnsi="Times New Roman"/>
          <w:color w:val="000000" w:themeColor="text1"/>
        </w:rPr>
        <w:t>.</w:t>
      </w:r>
    </w:p>
    <w:p w14:paraId="3ABE5BD2" w14:textId="0EEF85B2"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As presented in Table.6 above, the test yielded a chi-bar-squared statistic of 723.47 with a </w:t>
      </w:r>
      <w:r w:rsidRPr="00EB2675">
        <w:rPr>
          <w:rFonts w:ascii="Times New Roman" w:hAnsi="Times New Roman"/>
        </w:rPr>
        <w:t xml:space="preserve">probability value of 0.0000. This result strongly rejects the null hypothesis at the 1% level of significance, thereby confirming that the variance across firms is not zero. Consequently, the pooled OLS model is inappropriate, and the random effects model </w:t>
      </w:r>
      <w:r w:rsidRPr="00EB2675">
        <w:rPr>
          <w:rFonts w:ascii="Times New Roman" w:hAnsi="Times New Roman"/>
        </w:rPr>
        <w:t>becomes statistically justified as it accounts for the significant unobserved heterogeneity that exists across firms.</w:t>
      </w:r>
    </w:p>
    <w:p w14:paraId="33D5506C" w14:textId="15E8B9C2" w:rsidR="00B70BB0" w:rsidRPr="00EB2675" w:rsidRDefault="00C76947">
      <w:pPr>
        <w:spacing w:after="160" w:line="259" w:lineRule="auto"/>
        <w:jc w:val="both"/>
        <w:rPr>
          <w:rFonts w:ascii="Times New Roman" w:hAnsi="Times New Roman"/>
        </w:rPr>
      </w:pPr>
      <w:r w:rsidRPr="00EB2675">
        <w:rPr>
          <w:rFonts w:ascii="Times New Roman" w:hAnsi="Times New Roman"/>
        </w:rPr>
        <w:t>The variance components Var(u) = 1.2538 and Var(e) = 1.1922 suggest that there is a substantial degree of firm-specific (between-entity) v</w:t>
      </w:r>
      <w:r w:rsidRPr="00EB2675">
        <w:rPr>
          <w:rFonts w:ascii="Times New Roman" w:hAnsi="Times New Roman"/>
        </w:rPr>
        <w:t xml:space="preserve">ariation relative to the idiosyncratic (within-entity) error term. Although the intra-class correlation coefficient (ρ) is not reported directly in Table.6, it was computed from the variance components (Var(u) = 1.2538; Var(e) = 1.1922). The resulting ρ ≈ </w:t>
      </w:r>
      <w:r w:rsidRPr="00EB2675">
        <w:rPr>
          <w:rFonts w:ascii="Times New Roman" w:hAnsi="Times New Roman"/>
        </w:rPr>
        <w:t>0.513 indicates that approximately 51.3% of the total residual variance in audit quality (ACQ)</w:t>
      </w:r>
    </w:p>
    <w:p w14:paraId="197AFD81"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can be attributed to persistent firm-level factors that do not change over time. This finding provides clear empirical evidence that unobserved firm-specific cha</w:t>
      </w:r>
      <w:r w:rsidRPr="00EB2675">
        <w:rPr>
          <w:rFonts w:ascii="Times New Roman" w:hAnsi="Times New Roman"/>
        </w:rPr>
        <w:t xml:space="preserve">racteristics such as corporate governance structure, audit committee culture, financial control mechanisms, and </w:t>
      </w:r>
      <w:proofErr w:type="spellStart"/>
      <w:r w:rsidRPr="00EB2675">
        <w:rPr>
          <w:rFonts w:ascii="Times New Roman" w:hAnsi="Times New Roman"/>
        </w:rPr>
        <w:t>organisational</w:t>
      </w:r>
      <w:proofErr w:type="spellEnd"/>
      <w:r w:rsidRPr="00EB2675">
        <w:rPr>
          <w:rFonts w:ascii="Times New Roman" w:hAnsi="Times New Roman"/>
        </w:rPr>
        <w:t xml:space="preserve"> </w:t>
      </w:r>
      <w:r w:rsidRPr="00EB2675">
        <w:rPr>
          <w:rFonts w:ascii="Times New Roman" w:hAnsi="Times New Roman"/>
        </w:rPr>
        <w:lastRenderedPageBreak/>
        <w:t>ethics exert a long-term influence on audit quality. Hence, the use of a random effects model is both statistically and conceptua</w:t>
      </w:r>
      <w:r w:rsidRPr="00EB2675">
        <w:rPr>
          <w:rFonts w:ascii="Times New Roman" w:hAnsi="Times New Roman"/>
        </w:rPr>
        <w:t>lly appropriate, as it efficiently captures the composite effects of these unobserved but relevant firm attributes.</w:t>
      </w:r>
    </w:p>
    <w:p w14:paraId="1E5BEF2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From an econometric standpoint, the significance of the LM statistic demonstrates that neglecting these unobserved firm-level effects throug</w:t>
      </w:r>
      <w:r w:rsidRPr="00EB2675">
        <w:rPr>
          <w:rFonts w:ascii="Times New Roman" w:hAnsi="Times New Roman"/>
        </w:rPr>
        <w:t>h a pooled OLS estimation would lead to biased and inefficient estimates. The random effects model, in contrast, assumes that these unobserved firm-specific effects are random and uncorrelated with the explanatory variables, allowing both within-firm and b</w:t>
      </w:r>
      <w:r w:rsidRPr="00EB2675">
        <w:rPr>
          <w:rFonts w:ascii="Times New Roman" w:hAnsi="Times New Roman"/>
        </w:rPr>
        <w:t>etween-firm variations to be exploited for estimation efficiency. Nevertheless, the final choice between random and fixed effects models is further guided by the Hausman specification test, which assesses whether the random effects estimator is consistent.</w:t>
      </w:r>
      <w:r w:rsidRPr="00EB2675">
        <w:rPr>
          <w:rFonts w:ascii="Times New Roman" w:hAnsi="Times New Roman"/>
        </w:rPr>
        <w:t xml:space="preserve"> In this study, the large and significant LM statistic thus provides the necessary econometric foundation for proceeding with a panel estimation approach rather than cross-sectional or pooled methods, thereby improving the robustness and validity of the re</w:t>
      </w:r>
      <w:r w:rsidRPr="00EB2675">
        <w:rPr>
          <w:rFonts w:ascii="Times New Roman" w:hAnsi="Times New Roman"/>
        </w:rPr>
        <w:t>sults.</w:t>
      </w:r>
    </w:p>
    <w:p w14:paraId="47F30C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Conceptually, the high between-firm variance uncovered by the LM test underscores the enduring influence of firm-specific governance mechanisms on audit quality outcomes. This aligns with theoretical expectations that </w:t>
      </w:r>
      <w:proofErr w:type="spellStart"/>
      <w:r w:rsidRPr="00EB2675">
        <w:rPr>
          <w:rFonts w:ascii="Times New Roman" w:hAnsi="Times New Roman"/>
        </w:rPr>
        <w:t>organisational</w:t>
      </w:r>
      <w:proofErr w:type="spellEnd"/>
      <w:r w:rsidRPr="00EB2675">
        <w:rPr>
          <w:rFonts w:ascii="Times New Roman" w:hAnsi="Times New Roman"/>
        </w:rPr>
        <w:t xml:space="preserve"> culture, leaders</w:t>
      </w:r>
      <w:r w:rsidRPr="00EB2675">
        <w:rPr>
          <w:rFonts w:ascii="Times New Roman" w:hAnsi="Times New Roman"/>
        </w:rPr>
        <w:t>hip ethics, and audit committee independence collectively shape the quality of financial reporting practices over time. The result also suggests that regulatory and policy interventions targeting institutional and governance reforms can have persistent imp</w:t>
      </w:r>
      <w:r w:rsidRPr="00EB2675">
        <w:rPr>
          <w:rFonts w:ascii="Times New Roman" w:hAnsi="Times New Roman"/>
        </w:rPr>
        <w:t>acts on audit quality enhancement across firms, as these structural factors are deeply embedded within corporate frameworks.</w:t>
      </w:r>
    </w:p>
    <w:p w14:paraId="5221465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Linking this result to the United Nations Sustainable Development Goals (SDGs), the LM result offers important implications for sus</w:t>
      </w:r>
      <w:r w:rsidRPr="00EB2675">
        <w:rPr>
          <w:rFonts w:ascii="Times New Roman" w:hAnsi="Times New Roman"/>
        </w:rPr>
        <w:t>tainable governance and financial accountability. Specifically, it reinforces SDG 16 (Peace, Justice and Strong Institutions) by demonstrating that firm-level governance structures and institutional transparency significantly explain variations in audit qu</w:t>
      </w:r>
      <w:r w:rsidRPr="00EB2675">
        <w:rPr>
          <w:rFonts w:ascii="Times New Roman" w:hAnsi="Times New Roman"/>
        </w:rPr>
        <w:t xml:space="preserve">ality. </w:t>
      </w:r>
      <w:proofErr w:type="spellStart"/>
      <w:r w:rsidRPr="00EB2675">
        <w:rPr>
          <w:rFonts w:ascii="Times New Roman" w:hAnsi="Times New Roman"/>
        </w:rPr>
        <w:t>Recognising</w:t>
      </w:r>
      <w:proofErr w:type="spellEnd"/>
      <w:r w:rsidRPr="00EB2675">
        <w:rPr>
          <w:rFonts w:ascii="Times New Roman" w:hAnsi="Times New Roman"/>
        </w:rPr>
        <w:t xml:space="preserve"> and modelling these differences statistically contributes to building stronger institutions through evidence-based audit reforms and governance strengthening. Moreover, by establishing a robust econometric basis for panel analysis, the s</w:t>
      </w:r>
      <w:r w:rsidRPr="00EB2675">
        <w:rPr>
          <w:rFonts w:ascii="Times New Roman" w:hAnsi="Times New Roman"/>
        </w:rPr>
        <w:t>tudy enhances the credibility and transparency of empirical insights an essential requirement for advancing institutional integrity and stakeholder trust in financial reporting.</w:t>
      </w:r>
    </w:p>
    <w:p w14:paraId="6194D46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Furthermore, this result advances SDG 8 (Decent Work and Economic Growth) and </w:t>
      </w:r>
      <w:r w:rsidRPr="00EB2675">
        <w:rPr>
          <w:rFonts w:ascii="Times New Roman" w:hAnsi="Times New Roman"/>
        </w:rPr>
        <w:t xml:space="preserve">SDG 12 (Responsible Consumption and Production) by promoting reliable audit quality research that safeguards investor confidence and ensures the responsible production of financial information. By capturing persistent firm-level </w:t>
      </w:r>
      <w:proofErr w:type="spellStart"/>
      <w:r w:rsidRPr="00EB2675">
        <w:rPr>
          <w:rFonts w:ascii="Times New Roman" w:hAnsi="Times New Roman"/>
        </w:rPr>
        <w:t>behaviours</w:t>
      </w:r>
      <w:proofErr w:type="spellEnd"/>
      <w:r w:rsidRPr="00EB2675">
        <w:rPr>
          <w:rFonts w:ascii="Times New Roman" w:hAnsi="Times New Roman"/>
        </w:rPr>
        <w:t xml:space="preserve"> and accounting f</w:t>
      </w:r>
      <w:r w:rsidRPr="00EB2675">
        <w:rPr>
          <w:rFonts w:ascii="Times New Roman" w:hAnsi="Times New Roman"/>
        </w:rPr>
        <w:t>or their impact on audit outcomes, the analysis discourages opportunistic financial reporting and fosters sustainable economic growth through improved capital market efficiency. Additionally, in the broader context of SDG 9 (Industry, Innovation, and Infra</w:t>
      </w:r>
      <w:r w:rsidRPr="00EB2675">
        <w:rPr>
          <w:rFonts w:ascii="Times New Roman" w:hAnsi="Times New Roman"/>
        </w:rPr>
        <w:t xml:space="preserve">structure), the methodological </w:t>
      </w:r>
      <w:proofErr w:type="spellStart"/>
      <w:r w:rsidRPr="00EB2675">
        <w:rPr>
          <w:rFonts w:ascii="Times New Roman" w:hAnsi="Times New Roman"/>
        </w:rPr>
        <w:t>rigour</w:t>
      </w:r>
      <w:proofErr w:type="spellEnd"/>
      <w:r w:rsidRPr="00EB2675">
        <w:rPr>
          <w:rFonts w:ascii="Times New Roman" w:hAnsi="Times New Roman"/>
        </w:rPr>
        <w:t xml:space="preserve"> established through this LM test supports innovation in data analytics and audit technology infrastructures, strengthening both research and policy-oriented decision-making.</w:t>
      </w:r>
    </w:p>
    <w:p w14:paraId="25A5F2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summary, the Breusch Pagan </w:t>
      </w:r>
      <w:proofErr w:type="spellStart"/>
      <w:r w:rsidRPr="00EB2675">
        <w:rPr>
          <w:rFonts w:ascii="Times New Roman" w:hAnsi="Times New Roman"/>
        </w:rPr>
        <w:t>Lagrangian</w:t>
      </w:r>
      <w:proofErr w:type="spellEnd"/>
      <w:r w:rsidRPr="00EB2675">
        <w:rPr>
          <w:rFonts w:ascii="Times New Roman" w:hAnsi="Times New Roman"/>
        </w:rPr>
        <w:t xml:space="preserve"> Mul</w:t>
      </w:r>
      <w:r w:rsidRPr="00EB2675">
        <w:rPr>
          <w:rFonts w:ascii="Times New Roman" w:hAnsi="Times New Roman"/>
        </w:rPr>
        <w:t xml:space="preserve">tiplier test provided compelling statistical justification for the use of a random effects model in </w:t>
      </w:r>
      <w:proofErr w:type="spellStart"/>
      <w:r w:rsidRPr="00EB2675">
        <w:rPr>
          <w:rFonts w:ascii="Times New Roman" w:hAnsi="Times New Roman"/>
        </w:rPr>
        <w:t>analysing</w:t>
      </w:r>
      <w:proofErr w:type="spellEnd"/>
      <w:r w:rsidRPr="00EB2675">
        <w:rPr>
          <w:rFonts w:ascii="Times New Roman" w:hAnsi="Times New Roman"/>
        </w:rPr>
        <w:t xml:space="preserve"> audit quality determinants among </w:t>
      </w:r>
      <w:r w:rsidRPr="00EB2675">
        <w:rPr>
          <w:rFonts w:ascii="Times New Roman" w:hAnsi="Times New Roman"/>
        </w:rPr>
        <w:lastRenderedPageBreak/>
        <w:t>Nigerian non-service listed firms however heteroskedasticity test will make the ultimate choice on whether to the</w:t>
      </w:r>
      <w:r w:rsidRPr="00EB2675">
        <w:rPr>
          <w:rFonts w:ascii="Times New Roman" w:hAnsi="Times New Roman"/>
        </w:rPr>
        <w:t xml:space="preserve"> random effect model is more suitable or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Model will be suitable. </w:t>
      </w:r>
    </w:p>
    <w:p w14:paraId="6A42B242" w14:textId="77777777" w:rsidR="00B70BB0" w:rsidRPr="00EB2675" w:rsidRDefault="00B70BB0">
      <w:pPr>
        <w:jc w:val="both"/>
        <w:rPr>
          <w:rFonts w:ascii="Times New Roman" w:hAnsi="Times New Roman"/>
          <w:color w:val="000000" w:themeColor="text1"/>
        </w:rPr>
      </w:pPr>
    </w:p>
    <w:p w14:paraId="1BBD8544"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4.7 Heteroskedasticity Result Discussion</w:t>
      </w:r>
    </w:p>
    <w:p w14:paraId="50AE3BC6" w14:textId="1C2B14E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7 presents the heteroskedasticity test results, providing a thorough assessment of the homoscedasticity </w:t>
      </w:r>
      <w:r w:rsidRPr="00EB2675">
        <w:rPr>
          <w:rFonts w:ascii="Times New Roman" w:eastAsia="Calibri" w:hAnsi="Times New Roman"/>
          <w:b w:val="0"/>
          <w:color w:val="000000" w:themeColor="text1"/>
          <w:sz w:val="24"/>
          <w:szCs w:val="24"/>
        </w:rPr>
        <w:t>assumption within the regression model under review.</w:t>
      </w:r>
    </w:p>
    <w:p w14:paraId="4737EC01" w14:textId="3BCCC79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 7: Heteroskedasticity Test</w:t>
      </w:r>
    </w:p>
    <w:tbl>
      <w:tblPr>
        <w:tblStyle w:val="LightShading"/>
        <w:tblW w:w="0" w:type="auto"/>
        <w:tblLook w:val="04A0" w:firstRow="1" w:lastRow="0" w:firstColumn="1" w:lastColumn="0" w:noHBand="0" w:noVBand="1"/>
      </w:tblPr>
      <w:tblGrid>
        <w:gridCol w:w="8554"/>
      </w:tblGrid>
      <w:tr w:rsidR="00B70BB0" w:rsidRPr="00EB2675" w14:paraId="2245C758"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5AA5F"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Modified Wald test for groupwise heteroskedasticity in a fixed effect regression model</w:t>
            </w:r>
          </w:p>
        </w:tc>
      </w:tr>
      <w:tr w:rsidR="00B70BB0" w:rsidRPr="00EB2675" w14:paraId="7D072D6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69FD43B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Ho: sigma (</w:t>
            </w:r>
            <w:proofErr w:type="spellStart"/>
            <w:r w:rsidRPr="00EB2675">
              <w:rPr>
                <w:rFonts w:ascii="Times New Roman" w:hAnsi="Times New Roman"/>
                <w:bCs w:val="0"/>
                <w:color w:val="000000" w:themeColor="text1"/>
              </w:rPr>
              <w:t>i</w:t>
            </w:r>
            <w:proofErr w:type="spellEnd"/>
            <w:r w:rsidRPr="00EB2675">
              <w:rPr>
                <w:rFonts w:ascii="Times New Roman" w:hAnsi="Times New Roman"/>
                <w:bCs w:val="0"/>
                <w:color w:val="000000" w:themeColor="text1"/>
              </w:rPr>
              <w:t xml:space="preserve">) ^ 2= sigma^2 for all </w:t>
            </w:r>
            <w:proofErr w:type="spellStart"/>
            <w:r w:rsidRPr="00EB2675">
              <w:rPr>
                <w:rFonts w:ascii="Times New Roman" w:hAnsi="Times New Roman"/>
                <w:bCs w:val="0"/>
                <w:color w:val="000000" w:themeColor="text1"/>
              </w:rPr>
              <w:t>i</w:t>
            </w:r>
            <w:proofErr w:type="spellEnd"/>
          </w:p>
          <w:p w14:paraId="341BF85C"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(53)      = 2.1e+05</w:t>
            </w:r>
          </w:p>
          <w:p w14:paraId="3013A75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0.0000</w:t>
            </w:r>
          </w:p>
        </w:tc>
      </w:tr>
    </w:tbl>
    <w:p w14:paraId="17660491"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EB2675">
        <w:rPr>
          <w:rFonts w:ascii="Times New Roman" w:eastAsia="Calibri" w:hAnsi="Times New Roman"/>
          <w:color w:val="000000" w:themeColor="text1"/>
        </w:rPr>
        <w:t>Authors’ computation using STATA 17, 2025</w:t>
      </w:r>
      <w:r w:rsidRPr="00EB2675">
        <w:rPr>
          <w:rFonts w:ascii="Times New Roman" w:hAnsi="Times New Roman"/>
          <w:color w:val="000000" w:themeColor="text1"/>
        </w:rPr>
        <w:t>.</w:t>
      </w:r>
    </w:p>
    <w:p w14:paraId="3FC9E60C" w14:textId="77777777" w:rsidR="00B70BB0" w:rsidRPr="00EB2675" w:rsidRDefault="00B70BB0">
      <w:pPr>
        <w:rPr>
          <w:rFonts w:ascii="Times New Roman" w:eastAsia="Calibri" w:hAnsi="Times New Roman"/>
          <w:color w:val="000000" w:themeColor="text1"/>
        </w:rPr>
      </w:pPr>
    </w:p>
    <w:p w14:paraId="3F8B3D1D" w14:textId="3A10D89F"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Table.7 presents the results of the Modified Wald test for groupwise heteroskedasticity in a fixed-effects regression model. The test assesses whether the variance of the error terms is constant </w:t>
      </w:r>
      <w:r w:rsidRPr="00EB2675">
        <w:rPr>
          <w:rFonts w:ascii="Times New Roman" w:hAnsi="Times New Roman"/>
        </w:rPr>
        <w:t>(homoscedastic) across all cross-sectional units or whether it differs across firms (heteroskedastic). The null hypothesis ((H_0: \sigma_i^2 = \sigma^2) for all (</w:t>
      </w:r>
      <w:proofErr w:type="spellStart"/>
      <w:r w:rsidRPr="00EB2675">
        <w:rPr>
          <w:rFonts w:ascii="Times New Roman" w:hAnsi="Times New Roman"/>
        </w:rPr>
        <w:t>i</w:t>
      </w:r>
      <w:proofErr w:type="spellEnd"/>
      <w:r w:rsidRPr="00EB2675">
        <w:rPr>
          <w:rFonts w:ascii="Times New Roman" w:hAnsi="Times New Roman"/>
        </w:rPr>
        <w:t>)) states that the disturbances are homoscedastic, implying equal variance of residuals acros</w:t>
      </w:r>
      <w:r w:rsidRPr="00EB2675">
        <w:rPr>
          <w:rFonts w:ascii="Times New Roman" w:hAnsi="Times New Roman"/>
        </w:rPr>
        <w:t xml:space="preserve">s the sample. The test result yields a chi-square (χ²) statistic of 2.1 × 10⁵ with a p-value of 0.0000, which strongly rejects the null hypothesis at the 1% significance level. This provides clear statistical evidence of groupwise heteroskedasticity among </w:t>
      </w:r>
      <w:r w:rsidRPr="00EB2675">
        <w:rPr>
          <w:rFonts w:ascii="Times New Roman" w:hAnsi="Times New Roman"/>
        </w:rPr>
        <w:t>the firms in the sample, indicating that the variance of the residuals differs significantly across entities.</w:t>
      </w:r>
    </w:p>
    <w:p w14:paraId="5BB46AC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presence of heteroskedasticity suggests that the regression disturbances are not identically distributed across firms, meaning that some firms</w:t>
      </w:r>
      <w:r w:rsidRPr="00EB2675">
        <w:rPr>
          <w:rFonts w:ascii="Times New Roman" w:hAnsi="Times New Roman"/>
        </w:rPr>
        <w:t xml:space="preserve"> exhibit higher volatility in audit quality (ACQ) outcomes than others. This non-constant error variance often arises from structural differences in firm size, operational complexity, audit engagement scale, or governance practices. In the context of this </w:t>
      </w:r>
      <w:r w:rsidRPr="00EB2675">
        <w:rPr>
          <w:rFonts w:ascii="Times New Roman" w:hAnsi="Times New Roman"/>
        </w:rPr>
        <w:t xml:space="preserve">study, which examines audit firm attributes and audit quality with audit committee independence as a moderating variable, the presence of heteroskedasticity may reflect disparities in how different firms </w:t>
      </w:r>
      <w:proofErr w:type="spellStart"/>
      <w:r w:rsidRPr="00EB2675">
        <w:rPr>
          <w:rFonts w:ascii="Times New Roman" w:hAnsi="Times New Roman"/>
        </w:rPr>
        <w:t>internalise</w:t>
      </w:r>
      <w:proofErr w:type="spellEnd"/>
      <w:r w:rsidRPr="00EB2675">
        <w:rPr>
          <w:rFonts w:ascii="Times New Roman" w:hAnsi="Times New Roman"/>
        </w:rPr>
        <w:t xml:space="preserve"> and </w:t>
      </w:r>
      <w:proofErr w:type="spellStart"/>
      <w:r w:rsidRPr="00EB2675">
        <w:rPr>
          <w:rFonts w:ascii="Times New Roman" w:hAnsi="Times New Roman"/>
        </w:rPr>
        <w:t>operationalise</w:t>
      </w:r>
      <w:proofErr w:type="spellEnd"/>
      <w:r w:rsidRPr="00EB2675">
        <w:rPr>
          <w:rFonts w:ascii="Times New Roman" w:hAnsi="Times New Roman"/>
        </w:rPr>
        <w:t xml:space="preserve"> audit governance mech</w:t>
      </w:r>
      <w:r w:rsidRPr="00EB2675">
        <w:rPr>
          <w:rFonts w:ascii="Times New Roman" w:hAnsi="Times New Roman"/>
        </w:rPr>
        <w:t>anisms. For example, larger or more complex firms may face heightened audit risks, leading to higher variability in residuals, whereas smaller firms might display relatively consistent audit outcomes due to simpler reporting processes and lower audit expos</w:t>
      </w:r>
      <w:r w:rsidRPr="00EB2675">
        <w:rPr>
          <w:rFonts w:ascii="Times New Roman" w:hAnsi="Times New Roman"/>
        </w:rPr>
        <w:t>ure.</w:t>
      </w:r>
    </w:p>
    <w:p w14:paraId="337268E8"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From an econometric standpoint, the detection of heteroskedasticity violates one of the classical linear regression model assumptions that underpin the efficiency of Ordinary Least Squares (OLS) estimators. Although the fixed-effects estimator remains</w:t>
      </w:r>
      <w:r w:rsidRPr="00EB2675">
        <w:rPr>
          <w:rFonts w:ascii="Times New Roman" w:hAnsi="Times New Roman"/>
        </w:rPr>
        <w:t xml:space="preserve"> unbiased in the presence of heteroskedasticity, its efficiency and the validity of standard errors are compromised. Consequently, relying on conventional standard errors would yield biased statistical inferences, thereby distorting hypothesis testing outc</w:t>
      </w:r>
      <w:r w:rsidRPr="00EB2675">
        <w:rPr>
          <w:rFonts w:ascii="Times New Roman" w:hAnsi="Times New Roman"/>
        </w:rPr>
        <w:t xml:space="preserve">omes and the interpretation of the effects of audit firm </w:t>
      </w:r>
      <w:r w:rsidRPr="00EB2675">
        <w:rPr>
          <w:rFonts w:ascii="Times New Roman" w:hAnsi="Times New Roman"/>
        </w:rPr>
        <w:lastRenderedPageBreak/>
        <w:t xml:space="preserve">independence, audit fees, and audit partner rotation on audit quality. To address this issue, the study adopts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ensuring that the inference remains valid </w:t>
      </w:r>
      <w:r w:rsidRPr="00EB2675">
        <w:rPr>
          <w:rFonts w:ascii="Times New Roman" w:hAnsi="Times New Roman"/>
        </w:rPr>
        <w:t>despite the detected groupwise heteroskedasticity. This methodological adjustment enhances the statistical reliability and robustness of the empirical findings, thereby strengthening the credibility of the conclusions drawn from the model.</w:t>
      </w:r>
    </w:p>
    <w:p w14:paraId="472F60B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Substantively, t</w:t>
      </w:r>
      <w:r w:rsidRPr="00EB2675">
        <w:rPr>
          <w:rFonts w:ascii="Times New Roman" w:hAnsi="Times New Roman"/>
        </w:rPr>
        <w:t xml:space="preserve">he presence of heteroskedasticity also conveys meaningful insights about firm </w:t>
      </w:r>
      <w:proofErr w:type="spellStart"/>
      <w:r w:rsidRPr="00EB2675">
        <w:rPr>
          <w:rFonts w:ascii="Times New Roman" w:hAnsi="Times New Roman"/>
        </w:rPr>
        <w:t>behaviour</w:t>
      </w:r>
      <w:proofErr w:type="spellEnd"/>
      <w:r w:rsidRPr="00EB2675">
        <w:rPr>
          <w:rFonts w:ascii="Times New Roman" w:hAnsi="Times New Roman"/>
        </w:rPr>
        <w:t xml:space="preserve"> and market dynamics. It indicates that firms do not operate within uniform governance and control environments. The variability in error variances reflects genuine econ</w:t>
      </w:r>
      <w:r w:rsidRPr="00EB2675">
        <w:rPr>
          <w:rFonts w:ascii="Times New Roman" w:hAnsi="Times New Roman"/>
        </w:rPr>
        <w:t xml:space="preserve">omic and institutional heterogeneity, revealing that the influence of audit governance structures is not homogenous across the Nigerian non-service sector. </w:t>
      </w:r>
      <w:r w:rsidR="008566A1">
        <w:rPr>
          <w:rFonts w:ascii="Times New Roman" w:hAnsi="Times New Roman"/>
        </w:rPr>
        <w:t>Companie</w:t>
      </w:r>
      <w:r w:rsidRPr="00EB2675">
        <w:rPr>
          <w:rFonts w:ascii="Times New Roman" w:hAnsi="Times New Roman"/>
        </w:rPr>
        <w:t>s with stronger governance mechanisms, effective audit committees, and more independent audi</w:t>
      </w:r>
      <w:r w:rsidRPr="00EB2675">
        <w:rPr>
          <w:rFonts w:ascii="Times New Roman" w:hAnsi="Times New Roman"/>
        </w:rPr>
        <w:t>tors are likely to experience less volatility in audit quality outcomes, while those with weaker oversight structures may exhibit greater inconsistencies. Thus, the heteroskedasticity result not only identifies a statistical concern but also exposes deeper</w:t>
      </w:r>
      <w:r w:rsidRPr="00EB2675">
        <w:rPr>
          <w:rFonts w:ascii="Times New Roman" w:hAnsi="Times New Roman"/>
        </w:rPr>
        <w:t xml:space="preserve"> systemic governance disparities that have practical and policy implications.</w:t>
      </w:r>
    </w:p>
    <w:p w14:paraId="7F9E8E3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implications of this result resonate strongly with several United Nations Sustainable Development Goals (SDGs), particularly SDG 16 (Peace, Justice and Strong Institutions), </w:t>
      </w:r>
      <w:r w:rsidRPr="00EB2675">
        <w:rPr>
          <w:rFonts w:ascii="Times New Roman" w:hAnsi="Times New Roman"/>
        </w:rPr>
        <w:t xml:space="preserve">SDG 8 (Decent Work and Economic Growth), and SDG 12 (Responsible Consumption and Production). The detection and correction of heteroskedasticity enhance the transparency, fairness, and accuracy of empirical results, directly supporting SDG 16, which calls </w:t>
      </w:r>
      <w:r w:rsidRPr="00EB2675">
        <w:rPr>
          <w:rFonts w:ascii="Times New Roman" w:hAnsi="Times New Roman"/>
        </w:rPr>
        <w:t>for accountable and transparent institutions. By ensuring the econometric robustness of audit quality research, the study promotes reliable and evidence-based governance decisions, which are foundational for building strong institutions. Furthermore, accur</w:t>
      </w:r>
      <w:r w:rsidRPr="00EB2675">
        <w:rPr>
          <w:rFonts w:ascii="Times New Roman" w:hAnsi="Times New Roman"/>
        </w:rPr>
        <w:t>ate modelling of firm-level variability contributes to SDG 8, as it supports the development of efficient capital markets, strengthens investor confidence, and promotes sustained economic growth through better-quality audits. Similarly, the commitment to r</w:t>
      </w:r>
      <w:r w:rsidRPr="00EB2675">
        <w:rPr>
          <w:rFonts w:ascii="Times New Roman" w:hAnsi="Times New Roman"/>
        </w:rPr>
        <w:t>obust estimation and diagnostic accuracy advances SDG 12 by fostering responsible reporting and consumption of financial information. Ensuring that financial disclosures and audit outcomes are reliable and unbiased aligns with the principles of sustainable</w:t>
      </w:r>
      <w:r w:rsidRPr="00EB2675">
        <w:rPr>
          <w:rFonts w:ascii="Times New Roman" w:hAnsi="Times New Roman"/>
        </w:rPr>
        <w:t xml:space="preserve"> corporate governance and responsible production of accounting information.</w:t>
      </w:r>
    </w:p>
    <w:p w14:paraId="00C3D61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broader terms, the recognition and treatment of heteroskedasticity in this study demonstrate the </w:t>
      </w:r>
      <w:proofErr w:type="gramStart"/>
      <w:r w:rsidRPr="00EB2675">
        <w:rPr>
          <w:rFonts w:ascii="Times New Roman" w:hAnsi="Times New Roman"/>
        </w:rPr>
        <w:t>researchers</w:t>
      </w:r>
      <w:proofErr w:type="gramEnd"/>
      <w:r w:rsidRPr="00EB2675">
        <w:rPr>
          <w:rFonts w:ascii="Times New Roman" w:hAnsi="Times New Roman"/>
        </w:rPr>
        <w:t xml:space="preserve"> commitment to methodological integrity and the production of credibl</w:t>
      </w:r>
      <w:r w:rsidRPr="00EB2675">
        <w:rPr>
          <w:rFonts w:ascii="Times New Roman" w:hAnsi="Times New Roman"/>
        </w:rPr>
        <w:t xml:space="preserve">e, globally comparable findings. By identifying the uneven distribution of audit quality variability across firms and correcting for it, the study underscores the need for differentiated policy interventions that strengthen governance where it is weakest. </w:t>
      </w:r>
      <w:r w:rsidRPr="00EB2675">
        <w:rPr>
          <w:rFonts w:ascii="Times New Roman" w:hAnsi="Times New Roman"/>
        </w:rPr>
        <w:t>Such attention to firm-level disparities reflects the practical realities of emerging-market economies like Nigeria, where institutional, regulatory, and managerial capacities vary widely across companies. Therefore, addressing heteroskedasticity goes beyo</w:t>
      </w:r>
      <w:r w:rsidRPr="00EB2675">
        <w:rPr>
          <w:rFonts w:ascii="Times New Roman" w:hAnsi="Times New Roman"/>
        </w:rPr>
        <w:t>nd econometric correction it is a reaffirmation of the study’s alignment with the global call for stronger institutions, responsible corporate practices, and sustainable economic systems as envisioned in the 2030 Agenda for Sustainable Development.</w:t>
      </w:r>
    </w:p>
    <w:p w14:paraId="73F8E3AE" w14:textId="77777777" w:rsidR="00B70BB0" w:rsidRPr="00EB2675" w:rsidRDefault="00C76947" w:rsidP="00782555">
      <w:pPr>
        <w:spacing w:after="160" w:line="259" w:lineRule="auto"/>
        <w:jc w:val="both"/>
        <w:rPr>
          <w:rFonts w:ascii="Times New Roman" w:hAnsi="Times New Roman"/>
        </w:rPr>
      </w:pPr>
      <w:r w:rsidRPr="00EB2675">
        <w:rPr>
          <w:rFonts w:ascii="Times New Roman" w:hAnsi="Times New Roman"/>
        </w:rPr>
        <w:t>In conc</w:t>
      </w:r>
      <w:r w:rsidRPr="00EB2675">
        <w:rPr>
          <w:rFonts w:ascii="Times New Roman" w:hAnsi="Times New Roman"/>
        </w:rPr>
        <w:t xml:space="preserve">lusion, the Modified Wald test results provide strong evidence of heteroskedasticity across firms, confirming that audit quality variability is not constant within the dataset. This finding </w:t>
      </w:r>
      <w:r w:rsidRPr="00EB2675">
        <w:rPr>
          <w:rFonts w:ascii="Times New Roman" w:hAnsi="Times New Roman"/>
        </w:rPr>
        <w:lastRenderedPageBreak/>
        <w:t>justifies the use of heteroskedasticity-robust estimation techniqu</w:t>
      </w:r>
      <w:r w:rsidRPr="00EB2675">
        <w:rPr>
          <w:rFonts w:ascii="Times New Roman" w:hAnsi="Times New Roman"/>
        </w:rPr>
        <w:t xml:space="preserve">es, ensuring accurate and efficient statistical inference. More importantly, it highlights that firm-level differences in audit governance and operational complexity shape the variability in audit quality outcomes. By rigorously addressing this diagnostic </w:t>
      </w:r>
      <w:r w:rsidRPr="00EB2675">
        <w:rPr>
          <w:rFonts w:ascii="Times New Roman" w:hAnsi="Times New Roman"/>
        </w:rPr>
        <w:t xml:space="preserve">issue, the study enhances both its econometric validity and its contribution to global sustainability discourse demonstrating how sound empirical methodology can reinforce accountability, transparency, and good governance in corporate reporting practices. </w:t>
      </w:r>
      <w:r w:rsidRPr="00EB2675">
        <w:rPr>
          <w:rFonts w:ascii="Times New Roman" w:hAnsi="Times New Roman"/>
        </w:rPr>
        <w:t xml:space="preserve">As a result of the presence of heteroscedasticity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was used for the analysis as recommended by the standard procedure.</w:t>
      </w:r>
    </w:p>
    <w:p w14:paraId="2E437450" w14:textId="77777777" w:rsidR="00B70BB0" w:rsidRPr="00EB2675" w:rsidRDefault="00B70BB0">
      <w:pPr>
        <w:rPr>
          <w:rFonts w:ascii="Times New Roman" w:hAnsi="Times New Roman"/>
          <w:color w:val="000000" w:themeColor="text1"/>
        </w:rPr>
      </w:pPr>
    </w:p>
    <w:p w14:paraId="6CD1E7DE" w14:textId="77777777" w:rsidR="00B70BB0" w:rsidRPr="00EB2675" w:rsidRDefault="00B70BB0">
      <w:pPr>
        <w:rPr>
          <w:rFonts w:ascii="Times New Roman" w:hAnsi="Times New Roman"/>
          <w:color w:val="000000" w:themeColor="text1"/>
        </w:rPr>
      </w:pPr>
    </w:p>
    <w:p w14:paraId="4BB92270"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 Regression Result without Moderation</w:t>
      </w:r>
    </w:p>
    <w:p w14:paraId="186B0705" w14:textId="33532886"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result of the GLS have been presented in Table</w:t>
      </w:r>
      <w:r w:rsidRPr="00EB2675">
        <w:rPr>
          <w:rFonts w:ascii="Times New Roman" w:eastAsia="Calibri" w:hAnsi="Times New Roman"/>
          <w:color w:val="000000" w:themeColor="text1"/>
        </w:rPr>
        <w:t xml:space="preserve"> 8 below.</w:t>
      </w:r>
    </w:p>
    <w:p w14:paraId="5CF9069C" w14:textId="18467194"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8: </w:t>
      </w:r>
      <w:proofErr w:type="spellStart"/>
      <w:r w:rsidRPr="00EB2675">
        <w:rPr>
          <w:rFonts w:ascii="Times New Roman" w:eastAsia="Calibri" w:hAnsi="Times New Roman"/>
          <w:b w:val="0"/>
          <w:color w:val="000000" w:themeColor="text1"/>
          <w:sz w:val="24"/>
          <w:szCs w:val="24"/>
        </w:rPr>
        <w:t>Generalised</w:t>
      </w:r>
      <w:proofErr w:type="spellEnd"/>
      <w:r w:rsidRPr="00EB2675">
        <w:rPr>
          <w:rFonts w:ascii="Times New Roman" w:eastAsia="Calibri" w:hAnsi="Times New Roman"/>
          <w:b w:val="0"/>
          <w:color w:val="000000" w:themeColor="text1"/>
          <w:sz w:val="24"/>
          <w:szCs w:val="24"/>
        </w:rPr>
        <w:t xml:space="preserve"> Least Square Regression</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4DB71EB7"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587F669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2A8E7EA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379C9193"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0C8978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0EF770E"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36B3B51C"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5222907"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0A8C9D2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-3.3471</w:t>
            </w:r>
          </w:p>
        </w:tc>
        <w:tc>
          <w:tcPr>
            <w:tcW w:w="1446" w:type="dxa"/>
            <w:tcBorders>
              <w:top w:val="nil"/>
              <w:left w:val="nil"/>
              <w:bottom w:val="nil"/>
              <w:right w:val="nil"/>
            </w:tcBorders>
          </w:tcPr>
          <w:p w14:paraId="4F75B0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0.9049</w:t>
            </w:r>
          </w:p>
        </w:tc>
        <w:tc>
          <w:tcPr>
            <w:tcW w:w="1440" w:type="dxa"/>
            <w:tcBorders>
              <w:top w:val="nil"/>
              <w:left w:val="nil"/>
              <w:bottom w:val="nil"/>
              <w:right w:val="nil"/>
            </w:tcBorders>
          </w:tcPr>
          <w:p w14:paraId="70F0604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-3.76</w:t>
            </w:r>
          </w:p>
        </w:tc>
        <w:tc>
          <w:tcPr>
            <w:tcW w:w="1170" w:type="dxa"/>
            <w:tcBorders>
              <w:top w:val="nil"/>
              <w:left w:val="nil"/>
              <w:bottom w:val="nil"/>
              <w:right w:val="nil"/>
            </w:tcBorders>
          </w:tcPr>
          <w:p w14:paraId="50AA776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25F3F766"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2737D554"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23FFCF6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0.1550</w:t>
            </w:r>
          </w:p>
        </w:tc>
        <w:tc>
          <w:tcPr>
            <w:tcW w:w="1446" w:type="dxa"/>
            <w:tcBorders>
              <w:top w:val="nil"/>
              <w:left w:val="nil"/>
              <w:bottom w:val="nil"/>
              <w:right w:val="nil"/>
            </w:tcBorders>
          </w:tcPr>
          <w:p w14:paraId="27C4A51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0.2449</w:t>
            </w:r>
          </w:p>
        </w:tc>
        <w:tc>
          <w:tcPr>
            <w:tcW w:w="1440" w:type="dxa"/>
            <w:tcBorders>
              <w:top w:val="nil"/>
              <w:left w:val="nil"/>
              <w:bottom w:val="nil"/>
              <w:right w:val="nil"/>
            </w:tcBorders>
          </w:tcPr>
          <w:p w14:paraId="3DFE5B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6.33</w:t>
            </w:r>
          </w:p>
        </w:tc>
        <w:tc>
          <w:tcPr>
            <w:tcW w:w="1170" w:type="dxa"/>
            <w:tcBorders>
              <w:top w:val="nil"/>
              <w:left w:val="nil"/>
              <w:bottom w:val="nil"/>
              <w:right w:val="nil"/>
            </w:tcBorders>
          </w:tcPr>
          <w:p w14:paraId="61FC451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541A8000"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B66CEB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5213E61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0.1995</w:t>
            </w:r>
          </w:p>
        </w:tc>
        <w:tc>
          <w:tcPr>
            <w:tcW w:w="1446" w:type="dxa"/>
            <w:tcBorders>
              <w:top w:val="nil"/>
              <w:left w:val="nil"/>
              <w:bottom w:val="nil"/>
              <w:right w:val="nil"/>
            </w:tcBorders>
          </w:tcPr>
          <w:p w14:paraId="606FDED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0.6357</w:t>
            </w:r>
          </w:p>
        </w:tc>
        <w:tc>
          <w:tcPr>
            <w:tcW w:w="1440" w:type="dxa"/>
            <w:tcBorders>
              <w:top w:val="nil"/>
              <w:left w:val="nil"/>
              <w:bottom w:val="nil"/>
              <w:right w:val="nil"/>
            </w:tcBorders>
          </w:tcPr>
          <w:p w14:paraId="3EC5DFE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3.14</w:t>
            </w:r>
          </w:p>
        </w:tc>
        <w:tc>
          <w:tcPr>
            <w:tcW w:w="1170" w:type="dxa"/>
            <w:tcBorders>
              <w:top w:val="nil"/>
              <w:left w:val="nil"/>
              <w:bottom w:val="nil"/>
              <w:right w:val="nil"/>
            </w:tcBorders>
          </w:tcPr>
          <w:p w14:paraId="482BD1C0"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0.002</w:t>
            </w:r>
          </w:p>
        </w:tc>
      </w:tr>
      <w:tr w:rsidR="00B70BB0" w:rsidRPr="00EB2675" w14:paraId="0D7A70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7AD644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71EBECC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-0.1960</w:t>
            </w:r>
          </w:p>
        </w:tc>
        <w:tc>
          <w:tcPr>
            <w:tcW w:w="1446" w:type="dxa"/>
            <w:tcBorders>
              <w:top w:val="nil"/>
              <w:left w:val="nil"/>
              <w:bottom w:val="nil"/>
              <w:right w:val="nil"/>
            </w:tcBorders>
          </w:tcPr>
          <w:p w14:paraId="02E8507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0.2420</w:t>
            </w:r>
          </w:p>
        </w:tc>
        <w:tc>
          <w:tcPr>
            <w:tcW w:w="1440" w:type="dxa"/>
            <w:tcBorders>
              <w:top w:val="nil"/>
              <w:left w:val="nil"/>
              <w:bottom w:val="nil"/>
              <w:right w:val="nil"/>
            </w:tcBorders>
          </w:tcPr>
          <w:p w14:paraId="256480F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-0.81</w:t>
            </w:r>
          </w:p>
        </w:tc>
        <w:tc>
          <w:tcPr>
            <w:tcW w:w="1170" w:type="dxa"/>
            <w:tcBorders>
              <w:top w:val="nil"/>
              <w:left w:val="nil"/>
              <w:bottom w:val="nil"/>
              <w:right w:val="nil"/>
            </w:tcBorders>
          </w:tcPr>
          <w:p w14:paraId="1BB5188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0.418</w:t>
            </w:r>
          </w:p>
        </w:tc>
      </w:tr>
      <w:tr w:rsidR="00B70BB0" w:rsidRPr="00EB2675" w14:paraId="6F6AC5EB"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2D294C02"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81.25</w:t>
            </w:r>
          </w:p>
          <w:p w14:paraId="2455C5CA"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0991A0CA"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32D2270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432FC927"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1B44AAF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345ECE39"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341A1F0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925EDFE"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6F2812EB"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6E37AEA5"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6933EDE5" w14:textId="77777777" w:rsidR="00B70BB0" w:rsidRPr="00EB2675" w:rsidRDefault="00B70BB0">
      <w:pPr>
        <w:jc w:val="both"/>
        <w:rPr>
          <w:rFonts w:ascii="Times New Roman" w:hAnsi="Times New Roman"/>
        </w:rPr>
      </w:pPr>
    </w:p>
    <w:p w14:paraId="083A5112" w14:textId="617FE686" w:rsidR="00B70BB0" w:rsidRPr="00EB2675" w:rsidRDefault="00C76947">
      <w:pPr>
        <w:jc w:val="both"/>
        <w:rPr>
          <w:rFonts w:ascii="Times New Roman" w:hAnsi="Times New Roman"/>
        </w:rPr>
      </w:pPr>
      <w:r w:rsidRPr="00EB2675">
        <w:rPr>
          <w:rFonts w:ascii="Times New Roman" w:hAnsi="Times New Roman"/>
        </w:rPr>
        <w:t xml:space="preserve">Table 8 presents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results assessing the impact of Audit Firm Independence (AFI), Audit Fees (AFE), and Audit Partner Rotation (APR) on Audit Quality (ACQ), where audit quality is proxied by accrual quality. A negative coefficient implies improved audit</w:t>
      </w:r>
      <w:r w:rsidRPr="00EB2675">
        <w:rPr>
          <w:rFonts w:ascii="Times New Roman" w:hAnsi="Times New Roman"/>
        </w:rPr>
        <w:t xml:space="preserve"> quality, since a decline in accruals denotes higher quality audits and reduced earnings manipulation. The Wald Chi-square (χ² = 81.25, </w:t>
      </w:r>
      <w:r w:rsidRPr="00EB2675">
        <w:rPr>
          <w:rFonts w:ascii="Times New Roman" w:hAnsi="Times New Roman"/>
          <w:i/>
          <w:iCs/>
        </w:rPr>
        <w:t>p</w:t>
      </w:r>
      <w:r w:rsidRPr="00EB2675">
        <w:rPr>
          <w:rFonts w:ascii="Times New Roman" w:hAnsi="Times New Roman"/>
        </w:rPr>
        <w:t xml:space="preserve"> &lt; 0.01) indicates the model’s joint statistical significance, confirming that the independent variables collectively e</w:t>
      </w:r>
      <w:r w:rsidRPr="00EB2675">
        <w:rPr>
          <w:rFonts w:ascii="Times New Roman" w:hAnsi="Times New Roman"/>
        </w:rPr>
        <w:t>xplain substantial variation in audit quality across the sampled 583 firm-year observations.</w:t>
      </w:r>
    </w:p>
    <w:p w14:paraId="4044E213" w14:textId="77777777" w:rsidR="00B70BB0" w:rsidRPr="00EB2675" w:rsidRDefault="00B70BB0">
      <w:pPr>
        <w:jc w:val="both"/>
        <w:rPr>
          <w:rFonts w:ascii="Times New Roman" w:hAnsi="Times New Roman"/>
        </w:rPr>
      </w:pPr>
    </w:p>
    <w:p w14:paraId="2DA1D822" w14:textId="77777777" w:rsidR="00B70BB0" w:rsidRPr="00EB2675" w:rsidRDefault="00C76947">
      <w:pPr>
        <w:jc w:val="both"/>
        <w:rPr>
          <w:rFonts w:ascii="Times New Roman" w:hAnsi="Times New Roman"/>
        </w:rPr>
      </w:pPr>
      <w:r w:rsidRPr="00EB2675">
        <w:rPr>
          <w:rFonts w:ascii="Times New Roman" w:hAnsi="Times New Roman"/>
        </w:rPr>
        <w:t>Audit Firm Independence (AFI) and Audit Quality</w:t>
      </w:r>
    </w:p>
    <w:p w14:paraId="34ED530A" w14:textId="77777777" w:rsidR="00B70BB0" w:rsidRPr="00EB2675" w:rsidRDefault="00C76947">
      <w:pPr>
        <w:jc w:val="both"/>
        <w:rPr>
          <w:rFonts w:ascii="Times New Roman" w:hAnsi="Times New Roman"/>
        </w:rPr>
      </w:pPr>
      <w:r w:rsidRPr="00EB2675">
        <w:rPr>
          <w:rFonts w:ascii="Times New Roman" w:hAnsi="Times New Roman"/>
        </w:rPr>
        <w:t>The coefficient for Audit Firm Independence (AFI) is -3.3471 (</w:t>
      </w:r>
      <w:r w:rsidRPr="00EB2675">
        <w:rPr>
          <w:rFonts w:ascii="Times New Roman" w:hAnsi="Times New Roman"/>
          <w:i/>
          <w:iCs/>
        </w:rPr>
        <w:t>Z</w:t>
      </w:r>
      <w:r w:rsidRPr="00EB2675">
        <w:rPr>
          <w:rFonts w:ascii="Times New Roman" w:hAnsi="Times New Roman"/>
        </w:rPr>
        <w:t xml:space="preserve"> = -3.76, </w:t>
      </w:r>
      <w:r w:rsidRPr="00EB2675">
        <w:rPr>
          <w:rFonts w:ascii="Times New Roman" w:hAnsi="Times New Roman"/>
          <w:i/>
          <w:iCs/>
        </w:rPr>
        <w:t>p</w:t>
      </w:r>
      <w:r w:rsidRPr="00EB2675">
        <w:rPr>
          <w:rFonts w:ascii="Times New Roman" w:hAnsi="Times New Roman"/>
        </w:rPr>
        <w:t xml:space="preserve"> = 0.000), implying a statistically sign</w:t>
      </w:r>
      <w:r w:rsidRPr="00EB2675">
        <w:rPr>
          <w:rFonts w:ascii="Times New Roman" w:hAnsi="Times New Roman"/>
        </w:rPr>
        <w:t>ificant negative relationship with accruals. This result demonstrates that greater independence of audit firms enhances audit quality by reducing discretionary accruals. The finding is consistent with agency theory, which posits that independent auditors a</w:t>
      </w:r>
      <w:r w:rsidRPr="00EB2675">
        <w:rPr>
          <w:rFonts w:ascii="Times New Roman" w:hAnsi="Times New Roman"/>
        </w:rPr>
        <w:t xml:space="preserve">ct as effective monitors, mitigating opportunistic managerial </w:t>
      </w:r>
      <w:proofErr w:type="spellStart"/>
      <w:r w:rsidRPr="00EB2675">
        <w:rPr>
          <w:rFonts w:ascii="Times New Roman" w:hAnsi="Times New Roman"/>
        </w:rPr>
        <w:t>behaviour</w:t>
      </w:r>
      <w:proofErr w:type="spellEnd"/>
      <w:r w:rsidRPr="00EB2675">
        <w:rPr>
          <w:rFonts w:ascii="Times New Roman" w:hAnsi="Times New Roman"/>
        </w:rPr>
        <w:t>. It aligns with</w:t>
      </w:r>
      <w:r w:rsidR="004E0CA4">
        <w:rPr>
          <w:rFonts w:ascii="Times New Roman" w:hAnsi="Times New Roman"/>
        </w:rPr>
        <w:t xml:space="preserve"> </w:t>
      </w:r>
      <w:r w:rsidR="004E0CA4">
        <w:rPr>
          <w:rFonts w:ascii="Times New Roman" w:hAnsi="Times New Roman"/>
        </w:rPr>
        <w:fldChar w:fldCharType="begin" w:fldLock="1"/>
      </w:r>
      <w:r w:rsidR="004E0CA4">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Ojeaga </w:t>
      </w:r>
      <w:r w:rsidR="004E0CA4">
        <w:rPr>
          <w:rFonts w:ascii="Times New Roman" w:hAnsi="Times New Roman"/>
          <w:noProof/>
        </w:rPr>
        <w:t>and</w:t>
      </w:r>
      <w:r w:rsidR="004E0CA4" w:rsidRPr="004E0CA4">
        <w:rPr>
          <w:rFonts w:ascii="Times New Roman" w:hAnsi="Times New Roman"/>
          <w:noProof/>
        </w:rPr>
        <w:t xml:space="preserve"> Ezejiofor</w:t>
      </w:r>
      <w:r w:rsidR="004E0CA4">
        <w:rPr>
          <w:rFonts w:ascii="Times New Roman" w:hAnsi="Times New Roman"/>
          <w:noProof/>
        </w:rPr>
        <w:t xml:space="preserve"> (</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w:t>
      </w:r>
      <w:proofErr w:type="spellStart"/>
      <w:r w:rsidRPr="00EB2675">
        <w:rPr>
          <w:rFonts w:ascii="Times New Roman" w:hAnsi="Times New Roman"/>
        </w:rPr>
        <w:t>emphasised</w:t>
      </w:r>
      <w:proofErr w:type="spellEnd"/>
      <w:r w:rsidRPr="00EB2675">
        <w:rPr>
          <w:rFonts w:ascii="Times New Roman" w:hAnsi="Times New Roman"/>
        </w:rPr>
        <w:t xml:space="preserve"> that auditor independence strengthens corporate accountability and improves stakeholder confidence in financial reporting integrity. This relationship also reinforces SDG 16 (Peace, Justice, and Strong Institutions), as strong auditor independence fosters</w:t>
      </w:r>
      <w:r w:rsidRPr="00EB2675">
        <w:rPr>
          <w:rFonts w:ascii="Times New Roman" w:hAnsi="Times New Roman"/>
        </w:rPr>
        <w:t xml:space="preserve"> institutional transparency, ethical reporting, and governance resilience pillars essential for sustainable economic systems.</w:t>
      </w:r>
    </w:p>
    <w:p w14:paraId="0F977370" w14:textId="77777777" w:rsidR="00B70BB0" w:rsidRPr="00EB2675" w:rsidRDefault="00B70BB0">
      <w:pPr>
        <w:jc w:val="both"/>
        <w:rPr>
          <w:rFonts w:ascii="Times New Roman" w:hAnsi="Times New Roman"/>
        </w:rPr>
      </w:pPr>
    </w:p>
    <w:p w14:paraId="40344A22" w14:textId="77777777" w:rsidR="00B70BB0" w:rsidRPr="00EB2675" w:rsidRDefault="00C76947">
      <w:pPr>
        <w:jc w:val="both"/>
        <w:rPr>
          <w:rFonts w:ascii="Times New Roman" w:hAnsi="Times New Roman"/>
        </w:rPr>
      </w:pPr>
      <w:r w:rsidRPr="00EB2675">
        <w:rPr>
          <w:rFonts w:ascii="Times New Roman" w:hAnsi="Times New Roman"/>
        </w:rPr>
        <w:t>Audit Fees (AFE) and Audit Quality</w:t>
      </w:r>
    </w:p>
    <w:p w14:paraId="310CC7E7" w14:textId="77777777" w:rsidR="00B70BB0" w:rsidRPr="00EB2675" w:rsidRDefault="00C76947">
      <w:pPr>
        <w:jc w:val="both"/>
        <w:rPr>
          <w:rFonts w:ascii="Times New Roman" w:hAnsi="Times New Roman"/>
        </w:rPr>
      </w:pPr>
      <w:r w:rsidRPr="00EB2675">
        <w:rPr>
          <w:rFonts w:ascii="Times New Roman" w:hAnsi="Times New Roman"/>
        </w:rPr>
        <w:t>The coefficient for Audit Fees (AFE) is 0.1550 (</w:t>
      </w:r>
      <w:r w:rsidRPr="00EB2675">
        <w:rPr>
          <w:rFonts w:ascii="Times New Roman" w:hAnsi="Times New Roman"/>
          <w:i/>
          <w:iCs/>
        </w:rPr>
        <w:t>Z</w:t>
      </w:r>
      <w:r w:rsidRPr="00EB2675">
        <w:rPr>
          <w:rFonts w:ascii="Times New Roman" w:hAnsi="Times New Roman"/>
        </w:rPr>
        <w:t xml:space="preserve"> = 6.33, </w:t>
      </w:r>
      <w:r w:rsidRPr="00EB2675">
        <w:rPr>
          <w:rFonts w:ascii="Times New Roman" w:hAnsi="Times New Roman"/>
          <w:i/>
          <w:iCs/>
        </w:rPr>
        <w:t>p</w:t>
      </w:r>
      <w:r w:rsidRPr="00EB2675">
        <w:rPr>
          <w:rFonts w:ascii="Times New Roman" w:hAnsi="Times New Roman"/>
        </w:rPr>
        <w:t xml:space="preserve"> = 0.000), suggesting a significant</w:t>
      </w:r>
      <w:r w:rsidRPr="00EB2675">
        <w:rPr>
          <w:rFonts w:ascii="Times New Roman" w:hAnsi="Times New Roman"/>
        </w:rPr>
        <w:t xml:space="preserve"> positive relationship with accruals, thereby indicating a negative effect on audit quality. In this context, higher audit fees may reflect potential economic bonding between auditors and clients, leading to reduced auditor objectivity. This supports findi</w:t>
      </w:r>
      <w:r w:rsidRPr="00EB2675">
        <w:rPr>
          <w:rFonts w:ascii="Times New Roman" w:hAnsi="Times New Roman"/>
        </w:rPr>
        <w:t xml:space="preserve">ngs by </w:t>
      </w:r>
      <w:r w:rsidR="004E0CA4">
        <w:rPr>
          <w:rFonts w:ascii="Times New Roman" w:hAnsi="Times New Roman"/>
        </w:rPr>
        <w:fldChar w:fldCharType="begin" w:fldLock="1"/>
      </w:r>
      <w:r w:rsidR="001D1DA2">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Li, </w:t>
      </w:r>
      <w:r w:rsidR="004E0CA4">
        <w:rPr>
          <w:rFonts w:ascii="Times New Roman" w:hAnsi="Times New Roman"/>
          <w:noProof/>
        </w:rPr>
        <w:t>(</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rPr>
        <w:t xml:space="preserve">, who observed that excessive fee dependence could compromise auditor </w:t>
      </w:r>
      <w:proofErr w:type="spellStart"/>
      <w:r w:rsidRPr="00EB2675">
        <w:rPr>
          <w:rFonts w:ascii="Times New Roman" w:hAnsi="Times New Roman"/>
        </w:rPr>
        <w:t>scepticism</w:t>
      </w:r>
      <w:proofErr w:type="spellEnd"/>
      <w:r w:rsidRPr="00EB2675">
        <w:rPr>
          <w:rFonts w:ascii="Times New Roman" w:hAnsi="Times New Roman"/>
        </w:rPr>
        <w:t>, particularly in emerging markets with weak</w:t>
      </w:r>
      <w:r w:rsidRPr="00EB2675">
        <w:rPr>
          <w:rFonts w:ascii="Times New Roman" w:hAnsi="Times New Roman"/>
        </w:rPr>
        <w:t>er regulatory oversight. However, moderate audit fees, when aligned with engagement complexity and effort, contribute positively to SDG 8 (Decent Work and Economic Growth) by ensuring fair compensation and resource allocation within the audit ecosystem, pr</w:t>
      </w:r>
      <w:r w:rsidRPr="00EB2675">
        <w:rPr>
          <w:rFonts w:ascii="Times New Roman" w:hAnsi="Times New Roman"/>
        </w:rPr>
        <w:t>ovided independence is not impaired. Policymakers should thus balance remuneration structures to prevent conflicts of interest.</w:t>
      </w:r>
    </w:p>
    <w:p w14:paraId="525DC2AE" w14:textId="77777777" w:rsidR="00B70BB0" w:rsidRPr="00EB2675" w:rsidRDefault="00B70BB0">
      <w:pPr>
        <w:jc w:val="both"/>
        <w:rPr>
          <w:rFonts w:ascii="Times New Roman" w:hAnsi="Times New Roman"/>
        </w:rPr>
      </w:pPr>
    </w:p>
    <w:p w14:paraId="72027E46" w14:textId="77777777" w:rsidR="00B70BB0" w:rsidRPr="00EB2675" w:rsidRDefault="00B70BB0">
      <w:pPr>
        <w:jc w:val="both"/>
        <w:rPr>
          <w:rFonts w:ascii="Times New Roman" w:hAnsi="Times New Roman"/>
        </w:rPr>
      </w:pPr>
    </w:p>
    <w:p w14:paraId="64B3474D" w14:textId="77777777" w:rsidR="00B70BB0" w:rsidRPr="00EB2675" w:rsidRDefault="00C76947">
      <w:pPr>
        <w:jc w:val="both"/>
        <w:rPr>
          <w:rFonts w:ascii="Times New Roman" w:hAnsi="Times New Roman"/>
        </w:rPr>
      </w:pPr>
      <w:r w:rsidRPr="00EB2675">
        <w:rPr>
          <w:rFonts w:ascii="Times New Roman" w:hAnsi="Times New Roman"/>
        </w:rPr>
        <w:t>Audit Partner Rotation (APR) and Audit Quality</w:t>
      </w:r>
    </w:p>
    <w:p w14:paraId="4CC34930" w14:textId="77777777" w:rsidR="00B70BB0" w:rsidRPr="00EB2675" w:rsidRDefault="00C76947">
      <w:pPr>
        <w:jc w:val="both"/>
        <w:rPr>
          <w:rFonts w:ascii="Times New Roman" w:hAnsi="Times New Roman"/>
        </w:rPr>
      </w:pPr>
      <w:r w:rsidRPr="00EB2675">
        <w:rPr>
          <w:rFonts w:ascii="Times New Roman" w:hAnsi="Times New Roman"/>
        </w:rPr>
        <w:t>Audit Partner Rotation (APR) shows a coefficient of 0.1995 (</w:t>
      </w:r>
      <w:r w:rsidRPr="00EB2675">
        <w:rPr>
          <w:rFonts w:ascii="Times New Roman" w:hAnsi="Times New Roman"/>
          <w:i/>
          <w:iCs/>
        </w:rPr>
        <w:t>Z</w:t>
      </w:r>
      <w:r w:rsidRPr="00EB2675">
        <w:rPr>
          <w:rFonts w:ascii="Times New Roman" w:hAnsi="Times New Roman"/>
        </w:rPr>
        <w:t xml:space="preserve"> = 3.14, </w:t>
      </w:r>
      <w:r w:rsidRPr="00EB2675">
        <w:rPr>
          <w:rFonts w:ascii="Times New Roman" w:hAnsi="Times New Roman"/>
          <w:i/>
          <w:iCs/>
        </w:rPr>
        <w:t>p</w:t>
      </w:r>
      <w:r w:rsidRPr="00EB2675">
        <w:rPr>
          <w:rFonts w:ascii="Times New Roman" w:hAnsi="Times New Roman"/>
        </w:rPr>
        <w:t xml:space="preserve"> = 0.002</w:t>
      </w:r>
      <w:r w:rsidRPr="00EB2675">
        <w:rPr>
          <w:rFonts w:ascii="Times New Roman" w:hAnsi="Times New Roman"/>
        </w:rPr>
        <w:t>), signifying a positive and significant relationship with accruals suggesting a deterioration in audit quality with increasing rotation frequency. This outcome may arise from loss of client-specific knowledge or learning curve effects during frequent rota</w:t>
      </w:r>
      <w:r w:rsidRPr="00EB2675">
        <w:rPr>
          <w:rFonts w:ascii="Times New Roman" w:hAnsi="Times New Roman"/>
        </w:rPr>
        <w:t xml:space="preserve">tions, reducing the auditor’s capacity to </w:t>
      </w:r>
      <w:proofErr w:type="gramStart"/>
      <w:r w:rsidRPr="00EB2675">
        <w:rPr>
          <w:rFonts w:ascii="Times New Roman" w:hAnsi="Times New Roman"/>
        </w:rPr>
        <w:t>detect  misstatements</w:t>
      </w:r>
      <w:proofErr w:type="gramEnd"/>
      <w:r w:rsidRPr="00EB2675">
        <w:rPr>
          <w:rFonts w:ascii="Times New Roman" w:hAnsi="Times New Roman"/>
        </w:rPr>
        <w:t xml:space="preserve">. This finding partially diverges from </w:t>
      </w:r>
      <w:r w:rsidR="001D1DA2">
        <w:rPr>
          <w:rFonts w:ascii="Times New Roman" w:hAnsi="Times New Roman"/>
        </w:rPr>
        <w:fldChar w:fldCharType="begin" w:fldLock="1"/>
      </w:r>
      <w:r w:rsidR="001D1DA2">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quality?","type":"article-journal","volume":"89"},"uris":["http://www.mendeley.com/documents/?uuid=54adb9eb-c866-43e8-9241-e51b831ca2f2"]}],"mendeley":{"formattedCitation":"(Clive et al., 2014)","manualFormatting":"Clive et al., (2014)","plainTextFormattedCitation":"(Clive et al., 2014)","previouslyFormattedCitation":"(Clive et al., 2014)"},"properties":{"noteIndex":0},"schema":"https://github.com/citation-style-language/schema/raw/master/csl-citation.json"}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 xml:space="preserve">Clive et al., </w:t>
      </w:r>
      <w:r w:rsidR="001D1DA2">
        <w:rPr>
          <w:rFonts w:ascii="Times New Roman" w:hAnsi="Times New Roman"/>
          <w:noProof/>
        </w:rPr>
        <w:t>(</w:t>
      </w:r>
      <w:r w:rsidR="001D1DA2" w:rsidRPr="001D1DA2">
        <w:rPr>
          <w:rFonts w:ascii="Times New Roman" w:hAnsi="Times New Roman"/>
          <w:noProof/>
        </w:rPr>
        <w:t>2014)</w:t>
      </w:r>
      <w:r w:rsidR="001D1DA2">
        <w:rPr>
          <w:rFonts w:ascii="Times New Roman" w:hAnsi="Times New Roman"/>
        </w:rPr>
        <w:fldChar w:fldCharType="end"/>
      </w:r>
      <w:r w:rsidR="001D1DA2">
        <w:rPr>
          <w:rFonts w:ascii="Times New Roman" w:hAnsi="Times New Roman"/>
        </w:rPr>
        <w:t xml:space="preserve"> and </w:t>
      </w:r>
      <w:r w:rsidR="001D1DA2">
        <w:rPr>
          <w:rFonts w:ascii="Times New Roman" w:hAnsi="Times New Roman"/>
        </w:rPr>
        <w:fldChar w:fldCharType="begin" w:fldLock="1"/>
      </w:r>
      <w:r w:rsidR="002D7D9C">
        <w:rPr>
          <w:rFonts w:ascii="Times New Roman" w:hAnsi="Times New Roman"/>
        </w:rPr>
        <w:instrText>ADDIN CSL_CITATION {"citationItems":[{"id":"ITEM-1","itemData":{"abstract":"Using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Theory","id":"ITEM-1","issue":"1","issued":{"date-parts":[["2012"]]},"page":"97–114","title":"An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2012)","plainTextFormattedCitation":"(Brian et al., 2012)","previouslyFormattedCitation":"(Brian et al., 2012)"},"properties":{"noteIndex":0},"schema":"https://github.com/citation-style-language/schema/raw/master/csl-citation.json"}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(Brian et al., 2012)</w:t>
      </w:r>
      <w:r w:rsidR="001D1DA2">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reported that regulated rotation improves audit independence. The context</w:t>
      </w:r>
      <w:r w:rsidRPr="00EB2675">
        <w:rPr>
          <w:rFonts w:ascii="Times New Roman" w:hAnsi="Times New Roman"/>
        </w:rPr>
        <w:t>ual divergence within Nigeria’s audit environment suggests that while rotation mitigates familiarity threats, excessive turnover may disrupt audit continuity and quality. From an SDG lens, this finding touches on SDG 12 (Responsible Consumption and Product</w:t>
      </w:r>
      <w:r w:rsidRPr="00EB2675">
        <w:rPr>
          <w:rFonts w:ascii="Times New Roman" w:hAnsi="Times New Roman"/>
        </w:rPr>
        <w:t>ion), as consistent and knowledgeable auditing promotes responsible financial disclosure and efficient use of institutional expertise in sustaining governance processes.</w:t>
      </w:r>
    </w:p>
    <w:p w14:paraId="7ADB85B5" w14:textId="77777777" w:rsidR="00B70BB0" w:rsidRPr="00EB2675" w:rsidRDefault="00B70BB0">
      <w:pPr>
        <w:jc w:val="both"/>
        <w:rPr>
          <w:rFonts w:ascii="Times New Roman" w:hAnsi="Times New Roman"/>
          <w:iCs/>
          <w:color w:val="000000" w:themeColor="text1"/>
        </w:rPr>
      </w:pPr>
    </w:p>
    <w:p w14:paraId="52A577B3" w14:textId="77777777" w:rsidR="00B70BB0" w:rsidRPr="00EB2675" w:rsidRDefault="00B70BB0">
      <w:pPr>
        <w:jc w:val="both"/>
        <w:rPr>
          <w:rFonts w:ascii="Times New Roman" w:hAnsi="Times New Roman"/>
          <w:i/>
          <w:color w:val="000000" w:themeColor="text1"/>
        </w:rPr>
      </w:pPr>
    </w:p>
    <w:p w14:paraId="30EDED1D"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Regression Result with Moderation</w:t>
      </w:r>
    </w:p>
    <w:p w14:paraId="32AE3845" w14:textId="02BB7F85"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The result of the Panel Corrected Standard Error Regression (PCSE) </w:t>
      </w:r>
      <w:r w:rsidR="00782555" w:rsidRPr="00EB2675">
        <w:rPr>
          <w:rFonts w:ascii="Times New Roman" w:eastAsia="Calibri" w:hAnsi="Times New Roman"/>
          <w:color w:val="000000" w:themeColor="text1"/>
        </w:rPr>
        <w:t>has</w:t>
      </w:r>
      <w:r w:rsidRPr="00EB2675">
        <w:rPr>
          <w:rFonts w:ascii="Times New Roman" w:eastAsia="Calibri" w:hAnsi="Times New Roman"/>
          <w:color w:val="000000" w:themeColor="text1"/>
        </w:rPr>
        <w:t xml:space="preserve"> been presented in Table 9 below.</w:t>
      </w:r>
    </w:p>
    <w:p w14:paraId="60B17486" w14:textId="6E17C6D0"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Table.9: Panel Corrected Standard Error Regression Result</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6D18455A"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12D0212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5593D0C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22BCF0FB"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Panel-Corrected</w:t>
            </w:r>
          </w:p>
          <w:p w14:paraId="457597BD"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4B4AFD3C"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6E1BC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0B852CE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5729755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6C86ACB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-7.5675</w:t>
            </w:r>
          </w:p>
        </w:tc>
        <w:tc>
          <w:tcPr>
            <w:tcW w:w="1446" w:type="dxa"/>
            <w:tcBorders>
              <w:top w:val="nil"/>
              <w:left w:val="nil"/>
              <w:bottom w:val="nil"/>
              <w:right w:val="nil"/>
            </w:tcBorders>
          </w:tcPr>
          <w:p w14:paraId="059CF83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1.3691</w:t>
            </w:r>
          </w:p>
        </w:tc>
        <w:tc>
          <w:tcPr>
            <w:tcW w:w="1440" w:type="dxa"/>
            <w:tcBorders>
              <w:top w:val="nil"/>
              <w:left w:val="nil"/>
              <w:bottom w:val="nil"/>
              <w:right w:val="nil"/>
            </w:tcBorders>
          </w:tcPr>
          <w:p w14:paraId="71EA589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-5.53</w:t>
            </w:r>
          </w:p>
        </w:tc>
        <w:tc>
          <w:tcPr>
            <w:tcW w:w="1170" w:type="dxa"/>
            <w:tcBorders>
              <w:top w:val="nil"/>
              <w:left w:val="nil"/>
              <w:bottom w:val="nil"/>
              <w:right w:val="nil"/>
            </w:tcBorders>
          </w:tcPr>
          <w:p w14:paraId="4656D0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35467C71"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F19341A"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54F07F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0.1946</w:t>
            </w:r>
          </w:p>
        </w:tc>
        <w:tc>
          <w:tcPr>
            <w:tcW w:w="1446" w:type="dxa"/>
            <w:tcBorders>
              <w:top w:val="nil"/>
              <w:left w:val="nil"/>
              <w:bottom w:val="nil"/>
              <w:right w:val="nil"/>
            </w:tcBorders>
          </w:tcPr>
          <w:p w14:paraId="294B778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0.0588</w:t>
            </w:r>
          </w:p>
        </w:tc>
        <w:tc>
          <w:tcPr>
            <w:tcW w:w="1440" w:type="dxa"/>
            <w:tcBorders>
              <w:top w:val="nil"/>
              <w:left w:val="nil"/>
              <w:bottom w:val="nil"/>
              <w:right w:val="nil"/>
            </w:tcBorders>
          </w:tcPr>
          <w:p w14:paraId="4F3546E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3.31</w:t>
            </w:r>
          </w:p>
        </w:tc>
        <w:tc>
          <w:tcPr>
            <w:tcW w:w="1170" w:type="dxa"/>
            <w:tcBorders>
              <w:top w:val="nil"/>
              <w:left w:val="nil"/>
              <w:bottom w:val="nil"/>
              <w:right w:val="nil"/>
            </w:tcBorders>
          </w:tcPr>
          <w:p w14:paraId="49ED72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0.001</w:t>
            </w:r>
          </w:p>
        </w:tc>
      </w:tr>
      <w:tr w:rsidR="00B70BB0" w:rsidRPr="00EB2675" w14:paraId="754B4A04"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C20C2A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3FD97FE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0.4574</w:t>
            </w:r>
          </w:p>
        </w:tc>
        <w:tc>
          <w:tcPr>
            <w:tcW w:w="1446" w:type="dxa"/>
            <w:tcBorders>
              <w:top w:val="nil"/>
              <w:left w:val="nil"/>
              <w:bottom w:val="nil"/>
              <w:right w:val="nil"/>
            </w:tcBorders>
          </w:tcPr>
          <w:p w14:paraId="160D848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0.3094</w:t>
            </w:r>
          </w:p>
        </w:tc>
        <w:tc>
          <w:tcPr>
            <w:tcW w:w="1440" w:type="dxa"/>
            <w:tcBorders>
              <w:top w:val="nil"/>
              <w:left w:val="nil"/>
              <w:bottom w:val="nil"/>
              <w:right w:val="nil"/>
            </w:tcBorders>
          </w:tcPr>
          <w:p w14:paraId="1FA242A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1.48</w:t>
            </w:r>
          </w:p>
        </w:tc>
        <w:tc>
          <w:tcPr>
            <w:tcW w:w="1170" w:type="dxa"/>
            <w:tcBorders>
              <w:top w:val="nil"/>
              <w:left w:val="nil"/>
              <w:bottom w:val="nil"/>
              <w:right w:val="nil"/>
            </w:tcBorders>
          </w:tcPr>
          <w:p w14:paraId="2EE3D4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0.139</w:t>
            </w:r>
          </w:p>
        </w:tc>
      </w:tr>
      <w:tr w:rsidR="00B70BB0" w:rsidRPr="00EB2675" w14:paraId="656BF8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4638458"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58D91EC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0.5067</w:t>
            </w:r>
          </w:p>
        </w:tc>
        <w:tc>
          <w:tcPr>
            <w:tcW w:w="1446" w:type="dxa"/>
            <w:tcBorders>
              <w:top w:val="nil"/>
              <w:left w:val="nil"/>
              <w:bottom w:val="nil"/>
              <w:right w:val="nil"/>
            </w:tcBorders>
          </w:tcPr>
          <w:p w14:paraId="1C7E86F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0.2779</w:t>
            </w:r>
          </w:p>
        </w:tc>
        <w:tc>
          <w:tcPr>
            <w:tcW w:w="1440" w:type="dxa"/>
            <w:tcBorders>
              <w:top w:val="nil"/>
              <w:left w:val="nil"/>
              <w:bottom w:val="nil"/>
              <w:right w:val="nil"/>
            </w:tcBorders>
          </w:tcPr>
          <w:p w14:paraId="3D0CA7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1.82</w:t>
            </w:r>
          </w:p>
        </w:tc>
        <w:tc>
          <w:tcPr>
            <w:tcW w:w="1170" w:type="dxa"/>
            <w:tcBorders>
              <w:top w:val="nil"/>
              <w:left w:val="nil"/>
              <w:bottom w:val="nil"/>
              <w:right w:val="nil"/>
            </w:tcBorders>
          </w:tcPr>
          <w:p w14:paraId="297AC1D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0.068</w:t>
            </w:r>
          </w:p>
        </w:tc>
      </w:tr>
      <w:tr w:rsidR="00B70BB0" w:rsidRPr="00EB2675" w14:paraId="3528C78C"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7A17F079"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R-Squared</w:t>
            </w:r>
            <w:r w:rsidRPr="00EB2675">
              <w:rPr>
                <w:rFonts w:ascii="Times New Roman" w:hAnsi="Times New Roman"/>
                <w:b w:val="0"/>
                <w:color w:val="000000" w:themeColor="text1"/>
              </w:rPr>
              <w:t xml:space="preserve">            </w:t>
            </w:r>
            <w:r w:rsidRPr="00EB2675">
              <w:rPr>
                <w:rFonts w:ascii="Times New Roman" w:hAnsi="Times New Roman"/>
                <w:bCs w:val="0"/>
                <w:color w:val="000000" w:themeColor="text1"/>
              </w:rPr>
              <w:t xml:space="preserve">             =   0.041</w:t>
            </w:r>
          </w:p>
          <w:p w14:paraId="0371456D"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36.39</w:t>
            </w:r>
          </w:p>
          <w:p w14:paraId="2B8116A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124DE287"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50F805D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56042CA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79318A3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7C9106E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2C27CFF"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5A421B93"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787C03F9"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48B1578D" w14:textId="77777777" w:rsidR="00B70BB0" w:rsidRPr="00EB2675" w:rsidRDefault="00B70BB0">
      <w:pPr>
        <w:jc w:val="both"/>
        <w:rPr>
          <w:rFonts w:ascii="Times New Roman" w:hAnsi="Times New Roman"/>
          <w:iCs/>
          <w:color w:val="000000" w:themeColor="text1"/>
        </w:rPr>
      </w:pPr>
    </w:p>
    <w:p w14:paraId="56788BDF" w14:textId="21330DEE" w:rsidR="00B70BB0" w:rsidRPr="00EB2675" w:rsidRDefault="00C76947">
      <w:pPr>
        <w:jc w:val="both"/>
        <w:rPr>
          <w:rFonts w:ascii="Times New Roman" w:hAnsi="Times New Roman"/>
        </w:rPr>
      </w:pPr>
      <w:r w:rsidRPr="00EB2675">
        <w:rPr>
          <w:rFonts w:ascii="Times New Roman" w:hAnsi="Times New Roman"/>
        </w:rPr>
        <w:t>Table.9 presents the Panel Corrected Standard Error (PCSE) regression results examining the moderating effect of Audit Committee Independence (ACI) on the relationship between audit firm attributes which are Audit Firm Independence (AFI), Audit Fees (AFE),</w:t>
      </w:r>
      <w:r w:rsidRPr="00EB2675">
        <w:rPr>
          <w:rFonts w:ascii="Times New Roman" w:hAnsi="Times New Roman"/>
        </w:rPr>
        <w:t xml:space="preserve"> and Audit Partner Rotation (APR) and Audit Quality (ACQ), proxied by accruals. The PCSE model was employed to address both heteroskedasticity and contemporaneous correlation inherent in panel data structures, ensuring more efficient and unbiased estimates</w:t>
      </w:r>
      <w:r w:rsidRPr="00EB2675">
        <w:rPr>
          <w:rFonts w:ascii="Times New Roman" w:hAnsi="Times New Roman"/>
        </w:rPr>
        <w:t>. The overall model fit is robust, as evidenced by a Wald Chi-square (χ²) of 36.39 (p &lt; 0.01), confirming joint statistical significance of the predictors at the 1% level. Additionally, the R² value of 0.041 suggests that the independent and moderating var</w:t>
      </w:r>
      <w:r w:rsidRPr="00EB2675">
        <w:rPr>
          <w:rFonts w:ascii="Times New Roman" w:hAnsi="Times New Roman"/>
        </w:rPr>
        <w:t xml:space="preserve">iables jointly explain approximately 4.1% of the variation in audit quality a realistic outcome in </w:t>
      </w:r>
      <w:proofErr w:type="spellStart"/>
      <w:r w:rsidRPr="00EB2675">
        <w:rPr>
          <w:rFonts w:ascii="Times New Roman" w:hAnsi="Times New Roman"/>
        </w:rPr>
        <w:t>behavioural</w:t>
      </w:r>
      <w:proofErr w:type="spellEnd"/>
      <w:r w:rsidRPr="00EB2675">
        <w:rPr>
          <w:rFonts w:ascii="Times New Roman" w:hAnsi="Times New Roman"/>
        </w:rPr>
        <w:t xml:space="preserve"> and governance research, where unobservable firm characteristics often account for large variance components.</w:t>
      </w:r>
    </w:p>
    <w:p w14:paraId="699AC712" w14:textId="77777777" w:rsidR="00B70BB0" w:rsidRPr="00EB2675" w:rsidRDefault="00B70BB0">
      <w:pPr>
        <w:rPr>
          <w:rFonts w:ascii="Times New Roman" w:hAnsi="Times New Roman"/>
          <w:color w:val="000000" w:themeColor="text1"/>
        </w:rPr>
      </w:pPr>
    </w:p>
    <w:p w14:paraId="71D3EE4E" w14:textId="77777777" w:rsidR="00B70BB0" w:rsidRPr="00EB2675" w:rsidRDefault="00B70BB0">
      <w:pPr>
        <w:jc w:val="both"/>
        <w:rPr>
          <w:rFonts w:ascii="Times New Roman" w:eastAsia="Calibri" w:hAnsi="Times New Roman"/>
          <w:color w:val="000000" w:themeColor="text1"/>
        </w:rPr>
      </w:pPr>
    </w:p>
    <w:p w14:paraId="6A6A0E56" w14:textId="77777777" w:rsidR="00B70BB0" w:rsidRPr="00EB2675" w:rsidRDefault="00C76947">
      <w:pPr>
        <w:pStyle w:val="Heading2"/>
        <w:jc w:val="both"/>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4.8.1 Hypotheses testing, Discuss</w:t>
      </w:r>
      <w:r w:rsidRPr="00EB2675">
        <w:rPr>
          <w:rFonts w:ascii="Times New Roman" w:hAnsi="Times New Roman" w:cs="Times New Roman"/>
          <w:b/>
          <w:color w:val="000000" w:themeColor="text1"/>
          <w:sz w:val="24"/>
          <w:szCs w:val="24"/>
        </w:rPr>
        <w:t>ion of findings and Implication of findings</w:t>
      </w:r>
    </w:p>
    <w:p w14:paraId="01B4D795" w14:textId="77777777" w:rsidR="00B70BB0" w:rsidRPr="00EB2675" w:rsidRDefault="00B70BB0">
      <w:pPr>
        <w:rPr>
          <w:rFonts w:ascii="Times New Roman" w:hAnsi="Times New Roman"/>
          <w:color w:val="000000" w:themeColor="text1"/>
        </w:rPr>
      </w:pPr>
    </w:p>
    <w:p w14:paraId="11BF168B" w14:textId="3EAA3150" w:rsidR="00B70BB0" w:rsidRPr="00EB2675" w:rsidRDefault="00C76947">
      <w:pPr>
        <w:jc w:val="both"/>
        <w:rPr>
          <w:rFonts w:ascii="Times New Roman" w:hAnsi="Times New Roman"/>
        </w:rPr>
      </w:pPr>
      <w:r w:rsidRPr="00EB2675">
        <w:rPr>
          <w:rFonts w:ascii="Times New Roman" w:eastAsia="Calibri" w:hAnsi="Times New Roman"/>
          <w:color w:val="000000" w:themeColor="text1"/>
        </w:rPr>
        <w:t>Hypothesis one (H</w:t>
      </w:r>
      <w:r w:rsidRPr="00EB2675">
        <w:rPr>
          <w:rFonts w:ascii="Times New Roman" w:eastAsia="Calibri" w:hAnsi="Times New Roman"/>
          <w:color w:val="000000" w:themeColor="text1"/>
          <w:vertAlign w:val="subscript"/>
        </w:rPr>
        <w:t>01</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01</w:t>
      </w:r>
      <w:r w:rsidRPr="00EB2675">
        <w:rPr>
          <w:rFonts w:ascii="Times New Roman" w:eastAsia="Calibri" w:hAnsi="Times New Roman"/>
          <w:i/>
          <w:color w:val="000000" w:themeColor="text1"/>
        </w:rPr>
        <w:t>: Audit Committee Independence do not moderate the relationship between Audit Firm Independence and Audit Quality of listed non service companies in Nigeria.</w:t>
      </w:r>
      <w:r w:rsidRPr="00EB2675">
        <w:rPr>
          <w:rFonts w:ascii="Times New Roman" w:eastAsia="Calibri" w:hAnsi="Times New Roman"/>
          <w:color w:val="000000" w:themeColor="text1"/>
        </w:rPr>
        <w:t xml:space="preserve">" As can be seen </w:t>
      </w:r>
      <w:r w:rsidRPr="00EB2675">
        <w:rPr>
          <w:rFonts w:ascii="Times New Roman" w:eastAsia="Calibri" w:hAnsi="Times New Roman"/>
          <w:color w:val="000000" w:themeColor="text1"/>
        </w:rPr>
        <w:t>in Table 9 above, t</w:t>
      </w:r>
      <w:r w:rsidRPr="00EB2675">
        <w:rPr>
          <w:rFonts w:ascii="Times New Roman" w:hAnsi="Times New Roman"/>
        </w:rPr>
        <w:t>he coefficient of Audit Firm Independence (AFI) is -7.5675 (</w:t>
      </w:r>
      <w:r w:rsidRPr="00EB2675">
        <w:rPr>
          <w:rFonts w:ascii="Times New Roman" w:hAnsi="Times New Roman"/>
          <w:i/>
          <w:iCs/>
        </w:rPr>
        <w:t>Z</w:t>
      </w:r>
      <w:r w:rsidRPr="00EB2675">
        <w:rPr>
          <w:rFonts w:ascii="Times New Roman" w:hAnsi="Times New Roman"/>
        </w:rPr>
        <w:t xml:space="preserve"> = -5.53, </w:t>
      </w:r>
      <w:r w:rsidRPr="00EB2675">
        <w:rPr>
          <w:rFonts w:ascii="Times New Roman" w:hAnsi="Times New Roman"/>
          <w:i/>
          <w:iCs/>
        </w:rPr>
        <w:t>p</w:t>
      </w:r>
      <w:r w:rsidRPr="00EB2675">
        <w:rPr>
          <w:rFonts w:ascii="Times New Roman" w:hAnsi="Times New Roman"/>
        </w:rPr>
        <w:t xml:space="preserve"> = 0.000), indicating a strong and statistically significant negative relationship with accruals even after incorporating Audit Committee Independence (ACI) as a mod</w:t>
      </w:r>
      <w:r w:rsidRPr="00EB2675">
        <w:rPr>
          <w:rFonts w:ascii="Times New Roman" w:hAnsi="Times New Roman"/>
        </w:rPr>
        <w:t>erator. This result reinforces the earlier FGLS outcome but with stronger magnitude, suggesting that the presence of an independent audit committee amplifies the positive effect of audit firm independence on audit quality. Essentially, higher AFI reduces e</w:t>
      </w:r>
      <w:r w:rsidRPr="00EB2675">
        <w:rPr>
          <w:rFonts w:ascii="Times New Roman" w:hAnsi="Times New Roman"/>
        </w:rPr>
        <w:t>arnings manipulation, thereby improving audit quality.</w:t>
      </w:r>
    </w:p>
    <w:p w14:paraId="6AD09ACD" w14:textId="77777777" w:rsidR="00B70BB0" w:rsidRPr="00EB2675" w:rsidRDefault="00B70BB0">
      <w:pPr>
        <w:jc w:val="both"/>
        <w:rPr>
          <w:rFonts w:ascii="Times New Roman" w:hAnsi="Times New Roman"/>
        </w:rPr>
      </w:pPr>
    </w:p>
    <w:p w14:paraId="5FCFA62D" w14:textId="77777777" w:rsidR="00B70BB0" w:rsidRPr="00EB2675" w:rsidRDefault="00C76947">
      <w:pPr>
        <w:jc w:val="both"/>
        <w:rPr>
          <w:rFonts w:ascii="Times New Roman" w:hAnsi="Times New Roman"/>
        </w:rPr>
      </w:pPr>
      <w:r w:rsidRPr="00EB2675">
        <w:rPr>
          <w:rFonts w:ascii="Times New Roman" w:hAnsi="Times New Roman"/>
        </w:rPr>
        <w:t>From a theoretical perspective, this outcome aligns with agency theory (Jensen &amp; Meckling, 1976) and stakeholder theory, where independence reduces information asymmetry and enhances monitoring effect</w:t>
      </w:r>
      <w:r w:rsidRPr="00EB2675">
        <w:rPr>
          <w:rFonts w:ascii="Times New Roman" w:hAnsi="Times New Roman"/>
        </w:rPr>
        <w:t>iveness. Empirically, this finding is consistent with</w:t>
      </w:r>
      <w:r w:rsidR="002D7D9C">
        <w:rPr>
          <w:rFonts w:ascii="Times New Roman" w:hAnsi="Times New Roman"/>
        </w:rPr>
        <w:t xml:space="preserve"> </w:t>
      </w:r>
      <w:r w:rsidR="002D7D9C">
        <w:rPr>
          <w:rFonts w:ascii="Times New Roman" w:hAnsi="Times New Roman"/>
        </w:rPr>
        <w:fldChar w:fldCharType="begin" w:fldLock="1"/>
      </w:r>
      <w:r w:rsidR="00B22D77">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2D7D9C">
        <w:rPr>
          <w:rFonts w:ascii="Times New Roman" w:hAnsi="Times New Roman"/>
        </w:rPr>
        <w:fldChar w:fldCharType="separate"/>
      </w:r>
      <w:r w:rsidR="002D7D9C" w:rsidRPr="002D7D9C">
        <w:rPr>
          <w:rFonts w:ascii="Times New Roman" w:hAnsi="Times New Roman"/>
          <w:noProof/>
        </w:rPr>
        <w:t xml:space="preserve">Ojeaga </w:t>
      </w:r>
      <w:r w:rsidR="002D7D9C">
        <w:rPr>
          <w:rFonts w:ascii="Times New Roman" w:hAnsi="Times New Roman"/>
          <w:noProof/>
        </w:rPr>
        <w:t>and</w:t>
      </w:r>
      <w:r w:rsidR="002D7D9C" w:rsidRPr="002D7D9C">
        <w:rPr>
          <w:rFonts w:ascii="Times New Roman" w:hAnsi="Times New Roman"/>
          <w:noProof/>
        </w:rPr>
        <w:t xml:space="preserve"> Ezejiofor</w:t>
      </w:r>
      <w:r w:rsidR="002D7D9C">
        <w:rPr>
          <w:rFonts w:ascii="Times New Roman" w:hAnsi="Times New Roman"/>
          <w:noProof/>
        </w:rPr>
        <w:t xml:space="preserve"> (</w:t>
      </w:r>
      <w:r w:rsidR="002D7D9C" w:rsidRPr="002D7D9C">
        <w:rPr>
          <w:rFonts w:ascii="Times New Roman" w:hAnsi="Times New Roman"/>
          <w:noProof/>
        </w:rPr>
        <w:t>2023)</w:t>
      </w:r>
      <w:r w:rsidR="002D7D9C">
        <w:rPr>
          <w:rFonts w:ascii="Times New Roman" w:hAnsi="Times New Roman"/>
        </w:rPr>
        <w:fldChar w:fldCharType="end"/>
      </w:r>
      <w:r w:rsidR="00B22D77">
        <w:rPr>
          <w:rFonts w:ascii="Times New Roman" w:hAnsi="Times New Roman"/>
        </w:rPr>
        <w:t xml:space="preserve">, </w:t>
      </w:r>
      <w:r w:rsidRPr="00EB2675">
        <w:rPr>
          <w:rFonts w:ascii="Times New Roman" w:hAnsi="Times New Roman"/>
        </w:rPr>
        <w:t>who assert that combining auditor independence with effective board oversight fosters greater transparency and accountab</w:t>
      </w:r>
      <w:r w:rsidRPr="00EB2675">
        <w:rPr>
          <w:rFonts w:ascii="Times New Roman" w:hAnsi="Times New Roman"/>
        </w:rPr>
        <w:t xml:space="preserve">ility in emerging economies while it is not consistent with the findings of </w:t>
      </w:r>
      <w:r w:rsidR="00B22D77">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setting","type":"article-journal","volume":"14"},"uris":["http://www.mendeley.com/documents/?uuid=d0ea5fc1-6f2f-43c3-84c1-4612567b50a5"]},{"id":"ITEM-2","itemData":{"DOI":"10.32535/ijabim.v6i2.1147","ISSN":"26147432","abstract":"The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Management","id":"ITEM-2","issue":"2","issued":{"date-parts":[["2021"]]},"page":"55-67","title":"The effect of auditor's emotional intelligence, competence, and independence on audit quality","type":"article-journal","volume":"6"},"uris":["http://www.mendeley.com/documents/?uuid=5df1a983-06d3-40d8-b43e-13098b353685"]}],"mendeley":{"formattedCitation":"(Pinatik, 2021; Yahaya &amp; Onyabe, 2022)","manualFormatting":"Pinatik, (2021) and Yahaya and Onyabe (2022)","plainTextFormattedCitation":"(Pinatik, 2021; Yahaya &amp; Onyabe, 2022)","previouslyFormattedCitation":"(Pinatik, 2021; Yahaya &amp; Onyabe, 2022)"},"properties":{"noteIndex":0},"schema":"https://github.com/citation-style-language/schema/raw/master/csl-citation.json"}</w:instrText>
      </w:r>
      <w:r w:rsidR="00B22D77">
        <w:rPr>
          <w:rFonts w:ascii="Times New Roman" w:hAnsi="Times New Roman"/>
        </w:rPr>
        <w:fldChar w:fldCharType="separate"/>
      </w:r>
      <w:r w:rsidR="00B22D77" w:rsidRPr="00B22D77">
        <w:rPr>
          <w:rFonts w:ascii="Times New Roman" w:hAnsi="Times New Roman"/>
          <w:noProof/>
        </w:rPr>
        <w:t xml:space="preserve">Pinatik, </w:t>
      </w:r>
      <w:r w:rsidR="00B22D77">
        <w:rPr>
          <w:rFonts w:ascii="Times New Roman" w:hAnsi="Times New Roman"/>
          <w:noProof/>
        </w:rPr>
        <w:t>(</w:t>
      </w:r>
      <w:r w:rsidR="00B22D77" w:rsidRPr="00B22D77">
        <w:rPr>
          <w:rFonts w:ascii="Times New Roman" w:hAnsi="Times New Roman"/>
          <w:noProof/>
        </w:rPr>
        <w:t>2021</w:t>
      </w:r>
      <w:r w:rsidR="00B22D77">
        <w:rPr>
          <w:rFonts w:ascii="Times New Roman" w:hAnsi="Times New Roman"/>
          <w:noProof/>
        </w:rPr>
        <w:t>) and</w:t>
      </w:r>
      <w:r w:rsidR="00B22D77" w:rsidRPr="00B22D77">
        <w:rPr>
          <w:rFonts w:ascii="Times New Roman" w:hAnsi="Times New Roman"/>
          <w:noProof/>
        </w:rPr>
        <w:t xml:space="preserve"> Yahaya </w:t>
      </w:r>
      <w:r w:rsidR="00B22D77">
        <w:rPr>
          <w:rFonts w:ascii="Times New Roman" w:hAnsi="Times New Roman"/>
          <w:noProof/>
        </w:rPr>
        <w:t>and</w:t>
      </w:r>
      <w:r w:rsidR="00B22D77" w:rsidRPr="00B22D77">
        <w:rPr>
          <w:rFonts w:ascii="Times New Roman" w:hAnsi="Times New Roman"/>
          <w:noProof/>
        </w:rPr>
        <w:t xml:space="preserve"> Onyabe </w:t>
      </w:r>
      <w:r w:rsidR="00B22D77">
        <w:rPr>
          <w:rFonts w:ascii="Times New Roman" w:hAnsi="Times New Roman"/>
          <w:noProof/>
        </w:rPr>
        <w:t>(</w:t>
      </w:r>
      <w:r w:rsidR="00B22D77" w:rsidRPr="00B22D77">
        <w:rPr>
          <w:rFonts w:ascii="Times New Roman" w:hAnsi="Times New Roman"/>
          <w:noProof/>
        </w:rPr>
        <w:t>2022)</w:t>
      </w:r>
      <w:r w:rsidR="00B22D77">
        <w:rPr>
          <w:rFonts w:ascii="Times New Roman" w:hAnsi="Times New Roman"/>
        </w:rPr>
        <w:fldChar w:fldCharType="end"/>
      </w:r>
      <w:r w:rsidRPr="00EB2675">
        <w:rPr>
          <w:rFonts w:ascii="Times New Roman" w:hAnsi="Times New Roman"/>
          <w:b/>
          <w:bCs/>
        </w:rPr>
        <w:t>.</w:t>
      </w:r>
    </w:p>
    <w:p w14:paraId="3C27085B" w14:textId="77777777" w:rsidR="00B70BB0" w:rsidRPr="00EB2675" w:rsidRDefault="00C76947">
      <w:pPr>
        <w:jc w:val="both"/>
        <w:rPr>
          <w:rFonts w:ascii="Times New Roman" w:hAnsi="Times New Roman"/>
        </w:rPr>
      </w:pPr>
      <w:r w:rsidRPr="00EB2675">
        <w:rPr>
          <w:rFonts w:ascii="Times New Roman" w:hAnsi="Times New Roman"/>
        </w:rPr>
        <w:t>In the</w:t>
      </w:r>
      <w:r w:rsidRPr="00EB2675">
        <w:rPr>
          <w:rFonts w:ascii="Times New Roman" w:hAnsi="Times New Roman"/>
        </w:rPr>
        <w:t xml:space="preserve"> context of the United Nations Sustainable Development Goals (SDGs), this result contributes directly to SDG 16 (Peace, Justice, and Strong Institutions) by promoting institutional integrity and transparent reporting mechanisms. It also supports SDG 9 (Ind</w:t>
      </w:r>
      <w:r w:rsidRPr="00EB2675">
        <w:rPr>
          <w:rFonts w:ascii="Times New Roman" w:hAnsi="Times New Roman"/>
        </w:rPr>
        <w:t>ustry, Innovation, and Infrastructure), as improved audit quality strengthens financial reporting infrastructure essential for investment confidence and innovation-led growth.</w:t>
      </w:r>
    </w:p>
    <w:p w14:paraId="40785623" w14:textId="77777777" w:rsidR="00B70BB0" w:rsidRPr="00EB2675" w:rsidRDefault="00B70BB0">
      <w:pPr>
        <w:jc w:val="both"/>
        <w:rPr>
          <w:rFonts w:ascii="Times New Roman" w:hAnsi="Times New Roman"/>
        </w:rPr>
      </w:pPr>
    </w:p>
    <w:p w14:paraId="638D56B4" w14:textId="77777777" w:rsidR="00B70BB0" w:rsidRPr="00EB2675" w:rsidRDefault="00B70BB0">
      <w:pPr>
        <w:jc w:val="both"/>
        <w:rPr>
          <w:rFonts w:ascii="Times New Roman" w:eastAsia="Calibri" w:hAnsi="Times New Roman"/>
          <w:color w:val="000000" w:themeColor="text1"/>
        </w:rPr>
      </w:pPr>
    </w:p>
    <w:p w14:paraId="40441700" w14:textId="0A3158D4" w:rsidR="00B70BB0" w:rsidRPr="00EB2675" w:rsidRDefault="00C76947">
      <w:pPr>
        <w:jc w:val="both"/>
        <w:rPr>
          <w:rFonts w:ascii="Times New Roman" w:hAnsi="Times New Roman"/>
        </w:rPr>
      </w:pPr>
      <w:r w:rsidRPr="00EB2675">
        <w:rPr>
          <w:rFonts w:ascii="Times New Roman" w:eastAsia="Calibri" w:hAnsi="Times New Roman"/>
          <w:color w:val="000000" w:themeColor="text1"/>
        </w:rPr>
        <w:t>The second hypothesis (H</w:t>
      </w:r>
      <w:r w:rsidRPr="00EB2675">
        <w:rPr>
          <w:rFonts w:ascii="Times New Roman" w:eastAsia="Calibri" w:hAnsi="Times New Roman"/>
          <w:color w:val="000000" w:themeColor="text1"/>
          <w:vertAlign w:val="subscript"/>
        </w:rPr>
        <w:t>02</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w:t>
      </w:r>
      <w:r w:rsidR="00AC34AB">
        <w:rPr>
          <w:rFonts w:ascii="Times New Roman" w:eastAsia="Calibri" w:hAnsi="Times New Roman"/>
          <w:i/>
          <w:color w:val="000000" w:themeColor="text1"/>
          <w:vertAlign w:val="subscript"/>
        </w:rPr>
        <w:t>2</w:t>
      </w:r>
      <w:r w:rsidRPr="00EB2675">
        <w:rPr>
          <w:rFonts w:ascii="Times New Roman" w:eastAsia="Calibri" w:hAnsi="Times New Roman"/>
          <w:i/>
          <w:color w:val="000000" w:themeColor="text1"/>
        </w:rPr>
        <w:t xml:space="preserve">: Audit Committee Independence do </w:t>
      </w:r>
      <w:r w:rsidRPr="00EB2675">
        <w:rPr>
          <w:rFonts w:ascii="Times New Roman" w:eastAsia="Calibri" w:hAnsi="Times New Roman"/>
          <w:i/>
          <w:color w:val="000000" w:themeColor="text1"/>
        </w:rPr>
        <w:t>not moderate the relationship between Audit Fees and Audit Quality of listed non service companies in Nigeria.</w:t>
      </w:r>
      <w:r w:rsidRPr="00EB2675">
        <w:rPr>
          <w:rFonts w:ascii="Times New Roman" w:eastAsia="Calibri" w:hAnsi="Times New Roman"/>
          <w:color w:val="000000" w:themeColor="text1"/>
        </w:rPr>
        <w:t xml:space="preserve">" </w:t>
      </w:r>
      <w:r w:rsidRPr="00EB2675">
        <w:rPr>
          <w:rFonts w:ascii="Times New Roman" w:hAnsi="Times New Roman"/>
          <w:color w:val="000000" w:themeColor="text1"/>
        </w:rPr>
        <w:t xml:space="preserve"> </w:t>
      </w:r>
      <w:r w:rsidRPr="00EB2675">
        <w:rPr>
          <w:rFonts w:ascii="Times New Roman" w:eastAsia="Calibri" w:hAnsi="Times New Roman"/>
          <w:color w:val="000000" w:themeColor="text1"/>
        </w:rPr>
        <w:t xml:space="preserve">According to Table 9, </w:t>
      </w:r>
      <w:r w:rsidRPr="00EB2675">
        <w:rPr>
          <w:rFonts w:ascii="Times New Roman" w:hAnsi="Times New Roman"/>
        </w:rPr>
        <w:t>The coefficient for Audit Fees (AFE) is 0.1946 (</w:t>
      </w:r>
      <w:r w:rsidRPr="00EB2675">
        <w:rPr>
          <w:rFonts w:ascii="Times New Roman" w:hAnsi="Times New Roman"/>
          <w:i/>
          <w:iCs/>
        </w:rPr>
        <w:t>Z</w:t>
      </w:r>
      <w:r w:rsidRPr="00EB2675">
        <w:rPr>
          <w:rFonts w:ascii="Times New Roman" w:hAnsi="Times New Roman"/>
        </w:rPr>
        <w:t xml:space="preserve"> = 3.31, </w:t>
      </w:r>
      <w:r w:rsidRPr="00EB2675">
        <w:rPr>
          <w:rFonts w:ascii="Times New Roman" w:hAnsi="Times New Roman"/>
          <w:i/>
          <w:iCs/>
        </w:rPr>
        <w:t>p</w:t>
      </w:r>
      <w:r w:rsidRPr="00EB2675">
        <w:rPr>
          <w:rFonts w:ascii="Times New Roman" w:hAnsi="Times New Roman"/>
        </w:rPr>
        <w:t xml:space="preserve"> = 0.001), indicating a statistically significant positive rel</w:t>
      </w:r>
      <w:r w:rsidRPr="00EB2675">
        <w:rPr>
          <w:rFonts w:ascii="Times New Roman" w:hAnsi="Times New Roman"/>
        </w:rPr>
        <w:t>ationship with accruals, implying that higher audit fees continue to reduce audit quality even in the presence of audit committee moderation. This result suggests that while audit committees enhance oversight, they may not entirely eliminate the economic d</w:t>
      </w:r>
      <w:r w:rsidRPr="00EB2675">
        <w:rPr>
          <w:rFonts w:ascii="Times New Roman" w:hAnsi="Times New Roman"/>
        </w:rPr>
        <w:t xml:space="preserve">ependence risks created by excessive audit remuneration. This outcome is similar the </w:t>
      </w:r>
      <w:r w:rsidRPr="00EB2675">
        <w:rPr>
          <w:rFonts w:ascii="Times New Roman" w:hAnsi="Times New Roman"/>
        </w:rPr>
        <w:lastRenderedPageBreak/>
        <w:t xml:space="preserve">result that is without moderation as can be seen in Table 8.  It supports findings from </w:t>
      </w:r>
      <w:r w:rsidR="00AC34AB">
        <w:rPr>
          <w:rFonts w:ascii="Times New Roman" w:hAnsi="Times New Roman"/>
        </w:rPr>
        <w:fldChar w:fldCharType="begin" w:fldLock="1"/>
      </w:r>
      <w:r w:rsidR="00AC34AB">
        <w:rPr>
          <w:rFonts w:ascii="Times New Roman" w:hAnsi="Times New Roman"/>
        </w:rPr>
        <w:instrText>ADDIN CSL_CITATION {"citationItems":[{"id":"ITEM-1","itemData":{"DOI":"10.47772/IJRISS","abstract":"Successful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(IJRISS)","id":"ITEM-1","issue":"1","issued":{"date-parts":[["2025"]]},"page":"1506-1524","title":"Attributes of auditor’s independence, audit fees and audit quality in listed deposit money banks in Nigeria","type":"article-journal","volume":"IX"},"uris":["http://www.mendeley.com/documents/?uuid=834ef134-2afd-4d7f-b2a7-b282c7ba37cb"]}],"mendeley":{"formattedCitation":"(Ime et al., 2025)","manualFormatting":"Ime et al., (2025)","plainTextFormattedCitation":"(Ime et al., 2025)","previouslyFormattedCitation":"(Ime et al.,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Ime et al., </w:t>
      </w:r>
      <w:r w:rsidR="00AC34AB">
        <w:rPr>
          <w:rFonts w:ascii="Times New Roman" w:hAnsi="Times New Roman"/>
          <w:noProof/>
        </w:rPr>
        <w:t>(</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Yahaya </w:t>
      </w:r>
      <w:r w:rsidR="00AC34AB">
        <w:rPr>
          <w:rFonts w:ascii="Times New Roman" w:hAnsi="Times New Roman"/>
          <w:noProof/>
        </w:rPr>
        <w:t>and</w:t>
      </w:r>
      <w:r w:rsidR="00AC34AB" w:rsidRPr="00AC34AB">
        <w:rPr>
          <w:rFonts w:ascii="Times New Roman" w:hAnsi="Times New Roman"/>
          <w:noProof/>
        </w:rPr>
        <w:t xml:space="preserve"> Onyabe</w:t>
      </w:r>
      <w:r w:rsidR="00AC34AB">
        <w:rPr>
          <w:rFonts w:ascii="Times New Roman" w:hAnsi="Times New Roman"/>
          <w:noProof/>
        </w:rPr>
        <w:t xml:space="preserve"> (</w:t>
      </w:r>
      <w:r w:rsidR="00AC34AB" w:rsidRPr="00AC34AB">
        <w:rPr>
          <w:rFonts w:ascii="Times New Roman" w:hAnsi="Times New Roman"/>
          <w:noProof/>
        </w:rPr>
        <w:t>2022)</w:t>
      </w:r>
      <w:r w:rsidR="00AC34AB">
        <w:rPr>
          <w:rFonts w:ascii="Times New Roman" w:hAnsi="Times New Roman"/>
        </w:rPr>
        <w:fldChar w:fldCharType="end"/>
      </w:r>
      <w:r w:rsidR="00AC34AB">
        <w:rPr>
          <w:rFonts w:ascii="Times New Roman" w:hAnsi="Times New Roman"/>
        </w:rPr>
        <w:t xml:space="preserve"> </w:t>
      </w:r>
      <w:r w:rsidRPr="00EB2675">
        <w:rPr>
          <w:rFonts w:ascii="Times New Roman" w:hAnsi="Times New Roman"/>
        </w:rPr>
        <w:t>which demonstrate that audit fee</w:t>
      </w:r>
      <w:r w:rsidR="00AC34AB">
        <w:rPr>
          <w:rFonts w:ascii="Times New Roman" w:hAnsi="Times New Roman"/>
        </w:rPr>
        <w:t>s</w:t>
      </w:r>
      <w:r w:rsidRPr="00EB2675">
        <w:rPr>
          <w:rFonts w:ascii="Times New Roman" w:hAnsi="Times New Roman"/>
        </w:rPr>
        <w:t xml:space="preserve"> dependency can create self-interest threats that impair auditor objectivity, especially in markets with weaker enforcement mechanisms while disagree with the findings of </w:t>
      </w:r>
      <w:r w:rsidR="00AC34AB">
        <w:rPr>
          <w:rFonts w:ascii="Times New Roman" w:hAnsi="Times New Roman"/>
        </w:rPr>
        <w:fldChar w:fldCharType="begin" w:fldLock="1"/>
      </w:r>
      <w:r w:rsidR="00AC34AB">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2025)","manualFormatting":"Schatt (2025)","plainTextFormattedCitation":"(Schatt, 2025)","previouslyFormattedCitation":"(Schatt,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Schatt</w:t>
      </w:r>
      <w:r w:rsidR="00AC34AB">
        <w:rPr>
          <w:rFonts w:ascii="Times New Roman" w:hAnsi="Times New Roman"/>
          <w:noProof/>
        </w:rPr>
        <w:t xml:space="preserve"> (</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E064AE">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Li </w:t>
      </w:r>
      <w:r w:rsidR="00AC34AB">
        <w:rPr>
          <w:rFonts w:ascii="Times New Roman" w:hAnsi="Times New Roman"/>
          <w:noProof/>
        </w:rPr>
        <w:t>(</w:t>
      </w:r>
      <w:r w:rsidR="00AC34AB" w:rsidRPr="00AC34AB">
        <w:rPr>
          <w:rFonts w:ascii="Times New Roman" w:hAnsi="Times New Roman"/>
          <w:noProof/>
        </w:rPr>
        <w:t>2023)</w:t>
      </w:r>
      <w:r w:rsidR="00AC34AB">
        <w:rPr>
          <w:rFonts w:ascii="Times New Roman" w:hAnsi="Times New Roman"/>
        </w:rPr>
        <w:fldChar w:fldCharType="end"/>
      </w:r>
      <w:r w:rsidRPr="00EB2675">
        <w:rPr>
          <w:rFonts w:ascii="Times New Roman" w:hAnsi="Times New Roman"/>
          <w:b/>
          <w:bCs/>
        </w:rPr>
        <w:t>.</w:t>
      </w:r>
    </w:p>
    <w:p w14:paraId="0F332C27" w14:textId="77777777" w:rsidR="00B70BB0" w:rsidRPr="00EB2675" w:rsidRDefault="00C76947">
      <w:pPr>
        <w:jc w:val="both"/>
        <w:rPr>
          <w:rFonts w:ascii="Times New Roman" w:hAnsi="Times New Roman"/>
        </w:rPr>
      </w:pPr>
      <w:r w:rsidRPr="00EB2675">
        <w:rPr>
          <w:rFonts w:ascii="Times New Roman" w:hAnsi="Times New Roman"/>
        </w:rPr>
        <w:t xml:space="preserve">Nonetheless, moderate and performance-aligned audit fees can still encourage </w:t>
      </w:r>
      <w:r w:rsidRPr="00EB2675">
        <w:rPr>
          <w:rFonts w:ascii="Times New Roman" w:hAnsi="Times New Roman"/>
        </w:rPr>
        <w:t>audit diligence, aligning with SDG 8 (Decent Work and Economic Growth) by promoting fair remuneration practices and sustainable professional standards. Hence, regulatory bodies such as the Financial Reporting Council of Nigeria (FRCN) should ensure transpa</w:t>
      </w:r>
      <w:r w:rsidRPr="00EB2675">
        <w:rPr>
          <w:rFonts w:ascii="Times New Roman" w:hAnsi="Times New Roman"/>
        </w:rPr>
        <w:t>rent fee disclosures and enforce periodic audit quality reviews to balance auditor incentives and independence.</w:t>
      </w:r>
    </w:p>
    <w:p w14:paraId="39317CC8" w14:textId="77777777" w:rsidR="00B70BB0" w:rsidRPr="00EB2675" w:rsidRDefault="00B70BB0">
      <w:pPr>
        <w:jc w:val="both"/>
        <w:rPr>
          <w:rFonts w:ascii="Times New Roman" w:eastAsia="Calibri" w:hAnsi="Times New Roman"/>
          <w:color w:val="000000" w:themeColor="text1"/>
        </w:rPr>
      </w:pPr>
    </w:p>
    <w:p w14:paraId="3A8CC95E" w14:textId="77777777" w:rsidR="00B70BB0" w:rsidRPr="00EB2675" w:rsidRDefault="00B70BB0">
      <w:pPr>
        <w:jc w:val="both"/>
        <w:rPr>
          <w:rFonts w:ascii="Times New Roman" w:eastAsia="Calibri" w:hAnsi="Times New Roman"/>
          <w:color w:val="000000" w:themeColor="text1"/>
        </w:rPr>
      </w:pPr>
    </w:p>
    <w:p w14:paraId="4615E447" w14:textId="2B93BA86" w:rsidR="00B70BB0" w:rsidRPr="00EB2675" w:rsidRDefault="00C76947">
      <w:pPr>
        <w:jc w:val="both"/>
        <w:rPr>
          <w:rFonts w:ascii="Times New Roman" w:hAnsi="Times New Roman"/>
        </w:rPr>
      </w:pPr>
      <w:r w:rsidRPr="00EB2675">
        <w:rPr>
          <w:rFonts w:ascii="Times New Roman" w:eastAsia="Calibri" w:hAnsi="Times New Roman"/>
          <w:color w:val="000000" w:themeColor="text1"/>
        </w:rPr>
        <w:t>The study evaluates the moderating effect of Audit Committee Independence on the relationship between Audit Partner Rotation and Audit Quality</w:t>
      </w:r>
      <w:r w:rsidRPr="00EB2675">
        <w:rPr>
          <w:rFonts w:ascii="Times New Roman" w:eastAsia="Calibri" w:hAnsi="Times New Roman"/>
          <w:color w:val="000000" w:themeColor="text1"/>
        </w:rPr>
        <w:t xml:space="preserve"> of listed non-service companies in Nigeria. Hypothesis three (H</w:t>
      </w:r>
      <w:r w:rsidRPr="00EB2675">
        <w:rPr>
          <w:rFonts w:ascii="Times New Roman" w:eastAsia="Calibri" w:hAnsi="Times New Roman"/>
          <w:color w:val="000000" w:themeColor="text1"/>
          <w:vertAlign w:val="subscript"/>
        </w:rPr>
        <w:t>03</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Audit Committee Independence do not moderate the relationship between Audit Partner Rotation and Audit Quality of listed non service companies in Nigeria.</w:t>
      </w:r>
      <w:r w:rsidRPr="00EB2675">
        <w:rPr>
          <w:rFonts w:ascii="Times New Roman" w:eastAsia="Calibri" w:hAnsi="Times New Roman"/>
          <w:color w:val="000000" w:themeColor="text1"/>
        </w:rPr>
        <w:t>" The analysis, refle</w:t>
      </w:r>
      <w:r w:rsidRPr="00EB2675">
        <w:rPr>
          <w:rFonts w:ascii="Times New Roman" w:eastAsia="Calibri" w:hAnsi="Times New Roman"/>
          <w:color w:val="000000" w:themeColor="text1"/>
        </w:rPr>
        <w:t xml:space="preserve">cted in Table 9, </w:t>
      </w:r>
      <w:r w:rsidRPr="00EB2675">
        <w:rPr>
          <w:rFonts w:ascii="Times New Roman" w:hAnsi="Times New Roman"/>
        </w:rPr>
        <w:t>The coefficient of Audit Partner Rotation (APR) is 0.4574 (</w:t>
      </w:r>
      <w:r w:rsidRPr="00EB2675">
        <w:rPr>
          <w:rFonts w:ascii="Times New Roman" w:hAnsi="Times New Roman"/>
          <w:i/>
          <w:iCs/>
        </w:rPr>
        <w:t>Z</w:t>
      </w:r>
      <w:r w:rsidRPr="00EB2675">
        <w:rPr>
          <w:rFonts w:ascii="Times New Roman" w:hAnsi="Times New Roman"/>
        </w:rPr>
        <w:t xml:space="preserve"> = 1.48, </w:t>
      </w:r>
      <w:r w:rsidRPr="00EB2675">
        <w:rPr>
          <w:rFonts w:ascii="Times New Roman" w:hAnsi="Times New Roman"/>
          <w:i/>
          <w:iCs/>
        </w:rPr>
        <w:t>p</w:t>
      </w:r>
      <w:r w:rsidRPr="00EB2675">
        <w:rPr>
          <w:rFonts w:ascii="Times New Roman" w:hAnsi="Times New Roman"/>
        </w:rPr>
        <w:t xml:space="preserve"> = 0.139), which is positive but not statistically significant even at the 10% level of significance as result the study failed to reject hypothesis three. However, the outcome was positive and significance without moderation where increase in Audit partne</w:t>
      </w:r>
      <w:r w:rsidRPr="00EB2675">
        <w:rPr>
          <w:rFonts w:ascii="Times New Roman" w:hAnsi="Times New Roman"/>
        </w:rPr>
        <w:t>r Rotation will lead to increase in accrual there by decreasing audit quality as can be seen in Table.8. This finding suggests that audit partner rotation has a weak and inconclusive effect on audit quality when moderated by audit committee independence. W</w:t>
      </w:r>
      <w:r w:rsidRPr="00EB2675">
        <w:rPr>
          <w:rFonts w:ascii="Times New Roman" w:hAnsi="Times New Roman"/>
        </w:rPr>
        <w:t>hile rotation is designed to prevent familiarity threats and enhance objectivity, excessive frequency may disrupt continuity and reduce client-specific knowledge, thus offsetting potential benefits.</w:t>
      </w:r>
    </w:p>
    <w:p w14:paraId="50E35C6C" w14:textId="77777777" w:rsidR="00B70BB0" w:rsidRPr="00EB2675" w:rsidRDefault="00C76947">
      <w:pPr>
        <w:jc w:val="both"/>
        <w:rPr>
          <w:rFonts w:ascii="Times New Roman" w:hAnsi="Times New Roman"/>
        </w:rPr>
      </w:pPr>
      <w:r w:rsidRPr="00EB2675">
        <w:rPr>
          <w:rFonts w:ascii="Times New Roman" w:hAnsi="Times New Roman"/>
        </w:rPr>
        <w:t>This outcome resonates with</w:t>
      </w:r>
      <w:r w:rsidR="00E064AE">
        <w:rPr>
          <w:rFonts w:ascii="Times New Roman" w:hAnsi="Times New Roman"/>
        </w:rPr>
        <w:t xml:space="preserve"> </w:t>
      </w:r>
      <w:r w:rsidR="00E064AE">
        <w:rPr>
          <w:rFonts w:ascii="Times New Roman" w:hAnsi="Times New Roman"/>
        </w:rPr>
        <w:fldChar w:fldCharType="begin" w:fldLock="1"/>
      </w:r>
      <w:r w:rsidR="00E064AE">
        <w:rPr>
          <w:rFonts w:ascii="Times New Roman" w:hAnsi="Times New Roman"/>
        </w:rPr>
        <w:instrText>ADDIN CSL_CITATION {"citationItems":[{"id":"ITEM-1","itemData":{"author":[{"dropping-particle":"","family":"Chijoke","given":"Oscar Mgbame","non-dropping-particle":"","parse-names":false,"suffix":""},{"dropping-particle":"","family":"Emmanuel","given":"Eragbhe","non-dropping-particle":"","parse-names":false,"suffix":""},{"dropping-particle":"","family":"Nosakhare","given":"Peter Osazuwa","non-dropping-particle":"","parse-names":false,"suffix":""}],"container-title":"European Journal of Business and Management","id":"ITEM-1","issue":"7","issued":{"date-parts":[["2012"]]},"page":"154-163","title":"Audit partner tenure and audit quality: An empirical analysis","type":"article-journal","volume":"4"},"uris":["http://www.mendeley.com/documents/?uuid=8ac4bd33-5a3d-4012-bcef-35ac2f19e0d5"]},{"id":"ITEM-2","itemData":{"author":[{"dropping-particle":"","family":"Wuchun","given":"Chi","non-dropping-particle":"","parse-names":false,"suffix":""},{"dropping-particle":"","family":"Huichi","given":"Huang","non-dropping-particle":"","parse-names":false,"suffix":""},{"dropping-particle":"","family":"Yichun","given":"Liao","non-dropping-particle":"","parse-names":false,"suffix":""},{"dropping-particle":"","family":"Hong","given":"Xie","non-dropping-particle":"","parse-names":false,"suffix":""}],"container-title":"Contemporary Accounting Research","id":"ITEM-2","issue":"2","issued":{"date-parts":[["2010"]]},"page":"359-391","title":"Mandatory audit partner rotation, audit quality, and market perception: Evidence from Taiwan","type":"article-journal","volume":"26"},"uris":["http://www.mendeley.com/documents/?uuid=2f7545f3-dd0e-4a2b-83ef-d7a43011f531"]}],"mendeley":{"formattedCitation":"(Chijoke et al., 2012; Wuchun et al., 2010)","manualFormatting":"Chijoke et al., (2012) and Wuchun et al., (2010)","plainTextFormattedCitation":"(Chijoke et al., 2012; Wuchun et al., 2010)","previouslyFormattedCitation":"(Chijoke et al., 2012; Wuchun et al., 2010)"},"properties":{"noteIndex":0},"schema":"https://github.com/citation-style-language/schema/raw/master/csl-citation.json"}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Chijoke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Wuchun et al., </w:t>
      </w:r>
      <w:r w:rsidR="00E064AE">
        <w:rPr>
          <w:rFonts w:ascii="Times New Roman" w:hAnsi="Times New Roman"/>
          <w:noProof/>
        </w:rPr>
        <w:t>(</w:t>
      </w:r>
      <w:r w:rsidR="00E064AE" w:rsidRPr="00E064AE">
        <w:rPr>
          <w:rFonts w:ascii="Times New Roman" w:hAnsi="Times New Roman"/>
          <w:noProof/>
        </w:rPr>
        <w:t>2010)</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argue that the effectiveness of rotation policies depends largely on the institutional and enforcement context while it disagree with the study conducted by</w:t>
      </w:r>
      <w:r w:rsidR="00E064AE">
        <w:rPr>
          <w:rFonts w:ascii="Times New Roman" w:hAnsi="Times New Roman"/>
        </w:rPr>
        <w:t xml:space="preserve"> </w:t>
      </w:r>
      <w:r w:rsidR="00E064AE">
        <w:rPr>
          <w:rFonts w:ascii="Times New Roman" w:hAnsi="Times New Roman"/>
        </w:rPr>
        <w:fldChar w:fldCharType="begin" w:fldLock="1"/>
      </w:r>
      <w:r w:rsidR="000B262D">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quality?","type":"article-journal","volume":"89"},"uris":["http://www.mendeley.com/documents/?uuid=54adb9eb-c866-43e8-9241-e51b831ca2f2"]},{"id":"ITEM-2","itemData":{"abstract":"Using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Theory","id":"ITEM-2","issue":"1","issued":{"date-parts":[["2012"]]},"page":"97–114","title":"An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 Clive et al., 2014)","manualFormatting":"Brian et al., (2012) and Clive et al., (2014)","plainTextFormattedCitation":"(Brian et al., 2012; Clive et al., 2014)","previouslyFormattedCitation":"(Brian et al., 2012; Clive et al., 2014)"},"properties":{"noteIndex":0},"schema":"https://github.com/citation-style-language/schema/raw/master/csl-citation.json"}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Brian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Clive et al., </w:t>
      </w:r>
      <w:r w:rsidR="00E064AE">
        <w:rPr>
          <w:rFonts w:ascii="Times New Roman" w:hAnsi="Times New Roman"/>
          <w:noProof/>
        </w:rPr>
        <w:t>(</w:t>
      </w:r>
      <w:r w:rsidR="00E064AE" w:rsidRPr="00E064AE">
        <w:rPr>
          <w:rFonts w:ascii="Times New Roman" w:hAnsi="Times New Roman"/>
          <w:noProof/>
        </w:rPr>
        <w:t>2014)</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Within Nigeria’s governance environment, the limited significance implies that audit committee independence alone may not sufficiently strengthen the benefits of rotation, necessitating complementar</w:t>
      </w:r>
      <w:r w:rsidRPr="00EB2675">
        <w:rPr>
          <w:rFonts w:ascii="Times New Roman" w:hAnsi="Times New Roman"/>
        </w:rPr>
        <w:t>y regulatory oversight and continuous auditor training.</w:t>
      </w:r>
    </w:p>
    <w:p w14:paraId="3D5D72E7" w14:textId="77777777" w:rsidR="00B70BB0" w:rsidRPr="00EB2675" w:rsidRDefault="00C76947">
      <w:pPr>
        <w:jc w:val="both"/>
        <w:rPr>
          <w:rFonts w:ascii="Times New Roman" w:hAnsi="Times New Roman"/>
        </w:rPr>
      </w:pPr>
      <w:r w:rsidRPr="00EB2675">
        <w:rPr>
          <w:rFonts w:ascii="Times New Roman" w:hAnsi="Times New Roman"/>
        </w:rPr>
        <w:t>From a sustainability perspective, this result indirectly relates to SDG 12 (Responsible Consumption and Production), as it reflects the need for efficiency and accountability in professional resource</w:t>
      </w:r>
      <w:r w:rsidRPr="00EB2675">
        <w:rPr>
          <w:rFonts w:ascii="Times New Roman" w:hAnsi="Times New Roman"/>
        </w:rPr>
        <w:t xml:space="preserve"> deployment ensuring that rotation policies yield genuine governance benefits rather than procedural compliance.</w:t>
      </w:r>
    </w:p>
    <w:p w14:paraId="450DCF53" w14:textId="77777777" w:rsidR="00B70BB0" w:rsidRPr="00EB2675" w:rsidRDefault="00B70BB0">
      <w:pPr>
        <w:jc w:val="both"/>
        <w:rPr>
          <w:rFonts w:ascii="Times New Roman" w:hAnsi="Times New Roman"/>
          <w:color w:val="000000" w:themeColor="text1"/>
        </w:rPr>
      </w:pPr>
    </w:p>
    <w:p w14:paraId="3DD780F7"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Conclusion and Recommendations</w:t>
      </w:r>
    </w:p>
    <w:p w14:paraId="0F7B4718" w14:textId="77777777" w:rsidR="00B70BB0" w:rsidRPr="00EB2675" w:rsidRDefault="00B70BB0">
      <w:pPr>
        <w:rPr>
          <w:rFonts w:ascii="Times New Roman" w:hAnsi="Times New Roman"/>
        </w:rPr>
      </w:pPr>
    </w:p>
    <w:p w14:paraId="07632283" w14:textId="77777777" w:rsidR="00B70BB0" w:rsidRDefault="00C76947" w:rsidP="00F83C81">
      <w:pPr>
        <w:jc w:val="both"/>
        <w:rPr>
          <w:rFonts w:ascii="Times New Roman" w:hAnsi="Times New Roman"/>
        </w:rPr>
      </w:pPr>
      <w:r w:rsidRPr="00EB2675">
        <w:rPr>
          <w:rFonts w:ascii="Times New Roman" w:hAnsi="Times New Roman"/>
        </w:rPr>
        <w:t>This study set out to examine the moderating effect of Audit Committee Independence (ACI) on the relations</w:t>
      </w:r>
      <w:r w:rsidRPr="00EB2675">
        <w:rPr>
          <w:rFonts w:ascii="Times New Roman" w:hAnsi="Times New Roman"/>
        </w:rPr>
        <w:t>hip between Audit Firm Independence (AFI), Audit Fees (AFE), Audit Partner Rotation (APR), and Audit Quality (ACQ) among listed non-service companies in Nigeria. Using robust econometric procedures</w:t>
      </w:r>
      <w:r w:rsidR="002E7F86">
        <w:rPr>
          <w:rFonts w:ascii="Times New Roman" w:hAnsi="Times New Roman"/>
        </w:rPr>
        <w:t xml:space="preserve"> </w:t>
      </w:r>
      <w:r w:rsidRPr="00EB2675">
        <w:rPr>
          <w:rFonts w:ascii="Times New Roman" w:hAnsi="Times New Roman"/>
        </w:rPr>
        <w:t xml:space="preserve">notably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and </w:t>
      </w:r>
      <w:r w:rsidRPr="00EB2675">
        <w:rPr>
          <w:rFonts w:ascii="Times New Roman" w:hAnsi="Times New Roman"/>
        </w:rPr>
        <w:t>Panel-Corrected Standard Errors (PCSE) the study controlled for heteroskedasticity and firm-level variations to ensure reliability and policy relevance of the findings.</w:t>
      </w:r>
    </w:p>
    <w:p w14:paraId="012FB750" w14:textId="77777777" w:rsidR="00F83C81" w:rsidRPr="00EB2675" w:rsidRDefault="00F83C81" w:rsidP="00F83C81">
      <w:pPr>
        <w:jc w:val="both"/>
        <w:rPr>
          <w:rFonts w:ascii="Times New Roman" w:hAnsi="Times New Roman"/>
        </w:rPr>
      </w:pPr>
    </w:p>
    <w:p w14:paraId="1E9822A0" w14:textId="77777777" w:rsidR="00B70BB0" w:rsidRPr="00EB2675" w:rsidRDefault="00C76947">
      <w:pPr>
        <w:jc w:val="both"/>
        <w:rPr>
          <w:rFonts w:ascii="Times New Roman" w:hAnsi="Times New Roman"/>
        </w:rPr>
      </w:pPr>
      <w:r w:rsidRPr="00EB2675">
        <w:rPr>
          <w:rFonts w:ascii="Times New Roman" w:hAnsi="Times New Roman"/>
        </w:rPr>
        <w:t xml:space="preserve">The empirical results revealed three major findings with significant theoretical, practical, and policy implications. First, Audit Firm Independence (AFI) exhibited a strong and statistically </w:t>
      </w:r>
      <w:r w:rsidRPr="00EB2675">
        <w:rPr>
          <w:rFonts w:ascii="Times New Roman" w:hAnsi="Times New Roman"/>
        </w:rPr>
        <w:lastRenderedPageBreak/>
        <w:t>significant negative relationship with accruals, implying that e</w:t>
      </w:r>
      <w:r w:rsidRPr="00EB2675">
        <w:rPr>
          <w:rFonts w:ascii="Times New Roman" w:hAnsi="Times New Roman"/>
        </w:rPr>
        <w:t xml:space="preserve">nhanced auditor independence improves audit quality. This underscores the centrality of auditor autonomy in curbing earnings manipulation and fostering credible financial reporting. The moderating effect of ACI further amplified this positive </w:t>
      </w:r>
      <w:r w:rsidR="00F83C81">
        <w:rPr>
          <w:rFonts w:ascii="Times New Roman" w:hAnsi="Times New Roman"/>
        </w:rPr>
        <w:t>rela</w:t>
      </w:r>
      <w:r w:rsidRPr="00EB2675">
        <w:rPr>
          <w:rFonts w:ascii="Times New Roman" w:hAnsi="Times New Roman"/>
        </w:rPr>
        <w:t>tion</w:t>
      </w:r>
      <w:r w:rsidR="00F83C81">
        <w:rPr>
          <w:rFonts w:ascii="Times New Roman" w:hAnsi="Times New Roman"/>
        </w:rPr>
        <w:t>ship</w:t>
      </w:r>
      <w:r w:rsidRPr="00EB2675">
        <w:rPr>
          <w:rFonts w:ascii="Times New Roman" w:hAnsi="Times New Roman"/>
        </w:rPr>
        <w:t>,</w:t>
      </w:r>
      <w:r w:rsidRPr="00EB2675">
        <w:rPr>
          <w:rFonts w:ascii="Times New Roman" w:hAnsi="Times New Roman"/>
        </w:rPr>
        <w:t xml:space="preserve"> confirming that audit committees with high independence strengthen external auditor objectivity and institutional accountability.</w:t>
      </w:r>
    </w:p>
    <w:p w14:paraId="4D750E32" w14:textId="77777777" w:rsidR="00B70BB0" w:rsidRPr="00EB2675" w:rsidRDefault="00C76947">
      <w:pPr>
        <w:jc w:val="both"/>
        <w:rPr>
          <w:rFonts w:ascii="Times New Roman" w:hAnsi="Times New Roman"/>
        </w:rPr>
      </w:pPr>
      <w:r w:rsidRPr="00EB2675">
        <w:rPr>
          <w:rFonts w:ascii="Times New Roman" w:hAnsi="Times New Roman"/>
        </w:rPr>
        <w:t xml:space="preserve">Second, Audit Fees (AFE) displayed a positive and significant </w:t>
      </w:r>
      <w:r w:rsidR="00F83C81">
        <w:rPr>
          <w:rFonts w:ascii="Times New Roman" w:hAnsi="Times New Roman"/>
        </w:rPr>
        <w:t>rela</w:t>
      </w:r>
      <w:r w:rsidR="00F83C81" w:rsidRPr="00EB2675">
        <w:rPr>
          <w:rFonts w:ascii="Times New Roman" w:hAnsi="Times New Roman"/>
        </w:rPr>
        <w:t>tion</w:t>
      </w:r>
      <w:r w:rsidR="00F83C81">
        <w:rPr>
          <w:rFonts w:ascii="Times New Roman" w:hAnsi="Times New Roman"/>
        </w:rPr>
        <w:t>ship</w:t>
      </w:r>
      <w:r w:rsidR="00F83C81" w:rsidRPr="00EB2675">
        <w:rPr>
          <w:rFonts w:ascii="Times New Roman" w:hAnsi="Times New Roman"/>
        </w:rPr>
        <w:t xml:space="preserve"> </w:t>
      </w:r>
      <w:r w:rsidRPr="00EB2675">
        <w:rPr>
          <w:rFonts w:ascii="Times New Roman" w:hAnsi="Times New Roman"/>
        </w:rPr>
        <w:t>with accruals, indicating that higher fees, in the</w:t>
      </w:r>
      <w:r w:rsidRPr="00EB2675">
        <w:rPr>
          <w:rFonts w:ascii="Times New Roman" w:hAnsi="Times New Roman"/>
        </w:rPr>
        <w:t xml:space="preserve"> Nigerian context, may compromise audit quality through economic bonding and client dependence. Despite audit committees’ oversight, fee-induced bias persists where market competition and enforcement mechanisms are weak. This finding reinforces the need fo</w:t>
      </w:r>
      <w:r w:rsidRPr="00EB2675">
        <w:rPr>
          <w:rFonts w:ascii="Times New Roman" w:hAnsi="Times New Roman"/>
        </w:rPr>
        <w:t>r balanced remuneration policies that preserve auditor independence while ensuring adequate resource allocation for quality audit delivery.</w:t>
      </w:r>
    </w:p>
    <w:p w14:paraId="1EAE70BE" w14:textId="77777777" w:rsidR="00B70BB0" w:rsidRPr="00EB2675" w:rsidRDefault="00C76947">
      <w:pPr>
        <w:jc w:val="both"/>
        <w:rPr>
          <w:rFonts w:ascii="Times New Roman" w:hAnsi="Times New Roman"/>
        </w:rPr>
      </w:pPr>
      <w:r w:rsidRPr="00EB2675">
        <w:rPr>
          <w:rFonts w:ascii="Times New Roman" w:hAnsi="Times New Roman"/>
        </w:rPr>
        <w:t xml:space="preserve">Third, Audit Partner Rotation (APR), though theoretically designed to refresh professional </w:t>
      </w:r>
      <w:proofErr w:type="spellStart"/>
      <w:r w:rsidRPr="00EB2675">
        <w:rPr>
          <w:rFonts w:ascii="Times New Roman" w:hAnsi="Times New Roman"/>
        </w:rPr>
        <w:t>scepticism</w:t>
      </w:r>
      <w:proofErr w:type="spellEnd"/>
      <w:r w:rsidRPr="00EB2675">
        <w:rPr>
          <w:rFonts w:ascii="Times New Roman" w:hAnsi="Times New Roman"/>
        </w:rPr>
        <w:t>, showed an ins</w:t>
      </w:r>
      <w:r w:rsidRPr="00EB2675">
        <w:rPr>
          <w:rFonts w:ascii="Times New Roman" w:hAnsi="Times New Roman"/>
        </w:rPr>
        <w:t>ignificant moderating effect when interacted with ACI. This suggests that rotation alone may not automatically enhance audit quality unless complemented by rigorous audit committee oversight and continuity mechanisms that preserve institutional memory.</w:t>
      </w:r>
    </w:p>
    <w:p w14:paraId="2527D947" w14:textId="77777777" w:rsidR="00B70BB0" w:rsidRPr="005241E1" w:rsidRDefault="00C76947">
      <w:pPr>
        <w:jc w:val="both"/>
        <w:rPr>
          <w:rFonts w:ascii="Times New Roman" w:hAnsi="Times New Roman"/>
        </w:rPr>
      </w:pPr>
      <w:r w:rsidRPr="00EB2675">
        <w:rPr>
          <w:rFonts w:ascii="Times New Roman" w:hAnsi="Times New Roman"/>
        </w:rPr>
        <w:t>Col</w:t>
      </w:r>
      <w:r w:rsidRPr="00EB2675">
        <w:rPr>
          <w:rFonts w:ascii="Times New Roman" w:hAnsi="Times New Roman"/>
        </w:rPr>
        <w:t>lectively, these findings affirm the interconnectedness of internal and external governance mechanisms in ensuring audit credibility. The results highlight that audit quality is not merely a function of regulatory compliance but of the effective synergy be</w:t>
      </w:r>
      <w:r w:rsidRPr="00EB2675">
        <w:rPr>
          <w:rFonts w:ascii="Times New Roman" w:hAnsi="Times New Roman"/>
        </w:rPr>
        <w:t>tween independent audit firms and empowered audit committees. By strengthening these relationships, Nigeria can advance its pursuit of Sustainable Development Goal 16 (Peace, Justice, and Strong Institutions)</w:t>
      </w:r>
      <w:r w:rsidR="00590025">
        <w:rPr>
          <w:rFonts w:ascii="Times New Roman" w:hAnsi="Times New Roman"/>
        </w:rPr>
        <w:t xml:space="preserve"> </w:t>
      </w:r>
      <w:r w:rsidRPr="00EB2675">
        <w:rPr>
          <w:rFonts w:ascii="Times New Roman" w:hAnsi="Times New Roman"/>
        </w:rPr>
        <w:t>promoting transparency, accountability, and eth</w:t>
      </w:r>
      <w:r w:rsidRPr="00EB2675">
        <w:rPr>
          <w:rFonts w:ascii="Times New Roman" w:hAnsi="Times New Roman"/>
        </w:rPr>
        <w:t>ical governance within the corporate and financial ecosystem.</w:t>
      </w:r>
      <w:r w:rsidR="00590025">
        <w:rPr>
          <w:rFonts w:ascii="Times New Roman" w:hAnsi="Times New Roman"/>
        </w:rPr>
        <w:t xml:space="preserve"> </w:t>
      </w:r>
      <w:r w:rsidR="005241E1">
        <w:rPr>
          <w:rFonts w:ascii="Times New Roman" w:hAnsi="Times New Roman"/>
        </w:rPr>
        <w:t xml:space="preserve"> </w:t>
      </w:r>
      <w:r w:rsidR="00590025" w:rsidRPr="005241E1">
        <w:rPr>
          <w:rFonts w:ascii="Times New Roman" w:hAnsi="Times New Roman"/>
        </w:rPr>
        <w:t>As a result of the findings below are the p</w:t>
      </w:r>
      <w:r w:rsidRPr="005241E1">
        <w:rPr>
          <w:rFonts w:ascii="Times New Roman" w:hAnsi="Times New Roman"/>
        </w:rPr>
        <w:t xml:space="preserve">olicy and </w:t>
      </w:r>
      <w:r w:rsidR="00590025" w:rsidRPr="005241E1">
        <w:rPr>
          <w:rFonts w:ascii="Times New Roman" w:hAnsi="Times New Roman"/>
        </w:rPr>
        <w:t>p</w:t>
      </w:r>
      <w:r w:rsidRPr="005241E1">
        <w:rPr>
          <w:rFonts w:ascii="Times New Roman" w:hAnsi="Times New Roman"/>
        </w:rPr>
        <w:t xml:space="preserve">ractical </w:t>
      </w:r>
      <w:r w:rsidR="00590025" w:rsidRPr="005241E1">
        <w:rPr>
          <w:rFonts w:ascii="Times New Roman" w:hAnsi="Times New Roman"/>
        </w:rPr>
        <w:t>r</w:t>
      </w:r>
      <w:r w:rsidRPr="005241E1">
        <w:rPr>
          <w:rFonts w:ascii="Times New Roman" w:hAnsi="Times New Roman"/>
        </w:rPr>
        <w:t>ecommendations</w:t>
      </w:r>
    </w:p>
    <w:p w14:paraId="04C751BD" w14:textId="77777777" w:rsidR="00590025" w:rsidRPr="00590025" w:rsidRDefault="00590025">
      <w:pPr>
        <w:jc w:val="both"/>
        <w:rPr>
          <w:rFonts w:ascii="Times New Roman" w:hAnsi="Times New Roman"/>
          <w:b/>
          <w:bCs/>
        </w:rPr>
      </w:pPr>
    </w:p>
    <w:p w14:paraId="6D976413" w14:textId="77777777" w:rsidR="00590025" w:rsidRPr="00850F29" w:rsidRDefault="00C76947" w:rsidP="00590025">
      <w:pPr>
        <w:numPr>
          <w:ilvl w:val="0"/>
          <w:numId w:val="2"/>
        </w:numPr>
        <w:rPr>
          <w:rFonts w:ascii="Times New Roman" w:hAnsi="Times New Roman"/>
          <w:b/>
          <w:bCs/>
        </w:rPr>
      </w:pPr>
      <w:r w:rsidRPr="00850F29">
        <w:rPr>
          <w:rFonts w:ascii="Times New Roman" w:hAnsi="Times New Roman"/>
          <w:b/>
          <w:bCs/>
        </w:rPr>
        <w:t>Strengthen Audit Committee Independence and Expertise</w:t>
      </w:r>
      <w:r w:rsidRPr="00850F29">
        <w:rPr>
          <w:rFonts w:ascii="Times New Roman" w:hAnsi="Times New Roman"/>
          <w:b/>
          <w:bCs/>
        </w:rPr>
        <w:br/>
      </w:r>
    </w:p>
    <w:p w14:paraId="63E71161" w14:textId="77777777" w:rsidR="00590025" w:rsidRDefault="00590025" w:rsidP="00590025">
      <w:pPr>
        <w:tabs>
          <w:tab w:val="left" w:pos="720"/>
        </w:tabs>
        <w:ind w:left="720"/>
        <w:jc w:val="both"/>
        <w:rPr>
          <w:rFonts w:ascii="Times New Roman" w:hAnsi="Times New Roman"/>
        </w:rPr>
      </w:pPr>
    </w:p>
    <w:p w14:paraId="3292A668" w14:textId="77777777" w:rsidR="00B70BB0" w:rsidRDefault="00C76947" w:rsidP="00590025">
      <w:pPr>
        <w:tabs>
          <w:tab w:val="left" w:pos="720"/>
        </w:tabs>
        <w:ind w:left="720"/>
        <w:jc w:val="both"/>
        <w:rPr>
          <w:rFonts w:ascii="Times New Roman" w:hAnsi="Times New Roman"/>
        </w:rPr>
      </w:pPr>
      <w:r w:rsidRPr="00EB2675">
        <w:rPr>
          <w:rFonts w:ascii="Times New Roman" w:hAnsi="Times New Roman"/>
        </w:rPr>
        <w:t>Regulatory bodies such as the Financial Reporting Council</w:t>
      </w:r>
      <w:r w:rsidRPr="00EB2675">
        <w:rPr>
          <w:rFonts w:ascii="Times New Roman" w:hAnsi="Times New Roman"/>
        </w:rPr>
        <w:t xml:space="preserve"> of Nigeria (FRCN) and the Securities and Exchange Commission (SEC) should reinforce compliance with the 2018 Nigerian Code of Corporate Governance by ensuring that audit committees comprise a majority of independent and financially literate members. This </w:t>
      </w:r>
      <w:r w:rsidRPr="00EB2675">
        <w:rPr>
          <w:rFonts w:ascii="Times New Roman" w:hAnsi="Times New Roman"/>
        </w:rPr>
        <w:t>will enhance oversight, improve auditor–client transparency, and reduce economic dependence risks. Such institutional strengthening contributes directly to SDG 16 by promoting robust governance frameworks and transparent corporate practices.</w:t>
      </w:r>
    </w:p>
    <w:p w14:paraId="3F06BA66" w14:textId="77777777" w:rsidR="00605980" w:rsidRPr="00EB2675" w:rsidRDefault="00605980" w:rsidP="00590025">
      <w:pPr>
        <w:tabs>
          <w:tab w:val="left" w:pos="720"/>
        </w:tabs>
        <w:ind w:left="720"/>
        <w:jc w:val="both"/>
        <w:rPr>
          <w:rFonts w:ascii="Times New Roman" w:hAnsi="Times New Roman"/>
        </w:rPr>
      </w:pPr>
    </w:p>
    <w:p w14:paraId="0029B400"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Establish Aud</w:t>
      </w:r>
      <w:r w:rsidRPr="00850F29">
        <w:rPr>
          <w:rFonts w:ascii="Times New Roman" w:hAnsi="Times New Roman"/>
          <w:b/>
          <w:bCs/>
        </w:rPr>
        <w:t>it Fee Regulation and Disclosure Mechanisms</w:t>
      </w:r>
      <w:r w:rsidRPr="00850F29">
        <w:rPr>
          <w:rFonts w:ascii="Times New Roman" w:hAnsi="Times New Roman"/>
          <w:b/>
          <w:bCs/>
        </w:rPr>
        <w:br/>
      </w:r>
    </w:p>
    <w:p w14:paraId="5AEB086A" w14:textId="77777777" w:rsidR="00B70BB0" w:rsidRDefault="00C76947" w:rsidP="00605980">
      <w:pPr>
        <w:tabs>
          <w:tab w:val="left" w:pos="720"/>
        </w:tabs>
        <w:ind w:left="720"/>
        <w:jc w:val="both"/>
        <w:rPr>
          <w:rFonts w:ascii="Times New Roman" w:hAnsi="Times New Roman"/>
        </w:rPr>
      </w:pPr>
      <w:r w:rsidRPr="00EB2675">
        <w:rPr>
          <w:rFonts w:ascii="Times New Roman" w:hAnsi="Times New Roman"/>
        </w:rPr>
        <w:t>Excessive audit fees threaten auditor independence and erode stakeholder confidence. Therefore, there is a need for periodic audit fee benchmarking and disclosure requirements to ensure transparency and parity a</w:t>
      </w:r>
      <w:r w:rsidRPr="00EB2675">
        <w:rPr>
          <w:rFonts w:ascii="Times New Roman" w:hAnsi="Times New Roman"/>
        </w:rPr>
        <w:t>cross firms. The FRCN should implement structured fee-review guidelines to discourage economic bonding, ensuring that fee structures reflect audit effort rather than client influence. This initiative aligns with SDG 8 (Decent Work and Economic Growth) by p</w:t>
      </w:r>
      <w:r w:rsidRPr="00EB2675">
        <w:rPr>
          <w:rFonts w:ascii="Times New Roman" w:hAnsi="Times New Roman"/>
        </w:rPr>
        <w:t>romoting fair compensation and sustainable professional standards in the audit industry.</w:t>
      </w:r>
    </w:p>
    <w:p w14:paraId="05AEAEFE" w14:textId="77777777" w:rsidR="00605980" w:rsidRPr="00EB2675" w:rsidRDefault="00605980" w:rsidP="00605980">
      <w:pPr>
        <w:tabs>
          <w:tab w:val="left" w:pos="720"/>
        </w:tabs>
        <w:ind w:left="720"/>
        <w:jc w:val="both"/>
        <w:rPr>
          <w:rFonts w:ascii="Times New Roman" w:hAnsi="Times New Roman"/>
        </w:rPr>
      </w:pPr>
    </w:p>
    <w:p w14:paraId="197BF807"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Enhance Audit Partner Rotation Frameworks</w:t>
      </w:r>
    </w:p>
    <w:p w14:paraId="43E6EF65" w14:textId="77777777" w:rsidR="00B70BB0" w:rsidRDefault="00C76947" w:rsidP="00605980">
      <w:pPr>
        <w:tabs>
          <w:tab w:val="left" w:pos="720"/>
        </w:tabs>
        <w:ind w:left="720"/>
        <w:jc w:val="both"/>
        <w:rPr>
          <w:rFonts w:ascii="Times New Roman" w:hAnsi="Times New Roman"/>
        </w:rPr>
      </w:pPr>
      <w:r w:rsidRPr="00605980">
        <w:rPr>
          <w:rFonts w:ascii="Times New Roman" w:hAnsi="Times New Roman"/>
        </w:rPr>
        <w:lastRenderedPageBreak/>
        <w:t>The current partner rotation policy should be refined to balance independence with audit continuity. Regulators should consider rotation cycles of five to seven years, coupled with mandatory knowledge-transfer procedures to mitigate the loss of institution</w:t>
      </w:r>
      <w:r w:rsidRPr="00605980">
        <w:rPr>
          <w:rFonts w:ascii="Times New Roman" w:hAnsi="Times New Roman"/>
        </w:rPr>
        <w:t xml:space="preserve">al expertise. Furthermore, audit committees should monitor rotation effectiveness as part of their annual evaluation of auditor performance. This supports SDG 12 (Responsible Consumption and Production) by ensuring that audit engagements </w:t>
      </w:r>
      <w:proofErr w:type="spellStart"/>
      <w:r w:rsidRPr="00605980">
        <w:rPr>
          <w:rFonts w:ascii="Times New Roman" w:hAnsi="Times New Roman"/>
        </w:rPr>
        <w:t>utilise</w:t>
      </w:r>
      <w:proofErr w:type="spellEnd"/>
      <w:r w:rsidRPr="00605980">
        <w:rPr>
          <w:rFonts w:ascii="Times New Roman" w:hAnsi="Times New Roman"/>
        </w:rPr>
        <w:t xml:space="preserve"> profession</w:t>
      </w:r>
      <w:r w:rsidRPr="00605980">
        <w:rPr>
          <w:rFonts w:ascii="Times New Roman" w:hAnsi="Times New Roman"/>
        </w:rPr>
        <w:t>al resources responsibly while maintaining quality assurance.</w:t>
      </w:r>
    </w:p>
    <w:p w14:paraId="0D7AE124" w14:textId="77777777" w:rsidR="00605980" w:rsidRPr="00605980" w:rsidRDefault="00605980" w:rsidP="00605980">
      <w:pPr>
        <w:tabs>
          <w:tab w:val="left" w:pos="720"/>
        </w:tabs>
        <w:ind w:left="720"/>
        <w:jc w:val="both"/>
        <w:rPr>
          <w:rFonts w:ascii="Times New Roman" w:hAnsi="Times New Roman"/>
        </w:rPr>
      </w:pPr>
    </w:p>
    <w:p w14:paraId="3E1BE7B0" w14:textId="77777777" w:rsidR="00850F29" w:rsidRPr="00850F29" w:rsidRDefault="00C76947" w:rsidP="00850F29">
      <w:pPr>
        <w:numPr>
          <w:ilvl w:val="0"/>
          <w:numId w:val="2"/>
        </w:numPr>
        <w:rPr>
          <w:rFonts w:ascii="Times New Roman" w:hAnsi="Times New Roman"/>
          <w:b/>
          <w:bCs/>
        </w:rPr>
      </w:pPr>
      <w:proofErr w:type="spellStart"/>
      <w:r w:rsidRPr="00850F29">
        <w:rPr>
          <w:rFonts w:ascii="Times New Roman" w:hAnsi="Times New Roman"/>
          <w:b/>
          <w:bCs/>
        </w:rPr>
        <w:t>Institutionalise</w:t>
      </w:r>
      <w:proofErr w:type="spellEnd"/>
      <w:r w:rsidRPr="00850F29">
        <w:rPr>
          <w:rFonts w:ascii="Times New Roman" w:hAnsi="Times New Roman"/>
          <w:b/>
          <w:bCs/>
        </w:rPr>
        <w:t xml:space="preserve"> Joint Accountability Mechanisms</w:t>
      </w:r>
      <w:r w:rsidRPr="00850F29">
        <w:rPr>
          <w:rFonts w:ascii="Times New Roman" w:hAnsi="Times New Roman"/>
          <w:b/>
          <w:bCs/>
        </w:rPr>
        <w:br/>
      </w:r>
    </w:p>
    <w:p w14:paraId="4F941AF6" w14:textId="77777777" w:rsidR="00B70BB0" w:rsidRDefault="00C76947" w:rsidP="00850F29">
      <w:pPr>
        <w:tabs>
          <w:tab w:val="left" w:pos="720"/>
        </w:tabs>
        <w:ind w:left="720"/>
        <w:jc w:val="both"/>
        <w:rPr>
          <w:rFonts w:ascii="Times New Roman" w:hAnsi="Times New Roman"/>
        </w:rPr>
      </w:pPr>
      <w:r w:rsidRPr="00EB2675">
        <w:rPr>
          <w:rFonts w:ascii="Times New Roman" w:hAnsi="Times New Roman"/>
        </w:rPr>
        <w:t>Strengthening collaboration between audit committees, external auditors, and regulatory bodies is essential to curbing systemic audit failures.</w:t>
      </w:r>
      <w:r w:rsidRPr="00EB2675">
        <w:rPr>
          <w:rFonts w:ascii="Times New Roman" w:hAnsi="Times New Roman"/>
        </w:rPr>
        <w:t xml:space="preserve"> The establishment of Audit Quality Review Panels at the industry level would ensure continuous assessment of audit engagements and compliance with ethical standards. Such multi-stakeholder accountability mechanisms foster stronger institutional integrity </w:t>
      </w:r>
      <w:r w:rsidRPr="00EB2675">
        <w:rPr>
          <w:rFonts w:ascii="Times New Roman" w:hAnsi="Times New Roman"/>
        </w:rPr>
        <w:t>and align with SDG 9 (Industry, Innovation, and Infrastructure) by promoting innovative governance frameworks in corporate reporting.</w:t>
      </w:r>
    </w:p>
    <w:p w14:paraId="7FDB28E7" w14:textId="77777777" w:rsidR="00850F29" w:rsidRPr="00EB2675" w:rsidRDefault="00850F29" w:rsidP="00850F29">
      <w:pPr>
        <w:tabs>
          <w:tab w:val="left" w:pos="720"/>
        </w:tabs>
        <w:ind w:left="720"/>
        <w:jc w:val="both"/>
        <w:rPr>
          <w:rFonts w:ascii="Times New Roman" w:hAnsi="Times New Roman"/>
        </w:rPr>
      </w:pPr>
    </w:p>
    <w:p w14:paraId="15BD2872" w14:textId="77777777" w:rsidR="00850F29" w:rsidRPr="00850F29" w:rsidRDefault="00C76947" w:rsidP="00850F29">
      <w:pPr>
        <w:numPr>
          <w:ilvl w:val="0"/>
          <w:numId w:val="2"/>
        </w:numPr>
        <w:rPr>
          <w:rFonts w:ascii="Times New Roman" w:hAnsi="Times New Roman"/>
          <w:b/>
          <w:bCs/>
        </w:rPr>
      </w:pPr>
      <w:r w:rsidRPr="00850F29">
        <w:rPr>
          <w:rFonts w:ascii="Times New Roman" w:hAnsi="Times New Roman"/>
          <w:b/>
          <w:bCs/>
        </w:rPr>
        <w:t>Promote Capacity-Building and Continuous Professional Education</w:t>
      </w:r>
    </w:p>
    <w:p w14:paraId="14C56114" w14:textId="77777777" w:rsidR="00B70BB0" w:rsidRPr="00EB2675" w:rsidRDefault="00C76947" w:rsidP="00850F29">
      <w:pPr>
        <w:tabs>
          <w:tab w:val="left" w:pos="720"/>
        </w:tabs>
        <w:ind w:left="720"/>
        <w:jc w:val="both"/>
        <w:rPr>
          <w:rFonts w:ascii="Times New Roman" w:hAnsi="Times New Roman"/>
        </w:rPr>
      </w:pPr>
      <w:r w:rsidRPr="00EB2675">
        <w:rPr>
          <w:rFonts w:ascii="Times New Roman" w:hAnsi="Times New Roman"/>
        </w:rPr>
        <w:br/>
        <w:t>Audit quality enhancement depends heavily on auditor com</w:t>
      </w:r>
      <w:r w:rsidRPr="00EB2675">
        <w:rPr>
          <w:rFonts w:ascii="Times New Roman" w:hAnsi="Times New Roman"/>
        </w:rPr>
        <w:t xml:space="preserve">petence and governance literacy. Professional bodies such as ICAN and ANAN should integrate sustainability reporting, data analytics, and forensic audit modules into their continuing professional development </w:t>
      </w:r>
      <w:proofErr w:type="spellStart"/>
      <w:r w:rsidRPr="00EB2675">
        <w:rPr>
          <w:rFonts w:ascii="Times New Roman" w:hAnsi="Times New Roman"/>
        </w:rPr>
        <w:t>programmes</w:t>
      </w:r>
      <w:proofErr w:type="spellEnd"/>
      <w:r w:rsidRPr="00EB2675">
        <w:rPr>
          <w:rFonts w:ascii="Times New Roman" w:hAnsi="Times New Roman"/>
        </w:rPr>
        <w:t>. Building capacity across both audito</w:t>
      </w:r>
      <w:r w:rsidRPr="00EB2675">
        <w:rPr>
          <w:rFonts w:ascii="Times New Roman" w:hAnsi="Times New Roman"/>
        </w:rPr>
        <w:t>rs and audit committee members ensures resilience in the face of evolving financial complexities and supports the attainment of SDG 4 (Quality Education) and SDG 16.</w:t>
      </w:r>
    </w:p>
    <w:p w14:paraId="7329F090" w14:textId="77777777" w:rsidR="00B70BB0" w:rsidRPr="00EB2675" w:rsidRDefault="00B70BB0">
      <w:pPr>
        <w:jc w:val="both"/>
        <w:rPr>
          <w:rFonts w:ascii="Times New Roman" w:hAnsi="Times New Roman"/>
        </w:rPr>
      </w:pPr>
    </w:p>
    <w:p w14:paraId="2AFEBC46" w14:textId="77777777" w:rsidR="00B70BB0" w:rsidRPr="00EB2675" w:rsidRDefault="00C76947">
      <w:pPr>
        <w:jc w:val="both"/>
        <w:rPr>
          <w:rFonts w:ascii="Times New Roman" w:hAnsi="Times New Roman"/>
        </w:rPr>
      </w:pPr>
      <w:r w:rsidRPr="00EB2675">
        <w:rPr>
          <w:rFonts w:ascii="Times New Roman" w:hAnsi="Times New Roman"/>
        </w:rPr>
        <w:t xml:space="preserve">In essence, this study contributes to the empirical understanding of audit governance in </w:t>
      </w:r>
      <w:r w:rsidRPr="00EB2675">
        <w:rPr>
          <w:rFonts w:ascii="Times New Roman" w:hAnsi="Times New Roman"/>
        </w:rPr>
        <w:t>emerging economies, particularly Nigeria, by demonstrating that audit quality thrives in environments where auditor independence and audit committee autonomy coexist under transparent and enforceable frameworks. It extends the discourse on audit quality be</w:t>
      </w:r>
      <w:r w:rsidRPr="00EB2675">
        <w:rPr>
          <w:rFonts w:ascii="Times New Roman" w:hAnsi="Times New Roman"/>
        </w:rPr>
        <w:t>yond traditional firm characteristics to the governance architecture that moderates them, providing evidence that resonates with global audit reform efforts.</w:t>
      </w:r>
    </w:p>
    <w:p w14:paraId="09899BEE" w14:textId="77777777" w:rsidR="00B70BB0" w:rsidRDefault="00C76947">
      <w:pPr>
        <w:jc w:val="both"/>
        <w:rPr>
          <w:rFonts w:ascii="Times New Roman" w:hAnsi="Times New Roman"/>
        </w:rPr>
      </w:pPr>
      <w:r w:rsidRPr="00EB2675">
        <w:rPr>
          <w:rFonts w:ascii="Times New Roman" w:hAnsi="Times New Roman"/>
        </w:rPr>
        <w:t>By aligning audit governance practices with the United Nations Sustainable Development Goals, espe</w:t>
      </w:r>
      <w:r w:rsidRPr="00EB2675">
        <w:rPr>
          <w:rFonts w:ascii="Times New Roman" w:hAnsi="Times New Roman"/>
        </w:rPr>
        <w:t>cially SDGs 8, 9, 12, and 16, this study not only advances academic theory but also informs regulatory policy and professional practice. Future research should explore the dynamic interactions between audit technology adoption, ESG assurance, and audit qua</w:t>
      </w:r>
      <w:r w:rsidRPr="00EB2675">
        <w:rPr>
          <w:rFonts w:ascii="Times New Roman" w:hAnsi="Times New Roman"/>
        </w:rPr>
        <w:t>lity to sustain Nigeria’s progress toward transparent, ethical, and globally competitive financial institutions.</w:t>
      </w:r>
    </w:p>
    <w:p w14:paraId="7F2FAC69" w14:textId="77777777" w:rsidR="006F5402" w:rsidRDefault="006F5402">
      <w:pPr>
        <w:jc w:val="both"/>
        <w:rPr>
          <w:rFonts w:ascii="Times New Roman" w:hAnsi="Times New Roman"/>
        </w:rPr>
      </w:pPr>
    </w:p>
    <w:p w14:paraId="7AB594F1" w14:textId="77777777" w:rsidR="00B70BB0" w:rsidRPr="00EB2675" w:rsidRDefault="00B70BB0">
      <w:pPr>
        <w:jc w:val="both"/>
        <w:rPr>
          <w:rFonts w:ascii="Times New Roman" w:hAnsi="Times New Roman"/>
          <w:color w:val="000000" w:themeColor="text1"/>
        </w:rPr>
      </w:pPr>
      <w:bookmarkStart w:id="5" w:name="_GoBack"/>
      <w:bookmarkEnd w:id="5"/>
    </w:p>
    <w:p w14:paraId="231FCB0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References</w:t>
      </w:r>
    </w:p>
    <w:p w14:paraId="15BD81F9" w14:textId="77777777" w:rsidR="00B70BB0" w:rsidRPr="00EB2675" w:rsidRDefault="00B70BB0">
      <w:pPr>
        <w:jc w:val="both"/>
        <w:rPr>
          <w:rFonts w:ascii="Times New Roman" w:hAnsi="Times New Roman"/>
          <w:color w:val="000000" w:themeColor="text1"/>
        </w:rPr>
      </w:pPr>
    </w:p>
    <w:p w14:paraId="222FF58A" w14:textId="77777777" w:rsidR="008C65EE" w:rsidRPr="008C65EE" w:rsidRDefault="000B262D" w:rsidP="009C342D">
      <w:pPr>
        <w:widowControl w:val="0"/>
        <w:autoSpaceDE w:val="0"/>
        <w:autoSpaceDN w:val="0"/>
        <w:adjustRightInd w:val="0"/>
        <w:ind w:left="480" w:hanging="480"/>
        <w:jc w:val="both"/>
        <w:rPr>
          <w:rFonts w:ascii="Times New Roman" w:hAnsi="Times New Roman"/>
          <w:noProof/>
        </w:rPr>
      </w:pPr>
      <w:r>
        <w:rPr>
          <w:rFonts w:ascii="Times New Roman" w:hAnsi="Times New Roman"/>
          <w:color w:val="000000" w:themeColor="text1"/>
        </w:rPr>
        <w:fldChar w:fldCharType="begin" w:fldLock="1"/>
      </w:r>
      <w:r>
        <w:rPr>
          <w:rFonts w:ascii="Times New Roman" w:hAnsi="Times New Roman"/>
          <w:color w:val="000000" w:themeColor="text1"/>
        </w:rPr>
        <w:instrText xml:space="preserve">ADDIN Mendeley Bibliography CSL_BIBLIOGRAPHY </w:instrText>
      </w:r>
      <w:r>
        <w:rPr>
          <w:rFonts w:ascii="Times New Roman" w:hAnsi="Times New Roman"/>
          <w:color w:val="000000" w:themeColor="text1"/>
        </w:rPr>
        <w:fldChar w:fldCharType="separate"/>
      </w:r>
      <w:r w:rsidR="008C65EE" w:rsidRPr="008C65EE">
        <w:rPr>
          <w:rFonts w:ascii="Times New Roman" w:hAnsi="Times New Roman"/>
          <w:noProof/>
        </w:rPr>
        <w:t xml:space="preserve">Abah-Marcus, O. P. (2025). An empirical study of the relationship between auditor independence mandatory rotation and audit quality in non-financial institutions in Nigeria. </w:t>
      </w:r>
      <w:r w:rsidR="008C65EE" w:rsidRPr="008C65EE">
        <w:rPr>
          <w:rFonts w:ascii="Times New Roman" w:hAnsi="Times New Roman"/>
          <w:i/>
          <w:iCs/>
          <w:noProof/>
        </w:rPr>
        <w:t>International Journal of Management Science and Business Analysis Research</w:t>
      </w:r>
      <w:r w:rsidR="008C65EE" w:rsidRPr="008C65EE">
        <w:rPr>
          <w:rFonts w:ascii="Times New Roman" w:hAnsi="Times New Roman"/>
          <w:noProof/>
        </w:rPr>
        <w:t xml:space="preserve">, </w:t>
      </w:r>
      <w:r w:rsidR="008C65EE" w:rsidRPr="008C65EE">
        <w:rPr>
          <w:rFonts w:ascii="Times New Roman" w:hAnsi="Times New Roman"/>
          <w:i/>
          <w:iCs/>
          <w:noProof/>
        </w:rPr>
        <w:t>8</w:t>
      </w:r>
      <w:r w:rsidR="008C65EE" w:rsidRPr="008C65EE">
        <w:rPr>
          <w:rFonts w:ascii="Times New Roman" w:hAnsi="Times New Roman"/>
          <w:noProof/>
        </w:rPr>
        <w:t>(7), 287–297.</w:t>
      </w:r>
    </w:p>
    <w:p w14:paraId="24EB7E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Abdul-Rahman, O. A., Benjamin, A. O., &amp; Olayinka, O. H. (2017). Effect of audit fees on audit </w:t>
      </w:r>
      <w:r w:rsidRPr="008C65EE">
        <w:rPr>
          <w:rFonts w:ascii="Times New Roman" w:hAnsi="Times New Roman"/>
          <w:noProof/>
        </w:rPr>
        <w:lastRenderedPageBreak/>
        <w:t xml:space="preserve">quality: Evidence from cement manufacturing companies in Nigeria. </w:t>
      </w:r>
      <w:r w:rsidRPr="008C65EE">
        <w:rPr>
          <w:rFonts w:ascii="Times New Roman" w:hAnsi="Times New Roman"/>
          <w:i/>
          <w:iCs/>
          <w:noProof/>
        </w:rPr>
        <w:t>European Journal of Accounting, Auditing and Finance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(1), 6–17.</w:t>
      </w:r>
    </w:p>
    <w:p w14:paraId="79715B7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Abu, S. E. (2024). Audit committee characteristics and firm financial performance of quoted industrial goods firms in Nigeria. </w:t>
      </w:r>
      <w:r w:rsidRPr="008C65EE">
        <w:rPr>
          <w:rFonts w:ascii="Times New Roman" w:hAnsi="Times New Roman"/>
          <w:i/>
          <w:iCs/>
          <w:noProof/>
        </w:rPr>
        <w:t>International Journal of Financial, Accounting, and Management</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(4), 445–458. https://doi.org/10.35912/ijfam.v5i4.1718</w:t>
      </w:r>
    </w:p>
    <w:p w14:paraId="0CCE800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Adam, A. A., Salleh, Z., Alahdal, W. M., Hussien, A. M., Bajaher, M., &amp; Baatwah, S. R. (2025). The effect of the board of directors, audit committee, and institutional ownership on carbon disclosure quality: The moderating effect of environmental committee.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(2), 2254–2270. https://doi.org/10.1002/csr.3058</w:t>
      </w:r>
    </w:p>
    <w:p w14:paraId="691275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Adegbie, F. F., Enyi, P. E., &amp; Adebayo, O. O. (2025). Audit partner rotation and financial reporting reliability in Sub-saharan africa: Evidence from Nigeria. </w:t>
      </w:r>
      <w:r w:rsidRPr="008C65EE">
        <w:rPr>
          <w:rFonts w:ascii="Times New Roman" w:hAnsi="Times New Roman"/>
          <w:i/>
          <w:iCs/>
          <w:noProof/>
        </w:rPr>
        <w:t>Journal of Accounting in Emerging Economies</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(2), 210–232.</w:t>
      </w:r>
    </w:p>
    <w:p w14:paraId="042D756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Adeoye, I. O., Akintoye, R. I., Theophilus, A. A., &amp; Olagunju, O. A. (2023). Artificial intelligence and audit quality: Implications for practicing accountants. </w:t>
      </w:r>
      <w:r w:rsidRPr="008C65EE">
        <w:rPr>
          <w:rFonts w:ascii="Times New Roman" w:hAnsi="Times New Roman"/>
          <w:i/>
          <w:iCs/>
          <w:noProof/>
        </w:rPr>
        <w:t>Asian Economic and Financial Review</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(11), 756–772. https://doi.org/10.55493/5002.v13i11.4861</w:t>
      </w:r>
    </w:p>
    <w:p w14:paraId="5EFE03F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Adewale, J. K., &amp; Oyeleke, A. A. (2025). Audit fees, independence, and audit quality nexus in Nigerian non-financial firms.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67–89.</w:t>
      </w:r>
    </w:p>
    <w:p w14:paraId="51EA74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Ahmad, H. A., Abubakar, U., Peter, A., &amp; Baba, Y. A. (2021). Audit committee attributes and real earnings management in Nigeria. </w:t>
      </w:r>
      <w:r w:rsidRPr="008C65EE">
        <w:rPr>
          <w:rFonts w:ascii="Times New Roman" w:hAnsi="Times New Roman"/>
          <w:i/>
          <w:iCs/>
          <w:noProof/>
        </w:rPr>
        <w:t>Asian People Journal (APJ)</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84–92. https://doi.org/10.37231/apj.2021.4.1.254</w:t>
      </w:r>
    </w:p>
    <w:p w14:paraId="2A73948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Ahmed, M., Sajjad, F., Fahim Qazi, Raza, H., &amp; Mubeen, M. (2024). Nexus between Public Audit Dimensions and Audit Quality. </w:t>
      </w:r>
      <w:r w:rsidRPr="008C65EE">
        <w:rPr>
          <w:rFonts w:ascii="Times New Roman" w:hAnsi="Times New Roman"/>
          <w:i/>
          <w:iCs/>
          <w:noProof/>
        </w:rPr>
        <w:t>International Journal of Social Science &amp; Entrepreneurship</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57–70. https://doi.org/10.58661/ijsse.v4i1.237</w:t>
      </w:r>
    </w:p>
    <w:p w14:paraId="2F14FB0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AICPA, A. I. of C. P. A. (2022). </w:t>
      </w:r>
      <w:r w:rsidRPr="008C65EE">
        <w:rPr>
          <w:rFonts w:ascii="Times New Roman" w:hAnsi="Times New Roman"/>
          <w:i/>
          <w:iCs/>
          <w:noProof/>
        </w:rPr>
        <w:t>Enhancing audit auality</w:t>
      </w:r>
      <w:r w:rsidRPr="008C65EE">
        <w:rPr>
          <w:rFonts w:ascii="Times New Roman" w:hAnsi="Times New Roman"/>
          <w:noProof/>
        </w:rPr>
        <w:t>.</w:t>
      </w:r>
    </w:p>
    <w:p w14:paraId="52EEC6B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Akinsulire, A. O., &amp; Dabor, E. L. (2024). Audit pricing and audit quality under Nigeria’s corporate governance reforms. </w:t>
      </w:r>
      <w:r w:rsidRPr="008C65EE">
        <w:rPr>
          <w:rFonts w:ascii="Times New Roman" w:hAnsi="Times New Roman"/>
          <w:i/>
          <w:iCs/>
          <w:noProof/>
        </w:rPr>
        <w:t>International Journal of Auditing Practice</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(3), 188–204.</w:t>
      </w:r>
    </w:p>
    <w:p w14:paraId="2D49EA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Akpan, P., Muo, M. C. ., &amp; Ibenta, S. N. . (2019). Managing Nigeria economic diversification : lessons from other climes. </w:t>
      </w:r>
      <w:r w:rsidRPr="008C65EE">
        <w:rPr>
          <w:rFonts w:ascii="Times New Roman" w:hAnsi="Times New Roman"/>
          <w:i/>
          <w:iCs/>
          <w:noProof/>
        </w:rPr>
        <w:t>Faculty of Management Sciences 2019 International Conference Proceedings Nnamdi Azikiwe University, Awka</w:t>
      </w:r>
      <w:r w:rsidRPr="008C65EE">
        <w:rPr>
          <w:rFonts w:ascii="Times New Roman" w:hAnsi="Times New Roman"/>
          <w:noProof/>
        </w:rPr>
        <w:t>, 946.</w:t>
      </w:r>
    </w:p>
    <w:p w14:paraId="07A55FA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Al-Shaer, H., &amp; Zaman, M. (2024). Audit regulation sustainability assurance, and the quality of corporate reporting.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43</w:t>
      </w:r>
      <w:r w:rsidRPr="008C65EE">
        <w:rPr>
          <w:rFonts w:ascii="Times New Roman" w:hAnsi="Times New Roman"/>
          <w:noProof/>
        </w:rPr>
        <w:t>(1), 101–127.</w:t>
      </w:r>
    </w:p>
    <w:p w14:paraId="6E52419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Alsmairat, Y. Y., Yusoff, W. S., &amp; Ali, M. A. (2019). The effect of audit tenure and audit firm size on the audit quality : Evidence from Jordanian auditors. </w:t>
      </w:r>
      <w:r w:rsidRPr="008C65EE">
        <w:rPr>
          <w:rFonts w:ascii="Times New Roman" w:hAnsi="Times New Roman"/>
          <w:i/>
          <w:iCs/>
          <w:noProof/>
        </w:rPr>
        <w:t>International Journal of Business and Technopreneurship</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(1), 15–24.</w:t>
      </w:r>
    </w:p>
    <w:p w14:paraId="64ABD84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Amorelli, M. F., &amp; García-Sánchez, I. M. (2020). Critical mass of female directors, human capital, and stakeholder engagement by corporate social reporting.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(1), 204–221. https://doi.org/10.1002/csr.1793</w:t>
      </w:r>
    </w:p>
    <w:p w14:paraId="2F944D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Aranpu, S., Usman, S., Rimamshung, S. A., Hassan, S. U., &amp; Adamu, S. (2023). Effect of board attributes on financial reporting quality of quoted consumer goods companies in Nigeria. </w:t>
      </w:r>
      <w:r w:rsidRPr="008C65EE">
        <w:rPr>
          <w:rFonts w:ascii="Times New Roman" w:hAnsi="Times New Roman"/>
          <w:i/>
          <w:iCs/>
          <w:noProof/>
        </w:rPr>
        <w:t>Path of Science</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(8), 3001–3009. https://doi.org/10.22178/pos.95-10</w:t>
      </w:r>
    </w:p>
    <w:p w14:paraId="675C7C8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(2024). Corporate governance mechanism and environmental disclosure in Nigeria : Moderating effect of audit firm choice. </w:t>
      </w:r>
      <w:r w:rsidRPr="008C65EE">
        <w:rPr>
          <w:rFonts w:ascii="Times New Roman" w:hAnsi="Times New Roman"/>
          <w:i/>
          <w:iCs/>
          <w:noProof/>
        </w:rPr>
        <w:t>International Journal of Innovative Research and Sustainablity</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(2), 14–26.</w:t>
      </w:r>
    </w:p>
    <w:p w14:paraId="6221551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Chechet, I. L., &amp; Sabari, M. H. (2024a). Impact of corporate governance mechanisms on social and environmental disclosure quality of listed non-service companies </w:t>
      </w:r>
      <w:r w:rsidRPr="008C65EE">
        <w:rPr>
          <w:rFonts w:ascii="Times New Roman" w:hAnsi="Times New Roman"/>
          <w:noProof/>
        </w:rPr>
        <w:lastRenderedPageBreak/>
        <w:t xml:space="preserve">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(6), 199–218. https://doi.org/10.56201/jafm.v10.no6.2024.pg199.218</w:t>
      </w:r>
    </w:p>
    <w:p w14:paraId="33C9AF8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Chechet, I. L., &amp; Sabari, M. H. (2024b). Impact of corporate governance mechanisms on social and environmental disclosure quality of listed non-service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(6), 199–218. https://doi.org/10.56201/jafm.v10.no6.2024.pg199.218</w:t>
      </w:r>
    </w:p>
    <w:p w14:paraId="5B6021B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Brian, D. D. E., Julia, L. H., &amp; Dickins, R. C. H. (2012). An examination of partner perceptions of partner rotation: Direct and indirect consequences to audit quality.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31</w:t>
      </w:r>
      <w:r w:rsidRPr="008C65EE">
        <w:rPr>
          <w:rFonts w:ascii="Times New Roman" w:hAnsi="Times New Roman"/>
          <w:noProof/>
        </w:rPr>
        <w:t>(1), 97–114.</w:t>
      </w:r>
    </w:p>
    <w:p w14:paraId="11FA487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Chandra, K. A. R. (2019). Auditor Independence, audit ethics, audit experience and due professional care on audit quality. </w:t>
      </w:r>
      <w:r w:rsidRPr="008C65EE">
        <w:rPr>
          <w:rFonts w:ascii="Times New Roman" w:hAnsi="Times New Roman"/>
          <w:i/>
          <w:iCs/>
          <w:noProof/>
        </w:rPr>
        <w:t>Accounting Profession Journal (APAJI)</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(1), 21–35.</w:t>
      </w:r>
    </w:p>
    <w:p w14:paraId="49BBC98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Chijoke, O. M., Emmanuel, E., &amp; Nosakhare, P. O. (2012). Audit partner tenure and audit quality: An empirical analysis. </w:t>
      </w:r>
      <w:r w:rsidRPr="008C65EE">
        <w:rPr>
          <w:rFonts w:ascii="Times New Roman" w:hAnsi="Times New Roman"/>
          <w:i/>
          <w:iCs/>
          <w:noProof/>
        </w:rPr>
        <w:t>European Journal of Business and Management</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(7), 154–163.</w:t>
      </w:r>
    </w:p>
    <w:p w14:paraId="442F7CB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Choiriah, S., &amp; Ria, R. (2020). The effect of stakeholder power, board gender diversity and human capital on environmental disclosure with board independent as moderation variable. </w:t>
      </w:r>
      <w:r w:rsidRPr="008C65EE">
        <w:rPr>
          <w:rFonts w:ascii="Times New Roman" w:hAnsi="Times New Roman"/>
          <w:i/>
          <w:iCs/>
          <w:noProof/>
        </w:rPr>
        <w:t>Research Journal of Finance and Accounting</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(12), 36–45. https://doi.org/10.7176/rjfa/11-12-04</w:t>
      </w:r>
    </w:p>
    <w:p w14:paraId="6CD03A3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Clive, S. L., Xi, W., &amp; Tianyu, Z. (2014). Does mandatory rotation of audit partners improve audit quality?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89</w:t>
      </w:r>
      <w:r w:rsidRPr="008C65EE">
        <w:rPr>
          <w:rFonts w:ascii="Times New Roman" w:hAnsi="Times New Roman"/>
          <w:noProof/>
        </w:rPr>
        <w:t>(5), 1775–1802.</w:t>
      </w:r>
    </w:p>
    <w:p w14:paraId="0B554F1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Dabor, E. L., &amp; Ezeani, N. S. (2025). Re-examining audit independence and quality under Nigeria’s evolving corporate governance code. </w:t>
      </w:r>
      <w:r w:rsidRPr="008C65EE">
        <w:rPr>
          <w:rFonts w:ascii="Times New Roman" w:hAnsi="Times New Roman"/>
          <w:i/>
          <w:iCs/>
          <w:noProof/>
        </w:rPr>
        <w:t>International Journal of Auditing and Governance Studies</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55–74.</w:t>
      </w:r>
    </w:p>
    <w:p w14:paraId="62C8887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DeAngelo, L. E. (1981). Audit size and audit quality. </w:t>
      </w:r>
      <w:r w:rsidRPr="008C65EE">
        <w:rPr>
          <w:rFonts w:ascii="Times New Roman" w:hAnsi="Times New Roman"/>
          <w:i/>
          <w:iCs/>
          <w:noProof/>
        </w:rPr>
        <w:t>Journal of Accounting and Economics</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183–199. https://doi.org/10.3390/risks10020030</w:t>
      </w:r>
    </w:p>
    <w:p w14:paraId="422805E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DeZoort, F. T., &amp; Hermanson, D. R. (2024). Audit committee oversight quality: A global perspective on independence and expertise. </w:t>
      </w:r>
      <w:r w:rsidRPr="008C65EE">
        <w:rPr>
          <w:rFonts w:ascii="Times New Roman" w:hAnsi="Times New Roman"/>
          <w:i/>
          <w:iCs/>
          <w:noProof/>
        </w:rPr>
        <w:t>Accounting Horizons</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(2), 45–68.</w:t>
      </w:r>
    </w:p>
    <w:p w14:paraId="14779CD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Donaldson, T., &amp; Preston, L. E. (1995). The stakeholder theory of the corporation : Concepts , evidence and implications. </w:t>
      </w:r>
      <w:r w:rsidRPr="008C65EE">
        <w:rPr>
          <w:rFonts w:ascii="Times New Roman" w:hAnsi="Times New Roman"/>
          <w:i/>
          <w:iCs/>
          <w:noProof/>
        </w:rPr>
        <w:t>Academic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65–91.</w:t>
      </w:r>
    </w:p>
    <w:p w14:paraId="4BC83B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Elmashtawy, A., Che Haat, M. H., Ismail, S., &amp; Almaqtari, F. A. (2024). Audit committee effectiveness and audit quality: The moderating effect of joint audit. </w:t>
      </w:r>
      <w:r w:rsidRPr="008C65EE">
        <w:rPr>
          <w:rFonts w:ascii="Times New Roman" w:hAnsi="Times New Roman"/>
          <w:i/>
          <w:iCs/>
          <w:noProof/>
        </w:rPr>
        <w:t>Arab Gulf Journal of Scientific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(3), 512–533. https://doi.org/10.1108/AGJSR-09-2022-0202</w:t>
      </w:r>
    </w:p>
    <w:p w14:paraId="5B8E008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Farouk, M. A. (2019). </w:t>
      </w:r>
      <w:r w:rsidRPr="008C65EE">
        <w:rPr>
          <w:rFonts w:ascii="Times New Roman" w:hAnsi="Times New Roman"/>
          <w:i/>
          <w:iCs/>
          <w:noProof/>
        </w:rPr>
        <w:t>Impact of Characteristics of Firm on Quality of Financial Reporting of Quoted Industrial Goods Companies in Nigeria</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(2), 42–57.</w:t>
      </w:r>
    </w:p>
    <w:p w14:paraId="71B6BAE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Financial Reporting Council of Nigeria, F. (2018). Nigerian Code of Corporate Governance 2018. In </w:t>
      </w:r>
      <w:r w:rsidRPr="008C65EE">
        <w:rPr>
          <w:rFonts w:ascii="Times New Roman" w:hAnsi="Times New Roman"/>
          <w:i/>
          <w:iCs/>
          <w:noProof/>
        </w:rPr>
        <w:t>Author</w:t>
      </w:r>
      <w:r w:rsidRPr="008C65EE">
        <w:rPr>
          <w:rFonts w:ascii="Times New Roman" w:hAnsi="Times New Roman"/>
          <w:noProof/>
        </w:rPr>
        <w:t xml:space="preserve"> (pp. 1–55).</w:t>
      </w:r>
    </w:p>
    <w:p w14:paraId="0A2CAF1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Financial Reporting Coumcil of Nigeria Act, 1 (2023).</w:t>
      </w:r>
    </w:p>
    <w:p w14:paraId="6F4605B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Freeman, R. E. (1984). </w:t>
      </w:r>
      <w:r w:rsidRPr="008C65EE">
        <w:rPr>
          <w:rFonts w:ascii="Times New Roman" w:hAnsi="Times New Roman"/>
          <w:i/>
          <w:iCs/>
          <w:noProof/>
        </w:rPr>
        <w:t>Strategic management: A stakeholder approach</w:t>
      </w:r>
      <w:r w:rsidRPr="008C65EE">
        <w:rPr>
          <w:rFonts w:ascii="Times New Roman" w:hAnsi="Times New Roman"/>
          <w:noProof/>
        </w:rPr>
        <w:t xml:space="preserve"> (E. M. Edwin (ed.); 1st ed.). Pitman.</w:t>
      </w:r>
    </w:p>
    <w:p w14:paraId="6C55D05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Galal, H. M. (2025). The effect of audit committee characteristics on firm value : Evidence from firms listed on the Egyptian stock market. </w:t>
      </w:r>
      <w:r w:rsidRPr="008C65EE">
        <w:rPr>
          <w:rFonts w:ascii="Times New Roman" w:hAnsi="Times New Roman"/>
          <w:i/>
          <w:iCs/>
          <w:noProof/>
        </w:rPr>
        <w:t>Scientific Research Publishing</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(8), 1125–1154. https://doi.org/10.4236/ajibm.2025.158056</w:t>
      </w:r>
    </w:p>
    <w:p w14:paraId="332750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Gipper, B., Lombardi, T., &amp; McCracken, S. (2024). Revisiting audit partner rotation and its implications for independence perception.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99</w:t>
      </w:r>
      <w:r w:rsidRPr="008C65EE">
        <w:rPr>
          <w:rFonts w:ascii="Times New Roman" w:hAnsi="Times New Roman"/>
          <w:noProof/>
        </w:rPr>
        <w:t>(1), 77–101.</w:t>
      </w:r>
    </w:p>
    <w:p w14:paraId="0658AFE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Graschitz, S., &amp; Steller, M. (2025). Audit fees and audit quality in Austria—a replicatory study in the wake of the EU audit reform. In </w:t>
      </w:r>
      <w:r w:rsidRPr="008C65EE">
        <w:rPr>
          <w:rFonts w:ascii="Times New Roman" w:hAnsi="Times New Roman"/>
          <w:i/>
          <w:iCs/>
          <w:noProof/>
        </w:rPr>
        <w:t>Journal of Business Economics</w:t>
      </w:r>
      <w:r w:rsidRPr="008C65EE">
        <w:rPr>
          <w:rFonts w:ascii="Times New Roman" w:hAnsi="Times New Roman"/>
          <w:noProof/>
        </w:rPr>
        <w:t xml:space="preserve"> (Vol. 95, Issue 2). Springer Berlin Heidelberg. https://doi.org/10.1007/s11573-025-01222-1</w:t>
      </w:r>
    </w:p>
    <w:p w14:paraId="135FF00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Hair, J. F. . J. ., Black, W. C. ., Babin, B. J., &amp; Anderson, R. E. (2014). Multivariate Data Analysis. </w:t>
      </w:r>
      <w:r w:rsidRPr="008C65EE">
        <w:rPr>
          <w:rFonts w:ascii="Times New Roman" w:hAnsi="Times New Roman"/>
          <w:noProof/>
        </w:rPr>
        <w:lastRenderedPageBreak/>
        <w:t xml:space="preserve">In </w:t>
      </w:r>
      <w:r w:rsidRPr="008C65EE">
        <w:rPr>
          <w:rFonts w:ascii="Times New Roman" w:hAnsi="Times New Roman"/>
          <w:i/>
          <w:iCs/>
          <w:noProof/>
        </w:rPr>
        <w:t>Pearson New International Edition</w:t>
      </w:r>
      <w:r w:rsidRPr="008C65EE">
        <w:rPr>
          <w:rFonts w:ascii="Times New Roman" w:hAnsi="Times New Roman"/>
          <w:noProof/>
        </w:rPr>
        <w:t xml:space="preserve"> (Vol. 7).</w:t>
      </w:r>
    </w:p>
    <w:p w14:paraId="62890E1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Handoyo, S., &amp; Putri, A. S. (2022). Factors Influencing Audit Quality of Banking Business Sector in Indonesia. </w:t>
      </w:r>
      <w:r w:rsidRPr="008C65EE">
        <w:rPr>
          <w:rFonts w:ascii="Times New Roman" w:hAnsi="Times New Roman"/>
          <w:i/>
          <w:iCs/>
          <w:noProof/>
        </w:rPr>
        <w:t>Humanities and Social Sciences Letters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(4), 463–481. https://doi.org/10.18488/73.v10i4.3115</w:t>
      </w:r>
    </w:p>
    <w:p w14:paraId="3EEE93B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Hasibuan, D. H. M., Amyar, F., &amp; Hidayah, N. N. (2022). Government Audit Quality: Audit Expectation – Performance Gap. </w:t>
      </w:r>
      <w:r w:rsidRPr="008C65EE">
        <w:rPr>
          <w:rFonts w:ascii="Times New Roman" w:hAnsi="Times New Roman"/>
          <w:i/>
          <w:iCs/>
          <w:noProof/>
        </w:rPr>
        <w:t>Asian Journal of Economics, Business and Accounting</w:t>
      </w:r>
      <w:r w:rsidRPr="008C65EE">
        <w:rPr>
          <w:rFonts w:ascii="Times New Roman" w:hAnsi="Times New Roman"/>
          <w:noProof/>
        </w:rPr>
        <w:t xml:space="preserve">, </w:t>
      </w:r>
      <w:r w:rsidRPr="008C65EE">
        <w:rPr>
          <w:rFonts w:ascii="Times New Roman" w:hAnsi="Times New Roman"/>
          <w:i/>
          <w:iCs/>
          <w:noProof/>
        </w:rPr>
        <w:t>22</w:t>
      </w:r>
      <w:r w:rsidRPr="008C65EE">
        <w:rPr>
          <w:rFonts w:ascii="Times New Roman" w:hAnsi="Times New Roman"/>
          <w:noProof/>
        </w:rPr>
        <w:t>(23), 373–386. https://doi.org/10.9734/ajeba/2022/v22i23881</w:t>
      </w:r>
    </w:p>
    <w:p w14:paraId="61A5F45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Hirki, B. (2025). </w:t>
      </w:r>
      <w:r w:rsidRPr="008C65EE">
        <w:rPr>
          <w:rFonts w:ascii="Times New Roman" w:hAnsi="Times New Roman"/>
          <w:i/>
          <w:iCs/>
          <w:noProof/>
        </w:rPr>
        <w:t>Effect of audit firm attributes on audit quality of listed non- financial services companies in Nigeria: The moderating role of Audit committee independence</w:t>
      </w:r>
      <w:r w:rsidRPr="008C65EE">
        <w:rPr>
          <w:rFonts w:ascii="Times New Roman" w:hAnsi="Times New Roman"/>
          <w:noProof/>
        </w:rPr>
        <w:t>. Adamawa State University Mubi.</w:t>
      </w:r>
    </w:p>
    <w:p w14:paraId="369BF9D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Hubais, A. S. A., Kadir, M. R. A., &amp; Bilal, Z. O. (2023). The Impact of Auditor’s Independence, Ethics, and Competency in Audit Quality: Using Auditor’s Integrity as a Mediator in the Sultanate of Oman. </w:t>
      </w:r>
      <w:r w:rsidRPr="008C65EE">
        <w:rPr>
          <w:rFonts w:ascii="Times New Roman" w:hAnsi="Times New Roman"/>
          <w:i/>
          <w:iCs/>
          <w:noProof/>
        </w:rPr>
        <w:t>WSEAS Transactions on Computer Research</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 440–449. https://doi.org/10.37394/232018.2023.11.40</w:t>
      </w:r>
    </w:p>
    <w:p w14:paraId="18CD4C9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Husain, T. (2020). Mapping Evolution of Audit Quality Measurement. </w:t>
      </w:r>
      <w:r w:rsidRPr="008C65EE">
        <w:rPr>
          <w:rFonts w:ascii="Times New Roman" w:hAnsi="Times New Roman"/>
          <w:i/>
          <w:iCs/>
          <w:noProof/>
        </w:rPr>
        <w:t>European Journal of Business and Management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(3). https://doi.org/10.24018/ejbmr.2020.5.3.304</w:t>
      </w:r>
    </w:p>
    <w:p w14:paraId="1700AE6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Ikhsan, A., Mikrad, Rosari, D., Pambudi, J. E., Lubis, P. K. D., &amp; Fadillah, T. D. (2024). the Effect of Audit Committee, Internal Auditor and Audit Quality on Firm Value on Hotel Industry in Indonesia. </w:t>
      </w:r>
      <w:r w:rsidRPr="008C65EE">
        <w:rPr>
          <w:rFonts w:ascii="Times New Roman" w:hAnsi="Times New Roman"/>
          <w:i/>
          <w:iCs/>
          <w:noProof/>
        </w:rPr>
        <w:t>International Journal of Economics and Finance Studies</w:t>
      </w:r>
      <w:r w:rsidRPr="008C65EE">
        <w:rPr>
          <w:rFonts w:ascii="Times New Roman" w:hAnsi="Times New Roman"/>
          <w:noProof/>
        </w:rPr>
        <w:t xml:space="preserve">, </w:t>
      </w:r>
      <w:r w:rsidRPr="008C65EE">
        <w:rPr>
          <w:rFonts w:ascii="Times New Roman" w:hAnsi="Times New Roman"/>
          <w:i/>
          <w:iCs/>
          <w:noProof/>
        </w:rPr>
        <w:t>16</w:t>
      </w:r>
      <w:r w:rsidRPr="008C65EE">
        <w:rPr>
          <w:rFonts w:ascii="Times New Roman" w:hAnsi="Times New Roman"/>
          <w:noProof/>
        </w:rPr>
        <w:t>(1), 337–354. https://doi.org/10.34109/ijefs.202416115</w:t>
      </w:r>
    </w:p>
    <w:p w14:paraId="1030567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Ime, N., Abusomwan, R. E., &amp; Jackson-Akhigbe, B. (2025). Attributes of auditor’s independence, audit fees and audit quality in listed deposit money banks in Nigeria. </w:t>
      </w:r>
      <w:r w:rsidRPr="008C65EE">
        <w:rPr>
          <w:rFonts w:ascii="Times New Roman" w:hAnsi="Times New Roman"/>
          <w:i/>
          <w:iCs/>
          <w:noProof/>
        </w:rPr>
        <w:t>International Journal of Research and Innovation in Social Science (IJRISS)</w:t>
      </w:r>
      <w:r w:rsidRPr="008C65EE">
        <w:rPr>
          <w:rFonts w:ascii="Times New Roman" w:hAnsi="Times New Roman"/>
          <w:noProof/>
        </w:rPr>
        <w:t xml:space="preserve">, </w:t>
      </w:r>
      <w:r w:rsidRPr="008C65EE">
        <w:rPr>
          <w:rFonts w:ascii="Times New Roman" w:hAnsi="Times New Roman"/>
          <w:i/>
          <w:iCs/>
          <w:noProof/>
        </w:rPr>
        <w:t>IX</w:t>
      </w:r>
      <w:r w:rsidRPr="008C65EE">
        <w:rPr>
          <w:rFonts w:ascii="Times New Roman" w:hAnsi="Times New Roman"/>
          <w:noProof/>
        </w:rPr>
        <w:t>(1), 1506–1524. https://doi.org/10.47772/IJRISS</w:t>
      </w:r>
    </w:p>
    <w:p w14:paraId="2971653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and Assurance Standards Board. (2024). Handbook of international quality management, auditing, review, other assurance, and related services pronouncements. In </w:t>
      </w:r>
      <w:r w:rsidRPr="008C65EE">
        <w:rPr>
          <w:rFonts w:ascii="Times New Roman" w:hAnsi="Times New Roman"/>
          <w:i/>
          <w:iCs/>
          <w:noProof/>
        </w:rPr>
        <w:t>International Auditing and Assurance Standards Board: Vol. I</w:t>
      </w:r>
      <w:r w:rsidRPr="008C65EE">
        <w:rPr>
          <w:rFonts w:ascii="Times New Roman" w:hAnsi="Times New Roman"/>
          <w:noProof/>
        </w:rPr>
        <w:t>. www.iaasb.org</w:t>
      </w:r>
    </w:p>
    <w:p w14:paraId="7E4527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Assurance Standards Board, I. (2024). Handbook of international quality management, auditing, review, other assurance, and related services pronouncements. In </w:t>
      </w:r>
      <w:r w:rsidRPr="008C65EE">
        <w:rPr>
          <w:rFonts w:ascii="Times New Roman" w:hAnsi="Times New Roman"/>
          <w:i/>
          <w:iCs/>
          <w:noProof/>
        </w:rPr>
        <w:t>International Auditing Assurance Standards Board: Vol. II</w:t>
      </w:r>
      <w:r w:rsidRPr="008C65EE">
        <w:rPr>
          <w:rFonts w:ascii="Times New Roman" w:hAnsi="Times New Roman"/>
          <w:noProof/>
        </w:rPr>
        <w:t>.</w:t>
      </w:r>
    </w:p>
    <w:p w14:paraId="3E100E3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Jensen, M. C., &amp; Meckling, W. H. (1976). Theory of the firm : managerial behavior, agency costs and ownership structure. </w:t>
      </w:r>
      <w:r w:rsidRPr="008C65EE">
        <w:rPr>
          <w:rFonts w:ascii="Times New Roman" w:hAnsi="Times New Roman"/>
          <w:i/>
          <w:iCs/>
          <w:noProof/>
        </w:rPr>
        <w:t>Journal of Financial Economics 3</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305–360.</w:t>
      </w:r>
    </w:p>
    <w:p w14:paraId="08FEED5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Khan, A., Kim, J., &amp; Lim, C. (2024). Auditor tenure, independence, and audit quality: Evidence from Asian emerging markets. </w:t>
      </w:r>
      <w:r w:rsidRPr="008C65EE">
        <w:rPr>
          <w:rFonts w:ascii="Times New Roman" w:hAnsi="Times New Roman"/>
          <w:i/>
          <w:iCs/>
          <w:noProof/>
        </w:rPr>
        <w:t>Journal of International Accounting Research</w:t>
      </w:r>
      <w:r w:rsidRPr="008C65EE">
        <w:rPr>
          <w:rFonts w:ascii="Times New Roman" w:hAnsi="Times New Roman"/>
          <w:noProof/>
        </w:rPr>
        <w:t xml:space="preserve">, </w:t>
      </w:r>
      <w:r w:rsidRPr="008C65EE">
        <w:rPr>
          <w:rFonts w:ascii="Times New Roman" w:hAnsi="Times New Roman"/>
          <w:i/>
          <w:iCs/>
          <w:noProof/>
        </w:rPr>
        <w:t>23</w:t>
      </w:r>
      <w:r w:rsidRPr="008C65EE">
        <w:rPr>
          <w:rFonts w:ascii="Times New Roman" w:hAnsi="Times New Roman"/>
          <w:noProof/>
        </w:rPr>
        <w:t>(1), 44–63.</w:t>
      </w:r>
    </w:p>
    <w:p w14:paraId="36E3D86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Kwaghkule, P., Jackson-Akhigbe, B. E., &amp; Abusomwan, R. E. (2025). Auditor rotation and financial reporting: A moderating role of corporate governance in Nigeria. </w:t>
      </w:r>
      <w:r w:rsidRPr="008C65EE">
        <w:rPr>
          <w:rFonts w:ascii="Times New Roman" w:hAnsi="Times New Roman"/>
          <w:i/>
          <w:iCs/>
          <w:noProof/>
        </w:rPr>
        <w:t>Archives of Business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(02), 01–14. https://doi.org/10.14738/abr.1302.18265</w:t>
      </w:r>
    </w:p>
    <w:p w14:paraId="5DF1D1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Lai, M., &amp; Tang, S. (2023). Auditor independence and audit outcomes in developed markets: A comparative analysis. </w:t>
      </w:r>
      <w:r w:rsidRPr="008C65EE">
        <w:rPr>
          <w:rFonts w:ascii="Times New Roman" w:hAnsi="Times New Roman"/>
          <w:i/>
          <w:iCs/>
          <w:noProof/>
        </w:rPr>
        <w:t>European Accounting Review</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(1), 77–96.</w:t>
      </w:r>
    </w:p>
    <w:p w14:paraId="20F6F6F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Lazarus, M. K., Agbi, S. E., &amp; Ibiamke, A. (2024). Audit committee and earnings management of listed consumer goods companies in Nigeria : Moderating effect of auditor size. </w:t>
      </w:r>
      <w:r w:rsidRPr="008C65EE">
        <w:rPr>
          <w:rFonts w:ascii="Times New Roman" w:hAnsi="Times New Roman"/>
          <w:i/>
          <w:iCs/>
          <w:noProof/>
        </w:rPr>
        <w:t>Journal of African Innovation &amp; Advanced Studies</w:t>
      </w:r>
      <w:r w:rsidRPr="008C65EE">
        <w:rPr>
          <w:rFonts w:ascii="Times New Roman" w:hAnsi="Times New Roman"/>
          <w:noProof/>
        </w:rPr>
        <w:t xml:space="preserve">, </w:t>
      </w:r>
      <w:r w:rsidRPr="008C65EE">
        <w:rPr>
          <w:rFonts w:ascii="Times New Roman" w:hAnsi="Times New Roman"/>
          <w:i/>
          <w:iCs/>
          <w:noProof/>
        </w:rPr>
        <w:t>03</w:t>
      </w:r>
      <w:r w:rsidRPr="008C65EE">
        <w:rPr>
          <w:rFonts w:ascii="Times New Roman" w:hAnsi="Times New Roman"/>
          <w:noProof/>
        </w:rPr>
        <w:t>(2), 207–221.</w:t>
      </w:r>
    </w:p>
    <w:p w14:paraId="3D6D884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Li, J. (2023). Accounting firm size , abnormal audit fees and audit quality. In </w:t>
      </w:r>
      <w:r w:rsidRPr="008C65EE">
        <w:rPr>
          <w:rFonts w:ascii="Times New Roman" w:hAnsi="Times New Roman"/>
          <w:i/>
          <w:iCs/>
          <w:noProof/>
        </w:rPr>
        <w:t>Beijing Jiaotong University</w:t>
      </w:r>
      <w:r w:rsidRPr="008C65EE">
        <w:rPr>
          <w:rFonts w:ascii="Times New Roman" w:hAnsi="Times New Roman"/>
          <w:noProof/>
        </w:rPr>
        <w:t>. Atlantis Press International BV. https://doi.org/10.2991/978-94-6463-030-5</w:t>
      </w:r>
    </w:p>
    <w:p w14:paraId="2E129D4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Narayanaswamy, R., &amp; Raghunandan, K. (2019). The effect of mandatory audit firm rotation on audit quality, audit fees and audit market concentration: Evidence from India. </w:t>
      </w:r>
      <w:r w:rsidRPr="008C65EE">
        <w:rPr>
          <w:rFonts w:ascii="Times New Roman" w:hAnsi="Times New Roman"/>
          <w:i/>
          <w:iCs/>
          <w:noProof/>
        </w:rPr>
        <w:t xml:space="preserve">SSRN </w:t>
      </w:r>
      <w:r w:rsidRPr="008C65EE">
        <w:rPr>
          <w:rFonts w:ascii="Times New Roman" w:hAnsi="Times New Roman"/>
          <w:i/>
          <w:iCs/>
          <w:noProof/>
        </w:rPr>
        <w:lastRenderedPageBreak/>
        <w:t>Electronic Journal</w:t>
      </w:r>
      <w:r w:rsidRPr="008C65EE">
        <w:rPr>
          <w:rFonts w:ascii="Times New Roman" w:hAnsi="Times New Roman"/>
          <w:noProof/>
        </w:rPr>
        <w:t xml:space="preserve">, </w:t>
      </w:r>
      <w:r w:rsidRPr="008C65EE">
        <w:rPr>
          <w:rFonts w:ascii="Times New Roman" w:hAnsi="Times New Roman"/>
          <w:i/>
          <w:iCs/>
          <w:noProof/>
        </w:rPr>
        <w:t>March</w:t>
      </w:r>
      <w:r w:rsidRPr="008C65EE">
        <w:rPr>
          <w:rFonts w:ascii="Times New Roman" w:hAnsi="Times New Roman"/>
          <w:noProof/>
        </w:rPr>
        <w:t>, 1–31. https://doi.org/10.2139/ssrn.3360256</w:t>
      </w:r>
    </w:p>
    <w:p w14:paraId="1B28AC8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Obid, N., Rahman, R., &amp; Hasan, M. (2023). Audit fee restrictions and audit quality in emerging markets. </w:t>
      </w:r>
      <w:r w:rsidRPr="008C65EE">
        <w:rPr>
          <w:rFonts w:ascii="Times New Roman" w:hAnsi="Times New Roman"/>
          <w:i/>
          <w:iCs/>
          <w:noProof/>
        </w:rPr>
        <w:t>Asian Journal of Accounting and Governance</w:t>
      </w:r>
      <w:r w:rsidRPr="008C65EE">
        <w:rPr>
          <w:rFonts w:ascii="Times New Roman" w:hAnsi="Times New Roman"/>
          <w:noProof/>
        </w:rPr>
        <w:t xml:space="preserve">, </w:t>
      </w:r>
      <w:r w:rsidRPr="008C65EE">
        <w:rPr>
          <w:rFonts w:ascii="Times New Roman" w:hAnsi="Times New Roman"/>
          <w:i/>
          <w:iCs/>
          <w:noProof/>
        </w:rPr>
        <w:t>19</w:t>
      </w:r>
      <w:r w:rsidRPr="008C65EE">
        <w:rPr>
          <w:rFonts w:ascii="Times New Roman" w:hAnsi="Times New Roman"/>
          <w:noProof/>
        </w:rPr>
        <w:t>(2), 110–128.</w:t>
      </w:r>
    </w:p>
    <w:p w14:paraId="0270451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Ogoun, S., &amp; Godspower, A. E. (2020). Environmental reporting and operational performance: A study of listed manufacturing firms in Nigeria. </w:t>
      </w:r>
      <w:r w:rsidRPr="008C65EE">
        <w:rPr>
          <w:rFonts w:ascii="Times New Roman" w:hAnsi="Times New Roman"/>
          <w:i/>
          <w:iCs/>
          <w:noProof/>
        </w:rPr>
        <w:t>International Journal of Intellectual Discourse</w:t>
      </w:r>
      <w:r w:rsidRPr="008C65EE">
        <w:rPr>
          <w:rFonts w:ascii="Times New Roman" w:hAnsi="Times New Roman"/>
          <w:noProof/>
        </w:rPr>
        <w:t xml:space="preserve">, </w:t>
      </w:r>
      <w:r w:rsidRPr="008C65EE">
        <w:rPr>
          <w:rFonts w:ascii="Times New Roman" w:hAnsi="Times New Roman"/>
          <w:i/>
          <w:iCs/>
          <w:noProof/>
        </w:rPr>
        <w:t>47</w:t>
      </w:r>
      <w:r w:rsidRPr="008C65EE">
        <w:rPr>
          <w:rFonts w:ascii="Times New Roman" w:hAnsi="Times New Roman"/>
          <w:noProof/>
        </w:rPr>
        <w:t>(3), 1–17.</w:t>
      </w:r>
    </w:p>
    <w:p w14:paraId="281728B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Ojeaga, O. J., &amp; Ezejiofor, R. A. (2023). Determinants of audit quality : A Study of Listed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(5), 64–76. https://doi.org/10.56201/jafm.v9.no5.2023.pg64.76</w:t>
      </w:r>
    </w:p>
    <w:p w14:paraId="1B82F3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Okechukwu, J., Chukwuebuka, J., &amp; Chinedu, F. (2019). Auditor independence and audit quality: Empirical evidence from quoted oil and gas firms in Nigeria. </w:t>
      </w:r>
      <w:r w:rsidRPr="008C65EE">
        <w:rPr>
          <w:rFonts w:ascii="Times New Roman" w:hAnsi="Times New Roman"/>
          <w:i/>
          <w:iCs/>
          <w:noProof/>
        </w:rPr>
        <w:t>Journal of Global Accounting Department of Accountancy</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(1), 1–13. www.unizikjga.com</w:t>
      </w:r>
    </w:p>
    <w:p w14:paraId="09BF2E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Oloruntoba, A. J., &amp; Enyi, P. E. (2024). Auditor independence and financial reporting quality: Evidence from Nigeria. </w:t>
      </w:r>
      <w:r w:rsidRPr="008C65EE">
        <w:rPr>
          <w:rFonts w:ascii="Times New Roman" w:hAnsi="Times New Roman"/>
          <w:i/>
          <w:iCs/>
          <w:noProof/>
        </w:rPr>
        <w:t>Nigerian Journal of Accounting Research</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92–111.</w:t>
      </w:r>
    </w:p>
    <w:p w14:paraId="066E47F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Oludare, I., Adedapo, K., &amp; Ebenezer, M. (2025). Audit quality and financial reporting Quality of quoted manufacturing firms in Nigeria. </w:t>
      </w:r>
      <w:r w:rsidRPr="008C65EE">
        <w:rPr>
          <w:rFonts w:ascii="Times New Roman" w:hAnsi="Times New Roman"/>
          <w:i/>
          <w:iCs/>
          <w:noProof/>
        </w:rPr>
        <w:t>NIU Journal of Humanities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(1), 89–104. https://doi.org/10.58709/niujhu.v10i1.2101</w:t>
      </w:r>
    </w:p>
    <w:p w14:paraId="4FCA98A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Oyeleke, A. A., &amp; Adebayo, J. K. (2024). Audit firm characteristics and audit quality of listed non-financial firms in Nigeria.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(3), 121–138.</w:t>
      </w:r>
    </w:p>
    <w:p w14:paraId="2A4F300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Pfeffer, J., &amp; Salancik, G. R. (1977). Organizational context and the characteristics and tenure of hospital administrators. </w:t>
      </w:r>
      <w:r w:rsidRPr="008C65EE">
        <w:rPr>
          <w:rFonts w:ascii="Times New Roman" w:hAnsi="Times New Roman"/>
          <w:i/>
          <w:iCs/>
          <w:noProof/>
        </w:rPr>
        <w:t>Academy of Management Journal. Academy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74–88. https://doi.org/10.2307/255463</w:t>
      </w:r>
    </w:p>
    <w:p w14:paraId="3AF29C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Pinatik, S. (2021). The effect of auditor’s emotional intelligence, competence, and independence on audit quality. </w:t>
      </w:r>
      <w:r w:rsidRPr="008C65EE">
        <w:rPr>
          <w:rFonts w:ascii="Times New Roman" w:hAnsi="Times New Roman"/>
          <w:i/>
          <w:iCs/>
          <w:noProof/>
        </w:rPr>
        <w:t>International Journal of Applied Business and International Management</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(2), 55–67. https://doi.org/10.32535/ijabim.v6i2.1147</w:t>
      </w:r>
    </w:p>
    <w:p w14:paraId="0862A69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Regina, M., &amp; Santioso, L. (2023). The effect of audit fee, audit tenure, and firm size on audit quality. </w:t>
      </w:r>
      <w:r w:rsidRPr="008C65EE">
        <w:rPr>
          <w:rFonts w:ascii="Times New Roman" w:hAnsi="Times New Roman"/>
          <w:i/>
          <w:iCs/>
          <w:noProof/>
        </w:rPr>
        <w:t>International Journal of Application on Economics and Business</w:t>
      </w:r>
      <w:r w:rsidRPr="008C65EE">
        <w:rPr>
          <w:rFonts w:ascii="Times New Roman" w:hAnsi="Times New Roman"/>
          <w:noProof/>
        </w:rPr>
        <w:t xml:space="preserve">, </w:t>
      </w:r>
      <w:r w:rsidRPr="008C65EE">
        <w:rPr>
          <w:rFonts w:ascii="Times New Roman" w:hAnsi="Times New Roman"/>
          <w:i/>
          <w:iCs/>
          <w:noProof/>
        </w:rPr>
        <w:t>1</w:t>
      </w:r>
      <w:r w:rsidRPr="008C65EE">
        <w:rPr>
          <w:rFonts w:ascii="Times New Roman" w:hAnsi="Times New Roman"/>
          <w:noProof/>
        </w:rPr>
        <w:t>(4), 1912–1922. https://doi.org/10.24912/ijaeb.v1i4.1912-1922</w:t>
      </w:r>
    </w:p>
    <w:p w14:paraId="4B9EA5C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Rezky Alyani, P. D. (2023). Audit Fee on Audit Quality in Indonesia: A Meta-Analysis Study. </w:t>
      </w:r>
      <w:r w:rsidRPr="008C65EE">
        <w:rPr>
          <w:rFonts w:ascii="Times New Roman" w:hAnsi="Times New Roman"/>
          <w:i/>
          <w:iCs/>
          <w:noProof/>
        </w:rPr>
        <w:t>Jurnal Indonesia Sosial Sains</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(10), 982–992. https://doi.org/10.59141/jiss.v4i10.899</w:t>
      </w:r>
    </w:p>
    <w:p w14:paraId="204BC8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Salehi, M., Tarighi, H., &amp; Shahri, T. A. (2020). The effect of auditor characteristics on tax avoidance of Iranian companies. </w:t>
      </w:r>
      <w:r w:rsidRPr="008C65EE">
        <w:rPr>
          <w:rFonts w:ascii="Times New Roman" w:hAnsi="Times New Roman"/>
          <w:i/>
          <w:iCs/>
          <w:noProof/>
        </w:rPr>
        <w:t>Journal of Asian Business and Economic Studies</w:t>
      </w:r>
      <w:r w:rsidRPr="008C65EE">
        <w:rPr>
          <w:rFonts w:ascii="Times New Roman" w:hAnsi="Times New Roman"/>
          <w:noProof/>
        </w:rPr>
        <w:t>. https://doi.org/10.1108/jabes-11-2018-0100</w:t>
      </w:r>
    </w:p>
    <w:p w14:paraId="165F2DF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Salmen Aljaaidi, K., Bin Abidin, S., &amp; Kamal Hassan, W. (2021). Audit fees and audit quality: Evidence from GCC region. </w:t>
      </w:r>
      <w:r w:rsidRPr="008C65EE">
        <w:rPr>
          <w:rFonts w:ascii="Times New Roman" w:hAnsi="Times New Roman"/>
          <w:i/>
          <w:iCs/>
          <w:noProof/>
        </w:rPr>
        <w:t>AD-Minister</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 121–159. https://doi.org/10.17230/ad-minister.38.5</w:t>
      </w:r>
    </w:p>
    <w:p w14:paraId="5C73BD7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Sawaya, R., Tay, L., &amp; Zhang, Y. (2025). Global evidence on auditor independence and financial reporting outcomes.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(2), 302–327.</w:t>
      </w:r>
    </w:p>
    <w:p w14:paraId="5F3767E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Schatt, A. (2025). Female lead auditors , audit fees , and audit quality. </w:t>
      </w:r>
      <w:r w:rsidRPr="008C65EE">
        <w:rPr>
          <w:rFonts w:ascii="Times New Roman" w:hAnsi="Times New Roman"/>
          <w:i/>
          <w:iCs/>
          <w:noProof/>
        </w:rPr>
        <w:t>The British Accounting Review</w:t>
      </w:r>
      <w:r w:rsidRPr="008C65EE">
        <w:rPr>
          <w:rFonts w:ascii="Times New Roman" w:hAnsi="Times New Roman"/>
          <w:noProof/>
        </w:rPr>
        <w:t xml:space="preserve">, </w:t>
      </w:r>
      <w:r w:rsidRPr="008C65EE">
        <w:rPr>
          <w:rFonts w:ascii="Times New Roman" w:hAnsi="Times New Roman"/>
          <w:i/>
          <w:iCs/>
          <w:noProof/>
        </w:rPr>
        <w:t>57</w:t>
      </w:r>
      <w:r w:rsidRPr="008C65EE">
        <w:rPr>
          <w:rFonts w:ascii="Times New Roman" w:hAnsi="Times New Roman"/>
          <w:noProof/>
        </w:rPr>
        <w:t>(August 2024), 1–17. https://doi.org/10.1016/j.bar.2024.101497</w:t>
      </w:r>
    </w:p>
    <w:p w14:paraId="6B9ABA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Tonade, A. M., Agbede, J. O., Ajibola, H. O., Olorunfemi, G. S., &amp; Babajide, S. (2025). Auditor’s independence and its influence on financial report quality of listed oil and gas companies in Nigeria. </w:t>
      </w:r>
      <w:r w:rsidRPr="008C65EE">
        <w:rPr>
          <w:rFonts w:ascii="Times New Roman" w:hAnsi="Times New Roman"/>
          <w:i/>
          <w:iCs/>
          <w:noProof/>
        </w:rPr>
        <w:t>Fuoye Journal of Accounting and Management</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81–106.</w:t>
      </w:r>
    </w:p>
    <w:p w14:paraId="29F9496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Uthman, A. B., &amp; Salami, A. A. (2021). IFRS adoption and audit quality in Nigeria : The conditional effect of auditor industry specialization. </w:t>
      </w:r>
      <w:r w:rsidRPr="008C65EE">
        <w:rPr>
          <w:rFonts w:ascii="Times New Roman" w:hAnsi="Times New Roman"/>
          <w:i/>
          <w:iCs/>
          <w:noProof/>
        </w:rPr>
        <w:t>Global Journal of Accounting</w:t>
      </w:r>
      <w:r w:rsidRPr="008C65EE">
        <w:rPr>
          <w:rFonts w:ascii="Times New Roman" w:hAnsi="Times New Roman"/>
          <w:noProof/>
        </w:rPr>
        <w:t xml:space="preserve">, </w:t>
      </w:r>
      <w:r w:rsidRPr="008C65EE">
        <w:rPr>
          <w:rFonts w:ascii="Times New Roman" w:hAnsi="Times New Roman"/>
          <w:i/>
          <w:iCs/>
          <w:noProof/>
        </w:rPr>
        <w:t>7</w:t>
      </w:r>
      <w:r w:rsidRPr="008C65EE">
        <w:rPr>
          <w:rFonts w:ascii="Times New Roman" w:hAnsi="Times New Roman"/>
          <w:noProof/>
        </w:rPr>
        <w:t>(2), 80–98.</w:t>
      </w:r>
    </w:p>
    <w:p w14:paraId="5B82EA1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lastRenderedPageBreak/>
        <w:t xml:space="preserve">Wang, Y.-F. (2020). New Insights on Audit Quality. </w:t>
      </w:r>
      <w:r w:rsidRPr="008C65EE">
        <w:rPr>
          <w:rFonts w:ascii="Times New Roman" w:hAnsi="Times New Roman"/>
          <w:i/>
          <w:iCs/>
          <w:noProof/>
        </w:rPr>
        <w:t>International Journal of Business and Economic Sciences Applied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 21–28. https://doi.org/10.25103/ijbesar.131.03</w:t>
      </w:r>
    </w:p>
    <w:p w14:paraId="485B21C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Wuchun, C., Huichi, H., Yichun, L., &amp; Hong, X. (2010). Mandatory audit partner rotation, audit quality, and market perception: Evidence from Taiwan.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26</w:t>
      </w:r>
      <w:r w:rsidRPr="008C65EE">
        <w:rPr>
          <w:rFonts w:ascii="Times New Roman" w:hAnsi="Times New Roman"/>
          <w:noProof/>
        </w:rPr>
        <w:t>(2), 359–391.</w:t>
      </w:r>
    </w:p>
    <w:p w14:paraId="6B2B128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Yahaya, O. A., &amp; Onyabe, J. M. (2022). Does audit fees and auditor’s independence influence audit quality? Evidence from a weak corporate setting. </w:t>
      </w:r>
      <w:r w:rsidRPr="008C65EE">
        <w:rPr>
          <w:rFonts w:ascii="Times New Roman" w:hAnsi="Times New Roman"/>
          <w:i/>
          <w:iCs/>
          <w:noProof/>
        </w:rPr>
        <w:t>Asian Journal of Finance and Accounting</w:t>
      </w:r>
      <w:r w:rsidRPr="008C65EE">
        <w:rPr>
          <w:rFonts w:ascii="Times New Roman" w:hAnsi="Times New Roman"/>
          <w:noProof/>
        </w:rPr>
        <w:t xml:space="preserve">, </w:t>
      </w:r>
      <w:r w:rsidRPr="008C65EE">
        <w:rPr>
          <w:rFonts w:ascii="Times New Roman" w:hAnsi="Times New Roman"/>
          <w:i/>
          <w:iCs/>
          <w:noProof/>
        </w:rPr>
        <w:t>14</w:t>
      </w:r>
      <w:r w:rsidRPr="008C65EE">
        <w:rPr>
          <w:rFonts w:ascii="Times New Roman" w:hAnsi="Times New Roman"/>
          <w:noProof/>
        </w:rPr>
        <w:t>(1), 66–80.</w:t>
      </w:r>
    </w:p>
    <w:p w14:paraId="6E7292F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Zaid, M. A. A., Abuhijleh, S. T. F., &amp; Pucheta-Martínez, M. C. (2020). Ownership structure, stakeholder engagement, and corporate social responsibility policies: The moderating effect of board independence.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(3), 1344–1360. https://doi.org/10.1002/csr.1888</w:t>
      </w:r>
    </w:p>
    <w:p w14:paraId="3C7D0A56" w14:textId="77777777" w:rsidR="00B70BB0" w:rsidRPr="00EB2675" w:rsidRDefault="000B262D" w:rsidP="009C342D">
      <w:pPr>
        <w:jc w:val="both"/>
        <w:rPr>
          <w:rFonts w:ascii="Times New Roman" w:hAnsi="Times New Roman"/>
          <w:color w:val="000000" w:themeColor="text1"/>
        </w:rPr>
      </w:pPr>
      <w:r>
        <w:rPr>
          <w:rFonts w:ascii="Times New Roman" w:hAnsi="Times New Roman"/>
          <w:color w:val="000000" w:themeColor="text1"/>
        </w:rPr>
        <w:fldChar w:fldCharType="end"/>
      </w:r>
    </w:p>
    <w:p w14:paraId="240261C8" w14:textId="77777777" w:rsidR="00B70BB0" w:rsidRPr="00EB2675" w:rsidRDefault="00C76947" w:rsidP="009C342D">
      <w:pPr>
        <w:jc w:val="both"/>
        <w:rPr>
          <w:rFonts w:ascii="Times New Roman" w:hAnsi="Times New Roman"/>
          <w:color w:val="000000" w:themeColor="text1"/>
        </w:rPr>
      </w:pPr>
      <w:r w:rsidRPr="00EB2675">
        <w:rPr>
          <w:rFonts w:ascii="Times New Roman" w:hAnsi="Times New Roman"/>
          <w:color w:val="000000" w:themeColor="text1"/>
        </w:rPr>
        <w:t xml:space="preserve"> </w:t>
      </w:r>
    </w:p>
    <w:sectPr w:rsidR="00B70BB0" w:rsidRPr="00EB2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5193" w14:textId="77777777" w:rsidR="00C76947" w:rsidRDefault="00C76947">
      <w:r>
        <w:separator/>
      </w:r>
    </w:p>
  </w:endnote>
  <w:endnote w:type="continuationSeparator" w:id="0">
    <w:p w14:paraId="623BBDD5" w14:textId="77777777" w:rsidR="00C76947" w:rsidRDefault="00C7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AE84" w14:textId="77777777" w:rsidR="00EF0E45" w:rsidRDefault="00EF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5382"/>
    </w:sdtPr>
    <w:sdtEndPr/>
    <w:sdtContent>
      <w:p w14:paraId="5C909D8A" w14:textId="77777777" w:rsidR="00B70BB0" w:rsidRDefault="00C76947">
        <w:pPr>
          <w:pStyle w:val="Footer"/>
          <w:jc w:val="center"/>
        </w:pPr>
        <w:r>
          <w:fldChar w:fldCharType="begin"/>
        </w:r>
        <w:r>
          <w:instrText xml:space="preserve"> PAGE   \* MERGEFORMAT </w:instrText>
        </w:r>
        <w:r>
          <w:fldChar w:fldCharType="separate"/>
        </w:r>
        <w:r>
          <w:t>18</w:t>
        </w:r>
        <w:r>
          <w:fldChar w:fldCharType="end"/>
        </w:r>
      </w:p>
    </w:sdtContent>
  </w:sdt>
  <w:p w14:paraId="32F8A9B3" w14:textId="77777777" w:rsidR="00B70BB0" w:rsidRDefault="00B70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F340" w14:textId="77777777" w:rsidR="00EF0E45" w:rsidRDefault="00EF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F8A71" w14:textId="77777777" w:rsidR="00C76947" w:rsidRDefault="00C76947">
      <w:r>
        <w:separator/>
      </w:r>
    </w:p>
  </w:footnote>
  <w:footnote w:type="continuationSeparator" w:id="0">
    <w:p w14:paraId="1863E7A1" w14:textId="77777777" w:rsidR="00C76947" w:rsidRDefault="00C7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91A8" w14:textId="37354371" w:rsidR="00EF0E45" w:rsidRDefault="00EF0E45">
    <w:pPr>
      <w:pStyle w:val="Header"/>
    </w:pPr>
    <w:r>
      <w:rPr>
        <w:noProof/>
      </w:rPr>
      <w:pict w14:anchorId="19FA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99FD" w14:textId="524082BD" w:rsidR="00EF0E45" w:rsidRDefault="00EF0E45">
    <w:pPr>
      <w:pStyle w:val="Header"/>
    </w:pPr>
    <w:r>
      <w:rPr>
        <w:noProof/>
      </w:rPr>
      <w:pict w14:anchorId="23EC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28C4" w14:textId="677FDFAC" w:rsidR="00EF0E45" w:rsidRDefault="00EF0E45">
    <w:pPr>
      <w:pStyle w:val="Header"/>
    </w:pPr>
    <w:r>
      <w:rPr>
        <w:noProof/>
      </w:rPr>
      <w:pict w14:anchorId="1C46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67EF"/>
    <w:multiLevelType w:val="multilevel"/>
    <w:tmpl w:val="15D667EF"/>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86DA4"/>
    <w:multiLevelType w:val="multilevel"/>
    <w:tmpl w:val="4F286D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54"/>
    <w:rsid w:val="00003425"/>
    <w:rsid w:val="00011FF8"/>
    <w:rsid w:val="000247CB"/>
    <w:rsid w:val="00026A9A"/>
    <w:rsid w:val="000362D9"/>
    <w:rsid w:val="00043A55"/>
    <w:rsid w:val="00044883"/>
    <w:rsid w:val="000507A1"/>
    <w:rsid w:val="00051B36"/>
    <w:rsid w:val="000559E0"/>
    <w:rsid w:val="00056064"/>
    <w:rsid w:val="0007116C"/>
    <w:rsid w:val="00072611"/>
    <w:rsid w:val="00074248"/>
    <w:rsid w:val="00081F20"/>
    <w:rsid w:val="00083235"/>
    <w:rsid w:val="00083863"/>
    <w:rsid w:val="000A64D0"/>
    <w:rsid w:val="000A7001"/>
    <w:rsid w:val="000A7443"/>
    <w:rsid w:val="000B262D"/>
    <w:rsid w:val="000B355B"/>
    <w:rsid w:val="000B42E5"/>
    <w:rsid w:val="000C066E"/>
    <w:rsid w:val="000C6574"/>
    <w:rsid w:val="000C774C"/>
    <w:rsid w:val="000D49E2"/>
    <w:rsid w:val="000E24B6"/>
    <w:rsid w:val="000E7069"/>
    <w:rsid w:val="00106480"/>
    <w:rsid w:val="00114E0C"/>
    <w:rsid w:val="001259B3"/>
    <w:rsid w:val="001343A2"/>
    <w:rsid w:val="001357AC"/>
    <w:rsid w:val="0017346C"/>
    <w:rsid w:val="00174DFE"/>
    <w:rsid w:val="0018490A"/>
    <w:rsid w:val="001962E4"/>
    <w:rsid w:val="001A7F1A"/>
    <w:rsid w:val="001C3F97"/>
    <w:rsid w:val="001C6860"/>
    <w:rsid w:val="001D1DA2"/>
    <w:rsid w:val="001D6A08"/>
    <w:rsid w:val="001F5027"/>
    <w:rsid w:val="002003A9"/>
    <w:rsid w:val="00204E4F"/>
    <w:rsid w:val="002152D2"/>
    <w:rsid w:val="00226BF3"/>
    <w:rsid w:val="00236559"/>
    <w:rsid w:val="0023799D"/>
    <w:rsid w:val="002441D1"/>
    <w:rsid w:val="002659A7"/>
    <w:rsid w:val="00266F75"/>
    <w:rsid w:val="002753B3"/>
    <w:rsid w:val="00280A43"/>
    <w:rsid w:val="00286949"/>
    <w:rsid w:val="00287D6A"/>
    <w:rsid w:val="002A424E"/>
    <w:rsid w:val="002B3C1B"/>
    <w:rsid w:val="002C17FC"/>
    <w:rsid w:val="002D0682"/>
    <w:rsid w:val="002D7D9C"/>
    <w:rsid w:val="002E1431"/>
    <w:rsid w:val="002E51FA"/>
    <w:rsid w:val="002E7F86"/>
    <w:rsid w:val="002F0BDD"/>
    <w:rsid w:val="003005B3"/>
    <w:rsid w:val="0030724E"/>
    <w:rsid w:val="00307914"/>
    <w:rsid w:val="00311E17"/>
    <w:rsid w:val="003163D6"/>
    <w:rsid w:val="00321386"/>
    <w:rsid w:val="0033774A"/>
    <w:rsid w:val="00341E59"/>
    <w:rsid w:val="003518F6"/>
    <w:rsid w:val="00362434"/>
    <w:rsid w:val="003627EB"/>
    <w:rsid w:val="00364B2F"/>
    <w:rsid w:val="00367007"/>
    <w:rsid w:val="00370726"/>
    <w:rsid w:val="00373D58"/>
    <w:rsid w:val="003757CC"/>
    <w:rsid w:val="00377587"/>
    <w:rsid w:val="00384026"/>
    <w:rsid w:val="003911D9"/>
    <w:rsid w:val="003965D1"/>
    <w:rsid w:val="00397B13"/>
    <w:rsid w:val="003A1016"/>
    <w:rsid w:val="003A4782"/>
    <w:rsid w:val="003C1913"/>
    <w:rsid w:val="003C2411"/>
    <w:rsid w:val="003C6DF5"/>
    <w:rsid w:val="003D5927"/>
    <w:rsid w:val="003D6146"/>
    <w:rsid w:val="003E23C2"/>
    <w:rsid w:val="003E4F7C"/>
    <w:rsid w:val="003E5C2D"/>
    <w:rsid w:val="003F323E"/>
    <w:rsid w:val="0040114D"/>
    <w:rsid w:val="004031A2"/>
    <w:rsid w:val="004103F7"/>
    <w:rsid w:val="0041140E"/>
    <w:rsid w:val="00412239"/>
    <w:rsid w:val="00422EFD"/>
    <w:rsid w:val="00424545"/>
    <w:rsid w:val="00454BDF"/>
    <w:rsid w:val="0046629D"/>
    <w:rsid w:val="00470914"/>
    <w:rsid w:val="004813FD"/>
    <w:rsid w:val="00481D9D"/>
    <w:rsid w:val="00483AEA"/>
    <w:rsid w:val="00492BE4"/>
    <w:rsid w:val="004B4D38"/>
    <w:rsid w:val="004B5E6F"/>
    <w:rsid w:val="004B6508"/>
    <w:rsid w:val="004D4F4A"/>
    <w:rsid w:val="004D7975"/>
    <w:rsid w:val="004E0CA4"/>
    <w:rsid w:val="004E53B9"/>
    <w:rsid w:val="004E5B77"/>
    <w:rsid w:val="004F10B4"/>
    <w:rsid w:val="00500F27"/>
    <w:rsid w:val="0051295B"/>
    <w:rsid w:val="005132D2"/>
    <w:rsid w:val="005241E1"/>
    <w:rsid w:val="0053663F"/>
    <w:rsid w:val="00541CFB"/>
    <w:rsid w:val="00571A09"/>
    <w:rsid w:val="00590025"/>
    <w:rsid w:val="00595009"/>
    <w:rsid w:val="00596667"/>
    <w:rsid w:val="005A6E16"/>
    <w:rsid w:val="005A7887"/>
    <w:rsid w:val="005B5812"/>
    <w:rsid w:val="005B6154"/>
    <w:rsid w:val="005C60AB"/>
    <w:rsid w:val="00600966"/>
    <w:rsid w:val="00600F27"/>
    <w:rsid w:val="00602FCA"/>
    <w:rsid w:val="006053B6"/>
    <w:rsid w:val="00605980"/>
    <w:rsid w:val="00605DB3"/>
    <w:rsid w:val="00606286"/>
    <w:rsid w:val="00645FB6"/>
    <w:rsid w:val="00646A0F"/>
    <w:rsid w:val="006510E5"/>
    <w:rsid w:val="00657ACA"/>
    <w:rsid w:val="00662AD9"/>
    <w:rsid w:val="00672C2A"/>
    <w:rsid w:val="0068108E"/>
    <w:rsid w:val="00681A9A"/>
    <w:rsid w:val="006852F8"/>
    <w:rsid w:val="00696717"/>
    <w:rsid w:val="006B099B"/>
    <w:rsid w:val="006C0394"/>
    <w:rsid w:val="006D7860"/>
    <w:rsid w:val="006E19CE"/>
    <w:rsid w:val="006E6210"/>
    <w:rsid w:val="006F5402"/>
    <w:rsid w:val="00707DDE"/>
    <w:rsid w:val="00722EDE"/>
    <w:rsid w:val="007437E7"/>
    <w:rsid w:val="00747911"/>
    <w:rsid w:val="007506F4"/>
    <w:rsid w:val="007521DB"/>
    <w:rsid w:val="00760152"/>
    <w:rsid w:val="00765F0F"/>
    <w:rsid w:val="00771501"/>
    <w:rsid w:val="00774DD9"/>
    <w:rsid w:val="00776E1B"/>
    <w:rsid w:val="00782555"/>
    <w:rsid w:val="0078787B"/>
    <w:rsid w:val="00787B06"/>
    <w:rsid w:val="00791334"/>
    <w:rsid w:val="00795BF7"/>
    <w:rsid w:val="007C0F6A"/>
    <w:rsid w:val="007D1383"/>
    <w:rsid w:val="007D1A6F"/>
    <w:rsid w:val="00807FBC"/>
    <w:rsid w:val="0081099D"/>
    <w:rsid w:val="00811312"/>
    <w:rsid w:val="00850F29"/>
    <w:rsid w:val="00853FF6"/>
    <w:rsid w:val="0085513E"/>
    <w:rsid w:val="008566A1"/>
    <w:rsid w:val="00862335"/>
    <w:rsid w:val="0086589B"/>
    <w:rsid w:val="008906A1"/>
    <w:rsid w:val="00890E07"/>
    <w:rsid w:val="00892A0D"/>
    <w:rsid w:val="00895E36"/>
    <w:rsid w:val="008A3604"/>
    <w:rsid w:val="008B0C77"/>
    <w:rsid w:val="008B2A77"/>
    <w:rsid w:val="008C65EE"/>
    <w:rsid w:val="008D051C"/>
    <w:rsid w:val="008E0F8F"/>
    <w:rsid w:val="008E547F"/>
    <w:rsid w:val="008F1A89"/>
    <w:rsid w:val="0091271F"/>
    <w:rsid w:val="00915A40"/>
    <w:rsid w:val="009214FE"/>
    <w:rsid w:val="0094719B"/>
    <w:rsid w:val="00952D3E"/>
    <w:rsid w:val="009658C1"/>
    <w:rsid w:val="00971288"/>
    <w:rsid w:val="0097730F"/>
    <w:rsid w:val="00977A3A"/>
    <w:rsid w:val="00994A5C"/>
    <w:rsid w:val="009A1DEB"/>
    <w:rsid w:val="009B589A"/>
    <w:rsid w:val="009C342D"/>
    <w:rsid w:val="009C3EA1"/>
    <w:rsid w:val="009C7DC7"/>
    <w:rsid w:val="00A046CE"/>
    <w:rsid w:val="00A07E75"/>
    <w:rsid w:val="00A17D0D"/>
    <w:rsid w:val="00A22F9A"/>
    <w:rsid w:val="00A462B7"/>
    <w:rsid w:val="00A623B2"/>
    <w:rsid w:val="00A63879"/>
    <w:rsid w:val="00A65EBF"/>
    <w:rsid w:val="00A7571A"/>
    <w:rsid w:val="00A7608D"/>
    <w:rsid w:val="00A800C9"/>
    <w:rsid w:val="00A90B56"/>
    <w:rsid w:val="00A94DE4"/>
    <w:rsid w:val="00A96C89"/>
    <w:rsid w:val="00A97AD9"/>
    <w:rsid w:val="00AA60B7"/>
    <w:rsid w:val="00AC34AB"/>
    <w:rsid w:val="00AC668A"/>
    <w:rsid w:val="00AD6847"/>
    <w:rsid w:val="00AF7BD4"/>
    <w:rsid w:val="00B058E5"/>
    <w:rsid w:val="00B075E7"/>
    <w:rsid w:val="00B12F77"/>
    <w:rsid w:val="00B14321"/>
    <w:rsid w:val="00B1636C"/>
    <w:rsid w:val="00B17A49"/>
    <w:rsid w:val="00B22D77"/>
    <w:rsid w:val="00B257B2"/>
    <w:rsid w:val="00B358D1"/>
    <w:rsid w:val="00B506A1"/>
    <w:rsid w:val="00B55832"/>
    <w:rsid w:val="00B70BB0"/>
    <w:rsid w:val="00B742B8"/>
    <w:rsid w:val="00B826DC"/>
    <w:rsid w:val="00B93BD8"/>
    <w:rsid w:val="00B9437D"/>
    <w:rsid w:val="00BA7A65"/>
    <w:rsid w:val="00BB3300"/>
    <w:rsid w:val="00BC6FB2"/>
    <w:rsid w:val="00BE2C55"/>
    <w:rsid w:val="00BF5989"/>
    <w:rsid w:val="00C012C7"/>
    <w:rsid w:val="00C30A83"/>
    <w:rsid w:val="00C47704"/>
    <w:rsid w:val="00C51919"/>
    <w:rsid w:val="00C639F1"/>
    <w:rsid w:val="00C67AB5"/>
    <w:rsid w:val="00C73533"/>
    <w:rsid w:val="00C76947"/>
    <w:rsid w:val="00C92E8A"/>
    <w:rsid w:val="00C95119"/>
    <w:rsid w:val="00CA3A0E"/>
    <w:rsid w:val="00CB3A79"/>
    <w:rsid w:val="00CD028B"/>
    <w:rsid w:val="00CD2EE7"/>
    <w:rsid w:val="00CD4C33"/>
    <w:rsid w:val="00CE1362"/>
    <w:rsid w:val="00CE3750"/>
    <w:rsid w:val="00CE7147"/>
    <w:rsid w:val="00CE7D2C"/>
    <w:rsid w:val="00CE7F9A"/>
    <w:rsid w:val="00D000D6"/>
    <w:rsid w:val="00D03EE7"/>
    <w:rsid w:val="00D06EE6"/>
    <w:rsid w:val="00D47048"/>
    <w:rsid w:val="00D5380B"/>
    <w:rsid w:val="00D665E0"/>
    <w:rsid w:val="00D902A4"/>
    <w:rsid w:val="00D92A21"/>
    <w:rsid w:val="00D9714A"/>
    <w:rsid w:val="00DB0FDA"/>
    <w:rsid w:val="00DC15CA"/>
    <w:rsid w:val="00DC5458"/>
    <w:rsid w:val="00DD24BC"/>
    <w:rsid w:val="00DD5C1F"/>
    <w:rsid w:val="00DD5C2F"/>
    <w:rsid w:val="00DE2959"/>
    <w:rsid w:val="00DE34FD"/>
    <w:rsid w:val="00DF272D"/>
    <w:rsid w:val="00E02A33"/>
    <w:rsid w:val="00E03C67"/>
    <w:rsid w:val="00E064AE"/>
    <w:rsid w:val="00E10F82"/>
    <w:rsid w:val="00E117E1"/>
    <w:rsid w:val="00E13227"/>
    <w:rsid w:val="00E144B5"/>
    <w:rsid w:val="00E15E3D"/>
    <w:rsid w:val="00E165D3"/>
    <w:rsid w:val="00E371F4"/>
    <w:rsid w:val="00E462AD"/>
    <w:rsid w:val="00E53960"/>
    <w:rsid w:val="00E54DF9"/>
    <w:rsid w:val="00E6166E"/>
    <w:rsid w:val="00E714FF"/>
    <w:rsid w:val="00E759E0"/>
    <w:rsid w:val="00E76D36"/>
    <w:rsid w:val="00E821C6"/>
    <w:rsid w:val="00E84512"/>
    <w:rsid w:val="00E908CF"/>
    <w:rsid w:val="00E9417D"/>
    <w:rsid w:val="00EA018C"/>
    <w:rsid w:val="00EA1E03"/>
    <w:rsid w:val="00EB035C"/>
    <w:rsid w:val="00EB2675"/>
    <w:rsid w:val="00EC00BF"/>
    <w:rsid w:val="00EC1C30"/>
    <w:rsid w:val="00EC5FAB"/>
    <w:rsid w:val="00ED6623"/>
    <w:rsid w:val="00EF0E45"/>
    <w:rsid w:val="00EF432B"/>
    <w:rsid w:val="00EF5911"/>
    <w:rsid w:val="00F0766E"/>
    <w:rsid w:val="00F1060F"/>
    <w:rsid w:val="00F21FD9"/>
    <w:rsid w:val="00F22609"/>
    <w:rsid w:val="00F22CF2"/>
    <w:rsid w:val="00F24B5D"/>
    <w:rsid w:val="00F3528F"/>
    <w:rsid w:val="00F36493"/>
    <w:rsid w:val="00F5658E"/>
    <w:rsid w:val="00F61496"/>
    <w:rsid w:val="00F64F80"/>
    <w:rsid w:val="00F66336"/>
    <w:rsid w:val="00F83C81"/>
    <w:rsid w:val="00FB1DA1"/>
    <w:rsid w:val="00FB2A40"/>
    <w:rsid w:val="00FB767D"/>
    <w:rsid w:val="00FC0A56"/>
    <w:rsid w:val="00FD305E"/>
    <w:rsid w:val="00FD37F0"/>
    <w:rsid w:val="00FE0087"/>
    <w:rsid w:val="00FE6349"/>
    <w:rsid w:val="095C0564"/>
    <w:rsid w:val="42E0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C78C1"/>
  <w15:docId w15:val="{6CAC0F55-8754-423F-A098-9E09D492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SimSun" w:hAnsi="Calibri"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spacing w:before="100" w:beforeAutospacing="1" w:after="200"/>
    </w:pPr>
    <w:rPr>
      <w:rFonts w:eastAsia="Times New Roman"/>
      <w:b/>
      <w:bCs/>
      <w:color w:val="4472C4"/>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unhideWhenUsed/>
    <w:qFormat/>
    <w:pPr>
      <w:spacing w:before="100" w:beforeAutospacing="1"/>
    </w:pPr>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99"/>
    <w:unhideWhenUsed/>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semiHidden/>
    <w:unhideWhenUsed/>
    <w:qFormat/>
    <w:rPr>
      <w:rFonts w:ascii="Times New Roman" w:eastAsia="SimSun" w:hAnsi="Times New Roman" w:cs="Times New Roman"/>
      <w:color w:val="000000"/>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root-block-node">
    <w:name w:val="root-block-node"/>
    <w:basedOn w:val="Normal"/>
    <w:qFormat/>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rPr>
  </w:style>
  <w:style w:type="character" w:customStyle="1" w:styleId="15">
    <w:name w:val="15"/>
    <w:basedOn w:val="DefaultParagraphFont"/>
    <w:qFormat/>
    <w:rPr>
      <w:rFonts w:ascii="Calibri" w:hAnsi="Calibri" w:cs="Calibri" w:hint="default"/>
      <w:i/>
      <w:iCs/>
      <w:color w:val="7E7E7E"/>
    </w:rPr>
  </w:style>
  <w:style w:type="character" w:customStyle="1" w:styleId="HeaderChar">
    <w:name w:val="Header Char"/>
    <w:basedOn w:val="DefaultParagraphFont"/>
    <w:link w:val="Header"/>
    <w:uiPriority w:val="99"/>
    <w:qFormat/>
    <w:rPr>
      <w:rFonts w:ascii="Calibri" w:eastAsia="SimSun" w:hAnsi="Calibri" w:cs="Times New Roman"/>
      <w:sz w:val="24"/>
      <w:szCs w:val="24"/>
    </w:rPr>
  </w:style>
  <w:style w:type="character" w:customStyle="1" w:styleId="FooterChar">
    <w:name w:val="Footer Char"/>
    <w:basedOn w:val="DefaultParagraphFont"/>
    <w:link w:val="Footer"/>
    <w:uiPriority w:val="99"/>
    <w:qFormat/>
    <w:rPr>
      <w:rFonts w:ascii="Calibri" w:eastAsia="SimSun" w:hAnsi="Calibri"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EndnoteText">
    <w:name w:val="endnote text"/>
    <w:basedOn w:val="Normal"/>
    <w:link w:val="EndnoteTextChar"/>
    <w:uiPriority w:val="99"/>
    <w:semiHidden/>
    <w:unhideWhenUsed/>
    <w:rsid w:val="00A7608D"/>
    <w:rPr>
      <w:sz w:val="20"/>
      <w:szCs w:val="20"/>
    </w:rPr>
  </w:style>
  <w:style w:type="character" w:customStyle="1" w:styleId="EndnoteTextChar">
    <w:name w:val="Endnote Text Char"/>
    <w:basedOn w:val="DefaultParagraphFont"/>
    <w:link w:val="EndnoteText"/>
    <w:uiPriority w:val="99"/>
    <w:semiHidden/>
    <w:rsid w:val="00A7608D"/>
    <w:rPr>
      <w:rFonts w:ascii="Calibri" w:eastAsia="SimSun" w:hAnsi="Calibri" w:cs="Times New Roman"/>
    </w:rPr>
  </w:style>
  <w:style w:type="character" w:styleId="EndnoteReference">
    <w:name w:val="endnote reference"/>
    <w:basedOn w:val="DefaultParagraphFont"/>
    <w:uiPriority w:val="99"/>
    <w:semiHidden/>
    <w:unhideWhenUsed/>
    <w:rsid w:val="00A7608D"/>
    <w:rPr>
      <w:vertAlign w:val="superscript"/>
    </w:rPr>
  </w:style>
  <w:style w:type="character" w:styleId="UnresolvedMention">
    <w:name w:val="Unresolved Mention"/>
    <w:basedOn w:val="DefaultParagraphFont"/>
    <w:uiPriority w:val="99"/>
    <w:semiHidden/>
    <w:unhideWhenUsed/>
    <w:rsid w:val="0052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2460">
      <w:bodyDiv w:val="1"/>
      <w:marLeft w:val="0"/>
      <w:marRight w:val="0"/>
      <w:marTop w:val="0"/>
      <w:marBottom w:val="0"/>
      <w:divBdr>
        <w:top w:val="none" w:sz="0" w:space="0" w:color="auto"/>
        <w:left w:val="none" w:sz="0" w:space="0" w:color="auto"/>
        <w:bottom w:val="none" w:sz="0" w:space="0" w:color="auto"/>
        <w:right w:val="none" w:sz="0" w:space="0" w:color="auto"/>
      </w:divBdr>
      <w:divsChild>
        <w:div w:id="150512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331238">
      <w:bodyDiv w:val="1"/>
      <w:marLeft w:val="0"/>
      <w:marRight w:val="0"/>
      <w:marTop w:val="0"/>
      <w:marBottom w:val="0"/>
      <w:divBdr>
        <w:top w:val="none" w:sz="0" w:space="0" w:color="auto"/>
        <w:left w:val="none" w:sz="0" w:space="0" w:color="auto"/>
        <w:bottom w:val="none" w:sz="0" w:space="0" w:color="auto"/>
        <w:right w:val="none" w:sz="0" w:space="0" w:color="auto"/>
      </w:divBdr>
      <w:divsChild>
        <w:div w:id="29780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11092">
      <w:bodyDiv w:val="1"/>
      <w:marLeft w:val="0"/>
      <w:marRight w:val="0"/>
      <w:marTop w:val="0"/>
      <w:marBottom w:val="0"/>
      <w:divBdr>
        <w:top w:val="none" w:sz="0" w:space="0" w:color="auto"/>
        <w:left w:val="none" w:sz="0" w:space="0" w:color="auto"/>
        <w:bottom w:val="none" w:sz="0" w:space="0" w:color="auto"/>
        <w:right w:val="none" w:sz="0" w:space="0" w:color="auto"/>
      </w:divBdr>
      <w:divsChild>
        <w:div w:id="77459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566864">
      <w:bodyDiv w:val="1"/>
      <w:marLeft w:val="0"/>
      <w:marRight w:val="0"/>
      <w:marTop w:val="0"/>
      <w:marBottom w:val="0"/>
      <w:divBdr>
        <w:top w:val="none" w:sz="0" w:space="0" w:color="auto"/>
        <w:left w:val="none" w:sz="0" w:space="0" w:color="auto"/>
        <w:bottom w:val="none" w:sz="0" w:space="0" w:color="auto"/>
        <w:right w:val="none" w:sz="0" w:space="0" w:color="auto"/>
      </w:divBdr>
      <w:divsChild>
        <w:div w:id="136316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DE94-FBCE-4E9C-8F24-D826DFA3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4412</TotalTime>
  <Pages>36</Pages>
  <Words>46096</Words>
  <Characters>262750</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57</cp:revision>
  <dcterms:created xsi:type="dcterms:W3CDTF">2025-10-14T20:51:00Z</dcterms:created>
  <dcterms:modified xsi:type="dcterms:W3CDTF">2026-03-30T12:49:00Z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03902f6c-01a7-3254-8234-61f09dacc108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1033-12.2.0.23131</vt:lpwstr>
  </property>
  <property fmtid="{D5CDD505-2E9C-101B-9397-08002B2CF9AE}" pid="26" name="ICV">
    <vt:lpwstr>23040C63BCCE44B586064F3539A32D2A_12</vt:lpwstr>
  </property>
</Properties>
</file>