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7F8B5" w14:textId="77777777" w:rsidR="00754C9A" w:rsidRDefault="00754C9A" w:rsidP="00441B6F">
      <w:pPr>
        <w:pStyle w:val="Title"/>
        <w:spacing w:after="0"/>
        <w:jc w:val="both"/>
        <w:rPr>
          <w:rFonts w:ascii="Arial" w:hAnsi="Arial" w:cs="Arial"/>
        </w:rPr>
      </w:pPr>
    </w:p>
    <w:p w14:paraId="221D1C16" w14:textId="736AA477" w:rsidR="00163BC4" w:rsidRPr="00163BC4" w:rsidRDefault="008E5D05" w:rsidP="00441B6F">
      <w:pPr>
        <w:pStyle w:val="Author"/>
        <w:spacing w:line="240" w:lineRule="auto"/>
        <w:rPr>
          <w:rFonts w:ascii="Arial" w:hAnsi="Arial" w:cs="Arial"/>
          <w:bCs/>
          <w:iCs/>
          <w:kern w:val="28"/>
          <w:sz w:val="36"/>
        </w:rPr>
      </w:pPr>
      <w:r w:rsidRPr="008E5D05">
        <w:rPr>
          <w:rFonts w:ascii="Arial" w:hAnsi="Arial" w:cs="Arial"/>
          <w:bCs/>
          <w:iCs/>
          <w:kern w:val="28"/>
          <w:sz w:val="36"/>
        </w:rPr>
        <w:t>Forecasting and Explaining Non-Performing Assets in Indian Banking Groups Using Panel Econometrics and Explainable Machine Learning Models</w:t>
      </w:r>
      <w:r w:rsidR="00231920">
        <w:rPr>
          <w:rFonts w:ascii="Arial" w:hAnsi="Arial" w:cs="Arial"/>
          <w:bCs/>
          <w:iCs/>
          <w:kern w:val="28"/>
          <w:sz w:val="36"/>
        </w:rPr>
        <w:t xml:space="preserve"> </w:t>
      </w:r>
    </w:p>
    <w:p w14:paraId="51CB33C9" w14:textId="77777777" w:rsidR="00A258C3" w:rsidRPr="00790ADA" w:rsidRDefault="00A258C3" w:rsidP="00441B6F">
      <w:pPr>
        <w:pStyle w:val="Author"/>
        <w:spacing w:line="240" w:lineRule="auto"/>
        <w:jc w:val="both"/>
        <w:rPr>
          <w:rFonts w:ascii="Arial" w:hAnsi="Arial" w:cs="Arial"/>
          <w:sz w:val="36"/>
        </w:rPr>
      </w:pPr>
    </w:p>
    <w:p w14:paraId="4F53182F" w14:textId="77777777" w:rsidR="00790ADA" w:rsidRDefault="00790ADA" w:rsidP="00441B6F">
      <w:pPr>
        <w:pStyle w:val="Affiliation"/>
        <w:spacing w:after="0" w:line="240" w:lineRule="auto"/>
        <w:jc w:val="both"/>
        <w:rPr>
          <w:rFonts w:ascii="Arial" w:hAnsi="Arial" w:cs="Arial"/>
        </w:rPr>
      </w:pPr>
    </w:p>
    <w:p w14:paraId="41D3A096" w14:textId="77777777" w:rsidR="002C57D2" w:rsidRPr="00FB3A86" w:rsidRDefault="002C57D2" w:rsidP="00441B6F">
      <w:pPr>
        <w:pStyle w:val="Affiliation"/>
        <w:spacing w:after="0" w:line="240" w:lineRule="auto"/>
        <w:jc w:val="both"/>
        <w:rPr>
          <w:rFonts w:ascii="Arial" w:hAnsi="Arial" w:cs="Arial"/>
        </w:rPr>
      </w:pPr>
      <w:bookmarkStart w:id="0" w:name="_GoBack"/>
      <w:bookmarkEnd w:id="0"/>
    </w:p>
    <w:p w14:paraId="6EC46857" w14:textId="389F2614" w:rsidR="00B01FCD" w:rsidRPr="00FB3A86" w:rsidRDefault="00785A6B" w:rsidP="00441B6F">
      <w:pPr>
        <w:pStyle w:val="Copyright"/>
        <w:spacing w:after="0" w:line="240" w:lineRule="auto"/>
        <w:jc w:val="both"/>
        <w:rPr>
          <w:rFonts w:ascii="Arial" w:hAnsi="Arial" w:cs="Arial"/>
        </w:rPr>
        <w:sectPr w:rsidR="00B01FCD" w:rsidRPr="00FB3A86" w:rsidSect="00050E9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7B1293C" wp14:editId="3B4A9E14">
                <wp:extent cx="5303520" cy="635"/>
                <wp:effectExtent l="13335" t="15875" r="17145" b="12700"/>
                <wp:docPr id="152982177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0E1545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FE3C73D" w14:textId="1ADAC3B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05F764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276E60B" w14:textId="77777777" w:rsidTr="001E44FE">
        <w:tc>
          <w:tcPr>
            <w:tcW w:w="9576" w:type="dxa"/>
            <w:shd w:val="clear" w:color="auto" w:fill="F2F2F2"/>
          </w:tcPr>
          <w:p w14:paraId="48EA6022" w14:textId="754AA7D0" w:rsidR="00505F06" w:rsidRPr="00BA1B01" w:rsidRDefault="00A87268" w:rsidP="00441B6F">
            <w:pPr>
              <w:pStyle w:val="Body"/>
              <w:spacing w:after="0"/>
              <w:rPr>
                <w:rFonts w:ascii="Arial" w:eastAsia="Calibri" w:hAnsi="Arial" w:cs="Arial"/>
                <w:szCs w:val="22"/>
              </w:rPr>
            </w:pPr>
            <w:r w:rsidRPr="00A87268">
              <w:rPr>
                <w:rFonts w:ascii="Arial" w:eastAsia="Calibri" w:hAnsi="Arial" w:cs="Arial"/>
                <w:szCs w:val="22"/>
              </w:rPr>
              <w:t xml:space="preserve">This study examines the determinants and predictive dynamics of Non-Performing Assets (NPAs) in Indian banking groups using an integrated framework combining panel econometric techniques, machine learning models, and explainable artificial intelligence. The analysis is based on a balanced panel dataset covering the period 1998-2024, incorporating key macroeconomic variables such as credit growth, GDP growth, inflation, and lending interest rates. Panel estimations using Pooled OLS, Fixed Effects, and Random Effects models are conducted, with the Hausman test supporting the Random Effects specification. The results indicate that lending interest rates have a positive and statistically significant impact on NPAs, whereas inflation exhibits a significant negative effect. In contrast, credit growth and GDP growth are found to be statistically insignificant. Diagnostic tests reveal the presence of heteroskedasticity, serial correlation, and cross-sectional dependence, highlighting the persistent and systemic nature of NPAs. To enhance predictive performance, the study employs Linear Regression, Random Forest, and </w:t>
            </w:r>
            <w:proofErr w:type="spellStart"/>
            <w:r w:rsidRPr="00A87268">
              <w:rPr>
                <w:rFonts w:ascii="Arial" w:eastAsia="Calibri" w:hAnsi="Arial" w:cs="Arial"/>
                <w:szCs w:val="22"/>
              </w:rPr>
              <w:t>XGBoost</w:t>
            </w:r>
            <w:proofErr w:type="spellEnd"/>
            <w:r w:rsidRPr="00A87268">
              <w:rPr>
                <w:rFonts w:ascii="Arial" w:eastAsia="Calibri" w:hAnsi="Arial" w:cs="Arial"/>
                <w:szCs w:val="22"/>
              </w:rPr>
              <w:t xml:space="preserve"> models, with </w:t>
            </w:r>
            <w:proofErr w:type="spellStart"/>
            <w:r w:rsidRPr="00A87268">
              <w:rPr>
                <w:rFonts w:ascii="Arial" w:eastAsia="Calibri" w:hAnsi="Arial" w:cs="Arial"/>
                <w:szCs w:val="22"/>
              </w:rPr>
              <w:t>XGBoost</w:t>
            </w:r>
            <w:proofErr w:type="spellEnd"/>
            <w:r w:rsidRPr="00A87268">
              <w:rPr>
                <w:rFonts w:ascii="Arial" w:eastAsia="Calibri" w:hAnsi="Arial" w:cs="Arial"/>
                <w:szCs w:val="22"/>
              </w:rPr>
              <w:t xml:space="preserve"> demonstrating the highest accuracy. SHAP analysis identifies lagged NPAs and interest rates as key drivers. The findings underscore the importance of integrating econometric and data-driven approaches for effective risk assessment and policy formulation in the banking sector.</w:t>
            </w:r>
          </w:p>
        </w:tc>
      </w:tr>
    </w:tbl>
    <w:p w14:paraId="06643135" w14:textId="77777777" w:rsidR="00636EB2" w:rsidRDefault="00636EB2" w:rsidP="00441B6F">
      <w:pPr>
        <w:pStyle w:val="Body"/>
        <w:spacing w:after="0"/>
        <w:rPr>
          <w:rFonts w:ascii="Arial" w:hAnsi="Arial" w:cs="Arial"/>
          <w:i/>
        </w:rPr>
      </w:pPr>
    </w:p>
    <w:p w14:paraId="4CC05F5F" w14:textId="6CEF1817" w:rsidR="00A24E7E" w:rsidRDefault="00A24E7E" w:rsidP="00441B6F">
      <w:pPr>
        <w:pStyle w:val="Body"/>
        <w:spacing w:after="0"/>
        <w:rPr>
          <w:rFonts w:ascii="Arial" w:hAnsi="Arial" w:cs="Arial"/>
          <w:i/>
        </w:rPr>
      </w:pPr>
      <w:r>
        <w:rPr>
          <w:rFonts w:ascii="Arial" w:hAnsi="Arial" w:cs="Arial"/>
          <w:i/>
        </w:rPr>
        <w:t xml:space="preserve">Keywords: </w:t>
      </w:r>
      <w:r w:rsidR="00A87268" w:rsidRPr="00A87268">
        <w:rPr>
          <w:rFonts w:ascii="Arial" w:hAnsi="Arial" w:cs="Arial"/>
          <w:i/>
        </w:rPr>
        <w:t>Non-Performing Assets (NPAs), Panel Econometrics, Machine Learning, SHAP, Credit Risk</w:t>
      </w:r>
    </w:p>
    <w:p w14:paraId="0B17A44B" w14:textId="77777777" w:rsidR="00790ADA" w:rsidRDefault="00790ADA" w:rsidP="00441B6F">
      <w:pPr>
        <w:pStyle w:val="Body"/>
        <w:spacing w:after="0"/>
        <w:rPr>
          <w:rFonts w:ascii="Arial" w:hAnsi="Arial" w:cs="Arial"/>
          <w:i/>
        </w:rPr>
      </w:pPr>
    </w:p>
    <w:p w14:paraId="3D468B0C" w14:textId="77777777" w:rsidR="0024282C" w:rsidRDefault="0024282C" w:rsidP="00441B6F">
      <w:pPr>
        <w:pStyle w:val="Body"/>
        <w:spacing w:after="0"/>
        <w:rPr>
          <w:rFonts w:ascii="Arial" w:hAnsi="Arial" w:cs="Arial"/>
          <w:i/>
          <w:sz w:val="18"/>
        </w:rPr>
      </w:pPr>
    </w:p>
    <w:p w14:paraId="56512DBD" w14:textId="77777777" w:rsidR="00505F06" w:rsidRPr="00A24E7E" w:rsidRDefault="00505F06" w:rsidP="00441B6F">
      <w:pPr>
        <w:pStyle w:val="Body"/>
        <w:spacing w:after="0"/>
        <w:rPr>
          <w:rFonts w:ascii="Arial" w:hAnsi="Arial" w:cs="Arial"/>
          <w:i/>
        </w:rPr>
      </w:pPr>
    </w:p>
    <w:p w14:paraId="03549876" w14:textId="69DCA19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F699073" w14:textId="77777777" w:rsidR="00790ADA" w:rsidRPr="00FB3A86" w:rsidRDefault="00790ADA" w:rsidP="00441B6F">
      <w:pPr>
        <w:pStyle w:val="AbstHead"/>
        <w:spacing w:after="0"/>
        <w:jc w:val="both"/>
        <w:rPr>
          <w:rFonts w:ascii="Arial" w:hAnsi="Arial" w:cs="Arial"/>
        </w:rPr>
      </w:pPr>
    </w:p>
    <w:p w14:paraId="2E4A52E5" w14:textId="5E3CF63D" w:rsidR="00A87268" w:rsidRDefault="00A87268" w:rsidP="00A87268">
      <w:pPr>
        <w:widowControl w:val="0"/>
        <w:autoSpaceDE w:val="0"/>
        <w:autoSpaceDN w:val="0"/>
        <w:jc w:val="both"/>
        <w:rPr>
          <w:rFonts w:ascii="Arial" w:hAnsi="Arial" w:cs="Arial"/>
        </w:rPr>
      </w:pPr>
      <w:r w:rsidRPr="00A87268">
        <w:rPr>
          <w:rFonts w:ascii="Arial" w:hAnsi="Arial" w:cs="Arial"/>
        </w:rPr>
        <w:t xml:space="preserve">The banking system plays a central role in economic development by </w:t>
      </w:r>
      <w:proofErr w:type="spellStart"/>
      <w:r w:rsidRPr="00A87268">
        <w:rPr>
          <w:rFonts w:ascii="Arial" w:hAnsi="Arial" w:cs="Arial"/>
        </w:rPr>
        <w:t>channelling</w:t>
      </w:r>
      <w:proofErr w:type="spellEnd"/>
      <w:r w:rsidRPr="00A87268">
        <w:rPr>
          <w:rFonts w:ascii="Arial" w:hAnsi="Arial" w:cs="Arial"/>
        </w:rPr>
        <w:t xml:space="preserve"> funds from savers to investors and supporting productive activities across sectors. In a country like India, where banks dominate the financial landscape, the quality of bank assets becomes a key determinant of financial stability. In this context, the issue of Non-Performing Assets (NPAs) has gained considerable importance, as rising NPAs weaken bank balance sheets, reduce profitability, and limit the capacity of banks to extend fresh credit. This, in turn, can slow down investment and economic growth </w:t>
      </w:r>
      <w:sdt>
        <w:sdtPr>
          <w:rPr>
            <w:rFonts w:ascii="Arial" w:hAnsi="Arial" w:cs="Arial"/>
            <w:color w:val="000000"/>
          </w:rPr>
          <w:tag w:val="MENDELEY_CITATION_v3_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"/>
          <w:id w:val="-152987980"/>
          <w:placeholder>
            <w:docPart w:val="A8D29EAD15614CCB952A0A056ED2AAAD"/>
          </w:placeholder>
        </w:sdtPr>
        <w:sdtEndPr/>
        <w:sdtContent>
          <w:r w:rsidR="007B6B26" w:rsidRPr="007B6B26">
            <w:rPr>
              <w:rFonts w:ascii="Arial" w:hAnsi="Arial" w:cs="Arial"/>
              <w:color w:val="000000"/>
            </w:rPr>
            <w:t>(Aich et al., 2025; Khalid, 2025)</w:t>
          </w:r>
        </w:sdtContent>
      </w:sdt>
      <w:r w:rsidRPr="00A87268">
        <w:rPr>
          <w:rFonts w:ascii="Arial" w:hAnsi="Arial" w:cs="Arial"/>
        </w:rPr>
        <w:t>.</w:t>
      </w:r>
    </w:p>
    <w:p w14:paraId="0964240C" w14:textId="77777777" w:rsidR="00A87268" w:rsidRPr="00A87268" w:rsidRDefault="00A87268" w:rsidP="00A87268">
      <w:pPr>
        <w:widowControl w:val="0"/>
        <w:autoSpaceDE w:val="0"/>
        <w:autoSpaceDN w:val="0"/>
        <w:jc w:val="both"/>
        <w:rPr>
          <w:rFonts w:ascii="Arial" w:hAnsi="Arial" w:cs="Arial"/>
        </w:rPr>
      </w:pPr>
    </w:p>
    <w:p w14:paraId="745AD94E" w14:textId="2C646196" w:rsidR="00A87268" w:rsidRDefault="00A87268" w:rsidP="00A87268">
      <w:pPr>
        <w:widowControl w:val="0"/>
        <w:autoSpaceDE w:val="0"/>
        <w:autoSpaceDN w:val="0"/>
        <w:jc w:val="both"/>
        <w:rPr>
          <w:rFonts w:ascii="Arial" w:hAnsi="Arial" w:cs="Arial"/>
        </w:rPr>
      </w:pPr>
      <w:r w:rsidRPr="00A87268">
        <w:rPr>
          <w:rFonts w:ascii="Arial" w:hAnsi="Arial" w:cs="Arial"/>
        </w:rPr>
        <w:t xml:space="preserve">Over the past few decades, the Indian banking sector has witnessed notable fluctuations in NPAs, with a particularly sharp increase observed during the mid-2010s. This phase exposed several structural weaknesses, including inadequate credit appraisal systems, delayed recognition of stressed assets, and governance-related challenges within banks </w:t>
      </w:r>
      <w:sdt>
        <w:sdtPr>
          <w:rPr>
            <w:rFonts w:ascii="Arial" w:hAnsi="Arial" w:cs="Arial"/>
            <w:color w:val="000000"/>
          </w:rPr>
          <w:tag w:val="MENDELEY_CITATION_v3_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"/>
          <w:id w:val="-1858807578"/>
          <w:placeholder>
            <w:docPart w:val="A8D29EAD15614CCB952A0A056ED2AAAD"/>
          </w:placeholder>
        </w:sdtPr>
        <w:sdtEndPr/>
        <w:sdtContent>
          <w:r w:rsidR="007B6B26" w:rsidRPr="007B6B26">
            <w:rPr>
              <w:rFonts w:ascii="Arial" w:hAnsi="Arial" w:cs="Arial"/>
              <w:color w:val="000000"/>
            </w:rPr>
            <w:t xml:space="preserve">(Agarwala &amp; </w:t>
          </w:r>
          <w:r w:rsidR="007B6B26" w:rsidRPr="007B6B26">
            <w:rPr>
              <w:rFonts w:ascii="Arial" w:hAnsi="Arial" w:cs="Arial"/>
              <w:color w:val="000000"/>
            </w:rPr>
            <w:lastRenderedPageBreak/>
            <w:t>Agarwala, 2019; Bhalerao et al., 2022)</w:t>
          </w:r>
        </w:sdtContent>
      </w:sdt>
      <w:r w:rsidRPr="00A87268">
        <w:rPr>
          <w:rFonts w:ascii="Arial" w:hAnsi="Arial" w:cs="Arial"/>
        </w:rPr>
        <w:t>. Although subsequent regulatory measures and institutional reforms have contributed to some improvement in asset quality, the problem of NPAs continues to remain a concern for policymakers and financial institutions.</w:t>
      </w:r>
    </w:p>
    <w:p w14:paraId="030FBE27" w14:textId="77777777" w:rsidR="00A87268" w:rsidRPr="00A87268" w:rsidRDefault="00A87268" w:rsidP="00A87268">
      <w:pPr>
        <w:widowControl w:val="0"/>
        <w:autoSpaceDE w:val="0"/>
        <w:autoSpaceDN w:val="0"/>
        <w:jc w:val="both"/>
        <w:rPr>
          <w:rFonts w:ascii="Arial" w:hAnsi="Arial" w:cs="Arial"/>
        </w:rPr>
      </w:pPr>
    </w:p>
    <w:p w14:paraId="5C4F756D" w14:textId="767FBCCB" w:rsidR="00A87268" w:rsidRDefault="00A87268" w:rsidP="00A87268">
      <w:pPr>
        <w:widowControl w:val="0"/>
        <w:autoSpaceDE w:val="0"/>
        <w:autoSpaceDN w:val="0"/>
        <w:jc w:val="both"/>
        <w:rPr>
          <w:rFonts w:ascii="Arial" w:hAnsi="Arial" w:cs="Arial"/>
        </w:rPr>
      </w:pPr>
      <w:r w:rsidRPr="00A87268">
        <w:rPr>
          <w:rFonts w:ascii="Arial" w:hAnsi="Arial" w:cs="Arial"/>
        </w:rPr>
        <w:t xml:space="preserve">A large body of empirical research has attempted to identify the factors influencing NPAs. Macroeconomic conditions such as economic growth, inflation, and credit expansion have been widely recognized as important drivers, reflecting the sensitivity of loan performance to broader economic trends </w:t>
      </w:r>
      <w:sdt>
        <w:sdtPr>
          <w:rPr>
            <w:rFonts w:ascii="Arial" w:hAnsi="Arial" w:cs="Arial"/>
            <w:color w:val="000000"/>
          </w:rPr>
          <w:tag w:val="MENDELEY_CITATION_v3_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"/>
          <w:id w:val="-1658762032"/>
          <w:placeholder>
            <w:docPart w:val="A8D29EAD15614CCB952A0A056ED2AAAD"/>
          </w:placeholder>
        </w:sdtPr>
        <w:sdtEndPr/>
        <w:sdtContent>
          <w:r w:rsidR="007B6B26" w:rsidRPr="007B6B26">
            <w:rPr>
              <w:rFonts w:ascii="Arial" w:hAnsi="Arial" w:cs="Arial"/>
              <w:color w:val="000000"/>
            </w:rPr>
            <w:t>(Das, 2025; Ghosh Roy, 2014; Swamy, 2012)</w:t>
          </w:r>
        </w:sdtContent>
      </w:sdt>
      <w:r w:rsidRPr="00A87268">
        <w:rPr>
          <w:rFonts w:ascii="Arial" w:hAnsi="Arial" w:cs="Arial"/>
        </w:rPr>
        <w:t xml:space="preserve">. At the same time, internal characteristics of banks such as capital adequacy, operational efficiency, and risk management practices have also been found to play a significant role in shaping asset quality </w:t>
      </w:r>
      <w:sdt>
        <w:sdtPr>
          <w:rPr>
            <w:rFonts w:ascii="Arial" w:hAnsi="Arial" w:cs="Arial"/>
            <w:color w:val="000000"/>
          </w:rPr>
          <w:tag w:val="MENDELEY_CITATION_v3_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"/>
          <w:id w:val="-42148037"/>
          <w:placeholder>
            <w:docPart w:val="A8D29EAD15614CCB952A0A056ED2AAAD"/>
          </w:placeholder>
        </w:sdtPr>
        <w:sdtEndPr/>
        <w:sdtContent>
          <w:r w:rsidR="007B6B26" w:rsidRPr="007B6B26">
            <w:rPr>
              <w:rFonts w:ascii="Arial" w:hAnsi="Arial" w:cs="Arial"/>
              <w:color w:val="000000"/>
            </w:rPr>
            <w:t>(</w:t>
          </w:r>
          <w:proofErr w:type="spellStart"/>
          <w:r w:rsidR="007B6B26" w:rsidRPr="007B6B26">
            <w:rPr>
              <w:rFonts w:ascii="Arial" w:hAnsi="Arial" w:cs="Arial"/>
              <w:color w:val="000000"/>
            </w:rPr>
            <w:t>Arhinful</w:t>
          </w:r>
          <w:proofErr w:type="spellEnd"/>
          <w:r w:rsidR="007B6B26" w:rsidRPr="007B6B26">
            <w:rPr>
              <w:rFonts w:ascii="Arial" w:hAnsi="Arial" w:cs="Arial"/>
              <w:color w:val="000000"/>
            </w:rPr>
            <w:t xml:space="preserve"> et al., 2025; Saeed &amp; </w:t>
          </w:r>
          <w:proofErr w:type="spellStart"/>
          <w:r w:rsidR="007B6B26" w:rsidRPr="007B6B26">
            <w:rPr>
              <w:rFonts w:ascii="Arial" w:hAnsi="Arial" w:cs="Arial"/>
              <w:color w:val="000000"/>
            </w:rPr>
            <w:t>Donkoh</w:t>
          </w:r>
          <w:proofErr w:type="spellEnd"/>
          <w:r w:rsidR="007B6B26" w:rsidRPr="007B6B26">
            <w:rPr>
              <w:rFonts w:ascii="Arial" w:hAnsi="Arial" w:cs="Arial"/>
              <w:color w:val="000000"/>
            </w:rPr>
            <w:t>, 2026)</w:t>
          </w:r>
        </w:sdtContent>
      </w:sdt>
      <w:r w:rsidRPr="00A87268">
        <w:rPr>
          <w:rFonts w:ascii="Arial" w:hAnsi="Arial" w:cs="Arial"/>
        </w:rPr>
        <w:t xml:space="preserve">. In addition, several studies point to the persistence of NPAs over time, suggesting that past loan performance and cyclical economic conditions influence current levels </w:t>
      </w:r>
      <w:sdt>
        <w:sdtPr>
          <w:rPr>
            <w:rFonts w:ascii="Arial" w:hAnsi="Arial" w:cs="Arial"/>
            <w:color w:val="000000"/>
          </w:rPr>
          <w:tag w:val="MENDELEY_CITATION_v3_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"/>
          <w:id w:val="-981230511"/>
          <w:placeholder>
            <w:docPart w:val="A8D29EAD15614CCB952A0A056ED2AAAD"/>
          </w:placeholder>
        </w:sdtPr>
        <w:sdtEndPr/>
        <w:sdtContent>
          <w:r w:rsidR="007B6B26" w:rsidRPr="007B6B26">
            <w:rPr>
              <w:rFonts w:ascii="Arial" w:hAnsi="Arial" w:cs="Arial"/>
              <w:color w:val="000000"/>
            </w:rPr>
            <w:t>(Barakat et al., 2024; Dhananjaya &amp; Raj, 2018)</w:t>
          </w:r>
        </w:sdtContent>
      </w:sdt>
      <w:r w:rsidRPr="00A87268">
        <w:rPr>
          <w:rFonts w:ascii="Arial" w:hAnsi="Arial" w:cs="Arial"/>
        </w:rPr>
        <w:t xml:space="preserve"> .</w:t>
      </w:r>
    </w:p>
    <w:p w14:paraId="495DA40C" w14:textId="77777777" w:rsidR="00A87268" w:rsidRPr="00A87268" w:rsidRDefault="00A87268" w:rsidP="00A87268">
      <w:pPr>
        <w:widowControl w:val="0"/>
        <w:autoSpaceDE w:val="0"/>
        <w:autoSpaceDN w:val="0"/>
        <w:jc w:val="both"/>
        <w:rPr>
          <w:rFonts w:ascii="Arial" w:hAnsi="Arial" w:cs="Arial"/>
        </w:rPr>
      </w:pPr>
    </w:p>
    <w:p w14:paraId="6F58CC9B" w14:textId="0805059E" w:rsidR="00A87268" w:rsidRDefault="00A87268" w:rsidP="00A87268">
      <w:pPr>
        <w:widowControl w:val="0"/>
        <w:autoSpaceDE w:val="0"/>
        <w:autoSpaceDN w:val="0"/>
        <w:jc w:val="both"/>
        <w:rPr>
          <w:rFonts w:ascii="Arial" w:hAnsi="Arial" w:cs="Arial"/>
        </w:rPr>
      </w:pPr>
      <w:r w:rsidRPr="00A87268">
        <w:rPr>
          <w:rFonts w:ascii="Arial" w:hAnsi="Arial" w:cs="Arial"/>
        </w:rPr>
        <w:t xml:space="preserve">While conventional econometric methods have provided valuable insights into these relationships, their ability to capture complex and nonlinear interactions is often limited. With the increasing availability of data and advancements in computational tools, machine learning techniques have gained traction in financial risk analysis. Models such as Random Forest and </w:t>
      </w:r>
      <w:proofErr w:type="spellStart"/>
      <w:r w:rsidRPr="00A87268">
        <w:rPr>
          <w:rFonts w:ascii="Arial" w:hAnsi="Arial" w:cs="Arial"/>
        </w:rPr>
        <w:t>XGBoost</w:t>
      </w:r>
      <w:proofErr w:type="spellEnd"/>
      <w:r w:rsidRPr="00A87268">
        <w:rPr>
          <w:rFonts w:ascii="Arial" w:hAnsi="Arial" w:cs="Arial"/>
        </w:rPr>
        <w:t xml:space="preserve"> are particularly effective in identifying hidden patterns and improving prediction accuracy </w:t>
      </w:r>
      <w:sdt>
        <w:sdtPr>
          <w:rPr>
            <w:rFonts w:ascii="Arial" w:hAnsi="Arial" w:cs="Arial"/>
            <w:color w:val="000000"/>
          </w:rPr>
          <w:tag w:val="MENDELEY_CITATION_v3_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"/>
          <w:id w:val="122431870"/>
          <w:placeholder>
            <w:docPart w:val="A8D29EAD15614CCB952A0A056ED2AAAD"/>
          </w:placeholder>
        </w:sdtPr>
        <w:sdtEndPr/>
        <w:sdtContent>
          <w:r w:rsidR="007B6B26" w:rsidRPr="007B6B26">
            <w:rPr>
              <w:rFonts w:ascii="Arial" w:hAnsi="Arial" w:cs="Arial"/>
              <w:color w:val="000000"/>
            </w:rPr>
            <w:t xml:space="preserve">(David et al., 2024; Huang, 2024; </w:t>
          </w:r>
          <w:proofErr w:type="spellStart"/>
          <w:r w:rsidR="007B6B26" w:rsidRPr="007B6B26">
            <w:rPr>
              <w:rFonts w:ascii="Arial" w:hAnsi="Arial" w:cs="Arial"/>
              <w:color w:val="000000"/>
            </w:rPr>
            <w:t>Kristanti</w:t>
          </w:r>
          <w:proofErr w:type="spellEnd"/>
          <w:r w:rsidR="007B6B26" w:rsidRPr="007B6B26">
            <w:rPr>
              <w:rFonts w:ascii="Arial" w:hAnsi="Arial" w:cs="Arial"/>
              <w:color w:val="000000"/>
            </w:rPr>
            <w:t xml:space="preserve"> et al., 2024)</w:t>
          </w:r>
        </w:sdtContent>
      </w:sdt>
      <w:r w:rsidRPr="00A87268">
        <w:rPr>
          <w:rFonts w:ascii="Arial" w:hAnsi="Arial" w:cs="Arial"/>
        </w:rPr>
        <w:t xml:space="preserve">. Empirical evidence suggests that these models often outperform traditional approaches in forecasting default risk </w:t>
      </w:r>
      <w:sdt>
        <w:sdtPr>
          <w:rPr>
            <w:rFonts w:ascii="Arial" w:hAnsi="Arial" w:cs="Arial"/>
            <w:color w:val="000000"/>
          </w:rPr>
          <w:tag w:val="MENDELEY_CITATION_v3_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"/>
          <w:id w:val="140394717"/>
          <w:placeholder>
            <w:docPart w:val="A8D29EAD15614CCB952A0A056ED2AAAD"/>
          </w:placeholder>
        </w:sdtPr>
        <w:sdtEndPr/>
        <w:sdtContent>
          <w:r w:rsidR="007B6B26" w:rsidRPr="007B6B26">
            <w:rPr>
              <w:rFonts w:ascii="Arial" w:hAnsi="Arial" w:cs="Arial"/>
              <w:color w:val="000000"/>
            </w:rPr>
            <w:t>(Chaudhary, 2021; Kumar &amp; Misra, 2024; Singh &amp; Mohanty, n.d.)</w:t>
          </w:r>
        </w:sdtContent>
      </w:sdt>
      <w:r w:rsidRPr="00A87268">
        <w:rPr>
          <w:rFonts w:ascii="Arial" w:hAnsi="Arial" w:cs="Arial"/>
        </w:rPr>
        <w:t>.</w:t>
      </w:r>
    </w:p>
    <w:p w14:paraId="1DC8C406" w14:textId="77777777" w:rsidR="00A87268" w:rsidRPr="00A87268" w:rsidRDefault="00A87268" w:rsidP="00A87268">
      <w:pPr>
        <w:widowControl w:val="0"/>
        <w:autoSpaceDE w:val="0"/>
        <w:autoSpaceDN w:val="0"/>
        <w:jc w:val="both"/>
        <w:rPr>
          <w:rFonts w:ascii="Arial" w:hAnsi="Arial" w:cs="Arial"/>
        </w:rPr>
      </w:pPr>
    </w:p>
    <w:p w14:paraId="3CAE59BC" w14:textId="15B9CED1" w:rsidR="00A87268" w:rsidRDefault="00A87268" w:rsidP="00A87268">
      <w:pPr>
        <w:widowControl w:val="0"/>
        <w:autoSpaceDE w:val="0"/>
        <w:autoSpaceDN w:val="0"/>
        <w:jc w:val="both"/>
        <w:rPr>
          <w:rFonts w:ascii="Arial" w:hAnsi="Arial" w:cs="Arial"/>
        </w:rPr>
      </w:pPr>
      <w:r w:rsidRPr="00A87268">
        <w:rPr>
          <w:rFonts w:ascii="Arial" w:hAnsi="Arial" w:cs="Arial"/>
        </w:rPr>
        <w:t xml:space="preserve">However, a key limitation of machine learning models lies in their lack of transparency, as they are often treated as “black-box” systems. This restricts their usefulness in policy analysis, where interpretability is essential. Recent developments in explainable artificial intelligence, especially </w:t>
      </w:r>
      <w:proofErr w:type="spellStart"/>
      <w:r w:rsidRPr="00A87268">
        <w:rPr>
          <w:rFonts w:ascii="Arial" w:hAnsi="Arial" w:cs="Arial"/>
        </w:rPr>
        <w:t>SHapley</w:t>
      </w:r>
      <w:proofErr w:type="spellEnd"/>
      <w:r w:rsidRPr="00A87268">
        <w:rPr>
          <w:rFonts w:ascii="Arial" w:hAnsi="Arial" w:cs="Arial"/>
        </w:rPr>
        <w:t xml:space="preserve"> Additive </w:t>
      </w:r>
      <w:proofErr w:type="spellStart"/>
      <w:r w:rsidRPr="00A87268">
        <w:rPr>
          <w:rFonts w:ascii="Arial" w:hAnsi="Arial" w:cs="Arial"/>
        </w:rPr>
        <w:t>exPlanations</w:t>
      </w:r>
      <w:proofErr w:type="spellEnd"/>
      <w:r w:rsidRPr="00A87268">
        <w:rPr>
          <w:rFonts w:ascii="Arial" w:hAnsi="Arial" w:cs="Arial"/>
        </w:rPr>
        <w:t xml:space="preserve"> (SHAP), address this issue by providing clear insights into how different variables influence model predictions. At the same time, panel econometric techniques continue to offer a strong framework for analyzing both cross-sectional and time-series variations in NPAs, supported by well-established theoretical foundations and diagnostic tools </w:t>
      </w:r>
      <w:sdt>
        <w:sdtPr>
          <w:rPr>
            <w:rFonts w:ascii="Arial" w:hAnsi="Arial" w:cs="Arial"/>
            <w:color w:val="000000"/>
          </w:rPr>
          <w:tag w:val="MENDELEY_CITATION_v3_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"/>
          <w:id w:val="1674385642"/>
          <w:placeholder>
            <w:docPart w:val="A8D29EAD15614CCB952A0A056ED2AAAD"/>
          </w:placeholder>
        </w:sdtPr>
        <w:sdtEndPr/>
        <w:sdtContent>
          <w:r w:rsidR="007B6B26" w:rsidRPr="007B6B26">
            <w:rPr>
              <w:rFonts w:ascii="Arial" w:hAnsi="Arial" w:cs="Arial"/>
              <w:color w:val="000000"/>
            </w:rPr>
            <w:t>(Sun et al., 2025; Wang et al., 2025)</w:t>
          </w:r>
        </w:sdtContent>
      </w:sdt>
      <w:r w:rsidRPr="00A87268">
        <w:rPr>
          <w:rFonts w:ascii="Arial" w:hAnsi="Arial" w:cs="Arial"/>
        </w:rPr>
        <w:t>.</w:t>
      </w:r>
    </w:p>
    <w:p w14:paraId="43EE73AB" w14:textId="77777777" w:rsidR="00A87268" w:rsidRPr="00A87268" w:rsidRDefault="00A87268" w:rsidP="00A87268">
      <w:pPr>
        <w:widowControl w:val="0"/>
        <w:autoSpaceDE w:val="0"/>
        <w:autoSpaceDN w:val="0"/>
        <w:jc w:val="both"/>
        <w:rPr>
          <w:rFonts w:ascii="Arial" w:hAnsi="Arial" w:cs="Arial"/>
        </w:rPr>
      </w:pPr>
    </w:p>
    <w:p w14:paraId="206685FC" w14:textId="07B54BDB" w:rsidR="00A87268" w:rsidRDefault="00A87268" w:rsidP="00A87268">
      <w:pPr>
        <w:pStyle w:val="Body"/>
        <w:spacing w:after="0"/>
        <w:rPr>
          <w:rFonts w:ascii="Arial" w:hAnsi="Arial" w:cs="Arial"/>
        </w:rPr>
      </w:pPr>
      <w:r w:rsidRPr="00A87268">
        <w:rPr>
          <w:rFonts w:ascii="Arial" w:hAnsi="Arial" w:cs="Arial"/>
        </w:rPr>
        <w:t>Given these developments, there is a clear need for an approach that brings together the strengths of econometric methods and machine learning techniques. In this context, the present study adopts an integrated framework combining panel econometrics, machine learning models, and explainable AI to examine the determinants and predictive behavior of NPAs in Indian banking groups. This approach not only improves prediction accuracy but also enhances interpretability, thereby offering a more comprehensive understanding of asset quality dynamics.</w:t>
      </w:r>
    </w:p>
    <w:p w14:paraId="71EA5C42" w14:textId="77777777" w:rsidR="00A87268" w:rsidRDefault="00A87268" w:rsidP="00A87268">
      <w:pPr>
        <w:pStyle w:val="Body"/>
        <w:spacing w:after="0"/>
        <w:rPr>
          <w:rFonts w:ascii="Arial" w:hAnsi="Arial" w:cs="Arial"/>
        </w:rPr>
      </w:pPr>
    </w:p>
    <w:p w14:paraId="14B3575D" w14:textId="658FE162" w:rsidR="00A87268" w:rsidRDefault="00A87268" w:rsidP="00A87268">
      <w:pPr>
        <w:pStyle w:val="AbstHead"/>
        <w:spacing w:after="0"/>
        <w:jc w:val="both"/>
        <w:rPr>
          <w:rFonts w:ascii="Arial" w:hAnsi="Arial" w:cs="Arial"/>
        </w:rPr>
      </w:pPr>
      <w:r>
        <w:rPr>
          <w:rFonts w:ascii="Arial" w:hAnsi="Arial" w:cs="Arial"/>
        </w:rPr>
        <w:t xml:space="preserve">2. Literature Review </w:t>
      </w:r>
    </w:p>
    <w:p w14:paraId="763AD6F7" w14:textId="77777777" w:rsidR="00A87268" w:rsidRPr="00A87268" w:rsidRDefault="00A87268" w:rsidP="00A87268">
      <w:pPr>
        <w:pStyle w:val="Body"/>
        <w:spacing w:after="0"/>
        <w:rPr>
          <w:rFonts w:ascii="Arial" w:hAnsi="Arial" w:cs="Arial"/>
        </w:rPr>
      </w:pPr>
    </w:p>
    <w:p w14:paraId="5F60D6CF" w14:textId="77777777" w:rsidR="00A87268" w:rsidRDefault="00A87268" w:rsidP="00A87268">
      <w:pPr>
        <w:widowControl w:val="0"/>
        <w:autoSpaceDE w:val="0"/>
        <w:autoSpaceDN w:val="0"/>
        <w:jc w:val="both"/>
        <w:rPr>
          <w:rFonts w:ascii="Arial" w:hAnsi="Arial" w:cs="Arial"/>
        </w:rPr>
      </w:pPr>
      <w:r w:rsidRPr="00A87268">
        <w:rPr>
          <w:rFonts w:ascii="Arial" w:hAnsi="Arial" w:cs="Arial"/>
        </w:rPr>
        <w:t>The existing literature on Non-Performing Assets (NPAs) has developed along several lines, with contributions focusing on macroeconomic influences, bank-level characteristics, and methodological advancements.</w:t>
      </w:r>
    </w:p>
    <w:p w14:paraId="6F2536E9" w14:textId="77777777" w:rsidR="00A87268" w:rsidRPr="00A87268" w:rsidRDefault="00A87268" w:rsidP="00A87268">
      <w:pPr>
        <w:widowControl w:val="0"/>
        <w:autoSpaceDE w:val="0"/>
        <w:autoSpaceDN w:val="0"/>
        <w:jc w:val="both"/>
        <w:rPr>
          <w:rFonts w:ascii="Arial" w:hAnsi="Arial" w:cs="Arial"/>
        </w:rPr>
      </w:pPr>
    </w:p>
    <w:p w14:paraId="211D9AA5" w14:textId="38FA91BD" w:rsidR="00A87268" w:rsidRDefault="00A87268" w:rsidP="00A87268">
      <w:pPr>
        <w:widowControl w:val="0"/>
        <w:autoSpaceDE w:val="0"/>
        <w:autoSpaceDN w:val="0"/>
        <w:jc w:val="both"/>
        <w:rPr>
          <w:rFonts w:ascii="Arial" w:hAnsi="Arial" w:cs="Arial"/>
        </w:rPr>
      </w:pPr>
      <w:r w:rsidRPr="00A87268">
        <w:rPr>
          <w:rFonts w:ascii="Arial" w:hAnsi="Arial" w:cs="Arial"/>
        </w:rPr>
        <w:t xml:space="preserve">A significant portion of the literature emphasizes the role of macroeconomic conditions in determining NPAs. Roy </w:t>
      </w:r>
      <w:sdt>
        <w:sdtPr>
          <w:rPr>
            <w:rFonts w:ascii="Arial" w:hAnsi="Arial" w:cs="Arial"/>
            <w:color w:val="000000"/>
          </w:rPr>
          <w:tag w:val="MENDELEY_CITATION_v3_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"/>
          <w:id w:val="-1095323988"/>
          <w:placeholder>
            <w:docPart w:val="08503E936084459D95AE77B04F03CAA1"/>
          </w:placeholder>
        </w:sdtPr>
        <w:sdtEndPr/>
        <w:sdtContent>
          <w:r w:rsidR="007B6B26" w:rsidRPr="007B6B26">
            <w:rPr>
              <w:rFonts w:ascii="Arial" w:hAnsi="Arial" w:cs="Arial"/>
              <w:color w:val="000000"/>
            </w:rPr>
            <w:t>(Ghosh Roy, 2014)</w:t>
          </w:r>
        </w:sdtContent>
      </w:sdt>
      <w:r w:rsidRPr="00A87268">
        <w:rPr>
          <w:rFonts w:ascii="Arial" w:hAnsi="Arial" w:cs="Arial"/>
        </w:rPr>
        <w:t xml:space="preserve"> shows that economic growth, inflation, and credit expansion are important factors influencing NPAs in India. Similarly, Dash and Kabra </w:t>
      </w:r>
      <w:sdt>
        <w:sdtPr>
          <w:rPr>
            <w:rFonts w:ascii="Arial" w:hAnsi="Arial" w:cs="Arial"/>
            <w:color w:val="000000"/>
          </w:rPr>
          <w:tag w:val="MENDELEY_CITATION_v3_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"/>
          <w:id w:val="-371394389"/>
          <w:placeholder>
            <w:docPart w:val="08503E936084459D95AE77B04F03CAA1"/>
          </w:placeholder>
        </w:sdtPr>
        <w:sdtEndPr/>
        <w:sdtContent>
          <w:r w:rsidR="007B6B26" w:rsidRPr="007B6B26">
            <w:rPr>
              <w:rFonts w:ascii="Arial" w:hAnsi="Arial" w:cs="Arial"/>
              <w:color w:val="000000"/>
            </w:rPr>
            <w:t>(Dash &amp; Kabra, 2010)</w:t>
          </w:r>
        </w:sdtContent>
      </w:sdt>
      <w:r w:rsidRPr="00A87268">
        <w:rPr>
          <w:rFonts w:ascii="Arial" w:hAnsi="Arial" w:cs="Arial"/>
        </w:rPr>
        <w:t xml:space="preserve"> highlight the impact of economic cycles and macro-financial conditions on asset quality. Rajaraman and Vasishtha </w:t>
      </w:r>
      <w:sdt>
        <w:sdtPr>
          <w:rPr>
            <w:rFonts w:ascii="Arial" w:hAnsi="Arial" w:cs="Arial"/>
            <w:color w:val="000000"/>
          </w:rPr>
          <w:tag w:val="MENDELEY_CITATION_v3_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"/>
          <w:id w:val="-1063798821"/>
          <w:placeholder>
            <w:docPart w:val="08503E936084459D95AE77B04F03CAA1"/>
          </w:placeholder>
        </w:sdtPr>
        <w:sdtEndPr/>
        <w:sdtContent>
          <w:r w:rsidR="007B6B26" w:rsidRPr="007B6B26">
            <w:rPr>
              <w:rFonts w:ascii="Arial" w:hAnsi="Arial" w:cs="Arial"/>
              <w:color w:val="000000"/>
            </w:rPr>
            <w:t>(Rajaraman &amp; Vasishtha, 2001)</w:t>
          </w:r>
        </w:sdtContent>
      </w:sdt>
      <w:r w:rsidRPr="00A87268">
        <w:rPr>
          <w:rFonts w:ascii="Arial" w:hAnsi="Arial" w:cs="Arial"/>
        </w:rPr>
        <w:t xml:space="preserve"> provide further evidence using panel data on public sector banks, indicating that macroeconomic instability and policy-related factors contribute to rising NPAs. Studies conducted in international </w:t>
      </w:r>
      <w:r w:rsidRPr="00A87268">
        <w:rPr>
          <w:rFonts w:ascii="Arial" w:hAnsi="Arial" w:cs="Arial"/>
        </w:rPr>
        <w:lastRenderedPageBreak/>
        <w:t xml:space="preserve">contexts, such as those by Espinoza and Prasad </w:t>
      </w:r>
      <w:sdt>
        <w:sdtPr>
          <w:rPr>
            <w:rFonts w:ascii="Arial" w:hAnsi="Arial" w:cs="Arial"/>
            <w:color w:val="000000"/>
          </w:rPr>
          <w:tag w:val="MENDELEY_CITATION_v3_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"/>
          <w:id w:val="98072275"/>
          <w:placeholder>
            <w:docPart w:val="08503E936084459D95AE77B04F03CAA1"/>
          </w:placeholder>
        </w:sdtPr>
        <w:sdtEndPr/>
        <w:sdtContent>
          <w:r w:rsidR="007B6B26" w:rsidRPr="007B6B26">
            <w:rPr>
              <w:rFonts w:ascii="Arial" w:hAnsi="Arial" w:cs="Arial"/>
              <w:color w:val="000000"/>
            </w:rPr>
            <w:t>(Espinoza &amp; Prasad, 2010)</w:t>
          </w:r>
        </w:sdtContent>
      </w:sdt>
      <w:r w:rsidRPr="00A87268">
        <w:rPr>
          <w:rFonts w:ascii="Arial" w:hAnsi="Arial" w:cs="Arial"/>
        </w:rPr>
        <w:t xml:space="preserve"> and </w:t>
      </w:r>
      <w:proofErr w:type="spellStart"/>
      <w:r w:rsidRPr="00A87268">
        <w:rPr>
          <w:rFonts w:ascii="Arial" w:hAnsi="Arial" w:cs="Arial"/>
        </w:rPr>
        <w:t>Boudriga</w:t>
      </w:r>
      <w:proofErr w:type="spellEnd"/>
      <w:r w:rsidRPr="00A87268">
        <w:rPr>
          <w:rFonts w:ascii="Arial" w:hAnsi="Arial" w:cs="Arial"/>
        </w:rPr>
        <w:t xml:space="preserve"> et al. </w:t>
      </w:r>
      <w:sdt>
        <w:sdtPr>
          <w:rPr>
            <w:rFonts w:ascii="Arial" w:hAnsi="Arial" w:cs="Arial"/>
            <w:color w:val="000000"/>
          </w:rPr>
          <w:tag w:val="MENDELEY_CITATION_v3_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"/>
          <w:id w:val="-1921482420"/>
          <w:placeholder>
            <w:docPart w:val="08503E936084459D95AE77B04F03CAA1"/>
          </w:placeholder>
        </w:sdtPr>
        <w:sdtEndPr/>
        <w:sdtContent>
          <w:r w:rsidR="007B6B26" w:rsidRPr="007B6B26">
            <w:rPr>
              <w:rFonts w:ascii="Arial" w:hAnsi="Arial" w:cs="Arial"/>
              <w:color w:val="000000"/>
            </w:rPr>
            <w:t>(</w:t>
          </w:r>
          <w:proofErr w:type="spellStart"/>
          <w:r w:rsidR="007B6B26" w:rsidRPr="007B6B26">
            <w:rPr>
              <w:rFonts w:ascii="Arial" w:hAnsi="Arial" w:cs="Arial"/>
              <w:color w:val="000000"/>
            </w:rPr>
            <w:t>Boudriga</w:t>
          </w:r>
          <w:proofErr w:type="spellEnd"/>
          <w:r w:rsidR="007B6B26" w:rsidRPr="007B6B26">
            <w:rPr>
              <w:rFonts w:ascii="Arial" w:hAnsi="Arial" w:cs="Arial"/>
              <w:color w:val="000000"/>
            </w:rPr>
            <w:t xml:space="preserve"> et al., 2010)</w:t>
          </w:r>
        </w:sdtContent>
      </w:sdt>
      <w:r w:rsidRPr="00A87268">
        <w:rPr>
          <w:rFonts w:ascii="Arial" w:hAnsi="Arial" w:cs="Arial"/>
        </w:rPr>
        <w:t>, also confirm that macroeconomic conditions and institutional quality play a critical role in shaping non-performing loans.</w:t>
      </w:r>
    </w:p>
    <w:p w14:paraId="1984C0EA" w14:textId="77777777" w:rsidR="00A87268" w:rsidRPr="00A87268" w:rsidRDefault="00A87268" w:rsidP="00A87268">
      <w:pPr>
        <w:widowControl w:val="0"/>
        <w:autoSpaceDE w:val="0"/>
        <w:autoSpaceDN w:val="0"/>
        <w:jc w:val="both"/>
        <w:rPr>
          <w:rFonts w:ascii="Arial" w:hAnsi="Arial" w:cs="Arial"/>
        </w:rPr>
      </w:pPr>
    </w:p>
    <w:p w14:paraId="07C25E72" w14:textId="10D79570" w:rsidR="00A87268" w:rsidRDefault="00A87268" w:rsidP="00A87268">
      <w:pPr>
        <w:widowControl w:val="0"/>
        <w:autoSpaceDE w:val="0"/>
        <w:autoSpaceDN w:val="0"/>
        <w:jc w:val="both"/>
        <w:rPr>
          <w:rFonts w:ascii="Arial" w:hAnsi="Arial" w:cs="Arial"/>
        </w:rPr>
      </w:pPr>
      <w:r w:rsidRPr="00A87268">
        <w:rPr>
          <w:rFonts w:ascii="Arial" w:hAnsi="Arial" w:cs="Arial"/>
        </w:rPr>
        <w:t xml:space="preserve">Another important strand of research focuses on the dynamic nature of NPAs. Mishra et al. </w:t>
      </w:r>
      <w:sdt>
        <w:sdtPr>
          <w:rPr>
            <w:rFonts w:ascii="Arial" w:hAnsi="Arial" w:cs="Arial"/>
            <w:color w:val="000000"/>
          </w:rPr>
          <w:tag w:val="MENDELEY_CITATION_v3_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"/>
          <w:id w:val="-1578203804"/>
          <w:placeholder>
            <w:docPart w:val="08503E936084459D95AE77B04F03CAA1"/>
          </w:placeholder>
        </w:sdtPr>
        <w:sdtEndPr/>
        <w:sdtContent>
          <w:r w:rsidR="007B6B26" w:rsidRPr="007B6B26">
            <w:rPr>
              <w:rFonts w:ascii="Arial" w:hAnsi="Arial" w:cs="Arial"/>
              <w:color w:val="000000"/>
            </w:rPr>
            <w:t>(Mishra et al., 2021)</w:t>
          </w:r>
        </w:sdtContent>
      </w:sdt>
      <w:r w:rsidRPr="00A87268">
        <w:rPr>
          <w:rFonts w:ascii="Arial" w:hAnsi="Arial" w:cs="Arial"/>
        </w:rPr>
        <w:t xml:space="preserve"> find that NPAs tend to persist over time, suggesting that past levels of bad loans significantly influence current outcomes. Dhar and Bakshi [9] similarly observe that loan losses are closely linked to economic cycles and institutional factors. Misra and Dhal </w:t>
      </w:r>
      <w:sdt>
        <w:sdtPr>
          <w:rPr>
            <w:rFonts w:ascii="Arial" w:hAnsi="Arial" w:cs="Arial"/>
            <w:color w:val="000000"/>
          </w:rPr>
          <w:tag w:val="MENDELEY_CITATION_v3_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"/>
          <w:id w:val="-1868831765"/>
          <w:placeholder>
            <w:docPart w:val="08503E936084459D95AE77B04F03CAA1"/>
          </w:placeholder>
        </w:sdtPr>
        <w:sdtEndPr/>
        <w:sdtContent>
          <w:r w:rsidR="007B6B26" w:rsidRPr="007B6B26">
            <w:rPr>
              <w:rFonts w:ascii="Arial" w:hAnsi="Arial" w:cs="Arial"/>
              <w:color w:val="000000"/>
            </w:rPr>
            <w:t>(Mishra et al., 2021)</w:t>
          </w:r>
        </w:sdtContent>
      </w:sdt>
      <w:r w:rsidRPr="00A87268">
        <w:rPr>
          <w:rFonts w:ascii="Arial" w:hAnsi="Arial" w:cs="Arial"/>
        </w:rPr>
        <w:t xml:space="preserve"> provide evidence of the pro-cyclical behavior of NPAs, showing that asset quality typically deteriorates during economic downturns and improves during periods of growth. These findings underline the importance of incorporating dynamic elements into the analysis of NPAs.</w:t>
      </w:r>
    </w:p>
    <w:p w14:paraId="40DA7327" w14:textId="77777777" w:rsidR="00A87268" w:rsidRPr="00A87268" w:rsidRDefault="00A87268" w:rsidP="00A87268">
      <w:pPr>
        <w:widowControl w:val="0"/>
        <w:autoSpaceDE w:val="0"/>
        <w:autoSpaceDN w:val="0"/>
        <w:jc w:val="both"/>
        <w:rPr>
          <w:rFonts w:ascii="Arial" w:hAnsi="Arial" w:cs="Arial"/>
        </w:rPr>
      </w:pPr>
    </w:p>
    <w:p w14:paraId="46ADFF39" w14:textId="5E61A2AF" w:rsidR="00A87268" w:rsidRDefault="00A87268" w:rsidP="00A87268">
      <w:pPr>
        <w:widowControl w:val="0"/>
        <w:autoSpaceDE w:val="0"/>
        <w:autoSpaceDN w:val="0"/>
        <w:jc w:val="both"/>
        <w:rPr>
          <w:rFonts w:ascii="Arial" w:hAnsi="Arial" w:cs="Arial"/>
        </w:rPr>
      </w:pPr>
      <w:r w:rsidRPr="00A87268">
        <w:rPr>
          <w:rFonts w:ascii="Arial" w:hAnsi="Arial" w:cs="Arial"/>
        </w:rPr>
        <w:t xml:space="preserve">In addition to macroeconomic factors, several studies examine the role of bank-specific characteristics. Sareen </w:t>
      </w:r>
      <w:sdt>
        <w:sdtPr>
          <w:rPr>
            <w:rFonts w:ascii="Arial" w:hAnsi="Arial" w:cs="Arial"/>
            <w:color w:val="000000"/>
          </w:rPr>
          <w:tag w:val="MENDELEY_CITATION_v3_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"/>
          <w:id w:val="652415047"/>
          <w:placeholder>
            <w:docPart w:val="08503E936084459D95AE77B04F03CAA1"/>
          </w:placeholder>
        </w:sdtPr>
        <w:sdtEndPr/>
        <w:sdtContent>
          <w:r w:rsidR="007B6B26" w:rsidRPr="007B6B26">
            <w:rPr>
              <w:rFonts w:ascii="Arial" w:hAnsi="Arial" w:cs="Arial"/>
              <w:color w:val="000000"/>
            </w:rPr>
            <w:t>(Sareen, 2023)</w:t>
          </w:r>
        </w:sdtContent>
      </w:sdt>
      <w:r w:rsidRPr="00A87268">
        <w:rPr>
          <w:rFonts w:ascii="Arial" w:hAnsi="Arial" w:cs="Arial"/>
        </w:rPr>
        <w:t xml:space="preserve"> identifies factors such as capital adequacy and operational efficiency as key determinants of NPAs. Bawa et al. </w:t>
      </w:r>
      <w:sdt>
        <w:sdtPr>
          <w:rPr>
            <w:rFonts w:ascii="Arial" w:hAnsi="Arial" w:cs="Arial"/>
            <w:color w:val="000000"/>
          </w:rPr>
          <w:tag w:val="MENDELEY_CITATION_v3_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"/>
          <w:id w:val="990911108"/>
          <w:placeholder>
            <w:docPart w:val="08503E936084459D95AE77B04F03CAA1"/>
          </w:placeholder>
        </w:sdtPr>
        <w:sdtEndPr/>
        <w:sdtContent>
          <w:r w:rsidR="007B6B26" w:rsidRPr="007B6B26">
            <w:rPr>
              <w:rFonts w:ascii="Arial" w:hAnsi="Arial" w:cs="Arial"/>
              <w:color w:val="000000"/>
            </w:rPr>
            <w:t>(Bawa et al., 2019)</w:t>
          </w:r>
        </w:sdtContent>
      </w:sdt>
      <w:r w:rsidRPr="00A87268">
        <w:rPr>
          <w:rFonts w:ascii="Arial" w:hAnsi="Arial" w:cs="Arial"/>
        </w:rPr>
        <w:t xml:space="preserve"> extend this analysis by using a comprehensive set of financial ratios to explain variations in asset quality. Das et al. </w:t>
      </w:r>
      <w:sdt>
        <w:sdtPr>
          <w:rPr>
            <w:rFonts w:ascii="Arial" w:hAnsi="Arial" w:cs="Arial"/>
            <w:color w:val="000000"/>
          </w:rPr>
          <w:tag w:val="MENDELEY_CITATION_v3_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"/>
          <w:id w:val="471176407"/>
          <w:placeholder>
            <w:docPart w:val="08503E936084459D95AE77B04F03CAA1"/>
          </w:placeholder>
        </w:sdtPr>
        <w:sdtEndPr/>
        <w:sdtContent>
          <w:r w:rsidR="007B6B26" w:rsidRPr="007B6B26">
            <w:rPr>
              <w:rFonts w:ascii="Arial" w:hAnsi="Arial" w:cs="Arial"/>
              <w:color w:val="000000"/>
            </w:rPr>
            <w:t>(Dash &amp; Kabra, 2010)</w:t>
          </w:r>
        </w:sdtContent>
      </w:sdt>
      <w:r w:rsidRPr="00A87268">
        <w:rPr>
          <w:rFonts w:ascii="Arial" w:hAnsi="Arial" w:cs="Arial"/>
        </w:rPr>
        <w:t xml:space="preserve"> demonstrate that higher NPAs adversely affect bank profitability, while Gaur and Mohapatra </w:t>
      </w:r>
      <w:sdt>
        <w:sdtPr>
          <w:rPr>
            <w:rFonts w:ascii="Arial" w:hAnsi="Arial" w:cs="Arial"/>
            <w:color w:val="000000"/>
          </w:rPr>
          <w:tag w:val="MENDELEY_CITATION_v3_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"/>
          <w:id w:val="-2131315133"/>
          <w:placeholder>
            <w:docPart w:val="08503E936084459D95AE77B04F03CAA1"/>
          </w:placeholder>
        </w:sdtPr>
        <w:sdtEndPr/>
        <w:sdtContent>
          <w:r w:rsidR="007B6B26" w:rsidRPr="007B6B26">
            <w:rPr>
              <w:rFonts w:ascii="Arial" w:hAnsi="Arial" w:cs="Arial"/>
              <w:color w:val="000000"/>
            </w:rPr>
            <w:t>(Gaur &amp; Mohapatra, 2020)</w:t>
          </w:r>
        </w:sdtContent>
      </w:sdt>
      <w:r w:rsidRPr="00A87268">
        <w:rPr>
          <w:rFonts w:ascii="Arial" w:hAnsi="Arial" w:cs="Arial"/>
        </w:rPr>
        <w:t xml:space="preserve"> highlight the relationship between NPAs, economic growth, and priority sector lending. Together, these studies suggest that both internal management practices and external economic conditions influence NPAs.</w:t>
      </w:r>
    </w:p>
    <w:p w14:paraId="53F18A2A" w14:textId="77777777" w:rsidR="00A87268" w:rsidRPr="00A87268" w:rsidRDefault="00A87268" w:rsidP="00A87268">
      <w:pPr>
        <w:widowControl w:val="0"/>
        <w:autoSpaceDE w:val="0"/>
        <w:autoSpaceDN w:val="0"/>
        <w:jc w:val="both"/>
        <w:rPr>
          <w:rFonts w:ascii="Arial" w:hAnsi="Arial" w:cs="Arial"/>
        </w:rPr>
      </w:pPr>
    </w:p>
    <w:p w14:paraId="1C25164F" w14:textId="3765A690" w:rsidR="00A87268" w:rsidRDefault="00A87268" w:rsidP="00A87268">
      <w:pPr>
        <w:widowControl w:val="0"/>
        <w:autoSpaceDE w:val="0"/>
        <w:autoSpaceDN w:val="0"/>
        <w:jc w:val="both"/>
        <w:rPr>
          <w:rFonts w:ascii="Arial" w:hAnsi="Arial" w:cs="Arial"/>
        </w:rPr>
      </w:pPr>
      <w:r w:rsidRPr="00A87268">
        <w:rPr>
          <w:rFonts w:ascii="Arial" w:hAnsi="Arial" w:cs="Arial"/>
        </w:rPr>
        <w:t xml:space="preserve">Policy-oriented research provides further insights into the structural nature of the NPA problem. Sengupta and Vardhan </w:t>
      </w:r>
      <w:sdt>
        <w:sdtPr>
          <w:rPr>
            <w:rFonts w:ascii="Arial" w:hAnsi="Arial" w:cs="Arial"/>
            <w:color w:val="000000"/>
          </w:rPr>
          <w:tag w:val="MENDELEY_CITATION_v3_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"/>
          <w:id w:val="2069376655"/>
          <w:placeholder>
            <w:docPart w:val="08503E936084459D95AE77B04F03CAA1"/>
          </w:placeholder>
        </w:sdtPr>
        <w:sdtEndPr/>
        <w:sdtContent>
          <w:r w:rsidR="007B6B26" w:rsidRPr="007B6B26">
            <w:rPr>
              <w:rFonts w:ascii="Arial" w:hAnsi="Arial" w:cs="Arial"/>
              <w:color w:val="000000"/>
            </w:rPr>
            <w:t>(Sengupta &amp; Vardhan, 2017)</w:t>
          </w:r>
        </w:sdtContent>
      </w:sdt>
      <w:r w:rsidRPr="00A87268">
        <w:rPr>
          <w:rFonts w:ascii="Arial" w:hAnsi="Arial" w:cs="Arial"/>
        </w:rPr>
        <w:t xml:space="preserve"> argue that the issue is not purely cyclical but also rooted in institutional weaknesses, including delays in recognizing stressed assets and inefficiencies in credit monitoring systems. This perspective highlights the importance of regulatory and governance reforms in addressing the NPA problem.</w:t>
      </w:r>
    </w:p>
    <w:p w14:paraId="54EFA01C" w14:textId="77777777" w:rsidR="00A87268" w:rsidRPr="00A87268" w:rsidRDefault="00A87268" w:rsidP="00A87268">
      <w:pPr>
        <w:widowControl w:val="0"/>
        <w:autoSpaceDE w:val="0"/>
        <w:autoSpaceDN w:val="0"/>
        <w:jc w:val="both"/>
        <w:rPr>
          <w:rFonts w:ascii="Arial" w:hAnsi="Arial" w:cs="Arial"/>
        </w:rPr>
      </w:pPr>
    </w:p>
    <w:p w14:paraId="55D59E0E" w14:textId="58141D33" w:rsidR="00A87268" w:rsidRPr="00A87268" w:rsidRDefault="00A87268" w:rsidP="00A87268">
      <w:pPr>
        <w:widowControl w:val="0"/>
        <w:autoSpaceDE w:val="0"/>
        <w:autoSpaceDN w:val="0"/>
        <w:jc w:val="both"/>
        <w:rPr>
          <w:rFonts w:ascii="Arial" w:hAnsi="Arial" w:cs="Arial"/>
        </w:rPr>
      </w:pPr>
      <w:r w:rsidRPr="00A87268">
        <w:rPr>
          <w:rFonts w:ascii="Arial" w:hAnsi="Arial" w:cs="Arial"/>
        </w:rPr>
        <w:t xml:space="preserve">More recently, attention has shifted towards the use of machine learning techniques in credit risk assessment. Studies such as Marew et al. </w:t>
      </w:r>
      <w:sdt>
        <w:sdtPr>
          <w:rPr>
            <w:rFonts w:ascii="Arial" w:hAnsi="Arial" w:cs="Arial"/>
            <w:color w:val="000000"/>
          </w:rPr>
          <w:tag w:val="MENDELEY_CITATION_v3_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"/>
          <w:id w:val="1353448743"/>
          <w:placeholder>
            <w:docPart w:val="08503E936084459D95AE77B04F03CAA1"/>
          </w:placeholder>
        </w:sdtPr>
        <w:sdtEndPr/>
        <w:sdtContent>
          <w:r w:rsidR="007B6B26" w:rsidRPr="007B6B26">
            <w:rPr>
              <w:rFonts w:ascii="Arial" w:hAnsi="Arial" w:cs="Arial"/>
              <w:color w:val="000000"/>
            </w:rPr>
            <w:t>(Marew et al., 2022)</w:t>
          </w:r>
        </w:sdtContent>
      </w:sdt>
      <w:r w:rsidRPr="00A87268">
        <w:rPr>
          <w:rFonts w:ascii="Arial" w:hAnsi="Arial" w:cs="Arial"/>
        </w:rPr>
        <w:t xml:space="preserve"> and </w:t>
      </w:r>
      <w:proofErr w:type="spellStart"/>
      <w:r w:rsidRPr="00A87268">
        <w:rPr>
          <w:rFonts w:ascii="Arial" w:hAnsi="Arial" w:cs="Arial"/>
        </w:rPr>
        <w:t>Moharil</w:t>
      </w:r>
      <w:proofErr w:type="spellEnd"/>
      <w:r w:rsidRPr="00A87268">
        <w:rPr>
          <w:rFonts w:ascii="Arial" w:hAnsi="Arial" w:cs="Arial"/>
        </w:rPr>
        <w:t xml:space="preserve"> et al. </w:t>
      </w:r>
      <w:sdt>
        <w:sdtPr>
          <w:rPr>
            <w:rFonts w:ascii="Arial" w:hAnsi="Arial" w:cs="Arial"/>
            <w:color w:val="000000"/>
          </w:rPr>
          <w:tag w:val="MENDELEY_CITATION_v3_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"/>
          <w:id w:val="-712124324"/>
          <w:placeholder>
            <w:docPart w:val="08503E936084459D95AE77B04F03CAA1"/>
          </w:placeholder>
        </w:sdtPr>
        <w:sdtEndPr/>
        <w:sdtContent>
          <w:r w:rsidR="007B6B26" w:rsidRPr="007B6B26">
            <w:rPr>
              <w:rFonts w:ascii="Arial" w:hAnsi="Arial" w:cs="Arial"/>
              <w:color w:val="000000"/>
            </w:rPr>
            <w:t>(</w:t>
          </w:r>
          <w:proofErr w:type="spellStart"/>
          <w:r w:rsidR="007B6B26" w:rsidRPr="007B6B26">
            <w:rPr>
              <w:rFonts w:ascii="Arial" w:hAnsi="Arial" w:cs="Arial"/>
              <w:color w:val="000000"/>
            </w:rPr>
            <w:t>Moharil</w:t>
          </w:r>
          <w:proofErr w:type="spellEnd"/>
          <w:r w:rsidR="007B6B26" w:rsidRPr="007B6B26">
            <w:rPr>
              <w:rFonts w:ascii="Arial" w:hAnsi="Arial" w:cs="Arial"/>
              <w:color w:val="000000"/>
            </w:rPr>
            <w:t xml:space="preserve"> et al., 2020)</w:t>
          </w:r>
        </w:sdtContent>
      </w:sdt>
      <w:r w:rsidRPr="00A87268">
        <w:rPr>
          <w:rFonts w:ascii="Arial" w:hAnsi="Arial" w:cs="Arial"/>
        </w:rPr>
        <w:t xml:space="preserve"> demonstrate that machine learning models can significantly improve prediction accuracy by capturing nonlinear relationships in financial data. However, these models often lack interpretability, which limits their application in decision-making contexts. Chen et al. </w:t>
      </w:r>
      <w:sdt>
        <w:sdtPr>
          <w:rPr>
            <w:rFonts w:ascii="Arial" w:hAnsi="Arial" w:cs="Arial"/>
            <w:color w:val="000000"/>
          </w:rPr>
          <w:tag w:val="MENDELEY_CITATION_v3_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"/>
          <w:id w:val="-1773771205"/>
          <w:placeholder>
            <w:docPart w:val="08503E936084459D95AE77B04F03CAA1"/>
          </w:placeholder>
        </w:sdtPr>
        <w:sdtEndPr/>
        <w:sdtContent>
          <w:r w:rsidR="007B6B26" w:rsidRPr="007B6B26">
            <w:rPr>
              <w:rFonts w:ascii="Arial" w:hAnsi="Arial" w:cs="Arial"/>
              <w:color w:val="000000"/>
            </w:rPr>
            <w:t>(Zhong et al., 2024)</w:t>
          </w:r>
        </w:sdtContent>
      </w:sdt>
      <w:r w:rsidRPr="00A87268">
        <w:rPr>
          <w:rFonts w:ascii="Arial" w:hAnsi="Arial" w:cs="Arial"/>
        </w:rPr>
        <w:t xml:space="preserve"> emphasize the importance of interpretable machine learning, particularly in credit risk modeling.</w:t>
      </w:r>
    </w:p>
    <w:p w14:paraId="7F1D5241" w14:textId="3131608E" w:rsidR="00A87268" w:rsidRDefault="00A87268" w:rsidP="00A87268">
      <w:pPr>
        <w:jc w:val="both"/>
        <w:rPr>
          <w:rFonts w:ascii="Arial" w:hAnsi="Arial" w:cs="Arial"/>
        </w:rPr>
      </w:pPr>
      <w:r w:rsidRPr="00A87268">
        <w:rPr>
          <w:rFonts w:ascii="Arial" w:hAnsi="Arial" w:cs="Arial"/>
        </w:rPr>
        <w:t xml:space="preserve">The growing recognition of the strengths and limitations of both econometric and machine learning approaches has led to increased interest in hybrid methodologies. Mullainathan and Spiess </w:t>
      </w:r>
      <w:sdt>
        <w:sdtPr>
          <w:rPr>
            <w:rFonts w:ascii="Arial" w:hAnsi="Arial" w:cs="Arial"/>
            <w:color w:val="000000"/>
          </w:rPr>
          <w:tag w:val="MENDELEY_CITATION_v3_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"/>
          <w:id w:val="1293945066"/>
          <w:placeholder>
            <w:docPart w:val="08503E936084459D95AE77B04F03CAA1"/>
          </w:placeholder>
        </w:sdtPr>
        <w:sdtEndPr/>
        <w:sdtContent>
          <w:r w:rsidR="007B6B26" w:rsidRPr="007B6B26">
            <w:rPr>
              <w:rFonts w:ascii="Arial" w:hAnsi="Arial" w:cs="Arial"/>
              <w:color w:val="000000"/>
            </w:rPr>
            <w:t>(Mullainathan &amp; Spiess, 2017a)</w:t>
          </w:r>
        </w:sdtContent>
      </w:sdt>
      <w:r w:rsidRPr="00A87268">
        <w:rPr>
          <w:rFonts w:ascii="Arial" w:hAnsi="Arial" w:cs="Arial"/>
        </w:rPr>
        <w:t xml:space="preserve"> argue that combining these approaches can enhance both predictive performance and analytical rigor. Similarly, Malhotra </w:t>
      </w:r>
      <w:sdt>
        <w:sdtPr>
          <w:rPr>
            <w:rFonts w:ascii="Arial" w:hAnsi="Arial" w:cs="Arial"/>
            <w:color w:val="000000"/>
          </w:rPr>
          <w:tag w:val="MENDELEY_CITATION_v3_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"/>
          <w:id w:val="31315932"/>
          <w:placeholder>
            <w:docPart w:val="08503E936084459D95AE77B04F03CAA1"/>
          </w:placeholder>
        </w:sdtPr>
        <w:sdtEndPr/>
        <w:sdtContent>
          <w:r w:rsidR="007B6B26" w:rsidRPr="007B6B26">
            <w:rPr>
              <w:rFonts w:ascii="Arial" w:hAnsi="Arial" w:cs="Arial"/>
              <w:color w:val="000000"/>
            </w:rPr>
            <w:t>(Malhotra, 2021)</w:t>
          </w:r>
        </w:sdtContent>
      </w:sdt>
      <w:r w:rsidRPr="00A87268">
        <w:rPr>
          <w:rFonts w:ascii="Arial" w:hAnsi="Arial" w:cs="Arial"/>
        </w:rPr>
        <w:t xml:space="preserve"> highlights the benefits of integrating econometric and machine learning techniques for improved analysis. From a methodological standpoint, panel econometric models remain widely used, supported by foundational contributions such as </w:t>
      </w:r>
      <w:proofErr w:type="spellStart"/>
      <w:r w:rsidRPr="00A87268">
        <w:rPr>
          <w:rFonts w:ascii="Arial" w:hAnsi="Arial" w:cs="Arial"/>
        </w:rPr>
        <w:t>Baltagi</w:t>
      </w:r>
      <w:proofErr w:type="spellEnd"/>
      <w:r w:rsidRPr="00A87268">
        <w:rPr>
          <w:rFonts w:ascii="Arial" w:hAnsi="Arial" w:cs="Arial"/>
        </w:rPr>
        <w:t xml:space="preserve"> </w:t>
      </w:r>
      <w:sdt>
        <w:sdtPr>
          <w:rPr>
            <w:rFonts w:ascii="Arial" w:hAnsi="Arial" w:cs="Arial"/>
            <w:color w:val="000000"/>
          </w:rPr>
          <w:tag w:val="MENDELEY_CITATION_v3_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"/>
          <w:id w:val="-1056229182"/>
          <w:placeholder>
            <w:docPart w:val="08503E936084459D95AE77B04F03CAA1"/>
          </w:placeholder>
        </w:sdtPr>
        <w:sdtEndPr/>
        <w:sdtContent>
          <w:r w:rsidR="007B6B26" w:rsidRPr="007B6B26">
            <w:rPr>
              <w:rFonts w:ascii="Arial" w:hAnsi="Arial" w:cs="Arial"/>
              <w:color w:val="000000"/>
            </w:rPr>
            <w:t>(</w:t>
          </w:r>
          <w:proofErr w:type="spellStart"/>
          <w:r w:rsidR="007B6B26" w:rsidRPr="007B6B26">
            <w:rPr>
              <w:rFonts w:ascii="Arial" w:hAnsi="Arial" w:cs="Arial"/>
              <w:color w:val="000000"/>
            </w:rPr>
            <w:t>Baltagi</w:t>
          </w:r>
          <w:proofErr w:type="spellEnd"/>
          <w:r w:rsidR="007B6B26" w:rsidRPr="007B6B26">
            <w:rPr>
              <w:rFonts w:ascii="Arial" w:hAnsi="Arial" w:cs="Arial"/>
              <w:color w:val="000000"/>
            </w:rPr>
            <w:t>, 2021)</w:t>
          </w:r>
        </w:sdtContent>
      </w:sdt>
      <w:r w:rsidRPr="00A87268">
        <w:rPr>
          <w:rFonts w:ascii="Arial" w:hAnsi="Arial" w:cs="Arial"/>
        </w:rPr>
        <w:t xml:space="preserve"> and Wooldridge </w:t>
      </w:r>
      <w:sdt>
        <w:sdtPr>
          <w:rPr>
            <w:rFonts w:ascii="Arial" w:hAnsi="Arial" w:cs="Arial"/>
            <w:color w:val="000000"/>
          </w:rPr>
          <w:tag w:val="MENDELEY_CITATION_v3_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"/>
          <w:id w:val="-1404525475"/>
          <w:placeholder>
            <w:docPart w:val="08503E936084459D95AE77B04F03CAA1"/>
          </w:placeholder>
        </w:sdtPr>
        <w:sdtEndPr/>
        <w:sdtContent>
          <w:r w:rsidR="007B6B26" w:rsidRPr="007B6B26">
            <w:rPr>
              <w:rFonts w:ascii="Arial" w:hAnsi="Arial" w:cs="Arial"/>
              <w:color w:val="000000"/>
            </w:rPr>
            <w:t>(Wooldridge, 2021)</w:t>
          </w:r>
        </w:sdtContent>
      </w:sdt>
      <w:r w:rsidRPr="00A87268">
        <w:rPr>
          <w:rFonts w:ascii="Arial" w:hAnsi="Arial" w:cs="Arial"/>
        </w:rPr>
        <w:t xml:space="preserve">. Diagnostic tools including the Hausman test </w:t>
      </w:r>
      <w:sdt>
        <w:sdtPr>
          <w:rPr>
            <w:rFonts w:ascii="Arial" w:hAnsi="Arial" w:cs="Arial"/>
            <w:color w:val="000000"/>
          </w:rPr>
          <w:tag w:val="MENDELEY_CITATION_v3_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"/>
          <w:id w:val="-767153818"/>
          <w:placeholder>
            <w:docPart w:val="08503E936084459D95AE77B04F03CAA1"/>
          </w:placeholder>
        </w:sdtPr>
        <w:sdtEndPr/>
        <w:sdtContent>
          <w:r w:rsidR="007B6B26" w:rsidRPr="007B6B26">
            <w:rPr>
              <w:rFonts w:ascii="Arial" w:hAnsi="Arial" w:cs="Arial"/>
              <w:color w:val="000000"/>
            </w:rPr>
            <w:t>(Hausman, 1978)</w:t>
          </w:r>
        </w:sdtContent>
      </w:sdt>
      <w:r w:rsidRPr="00A87268">
        <w:rPr>
          <w:rFonts w:ascii="Arial" w:hAnsi="Arial" w:cs="Arial"/>
        </w:rPr>
        <w:t xml:space="preserve">, Breusch-Pagan test </w:t>
      </w:r>
      <w:sdt>
        <w:sdtPr>
          <w:rPr>
            <w:rFonts w:ascii="Arial" w:hAnsi="Arial" w:cs="Arial"/>
            <w:color w:val="000000"/>
          </w:rPr>
          <w:tag w:val="MENDELEY_CITATION_v3_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"/>
          <w:id w:val="-1117061935"/>
          <w:placeholder>
            <w:docPart w:val="08503E936084459D95AE77B04F03CAA1"/>
          </w:placeholder>
        </w:sdtPr>
        <w:sdtEndPr/>
        <w:sdtContent>
          <w:r w:rsidR="007B6B26" w:rsidRPr="007B6B26">
            <w:rPr>
              <w:rFonts w:ascii="Arial" w:hAnsi="Arial" w:cs="Arial"/>
              <w:color w:val="000000"/>
            </w:rPr>
            <w:t>(Breusch &amp; Pagan, 1979)</w:t>
          </w:r>
        </w:sdtContent>
      </w:sdt>
      <w:r w:rsidRPr="00A87268">
        <w:rPr>
          <w:rFonts w:ascii="Arial" w:hAnsi="Arial" w:cs="Arial"/>
        </w:rPr>
        <w:t xml:space="preserve">, and </w:t>
      </w:r>
      <w:proofErr w:type="spellStart"/>
      <w:r w:rsidRPr="00A87268">
        <w:rPr>
          <w:rFonts w:ascii="Arial" w:hAnsi="Arial" w:cs="Arial"/>
        </w:rPr>
        <w:t>Pesaran’s</w:t>
      </w:r>
      <w:proofErr w:type="spellEnd"/>
      <w:r w:rsidRPr="00A87268">
        <w:rPr>
          <w:rFonts w:ascii="Arial" w:hAnsi="Arial" w:cs="Arial"/>
        </w:rPr>
        <w:t xml:space="preserve"> test for cross-sectional dependence </w:t>
      </w:r>
      <w:sdt>
        <w:sdtPr>
          <w:rPr>
            <w:rFonts w:ascii="Arial" w:hAnsi="Arial" w:cs="Arial"/>
            <w:color w:val="000000"/>
          </w:rPr>
          <w:tag w:val="MENDELEY_CITATION_v3_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"/>
          <w:id w:val="1858455838"/>
          <w:placeholder>
            <w:docPart w:val="08503E936084459D95AE77B04F03CAA1"/>
          </w:placeholder>
        </w:sdtPr>
        <w:sdtEndPr/>
        <w:sdtContent>
          <w:r w:rsidR="007B6B26" w:rsidRPr="007B6B26">
            <w:rPr>
              <w:rFonts w:ascii="Arial" w:hAnsi="Arial" w:cs="Arial"/>
              <w:color w:val="000000"/>
            </w:rPr>
            <w:t>(</w:t>
          </w:r>
          <w:proofErr w:type="spellStart"/>
          <w:r w:rsidR="007B6B26" w:rsidRPr="007B6B26">
            <w:rPr>
              <w:rFonts w:ascii="Arial" w:hAnsi="Arial" w:cs="Arial"/>
              <w:color w:val="000000"/>
            </w:rPr>
            <w:t>Pesaran</w:t>
          </w:r>
          <w:proofErr w:type="spellEnd"/>
          <w:r w:rsidR="007B6B26" w:rsidRPr="007B6B26">
            <w:rPr>
              <w:rFonts w:ascii="Arial" w:hAnsi="Arial" w:cs="Arial"/>
              <w:color w:val="000000"/>
            </w:rPr>
            <w:t>, 2003)</w:t>
          </w:r>
        </w:sdtContent>
      </w:sdt>
      <w:r w:rsidRPr="00A87268">
        <w:rPr>
          <w:rFonts w:ascii="Arial" w:hAnsi="Arial" w:cs="Arial"/>
        </w:rPr>
        <w:t xml:space="preserve"> ensure the reliability of econometric results. At the same time, machine learning algorithms such as Random Forest </w:t>
      </w:r>
      <w:sdt>
        <w:sdtPr>
          <w:rPr>
            <w:rFonts w:ascii="Arial" w:hAnsi="Arial" w:cs="Arial"/>
            <w:color w:val="000000"/>
          </w:rPr>
          <w:tag w:val="MENDELEY_CITATION_v3_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"/>
          <w:id w:val="411054405"/>
          <w:placeholder>
            <w:docPart w:val="08503E936084459D95AE77B04F03CAA1"/>
          </w:placeholder>
        </w:sdtPr>
        <w:sdtEndPr/>
        <w:sdtContent>
          <w:r w:rsidR="007B6B26" w:rsidRPr="007B6B26">
            <w:rPr>
              <w:rFonts w:ascii="Arial" w:hAnsi="Arial" w:cs="Arial"/>
              <w:color w:val="000000"/>
            </w:rPr>
            <w:t>(</w:t>
          </w:r>
          <w:proofErr w:type="spellStart"/>
          <w:r w:rsidR="007B6B26" w:rsidRPr="007B6B26">
            <w:rPr>
              <w:rFonts w:ascii="Arial" w:hAnsi="Arial" w:cs="Arial"/>
              <w:color w:val="000000"/>
            </w:rPr>
            <w:t>Breiman</w:t>
          </w:r>
          <w:proofErr w:type="spellEnd"/>
          <w:r w:rsidR="007B6B26" w:rsidRPr="007B6B26">
            <w:rPr>
              <w:rFonts w:ascii="Arial" w:hAnsi="Arial" w:cs="Arial"/>
              <w:color w:val="000000"/>
            </w:rPr>
            <w:t>, 2001a)</w:t>
          </w:r>
        </w:sdtContent>
      </w:sdt>
      <w:r w:rsidRPr="00A87268">
        <w:rPr>
          <w:rFonts w:ascii="Arial" w:hAnsi="Arial" w:cs="Arial"/>
        </w:rPr>
        <w:t xml:space="preserve"> and </w:t>
      </w:r>
      <w:proofErr w:type="spellStart"/>
      <w:r w:rsidRPr="00A87268">
        <w:rPr>
          <w:rFonts w:ascii="Arial" w:hAnsi="Arial" w:cs="Arial"/>
        </w:rPr>
        <w:t>XGBoost</w:t>
      </w:r>
      <w:proofErr w:type="spellEnd"/>
      <w:r w:rsidRPr="00A87268">
        <w:rPr>
          <w:rFonts w:ascii="Arial" w:hAnsi="Arial" w:cs="Arial"/>
        </w:rPr>
        <w:t xml:space="preserve"> </w:t>
      </w:r>
      <w:sdt>
        <w:sdtPr>
          <w:rPr>
            <w:rFonts w:ascii="Arial" w:hAnsi="Arial" w:cs="Arial"/>
            <w:color w:val="000000"/>
          </w:rPr>
          <w:tag w:val="MENDELEY_CITATION_v3_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"/>
          <w:id w:val="552434405"/>
          <w:placeholder>
            <w:docPart w:val="08503E936084459D95AE77B04F03CAA1"/>
          </w:placeholder>
        </w:sdtPr>
        <w:sdtEndPr/>
        <w:sdtContent>
          <w:r w:rsidR="007B6B26" w:rsidRPr="007B6B26">
            <w:rPr>
              <w:rFonts w:ascii="Arial" w:hAnsi="Arial" w:cs="Arial"/>
              <w:color w:val="000000"/>
            </w:rPr>
            <w:t xml:space="preserve">(Chen &amp; </w:t>
          </w:r>
          <w:proofErr w:type="spellStart"/>
          <w:r w:rsidR="007B6B26" w:rsidRPr="007B6B26">
            <w:rPr>
              <w:rFonts w:ascii="Arial" w:hAnsi="Arial" w:cs="Arial"/>
              <w:color w:val="000000"/>
            </w:rPr>
            <w:t>Guestrin</w:t>
          </w:r>
          <w:proofErr w:type="spellEnd"/>
          <w:r w:rsidR="007B6B26" w:rsidRPr="007B6B26">
            <w:rPr>
              <w:rFonts w:ascii="Arial" w:hAnsi="Arial" w:cs="Arial"/>
              <w:color w:val="000000"/>
            </w:rPr>
            <w:t>, 2016)</w:t>
          </w:r>
        </w:sdtContent>
      </w:sdt>
      <w:r w:rsidRPr="00A87268">
        <w:rPr>
          <w:rFonts w:ascii="Arial" w:hAnsi="Arial" w:cs="Arial"/>
        </w:rPr>
        <w:t>, along with explainable AI techniques such as SHAP, provide powerful tools for prediction and interpretation.</w:t>
      </w:r>
    </w:p>
    <w:p w14:paraId="4B916EFE" w14:textId="77777777" w:rsidR="00A87268" w:rsidRPr="00A87268" w:rsidRDefault="00A87268" w:rsidP="00A87268">
      <w:pPr>
        <w:jc w:val="both"/>
        <w:rPr>
          <w:rFonts w:ascii="Arial" w:hAnsi="Arial" w:cs="Arial"/>
        </w:rPr>
      </w:pPr>
    </w:p>
    <w:p w14:paraId="22E97948" w14:textId="77777777" w:rsidR="00A87268" w:rsidRPr="00A87268" w:rsidRDefault="00A87268" w:rsidP="00A87268">
      <w:pPr>
        <w:widowControl w:val="0"/>
        <w:autoSpaceDE w:val="0"/>
        <w:autoSpaceDN w:val="0"/>
        <w:jc w:val="both"/>
        <w:rPr>
          <w:rFonts w:ascii="Arial" w:hAnsi="Arial" w:cs="Arial"/>
          <w:b/>
          <w:bCs/>
        </w:rPr>
      </w:pPr>
      <w:r w:rsidRPr="00A87268">
        <w:rPr>
          <w:rFonts w:ascii="Arial" w:hAnsi="Arial" w:cs="Arial"/>
          <w:b/>
          <w:bCs/>
        </w:rPr>
        <w:t>2.1 Research Gap</w:t>
      </w:r>
    </w:p>
    <w:p w14:paraId="71DE87C2" w14:textId="77777777" w:rsidR="00A87268" w:rsidRDefault="00A87268" w:rsidP="00A87268">
      <w:pPr>
        <w:widowControl w:val="0"/>
        <w:autoSpaceDE w:val="0"/>
        <w:autoSpaceDN w:val="0"/>
        <w:jc w:val="both"/>
        <w:rPr>
          <w:rFonts w:ascii="Arial" w:hAnsi="Arial" w:cs="Arial"/>
        </w:rPr>
      </w:pPr>
      <w:r w:rsidRPr="00A87268">
        <w:rPr>
          <w:rFonts w:ascii="Arial" w:hAnsi="Arial" w:cs="Arial"/>
        </w:rPr>
        <w:t xml:space="preserve">Notwithstanding the substantial body of literature on Non-Performing Assets (NPAs), important limitations remain. Existing studies predominantly employ either traditional econometric models or machine learning techniques in isolation, thereby limiting the ability to </w:t>
      </w:r>
      <w:r w:rsidRPr="00A87268">
        <w:rPr>
          <w:rFonts w:ascii="Arial" w:hAnsi="Arial" w:cs="Arial"/>
        </w:rPr>
        <w:lastRenderedPageBreak/>
        <w:t>jointly achieve robust inference and high predictive accuracy. Moreover, the application of explainable artificial intelligence in NPA analysis remains limited, restricting interpretability of data-driven models for policy purposes. In addition, prior research on Indian banking has largely overlooked the simultaneous consideration of dynamic persistence, nonlinear relationships, and cross-sectional interdependencies across bank groups.</w:t>
      </w:r>
    </w:p>
    <w:p w14:paraId="595C7D04" w14:textId="77777777" w:rsidR="00CA3ED0" w:rsidRPr="00A87268" w:rsidRDefault="00CA3ED0" w:rsidP="00A87268">
      <w:pPr>
        <w:widowControl w:val="0"/>
        <w:autoSpaceDE w:val="0"/>
        <w:autoSpaceDN w:val="0"/>
        <w:jc w:val="both"/>
        <w:rPr>
          <w:rFonts w:ascii="Arial" w:hAnsi="Arial" w:cs="Arial"/>
        </w:rPr>
      </w:pPr>
    </w:p>
    <w:p w14:paraId="5E6CB6DD" w14:textId="010B1E0F" w:rsidR="00A87268" w:rsidRPr="00A87268" w:rsidRDefault="00A87268" w:rsidP="00A87268">
      <w:pPr>
        <w:pStyle w:val="Body"/>
        <w:spacing w:after="0"/>
        <w:rPr>
          <w:rFonts w:ascii="Arial" w:hAnsi="Arial" w:cs="Arial"/>
        </w:rPr>
      </w:pPr>
      <w:r w:rsidRPr="00A87268">
        <w:rPr>
          <w:rFonts w:ascii="Arial" w:hAnsi="Arial" w:cs="Arial"/>
        </w:rPr>
        <w:t>Against this backdrop, the present study develops an integrated framework combining panel econometrics, machine learning, and explainable AI to provide a comprehensive and policy-relevant understanding of NPA dynamics.</w:t>
      </w:r>
    </w:p>
    <w:p w14:paraId="0D26A845" w14:textId="77777777" w:rsidR="00790ADA" w:rsidRPr="00FB3A86" w:rsidRDefault="00790ADA" w:rsidP="00441B6F">
      <w:pPr>
        <w:pStyle w:val="Body"/>
        <w:spacing w:after="0"/>
        <w:rPr>
          <w:rFonts w:ascii="Arial" w:hAnsi="Arial" w:cs="Arial"/>
        </w:rPr>
      </w:pPr>
    </w:p>
    <w:p w14:paraId="1F122713" w14:textId="2CA4E371" w:rsidR="007F7B32" w:rsidRDefault="00CA3ED0" w:rsidP="00441B6F">
      <w:pPr>
        <w:pStyle w:val="AbstHead"/>
        <w:spacing w:after="0"/>
        <w:jc w:val="both"/>
        <w:rPr>
          <w:rFonts w:ascii="Arial" w:hAnsi="Arial" w:cs="Arial"/>
        </w:rPr>
      </w:pPr>
      <w:r>
        <w:rPr>
          <w:rFonts w:ascii="Arial" w:hAnsi="Arial" w:cs="Arial"/>
        </w:rPr>
        <w:t>3</w:t>
      </w:r>
      <w:r w:rsidR="00902823">
        <w:rPr>
          <w:rFonts w:ascii="Arial" w:hAnsi="Arial" w:cs="Arial"/>
        </w:rPr>
        <w:t xml:space="preserve">. </w:t>
      </w:r>
      <w:r w:rsidR="006B57D0">
        <w:rPr>
          <w:rFonts w:ascii="Arial" w:hAnsi="Arial" w:cs="Arial"/>
        </w:rPr>
        <w:t>methodology</w:t>
      </w:r>
    </w:p>
    <w:p w14:paraId="373AC422" w14:textId="77777777" w:rsidR="00CA3ED0" w:rsidRDefault="00CA3ED0" w:rsidP="00441B6F">
      <w:pPr>
        <w:pStyle w:val="AbstHead"/>
        <w:spacing w:after="0"/>
        <w:jc w:val="both"/>
        <w:rPr>
          <w:rFonts w:ascii="Arial" w:hAnsi="Arial" w:cs="Arial"/>
        </w:rPr>
      </w:pPr>
    </w:p>
    <w:p w14:paraId="7B2A67B7" w14:textId="77777777" w:rsidR="00CA3ED0" w:rsidRPr="00CA3ED0" w:rsidRDefault="00CA3ED0" w:rsidP="00CA3ED0">
      <w:pPr>
        <w:rPr>
          <w:rFonts w:ascii="Arial" w:hAnsi="Arial" w:cs="Arial"/>
          <w:b/>
          <w:bCs/>
          <w:sz w:val="22"/>
          <w:szCs w:val="22"/>
        </w:rPr>
      </w:pPr>
      <w:r w:rsidRPr="00CA3ED0">
        <w:rPr>
          <w:rFonts w:ascii="Arial" w:hAnsi="Arial" w:cs="Arial"/>
          <w:b/>
          <w:bCs/>
          <w:sz w:val="22"/>
          <w:szCs w:val="22"/>
        </w:rPr>
        <w:t>3.1 Data Structure and Variable Specification</w:t>
      </w:r>
    </w:p>
    <w:p w14:paraId="24D9E40C" w14:textId="77777777" w:rsidR="00CA3ED0" w:rsidRDefault="00CA3ED0" w:rsidP="00CA3ED0">
      <w:pPr>
        <w:jc w:val="both"/>
        <w:rPr>
          <w:rFonts w:ascii="Arial" w:hAnsi="Arial" w:cs="Arial"/>
        </w:rPr>
      </w:pPr>
      <w:r w:rsidRPr="00CA3ED0">
        <w:rPr>
          <w:rFonts w:ascii="Arial" w:hAnsi="Arial" w:cs="Arial"/>
        </w:rPr>
        <w:t>This study employs a balanced panel dataset comprising multiple Indian bank groups observed over a period of 27 years from 1998-2024, resulting in a total of 108 observations. The dependent variable is the ratio of Non-Performing Assets (NPAs), which serves as a proxy for asset quality and financial stability. The explanatory variables include key macroeconomic and banking indicators: credit growth, GDP growth, inflation, and lending interest rate.</w:t>
      </w:r>
    </w:p>
    <w:p w14:paraId="67EDE82E" w14:textId="77777777" w:rsidR="00CA3ED0" w:rsidRPr="00CA3ED0" w:rsidRDefault="00CA3ED0" w:rsidP="00CA3ED0">
      <w:pPr>
        <w:jc w:val="both"/>
        <w:rPr>
          <w:rFonts w:ascii="Arial" w:hAnsi="Arial" w:cs="Arial"/>
        </w:rPr>
      </w:pPr>
    </w:p>
    <w:p w14:paraId="560E70E8" w14:textId="77777777" w:rsidR="00CA3ED0" w:rsidRPr="00CA3ED0" w:rsidRDefault="00CA3ED0" w:rsidP="00CA3ED0">
      <w:pPr>
        <w:jc w:val="both"/>
        <w:rPr>
          <w:rFonts w:ascii="Arial" w:hAnsi="Arial" w:cs="Arial"/>
        </w:rPr>
      </w:pPr>
      <w:r w:rsidRPr="00CA3ED0">
        <w:rPr>
          <w:rFonts w:ascii="Arial" w:hAnsi="Arial" w:cs="Arial"/>
        </w:rPr>
        <w:t>The empirical specification is grounded in the standard panel regression framework:</w:t>
      </w:r>
    </w:p>
    <w:p w14:paraId="030E583D" w14:textId="77777777" w:rsidR="00CA3ED0" w:rsidRPr="00CA3ED0" w:rsidRDefault="00CA3ED0" w:rsidP="00CA3ED0">
      <w:pPr>
        <w:jc w:val="both"/>
        <w:rPr>
          <w:rFonts w:ascii="Arial" w:eastAsiaTheme="minorEastAsia" w:hAnsi="Arial" w:cs="Arial"/>
        </w:rPr>
      </w:pPr>
      <m:oMathPara>
        <m:oMath>
          <m:r>
            <w:rPr>
              <w:rFonts w:ascii="Cambria Math" w:hAnsi="Cambria Math" w:cs="Arial"/>
            </w:rPr>
            <m:t>NP</m:t>
          </m:r>
          <m:sSub>
            <m:sSubPr>
              <m:ctrlPr>
                <w:rPr>
                  <w:rFonts w:ascii="Cambria Math" w:hAnsi="Cambria Math" w:cs="Arial"/>
                </w:rPr>
              </m:ctrlPr>
            </m:sSubPr>
            <m:e>
              <m:r>
                <w:rPr>
                  <w:rFonts w:ascii="Cambria Math" w:hAnsi="Cambria Math" w:cs="Arial"/>
                </w:rPr>
                <m:t>A</m:t>
              </m:r>
            </m:e>
            <m:sub>
              <m:r>
                <w:rPr>
                  <w:rFonts w:ascii="Cambria Math" w:hAnsi="Cambria Math" w:cs="Arial"/>
                </w:rPr>
                <m:t>it</m:t>
              </m:r>
            </m:sub>
          </m:sSub>
          <m:r>
            <w:rPr>
              <w:rFonts w:ascii="Cambria Math" w:hAnsi="Cambria Math" w:cs="Arial"/>
            </w:rPr>
            <m:t>=α+</m:t>
          </m:r>
          <m:sSub>
            <m:sSubPr>
              <m:ctrlPr>
                <w:rPr>
                  <w:rFonts w:ascii="Cambria Math" w:hAnsi="Cambria Math" w:cs="Arial"/>
                </w:rPr>
              </m:ctrlPr>
            </m:sSubPr>
            <m:e>
              <m:r>
                <w:rPr>
                  <w:rFonts w:ascii="Cambria Math" w:hAnsi="Cambria Math" w:cs="Arial"/>
                </w:rPr>
                <m:t>β</m:t>
              </m:r>
            </m:e>
            <m:sub>
              <m:r>
                <w:rPr>
                  <w:rFonts w:ascii="Cambria Math" w:hAnsi="Cambria Math" w:cs="Arial"/>
                </w:rPr>
                <m:t>1</m:t>
              </m:r>
            </m:sub>
          </m:sSub>
          <m:r>
            <w:rPr>
              <w:rFonts w:ascii="Cambria Math" w:hAnsi="Cambria Math" w:cs="Arial"/>
            </w:rPr>
            <m:t>C</m:t>
          </m:r>
          <m:sSub>
            <m:sSubPr>
              <m:ctrlPr>
                <w:rPr>
                  <w:rFonts w:ascii="Cambria Math" w:hAnsi="Cambria Math" w:cs="Arial"/>
                </w:rPr>
              </m:ctrlPr>
            </m:sSubPr>
            <m:e>
              <m:r>
                <w:rPr>
                  <w:rFonts w:ascii="Cambria Math" w:hAnsi="Cambria Math" w:cs="Arial"/>
                </w:rPr>
                <m:t>G</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2</m:t>
              </m:r>
            </m:sub>
          </m:sSub>
          <m:r>
            <w:rPr>
              <w:rFonts w:ascii="Cambria Math" w:hAnsi="Cambria Math" w:cs="Arial"/>
            </w:rPr>
            <m:t>GD</m:t>
          </m:r>
          <m:sSub>
            <m:sSubPr>
              <m:ctrlPr>
                <w:rPr>
                  <w:rFonts w:ascii="Cambria Math" w:hAnsi="Cambria Math" w:cs="Arial"/>
                </w:rPr>
              </m:ctrlPr>
            </m:sSubPr>
            <m:e>
              <m:r>
                <w:rPr>
                  <w:rFonts w:ascii="Cambria Math" w:hAnsi="Cambria Math" w:cs="Arial"/>
                </w:rPr>
                <m:t>P</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3</m:t>
              </m:r>
            </m:sub>
          </m:sSub>
          <m:r>
            <w:rPr>
              <w:rFonts w:ascii="Cambria Math" w:hAnsi="Cambria Math" w:cs="Arial"/>
            </w:rPr>
            <m:t>IN</m:t>
          </m:r>
          <m:sSub>
            <m:sSubPr>
              <m:ctrlPr>
                <w:rPr>
                  <w:rFonts w:ascii="Cambria Math" w:hAnsi="Cambria Math" w:cs="Arial"/>
                </w:rPr>
              </m:ctrlPr>
            </m:sSubPr>
            <m:e>
              <m:r>
                <w:rPr>
                  <w:rFonts w:ascii="Cambria Math" w:hAnsi="Cambria Math" w:cs="Arial"/>
                </w:rPr>
                <m:t>F</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4</m:t>
              </m:r>
            </m:sub>
          </m:sSub>
          <m:r>
            <w:rPr>
              <w:rFonts w:ascii="Cambria Math" w:hAnsi="Cambria Math" w:cs="Arial"/>
            </w:rPr>
            <m:t>I</m:t>
          </m:r>
          <m:sSub>
            <m:sSubPr>
              <m:ctrlPr>
                <w:rPr>
                  <w:rFonts w:ascii="Cambria Math" w:hAnsi="Cambria Math" w:cs="Arial"/>
                </w:rPr>
              </m:ctrlPr>
            </m:sSubPr>
            <m:e>
              <m:r>
                <w:rPr>
                  <w:rFonts w:ascii="Cambria Math" w:hAnsi="Cambria Math" w:cs="Arial"/>
                </w:rPr>
                <m:t>R</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ϵ</m:t>
              </m:r>
            </m:e>
            <m:sub>
              <m:r>
                <w:rPr>
                  <w:rFonts w:ascii="Cambria Math" w:hAnsi="Cambria Math" w:cs="Arial"/>
                </w:rPr>
                <m:t>it</m:t>
              </m:r>
            </m:sub>
          </m:sSub>
          <m:r>
            <w:rPr>
              <w:rFonts w:ascii="Cambria Math" w:hAnsi="Cambria Math" w:cs="Arial"/>
            </w:rPr>
            <m:t xml:space="preserve">                                                   (1)</m:t>
          </m:r>
        </m:oMath>
      </m:oMathPara>
    </w:p>
    <w:p w14:paraId="585BDB79" w14:textId="77777777" w:rsidR="00CA3ED0" w:rsidRPr="00CA3ED0" w:rsidRDefault="00CA3ED0" w:rsidP="00CA3ED0">
      <w:pPr>
        <w:jc w:val="both"/>
        <w:rPr>
          <w:rFonts w:ascii="Arial" w:hAnsi="Arial" w:cs="Arial"/>
        </w:rPr>
      </w:pPr>
      <w:r w:rsidRPr="00CA3ED0">
        <w:rPr>
          <w:rFonts w:ascii="Arial" w:hAnsi="Arial" w:cs="Arial"/>
        </w:rPr>
        <w:t xml:space="preserve">where </w:t>
      </w:r>
      <m:oMath>
        <m:r>
          <w:rPr>
            <w:rFonts w:ascii="Cambria Math" w:hAnsi="Cambria Math" w:cs="Arial"/>
          </w:rPr>
          <m:t>i</m:t>
        </m:r>
      </m:oMath>
      <w:r w:rsidRPr="00CA3ED0">
        <w:rPr>
          <w:rFonts w:ascii="Arial" w:hAnsi="Arial" w:cs="Arial"/>
        </w:rPr>
        <w:t xml:space="preserve">denotes bank groups and </w:t>
      </w:r>
      <m:oMath>
        <m:r>
          <w:rPr>
            <w:rFonts w:ascii="Cambria Math" w:hAnsi="Cambria Math" w:cs="Arial"/>
          </w:rPr>
          <m:t>t</m:t>
        </m:r>
      </m:oMath>
      <w:r w:rsidRPr="00CA3ED0">
        <w:rPr>
          <w:rFonts w:ascii="Arial" w:hAnsi="Arial" w:cs="Arial"/>
        </w:rPr>
        <w:t xml:space="preserve">represents time. </w:t>
      </w:r>
      <m:oMath>
        <m:r>
          <w:rPr>
            <w:rFonts w:ascii="Cambria Math" w:hAnsi="Cambria Math" w:cs="Arial"/>
          </w:rPr>
          <m:t>CG</m:t>
        </m:r>
      </m:oMath>
      <w:r w:rsidRPr="00CA3ED0">
        <w:rPr>
          <w:rFonts w:ascii="Arial" w:hAnsi="Arial" w:cs="Arial"/>
        </w:rPr>
        <w:t xml:space="preserve">, </w:t>
      </w:r>
      <m:oMath>
        <m:r>
          <w:rPr>
            <w:rFonts w:ascii="Cambria Math" w:hAnsi="Cambria Math" w:cs="Arial"/>
          </w:rPr>
          <m:t>GDP</m:t>
        </m:r>
      </m:oMath>
      <w:r w:rsidRPr="00CA3ED0">
        <w:rPr>
          <w:rFonts w:ascii="Arial" w:hAnsi="Arial" w:cs="Arial"/>
        </w:rPr>
        <w:t xml:space="preserve">, </w:t>
      </w:r>
      <m:oMath>
        <m:r>
          <w:rPr>
            <w:rFonts w:ascii="Cambria Math" w:hAnsi="Cambria Math" w:cs="Arial"/>
          </w:rPr>
          <m:t>INF</m:t>
        </m:r>
      </m:oMath>
      <w:r w:rsidRPr="00CA3ED0">
        <w:rPr>
          <w:rFonts w:ascii="Arial" w:hAnsi="Arial" w:cs="Arial"/>
        </w:rPr>
        <w:t xml:space="preserve">, and </w:t>
      </w:r>
      <m:oMath>
        <m:r>
          <w:rPr>
            <w:rFonts w:ascii="Cambria Math" w:hAnsi="Cambria Math" w:cs="Arial"/>
          </w:rPr>
          <m:t>IR</m:t>
        </m:r>
      </m:oMath>
      <w:r w:rsidRPr="00CA3ED0">
        <w:rPr>
          <w:rFonts w:ascii="Arial" w:hAnsi="Arial" w:cs="Arial"/>
        </w:rPr>
        <w:t>denote credit growth, GDP growth, inflation, and interest rate respectively.</w:t>
      </w:r>
    </w:p>
    <w:p w14:paraId="56FF9D74" w14:textId="77777777" w:rsidR="00CA3ED0" w:rsidRPr="00CA3ED0" w:rsidRDefault="00CA3ED0" w:rsidP="00CA3ED0">
      <w:pPr>
        <w:jc w:val="both"/>
        <w:rPr>
          <w:rFonts w:ascii="Arial" w:hAnsi="Arial" w:cs="Arial"/>
        </w:rPr>
      </w:pPr>
    </w:p>
    <w:p w14:paraId="27485C95" w14:textId="77777777" w:rsidR="00CA3ED0" w:rsidRPr="00CA3ED0" w:rsidRDefault="00CA3ED0" w:rsidP="00CA3ED0">
      <w:pPr>
        <w:jc w:val="both"/>
        <w:rPr>
          <w:rFonts w:ascii="Arial" w:hAnsi="Arial" w:cs="Arial"/>
          <w:b/>
          <w:bCs/>
          <w:sz w:val="22"/>
          <w:szCs w:val="22"/>
        </w:rPr>
      </w:pPr>
      <w:r w:rsidRPr="00CA3ED0">
        <w:rPr>
          <w:rFonts w:ascii="Arial" w:hAnsi="Arial" w:cs="Arial"/>
          <w:b/>
          <w:bCs/>
          <w:sz w:val="22"/>
          <w:szCs w:val="22"/>
        </w:rPr>
        <w:t>3.2 Econometric Modeling Framework</w:t>
      </w:r>
    </w:p>
    <w:p w14:paraId="1E149A1F" w14:textId="77777777" w:rsidR="00CA3ED0" w:rsidRDefault="00CA3ED0" w:rsidP="00CA3ED0">
      <w:pPr>
        <w:jc w:val="both"/>
        <w:rPr>
          <w:rFonts w:ascii="Arial" w:hAnsi="Arial" w:cs="Arial"/>
        </w:rPr>
      </w:pPr>
      <w:r w:rsidRPr="00CA3ED0">
        <w:rPr>
          <w:rFonts w:ascii="Arial" w:hAnsi="Arial" w:cs="Arial"/>
        </w:rPr>
        <w:t>To capture both cross-sectional and temporal variations, three panel data models are estimated: Pooled Ordinary Least Squares (Pooled OLS), Fixed Effects (FE), and Random Effects (RE).</w:t>
      </w:r>
    </w:p>
    <w:p w14:paraId="18D329F5" w14:textId="77777777" w:rsidR="00CA3ED0" w:rsidRPr="00CA3ED0" w:rsidRDefault="00CA3ED0" w:rsidP="00CA3ED0">
      <w:pPr>
        <w:jc w:val="both"/>
        <w:rPr>
          <w:rFonts w:ascii="Arial" w:hAnsi="Arial" w:cs="Arial"/>
        </w:rPr>
      </w:pPr>
    </w:p>
    <w:p w14:paraId="17695082" w14:textId="77777777" w:rsidR="00CA3ED0" w:rsidRPr="00CA3ED0" w:rsidRDefault="00CA3ED0" w:rsidP="00CA3ED0">
      <w:pPr>
        <w:jc w:val="both"/>
        <w:rPr>
          <w:rFonts w:ascii="Arial" w:hAnsi="Arial" w:cs="Arial"/>
          <w:b/>
          <w:bCs/>
        </w:rPr>
      </w:pPr>
      <w:r w:rsidRPr="00CA3ED0">
        <w:rPr>
          <w:rFonts w:ascii="Arial" w:hAnsi="Arial" w:cs="Arial"/>
          <w:b/>
          <w:bCs/>
        </w:rPr>
        <w:t>3.2.1 Pooled OLS Model</w:t>
      </w:r>
    </w:p>
    <w:p w14:paraId="3E425C60" w14:textId="77777777" w:rsidR="00CA3ED0" w:rsidRPr="00CA3ED0" w:rsidRDefault="00CA3ED0" w:rsidP="00CA3ED0">
      <w:pPr>
        <w:jc w:val="both"/>
        <w:rPr>
          <w:rFonts w:ascii="Arial" w:hAnsi="Arial" w:cs="Arial"/>
        </w:rPr>
      </w:pPr>
      <w:r w:rsidRPr="00CA3ED0">
        <w:rPr>
          <w:rFonts w:ascii="Arial" w:hAnsi="Arial" w:cs="Arial"/>
        </w:rPr>
        <w:t>The pooled model assumes homogeneity across cross-sectional units and ignores individual-specific effects:</w:t>
      </w:r>
    </w:p>
    <w:p w14:paraId="12DE9DDA" w14:textId="77777777" w:rsidR="00CA3ED0" w:rsidRPr="00CA3ED0" w:rsidRDefault="00CA3ED0" w:rsidP="00CA3ED0">
      <w:pPr>
        <w:jc w:val="both"/>
        <w:rPr>
          <w:rFonts w:ascii="Arial" w:hAnsi="Arial" w:cs="Arial"/>
        </w:rPr>
      </w:pPr>
      <m:oMathPara>
        <m:oMath>
          <m:r>
            <w:rPr>
              <w:rFonts w:ascii="Cambria Math" w:hAnsi="Cambria Math" w:cs="Arial"/>
            </w:rPr>
            <m:t>NP</m:t>
          </m:r>
          <m:sSub>
            <m:sSubPr>
              <m:ctrlPr>
                <w:rPr>
                  <w:rFonts w:ascii="Cambria Math" w:hAnsi="Cambria Math" w:cs="Arial"/>
                </w:rPr>
              </m:ctrlPr>
            </m:sSubPr>
            <m:e>
              <m:r>
                <w:rPr>
                  <w:rFonts w:ascii="Cambria Math" w:hAnsi="Cambria Math" w:cs="Arial"/>
                </w:rPr>
                <m:t>A</m:t>
              </m:r>
            </m:e>
            <m:sub>
              <m:r>
                <w:rPr>
                  <w:rFonts w:ascii="Cambria Math" w:hAnsi="Cambria Math" w:cs="Arial"/>
                </w:rPr>
                <m:t>it</m:t>
              </m:r>
            </m:sub>
          </m:sSub>
          <m:r>
            <w:rPr>
              <w:rFonts w:ascii="Cambria Math" w:hAnsi="Cambria Math" w:cs="Arial"/>
            </w:rPr>
            <m:t>=α+</m:t>
          </m:r>
          <m:nary>
            <m:naryPr>
              <m:chr m:val="∑"/>
              <m:limLoc m:val="undOvr"/>
              <m:grow m:val="1"/>
              <m:ctrlPr>
                <w:rPr>
                  <w:rFonts w:ascii="Cambria Math" w:hAnsi="Cambria Math" w:cs="Arial"/>
                </w:rPr>
              </m:ctrlPr>
            </m:naryPr>
            <m:sub>
              <m:r>
                <w:rPr>
                  <w:rFonts w:ascii="Cambria Math" w:hAnsi="Cambria Math" w:cs="Arial"/>
                </w:rPr>
                <m:t>k=1</m:t>
              </m:r>
            </m:sub>
            <m:sup>
              <m:r>
                <w:rPr>
                  <w:rFonts w:ascii="Cambria Math" w:hAnsi="Cambria Math" w:cs="Arial"/>
                </w:rPr>
                <m:t>4</m:t>
              </m:r>
            </m:sup>
            <m:e>
              <m:sSub>
                <m:sSubPr>
                  <m:ctrlPr>
                    <w:rPr>
                      <w:rFonts w:ascii="Cambria Math" w:hAnsi="Cambria Math" w:cs="Arial"/>
                    </w:rPr>
                  </m:ctrlPr>
                </m:sSubPr>
                <m:e>
                  <m:r>
                    <w:rPr>
                      <w:rFonts w:ascii="Cambria Math" w:hAnsi="Cambria Math" w:cs="Arial"/>
                    </w:rPr>
                    <m:t>β</m:t>
                  </m:r>
                </m:e>
                <m:sub>
                  <m:r>
                    <w:rPr>
                      <w:rFonts w:ascii="Cambria Math" w:hAnsi="Cambria Math" w:cs="Arial"/>
                    </w:rPr>
                    <m:t>k</m:t>
                  </m:r>
                </m:sub>
              </m:sSub>
            </m:e>
          </m:nary>
          <m:sSub>
            <m:sSubPr>
              <m:ctrlPr>
                <w:rPr>
                  <w:rFonts w:ascii="Cambria Math" w:hAnsi="Cambria Math" w:cs="Arial"/>
                </w:rPr>
              </m:ctrlPr>
            </m:sSubPr>
            <m:e>
              <m:r>
                <w:rPr>
                  <w:rFonts w:ascii="Cambria Math" w:hAnsi="Cambria Math" w:cs="Arial"/>
                </w:rPr>
                <m:t>X</m:t>
              </m:r>
            </m:e>
            <m:sub>
              <m:r>
                <w:rPr>
                  <w:rFonts w:ascii="Cambria Math" w:hAnsi="Cambria Math" w:cs="Arial"/>
                </w:rPr>
                <m:t>kit</m:t>
              </m:r>
            </m:sub>
          </m:sSub>
          <m:r>
            <w:rPr>
              <w:rFonts w:ascii="Cambria Math" w:hAnsi="Cambria Math" w:cs="Arial"/>
            </w:rPr>
            <m:t>+</m:t>
          </m:r>
          <m:sSub>
            <m:sSubPr>
              <m:ctrlPr>
                <w:rPr>
                  <w:rFonts w:ascii="Cambria Math" w:hAnsi="Cambria Math" w:cs="Arial"/>
                </w:rPr>
              </m:ctrlPr>
            </m:sSubPr>
            <m:e>
              <m:r>
                <w:rPr>
                  <w:rFonts w:ascii="Cambria Math" w:hAnsi="Cambria Math" w:cs="Arial"/>
                </w:rPr>
                <m:t>ϵ</m:t>
              </m:r>
            </m:e>
            <m:sub>
              <m:r>
                <w:rPr>
                  <w:rFonts w:ascii="Cambria Math" w:hAnsi="Cambria Math" w:cs="Arial"/>
                </w:rPr>
                <m:t>it</m:t>
              </m:r>
            </m:sub>
          </m:sSub>
          <m:r>
            <w:rPr>
              <w:rFonts w:ascii="Cambria Math" w:hAnsi="Cambria Math" w:cs="Arial"/>
            </w:rPr>
            <m:t xml:space="preserve">                                                                                                     (2)</m:t>
          </m:r>
          <m:r>
            <m:rPr>
              <m:sty m:val="p"/>
            </m:rPr>
            <w:rPr>
              <w:rFonts w:ascii="Cambria Math" w:hAnsi="Cambria Math" w:cs="Arial"/>
            </w:rPr>
            <w:br/>
          </m:r>
        </m:oMath>
      </m:oMathPara>
      <w:r w:rsidRPr="00CA3ED0">
        <w:rPr>
          <w:rFonts w:ascii="Arial" w:hAnsi="Arial" w:cs="Arial"/>
        </w:rPr>
        <w:t>While simple, this model may suffer from omitted variable bias due to unobserved heterogeneity.</w:t>
      </w:r>
    </w:p>
    <w:p w14:paraId="015A78E9" w14:textId="77777777" w:rsidR="00CA3ED0" w:rsidRPr="00CA3ED0" w:rsidRDefault="00CA3ED0" w:rsidP="00CA3ED0">
      <w:pPr>
        <w:jc w:val="both"/>
        <w:rPr>
          <w:rFonts w:ascii="Arial" w:hAnsi="Arial" w:cs="Arial"/>
        </w:rPr>
      </w:pPr>
    </w:p>
    <w:p w14:paraId="06DD256A" w14:textId="77777777" w:rsidR="00CA3ED0" w:rsidRPr="00CA3ED0" w:rsidRDefault="00CA3ED0" w:rsidP="00CA3ED0">
      <w:pPr>
        <w:jc w:val="both"/>
        <w:rPr>
          <w:rFonts w:ascii="Arial" w:hAnsi="Arial" w:cs="Arial"/>
          <w:b/>
          <w:bCs/>
        </w:rPr>
      </w:pPr>
      <w:r w:rsidRPr="00CA3ED0">
        <w:rPr>
          <w:rFonts w:ascii="Arial" w:hAnsi="Arial" w:cs="Arial"/>
          <w:b/>
          <w:bCs/>
        </w:rPr>
        <w:t>3.2.2 Fixed Effects Model</w:t>
      </w:r>
    </w:p>
    <w:p w14:paraId="6CF111C6" w14:textId="77777777" w:rsidR="00CA3ED0" w:rsidRPr="00CA3ED0" w:rsidRDefault="00CA3ED0" w:rsidP="00CA3ED0">
      <w:pPr>
        <w:jc w:val="both"/>
        <w:rPr>
          <w:rFonts w:ascii="Arial" w:hAnsi="Arial" w:cs="Arial"/>
        </w:rPr>
      </w:pPr>
      <w:r w:rsidRPr="00CA3ED0">
        <w:rPr>
          <w:rFonts w:ascii="Arial" w:hAnsi="Arial" w:cs="Arial"/>
        </w:rPr>
        <w:t>The Fixed Effects model controls for time-invariant unobserved heterogeneity by allowing entity-specific intercepts:</w:t>
      </w:r>
    </w:p>
    <w:p w14:paraId="7743BC18" w14:textId="10AB73AD" w:rsidR="00CA3ED0" w:rsidRDefault="00CA3ED0" w:rsidP="00CA3ED0">
      <w:pPr>
        <w:jc w:val="both"/>
        <w:rPr>
          <w:rFonts w:ascii="Arial" w:hAnsi="Arial" w:cs="Arial"/>
        </w:rPr>
      </w:pPr>
      <m:oMathPara>
        <m:oMath>
          <m:r>
            <w:rPr>
              <w:rFonts w:ascii="Cambria Math" w:hAnsi="Cambria Math" w:cs="Arial"/>
            </w:rPr>
            <m:t>NP</m:t>
          </m:r>
          <m:sSub>
            <m:sSubPr>
              <m:ctrlPr>
                <w:rPr>
                  <w:rFonts w:ascii="Cambria Math" w:hAnsi="Cambria Math" w:cs="Arial"/>
                </w:rPr>
              </m:ctrlPr>
            </m:sSubPr>
            <m:e>
              <m:r>
                <w:rPr>
                  <w:rFonts w:ascii="Cambria Math" w:hAnsi="Cambria Math" w:cs="Arial"/>
                </w:rPr>
                <m:t>A</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α</m:t>
              </m:r>
            </m:e>
            <m:sub>
              <m:r>
                <w:rPr>
                  <w:rFonts w:ascii="Cambria Math" w:hAnsi="Cambria Math" w:cs="Arial"/>
                </w:rPr>
                <m:t>i</m:t>
              </m:r>
            </m:sub>
          </m:sSub>
          <m:r>
            <w:rPr>
              <w:rFonts w:ascii="Cambria Math" w:hAnsi="Cambria Math" w:cs="Arial"/>
            </w:rPr>
            <m:t>+</m:t>
          </m:r>
          <m:nary>
            <m:naryPr>
              <m:chr m:val="∑"/>
              <m:limLoc m:val="undOvr"/>
              <m:grow m:val="1"/>
              <m:ctrlPr>
                <w:rPr>
                  <w:rFonts w:ascii="Cambria Math" w:hAnsi="Cambria Math" w:cs="Arial"/>
                </w:rPr>
              </m:ctrlPr>
            </m:naryPr>
            <m:sub>
              <m:r>
                <w:rPr>
                  <w:rFonts w:ascii="Cambria Math" w:hAnsi="Cambria Math" w:cs="Arial"/>
                </w:rPr>
                <m:t>k=1</m:t>
              </m:r>
            </m:sub>
            <m:sup>
              <m:r>
                <w:rPr>
                  <w:rFonts w:ascii="Cambria Math" w:hAnsi="Cambria Math" w:cs="Arial"/>
                </w:rPr>
                <m:t>4</m:t>
              </m:r>
            </m:sup>
            <m:e>
              <m:sSub>
                <m:sSubPr>
                  <m:ctrlPr>
                    <w:rPr>
                      <w:rFonts w:ascii="Cambria Math" w:hAnsi="Cambria Math" w:cs="Arial"/>
                    </w:rPr>
                  </m:ctrlPr>
                </m:sSubPr>
                <m:e>
                  <m:r>
                    <w:rPr>
                      <w:rFonts w:ascii="Cambria Math" w:hAnsi="Cambria Math" w:cs="Arial"/>
                    </w:rPr>
                    <m:t>β</m:t>
                  </m:r>
                </m:e>
                <m:sub>
                  <m:r>
                    <w:rPr>
                      <w:rFonts w:ascii="Cambria Math" w:hAnsi="Cambria Math" w:cs="Arial"/>
                    </w:rPr>
                    <m:t>k</m:t>
                  </m:r>
                </m:sub>
              </m:sSub>
            </m:e>
          </m:nary>
          <m:sSub>
            <m:sSubPr>
              <m:ctrlPr>
                <w:rPr>
                  <w:rFonts w:ascii="Cambria Math" w:hAnsi="Cambria Math" w:cs="Arial"/>
                </w:rPr>
              </m:ctrlPr>
            </m:sSubPr>
            <m:e>
              <m:r>
                <w:rPr>
                  <w:rFonts w:ascii="Cambria Math" w:hAnsi="Cambria Math" w:cs="Arial"/>
                </w:rPr>
                <m:t>X</m:t>
              </m:r>
            </m:e>
            <m:sub>
              <m:r>
                <w:rPr>
                  <w:rFonts w:ascii="Cambria Math" w:hAnsi="Cambria Math" w:cs="Arial"/>
                </w:rPr>
                <m:t>kit</m:t>
              </m:r>
            </m:sub>
          </m:sSub>
          <m:r>
            <w:rPr>
              <w:rFonts w:ascii="Cambria Math" w:hAnsi="Cambria Math" w:cs="Arial"/>
            </w:rPr>
            <m:t>+</m:t>
          </m:r>
          <m:sSub>
            <m:sSubPr>
              <m:ctrlPr>
                <w:rPr>
                  <w:rFonts w:ascii="Cambria Math" w:hAnsi="Cambria Math" w:cs="Arial"/>
                </w:rPr>
              </m:ctrlPr>
            </m:sSubPr>
            <m:e>
              <m:r>
                <w:rPr>
                  <w:rFonts w:ascii="Cambria Math" w:hAnsi="Cambria Math" w:cs="Arial"/>
                </w:rPr>
                <m:t>ϵ</m:t>
              </m:r>
            </m:e>
            <m:sub>
              <m:r>
                <w:rPr>
                  <w:rFonts w:ascii="Cambria Math" w:hAnsi="Cambria Math" w:cs="Arial"/>
                </w:rPr>
                <m:t>it</m:t>
              </m:r>
            </m:sub>
          </m:sSub>
          <m:r>
            <w:rPr>
              <w:rFonts w:ascii="Cambria Math" w:hAnsi="Cambria Math" w:cs="Arial"/>
            </w:rPr>
            <m:t xml:space="preserve">                                                                                                 (3)</m:t>
          </m:r>
          <m:r>
            <m:rPr>
              <m:sty m:val="p"/>
            </m:rPr>
            <w:rPr>
              <w:rFonts w:ascii="Cambria Math" w:hAnsi="Cambria Math" w:cs="Arial"/>
            </w:rPr>
            <w:br/>
          </m:r>
        </m:oMath>
      </m:oMathPara>
      <w:r w:rsidRPr="00CA3ED0">
        <w:rPr>
          <w:rFonts w:ascii="Arial" w:hAnsi="Arial" w:cs="Arial"/>
        </w:rPr>
        <w:t xml:space="preserve">This approach eliminates bias arising from correlation between regressors and unobserved effects </w:t>
      </w:r>
      <w:sdt>
        <w:sdtPr>
          <w:rPr>
            <w:rFonts w:ascii="Arial" w:hAnsi="Arial" w:cs="Arial"/>
            <w:color w:val="000000"/>
          </w:rPr>
          <w:tag w:val="MENDELEY_CITATION_v3_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"/>
          <w:id w:val="1645851868"/>
          <w:placeholder>
            <w:docPart w:val="58A58C9C4BC141069102AA8ECBB19E24"/>
          </w:placeholder>
        </w:sdtPr>
        <w:sdtEndPr/>
        <w:sdtContent>
          <w:r w:rsidR="007B6B26" w:rsidRPr="007B6B26">
            <w:rPr>
              <w:rFonts w:ascii="Arial" w:hAnsi="Arial" w:cs="Arial"/>
              <w:color w:val="000000"/>
            </w:rPr>
            <w:t>(Wooldridge, 2021)</w:t>
          </w:r>
        </w:sdtContent>
      </w:sdt>
      <w:r w:rsidRPr="00CA3ED0">
        <w:rPr>
          <w:rFonts w:ascii="Arial" w:hAnsi="Arial" w:cs="Arial"/>
        </w:rPr>
        <w:t>.</w:t>
      </w:r>
    </w:p>
    <w:p w14:paraId="092F856C" w14:textId="77777777" w:rsidR="00CA3ED0" w:rsidRPr="00CA3ED0" w:rsidRDefault="00CA3ED0" w:rsidP="00CA3ED0">
      <w:pPr>
        <w:jc w:val="both"/>
        <w:rPr>
          <w:rFonts w:ascii="Arial" w:hAnsi="Arial" w:cs="Arial"/>
        </w:rPr>
      </w:pPr>
    </w:p>
    <w:p w14:paraId="7C93E12C" w14:textId="77777777" w:rsidR="00CA3ED0" w:rsidRPr="00CA3ED0" w:rsidRDefault="00CA3ED0" w:rsidP="00CA3ED0">
      <w:pPr>
        <w:jc w:val="both"/>
        <w:rPr>
          <w:rFonts w:ascii="Arial" w:hAnsi="Arial" w:cs="Arial"/>
          <w:b/>
          <w:bCs/>
        </w:rPr>
      </w:pPr>
      <w:r w:rsidRPr="00CA3ED0">
        <w:rPr>
          <w:rFonts w:ascii="Arial" w:hAnsi="Arial" w:cs="Arial"/>
          <w:b/>
          <w:bCs/>
        </w:rPr>
        <w:t>3.2.3 Random Effects Model</w:t>
      </w:r>
    </w:p>
    <w:p w14:paraId="503249F2" w14:textId="77777777" w:rsidR="00CA3ED0" w:rsidRPr="00CA3ED0" w:rsidRDefault="00CA3ED0" w:rsidP="00CA3ED0">
      <w:pPr>
        <w:jc w:val="both"/>
        <w:rPr>
          <w:rFonts w:ascii="Arial" w:hAnsi="Arial" w:cs="Arial"/>
        </w:rPr>
      </w:pPr>
      <w:r w:rsidRPr="00CA3ED0">
        <w:rPr>
          <w:rFonts w:ascii="Arial" w:hAnsi="Arial" w:cs="Arial"/>
        </w:rPr>
        <w:t>The Random Effects model assumes that individual-specific effects are random and uncorrelated with explanatory variables:</w:t>
      </w:r>
    </w:p>
    <w:p w14:paraId="344BB796" w14:textId="77777777" w:rsidR="00CA3ED0" w:rsidRPr="00CA3ED0" w:rsidRDefault="00CA3ED0" w:rsidP="00CA3ED0">
      <w:pPr>
        <w:jc w:val="both"/>
        <w:rPr>
          <w:rFonts w:ascii="Arial" w:hAnsi="Arial" w:cs="Arial"/>
        </w:rPr>
      </w:pPr>
      <m:oMathPara>
        <m:oMath>
          <m:r>
            <w:rPr>
              <w:rFonts w:ascii="Cambria Math" w:hAnsi="Cambria Math" w:cs="Arial"/>
            </w:rPr>
            <w:lastRenderedPageBreak/>
            <m:t>NP</m:t>
          </m:r>
          <m:sSub>
            <m:sSubPr>
              <m:ctrlPr>
                <w:rPr>
                  <w:rFonts w:ascii="Cambria Math" w:hAnsi="Cambria Math" w:cs="Arial"/>
                </w:rPr>
              </m:ctrlPr>
            </m:sSubPr>
            <m:e>
              <m:r>
                <w:rPr>
                  <w:rFonts w:ascii="Cambria Math" w:hAnsi="Cambria Math" w:cs="Arial"/>
                </w:rPr>
                <m:t>A</m:t>
              </m:r>
            </m:e>
            <m:sub>
              <m:r>
                <w:rPr>
                  <w:rFonts w:ascii="Cambria Math" w:hAnsi="Cambria Math" w:cs="Arial"/>
                </w:rPr>
                <m:t>it</m:t>
              </m:r>
            </m:sub>
          </m:sSub>
          <m:r>
            <w:rPr>
              <w:rFonts w:ascii="Cambria Math" w:hAnsi="Cambria Math" w:cs="Arial"/>
            </w:rPr>
            <m:t>=α+</m:t>
          </m:r>
          <m:nary>
            <m:naryPr>
              <m:chr m:val="∑"/>
              <m:limLoc m:val="undOvr"/>
              <m:grow m:val="1"/>
              <m:ctrlPr>
                <w:rPr>
                  <w:rFonts w:ascii="Cambria Math" w:hAnsi="Cambria Math" w:cs="Arial"/>
                </w:rPr>
              </m:ctrlPr>
            </m:naryPr>
            <m:sub>
              <m:r>
                <w:rPr>
                  <w:rFonts w:ascii="Cambria Math" w:hAnsi="Cambria Math" w:cs="Arial"/>
                </w:rPr>
                <m:t>k=1</m:t>
              </m:r>
            </m:sub>
            <m:sup>
              <m:r>
                <w:rPr>
                  <w:rFonts w:ascii="Cambria Math" w:hAnsi="Cambria Math" w:cs="Arial"/>
                </w:rPr>
                <m:t>4</m:t>
              </m:r>
            </m:sup>
            <m:e>
              <m:sSub>
                <m:sSubPr>
                  <m:ctrlPr>
                    <w:rPr>
                      <w:rFonts w:ascii="Cambria Math" w:hAnsi="Cambria Math" w:cs="Arial"/>
                    </w:rPr>
                  </m:ctrlPr>
                </m:sSubPr>
                <m:e>
                  <m:r>
                    <w:rPr>
                      <w:rFonts w:ascii="Cambria Math" w:hAnsi="Cambria Math" w:cs="Arial"/>
                    </w:rPr>
                    <m:t>β</m:t>
                  </m:r>
                </m:e>
                <m:sub>
                  <m:r>
                    <w:rPr>
                      <w:rFonts w:ascii="Cambria Math" w:hAnsi="Cambria Math" w:cs="Arial"/>
                    </w:rPr>
                    <m:t>k</m:t>
                  </m:r>
                </m:sub>
              </m:sSub>
            </m:e>
          </m:nary>
          <m:sSub>
            <m:sSubPr>
              <m:ctrlPr>
                <w:rPr>
                  <w:rFonts w:ascii="Cambria Math" w:hAnsi="Cambria Math" w:cs="Arial"/>
                </w:rPr>
              </m:ctrlPr>
            </m:sSubPr>
            <m:e>
              <m:r>
                <w:rPr>
                  <w:rFonts w:ascii="Cambria Math" w:hAnsi="Cambria Math" w:cs="Arial"/>
                </w:rPr>
                <m:t>X</m:t>
              </m:r>
            </m:e>
            <m:sub>
              <m:r>
                <w:rPr>
                  <w:rFonts w:ascii="Cambria Math" w:hAnsi="Cambria Math" w:cs="Arial"/>
                </w:rPr>
                <m:t>kit</m:t>
              </m:r>
            </m:sub>
          </m:sSub>
          <m:r>
            <w:rPr>
              <w:rFonts w:ascii="Cambria Math" w:hAnsi="Cambria Math" w:cs="Arial"/>
            </w:rPr>
            <m:t>+</m:t>
          </m:r>
          <m:sSub>
            <m:sSubPr>
              <m:ctrlPr>
                <w:rPr>
                  <w:rFonts w:ascii="Cambria Math" w:hAnsi="Cambria Math" w:cs="Arial"/>
                </w:rPr>
              </m:ctrlPr>
            </m:sSubPr>
            <m:e>
              <m:r>
                <w:rPr>
                  <w:rFonts w:ascii="Cambria Math" w:hAnsi="Cambria Math" w:cs="Arial"/>
                </w:rPr>
                <m:t>u</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r>
                <w:rPr>
                  <w:rFonts w:ascii="Cambria Math" w:hAnsi="Cambria Math" w:cs="Arial"/>
                </w:rPr>
                <m:t>ϵ</m:t>
              </m:r>
            </m:e>
            <m:sub>
              <m:r>
                <w:rPr>
                  <w:rFonts w:ascii="Cambria Math" w:hAnsi="Cambria Math" w:cs="Arial"/>
                </w:rPr>
                <m:t>it</m:t>
              </m:r>
            </m:sub>
          </m:sSub>
          <m:r>
            <w:rPr>
              <w:rFonts w:ascii="Cambria Math" w:hAnsi="Cambria Math" w:cs="Arial"/>
            </w:rPr>
            <m:t xml:space="preserve">                                                                                            (4)</m:t>
          </m:r>
          <m:r>
            <m:rPr>
              <m:sty m:val="p"/>
            </m:rPr>
            <w:rPr>
              <w:rFonts w:ascii="Cambria Math" w:hAnsi="Cambria Math" w:cs="Arial"/>
            </w:rPr>
            <w:br/>
          </m:r>
        </m:oMath>
      </m:oMathPara>
      <w:r w:rsidRPr="00CA3ED0">
        <w:rPr>
          <w:rFonts w:ascii="Arial" w:hAnsi="Arial" w:cs="Arial"/>
        </w:rPr>
        <w:t xml:space="preserve">where </w:t>
      </w:r>
      <m:oMath>
        <m:sSub>
          <m:sSubPr>
            <m:ctrlPr>
              <w:rPr>
                <w:rFonts w:ascii="Cambria Math" w:hAnsi="Cambria Math" w:cs="Arial"/>
              </w:rPr>
            </m:ctrlPr>
          </m:sSubPr>
          <m:e>
            <m:r>
              <w:rPr>
                <w:rFonts w:ascii="Cambria Math" w:hAnsi="Cambria Math" w:cs="Arial"/>
              </w:rPr>
              <m:t>u</m:t>
            </m:r>
          </m:e>
          <m:sub>
            <m:r>
              <w:rPr>
                <w:rFonts w:ascii="Cambria Math" w:hAnsi="Cambria Math" w:cs="Arial"/>
              </w:rPr>
              <m:t>i</m:t>
            </m:r>
          </m:sub>
        </m:sSub>
      </m:oMath>
      <w:r w:rsidRPr="00CA3ED0">
        <w:rPr>
          <w:rFonts w:ascii="Arial" w:hAnsi="Arial" w:cs="Arial"/>
        </w:rPr>
        <w:t>represents the random effect.</w:t>
      </w:r>
    </w:p>
    <w:p w14:paraId="57CEB3D5" w14:textId="77777777" w:rsidR="00CA3ED0" w:rsidRPr="00CA3ED0" w:rsidRDefault="00CA3ED0" w:rsidP="00CA3ED0">
      <w:pPr>
        <w:jc w:val="both"/>
        <w:rPr>
          <w:rFonts w:ascii="Arial" w:hAnsi="Arial" w:cs="Arial"/>
        </w:rPr>
      </w:pPr>
    </w:p>
    <w:p w14:paraId="2FD5D104" w14:textId="77777777" w:rsidR="00CA3ED0" w:rsidRPr="00CA3ED0" w:rsidRDefault="00CA3ED0" w:rsidP="00CA3ED0">
      <w:pPr>
        <w:jc w:val="both"/>
        <w:rPr>
          <w:rFonts w:ascii="Arial" w:hAnsi="Arial" w:cs="Arial"/>
          <w:b/>
          <w:bCs/>
          <w:sz w:val="22"/>
          <w:szCs w:val="22"/>
        </w:rPr>
      </w:pPr>
      <w:r w:rsidRPr="00CA3ED0">
        <w:rPr>
          <w:rFonts w:ascii="Arial" w:hAnsi="Arial" w:cs="Arial"/>
          <w:b/>
          <w:bCs/>
          <w:sz w:val="22"/>
          <w:szCs w:val="22"/>
        </w:rPr>
        <w:t>3.3 Model Selection: Hausman Test</w:t>
      </w:r>
    </w:p>
    <w:p w14:paraId="38C049BD" w14:textId="77777777" w:rsidR="00CA3ED0" w:rsidRPr="00CA3ED0" w:rsidRDefault="00CA3ED0" w:rsidP="00CA3ED0">
      <w:pPr>
        <w:jc w:val="both"/>
        <w:rPr>
          <w:rFonts w:ascii="Arial" w:hAnsi="Arial" w:cs="Arial"/>
        </w:rPr>
      </w:pPr>
      <w:r w:rsidRPr="00CA3ED0">
        <w:rPr>
          <w:rFonts w:ascii="Arial" w:hAnsi="Arial" w:cs="Arial"/>
        </w:rPr>
        <w:t>To determine the appropriate model between Fixed Effects and Random Effects, the Hausman specification test is employed. The null hypothesis states that the Random Effects estimator is consistent and efficient, while the alternative favors Fixed Effects.</w:t>
      </w:r>
    </w:p>
    <w:p w14:paraId="43D9B5D8" w14:textId="77777777" w:rsidR="00CA3ED0" w:rsidRPr="00CA3ED0" w:rsidRDefault="00CA3ED0" w:rsidP="00CA3ED0">
      <w:pPr>
        <w:jc w:val="both"/>
        <w:rPr>
          <w:rFonts w:ascii="Arial" w:hAnsi="Arial" w:cs="Arial"/>
        </w:rPr>
      </w:pPr>
      <w:r w:rsidRPr="00CA3ED0">
        <w:rPr>
          <w:rFonts w:ascii="Arial" w:hAnsi="Arial" w:cs="Arial"/>
        </w:rPr>
        <w:t>The test statistic is defined as:</w:t>
      </w:r>
    </w:p>
    <w:p w14:paraId="3E406808" w14:textId="41DE48E4" w:rsidR="00CA3ED0" w:rsidRPr="00CA3ED0" w:rsidRDefault="00CA3ED0" w:rsidP="00CA3ED0">
      <w:pPr>
        <w:jc w:val="both"/>
        <w:rPr>
          <w:rFonts w:ascii="Arial" w:hAnsi="Arial" w:cs="Arial"/>
        </w:rPr>
      </w:pPr>
      <m:oMathPara>
        <m:oMath>
          <m:r>
            <w:rPr>
              <w:rFonts w:ascii="Cambria Math" w:hAnsi="Cambria Math" w:cs="Arial"/>
            </w:rPr>
            <m:t>H=(</m:t>
          </m:r>
          <m:sSub>
            <m:sSubPr>
              <m:ctrlPr>
                <w:rPr>
                  <w:rFonts w:ascii="Cambria Math" w:hAnsi="Cambria Math" w:cs="Arial"/>
                </w:rPr>
              </m:ctrlPr>
            </m:sSubPr>
            <m:e>
              <m:acc>
                <m:accPr>
                  <m:ctrlPr>
                    <w:rPr>
                      <w:rFonts w:ascii="Cambria Math" w:hAnsi="Cambria Math" w:cs="Arial"/>
                    </w:rPr>
                  </m:ctrlPr>
                </m:accPr>
                <m:e>
                  <m:r>
                    <w:rPr>
                      <w:rFonts w:ascii="Cambria Math" w:hAnsi="Cambria Math" w:cs="Arial"/>
                    </w:rPr>
                    <m:t>β</m:t>
                  </m:r>
                </m:e>
              </m:acc>
            </m:e>
            <m:sub>
              <m:r>
                <w:rPr>
                  <w:rFonts w:ascii="Cambria Math" w:hAnsi="Cambria Math" w:cs="Arial"/>
                </w:rPr>
                <m:t>FE</m:t>
              </m:r>
            </m:sub>
          </m:sSub>
          <m:r>
            <w:rPr>
              <w:rFonts w:ascii="Cambria Math" w:hAnsi="Cambria Math" w:cs="Arial"/>
            </w:rPr>
            <m:t>-</m:t>
          </m:r>
          <m:sSub>
            <m:sSubPr>
              <m:ctrlPr>
                <w:rPr>
                  <w:rFonts w:ascii="Cambria Math" w:hAnsi="Cambria Math" w:cs="Arial"/>
                </w:rPr>
              </m:ctrlPr>
            </m:sSubPr>
            <m:e>
              <m:acc>
                <m:accPr>
                  <m:ctrlPr>
                    <w:rPr>
                      <w:rFonts w:ascii="Cambria Math" w:hAnsi="Cambria Math" w:cs="Arial"/>
                    </w:rPr>
                  </m:ctrlPr>
                </m:accPr>
                <m:e>
                  <m:r>
                    <w:rPr>
                      <w:rFonts w:ascii="Cambria Math" w:hAnsi="Cambria Math" w:cs="Arial"/>
                    </w:rPr>
                    <m:t>β</m:t>
                  </m:r>
                </m:e>
              </m:acc>
            </m:e>
            <m:sub>
              <m:r>
                <w:rPr>
                  <w:rFonts w:ascii="Cambria Math" w:hAnsi="Cambria Math" w:cs="Arial"/>
                </w:rPr>
                <m:t>RE</m:t>
              </m:r>
            </m:sub>
          </m:sSub>
          <m:sSup>
            <m:sSupPr>
              <m:ctrlPr>
                <w:rPr>
                  <w:rFonts w:ascii="Cambria Math" w:hAnsi="Cambria Math" w:cs="Arial"/>
                </w:rPr>
              </m:ctrlPr>
            </m:sSupPr>
            <m:e>
              <m:r>
                <w:rPr>
                  <w:rFonts w:ascii="Cambria Math" w:hAnsi="Cambria Math" w:cs="Arial"/>
                </w:rPr>
                <m:t>)</m:t>
              </m:r>
            </m:e>
            <m:sup>
              <m:r>
                <m:rPr>
                  <m:sty m:val="p"/>
                </m:rPr>
                <w:rPr>
                  <w:rFonts w:ascii="Cambria Math" w:hAnsi="Cambria Math" w:cs="Arial"/>
                </w:rPr>
                <m:t>'</m:t>
              </m:r>
            </m:sup>
          </m:sSup>
          <m:r>
            <w:rPr>
              <w:rFonts w:ascii="Cambria Math" w:hAnsi="Cambria Math" w:cs="Arial"/>
            </w:rPr>
            <m:t>[Var(</m:t>
          </m:r>
          <m:sSub>
            <m:sSubPr>
              <m:ctrlPr>
                <w:rPr>
                  <w:rFonts w:ascii="Cambria Math" w:hAnsi="Cambria Math" w:cs="Arial"/>
                </w:rPr>
              </m:ctrlPr>
            </m:sSubPr>
            <m:e>
              <m:acc>
                <m:accPr>
                  <m:ctrlPr>
                    <w:rPr>
                      <w:rFonts w:ascii="Cambria Math" w:hAnsi="Cambria Math" w:cs="Arial"/>
                    </w:rPr>
                  </m:ctrlPr>
                </m:accPr>
                <m:e>
                  <m:r>
                    <w:rPr>
                      <w:rFonts w:ascii="Cambria Math" w:hAnsi="Cambria Math" w:cs="Arial"/>
                    </w:rPr>
                    <m:t>β</m:t>
                  </m:r>
                </m:e>
              </m:acc>
            </m:e>
            <m:sub>
              <m:r>
                <w:rPr>
                  <w:rFonts w:ascii="Cambria Math" w:hAnsi="Cambria Math" w:cs="Arial"/>
                </w:rPr>
                <m:t>FE</m:t>
              </m:r>
            </m:sub>
          </m:sSub>
          <m:r>
            <w:rPr>
              <w:rFonts w:ascii="Cambria Math" w:hAnsi="Cambria Math" w:cs="Arial"/>
            </w:rPr>
            <m:t>)-Var(</m:t>
          </m:r>
          <m:sSub>
            <m:sSubPr>
              <m:ctrlPr>
                <w:rPr>
                  <w:rFonts w:ascii="Cambria Math" w:hAnsi="Cambria Math" w:cs="Arial"/>
                </w:rPr>
              </m:ctrlPr>
            </m:sSubPr>
            <m:e>
              <m:acc>
                <m:accPr>
                  <m:ctrlPr>
                    <w:rPr>
                      <w:rFonts w:ascii="Cambria Math" w:hAnsi="Cambria Math" w:cs="Arial"/>
                    </w:rPr>
                  </m:ctrlPr>
                </m:accPr>
                <m:e>
                  <m:r>
                    <w:rPr>
                      <w:rFonts w:ascii="Cambria Math" w:hAnsi="Cambria Math" w:cs="Arial"/>
                    </w:rPr>
                    <m:t>β</m:t>
                  </m:r>
                </m:e>
              </m:acc>
            </m:e>
            <m:sub>
              <m:r>
                <w:rPr>
                  <w:rFonts w:ascii="Cambria Math" w:hAnsi="Cambria Math" w:cs="Arial"/>
                </w:rPr>
                <m:t>RE</m:t>
              </m:r>
            </m:sub>
          </m:sSub>
          <m:r>
            <w:rPr>
              <w:rFonts w:ascii="Cambria Math" w:hAnsi="Cambria Math" w:cs="Arial"/>
            </w:rPr>
            <m:t>)</m:t>
          </m:r>
          <m:sSup>
            <m:sSupPr>
              <m:ctrlPr>
                <w:rPr>
                  <w:rFonts w:ascii="Cambria Math" w:hAnsi="Cambria Math" w:cs="Arial"/>
                </w:rPr>
              </m:ctrlPr>
            </m:sSupPr>
            <m:e>
              <m:r>
                <w:rPr>
                  <w:rFonts w:ascii="Cambria Math" w:hAnsi="Cambria Math" w:cs="Arial"/>
                </w:rPr>
                <m:t>]</m:t>
              </m:r>
            </m:e>
            <m:sup>
              <m:r>
                <w:rPr>
                  <w:rFonts w:ascii="Cambria Math" w:hAnsi="Cambria Math" w:cs="Arial"/>
                </w:rPr>
                <m:t>-1</m:t>
              </m:r>
            </m:sup>
          </m:sSup>
          <m:r>
            <w:rPr>
              <w:rFonts w:ascii="Cambria Math" w:hAnsi="Cambria Math" w:cs="Arial"/>
            </w:rPr>
            <m:t>(</m:t>
          </m:r>
          <m:sSub>
            <m:sSubPr>
              <m:ctrlPr>
                <w:rPr>
                  <w:rFonts w:ascii="Cambria Math" w:hAnsi="Cambria Math" w:cs="Arial"/>
                </w:rPr>
              </m:ctrlPr>
            </m:sSubPr>
            <m:e>
              <m:acc>
                <m:accPr>
                  <m:ctrlPr>
                    <w:rPr>
                      <w:rFonts w:ascii="Cambria Math" w:hAnsi="Cambria Math" w:cs="Arial"/>
                    </w:rPr>
                  </m:ctrlPr>
                </m:accPr>
                <m:e>
                  <m:r>
                    <w:rPr>
                      <w:rFonts w:ascii="Cambria Math" w:hAnsi="Cambria Math" w:cs="Arial"/>
                    </w:rPr>
                    <m:t>β</m:t>
                  </m:r>
                </m:e>
              </m:acc>
            </m:e>
            <m:sub>
              <m:r>
                <w:rPr>
                  <w:rFonts w:ascii="Cambria Math" w:hAnsi="Cambria Math" w:cs="Arial"/>
                </w:rPr>
                <m:t>FE</m:t>
              </m:r>
            </m:sub>
          </m:sSub>
          <m:r>
            <w:rPr>
              <w:rFonts w:ascii="Cambria Math" w:hAnsi="Cambria Math" w:cs="Arial"/>
            </w:rPr>
            <m:t>-</m:t>
          </m:r>
          <m:sSub>
            <m:sSubPr>
              <m:ctrlPr>
                <w:rPr>
                  <w:rFonts w:ascii="Cambria Math" w:hAnsi="Cambria Math" w:cs="Arial"/>
                </w:rPr>
              </m:ctrlPr>
            </m:sSubPr>
            <m:e>
              <m:acc>
                <m:accPr>
                  <m:ctrlPr>
                    <w:rPr>
                      <w:rFonts w:ascii="Cambria Math" w:hAnsi="Cambria Math" w:cs="Arial"/>
                    </w:rPr>
                  </m:ctrlPr>
                </m:accPr>
                <m:e>
                  <m:r>
                    <w:rPr>
                      <w:rFonts w:ascii="Cambria Math" w:hAnsi="Cambria Math" w:cs="Arial"/>
                    </w:rPr>
                    <m:t>β</m:t>
                  </m:r>
                </m:e>
              </m:acc>
            </m:e>
            <m:sub>
              <m:r>
                <w:rPr>
                  <w:rFonts w:ascii="Cambria Math" w:hAnsi="Cambria Math" w:cs="Arial"/>
                </w:rPr>
                <m:t>RE</m:t>
              </m:r>
            </m:sub>
          </m:sSub>
          <m:r>
            <w:rPr>
              <w:rFonts w:ascii="Cambria Math" w:hAnsi="Cambria Math" w:cs="Arial"/>
            </w:rPr>
            <m:t>)                                                     (5)</m:t>
          </m:r>
          <m:r>
            <m:rPr>
              <m:sty m:val="p"/>
            </m:rPr>
            <w:rPr>
              <w:rFonts w:ascii="Cambria Math" w:hAnsi="Cambria Math" w:cs="Arial"/>
            </w:rPr>
            <w:br/>
          </m:r>
        </m:oMath>
      </m:oMathPara>
      <w:r w:rsidRPr="00CA3ED0">
        <w:rPr>
          <w:rFonts w:ascii="Arial" w:hAnsi="Arial" w:cs="Arial"/>
        </w:rPr>
        <w:t xml:space="preserve">A non-significant p-value indicates that the Random Effects model is appropriate </w:t>
      </w:r>
      <w:sdt>
        <w:sdtPr>
          <w:rPr>
            <w:rFonts w:ascii="Arial" w:hAnsi="Arial" w:cs="Arial"/>
            <w:color w:val="000000"/>
          </w:rPr>
          <w:tag w:val="MENDELEY_CITATION_v3_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"/>
          <w:id w:val="1894225900"/>
          <w:placeholder>
            <w:docPart w:val="58A58C9C4BC141069102AA8ECBB19E24"/>
          </w:placeholder>
        </w:sdtPr>
        <w:sdtEndPr/>
        <w:sdtContent>
          <w:r w:rsidR="007B6B26" w:rsidRPr="007B6B26">
            <w:rPr>
              <w:rFonts w:ascii="Arial" w:hAnsi="Arial" w:cs="Arial"/>
              <w:color w:val="000000"/>
            </w:rPr>
            <w:t>(</w:t>
          </w:r>
          <w:proofErr w:type="spellStart"/>
          <w:r w:rsidR="007B6B26" w:rsidRPr="007B6B26">
            <w:rPr>
              <w:rFonts w:ascii="Arial" w:hAnsi="Arial" w:cs="Arial"/>
              <w:color w:val="000000"/>
            </w:rPr>
            <w:t>Baltagi</w:t>
          </w:r>
          <w:proofErr w:type="spellEnd"/>
          <w:r w:rsidR="007B6B26" w:rsidRPr="007B6B26">
            <w:rPr>
              <w:rFonts w:ascii="Arial" w:hAnsi="Arial" w:cs="Arial"/>
              <w:color w:val="000000"/>
            </w:rPr>
            <w:t>, 2021; Hausman, 1978)</w:t>
          </w:r>
        </w:sdtContent>
      </w:sdt>
      <w:r w:rsidRPr="00CA3ED0">
        <w:rPr>
          <w:rFonts w:ascii="Arial" w:hAnsi="Arial" w:cs="Arial"/>
        </w:rPr>
        <w:t>.</w:t>
      </w:r>
      <w:r>
        <w:rPr>
          <w:rFonts w:ascii="Arial" w:hAnsi="Arial" w:cs="Arial"/>
        </w:rPr>
        <w:t xml:space="preserve"> </w:t>
      </w:r>
      <w:r w:rsidRPr="00CA3ED0">
        <w:rPr>
          <w:rFonts w:ascii="Arial" w:hAnsi="Arial" w:cs="Arial"/>
        </w:rPr>
        <w:t xml:space="preserve">Recent studies in financial econometrics continue to rely on the Hausman framework for panel model selection </w:t>
      </w:r>
      <w:sdt>
        <w:sdtPr>
          <w:rPr>
            <w:rFonts w:ascii="Arial" w:hAnsi="Arial" w:cs="Arial"/>
            <w:color w:val="000000"/>
          </w:rPr>
          <w:tag w:val="MENDELEY_CITATION_v3_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"/>
          <w:id w:val="-1129935239"/>
          <w:placeholder>
            <w:docPart w:val="58A58C9C4BC141069102AA8ECBB19E24"/>
          </w:placeholder>
        </w:sdtPr>
        <w:sdtEndPr/>
        <w:sdtContent>
          <w:r w:rsidR="007B6B26" w:rsidRPr="007B6B26">
            <w:rPr>
              <w:rFonts w:ascii="Arial" w:hAnsi="Arial" w:cs="Arial"/>
              <w:color w:val="000000"/>
            </w:rPr>
            <w:t xml:space="preserve">(Le Gallo &amp; </w:t>
          </w:r>
          <w:proofErr w:type="spellStart"/>
          <w:r w:rsidR="007B6B26" w:rsidRPr="007B6B26">
            <w:rPr>
              <w:rFonts w:ascii="Arial" w:hAnsi="Arial" w:cs="Arial"/>
              <w:color w:val="000000"/>
            </w:rPr>
            <w:t>Sénégas</w:t>
          </w:r>
          <w:proofErr w:type="spellEnd"/>
          <w:r w:rsidR="007B6B26" w:rsidRPr="007B6B26">
            <w:rPr>
              <w:rFonts w:ascii="Arial" w:hAnsi="Arial" w:cs="Arial"/>
              <w:color w:val="000000"/>
            </w:rPr>
            <w:t>, 2023)</w:t>
          </w:r>
        </w:sdtContent>
      </w:sdt>
      <w:r w:rsidRPr="00CA3ED0">
        <w:rPr>
          <w:rFonts w:ascii="Arial" w:hAnsi="Arial" w:cs="Arial"/>
        </w:rPr>
        <w:t>.</w:t>
      </w:r>
    </w:p>
    <w:p w14:paraId="47E3DEDC" w14:textId="77777777" w:rsidR="00CA3ED0" w:rsidRPr="00CA3ED0" w:rsidRDefault="00CA3ED0" w:rsidP="00CA3ED0">
      <w:pPr>
        <w:jc w:val="both"/>
        <w:rPr>
          <w:rFonts w:ascii="Arial" w:hAnsi="Arial" w:cs="Arial"/>
        </w:rPr>
      </w:pPr>
    </w:p>
    <w:p w14:paraId="0BE9839A" w14:textId="77777777" w:rsidR="00CA3ED0" w:rsidRPr="00CA3ED0" w:rsidRDefault="00CA3ED0" w:rsidP="00CA3ED0">
      <w:pPr>
        <w:jc w:val="both"/>
        <w:rPr>
          <w:rFonts w:ascii="Arial" w:hAnsi="Arial" w:cs="Arial"/>
          <w:b/>
          <w:bCs/>
          <w:sz w:val="22"/>
          <w:szCs w:val="22"/>
        </w:rPr>
      </w:pPr>
      <w:r w:rsidRPr="00CA3ED0">
        <w:rPr>
          <w:rFonts w:ascii="Arial" w:hAnsi="Arial" w:cs="Arial"/>
          <w:b/>
          <w:bCs/>
          <w:sz w:val="22"/>
          <w:szCs w:val="22"/>
        </w:rPr>
        <w:t>3.4 Diagnostic Testing</w:t>
      </w:r>
    </w:p>
    <w:p w14:paraId="186A7115" w14:textId="77777777" w:rsidR="00CA3ED0" w:rsidRPr="00CA3ED0" w:rsidRDefault="00CA3ED0" w:rsidP="00CA3ED0">
      <w:pPr>
        <w:jc w:val="both"/>
        <w:rPr>
          <w:rFonts w:ascii="Arial" w:hAnsi="Arial" w:cs="Arial"/>
        </w:rPr>
      </w:pPr>
      <w:r w:rsidRPr="00CA3ED0">
        <w:rPr>
          <w:rFonts w:ascii="Arial" w:hAnsi="Arial" w:cs="Arial"/>
        </w:rPr>
        <w:t>To ensure robustness and validity of the econometric results, several diagnostic tests are conducted.</w:t>
      </w:r>
    </w:p>
    <w:p w14:paraId="4680E6B4" w14:textId="77777777" w:rsidR="00CA3ED0" w:rsidRPr="00CA3ED0" w:rsidRDefault="00CA3ED0" w:rsidP="00CA3ED0">
      <w:pPr>
        <w:jc w:val="both"/>
        <w:rPr>
          <w:rFonts w:ascii="Arial" w:hAnsi="Arial" w:cs="Arial"/>
          <w:b/>
          <w:bCs/>
        </w:rPr>
      </w:pPr>
      <w:r w:rsidRPr="00CA3ED0">
        <w:rPr>
          <w:rFonts w:ascii="Arial" w:hAnsi="Arial" w:cs="Arial"/>
          <w:b/>
          <w:bCs/>
        </w:rPr>
        <w:t>3.4.1 Multicollinearity (VIF)</w:t>
      </w:r>
    </w:p>
    <w:p w14:paraId="5A1F6A72" w14:textId="77777777" w:rsidR="00CA3ED0" w:rsidRPr="00CA3ED0" w:rsidRDefault="00CA3ED0" w:rsidP="00CA3ED0">
      <w:pPr>
        <w:jc w:val="both"/>
        <w:rPr>
          <w:rFonts w:ascii="Arial" w:hAnsi="Arial" w:cs="Arial"/>
        </w:rPr>
      </w:pPr>
      <w:r w:rsidRPr="00CA3ED0">
        <w:rPr>
          <w:rFonts w:ascii="Arial" w:hAnsi="Arial" w:cs="Arial"/>
        </w:rPr>
        <w:t>Variance Inflation Factor (VIF) is used to assess multicollinearity among explanatory variables:</w:t>
      </w:r>
    </w:p>
    <w:p w14:paraId="02437634" w14:textId="182C804C" w:rsidR="00CA3ED0" w:rsidRPr="00CA3ED0" w:rsidRDefault="00CA3ED0" w:rsidP="00CA3ED0">
      <w:pPr>
        <w:jc w:val="both"/>
        <w:rPr>
          <w:rFonts w:ascii="Arial" w:hAnsi="Arial" w:cs="Arial"/>
        </w:rPr>
      </w:pPr>
      <m:oMathPara>
        <m:oMath>
          <m:r>
            <w:rPr>
              <w:rFonts w:ascii="Cambria Math" w:hAnsi="Cambria Math" w:cs="Arial"/>
            </w:rPr>
            <m:t>VI</m:t>
          </m:r>
          <m:sSub>
            <m:sSubPr>
              <m:ctrlPr>
                <w:rPr>
                  <w:rFonts w:ascii="Cambria Math" w:hAnsi="Cambria Math" w:cs="Arial"/>
                </w:rPr>
              </m:ctrlPr>
            </m:sSubPr>
            <m:e>
              <m:r>
                <w:rPr>
                  <w:rFonts w:ascii="Cambria Math" w:hAnsi="Cambria Math" w:cs="Arial"/>
                </w:rPr>
                <m:t>F</m:t>
              </m:r>
            </m:e>
            <m:sub>
              <m:r>
                <w:rPr>
                  <w:rFonts w:ascii="Cambria Math" w:hAnsi="Cambria Math" w:cs="Arial"/>
                </w:rPr>
                <m:t>j</m:t>
              </m:r>
            </m:sub>
          </m:sSub>
          <m:r>
            <w:rPr>
              <w:rFonts w:ascii="Cambria Math" w:hAnsi="Cambria Math" w:cs="Arial"/>
            </w:rPr>
            <m:t>=</m:t>
          </m:r>
          <m:f>
            <m:fPr>
              <m:ctrlPr>
                <w:rPr>
                  <w:rFonts w:ascii="Cambria Math" w:hAnsi="Cambria Math" w:cs="Arial"/>
                </w:rPr>
              </m:ctrlPr>
            </m:fPr>
            <m:num>
              <m:r>
                <w:rPr>
                  <w:rFonts w:ascii="Cambria Math" w:hAnsi="Cambria Math" w:cs="Arial"/>
                </w:rPr>
                <m:t>1</m:t>
              </m:r>
            </m:num>
            <m:den>
              <m:r>
                <w:rPr>
                  <w:rFonts w:ascii="Cambria Math" w:hAnsi="Cambria Math" w:cs="Arial"/>
                </w:rPr>
                <m:t>1-</m:t>
              </m:r>
              <m:sSubSup>
                <m:sSubSupPr>
                  <m:ctrlPr>
                    <w:rPr>
                      <w:rFonts w:ascii="Cambria Math" w:hAnsi="Cambria Math" w:cs="Arial"/>
                    </w:rPr>
                  </m:ctrlPr>
                </m:sSubSupPr>
                <m:e>
                  <m:r>
                    <w:rPr>
                      <w:rFonts w:ascii="Cambria Math" w:hAnsi="Cambria Math" w:cs="Arial"/>
                    </w:rPr>
                    <m:t>R</m:t>
                  </m:r>
                </m:e>
                <m:sub>
                  <m:r>
                    <w:rPr>
                      <w:rFonts w:ascii="Cambria Math" w:hAnsi="Cambria Math" w:cs="Arial"/>
                    </w:rPr>
                    <m:t>j</m:t>
                  </m:r>
                </m:sub>
                <m:sup>
                  <m:r>
                    <w:rPr>
                      <w:rFonts w:ascii="Cambria Math" w:hAnsi="Cambria Math" w:cs="Arial"/>
                    </w:rPr>
                    <m:t>2</m:t>
                  </m:r>
                </m:sup>
              </m:sSubSup>
            </m:den>
          </m:f>
          <m:r>
            <w:rPr>
              <w:rFonts w:ascii="Cambria Math" w:hAnsi="Cambria Math" w:cs="Arial"/>
            </w:rPr>
            <m:t xml:space="preserve">                                                                                                                           (6)</m:t>
          </m:r>
          <m:r>
            <m:rPr>
              <m:sty m:val="p"/>
            </m:rPr>
            <w:rPr>
              <w:rFonts w:ascii="Cambria Math" w:hAnsi="Cambria Math" w:cs="Arial"/>
            </w:rPr>
            <w:br/>
          </m:r>
        </m:oMath>
      </m:oMathPara>
      <w:r w:rsidRPr="00CA3ED0">
        <w:rPr>
          <w:rFonts w:ascii="Arial" w:hAnsi="Arial" w:cs="Arial"/>
        </w:rPr>
        <w:t xml:space="preserve">Values below 5 indicate acceptable levels </w:t>
      </w:r>
      <w:sdt>
        <w:sdtPr>
          <w:rPr>
            <w:rFonts w:ascii="Arial" w:hAnsi="Arial" w:cs="Arial"/>
            <w:color w:val="000000"/>
          </w:rPr>
          <w:tag w:val="MENDELEY_CITATION_v3_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"/>
          <w:id w:val="-513384178"/>
          <w:placeholder>
            <w:docPart w:val="58A58C9C4BC141069102AA8ECBB19E24"/>
          </w:placeholder>
        </w:sdtPr>
        <w:sdtEndPr/>
        <w:sdtContent>
          <w:r w:rsidR="007B6B26" w:rsidRPr="007B6B26">
            <w:rPr>
              <w:rFonts w:ascii="Arial" w:hAnsi="Arial" w:cs="Arial"/>
              <w:color w:val="000000"/>
            </w:rPr>
            <w:t>(Sohil et al., 2021)</w:t>
          </w:r>
        </w:sdtContent>
      </w:sdt>
      <w:r w:rsidRPr="00CA3ED0">
        <w:rPr>
          <w:rFonts w:ascii="Arial" w:hAnsi="Arial" w:cs="Arial"/>
        </w:rPr>
        <w:t>.</w:t>
      </w:r>
    </w:p>
    <w:p w14:paraId="711A53BF" w14:textId="77777777" w:rsidR="00CA3ED0" w:rsidRPr="00CA3ED0" w:rsidRDefault="00CA3ED0" w:rsidP="00CA3ED0">
      <w:pPr>
        <w:jc w:val="both"/>
        <w:rPr>
          <w:rFonts w:ascii="Arial" w:hAnsi="Arial" w:cs="Arial"/>
        </w:rPr>
      </w:pPr>
    </w:p>
    <w:p w14:paraId="1A0BC2B3" w14:textId="77777777" w:rsidR="00CA3ED0" w:rsidRPr="00CA3ED0" w:rsidRDefault="00CA3ED0" w:rsidP="00CA3ED0">
      <w:pPr>
        <w:jc w:val="both"/>
        <w:rPr>
          <w:rFonts w:ascii="Arial" w:hAnsi="Arial" w:cs="Arial"/>
          <w:b/>
          <w:bCs/>
        </w:rPr>
      </w:pPr>
      <w:r w:rsidRPr="00CA3ED0">
        <w:rPr>
          <w:rFonts w:ascii="Arial" w:hAnsi="Arial" w:cs="Arial"/>
          <w:b/>
          <w:bCs/>
        </w:rPr>
        <w:t>3.4.2 Heteroskedasticity (Breusch-Pagan Test)</w:t>
      </w:r>
    </w:p>
    <w:p w14:paraId="5038FE41" w14:textId="77777777" w:rsidR="00CA3ED0" w:rsidRPr="00CA3ED0" w:rsidRDefault="00CA3ED0" w:rsidP="00CA3ED0">
      <w:pPr>
        <w:jc w:val="both"/>
        <w:rPr>
          <w:rFonts w:ascii="Arial" w:hAnsi="Arial" w:cs="Arial"/>
        </w:rPr>
      </w:pPr>
      <w:r w:rsidRPr="00CA3ED0">
        <w:rPr>
          <w:rFonts w:ascii="Arial" w:hAnsi="Arial" w:cs="Arial"/>
        </w:rPr>
        <w:t>The Breusch-Pagan test evaluates whether the variance of residuals is constant:</w:t>
      </w:r>
    </w:p>
    <w:p w14:paraId="357EEA6A" w14:textId="263B3A5A" w:rsidR="00CA3ED0" w:rsidRPr="00CA3ED0" w:rsidRDefault="00CA3ED0" w:rsidP="00CA3ED0">
      <w:pPr>
        <w:jc w:val="both"/>
        <w:rPr>
          <w:rFonts w:ascii="Arial" w:hAnsi="Arial" w:cs="Arial"/>
        </w:rPr>
      </w:pPr>
      <m:oMathPara>
        <m:oMath>
          <m:r>
            <w:rPr>
              <w:rFonts w:ascii="Cambria Math" w:hAnsi="Cambria Math" w:cs="Arial"/>
            </w:rPr>
            <m:t>BP=n⋅</m:t>
          </m:r>
          <m:sSup>
            <m:sSupPr>
              <m:ctrlPr>
                <w:rPr>
                  <w:rFonts w:ascii="Cambria Math" w:hAnsi="Cambria Math" w:cs="Arial"/>
                </w:rPr>
              </m:ctrlPr>
            </m:sSupPr>
            <m:e>
              <m:r>
                <w:rPr>
                  <w:rFonts w:ascii="Cambria Math" w:hAnsi="Cambria Math" w:cs="Arial"/>
                </w:rPr>
                <m:t>R</m:t>
              </m:r>
            </m:e>
            <m:sup>
              <m:r>
                <w:rPr>
                  <w:rFonts w:ascii="Cambria Math" w:hAnsi="Cambria Math" w:cs="Arial"/>
                </w:rPr>
                <m:t>2</m:t>
              </m:r>
            </m:sup>
          </m:sSup>
          <m:r>
            <w:rPr>
              <w:rFonts w:ascii="Cambria Math" w:hAnsi="Cambria Math" w:cs="Arial"/>
            </w:rPr>
            <m:t xml:space="preserve">                                                                                                                                   (7)</m:t>
          </m:r>
          <m:r>
            <m:rPr>
              <m:sty m:val="p"/>
            </m:rPr>
            <w:rPr>
              <w:rFonts w:ascii="Cambria Math" w:hAnsi="Cambria Math" w:cs="Arial"/>
            </w:rPr>
            <w:br/>
          </m:r>
        </m:oMath>
      </m:oMathPara>
      <w:r w:rsidRPr="00CA3ED0">
        <w:rPr>
          <w:rFonts w:ascii="Arial" w:hAnsi="Arial" w:cs="Arial"/>
        </w:rPr>
        <w:t xml:space="preserve">A significant result indicates heteroskedasticity </w:t>
      </w:r>
      <w:sdt>
        <w:sdtPr>
          <w:rPr>
            <w:rFonts w:ascii="Arial" w:hAnsi="Arial" w:cs="Arial"/>
            <w:color w:val="000000"/>
          </w:rPr>
          <w:tag w:val="MENDELEY_CITATION_v3_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"/>
          <w:id w:val="-89389638"/>
          <w:placeholder>
            <w:docPart w:val="58A58C9C4BC141069102AA8ECBB19E24"/>
          </w:placeholder>
        </w:sdtPr>
        <w:sdtEndPr/>
        <w:sdtContent>
          <w:r w:rsidR="007B6B26" w:rsidRPr="007B6B26">
            <w:rPr>
              <w:rFonts w:ascii="Arial" w:hAnsi="Arial" w:cs="Arial"/>
              <w:color w:val="000000"/>
            </w:rPr>
            <w:t>(Breusch &amp; Pagan, 1979)</w:t>
          </w:r>
        </w:sdtContent>
      </w:sdt>
      <w:r w:rsidRPr="00CA3ED0">
        <w:rPr>
          <w:rFonts w:ascii="Arial" w:hAnsi="Arial" w:cs="Arial"/>
        </w:rPr>
        <w:t>. Robust standard errors are used to correct for this issue.</w:t>
      </w:r>
    </w:p>
    <w:p w14:paraId="60F3C670" w14:textId="77777777" w:rsidR="00CA3ED0" w:rsidRPr="00CA3ED0" w:rsidRDefault="00CA3ED0" w:rsidP="00CA3ED0">
      <w:pPr>
        <w:jc w:val="both"/>
        <w:rPr>
          <w:rFonts w:ascii="Arial" w:hAnsi="Arial" w:cs="Arial"/>
        </w:rPr>
      </w:pPr>
    </w:p>
    <w:p w14:paraId="0310A00A" w14:textId="77777777" w:rsidR="00CA3ED0" w:rsidRPr="00CA3ED0" w:rsidRDefault="00CA3ED0" w:rsidP="00CA3ED0">
      <w:pPr>
        <w:jc w:val="both"/>
        <w:rPr>
          <w:rFonts w:ascii="Arial" w:hAnsi="Arial" w:cs="Arial"/>
          <w:b/>
          <w:bCs/>
        </w:rPr>
      </w:pPr>
      <w:r w:rsidRPr="00CA3ED0">
        <w:rPr>
          <w:rFonts w:ascii="Arial" w:hAnsi="Arial" w:cs="Arial"/>
          <w:b/>
          <w:bCs/>
        </w:rPr>
        <w:t>3.4.3 Serial Correlation (Durbin-Watson Test)</w:t>
      </w:r>
    </w:p>
    <w:p w14:paraId="2FD861F2" w14:textId="77777777" w:rsidR="00CA3ED0" w:rsidRPr="00CA3ED0" w:rsidRDefault="00CA3ED0" w:rsidP="00CA3ED0">
      <w:pPr>
        <w:jc w:val="both"/>
        <w:rPr>
          <w:rFonts w:ascii="Arial" w:hAnsi="Arial" w:cs="Arial"/>
        </w:rPr>
      </w:pPr>
      <w:r w:rsidRPr="00CA3ED0">
        <w:rPr>
          <w:rFonts w:ascii="Arial" w:hAnsi="Arial" w:cs="Arial"/>
        </w:rPr>
        <w:t>Serial correlation is tested using the Durbin–Watson statistic:</w:t>
      </w:r>
    </w:p>
    <w:p w14:paraId="1B32513E" w14:textId="00844FFD" w:rsidR="00CA3ED0" w:rsidRPr="00CA3ED0" w:rsidRDefault="00CA3ED0" w:rsidP="00CA3ED0">
      <w:pPr>
        <w:rPr>
          <w:rFonts w:ascii="Arial" w:hAnsi="Arial" w:cs="Arial"/>
        </w:rPr>
      </w:pPr>
      <m:oMathPara>
        <m:oMath>
          <m:r>
            <w:rPr>
              <w:rFonts w:ascii="Cambria Math" w:hAnsi="Cambria Math" w:cs="Arial"/>
            </w:rPr>
            <m:t>DW=</m:t>
          </m:r>
          <m:f>
            <m:fPr>
              <m:ctrlPr>
                <w:rPr>
                  <w:rFonts w:ascii="Cambria Math" w:hAnsi="Cambria Math" w:cs="Arial"/>
                </w:rPr>
              </m:ctrlPr>
            </m:fPr>
            <m:num>
              <m:r>
                <w:rPr>
                  <w:rFonts w:ascii="Cambria Math" w:hAnsi="Cambria Math" w:cs="Arial"/>
                </w:rPr>
                <m:t>∑(</m:t>
              </m:r>
              <m:sSub>
                <m:sSubPr>
                  <m:ctrlPr>
                    <w:rPr>
                      <w:rFonts w:ascii="Cambria Math" w:hAnsi="Cambria Math" w:cs="Arial"/>
                    </w:rPr>
                  </m:ctrlPr>
                </m:sSubPr>
                <m:e>
                  <m:r>
                    <w:rPr>
                      <w:rFonts w:ascii="Cambria Math" w:hAnsi="Cambria Math" w:cs="Arial"/>
                    </w:rPr>
                    <m:t>e</m:t>
                  </m:r>
                </m:e>
                <m:sub>
                  <m:r>
                    <w:rPr>
                      <w:rFonts w:ascii="Cambria Math" w:hAnsi="Cambria Math" w:cs="Arial"/>
                    </w:rPr>
                    <m:t>t</m:t>
                  </m:r>
                </m:sub>
              </m:sSub>
              <m:r>
                <w:rPr>
                  <w:rFonts w:ascii="Cambria Math" w:hAnsi="Cambria Math" w:cs="Arial"/>
                </w:rPr>
                <m:t>-</m:t>
              </m:r>
              <m:sSub>
                <m:sSubPr>
                  <m:ctrlPr>
                    <w:rPr>
                      <w:rFonts w:ascii="Cambria Math" w:hAnsi="Cambria Math" w:cs="Arial"/>
                    </w:rPr>
                  </m:ctrlPr>
                </m:sSubPr>
                <m:e>
                  <m:r>
                    <w:rPr>
                      <w:rFonts w:ascii="Cambria Math" w:hAnsi="Cambria Math" w:cs="Arial"/>
                    </w:rPr>
                    <m:t>e</m:t>
                  </m:r>
                </m:e>
                <m:sub>
                  <m:r>
                    <w:rPr>
                      <w:rFonts w:ascii="Cambria Math" w:hAnsi="Cambria Math" w:cs="Arial"/>
                    </w:rPr>
                    <m:t>t-1</m:t>
                  </m:r>
                </m:sub>
              </m:sSub>
              <m:sSup>
                <m:sSupPr>
                  <m:ctrlPr>
                    <w:rPr>
                      <w:rFonts w:ascii="Cambria Math" w:hAnsi="Cambria Math" w:cs="Arial"/>
                    </w:rPr>
                  </m:ctrlPr>
                </m:sSupPr>
                <m:e>
                  <m:r>
                    <w:rPr>
                      <w:rFonts w:ascii="Cambria Math" w:hAnsi="Cambria Math" w:cs="Arial"/>
                    </w:rPr>
                    <m:t>)</m:t>
                  </m:r>
                </m:e>
                <m:sup>
                  <m:r>
                    <w:rPr>
                      <w:rFonts w:ascii="Cambria Math" w:hAnsi="Cambria Math" w:cs="Arial"/>
                    </w:rPr>
                    <m:t>2</m:t>
                  </m:r>
                </m:sup>
              </m:sSup>
            </m:num>
            <m:den>
              <m:r>
                <w:rPr>
                  <w:rFonts w:ascii="Cambria Math" w:hAnsi="Cambria Math" w:cs="Arial"/>
                </w:rPr>
                <m:t>∑</m:t>
              </m:r>
              <m:sSubSup>
                <m:sSubSupPr>
                  <m:ctrlPr>
                    <w:rPr>
                      <w:rFonts w:ascii="Cambria Math" w:hAnsi="Cambria Math" w:cs="Arial"/>
                    </w:rPr>
                  </m:ctrlPr>
                </m:sSubSupPr>
                <m:e>
                  <m:r>
                    <w:rPr>
                      <w:rFonts w:ascii="Cambria Math" w:hAnsi="Cambria Math" w:cs="Arial"/>
                    </w:rPr>
                    <m:t>e</m:t>
                  </m:r>
                </m:e>
                <m:sub>
                  <m:r>
                    <w:rPr>
                      <w:rFonts w:ascii="Cambria Math" w:hAnsi="Cambria Math" w:cs="Arial"/>
                    </w:rPr>
                    <m:t>t</m:t>
                  </m:r>
                </m:sub>
                <m:sup>
                  <m:r>
                    <w:rPr>
                      <w:rFonts w:ascii="Cambria Math" w:hAnsi="Cambria Math" w:cs="Arial"/>
                    </w:rPr>
                    <m:t>2</m:t>
                  </m:r>
                </m:sup>
              </m:sSubSup>
            </m:den>
          </m:f>
          <m:r>
            <w:rPr>
              <w:rFonts w:ascii="Cambria Math" w:hAnsi="Cambria Math" w:cs="Arial"/>
            </w:rPr>
            <m:t xml:space="preserve">                                                                                                                     (8)</m:t>
          </m:r>
          <m:r>
            <m:rPr>
              <m:sty m:val="p"/>
            </m:rPr>
            <w:rPr>
              <w:rFonts w:ascii="Cambria Math" w:hAnsi="Cambria Math" w:cs="Arial"/>
            </w:rPr>
            <w:br/>
          </m:r>
        </m:oMath>
      </m:oMathPara>
      <w:r w:rsidRPr="00CA3ED0">
        <w:rPr>
          <w:rFonts w:ascii="Arial" w:hAnsi="Arial" w:cs="Arial"/>
        </w:rPr>
        <w:t xml:space="preserve">Values significantly below 2 indicate positive autocorrelation </w:t>
      </w:r>
      <w:sdt>
        <w:sdtPr>
          <w:rPr>
            <w:rFonts w:ascii="Arial" w:hAnsi="Arial" w:cs="Arial"/>
            <w:color w:val="000000"/>
          </w:rPr>
          <w:tag w:val="MENDELEY_CITATION_v3_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"/>
          <w:id w:val="1774897594"/>
          <w:placeholder>
            <w:docPart w:val="58A58C9C4BC141069102AA8ECBB19E24"/>
          </w:placeholder>
        </w:sdtPr>
        <w:sdtEndPr/>
        <w:sdtContent>
          <w:r w:rsidR="007B6B26" w:rsidRPr="007B6B26">
            <w:rPr>
              <w:rFonts w:ascii="Arial" w:hAnsi="Arial" w:cs="Arial"/>
              <w:color w:val="000000"/>
            </w:rPr>
            <w:t>(Krämer, 2025)</w:t>
          </w:r>
        </w:sdtContent>
      </w:sdt>
      <w:r w:rsidRPr="00CA3ED0">
        <w:rPr>
          <w:rFonts w:ascii="Arial" w:hAnsi="Arial" w:cs="Arial"/>
        </w:rPr>
        <w:t>.</w:t>
      </w:r>
    </w:p>
    <w:p w14:paraId="74637736" w14:textId="77777777" w:rsidR="00CA3ED0" w:rsidRPr="00CA3ED0" w:rsidRDefault="00CA3ED0" w:rsidP="00CA3ED0">
      <w:pPr>
        <w:rPr>
          <w:rFonts w:ascii="Arial" w:hAnsi="Arial" w:cs="Arial"/>
        </w:rPr>
      </w:pPr>
    </w:p>
    <w:p w14:paraId="26E13B98" w14:textId="77777777" w:rsidR="00CA3ED0" w:rsidRPr="00CA3ED0" w:rsidRDefault="00CA3ED0" w:rsidP="00CA3ED0">
      <w:pPr>
        <w:rPr>
          <w:rFonts w:ascii="Arial" w:hAnsi="Arial" w:cs="Arial"/>
          <w:b/>
          <w:bCs/>
        </w:rPr>
      </w:pPr>
      <w:r w:rsidRPr="00CA3ED0">
        <w:rPr>
          <w:rFonts w:ascii="Arial" w:hAnsi="Arial" w:cs="Arial"/>
          <w:b/>
          <w:bCs/>
        </w:rPr>
        <w:t>3.4.4 Cross-Section Dependence (</w:t>
      </w:r>
      <w:proofErr w:type="spellStart"/>
      <w:r w:rsidRPr="00CA3ED0">
        <w:rPr>
          <w:rFonts w:ascii="Arial" w:hAnsi="Arial" w:cs="Arial"/>
          <w:b/>
          <w:bCs/>
        </w:rPr>
        <w:t>Pesaran</w:t>
      </w:r>
      <w:proofErr w:type="spellEnd"/>
      <w:r w:rsidRPr="00CA3ED0">
        <w:rPr>
          <w:rFonts w:ascii="Arial" w:hAnsi="Arial" w:cs="Arial"/>
          <w:b/>
          <w:bCs/>
        </w:rPr>
        <w:t xml:space="preserve"> CD Test)</w:t>
      </w:r>
    </w:p>
    <w:p w14:paraId="29B7FC21" w14:textId="77777777" w:rsidR="00CA3ED0" w:rsidRPr="00CA3ED0" w:rsidRDefault="00CA3ED0" w:rsidP="00CA3ED0">
      <w:pPr>
        <w:rPr>
          <w:rFonts w:ascii="Arial" w:hAnsi="Arial" w:cs="Arial"/>
        </w:rPr>
      </w:pPr>
      <w:r w:rsidRPr="00CA3ED0">
        <w:rPr>
          <w:rFonts w:ascii="Arial" w:hAnsi="Arial" w:cs="Arial"/>
        </w:rPr>
        <w:t xml:space="preserve">The </w:t>
      </w:r>
      <w:proofErr w:type="spellStart"/>
      <w:r w:rsidRPr="00CA3ED0">
        <w:rPr>
          <w:rFonts w:ascii="Arial" w:hAnsi="Arial" w:cs="Arial"/>
        </w:rPr>
        <w:t>Pesaran</w:t>
      </w:r>
      <w:proofErr w:type="spellEnd"/>
      <w:r w:rsidRPr="00CA3ED0">
        <w:rPr>
          <w:rFonts w:ascii="Arial" w:hAnsi="Arial" w:cs="Arial"/>
        </w:rPr>
        <w:t xml:space="preserve"> CD test evaluates cross-sectional dependence:</w:t>
      </w:r>
    </w:p>
    <w:p w14:paraId="12504386" w14:textId="7D28F23B" w:rsidR="00CA3ED0" w:rsidRPr="00CA3ED0" w:rsidRDefault="00CA3ED0" w:rsidP="00CA3ED0">
      <w:pPr>
        <w:rPr>
          <w:rFonts w:ascii="Arial" w:hAnsi="Arial" w:cs="Arial"/>
        </w:rPr>
      </w:pPr>
      <m:oMathPara>
        <m:oMath>
          <m:r>
            <w:rPr>
              <w:rFonts w:ascii="Cambria Math" w:hAnsi="Cambria Math" w:cs="Arial"/>
            </w:rPr>
            <m:t>CD=</m:t>
          </m:r>
          <m:rad>
            <m:radPr>
              <m:degHide m:val="1"/>
              <m:ctrlPr>
                <w:rPr>
                  <w:rFonts w:ascii="Cambria Math" w:hAnsi="Cambria Math" w:cs="Arial"/>
                </w:rPr>
              </m:ctrlPr>
            </m:radPr>
            <m:deg/>
            <m:e>
              <m:f>
                <m:fPr>
                  <m:ctrlPr>
                    <w:rPr>
                      <w:rFonts w:ascii="Cambria Math" w:hAnsi="Cambria Math" w:cs="Arial"/>
                    </w:rPr>
                  </m:ctrlPr>
                </m:fPr>
                <m:num>
                  <m:r>
                    <w:rPr>
                      <w:rFonts w:ascii="Cambria Math" w:hAnsi="Cambria Math" w:cs="Arial"/>
                    </w:rPr>
                    <m:t>2T</m:t>
                  </m:r>
                </m:num>
                <m:den>
                  <m:r>
                    <w:rPr>
                      <w:rFonts w:ascii="Cambria Math" w:hAnsi="Cambria Math" w:cs="Arial"/>
                    </w:rPr>
                    <m:t>N(N-1)</m:t>
                  </m:r>
                </m:den>
              </m:f>
            </m:e>
          </m:rad>
          <m:nary>
            <m:naryPr>
              <m:chr m:val="∑"/>
              <m:limLoc m:val="undOvr"/>
              <m:grow m:val="1"/>
              <m:supHide m:val="1"/>
              <m:ctrlPr>
                <w:rPr>
                  <w:rFonts w:ascii="Cambria Math" w:hAnsi="Cambria Math" w:cs="Arial"/>
                </w:rPr>
              </m:ctrlPr>
            </m:naryPr>
            <m:sub>
              <m:r>
                <w:rPr>
                  <w:rFonts w:ascii="Cambria Math" w:hAnsi="Cambria Math" w:cs="Arial"/>
                </w:rPr>
                <m:t>i&lt;j</m:t>
              </m:r>
            </m:sub>
            <m:sup/>
            <m:e>
              <m:sSub>
                <m:sSubPr>
                  <m:ctrlPr>
                    <w:rPr>
                      <w:rFonts w:ascii="Cambria Math" w:hAnsi="Cambria Math" w:cs="Arial"/>
                    </w:rPr>
                  </m:ctrlPr>
                </m:sSubPr>
                <m:e>
                  <m:acc>
                    <m:accPr>
                      <m:ctrlPr>
                        <w:rPr>
                          <w:rFonts w:ascii="Cambria Math" w:hAnsi="Cambria Math" w:cs="Arial"/>
                        </w:rPr>
                      </m:ctrlPr>
                    </m:accPr>
                    <m:e>
                      <m:r>
                        <w:rPr>
                          <w:rFonts w:ascii="Cambria Math" w:hAnsi="Cambria Math" w:cs="Arial"/>
                        </w:rPr>
                        <m:t>ρ</m:t>
                      </m:r>
                    </m:e>
                  </m:acc>
                </m:e>
                <m:sub>
                  <m:r>
                    <w:rPr>
                      <w:rFonts w:ascii="Cambria Math" w:hAnsi="Cambria Math" w:cs="Arial"/>
                    </w:rPr>
                    <m:t>ij</m:t>
                  </m:r>
                </m:sub>
              </m:sSub>
            </m:e>
          </m:nary>
          <m:r>
            <w:rPr>
              <w:rFonts w:ascii="Cambria Math" w:hAnsi="Cambria Math" w:cs="Arial"/>
            </w:rPr>
            <m:t xml:space="preserve">                                                                                                                (9)</m:t>
          </m:r>
          <m:r>
            <m:rPr>
              <m:sty m:val="p"/>
            </m:rPr>
            <w:rPr>
              <w:rFonts w:ascii="Cambria Math" w:hAnsi="Cambria Math" w:cs="Arial"/>
            </w:rPr>
            <w:br/>
          </m:r>
        </m:oMath>
      </m:oMathPara>
      <w:r w:rsidRPr="00CA3ED0">
        <w:rPr>
          <w:rFonts w:ascii="Arial" w:hAnsi="Arial" w:cs="Arial"/>
        </w:rPr>
        <w:t xml:space="preserve">This test is widely used in macro-financial panel studies </w:t>
      </w:r>
      <w:sdt>
        <w:sdtPr>
          <w:rPr>
            <w:rFonts w:ascii="Arial" w:hAnsi="Arial" w:cs="Arial"/>
            <w:color w:val="000000"/>
          </w:rPr>
          <w:tag w:val="MENDELEY_CITATION_v3_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"/>
          <w:id w:val="-1798291878"/>
          <w:placeholder>
            <w:docPart w:val="58A58C9C4BC141069102AA8ECBB19E24"/>
          </w:placeholder>
        </w:sdtPr>
        <w:sdtEndPr/>
        <w:sdtContent>
          <w:r w:rsidR="007B6B26" w:rsidRPr="007B6B26">
            <w:rPr>
              <w:rFonts w:ascii="Arial" w:hAnsi="Arial" w:cs="Arial"/>
              <w:color w:val="000000"/>
            </w:rPr>
            <w:t>(</w:t>
          </w:r>
          <w:proofErr w:type="spellStart"/>
          <w:r w:rsidR="007B6B26" w:rsidRPr="007B6B26">
            <w:rPr>
              <w:rFonts w:ascii="Arial" w:hAnsi="Arial" w:cs="Arial"/>
              <w:color w:val="000000"/>
            </w:rPr>
            <w:t>Pesaran</w:t>
          </w:r>
          <w:proofErr w:type="spellEnd"/>
          <w:r w:rsidR="007B6B26" w:rsidRPr="007B6B26">
            <w:rPr>
              <w:rFonts w:ascii="Arial" w:hAnsi="Arial" w:cs="Arial"/>
              <w:color w:val="000000"/>
            </w:rPr>
            <w:t>, 2003)</w:t>
          </w:r>
        </w:sdtContent>
      </w:sdt>
      <w:r w:rsidRPr="00CA3ED0">
        <w:rPr>
          <w:rFonts w:ascii="Arial" w:hAnsi="Arial" w:cs="Arial"/>
        </w:rPr>
        <w:t>.</w:t>
      </w:r>
    </w:p>
    <w:p w14:paraId="2C3B34BC" w14:textId="77777777" w:rsidR="00CA3ED0" w:rsidRPr="00CA3ED0" w:rsidRDefault="00CA3ED0" w:rsidP="00CA3ED0">
      <w:pPr>
        <w:rPr>
          <w:rFonts w:ascii="Arial" w:hAnsi="Arial" w:cs="Arial"/>
        </w:rPr>
      </w:pPr>
    </w:p>
    <w:p w14:paraId="7662EDF4" w14:textId="77777777" w:rsidR="00CA3ED0" w:rsidRPr="00CA3ED0" w:rsidRDefault="00CA3ED0" w:rsidP="00CA3ED0">
      <w:pPr>
        <w:rPr>
          <w:rFonts w:ascii="Arial" w:hAnsi="Arial" w:cs="Arial"/>
          <w:b/>
          <w:bCs/>
        </w:rPr>
      </w:pPr>
      <w:r w:rsidRPr="00CA3ED0">
        <w:rPr>
          <w:rFonts w:ascii="Arial" w:hAnsi="Arial" w:cs="Arial"/>
          <w:b/>
          <w:bCs/>
        </w:rPr>
        <w:t>3.5 Machine Learning Framework</w:t>
      </w:r>
    </w:p>
    <w:p w14:paraId="4C4FABCA" w14:textId="77777777" w:rsidR="00CA3ED0" w:rsidRPr="00CA3ED0" w:rsidRDefault="00CA3ED0" w:rsidP="00CA3ED0">
      <w:pPr>
        <w:jc w:val="both"/>
        <w:rPr>
          <w:rFonts w:ascii="Arial" w:hAnsi="Arial" w:cs="Arial"/>
        </w:rPr>
      </w:pPr>
      <w:r w:rsidRPr="00CA3ED0">
        <w:rPr>
          <w:rFonts w:ascii="Arial" w:hAnsi="Arial" w:cs="Arial"/>
        </w:rPr>
        <w:t>To enhance predictive accuracy, the study incorporates machine learning models alongside econometric approaches.</w:t>
      </w:r>
    </w:p>
    <w:p w14:paraId="277E51DB" w14:textId="77777777" w:rsidR="00CA3ED0" w:rsidRPr="00CA3ED0" w:rsidRDefault="00CA3ED0" w:rsidP="00CA3ED0">
      <w:pPr>
        <w:jc w:val="both"/>
        <w:rPr>
          <w:rFonts w:ascii="Arial" w:hAnsi="Arial" w:cs="Arial"/>
          <w:b/>
          <w:bCs/>
        </w:rPr>
      </w:pPr>
      <w:r w:rsidRPr="00CA3ED0">
        <w:rPr>
          <w:rFonts w:ascii="Arial" w:hAnsi="Arial" w:cs="Arial"/>
          <w:b/>
          <w:bCs/>
        </w:rPr>
        <w:t>3.5.1 Models Used</w:t>
      </w:r>
    </w:p>
    <w:p w14:paraId="3417007F" w14:textId="77777777" w:rsidR="00CA3ED0" w:rsidRPr="00CA3ED0" w:rsidRDefault="00CA3ED0" w:rsidP="00CA3ED0">
      <w:pPr>
        <w:numPr>
          <w:ilvl w:val="0"/>
          <w:numId w:val="31"/>
        </w:numPr>
        <w:jc w:val="both"/>
        <w:rPr>
          <w:rFonts w:ascii="Arial" w:hAnsi="Arial" w:cs="Arial"/>
        </w:rPr>
      </w:pPr>
      <w:r w:rsidRPr="00CA3ED0">
        <w:rPr>
          <w:rFonts w:ascii="Arial" w:hAnsi="Arial" w:cs="Arial"/>
        </w:rPr>
        <w:t xml:space="preserve">Linear Regression (baseline model) </w:t>
      </w:r>
    </w:p>
    <w:p w14:paraId="717ADBFB" w14:textId="77777777" w:rsidR="00CA3ED0" w:rsidRPr="00CA3ED0" w:rsidRDefault="00CA3ED0" w:rsidP="00CA3ED0">
      <w:pPr>
        <w:numPr>
          <w:ilvl w:val="0"/>
          <w:numId w:val="31"/>
        </w:numPr>
        <w:jc w:val="both"/>
        <w:rPr>
          <w:rFonts w:ascii="Arial" w:hAnsi="Arial" w:cs="Arial"/>
        </w:rPr>
      </w:pPr>
      <w:r w:rsidRPr="00CA3ED0">
        <w:rPr>
          <w:rFonts w:ascii="Arial" w:hAnsi="Arial" w:cs="Arial"/>
        </w:rPr>
        <w:t xml:space="preserve">Random Forest (ensemble-based model) </w:t>
      </w:r>
    </w:p>
    <w:p w14:paraId="11560FD7" w14:textId="77777777" w:rsidR="00CA3ED0" w:rsidRPr="00CA3ED0" w:rsidRDefault="00CA3ED0" w:rsidP="00CA3ED0">
      <w:pPr>
        <w:numPr>
          <w:ilvl w:val="0"/>
          <w:numId w:val="31"/>
        </w:numPr>
        <w:jc w:val="both"/>
        <w:rPr>
          <w:rFonts w:ascii="Arial" w:hAnsi="Arial" w:cs="Arial"/>
        </w:rPr>
      </w:pPr>
      <w:proofErr w:type="spellStart"/>
      <w:r w:rsidRPr="00CA3ED0">
        <w:rPr>
          <w:rFonts w:ascii="Arial" w:hAnsi="Arial" w:cs="Arial"/>
        </w:rPr>
        <w:t>XGBoost</w:t>
      </w:r>
      <w:proofErr w:type="spellEnd"/>
      <w:r w:rsidRPr="00CA3ED0">
        <w:rPr>
          <w:rFonts w:ascii="Arial" w:hAnsi="Arial" w:cs="Arial"/>
        </w:rPr>
        <w:t xml:space="preserve"> (gradient boosting model) </w:t>
      </w:r>
    </w:p>
    <w:p w14:paraId="2DAA7510" w14:textId="1EDF0FA5" w:rsidR="00CA3ED0" w:rsidRPr="00CA3ED0" w:rsidRDefault="00CA3ED0" w:rsidP="00CA3ED0">
      <w:pPr>
        <w:jc w:val="both"/>
        <w:rPr>
          <w:rFonts w:ascii="Arial" w:hAnsi="Arial" w:cs="Arial"/>
        </w:rPr>
      </w:pPr>
      <w:r w:rsidRPr="00CA3ED0">
        <w:rPr>
          <w:rFonts w:ascii="Arial" w:hAnsi="Arial" w:cs="Arial"/>
        </w:rPr>
        <w:t xml:space="preserve">Random Forest captures nonlinear interactions using multiple decision trees, while </w:t>
      </w:r>
      <w:proofErr w:type="spellStart"/>
      <w:r w:rsidRPr="00CA3ED0">
        <w:rPr>
          <w:rFonts w:ascii="Arial" w:hAnsi="Arial" w:cs="Arial"/>
        </w:rPr>
        <w:t>XGBoost</w:t>
      </w:r>
      <w:proofErr w:type="spellEnd"/>
      <w:r w:rsidRPr="00CA3ED0">
        <w:rPr>
          <w:rFonts w:ascii="Arial" w:hAnsi="Arial" w:cs="Arial"/>
        </w:rPr>
        <w:t xml:space="preserve"> improves prediction through sequential boosting </w:t>
      </w:r>
      <w:sdt>
        <w:sdtPr>
          <w:rPr>
            <w:rFonts w:ascii="Arial" w:hAnsi="Arial" w:cs="Arial"/>
            <w:color w:val="000000"/>
          </w:rPr>
          <w:tag w:val="MENDELEY_CITATION_v3_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"/>
          <w:id w:val="-303157645"/>
          <w:placeholder>
            <w:docPart w:val="58A58C9C4BC141069102AA8ECBB19E24"/>
          </w:placeholder>
        </w:sdtPr>
        <w:sdtEndPr/>
        <w:sdtContent>
          <w:r w:rsidR="007B6B26" w:rsidRPr="007B6B26">
            <w:rPr>
              <w:rFonts w:ascii="Arial" w:hAnsi="Arial" w:cs="Arial"/>
              <w:color w:val="000000"/>
            </w:rPr>
            <w:t>(</w:t>
          </w:r>
          <w:proofErr w:type="spellStart"/>
          <w:r w:rsidR="007B6B26" w:rsidRPr="007B6B26">
            <w:rPr>
              <w:rFonts w:ascii="Arial" w:hAnsi="Arial" w:cs="Arial"/>
              <w:color w:val="000000"/>
            </w:rPr>
            <w:t>Breiman</w:t>
          </w:r>
          <w:proofErr w:type="spellEnd"/>
          <w:r w:rsidR="007B6B26" w:rsidRPr="007B6B26">
            <w:rPr>
              <w:rFonts w:ascii="Arial" w:hAnsi="Arial" w:cs="Arial"/>
              <w:color w:val="000000"/>
            </w:rPr>
            <w:t xml:space="preserve">, 2001b; Chen &amp; </w:t>
          </w:r>
          <w:proofErr w:type="spellStart"/>
          <w:r w:rsidR="007B6B26" w:rsidRPr="007B6B26">
            <w:rPr>
              <w:rFonts w:ascii="Arial" w:hAnsi="Arial" w:cs="Arial"/>
              <w:color w:val="000000"/>
            </w:rPr>
            <w:t>Guestrin</w:t>
          </w:r>
          <w:proofErr w:type="spellEnd"/>
          <w:r w:rsidR="007B6B26" w:rsidRPr="007B6B26">
            <w:rPr>
              <w:rFonts w:ascii="Arial" w:hAnsi="Arial" w:cs="Arial"/>
              <w:color w:val="000000"/>
            </w:rPr>
            <w:t>, 2016)</w:t>
          </w:r>
        </w:sdtContent>
      </w:sdt>
      <w:r w:rsidRPr="00CA3ED0">
        <w:rPr>
          <w:rFonts w:ascii="Arial" w:hAnsi="Arial" w:cs="Arial"/>
        </w:rPr>
        <w:t>.</w:t>
      </w:r>
    </w:p>
    <w:p w14:paraId="7F59A500" w14:textId="77777777" w:rsidR="00CA3ED0" w:rsidRPr="00CA3ED0" w:rsidRDefault="00CA3ED0" w:rsidP="00CA3ED0">
      <w:pPr>
        <w:jc w:val="both"/>
        <w:rPr>
          <w:rFonts w:ascii="Arial" w:hAnsi="Arial" w:cs="Arial"/>
        </w:rPr>
      </w:pPr>
    </w:p>
    <w:p w14:paraId="2D1BE810" w14:textId="77777777" w:rsidR="00CA3ED0" w:rsidRPr="00CA3ED0" w:rsidRDefault="00CA3ED0" w:rsidP="00CA3ED0">
      <w:pPr>
        <w:rPr>
          <w:rFonts w:ascii="Arial" w:hAnsi="Arial" w:cs="Arial"/>
          <w:b/>
          <w:bCs/>
        </w:rPr>
      </w:pPr>
      <w:r w:rsidRPr="00CA3ED0">
        <w:rPr>
          <w:rFonts w:ascii="Arial" w:hAnsi="Arial" w:cs="Arial"/>
          <w:b/>
          <w:bCs/>
        </w:rPr>
        <w:t>3.5.2 Model Evaluation Metrics</w:t>
      </w:r>
    </w:p>
    <w:p w14:paraId="22A2796B" w14:textId="77777777" w:rsidR="00CA3ED0" w:rsidRPr="00CA3ED0" w:rsidRDefault="00CA3ED0" w:rsidP="00CA3ED0">
      <w:pPr>
        <w:rPr>
          <w:rFonts w:ascii="Arial" w:hAnsi="Arial" w:cs="Arial"/>
        </w:rPr>
      </w:pPr>
      <w:r w:rsidRPr="00CA3ED0">
        <w:rPr>
          <w:rFonts w:ascii="Arial" w:hAnsi="Arial" w:cs="Arial"/>
        </w:rPr>
        <w:t>The performance of models is evaluated using:</w:t>
      </w:r>
    </w:p>
    <w:p w14:paraId="4E18BBE9" w14:textId="77777777" w:rsidR="00CA3ED0" w:rsidRPr="00CA3ED0" w:rsidRDefault="0061744A" w:rsidP="00CA3ED0">
      <w:pPr>
        <w:rPr>
          <w:rFonts w:ascii="Arial" w:eastAsiaTheme="minorEastAsia" w:hAnsi="Arial" w:cs="Arial"/>
        </w:rPr>
      </w:pPr>
      <m:oMathPara>
        <m:oMath>
          <m:sSup>
            <m:sSupPr>
              <m:ctrlPr>
                <w:rPr>
                  <w:rFonts w:ascii="Cambria Math" w:hAnsi="Cambria Math" w:cs="Arial"/>
                </w:rPr>
              </m:ctrlPr>
            </m:sSupPr>
            <m:e>
              <m:r>
                <w:rPr>
                  <w:rFonts w:ascii="Cambria Math" w:hAnsi="Cambria Math" w:cs="Arial"/>
                </w:rPr>
                <m:t>R</m:t>
              </m:r>
            </m:e>
            <m:sup>
              <m:r>
                <w:rPr>
                  <w:rFonts w:ascii="Cambria Math" w:hAnsi="Cambria Math" w:cs="Arial"/>
                </w:rPr>
                <m:t>2</m:t>
              </m:r>
            </m:sup>
          </m:sSup>
          <m:r>
            <w:rPr>
              <w:rFonts w:ascii="Cambria Math" w:hAnsi="Cambria Math" w:cs="Arial"/>
            </w:rPr>
            <m:t>=1-</m:t>
          </m:r>
          <m:f>
            <m:fPr>
              <m:ctrlPr>
                <w:rPr>
                  <w:rFonts w:ascii="Cambria Math" w:hAnsi="Cambria Math" w:cs="Arial"/>
                </w:rPr>
              </m:ctrlPr>
            </m:fPr>
            <m:num>
              <m:r>
                <w:rPr>
                  <w:rFonts w:ascii="Cambria Math" w:hAnsi="Cambria Math" w:cs="Arial"/>
                </w:rPr>
                <m:t>S</m:t>
              </m:r>
              <m:sSub>
                <m:sSubPr>
                  <m:ctrlPr>
                    <w:rPr>
                      <w:rFonts w:ascii="Cambria Math" w:hAnsi="Cambria Math" w:cs="Arial"/>
                    </w:rPr>
                  </m:ctrlPr>
                </m:sSubPr>
                <m:e>
                  <m:r>
                    <w:rPr>
                      <w:rFonts w:ascii="Cambria Math" w:hAnsi="Cambria Math" w:cs="Arial"/>
                    </w:rPr>
                    <m:t>S</m:t>
                  </m:r>
                </m:e>
                <m:sub>
                  <m:r>
                    <w:rPr>
                      <w:rFonts w:ascii="Cambria Math" w:hAnsi="Cambria Math" w:cs="Arial"/>
                    </w:rPr>
                    <m:t>res</m:t>
                  </m:r>
                </m:sub>
              </m:sSub>
            </m:num>
            <m:den>
              <m:r>
                <w:rPr>
                  <w:rFonts w:ascii="Cambria Math" w:hAnsi="Cambria Math" w:cs="Arial"/>
                </w:rPr>
                <m:t>S</m:t>
              </m:r>
              <m:sSub>
                <m:sSubPr>
                  <m:ctrlPr>
                    <w:rPr>
                      <w:rFonts w:ascii="Cambria Math" w:hAnsi="Cambria Math" w:cs="Arial"/>
                    </w:rPr>
                  </m:ctrlPr>
                </m:sSubPr>
                <m:e>
                  <m:r>
                    <w:rPr>
                      <w:rFonts w:ascii="Cambria Math" w:hAnsi="Cambria Math" w:cs="Arial"/>
                    </w:rPr>
                    <m:t>S</m:t>
                  </m:r>
                </m:e>
                <m:sub>
                  <m:r>
                    <w:rPr>
                      <w:rFonts w:ascii="Cambria Math" w:hAnsi="Cambria Math" w:cs="Arial"/>
                    </w:rPr>
                    <m:t>tot</m:t>
                  </m:r>
                </m:sub>
              </m:sSub>
            </m:den>
          </m:f>
          <m:r>
            <w:rPr>
              <w:rFonts w:ascii="Cambria Math" w:hAnsi="Cambria Math" w:cs="Arial"/>
            </w:rPr>
            <m:t xml:space="preserve">                                                                                                                         (10)</m:t>
          </m:r>
        </m:oMath>
      </m:oMathPara>
    </w:p>
    <w:p w14:paraId="25EDC2C5" w14:textId="77777777" w:rsidR="00CA3ED0" w:rsidRPr="00CA3ED0" w:rsidRDefault="00CA3ED0" w:rsidP="00CA3ED0">
      <w:pPr>
        <w:rPr>
          <w:rFonts w:ascii="Arial" w:eastAsiaTheme="minorEastAsia" w:hAnsi="Arial" w:cs="Arial"/>
        </w:rPr>
      </w:pPr>
      <m:oMathPara>
        <m:oMath>
          <m:r>
            <w:rPr>
              <w:rFonts w:ascii="Cambria Math" w:hAnsi="Cambria Math" w:cs="Arial"/>
            </w:rPr>
            <m:t>RMSE=</m:t>
          </m:r>
          <m:rad>
            <m:radPr>
              <m:degHide m:val="1"/>
              <m:ctrlPr>
                <w:rPr>
                  <w:rFonts w:ascii="Cambria Math" w:hAnsi="Cambria Math" w:cs="Arial"/>
                </w:rPr>
              </m:ctrlPr>
            </m:radPr>
            <m:deg/>
            <m:e>
              <m:f>
                <m:fPr>
                  <m:ctrlPr>
                    <w:rPr>
                      <w:rFonts w:ascii="Cambria Math" w:hAnsi="Cambria Math" w:cs="Arial"/>
                    </w:rPr>
                  </m:ctrlPr>
                </m:fPr>
                <m:num>
                  <m:r>
                    <w:rPr>
                      <w:rFonts w:ascii="Cambria Math" w:hAnsi="Cambria Math" w:cs="Arial"/>
                    </w:rPr>
                    <m:t>1</m:t>
                  </m:r>
                </m:num>
                <m:den>
                  <m:r>
                    <w:rPr>
                      <w:rFonts w:ascii="Cambria Math" w:hAnsi="Cambria Math" w:cs="Arial"/>
                    </w:rPr>
                    <m:t>n</m:t>
                  </m:r>
                </m:den>
              </m:f>
              <m:r>
                <w:rPr>
                  <w:rFonts w:ascii="Cambria Math" w:hAnsi="Cambria Math" w:cs="Arial"/>
                </w:rPr>
                <m:t>∑(</m:t>
              </m:r>
              <m:sSub>
                <m:sSubPr>
                  <m:ctrlPr>
                    <w:rPr>
                      <w:rFonts w:ascii="Cambria Math" w:hAnsi="Cambria Math" w:cs="Arial"/>
                    </w:rPr>
                  </m:ctrlPr>
                </m:sSubPr>
                <m:e>
                  <m:r>
                    <w:rPr>
                      <w:rFonts w:ascii="Cambria Math" w:hAnsi="Cambria Math" w:cs="Arial"/>
                    </w:rPr>
                    <m:t>y</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acc>
                    <m:accPr>
                      <m:ctrlPr>
                        <w:rPr>
                          <w:rFonts w:ascii="Cambria Math" w:hAnsi="Cambria Math" w:cs="Arial"/>
                        </w:rPr>
                      </m:ctrlPr>
                    </m:accPr>
                    <m:e>
                      <m:r>
                        <w:rPr>
                          <w:rFonts w:ascii="Cambria Math" w:hAnsi="Cambria Math" w:cs="Arial"/>
                        </w:rPr>
                        <m:t>y</m:t>
                      </m:r>
                    </m:e>
                  </m:acc>
                </m:e>
                <m:sub>
                  <m:r>
                    <w:rPr>
                      <w:rFonts w:ascii="Cambria Math" w:hAnsi="Cambria Math" w:cs="Arial"/>
                    </w:rPr>
                    <m:t>i</m:t>
                  </m:r>
                </m:sub>
              </m:sSub>
              <m:sSup>
                <m:sSupPr>
                  <m:ctrlPr>
                    <w:rPr>
                      <w:rFonts w:ascii="Cambria Math" w:hAnsi="Cambria Math" w:cs="Arial"/>
                    </w:rPr>
                  </m:ctrlPr>
                </m:sSupPr>
                <m:e>
                  <m:r>
                    <w:rPr>
                      <w:rFonts w:ascii="Cambria Math" w:hAnsi="Cambria Math" w:cs="Arial"/>
                    </w:rPr>
                    <m:t>)</m:t>
                  </m:r>
                </m:e>
                <m:sup>
                  <m:r>
                    <w:rPr>
                      <w:rFonts w:ascii="Cambria Math" w:hAnsi="Cambria Math" w:cs="Arial"/>
                    </w:rPr>
                    <m:t>2</m:t>
                  </m:r>
                </m:sup>
              </m:sSup>
            </m:e>
          </m:rad>
          <m:r>
            <w:rPr>
              <w:rFonts w:ascii="Cambria Math" w:eastAsiaTheme="minorEastAsia" w:hAnsi="Cambria Math" w:cs="Arial"/>
            </w:rPr>
            <m:t xml:space="preserve">                                                                                                         (11)</m:t>
          </m:r>
        </m:oMath>
      </m:oMathPara>
    </w:p>
    <w:p w14:paraId="2D55D356" w14:textId="77777777" w:rsidR="00CA3ED0" w:rsidRPr="00CA3ED0" w:rsidRDefault="00CA3ED0" w:rsidP="00CA3ED0">
      <w:pPr>
        <w:rPr>
          <w:rFonts w:ascii="Arial" w:hAnsi="Arial" w:cs="Arial"/>
        </w:rPr>
      </w:pPr>
      <m:oMathPara>
        <m:oMath>
          <m:r>
            <w:rPr>
              <w:rFonts w:ascii="Cambria Math" w:hAnsi="Cambria Math" w:cs="Arial"/>
            </w:rPr>
            <m:t>MAE=</m:t>
          </m:r>
          <m:f>
            <m:fPr>
              <m:ctrlPr>
                <w:rPr>
                  <w:rFonts w:ascii="Cambria Math" w:hAnsi="Cambria Math" w:cs="Arial"/>
                </w:rPr>
              </m:ctrlPr>
            </m:fPr>
            <m:num>
              <m:r>
                <w:rPr>
                  <w:rFonts w:ascii="Cambria Math" w:hAnsi="Cambria Math" w:cs="Arial"/>
                </w:rPr>
                <m:t>1</m:t>
              </m:r>
            </m:num>
            <m:den>
              <m:r>
                <w:rPr>
                  <w:rFonts w:ascii="Cambria Math" w:hAnsi="Cambria Math" w:cs="Arial"/>
                </w:rPr>
                <m:t>n</m:t>
              </m:r>
            </m:den>
          </m:f>
          <m:r>
            <w:rPr>
              <w:rFonts w:ascii="Cambria Math" w:hAnsi="Cambria Math" w:cs="Arial"/>
            </w:rPr>
            <m:t>∑</m:t>
          </m:r>
          <m:r>
            <m:rPr>
              <m:sty m:val="p"/>
            </m:rPr>
            <w:rPr>
              <w:rFonts w:ascii="Cambria Math" w:hAnsi="Cambria Math" w:cs="Arial"/>
            </w:rPr>
            <m:t>∣</m:t>
          </m:r>
          <m:sSub>
            <m:sSubPr>
              <m:ctrlPr>
                <w:rPr>
                  <w:rFonts w:ascii="Cambria Math" w:hAnsi="Cambria Math" w:cs="Arial"/>
                </w:rPr>
              </m:ctrlPr>
            </m:sSubPr>
            <m:e>
              <m:r>
                <w:rPr>
                  <w:rFonts w:ascii="Cambria Math" w:hAnsi="Cambria Math" w:cs="Arial"/>
                </w:rPr>
                <m:t>y</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acc>
                <m:accPr>
                  <m:ctrlPr>
                    <w:rPr>
                      <w:rFonts w:ascii="Cambria Math" w:hAnsi="Cambria Math" w:cs="Arial"/>
                    </w:rPr>
                  </m:ctrlPr>
                </m:accPr>
                <m:e>
                  <m:r>
                    <w:rPr>
                      <w:rFonts w:ascii="Cambria Math" w:hAnsi="Cambria Math" w:cs="Arial"/>
                    </w:rPr>
                    <m:t>y</m:t>
                  </m:r>
                </m:e>
              </m:acc>
            </m:e>
            <m:sub>
              <m:r>
                <w:rPr>
                  <w:rFonts w:ascii="Cambria Math" w:hAnsi="Cambria Math" w:cs="Arial"/>
                </w:rPr>
                <m:t>i</m:t>
              </m:r>
            </m:sub>
          </m:sSub>
          <m:r>
            <m:rPr>
              <m:sty m:val="p"/>
            </m:rPr>
            <w:rPr>
              <w:rFonts w:ascii="Cambria Math" w:hAnsi="Cambria Math" w:cs="Arial"/>
            </w:rPr>
            <m:t>∣                                                                                                               (12)</m:t>
          </m:r>
          <m:r>
            <m:rPr>
              <m:sty m:val="p"/>
            </m:rPr>
            <w:rPr>
              <w:rFonts w:ascii="Cambria Math" w:hAnsi="Cambria Math" w:cs="Arial"/>
            </w:rPr>
            <w:br/>
          </m:r>
        </m:oMath>
      </m:oMathPara>
      <w:r w:rsidRPr="00CA3ED0">
        <w:rPr>
          <w:rFonts w:ascii="Arial" w:hAnsi="Arial" w:cs="Arial"/>
        </w:rPr>
        <w:t>These metrics provide complementary insights into predictive accuracy.</w:t>
      </w:r>
    </w:p>
    <w:p w14:paraId="509966EE" w14:textId="77777777" w:rsidR="00CA3ED0" w:rsidRPr="00CA3ED0" w:rsidRDefault="00CA3ED0" w:rsidP="00CA3ED0">
      <w:pPr>
        <w:rPr>
          <w:rFonts w:ascii="Arial" w:hAnsi="Arial" w:cs="Arial"/>
        </w:rPr>
      </w:pPr>
    </w:p>
    <w:p w14:paraId="280E8663" w14:textId="77777777" w:rsidR="00CA3ED0" w:rsidRPr="00CA3ED0" w:rsidRDefault="00CA3ED0" w:rsidP="00CA3ED0">
      <w:pPr>
        <w:rPr>
          <w:rFonts w:ascii="Arial" w:hAnsi="Arial" w:cs="Arial"/>
          <w:b/>
          <w:bCs/>
          <w:sz w:val="22"/>
          <w:szCs w:val="22"/>
        </w:rPr>
      </w:pPr>
      <w:r w:rsidRPr="00CA3ED0">
        <w:rPr>
          <w:rFonts w:ascii="Arial" w:hAnsi="Arial" w:cs="Arial"/>
          <w:b/>
          <w:bCs/>
          <w:sz w:val="22"/>
          <w:szCs w:val="22"/>
        </w:rPr>
        <w:t>3.6 Explainable AI (SHAP Analysis)</w:t>
      </w:r>
    </w:p>
    <w:p w14:paraId="50465A35" w14:textId="77777777" w:rsidR="00CA3ED0" w:rsidRPr="00CA3ED0" w:rsidRDefault="00CA3ED0" w:rsidP="00CA3ED0">
      <w:pPr>
        <w:jc w:val="both"/>
        <w:rPr>
          <w:rFonts w:ascii="Arial" w:hAnsi="Arial" w:cs="Arial"/>
        </w:rPr>
      </w:pPr>
      <w:r w:rsidRPr="00CA3ED0">
        <w:rPr>
          <w:rFonts w:ascii="Arial" w:hAnsi="Arial" w:cs="Arial"/>
        </w:rPr>
        <w:t>To interpret machine learning models, SHAP (</w:t>
      </w:r>
      <w:proofErr w:type="spellStart"/>
      <w:r w:rsidRPr="00CA3ED0">
        <w:rPr>
          <w:rFonts w:ascii="Arial" w:hAnsi="Arial" w:cs="Arial"/>
        </w:rPr>
        <w:t>SHapley</w:t>
      </w:r>
      <w:proofErr w:type="spellEnd"/>
      <w:r w:rsidRPr="00CA3ED0">
        <w:rPr>
          <w:rFonts w:ascii="Arial" w:hAnsi="Arial" w:cs="Arial"/>
        </w:rPr>
        <w:t xml:space="preserve"> Additive </w:t>
      </w:r>
      <w:proofErr w:type="spellStart"/>
      <w:r w:rsidRPr="00CA3ED0">
        <w:rPr>
          <w:rFonts w:ascii="Arial" w:hAnsi="Arial" w:cs="Arial"/>
        </w:rPr>
        <w:t>exPlanations</w:t>
      </w:r>
      <w:proofErr w:type="spellEnd"/>
      <w:r w:rsidRPr="00CA3ED0">
        <w:rPr>
          <w:rFonts w:ascii="Arial" w:hAnsi="Arial" w:cs="Arial"/>
        </w:rPr>
        <w:t>) is employed. SHAP assigns an importance value to each feature based on its contribution to model predictions:</w:t>
      </w:r>
    </w:p>
    <w:p w14:paraId="25D36EDE" w14:textId="6C4275A4" w:rsidR="00CA3ED0" w:rsidRPr="00CA3ED0" w:rsidRDefault="00CA3ED0" w:rsidP="00CA3ED0">
      <w:pPr>
        <w:jc w:val="both"/>
        <w:rPr>
          <w:rFonts w:ascii="Arial" w:hAnsi="Arial" w:cs="Arial"/>
        </w:rPr>
      </w:pPr>
      <m:oMathPara>
        <m:oMath>
          <m:r>
            <w:rPr>
              <w:rFonts w:ascii="Cambria Math" w:hAnsi="Cambria Math" w:cs="Arial"/>
            </w:rPr>
            <m:t>f(x)=</m:t>
          </m:r>
          <m:sSub>
            <m:sSubPr>
              <m:ctrlPr>
                <w:rPr>
                  <w:rFonts w:ascii="Cambria Math" w:hAnsi="Cambria Math" w:cs="Arial"/>
                </w:rPr>
              </m:ctrlPr>
            </m:sSubPr>
            <m:e>
              <m:r>
                <w:rPr>
                  <w:rFonts w:ascii="Cambria Math" w:hAnsi="Cambria Math" w:cs="Arial"/>
                </w:rPr>
                <m:t>ϕ</m:t>
              </m:r>
            </m:e>
            <m:sub>
              <m:r>
                <w:rPr>
                  <w:rFonts w:ascii="Cambria Math" w:hAnsi="Cambria Math" w:cs="Arial"/>
                </w:rPr>
                <m:t>0</m:t>
              </m:r>
            </m:sub>
          </m:sSub>
          <m:r>
            <w:rPr>
              <w:rFonts w:ascii="Cambria Math" w:hAnsi="Cambria Math" w:cs="Arial"/>
            </w:rPr>
            <m:t>+</m:t>
          </m:r>
          <m:nary>
            <m:naryPr>
              <m:chr m:val="∑"/>
              <m:limLoc m:val="undOvr"/>
              <m:grow m:val="1"/>
              <m:ctrlPr>
                <w:rPr>
                  <w:rFonts w:ascii="Cambria Math" w:hAnsi="Cambria Math" w:cs="Arial"/>
                </w:rPr>
              </m:ctrlPr>
            </m:naryPr>
            <m:sub>
              <m:r>
                <w:rPr>
                  <w:rFonts w:ascii="Cambria Math" w:hAnsi="Cambria Math" w:cs="Arial"/>
                </w:rPr>
                <m:t>i=1</m:t>
              </m:r>
            </m:sub>
            <m:sup>
              <m:r>
                <w:rPr>
                  <w:rFonts w:ascii="Cambria Math" w:hAnsi="Cambria Math" w:cs="Arial"/>
                </w:rPr>
                <m:t>M</m:t>
              </m:r>
            </m:sup>
            <m:e>
              <m:sSub>
                <m:sSubPr>
                  <m:ctrlPr>
                    <w:rPr>
                      <w:rFonts w:ascii="Cambria Math" w:hAnsi="Cambria Math" w:cs="Arial"/>
                    </w:rPr>
                  </m:ctrlPr>
                </m:sSubPr>
                <m:e>
                  <m:r>
                    <w:rPr>
                      <w:rFonts w:ascii="Cambria Math" w:hAnsi="Cambria Math" w:cs="Arial"/>
                    </w:rPr>
                    <m:t>ϕ</m:t>
                  </m:r>
                </m:e>
                <m:sub>
                  <m:r>
                    <w:rPr>
                      <w:rFonts w:ascii="Cambria Math" w:hAnsi="Cambria Math" w:cs="Arial"/>
                    </w:rPr>
                    <m:t>i</m:t>
                  </m:r>
                </m:sub>
              </m:sSub>
            </m:e>
          </m:nary>
          <m:r>
            <w:rPr>
              <w:rFonts w:ascii="Cambria Math" w:hAnsi="Cambria Math" w:cs="Arial"/>
            </w:rPr>
            <m:t xml:space="preserve">                                                                                                                   (13)</m:t>
          </m:r>
          <m:r>
            <m:rPr>
              <m:sty m:val="p"/>
            </m:rPr>
            <w:rPr>
              <w:rFonts w:ascii="Cambria Math" w:hAnsi="Cambria Math" w:cs="Arial"/>
            </w:rPr>
            <w:br/>
          </m:r>
        </m:oMath>
      </m:oMathPara>
      <w:r w:rsidRPr="00CA3ED0">
        <w:rPr>
          <w:rFonts w:ascii="Arial" w:hAnsi="Arial" w:cs="Arial"/>
        </w:rPr>
        <w:t xml:space="preserve">where </w:t>
      </w:r>
      <m:oMath>
        <m:sSub>
          <m:sSubPr>
            <m:ctrlPr>
              <w:rPr>
                <w:rFonts w:ascii="Cambria Math" w:hAnsi="Cambria Math" w:cs="Arial"/>
              </w:rPr>
            </m:ctrlPr>
          </m:sSubPr>
          <m:e>
            <m:r>
              <w:rPr>
                <w:rFonts w:ascii="Cambria Math" w:hAnsi="Cambria Math" w:cs="Arial"/>
              </w:rPr>
              <m:t>ϕ</m:t>
            </m:r>
          </m:e>
          <m:sub>
            <m:r>
              <w:rPr>
                <w:rFonts w:ascii="Cambria Math" w:hAnsi="Cambria Math" w:cs="Arial"/>
              </w:rPr>
              <m:t>i</m:t>
            </m:r>
          </m:sub>
        </m:sSub>
      </m:oMath>
      <w:r w:rsidRPr="00CA3ED0">
        <w:rPr>
          <w:rFonts w:ascii="Arial" w:hAnsi="Arial" w:cs="Arial"/>
        </w:rPr>
        <w:t xml:space="preserve">represents the contribution of feature </w:t>
      </w:r>
      <m:oMath>
        <m:r>
          <w:rPr>
            <w:rFonts w:ascii="Cambria Math" w:hAnsi="Cambria Math" w:cs="Arial"/>
          </w:rPr>
          <m:t>i</m:t>
        </m:r>
      </m:oMath>
      <w:r w:rsidRPr="00CA3ED0">
        <w:rPr>
          <w:rFonts w:ascii="Arial" w:hAnsi="Arial" w:cs="Arial"/>
        </w:rPr>
        <w:t xml:space="preserve"> </w:t>
      </w:r>
      <w:sdt>
        <w:sdtPr>
          <w:rPr>
            <w:rFonts w:ascii="Arial" w:hAnsi="Arial" w:cs="Arial"/>
            <w:color w:val="000000"/>
          </w:rPr>
          <w:tag w:val="MENDELEY_CITATION_v3_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"/>
          <w:id w:val="1069232660"/>
          <w:placeholder>
            <w:docPart w:val="58A58C9C4BC141069102AA8ECBB19E24"/>
          </w:placeholder>
        </w:sdtPr>
        <w:sdtEndPr/>
        <w:sdtContent>
          <w:r w:rsidR="007B6B26" w:rsidRPr="007B6B26">
            <w:rPr>
              <w:rFonts w:ascii="Arial" w:hAnsi="Arial" w:cs="Arial"/>
              <w:color w:val="000000"/>
            </w:rPr>
            <w:t>(Lundberg &amp; Lee, 2017)</w:t>
          </w:r>
        </w:sdtContent>
      </w:sdt>
      <w:r>
        <w:rPr>
          <w:rFonts w:ascii="Arial" w:hAnsi="Arial" w:cs="Arial"/>
          <w:color w:val="000000"/>
        </w:rPr>
        <w:t xml:space="preserve">. </w:t>
      </w:r>
      <w:r w:rsidRPr="00CA3ED0">
        <w:rPr>
          <w:rFonts w:ascii="Arial" w:hAnsi="Arial" w:cs="Arial"/>
        </w:rPr>
        <w:t xml:space="preserve">Recent literature highlights SHAP as a powerful tool for interpretable AI in finance </w:t>
      </w:r>
      <w:sdt>
        <w:sdtPr>
          <w:rPr>
            <w:rFonts w:ascii="Arial" w:hAnsi="Arial" w:cs="Arial"/>
            <w:color w:val="000000"/>
          </w:rPr>
          <w:tag w:val="MENDELEY_CITATION_v3_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"/>
          <w:id w:val="-1090841708"/>
          <w:placeholder>
            <w:docPart w:val="58A58C9C4BC141069102AA8ECBB19E24"/>
          </w:placeholder>
        </w:sdtPr>
        <w:sdtEndPr/>
        <w:sdtContent>
          <w:r w:rsidR="007B6B26" w:rsidRPr="007B6B26">
            <w:rPr>
              <w:rFonts w:ascii="Arial" w:hAnsi="Arial" w:cs="Arial"/>
              <w:color w:val="000000"/>
            </w:rPr>
            <w:t>(Sinha, 2024)</w:t>
          </w:r>
        </w:sdtContent>
      </w:sdt>
      <w:r w:rsidRPr="00CA3ED0">
        <w:rPr>
          <w:rFonts w:ascii="Arial" w:hAnsi="Arial" w:cs="Arial"/>
        </w:rPr>
        <w:t>.</w:t>
      </w:r>
    </w:p>
    <w:p w14:paraId="3B50F6E4" w14:textId="77777777" w:rsidR="00CA3ED0" w:rsidRPr="00CA3ED0" w:rsidRDefault="00CA3ED0" w:rsidP="00CA3ED0">
      <w:pPr>
        <w:rPr>
          <w:rFonts w:ascii="Arial" w:hAnsi="Arial" w:cs="Arial"/>
          <w:b/>
          <w:bCs/>
        </w:rPr>
      </w:pPr>
    </w:p>
    <w:p w14:paraId="2C1C642B" w14:textId="77777777" w:rsidR="00CA3ED0" w:rsidRPr="00CA3ED0" w:rsidRDefault="00CA3ED0" w:rsidP="00CA3ED0">
      <w:pPr>
        <w:rPr>
          <w:rFonts w:ascii="Arial" w:hAnsi="Arial" w:cs="Arial"/>
          <w:b/>
          <w:bCs/>
          <w:sz w:val="22"/>
          <w:szCs w:val="22"/>
        </w:rPr>
      </w:pPr>
      <w:r w:rsidRPr="00CA3ED0">
        <w:rPr>
          <w:rFonts w:ascii="Arial" w:hAnsi="Arial" w:cs="Arial"/>
          <w:b/>
          <w:bCs/>
          <w:sz w:val="22"/>
          <w:szCs w:val="22"/>
        </w:rPr>
        <w:t>3.7 Methodological Contribution</w:t>
      </w:r>
    </w:p>
    <w:p w14:paraId="583B8935" w14:textId="77777777" w:rsidR="00CA3ED0" w:rsidRPr="00CA3ED0" w:rsidRDefault="00CA3ED0" w:rsidP="00CA3ED0">
      <w:pPr>
        <w:jc w:val="both"/>
        <w:rPr>
          <w:rFonts w:ascii="Arial" w:hAnsi="Arial" w:cs="Arial"/>
        </w:rPr>
      </w:pPr>
      <w:r w:rsidRPr="00CA3ED0">
        <w:rPr>
          <w:rFonts w:ascii="Arial" w:hAnsi="Arial" w:cs="Arial"/>
        </w:rPr>
        <w:t>The methodology integrates traditional econometric techniques with advanced machine learning and explainable AI approaches. This hybrid framework enables:</w:t>
      </w:r>
    </w:p>
    <w:p w14:paraId="7F0B89F2" w14:textId="77777777" w:rsidR="00CA3ED0" w:rsidRPr="00CA3ED0" w:rsidRDefault="00CA3ED0" w:rsidP="00CA3ED0">
      <w:pPr>
        <w:numPr>
          <w:ilvl w:val="0"/>
          <w:numId w:val="32"/>
        </w:numPr>
        <w:jc w:val="both"/>
        <w:rPr>
          <w:rFonts w:ascii="Arial" w:hAnsi="Arial" w:cs="Arial"/>
        </w:rPr>
      </w:pPr>
      <w:r w:rsidRPr="00CA3ED0">
        <w:rPr>
          <w:rFonts w:ascii="Arial" w:hAnsi="Arial" w:cs="Arial"/>
        </w:rPr>
        <w:t xml:space="preserve">Robust statistical inference </w:t>
      </w:r>
    </w:p>
    <w:p w14:paraId="78B804FE" w14:textId="77777777" w:rsidR="00CA3ED0" w:rsidRPr="00CA3ED0" w:rsidRDefault="00CA3ED0" w:rsidP="00CA3ED0">
      <w:pPr>
        <w:numPr>
          <w:ilvl w:val="0"/>
          <w:numId w:val="32"/>
        </w:numPr>
        <w:jc w:val="both"/>
        <w:rPr>
          <w:rFonts w:ascii="Arial" w:hAnsi="Arial" w:cs="Arial"/>
        </w:rPr>
      </w:pPr>
      <w:r w:rsidRPr="00CA3ED0">
        <w:rPr>
          <w:rFonts w:ascii="Arial" w:hAnsi="Arial" w:cs="Arial"/>
        </w:rPr>
        <w:t xml:space="preserve">High predictive accuracy </w:t>
      </w:r>
    </w:p>
    <w:p w14:paraId="46A47CAF" w14:textId="77777777" w:rsidR="00CA3ED0" w:rsidRDefault="00CA3ED0" w:rsidP="00CA3ED0">
      <w:pPr>
        <w:numPr>
          <w:ilvl w:val="0"/>
          <w:numId w:val="32"/>
        </w:numPr>
        <w:jc w:val="both"/>
        <w:rPr>
          <w:rFonts w:ascii="Arial" w:hAnsi="Arial" w:cs="Arial"/>
        </w:rPr>
      </w:pPr>
      <w:r w:rsidRPr="00CA3ED0">
        <w:rPr>
          <w:rFonts w:ascii="Arial" w:hAnsi="Arial" w:cs="Arial"/>
        </w:rPr>
        <w:t xml:space="preserve">Transparent interpretation of results </w:t>
      </w:r>
    </w:p>
    <w:p w14:paraId="6EE5FFCE" w14:textId="7BC37BE3" w:rsidR="00CA3ED0" w:rsidRPr="00CA3ED0" w:rsidRDefault="00CA3ED0" w:rsidP="00CA3ED0">
      <w:pPr>
        <w:jc w:val="both"/>
        <w:rPr>
          <w:rFonts w:ascii="Arial" w:hAnsi="Arial" w:cs="Arial"/>
        </w:rPr>
      </w:pPr>
      <w:r w:rsidRPr="00CA3ED0">
        <w:rPr>
          <w:rFonts w:ascii="Arial" w:hAnsi="Arial" w:cs="Arial"/>
        </w:rPr>
        <w:t xml:space="preserve">Such integrated approaches are increasingly recommended in financial risk modeling literature </w:t>
      </w:r>
      <w:sdt>
        <w:sdtPr>
          <w:rPr>
            <w:rFonts w:ascii="Arial" w:hAnsi="Arial" w:cs="Arial"/>
            <w:color w:val="000000"/>
          </w:rPr>
          <w:tag w:val="MENDELEY_CITATION_v3_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"/>
          <w:id w:val="8732439"/>
          <w:placeholder>
            <w:docPart w:val="FC1006D891084BA9B0790DB01B5AAB4C"/>
          </w:placeholder>
        </w:sdtPr>
        <w:sdtEndPr/>
        <w:sdtContent>
          <w:r w:rsidR="007B6B26" w:rsidRPr="007B6B26">
            <w:rPr>
              <w:rFonts w:ascii="Arial" w:hAnsi="Arial" w:cs="Arial"/>
              <w:color w:val="000000"/>
            </w:rPr>
            <w:t>(Acemoglu &amp; Restrepo, 2019; Mullainathan &amp; Spiess, 2017b)</w:t>
          </w:r>
        </w:sdtContent>
      </w:sdt>
      <w:r w:rsidRPr="00CA3ED0">
        <w:rPr>
          <w:rFonts w:ascii="Arial" w:hAnsi="Arial" w:cs="Arial"/>
        </w:rPr>
        <w:t>.</w:t>
      </w:r>
    </w:p>
    <w:p w14:paraId="2D162644" w14:textId="77777777" w:rsidR="00CA3ED0" w:rsidRDefault="00CA3ED0" w:rsidP="00441B6F">
      <w:pPr>
        <w:pStyle w:val="AbstHead"/>
        <w:spacing w:after="0"/>
        <w:jc w:val="both"/>
        <w:rPr>
          <w:rFonts w:ascii="Arial" w:hAnsi="Arial" w:cs="Arial"/>
        </w:rPr>
      </w:pPr>
    </w:p>
    <w:p w14:paraId="7ABBE851" w14:textId="39680560" w:rsidR="00902823" w:rsidRDefault="00CA3ED0"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15CC6676" w14:textId="77777777" w:rsidR="00790ADA" w:rsidRPr="00FB3A86" w:rsidRDefault="00790ADA" w:rsidP="00441B6F">
      <w:pPr>
        <w:pStyle w:val="Head1"/>
        <w:spacing w:after="0"/>
        <w:jc w:val="both"/>
        <w:rPr>
          <w:rFonts w:ascii="Arial" w:hAnsi="Arial" w:cs="Arial"/>
        </w:rPr>
      </w:pPr>
    </w:p>
    <w:p w14:paraId="32942089" w14:textId="77777777" w:rsidR="00CA3ED0" w:rsidRPr="00CA3ED0" w:rsidRDefault="00CA3ED0" w:rsidP="00CA3ED0">
      <w:pPr>
        <w:jc w:val="both"/>
        <w:rPr>
          <w:rFonts w:ascii="Arial" w:hAnsi="Arial" w:cs="Arial"/>
          <w:b/>
          <w:bCs/>
          <w:sz w:val="22"/>
          <w:szCs w:val="22"/>
        </w:rPr>
      </w:pPr>
      <w:r w:rsidRPr="00CA3ED0">
        <w:rPr>
          <w:rFonts w:ascii="Arial" w:hAnsi="Arial" w:cs="Arial"/>
          <w:b/>
          <w:bCs/>
          <w:sz w:val="22"/>
          <w:szCs w:val="22"/>
        </w:rPr>
        <w:t>4.1 Overview of Analytical Framework</w:t>
      </w:r>
    </w:p>
    <w:p w14:paraId="77B0F9BD" w14:textId="77777777" w:rsidR="00CA3ED0" w:rsidRDefault="00CA3ED0" w:rsidP="00CA3ED0">
      <w:pPr>
        <w:jc w:val="both"/>
        <w:rPr>
          <w:rFonts w:ascii="Arial" w:hAnsi="Arial" w:cs="Arial"/>
        </w:rPr>
      </w:pPr>
      <w:r w:rsidRPr="00CA3ED0">
        <w:rPr>
          <w:rFonts w:ascii="Arial" w:hAnsi="Arial" w:cs="Arial"/>
        </w:rPr>
        <w:t>This study investigates the determinants and predictive dynamics of Non-Performing Assets (NPAs) across Indian banking groups using a hybrid framework that integrates panel econometric models, machine learning techniques, and explainable artificial intelligence. The results provide both inferential and predictive insights, offering a comprehensive understanding of banking sector stress.</w:t>
      </w:r>
    </w:p>
    <w:p w14:paraId="157A4E0F" w14:textId="77777777" w:rsidR="00CA3ED0" w:rsidRPr="00CA3ED0" w:rsidRDefault="00CA3ED0" w:rsidP="00CA3ED0">
      <w:pPr>
        <w:jc w:val="both"/>
        <w:rPr>
          <w:rFonts w:ascii="Arial" w:hAnsi="Arial" w:cs="Arial"/>
        </w:rPr>
      </w:pPr>
    </w:p>
    <w:p w14:paraId="5B69BCEC" w14:textId="77777777" w:rsidR="00CA3ED0" w:rsidRPr="00CA3ED0" w:rsidRDefault="00CA3ED0" w:rsidP="00CA3ED0">
      <w:pPr>
        <w:jc w:val="both"/>
        <w:rPr>
          <w:rFonts w:ascii="Arial" w:hAnsi="Arial" w:cs="Arial"/>
          <w:b/>
          <w:bCs/>
          <w:sz w:val="22"/>
          <w:szCs w:val="22"/>
        </w:rPr>
      </w:pPr>
      <w:r w:rsidRPr="00CA3ED0">
        <w:rPr>
          <w:rFonts w:ascii="Arial" w:hAnsi="Arial" w:cs="Arial"/>
          <w:b/>
          <w:bCs/>
          <w:sz w:val="22"/>
          <w:szCs w:val="22"/>
        </w:rPr>
        <w:t>4.2 Descriptive Statistics and Preliminary Analysis</w:t>
      </w:r>
    </w:p>
    <w:p w14:paraId="02818DEB" w14:textId="77777777" w:rsidR="00CA3ED0" w:rsidRDefault="00CA3ED0" w:rsidP="00CA3ED0">
      <w:pPr>
        <w:jc w:val="both"/>
        <w:rPr>
          <w:rFonts w:ascii="Arial" w:hAnsi="Arial" w:cs="Arial"/>
        </w:rPr>
      </w:pPr>
      <w:r w:rsidRPr="00CA3ED0">
        <w:rPr>
          <w:rFonts w:ascii="Arial" w:hAnsi="Arial" w:cs="Arial"/>
        </w:rPr>
        <w:t xml:space="preserve">The descriptive statistics presented in </w:t>
      </w:r>
      <w:r w:rsidRPr="00CA3ED0">
        <w:rPr>
          <w:rFonts w:ascii="Arial" w:hAnsi="Arial" w:cs="Arial"/>
          <w:b/>
          <w:bCs/>
        </w:rPr>
        <w:t>Table 1</w:t>
      </w:r>
      <w:r w:rsidRPr="00CA3ED0">
        <w:rPr>
          <w:rFonts w:ascii="Arial" w:hAnsi="Arial" w:cs="Arial"/>
        </w:rPr>
        <w:t xml:space="preserve"> provide an overview of the distributional properties of the variables used in the analysis. The NPA ratio exhibits moderate variability across Indian banking groups, reflecting differences in asset quality over the study period. Macroeconomic variables such as credit growth, GDP growth, inflation, and lending interest rates display relatively stable means and standard deviations, indicating a consistent macroeconomic environment.</w:t>
      </w:r>
    </w:p>
    <w:p w14:paraId="2CF0D6BB" w14:textId="77777777" w:rsidR="00CA3ED0" w:rsidRPr="00CA3ED0" w:rsidRDefault="00CA3ED0" w:rsidP="00CA3ED0">
      <w:pPr>
        <w:jc w:val="both"/>
        <w:rPr>
          <w:rFonts w:ascii="Arial" w:hAnsi="Arial" w:cs="Arial"/>
        </w:rPr>
      </w:pPr>
    </w:p>
    <w:p w14:paraId="3F2E1E3A" w14:textId="77777777" w:rsidR="00CA3ED0" w:rsidRPr="00CA3ED0" w:rsidRDefault="00CA3ED0" w:rsidP="00CA3ED0">
      <w:pPr>
        <w:jc w:val="both"/>
        <w:rPr>
          <w:rFonts w:ascii="Arial" w:hAnsi="Arial" w:cs="Arial"/>
          <w:b/>
          <w:bCs/>
        </w:rPr>
      </w:pPr>
      <w:r w:rsidRPr="00CA3ED0">
        <w:rPr>
          <w:rFonts w:ascii="Arial" w:hAnsi="Arial" w:cs="Arial"/>
          <w:b/>
          <w:bCs/>
        </w:rPr>
        <w:t>Table 1. Summary Statistics of Variables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9"/>
        <w:gridCol w:w="1273"/>
        <w:gridCol w:w="1368"/>
        <w:gridCol w:w="1314"/>
        <w:gridCol w:w="1273"/>
        <w:gridCol w:w="1731"/>
      </w:tblGrid>
      <w:tr w:rsidR="00CA3ED0" w:rsidRPr="00CA3ED0" w14:paraId="4853A853" w14:textId="77777777" w:rsidTr="00123618">
        <w:trPr>
          <w:jc w:val="center"/>
        </w:trPr>
        <w:tc>
          <w:tcPr>
            <w:tcW w:w="0" w:type="auto"/>
            <w:tcBorders>
              <w:top w:val="single" w:sz="4" w:space="0" w:color="auto"/>
              <w:bottom w:val="single" w:sz="4" w:space="0" w:color="auto"/>
            </w:tcBorders>
            <w:hideMark/>
          </w:tcPr>
          <w:p w14:paraId="674A7734"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Statistic</w:t>
            </w:r>
          </w:p>
        </w:tc>
        <w:tc>
          <w:tcPr>
            <w:tcW w:w="0" w:type="auto"/>
            <w:tcBorders>
              <w:top w:val="single" w:sz="4" w:space="0" w:color="auto"/>
              <w:bottom w:val="single" w:sz="4" w:space="0" w:color="auto"/>
            </w:tcBorders>
            <w:hideMark/>
          </w:tcPr>
          <w:p w14:paraId="2ECBF875"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NPA</w:t>
            </w:r>
          </w:p>
        </w:tc>
        <w:tc>
          <w:tcPr>
            <w:tcW w:w="0" w:type="auto"/>
            <w:tcBorders>
              <w:top w:val="single" w:sz="4" w:space="0" w:color="auto"/>
              <w:bottom w:val="single" w:sz="4" w:space="0" w:color="auto"/>
            </w:tcBorders>
            <w:hideMark/>
          </w:tcPr>
          <w:p w14:paraId="62076FED"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Credit Growth</w:t>
            </w:r>
          </w:p>
        </w:tc>
        <w:tc>
          <w:tcPr>
            <w:tcW w:w="0" w:type="auto"/>
            <w:tcBorders>
              <w:top w:val="single" w:sz="4" w:space="0" w:color="auto"/>
              <w:bottom w:val="single" w:sz="4" w:space="0" w:color="auto"/>
            </w:tcBorders>
            <w:hideMark/>
          </w:tcPr>
          <w:p w14:paraId="525DC59E"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GDP Growth</w:t>
            </w:r>
          </w:p>
        </w:tc>
        <w:tc>
          <w:tcPr>
            <w:tcW w:w="0" w:type="auto"/>
            <w:tcBorders>
              <w:top w:val="single" w:sz="4" w:space="0" w:color="auto"/>
              <w:bottom w:val="single" w:sz="4" w:space="0" w:color="auto"/>
            </w:tcBorders>
            <w:hideMark/>
          </w:tcPr>
          <w:p w14:paraId="7273152A"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Inflation</w:t>
            </w:r>
          </w:p>
        </w:tc>
        <w:tc>
          <w:tcPr>
            <w:tcW w:w="0" w:type="auto"/>
            <w:tcBorders>
              <w:top w:val="single" w:sz="4" w:space="0" w:color="auto"/>
              <w:bottom w:val="single" w:sz="4" w:space="0" w:color="auto"/>
            </w:tcBorders>
            <w:hideMark/>
          </w:tcPr>
          <w:p w14:paraId="43FFD322"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Lending Interest Rate</w:t>
            </w:r>
          </w:p>
        </w:tc>
      </w:tr>
      <w:tr w:rsidR="00CA3ED0" w:rsidRPr="00CA3ED0" w14:paraId="40F04FE4" w14:textId="77777777" w:rsidTr="00123618">
        <w:trPr>
          <w:jc w:val="center"/>
        </w:trPr>
        <w:tc>
          <w:tcPr>
            <w:tcW w:w="0" w:type="auto"/>
            <w:tcBorders>
              <w:top w:val="single" w:sz="4" w:space="0" w:color="auto"/>
            </w:tcBorders>
            <w:hideMark/>
          </w:tcPr>
          <w:p w14:paraId="4C6D6459" w14:textId="77777777" w:rsidR="00CA3ED0" w:rsidRPr="00CA3ED0" w:rsidRDefault="00CA3ED0" w:rsidP="00CA3ED0">
            <w:pPr>
              <w:rPr>
                <w:rFonts w:ascii="Arial" w:hAnsi="Arial" w:cs="Arial"/>
                <w:sz w:val="20"/>
                <w:szCs w:val="20"/>
              </w:rPr>
            </w:pPr>
            <w:r w:rsidRPr="00CA3ED0">
              <w:rPr>
                <w:rFonts w:ascii="Arial" w:hAnsi="Arial" w:cs="Arial"/>
                <w:sz w:val="20"/>
                <w:szCs w:val="20"/>
              </w:rPr>
              <w:t>Count</w:t>
            </w:r>
          </w:p>
        </w:tc>
        <w:tc>
          <w:tcPr>
            <w:tcW w:w="0" w:type="auto"/>
            <w:tcBorders>
              <w:top w:val="single" w:sz="4" w:space="0" w:color="auto"/>
            </w:tcBorders>
            <w:hideMark/>
          </w:tcPr>
          <w:p w14:paraId="1BAF8F43"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108.000000</w:t>
            </w:r>
          </w:p>
        </w:tc>
        <w:tc>
          <w:tcPr>
            <w:tcW w:w="0" w:type="auto"/>
            <w:tcBorders>
              <w:top w:val="single" w:sz="4" w:space="0" w:color="auto"/>
            </w:tcBorders>
            <w:hideMark/>
          </w:tcPr>
          <w:p w14:paraId="3917CA84"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108.000000</w:t>
            </w:r>
          </w:p>
        </w:tc>
        <w:tc>
          <w:tcPr>
            <w:tcW w:w="0" w:type="auto"/>
            <w:tcBorders>
              <w:top w:val="single" w:sz="4" w:space="0" w:color="auto"/>
            </w:tcBorders>
            <w:hideMark/>
          </w:tcPr>
          <w:p w14:paraId="60C1073D"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108.000000</w:t>
            </w:r>
          </w:p>
        </w:tc>
        <w:tc>
          <w:tcPr>
            <w:tcW w:w="0" w:type="auto"/>
            <w:tcBorders>
              <w:top w:val="single" w:sz="4" w:space="0" w:color="auto"/>
            </w:tcBorders>
            <w:hideMark/>
          </w:tcPr>
          <w:p w14:paraId="683F8E78"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108.000000</w:t>
            </w:r>
          </w:p>
        </w:tc>
        <w:tc>
          <w:tcPr>
            <w:tcW w:w="0" w:type="auto"/>
            <w:tcBorders>
              <w:top w:val="single" w:sz="4" w:space="0" w:color="auto"/>
            </w:tcBorders>
            <w:hideMark/>
          </w:tcPr>
          <w:p w14:paraId="69496D3B"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108.000000</w:t>
            </w:r>
          </w:p>
        </w:tc>
      </w:tr>
      <w:tr w:rsidR="00CA3ED0" w:rsidRPr="00CA3ED0" w14:paraId="2B298862" w14:textId="77777777" w:rsidTr="00123618">
        <w:trPr>
          <w:jc w:val="center"/>
        </w:trPr>
        <w:tc>
          <w:tcPr>
            <w:tcW w:w="0" w:type="auto"/>
            <w:hideMark/>
          </w:tcPr>
          <w:p w14:paraId="5E35C767" w14:textId="77777777" w:rsidR="00CA3ED0" w:rsidRPr="00CA3ED0" w:rsidRDefault="00CA3ED0" w:rsidP="00CA3ED0">
            <w:pPr>
              <w:rPr>
                <w:rFonts w:ascii="Arial" w:hAnsi="Arial" w:cs="Arial"/>
                <w:sz w:val="20"/>
                <w:szCs w:val="20"/>
              </w:rPr>
            </w:pPr>
            <w:r w:rsidRPr="00CA3ED0">
              <w:rPr>
                <w:rFonts w:ascii="Arial" w:hAnsi="Arial" w:cs="Arial"/>
                <w:sz w:val="20"/>
                <w:szCs w:val="20"/>
              </w:rPr>
              <w:t>Mean</w:t>
            </w:r>
          </w:p>
        </w:tc>
        <w:tc>
          <w:tcPr>
            <w:tcW w:w="0" w:type="auto"/>
            <w:hideMark/>
          </w:tcPr>
          <w:p w14:paraId="502F91A2"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5.414815</w:t>
            </w:r>
          </w:p>
        </w:tc>
        <w:tc>
          <w:tcPr>
            <w:tcW w:w="0" w:type="auto"/>
            <w:hideMark/>
          </w:tcPr>
          <w:p w14:paraId="4BF2DE2D"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18.481546</w:t>
            </w:r>
          </w:p>
        </w:tc>
        <w:tc>
          <w:tcPr>
            <w:tcW w:w="0" w:type="auto"/>
            <w:hideMark/>
          </w:tcPr>
          <w:p w14:paraId="3F423485"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6.349911</w:t>
            </w:r>
          </w:p>
        </w:tc>
        <w:tc>
          <w:tcPr>
            <w:tcW w:w="0" w:type="auto"/>
            <w:hideMark/>
          </w:tcPr>
          <w:p w14:paraId="69E5B9CA"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6.302907</w:t>
            </w:r>
          </w:p>
        </w:tc>
        <w:tc>
          <w:tcPr>
            <w:tcW w:w="0" w:type="auto"/>
            <w:hideMark/>
          </w:tcPr>
          <w:p w14:paraId="2D1574AB"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10.587379</w:t>
            </w:r>
          </w:p>
        </w:tc>
      </w:tr>
      <w:tr w:rsidR="00CA3ED0" w:rsidRPr="00CA3ED0" w14:paraId="321A39F9" w14:textId="77777777" w:rsidTr="00123618">
        <w:trPr>
          <w:jc w:val="center"/>
        </w:trPr>
        <w:tc>
          <w:tcPr>
            <w:tcW w:w="0" w:type="auto"/>
            <w:hideMark/>
          </w:tcPr>
          <w:p w14:paraId="7361DD48" w14:textId="77777777" w:rsidR="00CA3ED0" w:rsidRPr="00CA3ED0" w:rsidRDefault="00CA3ED0" w:rsidP="00CA3ED0">
            <w:pPr>
              <w:rPr>
                <w:rFonts w:ascii="Arial" w:hAnsi="Arial" w:cs="Arial"/>
                <w:sz w:val="20"/>
                <w:szCs w:val="20"/>
              </w:rPr>
            </w:pPr>
            <w:r w:rsidRPr="00CA3ED0">
              <w:rPr>
                <w:rFonts w:ascii="Arial" w:hAnsi="Arial" w:cs="Arial"/>
                <w:sz w:val="20"/>
                <w:szCs w:val="20"/>
              </w:rPr>
              <w:t>Std Dev</w:t>
            </w:r>
          </w:p>
        </w:tc>
        <w:tc>
          <w:tcPr>
            <w:tcW w:w="0" w:type="auto"/>
            <w:hideMark/>
          </w:tcPr>
          <w:p w14:paraId="0C731084"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3.687053</w:t>
            </w:r>
          </w:p>
        </w:tc>
        <w:tc>
          <w:tcPr>
            <w:tcW w:w="0" w:type="auto"/>
            <w:hideMark/>
          </w:tcPr>
          <w:p w14:paraId="354D4716"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17.078761</w:t>
            </w:r>
          </w:p>
        </w:tc>
        <w:tc>
          <w:tcPr>
            <w:tcW w:w="0" w:type="auto"/>
            <w:hideMark/>
          </w:tcPr>
          <w:p w14:paraId="70ACD422"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2.961096</w:t>
            </w:r>
          </w:p>
        </w:tc>
        <w:tc>
          <w:tcPr>
            <w:tcW w:w="0" w:type="auto"/>
            <w:hideMark/>
          </w:tcPr>
          <w:p w14:paraId="3152FE95"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2.737880</w:t>
            </w:r>
          </w:p>
        </w:tc>
        <w:tc>
          <w:tcPr>
            <w:tcW w:w="0" w:type="auto"/>
            <w:hideMark/>
          </w:tcPr>
          <w:p w14:paraId="57FD7910"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1.591049</w:t>
            </w:r>
          </w:p>
        </w:tc>
      </w:tr>
      <w:tr w:rsidR="00CA3ED0" w:rsidRPr="00CA3ED0" w14:paraId="4CBEB14C" w14:textId="77777777" w:rsidTr="00123618">
        <w:trPr>
          <w:jc w:val="center"/>
        </w:trPr>
        <w:tc>
          <w:tcPr>
            <w:tcW w:w="0" w:type="auto"/>
            <w:hideMark/>
          </w:tcPr>
          <w:p w14:paraId="332ED329" w14:textId="77777777" w:rsidR="00CA3ED0" w:rsidRPr="00CA3ED0" w:rsidRDefault="00CA3ED0" w:rsidP="00CA3ED0">
            <w:pPr>
              <w:rPr>
                <w:rFonts w:ascii="Arial" w:hAnsi="Arial" w:cs="Arial"/>
                <w:sz w:val="20"/>
                <w:szCs w:val="20"/>
              </w:rPr>
            </w:pPr>
            <w:r w:rsidRPr="00CA3ED0">
              <w:rPr>
                <w:rFonts w:ascii="Arial" w:hAnsi="Arial" w:cs="Arial"/>
                <w:sz w:val="20"/>
                <w:szCs w:val="20"/>
              </w:rPr>
              <w:t>Min</w:t>
            </w:r>
          </w:p>
        </w:tc>
        <w:tc>
          <w:tcPr>
            <w:tcW w:w="0" w:type="auto"/>
            <w:hideMark/>
          </w:tcPr>
          <w:p w14:paraId="26678D3C"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1.200000</w:t>
            </w:r>
          </w:p>
        </w:tc>
        <w:tc>
          <w:tcPr>
            <w:tcW w:w="0" w:type="auto"/>
            <w:hideMark/>
          </w:tcPr>
          <w:p w14:paraId="6DA1F941"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-8.705361</w:t>
            </w:r>
          </w:p>
        </w:tc>
        <w:tc>
          <w:tcPr>
            <w:tcW w:w="0" w:type="auto"/>
            <w:hideMark/>
          </w:tcPr>
          <w:p w14:paraId="79E4373C"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-5.777725</w:t>
            </w:r>
          </w:p>
        </w:tc>
        <w:tc>
          <w:tcPr>
            <w:tcW w:w="0" w:type="auto"/>
            <w:hideMark/>
          </w:tcPr>
          <w:p w14:paraId="4327E61E"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3.328173</w:t>
            </w:r>
          </w:p>
        </w:tc>
        <w:tc>
          <w:tcPr>
            <w:tcW w:w="0" w:type="auto"/>
            <w:hideMark/>
          </w:tcPr>
          <w:p w14:paraId="6CB3E756"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8.130000</w:t>
            </w:r>
          </w:p>
        </w:tc>
      </w:tr>
      <w:tr w:rsidR="00CA3ED0" w:rsidRPr="00CA3ED0" w14:paraId="69A407FA" w14:textId="77777777" w:rsidTr="00123618">
        <w:trPr>
          <w:jc w:val="center"/>
        </w:trPr>
        <w:tc>
          <w:tcPr>
            <w:tcW w:w="0" w:type="auto"/>
            <w:hideMark/>
          </w:tcPr>
          <w:p w14:paraId="4AA48F8B" w14:textId="77777777" w:rsidR="00CA3ED0" w:rsidRPr="00CA3ED0" w:rsidRDefault="00CA3ED0" w:rsidP="00CA3ED0">
            <w:pPr>
              <w:rPr>
                <w:rFonts w:ascii="Arial" w:hAnsi="Arial" w:cs="Arial"/>
                <w:sz w:val="20"/>
                <w:szCs w:val="20"/>
              </w:rPr>
            </w:pPr>
            <w:r w:rsidRPr="00CA3ED0">
              <w:rPr>
                <w:rFonts w:ascii="Arial" w:hAnsi="Arial" w:cs="Arial"/>
                <w:sz w:val="20"/>
                <w:szCs w:val="20"/>
              </w:rPr>
              <w:lastRenderedPageBreak/>
              <w:t>25%</w:t>
            </w:r>
          </w:p>
        </w:tc>
        <w:tc>
          <w:tcPr>
            <w:tcW w:w="0" w:type="auto"/>
            <w:hideMark/>
          </w:tcPr>
          <w:p w14:paraId="2623A6A8"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2.700000</w:t>
            </w:r>
          </w:p>
        </w:tc>
        <w:tc>
          <w:tcPr>
            <w:tcW w:w="0" w:type="auto"/>
            <w:hideMark/>
          </w:tcPr>
          <w:p w14:paraId="40BD48BB"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10.174097</w:t>
            </w:r>
          </w:p>
        </w:tc>
        <w:tc>
          <w:tcPr>
            <w:tcW w:w="0" w:type="auto"/>
            <w:hideMark/>
          </w:tcPr>
          <w:p w14:paraId="389C15A3"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5.241316</w:t>
            </w:r>
          </w:p>
        </w:tc>
        <w:tc>
          <w:tcPr>
            <w:tcW w:w="0" w:type="auto"/>
            <w:hideMark/>
          </w:tcPr>
          <w:p w14:paraId="56F6D0AD"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4.009436</w:t>
            </w:r>
          </w:p>
        </w:tc>
        <w:tc>
          <w:tcPr>
            <w:tcW w:w="0" w:type="auto"/>
            <w:hideMark/>
          </w:tcPr>
          <w:p w14:paraId="55B05B1B"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9.454167</w:t>
            </w:r>
          </w:p>
        </w:tc>
      </w:tr>
      <w:tr w:rsidR="00CA3ED0" w:rsidRPr="00CA3ED0" w14:paraId="2BAEBF43" w14:textId="77777777" w:rsidTr="00123618">
        <w:trPr>
          <w:jc w:val="center"/>
        </w:trPr>
        <w:tc>
          <w:tcPr>
            <w:tcW w:w="0" w:type="auto"/>
            <w:hideMark/>
          </w:tcPr>
          <w:p w14:paraId="54D2F49C" w14:textId="77777777" w:rsidR="00CA3ED0" w:rsidRPr="00CA3ED0" w:rsidRDefault="00CA3ED0" w:rsidP="00CA3ED0">
            <w:pPr>
              <w:rPr>
                <w:rFonts w:ascii="Arial" w:hAnsi="Arial" w:cs="Arial"/>
                <w:sz w:val="20"/>
                <w:szCs w:val="20"/>
              </w:rPr>
            </w:pPr>
            <w:r w:rsidRPr="00CA3ED0">
              <w:rPr>
                <w:rFonts w:ascii="Arial" w:hAnsi="Arial" w:cs="Arial"/>
                <w:sz w:val="20"/>
                <w:szCs w:val="20"/>
              </w:rPr>
              <w:t>50% (Median)</w:t>
            </w:r>
          </w:p>
        </w:tc>
        <w:tc>
          <w:tcPr>
            <w:tcW w:w="0" w:type="auto"/>
            <w:hideMark/>
          </w:tcPr>
          <w:p w14:paraId="3BFEE900"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3.950000</w:t>
            </w:r>
          </w:p>
        </w:tc>
        <w:tc>
          <w:tcPr>
            <w:tcW w:w="0" w:type="auto"/>
            <w:hideMark/>
          </w:tcPr>
          <w:p w14:paraId="3D3D8728"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16.006179</w:t>
            </w:r>
          </w:p>
        </w:tc>
        <w:tc>
          <w:tcPr>
            <w:tcW w:w="0" w:type="auto"/>
            <w:hideMark/>
          </w:tcPr>
          <w:p w14:paraId="7C76E16B"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7.410228</w:t>
            </w:r>
          </w:p>
        </w:tc>
        <w:tc>
          <w:tcPr>
            <w:tcW w:w="0" w:type="auto"/>
            <w:hideMark/>
          </w:tcPr>
          <w:p w14:paraId="77B2C88B"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5.131407</w:t>
            </w:r>
          </w:p>
        </w:tc>
        <w:tc>
          <w:tcPr>
            <w:tcW w:w="0" w:type="auto"/>
            <w:hideMark/>
          </w:tcPr>
          <w:p w14:paraId="20C4744F"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10.291667</w:t>
            </w:r>
          </w:p>
        </w:tc>
      </w:tr>
      <w:tr w:rsidR="00CA3ED0" w:rsidRPr="00CA3ED0" w14:paraId="7C7A5C90" w14:textId="77777777" w:rsidTr="00123618">
        <w:trPr>
          <w:jc w:val="center"/>
        </w:trPr>
        <w:tc>
          <w:tcPr>
            <w:tcW w:w="0" w:type="auto"/>
            <w:hideMark/>
          </w:tcPr>
          <w:p w14:paraId="69EC2888" w14:textId="77777777" w:rsidR="00CA3ED0" w:rsidRPr="00CA3ED0" w:rsidRDefault="00CA3ED0" w:rsidP="00CA3ED0">
            <w:pPr>
              <w:rPr>
                <w:rFonts w:ascii="Arial" w:hAnsi="Arial" w:cs="Arial"/>
                <w:sz w:val="20"/>
                <w:szCs w:val="20"/>
              </w:rPr>
            </w:pPr>
            <w:r w:rsidRPr="00CA3ED0">
              <w:rPr>
                <w:rFonts w:ascii="Arial" w:hAnsi="Arial" w:cs="Arial"/>
                <w:sz w:val="20"/>
                <w:szCs w:val="20"/>
              </w:rPr>
              <w:t>75%</w:t>
            </w:r>
          </w:p>
        </w:tc>
        <w:tc>
          <w:tcPr>
            <w:tcW w:w="0" w:type="auto"/>
            <w:hideMark/>
          </w:tcPr>
          <w:p w14:paraId="23DBD647"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7.350000</w:t>
            </w:r>
          </w:p>
        </w:tc>
        <w:tc>
          <w:tcPr>
            <w:tcW w:w="0" w:type="auto"/>
            <w:hideMark/>
          </w:tcPr>
          <w:p w14:paraId="43B838B6"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22.774620</w:t>
            </w:r>
          </w:p>
        </w:tc>
        <w:tc>
          <w:tcPr>
            <w:tcW w:w="0" w:type="auto"/>
            <w:hideMark/>
          </w:tcPr>
          <w:p w14:paraId="0D646C92"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7.996254</w:t>
            </w:r>
          </w:p>
        </w:tc>
        <w:tc>
          <w:tcPr>
            <w:tcW w:w="0" w:type="auto"/>
            <w:hideMark/>
          </w:tcPr>
          <w:p w14:paraId="60A5D755"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8.349267</w:t>
            </w:r>
          </w:p>
        </w:tc>
        <w:tc>
          <w:tcPr>
            <w:tcW w:w="0" w:type="auto"/>
            <w:hideMark/>
          </w:tcPr>
          <w:p w14:paraId="5542BDDB"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12.083333</w:t>
            </w:r>
          </w:p>
        </w:tc>
      </w:tr>
      <w:tr w:rsidR="00CA3ED0" w:rsidRPr="00CA3ED0" w14:paraId="1DB84EAB" w14:textId="77777777" w:rsidTr="00123618">
        <w:trPr>
          <w:jc w:val="center"/>
        </w:trPr>
        <w:tc>
          <w:tcPr>
            <w:tcW w:w="0" w:type="auto"/>
            <w:tcBorders>
              <w:bottom w:val="single" w:sz="4" w:space="0" w:color="auto"/>
            </w:tcBorders>
            <w:hideMark/>
          </w:tcPr>
          <w:p w14:paraId="7D3DF0A0" w14:textId="77777777" w:rsidR="00CA3ED0" w:rsidRPr="00CA3ED0" w:rsidRDefault="00CA3ED0" w:rsidP="00CA3ED0">
            <w:pPr>
              <w:rPr>
                <w:rFonts w:ascii="Arial" w:hAnsi="Arial" w:cs="Arial"/>
                <w:sz w:val="20"/>
                <w:szCs w:val="20"/>
              </w:rPr>
            </w:pPr>
            <w:r w:rsidRPr="00CA3ED0">
              <w:rPr>
                <w:rFonts w:ascii="Arial" w:hAnsi="Arial" w:cs="Arial"/>
                <w:sz w:val="20"/>
                <w:szCs w:val="20"/>
              </w:rPr>
              <w:t>Max</w:t>
            </w:r>
          </w:p>
        </w:tc>
        <w:tc>
          <w:tcPr>
            <w:tcW w:w="0" w:type="auto"/>
            <w:tcBorders>
              <w:bottom w:val="single" w:sz="4" w:space="0" w:color="auto"/>
            </w:tcBorders>
            <w:hideMark/>
          </w:tcPr>
          <w:p w14:paraId="4C45351E"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16.000000</w:t>
            </w:r>
          </w:p>
        </w:tc>
        <w:tc>
          <w:tcPr>
            <w:tcW w:w="0" w:type="auto"/>
            <w:tcBorders>
              <w:bottom w:val="single" w:sz="4" w:space="0" w:color="auto"/>
            </w:tcBorders>
            <w:hideMark/>
          </w:tcPr>
          <w:p w14:paraId="161397A4"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151.438979</w:t>
            </w:r>
          </w:p>
        </w:tc>
        <w:tc>
          <w:tcPr>
            <w:tcW w:w="0" w:type="auto"/>
            <w:tcBorders>
              <w:bottom w:val="single" w:sz="4" w:space="0" w:color="auto"/>
            </w:tcBorders>
            <w:hideMark/>
          </w:tcPr>
          <w:p w14:paraId="08AD3CF5"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9.689592</w:t>
            </w:r>
          </w:p>
        </w:tc>
        <w:tc>
          <w:tcPr>
            <w:tcW w:w="0" w:type="auto"/>
            <w:tcBorders>
              <w:bottom w:val="single" w:sz="4" w:space="0" w:color="auto"/>
            </w:tcBorders>
            <w:hideMark/>
          </w:tcPr>
          <w:p w14:paraId="79083654"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13.230839</w:t>
            </w:r>
          </w:p>
        </w:tc>
        <w:tc>
          <w:tcPr>
            <w:tcW w:w="0" w:type="auto"/>
            <w:tcBorders>
              <w:bottom w:val="single" w:sz="4" w:space="0" w:color="auto"/>
            </w:tcBorders>
            <w:hideMark/>
          </w:tcPr>
          <w:p w14:paraId="4B191E9D"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13.541667</w:t>
            </w:r>
          </w:p>
        </w:tc>
      </w:tr>
    </w:tbl>
    <w:p w14:paraId="42AEC399" w14:textId="77777777" w:rsidR="00CA3ED0" w:rsidRPr="00CA3ED0" w:rsidRDefault="00CA3ED0" w:rsidP="00CA3ED0">
      <w:pPr>
        <w:jc w:val="both"/>
        <w:rPr>
          <w:rFonts w:ascii="Arial" w:hAnsi="Arial" w:cs="Arial"/>
          <w:b/>
          <w:bCs/>
        </w:rPr>
      </w:pPr>
    </w:p>
    <w:p w14:paraId="45929761" w14:textId="77777777" w:rsidR="00CA3ED0" w:rsidRPr="00CA3ED0" w:rsidRDefault="00CA3ED0" w:rsidP="00CA3ED0">
      <w:pPr>
        <w:jc w:val="both"/>
        <w:rPr>
          <w:rFonts w:ascii="Arial" w:hAnsi="Arial" w:cs="Arial"/>
        </w:rPr>
      </w:pPr>
      <w:r w:rsidRPr="00CA3ED0">
        <w:rPr>
          <w:rFonts w:ascii="Arial" w:hAnsi="Arial" w:cs="Arial"/>
        </w:rPr>
        <w:t>Figure 1 illustrates the temporal evolution of Non-Performing Assets (NPAs) across four major bank groups in India over the study period. A clear declining trend in NPAs is observed across all bank groups during the early 2000s up to around 2008-2009, indicating improved asset quality and stronger credit management practices during this phase. Public Sector Banks and Scheduled Commercial Banks initially exhibit relatively high NPA levels, peaking at around 16% and 14-15% respectively, suggesting higher exposure to stressed assets during the late 1990s and early 2000s. Between 2009 and 2014, NPAs remain relatively stable at lower levels for all bank groups, reflecting a period of relative financial stability. However, a sharp increase in NPAs is evident from 2015 onwards, particularly for Public Sector Banks and Scheduled Commercial Banks. Public Sector Banks show the most pronounced surge, reaching a peak of approximately 14-15% around 2017-2018. This spike can be attributed to factors such as asset quality review exercises, recognition of stressed assets, and macroeconomic challenges. Private Sector Banks and Foreign Banks exhibit comparatively lower and more stable NPA levels throughout the period. Although they also experience an increase during the 2015-2018 phase, the magnitude is significantly lower than that of Public Sector Banks, indicating relatively better risk management and diversified loan portfolios.</w:t>
      </w:r>
    </w:p>
    <w:p w14:paraId="23C63311" w14:textId="77777777" w:rsidR="00CA3ED0" w:rsidRPr="00CA3ED0" w:rsidRDefault="00CA3ED0" w:rsidP="00CA3ED0">
      <w:pPr>
        <w:jc w:val="both"/>
        <w:rPr>
          <w:rFonts w:ascii="Arial" w:hAnsi="Arial" w:cs="Arial"/>
        </w:rPr>
      </w:pPr>
      <w:r w:rsidRPr="00CA3ED0">
        <w:rPr>
          <w:rFonts w:ascii="Arial" w:hAnsi="Arial" w:cs="Arial"/>
        </w:rPr>
        <w:t>Post-2018, a consistent decline in NPAs is observed across all bank groups, suggesting improvements in asset quality, recovery mechanisms, and regulatory interventions. By the end of the study period, NPAs for all bank categories show a downward trajectory, converging toward lower levels, with Foreign and Private Sector Banks maintaining the lowest NPA ratios.</w:t>
      </w:r>
    </w:p>
    <w:p w14:paraId="05A1C9F4" w14:textId="77777777" w:rsidR="00CA3ED0" w:rsidRPr="00CA3ED0" w:rsidRDefault="00CA3ED0" w:rsidP="00CA3ED0">
      <w:pPr>
        <w:jc w:val="both"/>
        <w:rPr>
          <w:rFonts w:ascii="Arial" w:hAnsi="Arial" w:cs="Arial"/>
          <w:b/>
          <w:bCs/>
        </w:rPr>
      </w:pPr>
    </w:p>
    <w:p w14:paraId="2ACD40A7" w14:textId="77777777" w:rsidR="00CA3ED0" w:rsidRPr="00CA3ED0" w:rsidRDefault="00CA3ED0" w:rsidP="00CA3ED0">
      <w:pPr>
        <w:jc w:val="center"/>
        <w:rPr>
          <w:rFonts w:ascii="Arial" w:hAnsi="Arial" w:cs="Arial"/>
          <w:b/>
          <w:bCs/>
        </w:rPr>
      </w:pPr>
      <w:r w:rsidRPr="00CA3ED0">
        <w:rPr>
          <w:rFonts w:ascii="Arial" w:hAnsi="Arial" w:cs="Arial"/>
          <w:noProof/>
        </w:rPr>
        <w:drawing>
          <wp:inline distT="0" distB="0" distL="0" distR="0" wp14:anchorId="57EBB0BB" wp14:editId="07E7CB48">
            <wp:extent cx="5242560" cy="3056321"/>
            <wp:effectExtent l="0" t="0" r="0" b="0"/>
            <wp:docPr id="149382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5314" cy="3063756"/>
                    </a:xfrm>
                    <a:prstGeom prst="rect">
                      <a:avLst/>
                    </a:prstGeom>
                    <a:noFill/>
                    <a:ln>
                      <a:noFill/>
                    </a:ln>
                  </pic:spPr>
                </pic:pic>
              </a:graphicData>
            </a:graphic>
          </wp:inline>
        </w:drawing>
      </w:r>
    </w:p>
    <w:p w14:paraId="1F360430" w14:textId="77777777" w:rsidR="00CA3ED0" w:rsidRPr="00CA3ED0" w:rsidRDefault="00CA3ED0" w:rsidP="00CA3ED0">
      <w:pPr>
        <w:jc w:val="center"/>
        <w:rPr>
          <w:rFonts w:ascii="Arial" w:hAnsi="Arial" w:cs="Arial"/>
          <w:b/>
          <w:bCs/>
        </w:rPr>
      </w:pPr>
      <w:r w:rsidRPr="00CA3ED0">
        <w:rPr>
          <w:rFonts w:ascii="Arial" w:hAnsi="Arial" w:cs="Arial"/>
          <w:b/>
          <w:bCs/>
        </w:rPr>
        <w:t>Figure 1. NPA Trends Over Time by Bank Group</w:t>
      </w:r>
    </w:p>
    <w:p w14:paraId="764B5DC8" w14:textId="77777777" w:rsidR="00CA3ED0" w:rsidRPr="00CA3ED0" w:rsidRDefault="00CA3ED0" w:rsidP="00CA3ED0">
      <w:pPr>
        <w:jc w:val="both"/>
        <w:rPr>
          <w:rFonts w:ascii="Arial" w:hAnsi="Arial" w:cs="Arial"/>
        </w:rPr>
      </w:pPr>
      <w:r w:rsidRPr="00CA3ED0">
        <w:rPr>
          <w:rFonts w:ascii="Arial" w:hAnsi="Arial" w:cs="Arial"/>
        </w:rPr>
        <w:t xml:space="preserve">The correlation structure among the explanatory variables is illustrated in </w:t>
      </w:r>
      <w:r w:rsidRPr="00CA3ED0">
        <w:rPr>
          <w:rFonts w:ascii="Arial" w:hAnsi="Arial" w:cs="Arial"/>
          <w:b/>
          <w:bCs/>
        </w:rPr>
        <w:t>Figure 2</w:t>
      </w:r>
      <w:r w:rsidRPr="00CA3ED0">
        <w:rPr>
          <w:rFonts w:ascii="Arial" w:hAnsi="Arial" w:cs="Arial"/>
        </w:rPr>
        <w:t xml:space="preserve">. The heatmap indicates low pairwise correlations, suggesting that the independent variables are not strongly linearly related. Lower intensity values indicate weak correlations, confirming </w:t>
      </w:r>
      <w:r w:rsidRPr="00CA3ED0">
        <w:rPr>
          <w:rFonts w:ascii="Arial" w:hAnsi="Arial" w:cs="Arial"/>
        </w:rPr>
        <w:lastRenderedPageBreak/>
        <w:t>minimal multicollinearity. Most correlation coefficients are close to zero, reinforcing the independence of regressors.</w:t>
      </w:r>
    </w:p>
    <w:p w14:paraId="4459B246" w14:textId="77777777" w:rsidR="00CA3ED0" w:rsidRPr="00CA3ED0" w:rsidRDefault="00CA3ED0" w:rsidP="00CA3ED0">
      <w:pPr>
        <w:jc w:val="center"/>
        <w:rPr>
          <w:rFonts w:ascii="Arial" w:hAnsi="Arial" w:cs="Arial"/>
        </w:rPr>
      </w:pPr>
      <w:r w:rsidRPr="00CA3ED0">
        <w:rPr>
          <w:rFonts w:ascii="Arial" w:hAnsi="Arial" w:cs="Arial"/>
          <w:noProof/>
        </w:rPr>
        <w:drawing>
          <wp:inline distT="0" distB="0" distL="0" distR="0" wp14:anchorId="626E385C" wp14:editId="34D61A64">
            <wp:extent cx="4017025" cy="3531476"/>
            <wp:effectExtent l="0" t="0" r="2540" b="0"/>
            <wp:docPr id="782912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9007" cy="3542010"/>
                    </a:xfrm>
                    <a:prstGeom prst="rect">
                      <a:avLst/>
                    </a:prstGeom>
                    <a:noFill/>
                    <a:ln>
                      <a:noFill/>
                    </a:ln>
                  </pic:spPr>
                </pic:pic>
              </a:graphicData>
            </a:graphic>
          </wp:inline>
        </w:drawing>
      </w:r>
    </w:p>
    <w:p w14:paraId="40190192" w14:textId="77777777" w:rsidR="00CA3ED0" w:rsidRPr="00CA3ED0" w:rsidRDefault="00CA3ED0" w:rsidP="00CA3ED0">
      <w:pPr>
        <w:jc w:val="center"/>
        <w:rPr>
          <w:rFonts w:ascii="Arial" w:hAnsi="Arial" w:cs="Arial"/>
          <w:b/>
          <w:bCs/>
        </w:rPr>
      </w:pPr>
      <w:r w:rsidRPr="00CA3ED0">
        <w:rPr>
          <w:rFonts w:ascii="Arial" w:hAnsi="Arial" w:cs="Arial"/>
          <w:b/>
          <w:bCs/>
        </w:rPr>
        <w:t>Figure 2. Correlation Heatmap of Variables</w:t>
      </w:r>
    </w:p>
    <w:p w14:paraId="1A5E0539" w14:textId="77777777" w:rsidR="00CA3ED0" w:rsidRDefault="00CA3ED0" w:rsidP="00CA3ED0">
      <w:pPr>
        <w:jc w:val="both"/>
        <w:rPr>
          <w:rFonts w:ascii="Arial" w:hAnsi="Arial" w:cs="Arial"/>
        </w:rPr>
      </w:pPr>
      <w:r w:rsidRPr="00CA3ED0">
        <w:rPr>
          <w:rFonts w:ascii="Arial" w:hAnsi="Arial" w:cs="Arial"/>
        </w:rPr>
        <w:t xml:space="preserve">This observation is further supported by the Variance Inflation Factor (VIF) results reported in </w:t>
      </w:r>
      <w:r w:rsidRPr="00CA3ED0">
        <w:rPr>
          <w:rFonts w:ascii="Arial" w:hAnsi="Arial" w:cs="Arial"/>
          <w:b/>
          <w:bCs/>
        </w:rPr>
        <w:t>Table 2</w:t>
      </w:r>
      <w:r w:rsidRPr="00CA3ED0">
        <w:rPr>
          <w:rFonts w:ascii="Arial" w:hAnsi="Arial" w:cs="Arial"/>
        </w:rPr>
        <w:t xml:space="preserve">. The VIF values for all explanatory variables range between </w:t>
      </w:r>
      <w:r w:rsidRPr="00CA3ED0">
        <w:rPr>
          <w:rFonts w:ascii="Arial" w:hAnsi="Arial" w:cs="Arial"/>
          <w:b/>
          <w:bCs/>
        </w:rPr>
        <w:t>1.00 and 1.17</w:t>
      </w:r>
      <w:r w:rsidRPr="00CA3ED0">
        <w:rPr>
          <w:rFonts w:ascii="Arial" w:hAnsi="Arial" w:cs="Arial"/>
        </w:rPr>
        <w:t xml:space="preserve">, which is significantly below the commonly accepted threshold of 5 or 10. The constant term exhibits a higher VIF value of approximately </w:t>
      </w:r>
      <w:r w:rsidRPr="00CA3ED0">
        <w:rPr>
          <w:rFonts w:ascii="Arial" w:hAnsi="Arial" w:cs="Arial"/>
          <w:b/>
          <w:bCs/>
        </w:rPr>
        <w:t>55.79</w:t>
      </w:r>
      <w:r w:rsidRPr="00CA3ED0">
        <w:rPr>
          <w:rFonts w:ascii="Arial" w:hAnsi="Arial" w:cs="Arial"/>
        </w:rPr>
        <w:t>, which is expected and not of concern, as it does not affect the interpretation of explanatory variables.</w:t>
      </w:r>
    </w:p>
    <w:p w14:paraId="187111E9" w14:textId="77777777" w:rsidR="00CA3ED0" w:rsidRPr="00CA3ED0" w:rsidRDefault="00CA3ED0" w:rsidP="00CA3ED0">
      <w:pPr>
        <w:jc w:val="both"/>
        <w:rPr>
          <w:rFonts w:ascii="Arial" w:hAnsi="Arial" w:cs="Arial"/>
        </w:rPr>
      </w:pPr>
    </w:p>
    <w:p w14:paraId="23FB249D" w14:textId="77777777" w:rsidR="00CA3ED0" w:rsidRPr="00CA3ED0" w:rsidRDefault="00CA3ED0" w:rsidP="00CA3ED0">
      <w:pPr>
        <w:jc w:val="both"/>
        <w:rPr>
          <w:rFonts w:ascii="Arial" w:hAnsi="Arial" w:cs="Arial"/>
          <w:b/>
          <w:bCs/>
        </w:rPr>
      </w:pPr>
      <w:r w:rsidRPr="00CA3ED0">
        <w:rPr>
          <w:rFonts w:ascii="Arial" w:hAnsi="Arial" w:cs="Arial"/>
          <w:b/>
          <w:bCs/>
        </w:rPr>
        <w:t>Table 2. Variance Inflation Factor (VIF) Results</w:t>
      </w:r>
    </w:p>
    <w:tbl>
      <w:tblPr>
        <w:tblStyle w:val="TableGrid"/>
        <w:tblW w:w="0" w:type="auto"/>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29"/>
        <w:gridCol w:w="1117"/>
      </w:tblGrid>
      <w:tr w:rsidR="00CA3ED0" w:rsidRPr="00CA3ED0" w14:paraId="14EFD996" w14:textId="77777777" w:rsidTr="00123618">
        <w:trPr>
          <w:jc w:val="center"/>
        </w:trPr>
        <w:tc>
          <w:tcPr>
            <w:tcW w:w="0" w:type="auto"/>
            <w:tcBorders>
              <w:top w:val="single" w:sz="4" w:space="0" w:color="auto"/>
              <w:bottom w:val="single" w:sz="4" w:space="0" w:color="auto"/>
            </w:tcBorders>
            <w:hideMark/>
          </w:tcPr>
          <w:p w14:paraId="74B86AC2"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Variable</w:t>
            </w:r>
          </w:p>
        </w:tc>
        <w:tc>
          <w:tcPr>
            <w:tcW w:w="0" w:type="auto"/>
            <w:tcBorders>
              <w:top w:val="single" w:sz="4" w:space="0" w:color="auto"/>
              <w:bottom w:val="single" w:sz="4" w:space="0" w:color="auto"/>
            </w:tcBorders>
            <w:hideMark/>
          </w:tcPr>
          <w:p w14:paraId="61E47881"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VIF Value</w:t>
            </w:r>
          </w:p>
        </w:tc>
      </w:tr>
      <w:tr w:rsidR="00CA3ED0" w:rsidRPr="00CA3ED0" w14:paraId="0793B037" w14:textId="77777777" w:rsidTr="00123618">
        <w:trPr>
          <w:jc w:val="center"/>
        </w:trPr>
        <w:tc>
          <w:tcPr>
            <w:tcW w:w="0" w:type="auto"/>
            <w:tcBorders>
              <w:top w:val="single" w:sz="4" w:space="0" w:color="auto"/>
            </w:tcBorders>
            <w:hideMark/>
          </w:tcPr>
          <w:p w14:paraId="507B1879"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Constant</w:t>
            </w:r>
          </w:p>
        </w:tc>
        <w:tc>
          <w:tcPr>
            <w:tcW w:w="0" w:type="auto"/>
            <w:tcBorders>
              <w:top w:val="single" w:sz="4" w:space="0" w:color="auto"/>
            </w:tcBorders>
            <w:hideMark/>
          </w:tcPr>
          <w:p w14:paraId="1D66B0A7"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55.7949</w:t>
            </w:r>
          </w:p>
        </w:tc>
      </w:tr>
      <w:tr w:rsidR="00CA3ED0" w:rsidRPr="00CA3ED0" w14:paraId="5CA0D6BF" w14:textId="77777777" w:rsidTr="00123618">
        <w:trPr>
          <w:jc w:val="center"/>
        </w:trPr>
        <w:tc>
          <w:tcPr>
            <w:tcW w:w="0" w:type="auto"/>
            <w:hideMark/>
          </w:tcPr>
          <w:p w14:paraId="47DBF4A3"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Credit Growth</w:t>
            </w:r>
          </w:p>
        </w:tc>
        <w:tc>
          <w:tcPr>
            <w:tcW w:w="0" w:type="auto"/>
            <w:hideMark/>
          </w:tcPr>
          <w:p w14:paraId="5C44F611"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1.1440</w:t>
            </w:r>
          </w:p>
        </w:tc>
      </w:tr>
      <w:tr w:rsidR="00CA3ED0" w:rsidRPr="00CA3ED0" w14:paraId="3646825F" w14:textId="77777777" w:rsidTr="00123618">
        <w:trPr>
          <w:jc w:val="center"/>
        </w:trPr>
        <w:tc>
          <w:tcPr>
            <w:tcW w:w="0" w:type="auto"/>
            <w:hideMark/>
          </w:tcPr>
          <w:p w14:paraId="215B3ECC"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GDP Growth</w:t>
            </w:r>
          </w:p>
        </w:tc>
        <w:tc>
          <w:tcPr>
            <w:tcW w:w="0" w:type="auto"/>
            <w:hideMark/>
          </w:tcPr>
          <w:p w14:paraId="4484D0AE"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1.0063</w:t>
            </w:r>
          </w:p>
        </w:tc>
      </w:tr>
      <w:tr w:rsidR="00CA3ED0" w:rsidRPr="00CA3ED0" w14:paraId="0F211341" w14:textId="77777777" w:rsidTr="00123618">
        <w:trPr>
          <w:jc w:val="center"/>
        </w:trPr>
        <w:tc>
          <w:tcPr>
            <w:tcW w:w="0" w:type="auto"/>
            <w:hideMark/>
          </w:tcPr>
          <w:p w14:paraId="4A044436"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Inflation</w:t>
            </w:r>
          </w:p>
        </w:tc>
        <w:tc>
          <w:tcPr>
            <w:tcW w:w="0" w:type="auto"/>
            <w:hideMark/>
          </w:tcPr>
          <w:p w14:paraId="20B9B352"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1.0289</w:t>
            </w:r>
          </w:p>
        </w:tc>
      </w:tr>
      <w:tr w:rsidR="00CA3ED0" w:rsidRPr="00CA3ED0" w14:paraId="34D2197C" w14:textId="77777777" w:rsidTr="00123618">
        <w:trPr>
          <w:jc w:val="center"/>
        </w:trPr>
        <w:tc>
          <w:tcPr>
            <w:tcW w:w="0" w:type="auto"/>
            <w:hideMark/>
          </w:tcPr>
          <w:p w14:paraId="02EC5C84"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Lending Interest Rate</w:t>
            </w:r>
          </w:p>
        </w:tc>
        <w:tc>
          <w:tcPr>
            <w:tcW w:w="0" w:type="auto"/>
            <w:hideMark/>
          </w:tcPr>
          <w:p w14:paraId="40A5D466"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1.1737</w:t>
            </w:r>
          </w:p>
        </w:tc>
      </w:tr>
    </w:tbl>
    <w:p w14:paraId="24A45CB9" w14:textId="77777777" w:rsidR="00CA3ED0" w:rsidRDefault="00CA3ED0" w:rsidP="00CA3ED0">
      <w:pPr>
        <w:jc w:val="both"/>
        <w:rPr>
          <w:rFonts w:ascii="Arial" w:hAnsi="Arial" w:cs="Arial"/>
        </w:rPr>
      </w:pPr>
    </w:p>
    <w:p w14:paraId="7B287F03" w14:textId="0DDE4FB4" w:rsidR="00CA3ED0" w:rsidRPr="00CA3ED0" w:rsidRDefault="00CA3ED0" w:rsidP="00CA3ED0">
      <w:pPr>
        <w:jc w:val="both"/>
        <w:rPr>
          <w:rFonts w:ascii="Arial" w:hAnsi="Arial" w:cs="Arial"/>
        </w:rPr>
      </w:pPr>
      <w:r w:rsidRPr="00CA3ED0">
        <w:rPr>
          <w:rFonts w:ascii="Arial" w:hAnsi="Arial" w:cs="Arial"/>
        </w:rPr>
        <w:t>The low VIF values confirm the absence of multicollinearity among explanatory variables, ensuring that coefficient estimates are stable and reliable. This strengthens the validity of subsequent econometric analysis. The independence of regressors allows for clear interpretation of individual variable effects on NPAs without distortion due to inter-variable dependencies.</w:t>
      </w:r>
    </w:p>
    <w:p w14:paraId="04CE2125" w14:textId="77777777" w:rsidR="00CA3ED0" w:rsidRDefault="00CA3ED0" w:rsidP="00CA3ED0">
      <w:pPr>
        <w:jc w:val="both"/>
        <w:rPr>
          <w:rFonts w:ascii="Arial" w:hAnsi="Arial" w:cs="Arial"/>
          <w:b/>
          <w:bCs/>
        </w:rPr>
      </w:pPr>
    </w:p>
    <w:p w14:paraId="5B9D958B" w14:textId="5D7FA447" w:rsidR="00CA3ED0" w:rsidRPr="00CA3ED0" w:rsidRDefault="00CA3ED0" w:rsidP="00CA3ED0">
      <w:pPr>
        <w:jc w:val="both"/>
        <w:rPr>
          <w:rFonts w:ascii="Arial" w:hAnsi="Arial" w:cs="Arial"/>
          <w:b/>
          <w:bCs/>
          <w:sz w:val="22"/>
          <w:szCs w:val="22"/>
        </w:rPr>
      </w:pPr>
      <w:r w:rsidRPr="00CA3ED0">
        <w:rPr>
          <w:rFonts w:ascii="Arial" w:hAnsi="Arial" w:cs="Arial"/>
          <w:b/>
          <w:bCs/>
          <w:sz w:val="22"/>
          <w:szCs w:val="22"/>
        </w:rPr>
        <w:t>4.3 Panel Econometric Results</w:t>
      </w:r>
    </w:p>
    <w:p w14:paraId="477ECE49" w14:textId="77777777" w:rsidR="00CA3ED0" w:rsidRDefault="00CA3ED0" w:rsidP="00CA3ED0">
      <w:pPr>
        <w:jc w:val="both"/>
        <w:rPr>
          <w:rFonts w:ascii="Arial" w:hAnsi="Arial" w:cs="Arial"/>
        </w:rPr>
      </w:pPr>
      <w:r w:rsidRPr="00CA3ED0">
        <w:rPr>
          <w:rFonts w:ascii="Arial" w:hAnsi="Arial" w:cs="Arial"/>
        </w:rPr>
        <w:t>To examine the determinants of Non-Performing Assets (NPAs), the study employs three panel data models: Pooled Ordinary Least Squares (OLS), Fixed Effects (FE), and Random Effects (RE). The selection of the appropriate model is based on the Hausman specification test.</w:t>
      </w:r>
    </w:p>
    <w:p w14:paraId="579B9909" w14:textId="77777777" w:rsidR="00CA3ED0" w:rsidRPr="00CA3ED0" w:rsidRDefault="00CA3ED0" w:rsidP="00CA3ED0">
      <w:pPr>
        <w:jc w:val="both"/>
        <w:rPr>
          <w:rFonts w:ascii="Arial" w:hAnsi="Arial" w:cs="Arial"/>
        </w:rPr>
      </w:pPr>
    </w:p>
    <w:p w14:paraId="66BCA9B9" w14:textId="77777777" w:rsidR="00CA3ED0" w:rsidRPr="00CA3ED0" w:rsidRDefault="00CA3ED0" w:rsidP="00CA3ED0">
      <w:pPr>
        <w:jc w:val="both"/>
        <w:rPr>
          <w:rFonts w:ascii="Arial" w:hAnsi="Arial" w:cs="Arial"/>
          <w:b/>
          <w:bCs/>
        </w:rPr>
      </w:pPr>
      <w:r w:rsidRPr="00CA3ED0">
        <w:rPr>
          <w:rFonts w:ascii="Arial" w:hAnsi="Arial" w:cs="Arial"/>
          <w:b/>
          <w:bCs/>
        </w:rPr>
        <w:lastRenderedPageBreak/>
        <w:t>4.3.1 Model Selection: Hausman Test</w:t>
      </w:r>
    </w:p>
    <w:p w14:paraId="6EC80AED" w14:textId="77777777" w:rsidR="00CA3ED0" w:rsidRDefault="00CA3ED0" w:rsidP="00CA3ED0">
      <w:pPr>
        <w:jc w:val="both"/>
        <w:rPr>
          <w:rFonts w:ascii="Arial" w:hAnsi="Arial" w:cs="Arial"/>
        </w:rPr>
      </w:pPr>
      <w:r w:rsidRPr="00CA3ED0">
        <w:rPr>
          <w:rFonts w:ascii="Arial" w:hAnsi="Arial" w:cs="Arial"/>
        </w:rPr>
        <w:t xml:space="preserve">The results of the Hausman test are presented in </w:t>
      </w:r>
      <w:r w:rsidRPr="00CA3ED0">
        <w:rPr>
          <w:rFonts w:ascii="Arial" w:hAnsi="Arial" w:cs="Arial"/>
          <w:b/>
          <w:bCs/>
        </w:rPr>
        <w:t>Table 3</w:t>
      </w:r>
      <w:r w:rsidRPr="00CA3ED0">
        <w:rPr>
          <w:rFonts w:ascii="Arial" w:hAnsi="Arial" w:cs="Arial"/>
        </w:rPr>
        <w:t>.</w:t>
      </w:r>
    </w:p>
    <w:p w14:paraId="0BD49260" w14:textId="77777777" w:rsidR="00CA3ED0" w:rsidRPr="00CA3ED0" w:rsidRDefault="00CA3ED0" w:rsidP="00CA3ED0">
      <w:pPr>
        <w:jc w:val="both"/>
        <w:rPr>
          <w:rFonts w:ascii="Arial" w:hAnsi="Arial" w:cs="Arial"/>
        </w:rPr>
      </w:pPr>
    </w:p>
    <w:p w14:paraId="0B581572" w14:textId="77777777" w:rsidR="00CA3ED0" w:rsidRPr="00CA3ED0" w:rsidRDefault="00CA3ED0" w:rsidP="00CA3ED0">
      <w:pPr>
        <w:jc w:val="both"/>
        <w:rPr>
          <w:rFonts w:ascii="Arial" w:hAnsi="Arial" w:cs="Arial"/>
          <w:b/>
          <w:bCs/>
        </w:rPr>
      </w:pPr>
      <w:r w:rsidRPr="00CA3ED0">
        <w:rPr>
          <w:rFonts w:ascii="Arial" w:hAnsi="Arial" w:cs="Arial"/>
          <w:b/>
          <w:bCs/>
        </w:rPr>
        <w:t>Table 3. Hausman Test Results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2150"/>
        <w:gridCol w:w="928"/>
        <w:gridCol w:w="2506"/>
      </w:tblGrid>
      <w:tr w:rsidR="00CA3ED0" w:rsidRPr="00CA3ED0" w14:paraId="1AD1B6F4" w14:textId="77777777" w:rsidTr="00CA3ED0">
        <w:trPr>
          <w:jc w:val="center"/>
        </w:trPr>
        <w:tc>
          <w:tcPr>
            <w:tcW w:w="0" w:type="auto"/>
            <w:tcBorders>
              <w:top w:val="single" w:sz="4" w:space="0" w:color="auto"/>
              <w:bottom w:val="single" w:sz="4" w:space="0" w:color="auto"/>
            </w:tcBorders>
            <w:hideMark/>
          </w:tcPr>
          <w:p w14:paraId="4D3B66E4"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Test Statistic</w:t>
            </w:r>
          </w:p>
        </w:tc>
        <w:tc>
          <w:tcPr>
            <w:tcW w:w="0" w:type="auto"/>
            <w:tcBorders>
              <w:top w:val="single" w:sz="4" w:space="0" w:color="auto"/>
              <w:bottom w:val="single" w:sz="4" w:space="0" w:color="auto"/>
            </w:tcBorders>
            <w:hideMark/>
          </w:tcPr>
          <w:p w14:paraId="7AE726AB"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Degrees of Freedom</w:t>
            </w:r>
          </w:p>
        </w:tc>
        <w:tc>
          <w:tcPr>
            <w:tcW w:w="0" w:type="auto"/>
            <w:tcBorders>
              <w:top w:val="single" w:sz="4" w:space="0" w:color="auto"/>
              <w:bottom w:val="single" w:sz="4" w:space="0" w:color="auto"/>
            </w:tcBorders>
            <w:hideMark/>
          </w:tcPr>
          <w:p w14:paraId="10C37944"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P-value</w:t>
            </w:r>
          </w:p>
        </w:tc>
        <w:tc>
          <w:tcPr>
            <w:tcW w:w="0" w:type="auto"/>
            <w:tcBorders>
              <w:top w:val="single" w:sz="4" w:space="0" w:color="auto"/>
              <w:bottom w:val="single" w:sz="4" w:space="0" w:color="auto"/>
            </w:tcBorders>
            <w:hideMark/>
          </w:tcPr>
          <w:p w14:paraId="360FE505"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Decision</w:t>
            </w:r>
          </w:p>
        </w:tc>
      </w:tr>
      <w:tr w:rsidR="00CA3ED0" w:rsidRPr="00CA3ED0" w14:paraId="2418E9CC" w14:textId="77777777" w:rsidTr="00CA3ED0">
        <w:trPr>
          <w:jc w:val="center"/>
        </w:trPr>
        <w:tc>
          <w:tcPr>
            <w:tcW w:w="0" w:type="auto"/>
            <w:tcBorders>
              <w:top w:val="single" w:sz="4" w:space="0" w:color="auto"/>
            </w:tcBorders>
            <w:hideMark/>
          </w:tcPr>
          <w:p w14:paraId="7A6462B6"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0.0000</w:t>
            </w:r>
          </w:p>
        </w:tc>
        <w:tc>
          <w:tcPr>
            <w:tcW w:w="0" w:type="auto"/>
            <w:tcBorders>
              <w:top w:val="single" w:sz="4" w:space="0" w:color="auto"/>
            </w:tcBorders>
            <w:hideMark/>
          </w:tcPr>
          <w:p w14:paraId="782BE988"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4</w:t>
            </w:r>
          </w:p>
        </w:tc>
        <w:tc>
          <w:tcPr>
            <w:tcW w:w="0" w:type="auto"/>
            <w:tcBorders>
              <w:top w:val="single" w:sz="4" w:space="0" w:color="auto"/>
            </w:tcBorders>
            <w:hideMark/>
          </w:tcPr>
          <w:p w14:paraId="47AB0BB4"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1.0000</w:t>
            </w:r>
          </w:p>
        </w:tc>
        <w:tc>
          <w:tcPr>
            <w:tcW w:w="0" w:type="auto"/>
            <w:tcBorders>
              <w:top w:val="single" w:sz="4" w:space="0" w:color="auto"/>
            </w:tcBorders>
            <w:hideMark/>
          </w:tcPr>
          <w:p w14:paraId="07ECD7A1"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Random Effects preferred</w:t>
            </w:r>
          </w:p>
        </w:tc>
      </w:tr>
    </w:tbl>
    <w:p w14:paraId="41D0E3C6" w14:textId="77777777" w:rsidR="00CA3ED0" w:rsidRDefault="00CA3ED0" w:rsidP="00CA3ED0">
      <w:pPr>
        <w:jc w:val="both"/>
        <w:rPr>
          <w:rFonts w:ascii="Arial" w:hAnsi="Arial" w:cs="Arial"/>
        </w:rPr>
      </w:pPr>
    </w:p>
    <w:p w14:paraId="6ACDF453" w14:textId="74D8F235" w:rsidR="00CA3ED0" w:rsidRDefault="00CA3ED0" w:rsidP="00CA3ED0">
      <w:pPr>
        <w:jc w:val="both"/>
        <w:rPr>
          <w:rFonts w:ascii="Arial" w:hAnsi="Arial" w:cs="Arial"/>
        </w:rPr>
      </w:pPr>
      <w:r w:rsidRPr="00CA3ED0">
        <w:rPr>
          <w:rFonts w:ascii="Arial" w:hAnsi="Arial" w:cs="Arial"/>
        </w:rPr>
        <w:t xml:space="preserve">The Hausman test yields a test statistic of approximately </w:t>
      </w:r>
      <w:r w:rsidRPr="00CA3ED0">
        <w:rPr>
          <w:rFonts w:ascii="Arial" w:hAnsi="Arial" w:cs="Arial"/>
          <w:b/>
          <w:bCs/>
        </w:rPr>
        <w:t>0.0000</w:t>
      </w:r>
      <w:r w:rsidRPr="00CA3ED0">
        <w:rPr>
          <w:rFonts w:ascii="Arial" w:hAnsi="Arial" w:cs="Arial"/>
        </w:rPr>
        <w:t xml:space="preserve"> with a </w:t>
      </w:r>
      <w:r w:rsidRPr="00CA3ED0">
        <w:rPr>
          <w:rFonts w:ascii="Arial" w:hAnsi="Arial" w:cs="Arial"/>
          <w:b/>
          <w:bCs/>
        </w:rPr>
        <w:t>p-value of 1.0000</w:t>
      </w:r>
      <w:r w:rsidRPr="00CA3ED0">
        <w:rPr>
          <w:rFonts w:ascii="Arial" w:hAnsi="Arial" w:cs="Arial"/>
        </w:rPr>
        <w:t>, indicating that the null hypothesis cannot be rejected. This suggests that the Random Effects estimator is consistent and efficient and therefore preferred over the Fixed Effects model. The absence of systematic differences between FE and RE models implies that unobserved bank-specific effects are not correlated with the explanatory variables. Potential endogeneity concerns are partially mitigated through model specification and robustness checks, although they cannot be entirely ruled out.</w:t>
      </w:r>
    </w:p>
    <w:p w14:paraId="34343452" w14:textId="77777777" w:rsidR="00CA3ED0" w:rsidRPr="00CA3ED0" w:rsidRDefault="00CA3ED0" w:rsidP="00CA3ED0">
      <w:pPr>
        <w:jc w:val="both"/>
        <w:rPr>
          <w:rFonts w:ascii="Arial" w:hAnsi="Arial" w:cs="Arial"/>
        </w:rPr>
      </w:pPr>
    </w:p>
    <w:p w14:paraId="7A22FD59" w14:textId="77777777" w:rsidR="00CA3ED0" w:rsidRPr="00CA3ED0" w:rsidRDefault="00CA3ED0" w:rsidP="00CA3ED0">
      <w:pPr>
        <w:jc w:val="both"/>
        <w:rPr>
          <w:rFonts w:ascii="Arial" w:hAnsi="Arial" w:cs="Arial"/>
          <w:b/>
          <w:bCs/>
        </w:rPr>
      </w:pPr>
      <w:r w:rsidRPr="00CA3ED0">
        <w:rPr>
          <w:rFonts w:ascii="Arial" w:hAnsi="Arial" w:cs="Arial"/>
          <w:b/>
          <w:bCs/>
        </w:rPr>
        <w:t>4.3.2 Random Effects Model Results</w:t>
      </w:r>
    </w:p>
    <w:p w14:paraId="2B5E406F" w14:textId="77777777" w:rsidR="00CA3ED0" w:rsidRPr="00CA3ED0" w:rsidRDefault="00CA3ED0" w:rsidP="00CA3ED0">
      <w:pPr>
        <w:jc w:val="both"/>
        <w:rPr>
          <w:rFonts w:ascii="Arial" w:hAnsi="Arial" w:cs="Arial"/>
        </w:rPr>
      </w:pPr>
      <w:r w:rsidRPr="00CA3ED0">
        <w:rPr>
          <w:rFonts w:ascii="Arial" w:hAnsi="Arial" w:cs="Arial"/>
        </w:rPr>
        <w:t xml:space="preserve">The estimated coefficients of the Random Effects model are reported in </w:t>
      </w:r>
      <w:r w:rsidRPr="00CA3ED0">
        <w:rPr>
          <w:rFonts w:ascii="Arial" w:hAnsi="Arial" w:cs="Arial"/>
          <w:b/>
          <w:bCs/>
        </w:rPr>
        <w:t>Table 4</w:t>
      </w:r>
      <w:r w:rsidRPr="00CA3ED0">
        <w:rPr>
          <w:rFonts w:ascii="Arial" w:hAnsi="Arial" w:cs="Arial"/>
        </w:rPr>
        <w:t>.</w:t>
      </w:r>
    </w:p>
    <w:p w14:paraId="59DABAF7" w14:textId="77777777" w:rsidR="00CA3ED0" w:rsidRPr="00CA3ED0" w:rsidRDefault="00CA3ED0" w:rsidP="00CA3ED0">
      <w:pPr>
        <w:jc w:val="both"/>
        <w:rPr>
          <w:rFonts w:ascii="Arial" w:hAnsi="Arial" w:cs="Arial"/>
          <w:b/>
          <w:bCs/>
        </w:rPr>
      </w:pPr>
      <w:r w:rsidRPr="00CA3ED0">
        <w:rPr>
          <w:rFonts w:ascii="Arial" w:hAnsi="Arial" w:cs="Arial"/>
          <w:b/>
          <w:bCs/>
        </w:rPr>
        <w:t>Table 4. Random Effects Model Results (with Robust Standard Errors)</w:t>
      </w:r>
    </w:p>
    <w:p w14:paraId="37436B00" w14:textId="77777777" w:rsidR="00CA3ED0" w:rsidRPr="00CA3ED0" w:rsidRDefault="00CA3ED0" w:rsidP="00CA3ED0">
      <w:pPr>
        <w:jc w:val="both"/>
        <w:rPr>
          <w:rFonts w:ascii="Arial" w:hAnsi="Arial" w:cs="Arial"/>
          <w:b/>
          <w:bCs/>
        </w:rPr>
      </w:pPr>
      <w:r w:rsidRPr="00CA3ED0">
        <w:rPr>
          <w:rFonts w:ascii="Arial" w:hAnsi="Arial" w:cs="Arial"/>
          <w:b/>
          <w:bCs/>
        </w:rPr>
        <w:t>Main Results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1250"/>
        <w:gridCol w:w="1139"/>
        <w:gridCol w:w="1128"/>
        <w:gridCol w:w="928"/>
      </w:tblGrid>
      <w:tr w:rsidR="00CA3ED0" w:rsidRPr="00CA3ED0" w14:paraId="56F7C415" w14:textId="77777777" w:rsidTr="00CA3ED0">
        <w:trPr>
          <w:jc w:val="center"/>
        </w:trPr>
        <w:tc>
          <w:tcPr>
            <w:tcW w:w="0" w:type="auto"/>
            <w:tcBorders>
              <w:top w:val="single" w:sz="4" w:space="0" w:color="auto"/>
              <w:bottom w:val="single" w:sz="4" w:space="0" w:color="auto"/>
            </w:tcBorders>
            <w:hideMark/>
          </w:tcPr>
          <w:p w14:paraId="306CAD9A"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Variable</w:t>
            </w:r>
          </w:p>
        </w:tc>
        <w:tc>
          <w:tcPr>
            <w:tcW w:w="0" w:type="auto"/>
            <w:tcBorders>
              <w:top w:val="single" w:sz="4" w:space="0" w:color="auto"/>
              <w:bottom w:val="single" w:sz="4" w:space="0" w:color="auto"/>
            </w:tcBorders>
            <w:hideMark/>
          </w:tcPr>
          <w:p w14:paraId="544CB52D"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Coefficient</w:t>
            </w:r>
          </w:p>
        </w:tc>
        <w:tc>
          <w:tcPr>
            <w:tcW w:w="0" w:type="auto"/>
            <w:tcBorders>
              <w:top w:val="single" w:sz="4" w:space="0" w:color="auto"/>
              <w:bottom w:val="single" w:sz="4" w:space="0" w:color="auto"/>
            </w:tcBorders>
            <w:hideMark/>
          </w:tcPr>
          <w:p w14:paraId="1DCF5D16"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Std. Error</w:t>
            </w:r>
          </w:p>
        </w:tc>
        <w:tc>
          <w:tcPr>
            <w:tcW w:w="0" w:type="auto"/>
            <w:tcBorders>
              <w:top w:val="single" w:sz="4" w:space="0" w:color="auto"/>
              <w:bottom w:val="single" w:sz="4" w:space="0" w:color="auto"/>
            </w:tcBorders>
            <w:hideMark/>
          </w:tcPr>
          <w:p w14:paraId="3732D163"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t-Statistic</w:t>
            </w:r>
          </w:p>
        </w:tc>
        <w:tc>
          <w:tcPr>
            <w:tcW w:w="0" w:type="auto"/>
            <w:tcBorders>
              <w:top w:val="single" w:sz="4" w:space="0" w:color="auto"/>
              <w:bottom w:val="single" w:sz="4" w:space="0" w:color="auto"/>
            </w:tcBorders>
            <w:hideMark/>
          </w:tcPr>
          <w:p w14:paraId="339785E0"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P-value</w:t>
            </w:r>
          </w:p>
        </w:tc>
      </w:tr>
      <w:tr w:rsidR="00CA3ED0" w:rsidRPr="00CA3ED0" w14:paraId="119F8A3E" w14:textId="77777777" w:rsidTr="00CA3ED0">
        <w:trPr>
          <w:jc w:val="center"/>
        </w:trPr>
        <w:tc>
          <w:tcPr>
            <w:tcW w:w="0" w:type="auto"/>
            <w:tcBorders>
              <w:top w:val="single" w:sz="4" w:space="0" w:color="auto"/>
            </w:tcBorders>
            <w:hideMark/>
          </w:tcPr>
          <w:p w14:paraId="7A2A2E12" w14:textId="77777777" w:rsidR="00CA3ED0" w:rsidRPr="00CA3ED0" w:rsidRDefault="00CA3ED0" w:rsidP="00CA3ED0">
            <w:pPr>
              <w:jc w:val="both"/>
              <w:rPr>
                <w:rFonts w:ascii="Arial" w:hAnsi="Arial" w:cs="Arial"/>
                <w:sz w:val="20"/>
                <w:szCs w:val="20"/>
              </w:rPr>
            </w:pPr>
            <w:r w:rsidRPr="00CA3ED0">
              <w:rPr>
                <w:rFonts w:ascii="Arial" w:hAnsi="Arial" w:cs="Arial"/>
                <w:b/>
                <w:bCs/>
                <w:sz w:val="20"/>
                <w:szCs w:val="20"/>
              </w:rPr>
              <w:t>Constant</w:t>
            </w:r>
          </w:p>
        </w:tc>
        <w:tc>
          <w:tcPr>
            <w:tcW w:w="0" w:type="auto"/>
            <w:tcBorders>
              <w:top w:val="single" w:sz="4" w:space="0" w:color="auto"/>
            </w:tcBorders>
            <w:hideMark/>
          </w:tcPr>
          <w:p w14:paraId="3F365D94"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1.8980</w:t>
            </w:r>
          </w:p>
        </w:tc>
        <w:tc>
          <w:tcPr>
            <w:tcW w:w="0" w:type="auto"/>
            <w:tcBorders>
              <w:top w:val="single" w:sz="4" w:space="0" w:color="auto"/>
            </w:tcBorders>
            <w:hideMark/>
          </w:tcPr>
          <w:p w14:paraId="23B0C61E"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3.1298</w:t>
            </w:r>
          </w:p>
        </w:tc>
        <w:tc>
          <w:tcPr>
            <w:tcW w:w="0" w:type="auto"/>
            <w:tcBorders>
              <w:top w:val="single" w:sz="4" w:space="0" w:color="auto"/>
            </w:tcBorders>
            <w:hideMark/>
          </w:tcPr>
          <w:p w14:paraId="4FAD2E16"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0.6064</w:t>
            </w:r>
          </w:p>
        </w:tc>
        <w:tc>
          <w:tcPr>
            <w:tcW w:w="0" w:type="auto"/>
            <w:tcBorders>
              <w:top w:val="single" w:sz="4" w:space="0" w:color="auto"/>
            </w:tcBorders>
            <w:hideMark/>
          </w:tcPr>
          <w:p w14:paraId="41CDDCE1"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0.5456</w:t>
            </w:r>
          </w:p>
        </w:tc>
      </w:tr>
      <w:tr w:rsidR="00CA3ED0" w:rsidRPr="00CA3ED0" w14:paraId="690565E0" w14:textId="77777777" w:rsidTr="00CA3ED0">
        <w:trPr>
          <w:jc w:val="center"/>
        </w:trPr>
        <w:tc>
          <w:tcPr>
            <w:tcW w:w="0" w:type="auto"/>
            <w:hideMark/>
          </w:tcPr>
          <w:p w14:paraId="30873295" w14:textId="77777777" w:rsidR="00CA3ED0" w:rsidRPr="00CA3ED0" w:rsidRDefault="00CA3ED0" w:rsidP="00CA3ED0">
            <w:pPr>
              <w:jc w:val="both"/>
              <w:rPr>
                <w:rFonts w:ascii="Arial" w:hAnsi="Arial" w:cs="Arial"/>
                <w:sz w:val="20"/>
                <w:szCs w:val="20"/>
              </w:rPr>
            </w:pPr>
            <w:r w:rsidRPr="00CA3ED0">
              <w:rPr>
                <w:rFonts w:ascii="Arial" w:hAnsi="Arial" w:cs="Arial"/>
                <w:b/>
                <w:bCs/>
                <w:sz w:val="20"/>
                <w:szCs w:val="20"/>
              </w:rPr>
              <w:t>Credit Growth</w:t>
            </w:r>
          </w:p>
        </w:tc>
        <w:tc>
          <w:tcPr>
            <w:tcW w:w="0" w:type="auto"/>
            <w:hideMark/>
          </w:tcPr>
          <w:p w14:paraId="4DAC5199"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-0.0593</w:t>
            </w:r>
          </w:p>
        </w:tc>
        <w:tc>
          <w:tcPr>
            <w:tcW w:w="0" w:type="auto"/>
            <w:hideMark/>
          </w:tcPr>
          <w:p w14:paraId="66C341C2"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0.0431</w:t>
            </w:r>
          </w:p>
        </w:tc>
        <w:tc>
          <w:tcPr>
            <w:tcW w:w="0" w:type="auto"/>
            <w:hideMark/>
          </w:tcPr>
          <w:p w14:paraId="6BBE8DE2"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-1.3753</w:t>
            </w:r>
          </w:p>
        </w:tc>
        <w:tc>
          <w:tcPr>
            <w:tcW w:w="0" w:type="auto"/>
            <w:hideMark/>
          </w:tcPr>
          <w:p w14:paraId="08561236"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0.1720</w:t>
            </w:r>
          </w:p>
        </w:tc>
      </w:tr>
      <w:tr w:rsidR="00CA3ED0" w:rsidRPr="00CA3ED0" w14:paraId="4A1BFA30" w14:textId="77777777" w:rsidTr="00CA3ED0">
        <w:trPr>
          <w:jc w:val="center"/>
        </w:trPr>
        <w:tc>
          <w:tcPr>
            <w:tcW w:w="0" w:type="auto"/>
            <w:hideMark/>
          </w:tcPr>
          <w:p w14:paraId="0F222E6D" w14:textId="77777777" w:rsidR="00CA3ED0" w:rsidRPr="00CA3ED0" w:rsidRDefault="00CA3ED0" w:rsidP="00CA3ED0">
            <w:pPr>
              <w:jc w:val="both"/>
              <w:rPr>
                <w:rFonts w:ascii="Arial" w:hAnsi="Arial" w:cs="Arial"/>
                <w:sz w:val="20"/>
                <w:szCs w:val="20"/>
              </w:rPr>
            </w:pPr>
            <w:r w:rsidRPr="00CA3ED0">
              <w:rPr>
                <w:rFonts w:ascii="Arial" w:hAnsi="Arial" w:cs="Arial"/>
                <w:b/>
                <w:bCs/>
                <w:sz w:val="20"/>
                <w:szCs w:val="20"/>
              </w:rPr>
              <w:t>GDP Growth</w:t>
            </w:r>
          </w:p>
        </w:tc>
        <w:tc>
          <w:tcPr>
            <w:tcW w:w="0" w:type="auto"/>
            <w:hideMark/>
          </w:tcPr>
          <w:p w14:paraId="2D5BBC3A"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-0.1509</w:t>
            </w:r>
          </w:p>
        </w:tc>
        <w:tc>
          <w:tcPr>
            <w:tcW w:w="0" w:type="auto"/>
            <w:hideMark/>
          </w:tcPr>
          <w:p w14:paraId="3350D27D"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0.1023</w:t>
            </w:r>
          </w:p>
        </w:tc>
        <w:tc>
          <w:tcPr>
            <w:tcW w:w="0" w:type="auto"/>
            <w:hideMark/>
          </w:tcPr>
          <w:p w14:paraId="3EA7E1F2"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-1.4747</w:t>
            </w:r>
          </w:p>
        </w:tc>
        <w:tc>
          <w:tcPr>
            <w:tcW w:w="0" w:type="auto"/>
            <w:hideMark/>
          </w:tcPr>
          <w:p w14:paraId="4993E744"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0.1433</w:t>
            </w:r>
          </w:p>
        </w:tc>
      </w:tr>
      <w:tr w:rsidR="00CA3ED0" w:rsidRPr="00CA3ED0" w14:paraId="444C7C65" w14:textId="77777777" w:rsidTr="00CA3ED0">
        <w:trPr>
          <w:jc w:val="center"/>
        </w:trPr>
        <w:tc>
          <w:tcPr>
            <w:tcW w:w="0" w:type="auto"/>
            <w:hideMark/>
          </w:tcPr>
          <w:p w14:paraId="2E59DF27" w14:textId="77777777" w:rsidR="00CA3ED0" w:rsidRPr="00CA3ED0" w:rsidRDefault="00CA3ED0" w:rsidP="00CA3ED0">
            <w:pPr>
              <w:jc w:val="both"/>
              <w:rPr>
                <w:rFonts w:ascii="Arial" w:hAnsi="Arial" w:cs="Arial"/>
                <w:sz w:val="20"/>
                <w:szCs w:val="20"/>
              </w:rPr>
            </w:pPr>
            <w:r w:rsidRPr="00CA3ED0">
              <w:rPr>
                <w:rFonts w:ascii="Arial" w:hAnsi="Arial" w:cs="Arial"/>
                <w:b/>
                <w:bCs/>
                <w:sz w:val="20"/>
                <w:szCs w:val="20"/>
              </w:rPr>
              <w:t>Inflation</w:t>
            </w:r>
          </w:p>
        </w:tc>
        <w:tc>
          <w:tcPr>
            <w:tcW w:w="0" w:type="auto"/>
            <w:hideMark/>
          </w:tcPr>
          <w:p w14:paraId="48D29B3B"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-0.4585***</w:t>
            </w:r>
          </w:p>
        </w:tc>
        <w:tc>
          <w:tcPr>
            <w:tcW w:w="0" w:type="auto"/>
            <w:hideMark/>
          </w:tcPr>
          <w:p w14:paraId="529A0BE3"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0.1450</w:t>
            </w:r>
          </w:p>
        </w:tc>
        <w:tc>
          <w:tcPr>
            <w:tcW w:w="0" w:type="auto"/>
            <w:hideMark/>
          </w:tcPr>
          <w:p w14:paraId="7AC6DB0E"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-3.1624</w:t>
            </w:r>
          </w:p>
        </w:tc>
        <w:tc>
          <w:tcPr>
            <w:tcW w:w="0" w:type="auto"/>
            <w:hideMark/>
          </w:tcPr>
          <w:p w14:paraId="39CE8EE3"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0.0021</w:t>
            </w:r>
          </w:p>
        </w:tc>
      </w:tr>
      <w:tr w:rsidR="00CA3ED0" w:rsidRPr="00CA3ED0" w14:paraId="7710D4B1" w14:textId="77777777" w:rsidTr="00CA3ED0">
        <w:trPr>
          <w:jc w:val="center"/>
        </w:trPr>
        <w:tc>
          <w:tcPr>
            <w:tcW w:w="0" w:type="auto"/>
            <w:tcBorders>
              <w:bottom w:val="single" w:sz="4" w:space="0" w:color="auto"/>
            </w:tcBorders>
            <w:hideMark/>
          </w:tcPr>
          <w:p w14:paraId="454D180A" w14:textId="77777777" w:rsidR="00CA3ED0" w:rsidRPr="00CA3ED0" w:rsidRDefault="00CA3ED0" w:rsidP="00CA3ED0">
            <w:pPr>
              <w:jc w:val="both"/>
              <w:rPr>
                <w:rFonts w:ascii="Arial" w:hAnsi="Arial" w:cs="Arial"/>
                <w:sz w:val="20"/>
                <w:szCs w:val="20"/>
              </w:rPr>
            </w:pPr>
            <w:r w:rsidRPr="00CA3ED0">
              <w:rPr>
                <w:rFonts w:ascii="Arial" w:hAnsi="Arial" w:cs="Arial"/>
                <w:b/>
                <w:bCs/>
                <w:sz w:val="20"/>
                <w:szCs w:val="20"/>
              </w:rPr>
              <w:t>Lending Interest Rate</w:t>
            </w:r>
          </w:p>
        </w:tc>
        <w:tc>
          <w:tcPr>
            <w:tcW w:w="0" w:type="auto"/>
            <w:tcBorders>
              <w:bottom w:val="single" w:sz="4" w:space="0" w:color="auto"/>
            </w:tcBorders>
            <w:hideMark/>
          </w:tcPr>
          <w:p w14:paraId="39A0204F"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0.7991***</w:t>
            </w:r>
          </w:p>
        </w:tc>
        <w:tc>
          <w:tcPr>
            <w:tcW w:w="0" w:type="auto"/>
            <w:tcBorders>
              <w:bottom w:val="single" w:sz="4" w:space="0" w:color="auto"/>
            </w:tcBorders>
            <w:hideMark/>
          </w:tcPr>
          <w:p w14:paraId="4F044706"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0.2805</w:t>
            </w:r>
          </w:p>
        </w:tc>
        <w:tc>
          <w:tcPr>
            <w:tcW w:w="0" w:type="auto"/>
            <w:tcBorders>
              <w:bottom w:val="single" w:sz="4" w:space="0" w:color="auto"/>
            </w:tcBorders>
            <w:hideMark/>
          </w:tcPr>
          <w:p w14:paraId="7225803A"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2.8483</w:t>
            </w:r>
          </w:p>
        </w:tc>
        <w:tc>
          <w:tcPr>
            <w:tcW w:w="0" w:type="auto"/>
            <w:tcBorders>
              <w:bottom w:val="single" w:sz="4" w:space="0" w:color="auto"/>
            </w:tcBorders>
            <w:hideMark/>
          </w:tcPr>
          <w:p w14:paraId="23B5231D"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0.0053</w:t>
            </w:r>
          </w:p>
        </w:tc>
      </w:tr>
    </w:tbl>
    <w:p w14:paraId="5BBC7D3D" w14:textId="77777777" w:rsidR="00CA3ED0" w:rsidRPr="00CA3ED0" w:rsidRDefault="00CA3ED0" w:rsidP="00CA3ED0">
      <w:pPr>
        <w:jc w:val="both"/>
        <w:rPr>
          <w:rFonts w:ascii="Arial" w:hAnsi="Arial" w:cs="Arial"/>
          <w:b/>
          <w:bCs/>
        </w:rPr>
      </w:pPr>
      <w:r w:rsidRPr="00CA3ED0">
        <w:rPr>
          <w:rFonts w:ascii="Arial" w:hAnsi="Arial" w:cs="Arial"/>
          <w:b/>
          <w:bCs/>
        </w:rPr>
        <w:t>Model Statistics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6"/>
        <w:gridCol w:w="828"/>
      </w:tblGrid>
      <w:tr w:rsidR="00CA3ED0" w:rsidRPr="00CA3ED0" w14:paraId="362D1803" w14:textId="77777777" w:rsidTr="00CA3ED0">
        <w:trPr>
          <w:jc w:val="center"/>
        </w:trPr>
        <w:tc>
          <w:tcPr>
            <w:tcW w:w="0" w:type="auto"/>
            <w:tcBorders>
              <w:top w:val="single" w:sz="4" w:space="0" w:color="auto"/>
              <w:bottom w:val="single" w:sz="4" w:space="0" w:color="auto"/>
            </w:tcBorders>
            <w:hideMark/>
          </w:tcPr>
          <w:p w14:paraId="691D7F93"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Statistic</w:t>
            </w:r>
          </w:p>
        </w:tc>
        <w:tc>
          <w:tcPr>
            <w:tcW w:w="0" w:type="auto"/>
            <w:tcBorders>
              <w:top w:val="single" w:sz="4" w:space="0" w:color="auto"/>
              <w:bottom w:val="single" w:sz="4" w:space="0" w:color="auto"/>
            </w:tcBorders>
            <w:hideMark/>
          </w:tcPr>
          <w:p w14:paraId="2BB41241"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Value</w:t>
            </w:r>
          </w:p>
        </w:tc>
      </w:tr>
      <w:tr w:rsidR="00CA3ED0" w:rsidRPr="00CA3ED0" w14:paraId="0A3E0965" w14:textId="77777777" w:rsidTr="00CA3ED0">
        <w:trPr>
          <w:jc w:val="center"/>
        </w:trPr>
        <w:tc>
          <w:tcPr>
            <w:tcW w:w="0" w:type="auto"/>
            <w:tcBorders>
              <w:top w:val="single" w:sz="4" w:space="0" w:color="auto"/>
            </w:tcBorders>
            <w:hideMark/>
          </w:tcPr>
          <w:p w14:paraId="7AFF011B"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Number of Observations</w:t>
            </w:r>
          </w:p>
        </w:tc>
        <w:tc>
          <w:tcPr>
            <w:tcW w:w="0" w:type="auto"/>
            <w:tcBorders>
              <w:top w:val="single" w:sz="4" w:space="0" w:color="auto"/>
            </w:tcBorders>
            <w:hideMark/>
          </w:tcPr>
          <w:p w14:paraId="23DA56BB"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108</w:t>
            </w:r>
          </w:p>
        </w:tc>
      </w:tr>
      <w:tr w:rsidR="00CA3ED0" w:rsidRPr="00CA3ED0" w14:paraId="61C34950" w14:textId="77777777" w:rsidTr="00CA3ED0">
        <w:trPr>
          <w:jc w:val="center"/>
        </w:trPr>
        <w:tc>
          <w:tcPr>
            <w:tcW w:w="0" w:type="auto"/>
            <w:hideMark/>
          </w:tcPr>
          <w:p w14:paraId="08FB29C8"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Number of Groups (Banks)</w:t>
            </w:r>
          </w:p>
        </w:tc>
        <w:tc>
          <w:tcPr>
            <w:tcW w:w="0" w:type="auto"/>
            <w:hideMark/>
          </w:tcPr>
          <w:p w14:paraId="267E9914"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4</w:t>
            </w:r>
          </w:p>
        </w:tc>
      </w:tr>
      <w:tr w:rsidR="00CA3ED0" w:rsidRPr="00CA3ED0" w14:paraId="1DE6A692" w14:textId="77777777" w:rsidTr="00CA3ED0">
        <w:trPr>
          <w:jc w:val="center"/>
        </w:trPr>
        <w:tc>
          <w:tcPr>
            <w:tcW w:w="0" w:type="auto"/>
            <w:hideMark/>
          </w:tcPr>
          <w:p w14:paraId="1BE072FB"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Time Periods</w:t>
            </w:r>
          </w:p>
        </w:tc>
        <w:tc>
          <w:tcPr>
            <w:tcW w:w="0" w:type="auto"/>
            <w:hideMark/>
          </w:tcPr>
          <w:p w14:paraId="0CA7D6C3"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27</w:t>
            </w:r>
          </w:p>
        </w:tc>
      </w:tr>
      <w:tr w:rsidR="00CA3ED0" w:rsidRPr="00CA3ED0" w14:paraId="28992D0C" w14:textId="77777777" w:rsidTr="00CA3ED0">
        <w:trPr>
          <w:jc w:val="center"/>
        </w:trPr>
        <w:tc>
          <w:tcPr>
            <w:tcW w:w="0" w:type="auto"/>
            <w:hideMark/>
          </w:tcPr>
          <w:p w14:paraId="3490FD91"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R-squared (Overall)</w:t>
            </w:r>
          </w:p>
        </w:tc>
        <w:tc>
          <w:tcPr>
            <w:tcW w:w="0" w:type="auto"/>
            <w:hideMark/>
          </w:tcPr>
          <w:p w14:paraId="395C64F0"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0.2221</w:t>
            </w:r>
          </w:p>
        </w:tc>
      </w:tr>
      <w:tr w:rsidR="00CA3ED0" w:rsidRPr="00CA3ED0" w14:paraId="7FC2F26E" w14:textId="77777777" w:rsidTr="00CA3ED0">
        <w:trPr>
          <w:jc w:val="center"/>
        </w:trPr>
        <w:tc>
          <w:tcPr>
            <w:tcW w:w="0" w:type="auto"/>
            <w:hideMark/>
          </w:tcPr>
          <w:p w14:paraId="1761E161"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R-squared (Within)</w:t>
            </w:r>
          </w:p>
        </w:tc>
        <w:tc>
          <w:tcPr>
            <w:tcW w:w="0" w:type="auto"/>
            <w:hideMark/>
          </w:tcPr>
          <w:p w14:paraId="21100CAC"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0.2440</w:t>
            </w:r>
          </w:p>
        </w:tc>
      </w:tr>
      <w:tr w:rsidR="00CA3ED0" w:rsidRPr="00CA3ED0" w14:paraId="53326646" w14:textId="77777777" w:rsidTr="00CA3ED0">
        <w:trPr>
          <w:jc w:val="center"/>
        </w:trPr>
        <w:tc>
          <w:tcPr>
            <w:tcW w:w="0" w:type="auto"/>
            <w:hideMark/>
          </w:tcPr>
          <w:p w14:paraId="74DB5EE4"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R-squared (Between)</w:t>
            </w:r>
          </w:p>
        </w:tc>
        <w:tc>
          <w:tcPr>
            <w:tcW w:w="0" w:type="auto"/>
            <w:hideMark/>
          </w:tcPr>
          <w:p w14:paraId="1ED457A0"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0.1460</w:t>
            </w:r>
          </w:p>
        </w:tc>
      </w:tr>
      <w:tr w:rsidR="00CA3ED0" w:rsidRPr="00CA3ED0" w14:paraId="67DB06E7" w14:textId="77777777" w:rsidTr="00CA3ED0">
        <w:trPr>
          <w:jc w:val="center"/>
        </w:trPr>
        <w:tc>
          <w:tcPr>
            <w:tcW w:w="0" w:type="auto"/>
            <w:hideMark/>
          </w:tcPr>
          <w:p w14:paraId="4F8A5A67"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F-statistic (robust)</w:t>
            </w:r>
          </w:p>
        </w:tc>
        <w:tc>
          <w:tcPr>
            <w:tcW w:w="0" w:type="auto"/>
            <w:hideMark/>
          </w:tcPr>
          <w:p w14:paraId="09BB0C7E"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8.0993</w:t>
            </w:r>
          </w:p>
        </w:tc>
      </w:tr>
      <w:tr w:rsidR="00CA3ED0" w:rsidRPr="00CA3ED0" w14:paraId="7AD47C72" w14:textId="77777777" w:rsidTr="00CA3ED0">
        <w:trPr>
          <w:jc w:val="center"/>
        </w:trPr>
        <w:tc>
          <w:tcPr>
            <w:tcW w:w="0" w:type="auto"/>
            <w:tcBorders>
              <w:bottom w:val="single" w:sz="4" w:space="0" w:color="auto"/>
            </w:tcBorders>
            <w:hideMark/>
          </w:tcPr>
          <w:p w14:paraId="58A4B08C"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Prob (F-statistic)</w:t>
            </w:r>
          </w:p>
        </w:tc>
        <w:tc>
          <w:tcPr>
            <w:tcW w:w="0" w:type="auto"/>
            <w:tcBorders>
              <w:bottom w:val="single" w:sz="4" w:space="0" w:color="auto"/>
            </w:tcBorders>
            <w:hideMark/>
          </w:tcPr>
          <w:p w14:paraId="4115C287"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0.0000</w:t>
            </w:r>
          </w:p>
        </w:tc>
      </w:tr>
    </w:tbl>
    <w:p w14:paraId="6C293DDE" w14:textId="77777777" w:rsidR="00CA3ED0" w:rsidRDefault="00CA3ED0" w:rsidP="00CA3ED0">
      <w:pPr>
        <w:jc w:val="both"/>
        <w:rPr>
          <w:rFonts w:ascii="Arial" w:hAnsi="Arial" w:cs="Arial"/>
        </w:rPr>
      </w:pPr>
    </w:p>
    <w:p w14:paraId="44B72596" w14:textId="337A0BF3" w:rsidR="00CA3ED0" w:rsidRPr="00CA3ED0" w:rsidRDefault="00CA3ED0" w:rsidP="00CA3ED0">
      <w:pPr>
        <w:jc w:val="both"/>
        <w:rPr>
          <w:rFonts w:ascii="Arial" w:hAnsi="Arial" w:cs="Arial"/>
        </w:rPr>
      </w:pPr>
      <w:r w:rsidRPr="00CA3ED0">
        <w:rPr>
          <w:rFonts w:ascii="Arial" w:hAnsi="Arial" w:cs="Arial"/>
        </w:rPr>
        <w:t>The Random Effects model reveals several important relationships between macroeconomic variables and NPAs:</w:t>
      </w:r>
    </w:p>
    <w:p w14:paraId="4129D537" w14:textId="77777777" w:rsidR="00CA3ED0" w:rsidRPr="00CA3ED0" w:rsidRDefault="00CA3ED0" w:rsidP="00CA3ED0">
      <w:pPr>
        <w:jc w:val="both"/>
        <w:rPr>
          <w:rFonts w:ascii="Arial" w:hAnsi="Arial" w:cs="Arial"/>
        </w:rPr>
      </w:pPr>
      <w:r w:rsidRPr="00CA3ED0">
        <w:rPr>
          <w:rFonts w:ascii="Arial" w:hAnsi="Arial" w:cs="Arial"/>
        </w:rPr>
        <w:t>The results indicate that inflation exerts a negative and statistically significant effect on NPAs (β = −0.4585, p &lt; 0.01), while lending interest rates have a positive and significant impact (β = 0.7991, p &lt; 0.01). In contrast, credit growth (β = −0.0593) and GDP growth (β = −0.1509) are statistically insignificant, indicating limited short-run explanatory power. The constant term is also insignificant, suggesting the absence of a baseline effect.</w:t>
      </w:r>
    </w:p>
    <w:p w14:paraId="406F218F" w14:textId="77777777" w:rsidR="00CA3ED0" w:rsidRDefault="00CA3ED0" w:rsidP="00CA3ED0">
      <w:pPr>
        <w:jc w:val="both"/>
        <w:rPr>
          <w:rFonts w:ascii="Arial" w:hAnsi="Arial" w:cs="Arial"/>
          <w:b/>
          <w:bCs/>
        </w:rPr>
      </w:pPr>
    </w:p>
    <w:p w14:paraId="7CE58421" w14:textId="2C9DE536" w:rsidR="00CA3ED0" w:rsidRPr="00CA3ED0" w:rsidRDefault="00CA3ED0" w:rsidP="00CA3ED0">
      <w:pPr>
        <w:jc w:val="both"/>
        <w:rPr>
          <w:rFonts w:ascii="Arial" w:hAnsi="Arial" w:cs="Arial"/>
          <w:b/>
          <w:bCs/>
        </w:rPr>
      </w:pPr>
      <w:r w:rsidRPr="00CA3ED0">
        <w:rPr>
          <w:rFonts w:ascii="Arial" w:hAnsi="Arial" w:cs="Arial"/>
          <w:b/>
          <w:bCs/>
        </w:rPr>
        <w:t>4.3.3 Model Fit and Statistical Significance</w:t>
      </w:r>
    </w:p>
    <w:p w14:paraId="0C0AEE70" w14:textId="77777777" w:rsidR="00CA3ED0" w:rsidRPr="00CA3ED0" w:rsidRDefault="00CA3ED0" w:rsidP="00CA3ED0">
      <w:pPr>
        <w:jc w:val="both"/>
        <w:rPr>
          <w:rFonts w:ascii="Arial" w:hAnsi="Arial" w:cs="Arial"/>
        </w:rPr>
      </w:pPr>
      <w:r w:rsidRPr="00CA3ED0">
        <w:rPr>
          <w:rFonts w:ascii="Arial" w:hAnsi="Arial" w:cs="Arial"/>
        </w:rPr>
        <w:t>The Random Effects model exhibits moderate explanatory power, with an overall R² of 0.2221, indicating that about 22% of the variation in NPAs is explained. The within R² (0.2440) suggests slightly higher explanatory power over time within bank groups, while the between R² (0.1460) reflects lower variation across groups. The model is jointly significant, as indicated by the robust F-statistic of 8.0993 (p &lt; 0.01)</w:t>
      </w:r>
    </w:p>
    <w:p w14:paraId="1A69E953" w14:textId="77777777" w:rsidR="00CA3ED0" w:rsidRPr="00CA3ED0" w:rsidRDefault="00CA3ED0" w:rsidP="00CA3ED0">
      <w:pPr>
        <w:jc w:val="both"/>
        <w:rPr>
          <w:rFonts w:ascii="Arial" w:hAnsi="Arial" w:cs="Arial"/>
          <w:b/>
          <w:bCs/>
        </w:rPr>
      </w:pPr>
      <w:r w:rsidRPr="00CA3ED0">
        <w:rPr>
          <w:rFonts w:ascii="Arial" w:hAnsi="Arial" w:cs="Arial"/>
          <w:b/>
          <w:bCs/>
        </w:rPr>
        <w:t>4.3.4 Economic Interpretation and Summary of Findings</w:t>
      </w:r>
    </w:p>
    <w:p w14:paraId="6C28D630" w14:textId="77777777" w:rsidR="00CA3ED0" w:rsidRPr="00CA3ED0" w:rsidRDefault="00CA3ED0" w:rsidP="00CA3ED0">
      <w:pPr>
        <w:jc w:val="both"/>
        <w:rPr>
          <w:rFonts w:ascii="Arial" w:hAnsi="Arial" w:cs="Arial"/>
          <w:b/>
          <w:bCs/>
        </w:rPr>
      </w:pPr>
      <w:r w:rsidRPr="00CA3ED0">
        <w:rPr>
          <w:rFonts w:ascii="Arial" w:hAnsi="Arial" w:cs="Arial"/>
        </w:rPr>
        <w:t xml:space="preserve">The results indicate that lending interest rates have a positive and statistically significant effect on NPAs (β = 0.7991), implying that higher borrowing costs increase default risk. In contrast, </w:t>
      </w:r>
      <w:r w:rsidRPr="00CA3ED0">
        <w:rPr>
          <w:rFonts w:ascii="Arial" w:hAnsi="Arial" w:cs="Arial"/>
        </w:rPr>
        <w:lastRenderedPageBreak/>
        <w:t>inflation exerts a negative and significant impact (β = −0.4585), suggesting that it reduces the real debt burden and improves repayment capacity. GDP growth and credit growth are statistically insignificant, indicating that short-term macroeconomic expansion does not directly translate into improved asset quality and that structural factors may play a more dominant role. The model explains a moderate share of variation in NPAs (R² ≈ 0.22), highlighting the importance of financial conditions over aggregate growth in determining credit risk</w:t>
      </w:r>
      <w:r w:rsidRPr="00CA3ED0">
        <w:rPr>
          <w:rFonts w:ascii="Arial" w:hAnsi="Arial" w:cs="Arial"/>
          <w:b/>
          <w:bCs/>
        </w:rPr>
        <w:t>.</w:t>
      </w:r>
    </w:p>
    <w:p w14:paraId="75ADE2C0" w14:textId="77777777" w:rsidR="00CA3ED0" w:rsidRPr="00CA3ED0" w:rsidRDefault="00CA3ED0" w:rsidP="00CA3ED0">
      <w:pPr>
        <w:jc w:val="both"/>
        <w:rPr>
          <w:rFonts w:ascii="Arial" w:hAnsi="Arial" w:cs="Arial"/>
        </w:rPr>
      </w:pPr>
    </w:p>
    <w:p w14:paraId="2AE0CE92" w14:textId="77777777" w:rsidR="00CA3ED0" w:rsidRPr="00CA3ED0" w:rsidRDefault="00CA3ED0" w:rsidP="00CA3ED0">
      <w:pPr>
        <w:jc w:val="both"/>
        <w:rPr>
          <w:rFonts w:ascii="Arial" w:hAnsi="Arial" w:cs="Arial"/>
          <w:b/>
          <w:bCs/>
          <w:sz w:val="22"/>
          <w:szCs w:val="22"/>
        </w:rPr>
      </w:pPr>
      <w:r w:rsidRPr="00CA3ED0">
        <w:rPr>
          <w:rFonts w:ascii="Arial" w:hAnsi="Arial" w:cs="Arial"/>
          <w:b/>
          <w:bCs/>
          <w:sz w:val="22"/>
          <w:szCs w:val="22"/>
        </w:rPr>
        <w:t>4.4. Diagnostic Analysis</w:t>
      </w:r>
    </w:p>
    <w:p w14:paraId="0D618365" w14:textId="77777777" w:rsidR="00CA3ED0" w:rsidRPr="00CA3ED0" w:rsidRDefault="00CA3ED0" w:rsidP="00CA3ED0">
      <w:pPr>
        <w:jc w:val="both"/>
        <w:rPr>
          <w:rFonts w:ascii="Arial" w:hAnsi="Arial" w:cs="Arial"/>
        </w:rPr>
      </w:pPr>
      <w:r w:rsidRPr="00CA3ED0">
        <w:rPr>
          <w:rFonts w:ascii="Arial" w:hAnsi="Arial" w:cs="Arial"/>
        </w:rPr>
        <w:t>Diagnostic tests were conducted to validate key assumptions of the panel model, including multicollinearity, heteroskedasticity, serial correlation, and cross-sectional dependence.</w:t>
      </w:r>
    </w:p>
    <w:p w14:paraId="124820C1" w14:textId="77777777" w:rsidR="00CA3ED0" w:rsidRDefault="00CA3ED0" w:rsidP="00CA3ED0">
      <w:pPr>
        <w:jc w:val="both"/>
        <w:rPr>
          <w:rFonts w:ascii="Arial" w:hAnsi="Arial" w:cs="Arial"/>
          <w:b/>
          <w:bCs/>
        </w:rPr>
      </w:pPr>
    </w:p>
    <w:p w14:paraId="70FA70B0" w14:textId="03BD5A91" w:rsidR="00CA3ED0" w:rsidRPr="00CA3ED0" w:rsidRDefault="00CA3ED0" w:rsidP="00CA3ED0">
      <w:pPr>
        <w:jc w:val="both"/>
        <w:rPr>
          <w:rFonts w:ascii="Arial" w:hAnsi="Arial" w:cs="Arial"/>
          <w:b/>
          <w:bCs/>
        </w:rPr>
      </w:pPr>
      <w:r w:rsidRPr="00CA3ED0">
        <w:rPr>
          <w:rFonts w:ascii="Arial" w:hAnsi="Arial" w:cs="Arial"/>
          <w:b/>
          <w:bCs/>
        </w:rPr>
        <w:t>4.4.1 Multicollinearity</w:t>
      </w:r>
    </w:p>
    <w:p w14:paraId="52C1F637" w14:textId="77777777" w:rsidR="00CA3ED0" w:rsidRPr="00CA3ED0" w:rsidRDefault="00CA3ED0" w:rsidP="00CA3ED0">
      <w:pPr>
        <w:jc w:val="both"/>
        <w:rPr>
          <w:rFonts w:ascii="Arial" w:hAnsi="Arial" w:cs="Arial"/>
        </w:rPr>
      </w:pPr>
      <w:r w:rsidRPr="00CA3ED0">
        <w:rPr>
          <w:rFonts w:ascii="Arial" w:hAnsi="Arial" w:cs="Arial"/>
        </w:rPr>
        <w:t xml:space="preserve">Multicollinearity among explanatory variables was assessed using the Variance Inflation Factor (VIF), the results of which are presented in </w:t>
      </w:r>
      <w:r w:rsidRPr="00CA3ED0">
        <w:rPr>
          <w:rFonts w:ascii="Arial" w:hAnsi="Arial" w:cs="Arial"/>
          <w:b/>
          <w:bCs/>
        </w:rPr>
        <w:t>Table 2</w:t>
      </w:r>
      <w:r w:rsidRPr="00CA3ED0">
        <w:rPr>
          <w:rFonts w:ascii="Arial" w:hAnsi="Arial" w:cs="Arial"/>
        </w:rPr>
        <w:t>.</w:t>
      </w:r>
    </w:p>
    <w:p w14:paraId="760F7392" w14:textId="77777777" w:rsidR="00CA3ED0" w:rsidRPr="00CA3ED0" w:rsidRDefault="00CA3ED0" w:rsidP="00CA3ED0">
      <w:pPr>
        <w:jc w:val="both"/>
        <w:rPr>
          <w:rFonts w:ascii="Arial" w:hAnsi="Arial" w:cs="Arial"/>
        </w:rPr>
      </w:pPr>
      <w:r w:rsidRPr="00CA3ED0">
        <w:rPr>
          <w:rFonts w:ascii="Arial" w:hAnsi="Arial" w:cs="Arial"/>
        </w:rPr>
        <w:t>All explanatory variables exhibit low VIF values (1.0063–1.1737), well below critical thresholds, indicating no multicollinearity. The high VIF for the constant term is expected and does not affect inference. These results confirm the stability and reliability of the estimated coefficients.</w:t>
      </w:r>
    </w:p>
    <w:p w14:paraId="04407D76" w14:textId="77777777" w:rsidR="00CA3ED0" w:rsidRDefault="00CA3ED0" w:rsidP="00CA3ED0">
      <w:pPr>
        <w:jc w:val="both"/>
        <w:rPr>
          <w:rFonts w:ascii="Arial" w:hAnsi="Arial" w:cs="Arial"/>
          <w:b/>
          <w:bCs/>
        </w:rPr>
      </w:pPr>
    </w:p>
    <w:p w14:paraId="49D18ED7" w14:textId="5E0F190A" w:rsidR="00CA3ED0" w:rsidRPr="00CA3ED0" w:rsidRDefault="00CA3ED0" w:rsidP="00CA3ED0">
      <w:pPr>
        <w:jc w:val="both"/>
        <w:rPr>
          <w:rFonts w:ascii="Arial" w:hAnsi="Arial" w:cs="Arial"/>
          <w:b/>
          <w:bCs/>
        </w:rPr>
      </w:pPr>
      <w:r w:rsidRPr="00CA3ED0">
        <w:rPr>
          <w:rFonts w:ascii="Arial" w:hAnsi="Arial" w:cs="Arial"/>
          <w:b/>
          <w:bCs/>
        </w:rPr>
        <w:t>4.4.2 Heteroskedasticity</w:t>
      </w:r>
    </w:p>
    <w:p w14:paraId="0761B00A" w14:textId="77777777" w:rsidR="00CA3ED0" w:rsidRPr="00CA3ED0" w:rsidRDefault="00CA3ED0" w:rsidP="00CA3ED0">
      <w:pPr>
        <w:jc w:val="both"/>
        <w:rPr>
          <w:rFonts w:ascii="Arial" w:hAnsi="Arial" w:cs="Arial"/>
        </w:rPr>
      </w:pPr>
      <w:r w:rsidRPr="00CA3ED0">
        <w:rPr>
          <w:rFonts w:ascii="Arial" w:hAnsi="Arial" w:cs="Arial"/>
        </w:rPr>
        <w:t xml:space="preserve">The presence of heteroskedasticity was tested using the Breusch–Pagan test, with results reported in </w:t>
      </w:r>
      <w:r w:rsidRPr="00CA3ED0">
        <w:rPr>
          <w:rFonts w:ascii="Arial" w:hAnsi="Arial" w:cs="Arial"/>
          <w:b/>
          <w:bCs/>
        </w:rPr>
        <w:t>Table 5</w:t>
      </w:r>
      <w:r w:rsidRPr="00CA3ED0">
        <w:rPr>
          <w:rFonts w:ascii="Arial" w:hAnsi="Arial" w:cs="Arial"/>
        </w:rPr>
        <w:t>.</w:t>
      </w:r>
    </w:p>
    <w:p w14:paraId="49AB329E" w14:textId="005A5976" w:rsidR="00CA3ED0" w:rsidRPr="00CA3ED0" w:rsidRDefault="00CA3ED0" w:rsidP="00CA3ED0">
      <w:pPr>
        <w:jc w:val="both"/>
        <w:rPr>
          <w:rFonts w:ascii="Arial" w:hAnsi="Arial" w:cs="Arial"/>
          <w:b/>
          <w:bCs/>
        </w:rPr>
      </w:pPr>
      <w:r w:rsidRPr="00CA3ED0">
        <w:rPr>
          <w:rFonts w:ascii="Arial" w:hAnsi="Arial" w:cs="Arial"/>
          <w:b/>
          <w:bCs/>
        </w:rPr>
        <w:t>Table 5. Breusch</w:t>
      </w:r>
      <w:r>
        <w:rPr>
          <w:rFonts w:ascii="Arial" w:hAnsi="Arial" w:cs="Arial"/>
          <w:b/>
          <w:bCs/>
        </w:rPr>
        <w:t>-</w:t>
      </w:r>
      <w:r w:rsidRPr="00CA3ED0">
        <w:rPr>
          <w:rFonts w:ascii="Arial" w:hAnsi="Arial" w:cs="Arial"/>
          <w:b/>
          <w:bCs/>
        </w:rPr>
        <w:t>Pagan Test for Heteroskedasticity</w:t>
      </w:r>
    </w:p>
    <w:tbl>
      <w:tblPr>
        <w:tblStyle w:val="TableGrid"/>
        <w:tblW w:w="0" w:type="auto"/>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50"/>
        <w:gridCol w:w="939"/>
      </w:tblGrid>
      <w:tr w:rsidR="00CA3ED0" w:rsidRPr="00CA3ED0" w14:paraId="64BBA51E" w14:textId="77777777" w:rsidTr="002F65AB">
        <w:trPr>
          <w:jc w:val="center"/>
        </w:trPr>
        <w:tc>
          <w:tcPr>
            <w:tcW w:w="0" w:type="auto"/>
            <w:tcBorders>
              <w:top w:val="single" w:sz="4" w:space="0" w:color="auto"/>
              <w:bottom w:val="single" w:sz="4" w:space="0" w:color="auto"/>
            </w:tcBorders>
            <w:hideMark/>
          </w:tcPr>
          <w:p w14:paraId="47C1C013"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Statistic</w:t>
            </w:r>
          </w:p>
        </w:tc>
        <w:tc>
          <w:tcPr>
            <w:tcW w:w="0" w:type="auto"/>
            <w:tcBorders>
              <w:top w:val="single" w:sz="4" w:space="0" w:color="auto"/>
              <w:bottom w:val="single" w:sz="4" w:space="0" w:color="auto"/>
            </w:tcBorders>
            <w:hideMark/>
          </w:tcPr>
          <w:p w14:paraId="6EF26939"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Value</w:t>
            </w:r>
          </w:p>
        </w:tc>
      </w:tr>
      <w:tr w:rsidR="00CA3ED0" w:rsidRPr="00CA3ED0" w14:paraId="6BA9FFD7" w14:textId="77777777" w:rsidTr="002F65AB">
        <w:trPr>
          <w:jc w:val="center"/>
        </w:trPr>
        <w:tc>
          <w:tcPr>
            <w:tcW w:w="0" w:type="auto"/>
            <w:tcBorders>
              <w:top w:val="single" w:sz="4" w:space="0" w:color="auto"/>
            </w:tcBorders>
            <w:hideMark/>
          </w:tcPr>
          <w:p w14:paraId="0DBA6205"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LM Statistic</w:t>
            </w:r>
          </w:p>
        </w:tc>
        <w:tc>
          <w:tcPr>
            <w:tcW w:w="0" w:type="auto"/>
            <w:tcBorders>
              <w:top w:val="single" w:sz="4" w:space="0" w:color="auto"/>
            </w:tcBorders>
            <w:hideMark/>
          </w:tcPr>
          <w:p w14:paraId="424EFF6E"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14.5262</w:t>
            </w:r>
          </w:p>
        </w:tc>
      </w:tr>
      <w:tr w:rsidR="00CA3ED0" w:rsidRPr="00CA3ED0" w14:paraId="1DDBB2BE" w14:textId="77777777" w:rsidTr="00CA3ED0">
        <w:trPr>
          <w:jc w:val="center"/>
        </w:trPr>
        <w:tc>
          <w:tcPr>
            <w:tcW w:w="0" w:type="auto"/>
            <w:hideMark/>
          </w:tcPr>
          <w:p w14:paraId="73C8D5FC"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LM P-value</w:t>
            </w:r>
          </w:p>
        </w:tc>
        <w:tc>
          <w:tcPr>
            <w:tcW w:w="0" w:type="auto"/>
            <w:hideMark/>
          </w:tcPr>
          <w:p w14:paraId="7AC6208D"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0.0058</w:t>
            </w:r>
          </w:p>
        </w:tc>
      </w:tr>
      <w:tr w:rsidR="00CA3ED0" w:rsidRPr="00CA3ED0" w14:paraId="0B452CE2" w14:textId="77777777" w:rsidTr="00CA3ED0">
        <w:trPr>
          <w:jc w:val="center"/>
        </w:trPr>
        <w:tc>
          <w:tcPr>
            <w:tcW w:w="0" w:type="auto"/>
            <w:hideMark/>
          </w:tcPr>
          <w:p w14:paraId="1064DDB2"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F-Statistic</w:t>
            </w:r>
          </w:p>
        </w:tc>
        <w:tc>
          <w:tcPr>
            <w:tcW w:w="0" w:type="auto"/>
            <w:hideMark/>
          </w:tcPr>
          <w:p w14:paraId="0899B1C3"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4.0017</w:t>
            </w:r>
          </w:p>
        </w:tc>
      </w:tr>
      <w:tr w:rsidR="00CA3ED0" w:rsidRPr="00CA3ED0" w14:paraId="0995A09A" w14:textId="77777777" w:rsidTr="00CA3ED0">
        <w:trPr>
          <w:jc w:val="center"/>
        </w:trPr>
        <w:tc>
          <w:tcPr>
            <w:tcW w:w="0" w:type="auto"/>
            <w:hideMark/>
          </w:tcPr>
          <w:p w14:paraId="77D77F90"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F P-value</w:t>
            </w:r>
          </w:p>
        </w:tc>
        <w:tc>
          <w:tcPr>
            <w:tcW w:w="0" w:type="auto"/>
            <w:hideMark/>
          </w:tcPr>
          <w:p w14:paraId="2145B0A0"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0.0047</w:t>
            </w:r>
          </w:p>
        </w:tc>
      </w:tr>
    </w:tbl>
    <w:p w14:paraId="4C3EE972" w14:textId="77777777" w:rsidR="00CA3ED0" w:rsidRPr="00CA3ED0" w:rsidRDefault="00CA3ED0" w:rsidP="00CA3ED0">
      <w:pPr>
        <w:jc w:val="both"/>
        <w:rPr>
          <w:rFonts w:ascii="Arial" w:hAnsi="Arial" w:cs="Arial"/>
        </w:rPr>
      </w:pPr>
    </w:p>
    <w:p w14:paraId="248E886B" w14:textId="77777777" w:rsidR="00CA3ED0" w:rsidRPr="00CA3ED0" w:rsidRDefault="00CA3ED0" w:rsidP="00CA3ED0">
      <w:pPr>
        <w:jc w:val="both"/>
        <w:rPr>
          <w:rFonts w:ascii="Arial" w:hAnsi="Arial" w:cs="Arial"/>
        </w:rPr>
      </w:pPr>
      <w:r w:rsidRPr="00CA3ED0">
        <w:rPr>
          <w:rFonts w:ascii="Arial" w:hAnsi="Arial" w:cs="Arial"/>
        </w:rPr>
        <w:t xml:space="preserve">The LM p-value of </w:t>
      </w:r>
      <w:r w:rsidRPr="00CA3ED0">
        <w:rPr>
          <w:rFonts w:ascii="Arial" w:hAnsi="Arial" w:cs="Arial"/>
          <w:b/>
          <w:bCs/>
        </w:rPr>
        <w:t>0.0058</w:t>
      </w:r>
      <w:r w:rsidRPr="00CA3ED0">
        <w:rPr>
          <w:rFonts w:ascii="Arial" w:hAnsi="Arial" w:cs="Arial"/>
        </w:rPr>
        <w:t xml:space="preserve"> is less than the 5% significance level, leading to the rejection of the null hypothesis of homoskedasticity. This confirms the presence of heteroskedasticity in the residuals.  To address this issue, </w:t>
      </w:r>
      <w:r w:rsidRPr="00CA3ED0">
        <w:rPr>
          <w:rFonts w:ascii="Arial" w:hAnsi="Arial" w:cs="Arial"/>
          <w:b/>
          <w:bCs/>
        </w:rPr>
        <w:t>robust standard errors</w:t>
      </w:r>
      <w:r w:rsidRPr="00CA3ED0">
        <w:rPr>
          <w:rFonts w:ascii="Arial" w:hAnsi="Arial" w:cs="Arial"/>
        </w:rPr>
        <w:t xml:space="preserve"> are employed in the Random Effects model, ensuring that statistical inference remains valid despite the presence of heteroskedasticity.</w:t>
      </w:r>
    </w:p>
    <w:p w14:paraId="5D6E548C" w14:textId="77777777" w:rsidR="002F65AB" w:rsidRDefault="002F65AB" w:rsidP="00CA3ED0">
      <w:pPr>
        <w:jc w:val="both"/>
        <w:rPr>
          <w:rFonts w:ascii="Arial" w:hAnsi="Arial" w:cs="Arial"/>
          <w:b/>
          <w:bCs/>
        </w:rPr>
      </w:pPr>
    </w:p>
    <w:p w14:paraId="0B1427B9" w14:textId="4DFC26EE" w:rsidR="00CA3ED0" w:rsidRPr="00CA3ED0" w:rsidRDefault="00CA3ED0" w:rsidP="00CA3ED0">
      <w:pPr>
        <w:jc w:val="both"/>
        <w:rPr>
          <w:rFonts w:ascii="Arial" w:hAnsi="Arial" w:cs="Arial"/>
          <w:b/>
          <w:bCs/>
        </w:rPr>
      </w:pPr>
      <w:r w:rsidRPr="00CA3ED0">
        <w:rPr>
          <w:rFonts w:ascii="Arial" w:hAnsi="Arial" w:cs="Arial"/>
          <w:b/>
          <w:bCs/>
        </w:rPr>
        <w:t>4.4.3 Serial Correlation</w:t>
      </w:r>
    </w:p>
    <w:p w14:paraId="1F449630" w14:textId="54CB7225" w:rsidR="00CA3ED0" w:rsidRPr="00CA3ED0" w:rsidRDefault="00CA3ED0" w:rsidP="00CA3ED0">
      <w:pPr>
        <w:jc w:val="both"/>
        <w:rPr>
          <w:rFonts w:ascii="Arial" w:hAnsi="Arial" w:cs="Arial"/>
        </w:rPr>
      </w:pPr>
      <w:r w:rsidRPr="00CA3ED0">
        <w:rPr>
          <w:rFonts w:ascii="Arial" w:hAnsi="Arial" w:cs="Arial"/>
        </w:rPr>
        <w:t>Serial correlation in the residuals was examined using the Durbin</w:t>
      </w:r>
      <w:r w:rsidR="002F65AB">
        <w:rPr>
          <w:rFonts w:ascii="Arial" w:hAnsi="Arial" w:cs="Arial"/>
        </w:rPr>
        <w:t>-</w:t>
      </w:r>
      <w:r w:rsidRPr="00CA3ED0">
        <w:rPr>
          <w:rFonts w:ascii="Arial" w:hAnsi="Arial" w:cs="Arial"/>
        </w:rPr>
        <w:t xml:space="preserve">Watson statistic, with results summarized in </w:t>
      </w:r>
      <w:r w:rsidRPr="00CA3ED0">
        <w:rPr>
          <w:rFonts w:ascii="Arial" w:hAnsi="Arial" w:cs="Arial"/>
          <w:b/>
          <w:bCs/>
        </w:rPr>
        <w:t>Table 6</w:t>
      </w:r>
      <w:r w:rsidRPr="00CA3ED0">
        <w:rPr>
          <w:rFonts w:ascii="Arial" w:hAnsi="Arial" w:cs="Arial"/>
        </w:rPr>
        <w:t>.</w:t>
      </w:r>
    </w:p>
    <w:p w14:paraId="254268D6" w14:textId="636432A3" w:rsidR="00CA3ED0" w:rsidRPr="00CA3ED0" w:rsidRDefault="00CA3ED0" w:rsidP="00CA3ED0">
      <w:pPr>
        <w:jc w:val="both"/>
        <w:rPr>
          <w:rFonts w:ascii="Arial" w:hAnsi="Arial" w:cs="Arial"/>
          <w:b/>
          <w:bCs/>
        </w:rPr>
      </w:pPr>
      <w:r w:rsidRPr="00CA3ED0">
        <w:rPr>
          <w:rFonts w:ascii="Arial" w:hAnsi="Arial" w:cs="Arial"/>
          <w:b/>
          <w:bCs/>
        </w:rPr>
        <w:t>Table 6. Durbin</w:t>
      </w:r>
      <w:r w:rsidR="002F65AB">
        <w:rPr>
          <w:rFonts w:ascii="Arial" w:hAnsi="Arial" w:cs="Arial"/>
          <w:b/>
          <w:bCs/>
        </w:rPr>
        <w:t>-</w:t>
      </w:r>
      <w:r w:rsidRPr="00CA3ED0">
        <w:rPr>
          <w:rFonts w:ascii="Arial" w:hAnsi="Arial" w:cs="Arial"/>
          <w:b/>
          <w:bCs/>
        </w:rPr>
        <w:t>Watson Test for Serial Correlation</w:t>
      </w:r>
    </w:p>
    <w:tbl>
      <w:tblPr>
        <w:tblStyle w:val="TableGrid"/>
        <w:tblW w:w="0" w:type="auto"/>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828"/>
      </w:tblGrid>
      <w:tr w:rsidR="00CA3ED0" w:rsidRPr="00CA3ED0" w14:paraId="712ABA30" w14:textId="77777777" w:rsidTr="002F65AB">
        <w:trPr>
          <w:jc w:val="center"/>
        </w:trPr>
        <w:tc>
          <w:tcPr>
            <w:tcW w:w="0" w:type="auto"/>
            <w:tcBorders>
              <w:top w:val="single" w:sz="4" w:space="0" w:color="auto"/>
              <w:bottom w:val="single" w:sz="4" w:space="0" w:color="auto"/>
            </w:tcBorders>
            <w:hideMark/>
          </w:tcPr>
          <w:p w14:paraId="7FBC9276"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Statistic</w:t>
            </w:r>
          </w:p>
        </w:tc>
        <w:tc>
          <w:tcPr>
            <w:tcW w:w="0" w:type="auto"/>
            <w:tcBorders>
              <w:top w:val="single" w:sz="4" w:space="0" w:color="auto"/>
              <w:bottom w:val="single" w:sz="4" w:space="0" w:color="auto"/>
            </w:tcBorders>
            <w:hideMark/>
          </w:tcPr>
          <w:p w14:paraId="004BA5F8"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Value</w:t>
            </w:r>
          </w:p>
        </w:tc>
      </w:tr>
      <w:tr w:rsidR="00CA3ED0" w:rsidRPr="00CA3ED0" w14:paraId="18CE0479" w14:textId="77777777" w:rsidTr="002F65AB">
        <w:trPr>
          <w:jc w:val="center"/>
        </w:trPr>
        <w:tc>
          <w:tcPr>
            <w:tcW w:w="0" w:type="auto"/>
            <w:tcBorders>
              <w:top w:val="single" w:sz="4" w:space="0" w:color="auto"/>
            </w:tcBorders>
            <w:hideMark/>
          </w:tcPr>
          <w:p w14:paraId="0F35ABE4"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Durbin–Watson</w:t>
            </w:r>
          </w:p>
        </w:tc>
        <w:tc>
          <w:tcPr>
            <w:tcW w:w="0" w:type="auto"/>
            <w:tcBorders>
              <w:top w:val="single" w:sz="4" w:space="0" w:color="auto"/>
            </w:tcBorders>
            <w:hideMark/>
          </w:tcPr>
          <w:p w14:paraId="191013A3"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1.0276</w:t>
            </w:r>
          </w:p>
        </w:tc>
      </w:tr>
    </w:tbl>
    <w:p w14:paraId="328E4889" w14:textId="77777777" w:rsidR="00CA3ED0" w:rsidRPr="00CA3ED0" w:rsidRDefault="00CA3ED0" w:rsidP="00CA3ED0">
      <w:pPr>
        <w:jc w:val="both"/>
        <w:rPr>
          <w:rFonts w:ascii="Arial" w:hAnsi="Arial" w:cs="Arial"/>
        </w:rPr>
      </w:pPr>
    </w:p>
    <w:p w14:paraId="17817A8D" w14:textId="2C2AAF7B" w:rsidR="00CA3ED0" w:rsidRPr="00CA3ED0" w:rsidRDefault="00CA3ED0" w:rsidP="00CA3ED0">
      <w:pPr>
        <w:jc w:val="both"/>
        <w:rPr>
          <w:rFonts w:ascii="Arial" w:hAnsi="Arial" w:cs="Arial"/>
        </w:rPr>
      </w:pPr>
      <w:r w:rsidRPr="00CA3ED0">
        <w:rPr>
          <w:rFonts w:ascii="Arial" w:hAnsi="Arial" w:cs="Arial"/>
        </w:rPr>
        <w:t>The Durbin</w:t>
      </w:r>
      <w:r w:rsidR="002F65AB">
        <w:rPr>
          <w:rFonts w:ascii="Arial" w:hAnsi="Arial" w:cs="Arial"/>
        </w:rPr>
        <w:t>-</w:t>
      </w:r>
      <w:r w:rsidRPr="00CA3ED0">
        <w:rPr>
          <w:rFonts w:ascii="Arial" w:hAnsi="Arial" w:cs="Arial"/>
        </w:rPr>
        <w:t xml:space="preserve">Watson statistic is </w:t>
      </w:r>
      <w:r w:rsidRPr="00CA3ED0">
        <w:rPr>
          <w:rFonts w:ascii="Arial" w:hAnsi="Arial" w:cs="Arial"/>
          <w:b/>
          <w:bCs/>
        </w:rPr>
        <w:t>1.0276</w:t>
      </w:r>
      <w:r w:rsidRPr="00CA3ED0">
        <w:rPr>
          <w:rFonts w:ascii="Arial" w:hAnsi="Arial" w:cs="Arial"/>
        </w:rPr>
        <w:t xml:space="preserve">, which is significantly below the benchmark value of 2. This indicates the presence of </w:t>
      </w:r>
      <w:r w:rsidRPr="00CA3ED0">
        <w:rPr>
          <w:rFonts w:ascii="Arial" w:hAnsi="Arial" w:cs="Arial"/>
          <w:b/>
          <w:bCs/>
        </w:rPr>
        <w:t>positive serial correlation</w:t>
      </w:r>
      <w:r w:rsidRPr="00CA3ED0">
        <w:rPr>
          <w:rFonts w:ascii="Arial" w:hAnsi="Arial" w:cs="Arial"/>
        </w:rPr>
        <w:t xml:space="preserve"> in the residuals.</w:t>
      </w:r>
    </w:p>
    <w:p w14:paraId="5D473156" w14:textId="2BEAAA57" w:rsidR="00CA3ED0" w:rsidRPr="00CA3ED0" w:rsidRDefault="00CA3ED0" w:rsidP="00CA3ED0">
      <w:pPr>
        <w:jc w:val="both"/>
        <w:rPr>
          <w:rFonts w:ascii="Arial" w:hAnsi="Arial" w:cs="Arial"/>
        </w:rPr>
      </w:pPr>
      <w:r w:rsidRPr="00CA3ED0">
        <w:rPr>
          <w:rFonts w:ascii="Arial" w:hAnsi="Arial" w:cs="Arial"/>
        </w:rPr>
        <w:t>A Durbin</w:t>
      </w:r>
      <w:r w:rsidR="002F65AB">
        <w:rPr>
          <w:rFonts w:ascii="Arial" w:hAnsi="Arial" w:cs="Arial"/>
        </w:rPr>
        <w:t>-</w:t>
      </w:r>
      <w:r w:rsidRPr="00CA3ED0">
        <w:rPr>
          <w:rFonts w:ascii="Arial" w:hAnsi="Arial" w:cs="Arial"/>
        </w:rPr>
        <w:t>Watson value close to 1 indicates positive serial correlation, suggesting that shocks to NPAs persist over time. This temporal dependence implies that error terms are not fully independent, potentially affecting estimator efficiency. However, the use of robust standard errors mitigates inference issues. This supports the inclusion of dynamic specifications.</w:t>
      </w:r>
    </w:p>
    <w:p w14:paraId="23DFD2E5" w14:textId="77777777" w:rsidR="00CA3ED0" w:rsidRPr="00CA3ED0" w:rsidRDefault="00CA3ED0" w:rsidP="00CA3ED0">
      <w:pPr>
        <w:jc w:val="both"/>
        <w:rPr>
          <w:rFonts w:ascii="Arial" w:hAnsi="Arial" w:cs="Arial"/>
          <w:b/>
          <w:bCs/>
        </w:rPr>
      </w:pPr>
      <w:r w:rsidRPr="00CA3ED0">
        <w:rPr>
          <w:rFonts w:ascii="Arial" w:hAnsi="Arial" w:cs="Arial"/>
          <w:b/>
          <w:bCs/>
        </w:rPr>
        <w:t>4.4.4 Cross-Section Dependence</w:t>
      </w:r>
    </w:p>
    <w:p w14:paraId="5CAA51E3" w14:textId="77777777" w:rsidR="00CA3ED0" w:rsidRPr="00CA3ED0" w:rsidRDefault="00CA3ED0" w:rsidP="00CA3ED0">
      <w:pPr>
        <w:jc w:val="both"/>
        <w:rPr>
          <w:rFonts w:ascii="Arial" w:hAnsi="Arial" w:cs="Arial"/>
        </w:rPr>
      </w:pPr>
      <w:r w:rsidRPr="00CA3ED0">
        <w:rPr>
          <w:rFonts w:ascii="Arial" w:hAnsi="Arial" w:cs="Arial"/>
        </w:rPr>
        <w:t xml:space="preserve">Cross-sectional dependence among bank groups was examined using the </w:t>
      </w:r>
      <w:proofErr w:type="spellStart"/>
      <w:r w:rsidRPr="00CA3ED0">
        <w:rPr>
          <w:rFonts w:ascii="Arial" w:hAnsi="Arial" w:cs="Arial"/>
        </w:rPr>
        <w:t>Pesaran</w:t>
      </w:r>
      <w:proofErr w:type="spellEnd"/>
      <w:r w:rsidRPr="00CA3ED0">
        <w:rPr>
          <w:rFonts w:ascii="Arial" w:hAnsi="Arial" w:cs="Arial"/>
        </w:rPr>
        <w:t xml:space="preserve"> CD test, with results reported in </w:t>
      </w:r>
      <w:r w:rsidRPr="00CA3ED0">
        <w:rPr>
          <w:rFonts w:ascii="Arial" w:hAnsi="Arial" w:cs="Arial"/>
          <w:b/>
          <w:bCs/>
        </w:rPr>
        <w:t>Table 7</w:t>
      </w:r>
      <w:r w:rsidRPr="00CA3ED0">
        <w:rPr>
          <w:rFonts w:ascii="Arial" w:hAnsi="Arial" w:cs="Arial"/>
        </w:rPr>
        <w:t>.</w:t>
      </w:r>
    </w:p>
    <w:p w14:paraId="0D14623C" w14:textId="77777777" w:rsidR="00CA3ED0" w:rsidRPr="00CA3ED0" w:rsidRDefault="00CA3ED0" w:rsidP="00CA3ED0">
      <w:pPr>
        <w:jc w:val="both"/>
        <w:rPr>
          <w:rFonts w:ascii="Arial" w:hAnsi="Arial" w:cs="Arial"/>
          <w:b/>
          <w:bCs/>
        </w:rPr>
      </w:pPr>
      <w:r w:rsidRPr="00CA3ED0">
        <w:rPr>
          <w:rFonts w:ascii="Arial" w:hAnsi="Arial" w:cs="Arial"/>
          <w:b/>
          <w:bCs/>
        </w:rPr>
        <w:t xml:space="preserve">Table 7: </w:t>
      </w:r>
      <w:proofErr w:type="spellStart"/>
      <w:r w:rsidRPr="00CA3ED0">
        <w:rPr>
          <w:rFonts w:ascii="Arial" w:hAnsi="Arial" w:cs="Arial"/>
          <w:b/>
          <w:bCs/>
        </w:rPr>
        <w:t>Pesaran</w:t>
      </w:r>
      <w:proofErr w:type="spellEnd"/>
      <w:r w:rsidRPr="00CA3ED0">
        <w:rPr>
          <w:rFonts w:ascii="Arial" w:hAnsi="Arial" w:cs="Arial"/>
          <w:b/>
          <w:bCs/>
        </w:rPr>
        <w:t xml:space="preserve"> Cross-Section Dependence Test</w:t>
      </w:r>
    </w:p>
    <w:tbl>
      <w:tblPr>
        <w:tblStyle w:val="TableGrid"/>
        <w:tblW w:w="0" w:type="auto"/>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61"/>
        <w:gridCol w:w="828"/>
      </w:tblGrid>
      <w:tr w:rsidR="00CA3ED0" w:rsidRPr="00CA3ED0" w14:paraId="1CE9822C" w14:textId="77777777" w:rsidTr="002F65AB">
        <w:trPr>
          <w:jc w:val="center"/>
        </w:trPr>
        <w:tc>
          <w:tcPr>
            <w:tcW w:w="0" w:type="auto"/>
            <w:tcBorders>
              <w:top w:val="single" w:sz="4" w:space="0" w:color="auto"/>
              <w:bottom w:val="single" w:sz="4" w:space="0" w:color="auto"/>
            </w:tcBorders>
            <w:hideMark/>
          </w:tcPr>
          <w:p w14:paraId="6209596F"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Statistic</w:t>
            </w:r>
          </w:p>
        </w:tc>
        <w:tc>
          <w:tcPr>
            <w:tcW w:w="0" w:type="auto"/>
            <w:tcBorders>
              <w:top w:val="single" w:sz="4" w:space="0" w:color="auto"/>
              <w:bottom w:val="single" w:sz="4" w:space="0" w:color="auto"/>
            </w:tcBorders>
            <w:hideMark/>
          </w:tcPr>
          <w:p w14:paraId="1BB8D5A9"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Value</w:t>
            </w:r>
          </w:p>
        </w:tc>
      </w:tr>
      <w:tr w:rsidR="00CA3ED0" w:rsidRPr="00CA3ED0" w14:paraId="56517220" w14:textId="77777777" w:rsidTr="002F65AB">
        <w:trPr>
          <w:jc w:val="center"/>
        </w:trPr>
        <w:tc>
          <w:tcPr>
            <w:tcW w:w="0" w:type="auto"/>
            <w:tcBorders>
              <w:top w:val="single" w:sz="4" w:space="0" w:color="auto"/>
            </w:tcBorders>
            <w:hideMark/>
          </w:tcPr>
          <w:p w14:paraId="45339A4A"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lastRenderedPageBreak/>
              <w:t>CD Statistic</w:t>
            </w:r>
          </w:p>
        </w:tc>
        <w:tc>
          <w:tcPr>
            <w:tcW w:w="0" w:type="auto"/>
            <w:tcBorders>
              <w:top w:val="single" w:sz="4" w:space="0" w:color="auto"/>
            </w:tcBorders>
            <w:hideMark/>
          </w:tcPr>
          <w:p w14:paraId="67B2ED96"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5.6402</w:t>
            </w:r>
          </w:p>
        </w:tc>
      </w:tr>
      <w:tr w:rsidR="00CA3ED0" w:rsidRPr="00CA3ED0" w14:paraId="0F51D33E" w14:textId="77777777" w:rsidTr="002F65AB">
        <w:trPr>
          <w:jc w:val="center"/>
        </w:trPr>
        <w:tc>
          <w:tcPr>
            <w:tcW w:w="0" w:type="auto"/>
            <w:hideMark/>
          </w:tcPr>
          <w:p w14:paraId="0D941F47"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P-value</w:t>
            </w:r>
          </w:p>
        </w:tc>
        <w:tc>
          <w:tcPr>
            <w:tcW w:w="0" w:type="auto"/>
            <w:hideMark/>
          </w:tcPr>
          <w:p w14:paraId="06809E9E"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0.0000</w:t>
            </w:r>
          </w:p>
        </w:tc>
      </w:tr>
    </w:tbl>
    <w:p w14:paraId="51219BB5" w14:textId="77777777" w:rsidR="00CA3ED0" w:rsidRDefault="00CA3ED0" w:rsidP="00CA3ED0">
      <w:pPr>
        <w:jc w:val="both"/>
        <w:rPr>
          <w:rFonts w:ascii="Arial" w:hAnsi="Arial" w:cs="Arial"/>
        </w:rPr>
      </w:pPr>
      <w:r w:rsidRPr="00CA3ED0">
        <w:rPr>
          <w:rFonts w:ascii="Arial" w:hAnsi="Arial" w:cs="Arial"/>
        </w:rPr>
        <w:t xml:space="preserve">The </w:t>
      </w:r>
      <w:proofErr w:type="spellStart"/>
      <w:r w:rsidRPr="00CA3ED0">
        <w:rPr>
          <w:rFonts w:ascii="Arial" w:hAnsi="Arial" w:cs="Arial"/>
        </w:rPr>
        <w:t>Pesaran</w:t>
      </w:r>
      <w:proofErr w:type="spellEnd"/>
      <w:r w:rsidRPr="00CA3ED0">
        <w:rPr>
          <w:rFonts w:ascii="Arial" w:hAnsi="Arial" w:cs="Arial"/>
        </w:rPr>
        <w:t xml:space="preserve"> CD test yields a </w:t>
      </w:r>
      <w:r w:rsidRPr="00CA3ED0">
        <w:rPr>
          <w:rFonts w:ascii="Arial" w:hAnsi="Arial" w:cs="Arial"/>
          <w:b/>
          <w:bCs/>
        </w:rPr>
        <w:t>CD statistic of 5.6402</w:t>
      </w:r>
      <w:r w:rsidRPr="00CA3ED0">
        <w:rPr>
          <w:rFonts w:ascii="Arial" w:hAnsi="Arial" w:cs="Arial"/>
        </w:rPr>
        <w:t xml:space="preserve"> with a </w:t>
      </w:r>
      <w:r w:rsidRPr="00CA3ED0">
        <w:rPr>
          <w:rFonts w:ascii="Arial" w:hAnsi="Arial" w:cs="Arial"/>
          <w:b/>
          <w:bCs/>
        </w:rPr>
        <w:t>p-value of 0.0000</w:t>
      </w:r>
      <w:r w:rsidRPr="00CA3ED0">
        <w:rPr>
          <w:rFonts w:ascii="Arial" w:hAnsi="Arial" w:cs="Arial"/>
        </w:rPr>
        <w:t>, which is statistically significant at the 1% level. This leads to the rejection of the null hypothesis of cross-sectional independence.</w:t>
      </w:r>
    </w:p>
    <w:p w14:paraId="3EAAFAB8" w14:textId="77777777" w:rsidR="002F65AB" w:rsidRPr="00CA3ED0" w:rsidRDefault="002F65AB" w:rsidP="00CA3ED0">
      <w:pPr>
        <w:jc w:val="both"/>
        <w:rPr>
          <w:rFonts w:ascii="Arial" w:hAnsi="Arial" w:cs="Arial"/>
        </w:rPr>
      </w:pPr>
    </w:p>
    <w:p w14:paraId="115F52B6" w14:textId="77777777" w:rsidR="00CA3ED0" w:rsidRDefault="00CA3ED0" w:rsidP="00CA3ED0">
      <w:pPr>
        <w:jc w:val="both"/>
        <w:rPr>
          <w:rFonts w:ascii="Arial" w:hAnsi="Arial" w:cs="Arial"/>
        </w:rPr>
      </w:pPr>
      <w:r w:rsidRPr="00CA3ED0">
        <w:rPr>
          <w:rFonts w:ascii="Arial" w:hAnsi="Arial" w:cs="Arial"/>
        </w:rPr>
        <w:t>The results reveal significant cross-sectional dependence across banking groups, indicating the presence of systemic interlinkages and spillover effects driven by common macroeconomic shocks. Such dependence implies that shocks to asset quality in one segment may propagate across the banking system, amplifying financial instability. These findings highlight the importance of employing robust estimation strategies and adopting a system-wide perspective in analysis. They also justify the integration of machine learning and explainable AI frameworks to capture complex, non-linear interdependencies that conventional econometric models may overlook.</w:t>
      </w:r>
    </w:p>
    <w:p w14:paraId="33DCDCF1" w14:textId="77777777" w:rsidR="002F65AB" w:rsidRPr="00CA3ED0" w:rsidRDefault="002F65AB" w:rsidP="00CA3ED0">
      <w:pPr>
        <w:jc w:val="both"/>
        <w:rPr>
          <w:rFonts w:ascii="Arial" w:hAnsi="Arial" w:cs="Arial"/>
        </w:rPr>
      </w:pPr>
    </w:p>
    <w:p w14:paraId="10F4CF6F" w14:textId="77777777" w:rsidR="00CA3ED0" w:rsidRPr="002F65AB" w:rsidRDefault="00CA3ED0" w:rsidP="00CA3ED0">
      <w:pPr>
        <w:jc w:val="both"/>
        <w:rPr>
          <w:rFonts w:ascii="Arial" w:hAnsi="Arial" w:cs="Arial"/>
          <w:b/>
          <w:bCs/>
          <w:sz w:val="22"/>
          <w:szCs w:val="22"/>
        </w:rPr>
      </w:pPr>
      <w:r w:rsidRPr="002F65AB">
        <w:rPr>
          <w:rFonts w:ascii="Arial" w:hAnsi="Arial" w:cs="Arial"/>
          <w:b/>
          <w:bCs/>
          <w:sz w:val="22"/>
          <w:szCs w:val="22"/>
        </w:rPr>
        <w:t>4.5. Transition to Dynamic Analysis</w:t>
      </w:r>
    </w:p>
    <w:p w14:paraId="1AC69B76" w14:textId="77777777" w:rsidR="00CA3ED0" w:rsidRDefault="00CA3ED0" w:rsidP="00CA3ED0">
      <w:pPr>
        <w:jc w:val="both"/>
        <w:rPr>
          <w:rFonts w:ascii="Arial" w:hAnsi="Arial" w:cs="Arial"/>
        </w:rPr>
      </w:pPr>
      <w:r w:rsidRPr="00CA3ED0">
        <w:rPr>
          <w:rFonts w:ascii="Arial" w:hAnsi="Arial" w:cs="Arial"/>
        </w:rPr>
        <w:t>While the static Random Effects model provides useful insights, it does not capture the dynamic nature of NPAs, particularly their persistence over time. Therefore, the subsequent analysis incorporates lagged dependent variables to examine the temporal behavior and path dependence of NPAs.</w:t>
      </w:r>
    </w:p>
    <w:p w14:paraId="48C093B5" w14:textId="77777777" w:rsidR="002F65AB" w:rsidRPr="00CA3ED0" w:rsidRDefault="002F65AB" w:rsidP="00CA3ED0">
      <w:pPr>
        <w:jc w:val="both"/>
        <w:rPr>
          <w:rFonts w:ascii="Arial" w:hAnsi="Arial" w:cs="Arial"/>
        </w:rPr>
      </w:pPr>
    </w:p>
    <w:p w14:paraId="5046B1F1" w14:textId="77777777" w:rsidR="00CA3ED0" w:rsidRPr="00CA3ED0" w:rsidRDefault="00CA3ED0" w:rsidP="00CA3ED0">
      <w:pPr>
        <w:jc w:val="both"/>
        <w:rPr>
          <w:rFonts w:ascii="Arial" w:hAnsi="Arial" w:cs="Arial"/>
          <w:b/>
          <w:bCs/>
        </w:rPr>
      </w:pPr>
      <w:r w:rsidRPr="00CA3ED0">
        <w:rPr>
          <w:rFonts w:ascii="Arial" w:hAnsi="Arial" w:cs="Arial"/>
          <w:b/>
          <w:bCs/>
        </w:rPr>
        <w:t>4.5.1 Dynamic Behavior and Persistence of NPAs</w:t>
      </w:r>
    </w:p>
    <w:p w14:paraId="43254D9B" w14:textId="77777777" w:rsidR="00CA3ED0" w:rsidRDefault="00CA3ED0" w:rsidP="00CA3ED0">
      <w:pPr>
        <w:jc w:val="both"/>
        <w:rPr>
          <w:rFonts w:ascii="Arial" w:hAnsi="Arial" w:cs="Arial"/>
        </w:rPr>
      </w:pPr>
      <w:r w:rsidRPr="00CA3ED0">
        <w:rPr>
          <w:rFonts w:ascii="Arial" w:hAnsi="Arial" w:cs="Arial"/>
        </w:rPr>
        <w:t>A key objective of this study is to examine whether Non-Performing Assets (NPAs) exhibit persistence over time. The evidence from both econometric estimation and diagnostic tests strongly supports the presence of dynamic behavior in NPAs.</w:t>
      </w:r>
    </w:p>
    <w:p w14:paraId="2FC2F0E7" w14:textId="77777777" w:rsidR="002F65AB" w:rsidRPr="00CA3ED0" w:rsidRDefault="002F65AB" w:rsidP="00CA3ED0">
      <w:pPr>
        <w:jc w:val="both"/>
        <w:rPr>
          <w:rFonts w:ascii="Arial" w:hAnsi="Arial" w:cs="Arial"/>
        </w:rPr>
      </w:pPr>
    </w:p>
    <w:p w14:paraId="091F1219" w14:textId="77777777" w:rsidR="00CA3ED0" w:rsidRPr="00CA3ED0" w:rsidRDefault="00CA3ED0" w:rsidP="00CA3ED0">
      <w:pPr>
        <w:jc w:val="both"/>
        <w:rPr>
          <w:rFonts w:ascii="Arial" w:hAnsi="Arial" w:cs="Arial"/>
          <w:b/>
          <w:bCs/>
        </w:rPr>
      </w:pPr>
      <w:r w:rsidRPr="00CA3ED0">
        <w:rPr>
          <w:rFonts w:ascii="Arial" w:hAnsi="Arial" w:cs="Arial"/>
          <w:b/>
          <w:bCs/>
        </w:rPr>
        <w:t>4.5.2 Evidence of Persistence</w:t>
      </w:r>
    </w:p>
    <w:p w14:paraId="0805F3F2" w14:textId="77777777" w:rsidR="00CA3ED0" w:rsidRDefault="00CA3ED0" w:rsidP="00CA3ED0">
      <w:pPr>
        <w:jc w:val="both"/>
        <w:rPr>
          <w:rFonts w:ascii="Arial" w:hAnsi="Arial" w:cs="Arial"/>
        </w:rPr>
      </w:pPr>
      <w:r w:rsidRPr="00CA3ED0">
        <w:rPr>
          <w:rFonts w:ascii="Arial" w:hAnsi="Arial" w:cs="Arial"/>
        </w:rPr>
        <w:t>The presence of persistence is reflected in multiple results obtained in the analysis: The Durbin–Watson statistic (1.0276) provides evidence of positive serial correlation, indicating persistence in NPAs over time. Concurrently, the presence of significant cross-sectional dependence (CD = 5.6402, p &lt; 0.01) suggests that such persistence is not confined within individual banking groups but also propagates across them. Collectively, these findings underscore the dynamic and interconnected nature of NPAs, highlighting their dependence on past realizations rather than solely on contemporaneous macroeconomic conditions.</w:t>
      </w:r>
    </w:p>
    <w:p w14:paraId="118DF16A" w14:textId="77777777" w:rsidR="002F65AB" w:rsidRPr="00CA3ED0" w:rsidRDefault="002F65AB" w:rsidP="00CA3ED0">
      <w:pPr>
        <w:jc w:val="both"/>
        <w:rPr>
          <w:rFonts w:ascii="Arial" w:hAnsi="Arial" w:cs="Arial"/>
        </w:rPr>
      </w:pPr>
    </w:p>
    <w:p w14:paraId="676C3A7E" w14:textId="77777777" w:rsidR="00CA3ED0" w:rsidRPr="00CA3ED0" w:rsidRDefault="00CA3ED0" w:rsidP="00CA3ED0">
      <w:pPr>
        <w:jc w:val="both"/>
        <w:rPr>
          <w:rFonts w:ascii="Arial" w:hAnsi="Arial" w:cs="Arial"/>
          <w:b/>
          <w:bCs/>
        </w:rPr>
      </w:pPr>
      <w:r w:rsidRPr="00CA3ED0">
        <w:rPr>
          <w:rFonts w:ascii="Arial" w:hAnsi="Arial" w:cs="Arial"/>
          <w:b/>
          <w:bCs/>
        </w:rPr>
        <w:t>4.5.3 Visual Evidence</w:t>
      </w:r>
    </w:p>
    <w:p w14:paraId="3E0CDABA" w14:textId="77777777" w:rsidR="00CA3ED0" w:rsidRPr="00CA3ED0" w:rsidRDefault="00CA3ED0" w:rsidP="00CA3ED0">
      <w:pPr>
        <w:jc w:val="both"/>
        <w:rPr>
          <w:rFonts w:ascii="Arial" w:hAnsi="Arial" w:cs="Arial"/>
        </w:rPr>
      </w:pPr>
      <w:r w:rsidRPr="00CA3ED0">
        <w:rPr>
          <w:rFonts w:ascii="Arial" w:hAnsi="Arial" w:cs="Arial"/>
        </w:rPr>
        <w:t xml:space="preserve">The persistence of NPAs is further illustrated in </w:t>
      </w:r>
      <w:r w:rsidRPr="00CA3ED0">
        <w:rPr>
          <w:rFonts w:ascii="Arial" w:hAnsi="Arial" w:cs="Arial"/>
          <w:b/>
          <w:bCs/>
        </w:rPr>
        <w:t>Figure 3</w:t>
      </w:r>
      <w:r w:rsidRPr="00CA3ED0">
        <w:rPr>
          <w:rFonts w:ascii="Arial" w:hAnsi="Arial" w:cs="Arial"/>
        </w:rPr>
        <w:t>, which plots lagged NPAs against current NPAs.</w:t>
      </w:r>
    </w:p>
    <w:p w14:paraId="0E2FDB14" w14:textId="77777777" w:rsidR="00CA3ED0" w:rsidRPr="00CA3ED0" w:rsidRDefault="00CA3ED0" w:rsidP="00CA3ED0">
      <w:pPr>
        <w:jc w:val="center"/>
        <w:rPr>
          <w:rFonts w:ascii="Arial" w:hAnsi="Arial" w:cs="Arial"/>
        </w:rPr>
      </w:pPr>
      <w:r w:rsidRPr="00CA3ED0">
        <w:rPr>
          <w:rFonts w:ascii="Arial" w:hAnsi="Arial" w:cs="Arial"/>
          <w:noProof/>
        </w:rPr>
        <w:lastRenderedPageBreak/>
        <w:drawing>
          <wp:inline distT="0" distB="0" distL="0" distR="0" wp14:anchorId="5A562E4D" wp14:editId="373B1F35">
            <wp:extent cx="4292600" cy="3466896"/>
            <wp:effectExtent l="0" t="0" r="0" b="635"/>
            <wp:docPr id="669248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98369" cy="3471556"/>
                    </a:xfrm>
                    <a:prstGeom prst="rect">
                      <a:avLst/>
                    </a:prstGeom>
                    <a:noFill/>
                    <a:ln>
                      <a:noFill/>
                    </a:ln>
                  </pic:spPr>
                </pic:pic>
              </a:graphicData>
            </a:graphic>
          </wp:inline>
        </w:drawing>
      </w:r>
    </w:p>
    <w:p w14:paraId="5CF44902" w14:textId="77777777" w:rsidR="00CA3ED0" w:rsidRPr="00CA3ED0" w:rsidRDefault="00CA3ED0" w:rsidP="00CA3ED0">
      <w:pPr>
        <w:jc w:val="center"/>
        <w:rPr>
          <w:rFonts w:ascii="Arial" w:hAnsi="Arial" w:cs="Arial"/>
          <w:b/>
          <w:bCs/>
        </w:rPr>
      </w:pPr>
      <w:r w:rsidRPr="00CA3ED0">
        <w:rPr>
          <w:rFonts w:ascii="Arial" w:hAnsi="Arial" w:cs="Arial"/>
          <w:b/>
          <w:bCs/>
        </w:rPr>
        <w:t>Figure 3. Lagged NPA vs Current NPA</w:t>
      </w:r>
    </w:p>
    <w:p w14:paraId="64EA5D89" w14:textId="77777777" w:rsidR="002F65AB" w:rsidRDefault="002F65AB" w:rsidP="00CA3ED0">
      <w:pPr>
        <w:jc w:val="both"/>
        <w:rPr>
          <w:rFonts w:ascii="Arial" w:hAnsi="Arial" w:cs="Arial"/>
        </w:rPr>
      </w:pPr>
    </w:p>
    <w:p w14:paraId="22A1BB27" w14:textId="4FDCCE7C" w:rsidR="00CA3ED0" w:rsidRDefault="00CA3ED0" w:rsidP="00CA3ED0">
      <w:pPr>
        <w:jc w:val="both"/>
        <w:rPr>
          <w:rFonts w:ascii="Arial" w:hAnsi="Arial" w:cs="Arial"/>
        </w:rPr>
      </w:pPr>
      <w:r w:rsidRPr="00CA3ED0">
        <w:rPr>
          <w:rFonts w:ascii="Arial" w:hAnsi="Arial" w:cs="Arial"/>
        </w:rPr>
        <w:t xml:space="preserve">This figure shows the relationship between lagged NPAs and current NPAs. The positive slope indicates persistence in asset quality over time. The scatter plot reveals a </w:t>
      </w:r>
      <w:r w:rsidRPr="00CA3ED0">
        <w:rPr>
          <w:rFonts w:ascii="Arial" w:hAnsi="Arial" w:cs="Arial"/>
          <w:b/>
          <w:bCs/>
        </w:rPr>
        <w:t>strong positive association</w:t>
      </w:r>
      <w:r w:rsidRPr="00CA3ED0">
        <w:rPr>
          <w:rFonts w:ascii="Arial" w:hAnsi="Arial" w:cs="Arial"/>
        </w:rPr>
        <w:t>, indicating that higher NPAs in the previous period are associated with higher NPAs in the current period.</w:t>
      </w:r>
    </w:p>
    <w:p w14:paraId="2705D577" w14:textId="77777777" w:rsidR="002F65AB" w:rsidRPr="00CA3ED0" w:rsidRDefault="002F65AB" w:rsidP="00CA3ED0">
      <w:pPr>
        <w:jc w:val="both"/>
        <w:rPr>
          <w:rFonts w:ascii="Arial" w:hAnsi="Arial" w:cs="Arial"/>
        </w:rPr>
      </w:pPr>
    </w:p>
    <w:p w14:paraId="31959073" w14:textId="77777777" w:rsidR="00CA3ED0" w:rsidRPr="00CA3ED0" w:rsidRDefault="00CA3ED0" w:rsidP="00CA3ED0">
      <w:pPr>
        <w:jc w:val="both"/>
        <w:rPr>
          <w:rFonts w:ascii="Arial" w:hAnsi="Arial" w:cs="Arial"/>
          <w:b/>
          <w:bCs/>
        </w:rPr>
      </w:pPr>
      <w:r w:rsidRPr="00CA3ED0">
        <w:rPr>
          <w:rFonts w:ascii="Arial" w:hAnsi="Arial" w:cs="Arial"/>
          <w:b/>
          <w:bCs/>
        </w:rPr>
        <w:t>4.5.4 Economic Interpretation of Persistence</w:t>
      </w:r>
    </w:p>
    <w:p w14:paraId="51D357FB" w14:textId="77777777" w:rsidR="00CA3ED0" w:rsidRPr="00CA3ED0" w:rsidRDefault="00CA3ED0" w:rsidP="00CA3ED0">
      <w:pPr>
        <w:jc w:val="both"/>
        <w:rPr>
          <w:rFonts w:ascii="Arial" w:hAnsi="Arial" w:cs="Arial"/>
        </w:rPr>
      </w:pPr>
      <w:r w:rsidRPr="00CA3ED0">
        <w:rPr>
          <w:rFonts w:ascii="Arial" w:hAnsi="Arial" w:cs="Arial"/>
        </w:rPr>
        <w:t>The persistence of NPAs reflects underlying structural and institutional rigidities within the banking system. Prolonged legal and administrative recovery processes delay the resolution of stressed assets, while practices such as loan restructuring and evergreening defer the recognition of defaults. Furthermore, weak credit monitoring frameworks contribute to the gradual deterioration of asset quality. Collectively, these factors reinforce the path-dependent nature of NPAs and sustain banking sector vulnerabilities over time.</w:t>
      </w:r>
    </w:p>
    <w:p w14:paraId="33E3079C" w14:textId="77777777" w:rsidR="00CA3ED0" w:rsidRPr="00CA3ED0" w:rsidRDefault="00CA3ED0" w:rsidP="00CA3ED0">
      <w:pPr>
        <w:jc w:val="both"/>
        <w:rPr>
          <w:rFonts w:ascii="Arial" w:hAnsi="Arial" w:cs="Arial"/>
        </w:rPr>
      </w:pPr>
    </w:p>
    <w:p w14:paraId="27A7B3D4" w14:textId="77777777" w:rsidR="00CA3ED0" w:rsidRPr="00CA3ED0" w:rsidRDefault="00CA3ED0" w:rsidP="00CA3ED0">
      <w:pPr>
        <w:jc w:val="both"/>
        <w:rPr>
          <w:rFonts w:ascii="Arial" w:hAnsi="Arial" w:cs="Arial"/>
          <w:b/>
          <w:bCs/>
        </w:rPr>
      </w:pPr>
      <w:r w:rsidRPr="00CA3ED0">
        <w:rPr>
          <w:rFonts w:ascii="Arial" w:hAnsi="Arial" w:cs="Arial"/>
          <w:b/>
          <w:bCs/>
        </w:rPr>
        <w:t>4.5.5 Link with Diagnostic Results</w:t>
      </w:r>
    </w:p>
    <w:p w14:paraId="67AAA2C8" w14:textId="77777777" w:rsidR="00CA3ED0" w:rsidRDefault="00CA3ED0" w:rsidP="00CA3ED0">
      <w:pPr>
        <w:jc w:val="both"/>
        <w:rPr>
          <w:rFonts w:ascii="Arial" w:hAnsi="Arial" w:cs="Arial"/>
        </w:rPr>
      </w:pPr>
      <w:r w:rsidRPr="00CA3ED0">
        <w:rPr>
          <w:rFonts w:ascii="Arial" w:hAnsi="Arial" w:cs="Arial"/>
        </w:rPr>
        <w:t>The persistence of NPAs is reinforced by diagnostic evidence of positive serial correlation (DW = 1.0276) and significant cross-sectional dependence (CD = 5.6402), indicating that asset quality dynamics are both temporally dependent and cross-sectionally interconnected. These findings suggest that NPAs evolve as a path-dependent process, shaped by lagged effects and systemic spillovers across banking groups.</w:t>
      </w:r>
    </w:p>
    <w:p w14:paraId="07DEDC15" w14:textId="77777777" w:rsidR="002F65AB" w:rsidRPr="00CA3ED0" w:rsidRDefault="002F65AB" w:rsidP="00CA3ED0">
      <w:pPr>
        <w:jc w:val="both"/>
        <w:rPr>
          <w:rFonts w:ascii="Arial" w:hAnsi="Arial" w:cs="Arial"/>
        </w:rPr>
      </w:pPr>
    </w:p>
    <w:p w14:paraId="1833B989" w14:textId="77777777" w:rsidR="00CA3ED0" w:rsidRPr="00CA3ED0" w:rsidRDefault="00CA3ED0" w:rsidP="00CA3ED0">
      <w:pPr>
        <w:jc w:val="both"/>
        <w:rPr>
          <w:rFonts w:ascii="Arial" w:hAnsi="Arial" w:cs="Arial"/>
          <w:b/>
          <w:bCs/>
        </w:rPr>
      </w:pPr>
      <w:r w:rsidRPr="00CA3ED0">
        <w:rPr>
          <w:rFonts w:ascii="Arial" w:hAnsi="Arial" w:cs="Arial"/>
          <w:b/>
          <w:bCs/>
        </w:rPr>
        <w:t>4.5.6 Implications of Persistence for Modelling and Policy</w:t>
      </w:r>
    </w:p>
    <w:p w14:paraId="13617F4F" w14:textId="77777777" w:rsidR="00CA3ED0" w:rsidRDefault="00CA3ED0" w:rsidP="00CA3ED0">
      <w:pPr>
        <w:jc w:val="both"/>
        <w:rPr>
          <w:rFonts w:ascii="Arial" w:hAnsi="Arial" w:cs="Arial"/>
        </w:rPr>
      </w:pPr>
      <w:r w:rsidRPr="00CA3ED0">
        <w:rPr>
          <w:rFonts w:ascii="Arial" w:hAnsi="Arial" w:cs="Arial"/>
        </w:rPr>
        <w:t xml:space="preserve">The persistence of NPAs carries significant methodological and policy implications. Temporal dependence suggests that static specifications may inadequately capture the underlying dynamics of asset quality, thereby requiring dynamic models with lag structures for consistent estimation. From a policy perspective, persistence emphasizes the importance of early intervention and timely resolution, as delays can intensify financial stress and reinforce banking sector vulnerabilities. The evidence indicates that NPAs follow a path-dependent </w:t>
      </w:r>
      <w:r w:rsidRPr="00CA3ED0">
        <w:rPr>
          <w:rFonts w:ascii="Arial" w:hAnsi="Arial" w:cs="Arial"/>
        </w:rPr>
        <w:lastRenderedPageBreak/>
        <w:t>process, with shocks exerting prolonged and system-wide effects, underscoring the need for dynamic analytical frameworks and proactive regulatory responses.</w:t>
      </w:r>
    </w:p>
    <w:p w14:paraId="53411717" w14:textId="77777777" w:rsidR="002F65AB" w:rsidRPr="00CA3ED0" w:rsidRDefault="002F65AB" w:rsidP="00CA3ED0">
      <w:pPr>
        <w:jc w:val="both"/>
        <w:rPr>
          <w:rFonts w:ascii="Arial" w:hAnsi="Arial" w:cs="Arial"/>
        </w:rPr>
      </w:pPr>
    </w:p>
    <w:p w14:paraId="1E5DB891" w14:textId="77777777" w:rsidR="00CA3ED0" w:rsidRPr="002F65AB" w:rsidRDefault="00CA3ED0" w:rsidP="00CA3ED0">
      <w:pPr>
        <w:jc w:val="both"/>
        <w:rPr>
          <w:rFonts w:ascii="Arial" w:hAnsi="Arial" w:cs="Arial"/>
          <w:b/>
          <w:bCs/>
          <w:sz w:val="22"/>
          <w:szCs w:val="22"/>
        </w:rPr>
      </w:pPr>
      <w:r w:rsidRPr="002F65AB">
        <w:rPr>
          <w:rFonts w:ascii="Arial" w:hAnsi="Arial" w:cs="Arial"/>
          <w:b/>
          <w:bCs/>
          <w:sz w:val="22"/>
          <w:szCs w:val="22"/>
        </w:rPr>
        <w:t>4.6. Machine Learning Model Performance</w:t>
      </w:r>
    </w:p>
    <w:p w14:paraId="0C7E555E" w14:textId="77777777" w:rsidR="00CA3ED0" w:rsidRDefault="00CA3ED0" w:rsidP="00CA3ED0">
      <w:pPr>
        <w:jc w:val="both"/>
        <w:rPr>
          <w:rFonts w:ascii="Arial" w:hAnsi="Arial" w:cs="Arial"/>
        </w:rPr>
      </w:pPr>
      <w:r w:rsidRPr="00CA3ED0">
        <w:rPr>
          <w:rFonts w:ascii="Arial" w:hAnsi="Arial" w:cs="Arial"/>
        </w:rPr>
        <w:t xml:space="preserve">To complement the econometric analysis and enhance predictive capability, this study employs three machine learning models: Linear Regression, Random Forest, and </w:t>
      </w:r>
      <w:proofErr w:type="spellStart"/>
      <w:r w:rsidRPr="00CA3ED0">
        <w:rPr>
          <w:rFonts w:ascii="Arial" w:hAnsi="Arial" w:cs="Arial"/>
        </w:rPr>
        <w:t>XGBoost</w:t>
      </w:r>
      <w:proofErr w:type="spellEnd"/>
      <w:r w:rsidRPr="00CA3ED0">
        <w:rPr>
          <w:rFonts w:ascii="Arial" w:hAnsi="Arial" w:cs="Arial"/>
        </w:rPr>
        <w:t>. These models are evaluated based on their ability to accurately predict NPAs using macroeconomic and banking variables.</w:t>
      </w:r>
    </w:p>
    <w:p w14:paraId="47541E7B" w14:textId="77777777" w:rsidR="002F65AB" w:rsidRPr="00CA3ED0" w:rsidRDefault="002F65AB" w:rsidP="00CA3ED0">
      <w:pPr>
        <w:jc w:val="both"/>
        <w:rPr>
          <w:rFonts w:ascii="Arial" w:hAnsi="Arial" w:cs="Arial"/>
        </w:rPr>
      </w:pPr>
    </w:p>
    <w:p w14:paraId="659D9D96" w14:textId="77777777" w:rsidR="00CA3ED0" w:rsidRPr="00CA3ED0" w:rsidRDefault="00CA3ED0" w:rsidP="00CA3ED0">
      <w:pPr>
        <w:jc w:val="both"/>
        <w:rPr>
          <w:rFonts w:ascii="Arial" w:hAnsi="Arial" w:cs="Arial"/>
          <w:b/>
          <w:bCs/>
        </w:rPr>
      </w:pPr>
      <w:r w:rsidRPr="00CA3ED0">
        <w:rPr>
          <w:rFonts w:ascii="Arial" w:hAnsi="Arial" w:cs="Arial"/>
          <w:b/>
          <w:bCs/>
        </w:rPr>
        <w:t>4.6.1 Model Comparison</w:t>
      </w:r>
    </w:p>
    <w:p w14:paraId="6AB3644C" w14:textId="77777777" w:rsidR="00CA3ED0" w:rsidRPr="00CA3ED0" w:rsidRDefault="00CA3ED0" w:rsidP="00CA3ED0">
      <w:pPr>
        <w:jc w:val="both"/>
        <w:rPr>
          <w:rFonts w:ascii="Arial" w:hAnsi="Arial" w:cs="Arial"/>
        </w:rPr>
      </w:pPr>
      <w:r w:rsidRPr="00CA3ED0">
        <w:rPr>
          <w:rFonts w:ascii="Arial" w:hAnsi="Arial" w:cs="Arial"/>
        </w:rPr>
        <w:t xml:space="preserve">The performance of the models is summarized in </w:t>
      </w:r>
      <w:r w:rsidRPr="00CA3ED0">
        <w:rPr>
          <w:rFonts w:ascii="Arial" w:hAnsi="Arial" w:cs="Arial"/>
          <w:b/>
          <w:bCs/>
        </w:rPr>
        <w:t>Table 8</w:t>
      </w:r>
      <w:r w:rsidRPr="00CA3ED0">
        <w:rPr>
          <w:rFonts w:ascii="Arial" w:hAnsi="Arial" w:cs="Arial"/>
        </w:rPr>
        <w:t>, which reports key evaluation metrics including R², Root Mean Squared Error (RMSE), and Mean Absolute Error (MAE).</w:t>
      </w:r>
    </w:p>
    <w:p w14:paraId="7F1BAB85" w14:textId="77777777" w:rsidR="00CA3ED0" w:rsidRPr="00CA3ED0" w:rsidRDefault="00CA3ED0" w:rsidP="00CA3ED0">
      <w:pPr>
        <w:jc w:val="both"/>
        <w:rPr>
          <w:rFonts w:ascii="Arial" w:hAnsi="Arial" w:cs="Arial"/>
          <w:b/>
          <w:bCs/>
        </w:rPr>
      </w:pPr>
      <w:r w:rsidRPr="00CA3ED0">
        <w:rPr>
          <w:rFonts w:ascii="Arial" w:hAnsi="Arial" w:cs="Arial"/>
          <w:b/>
          <w:bCs/>
        </w:rPr>
        <w:t>Table 8: Machine Learning Model Performance Comparison</w:t>
      </w:r>
    </w:p>
    <w:tbl>
      <w:tblPr>
        <w:tblStyle w:val="TableGrid"/>
        <w:tblW w:w="0" w:type="auto"/>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1051"/>
        <w:gridCol w:w="1051"/>
        <w:gridCol w:w="1051"/>
      </w:tblGrid>
      <w:tr w:rsidR="00CA3ED0" w:rsidRPr="00CA3ED0" w14:paraId="4977A451" w14:textId="77777777" w:rsidTr="002F65AB">
        <w:trPr>
          <w:jc w:val="center"/>
        </w:trPr>
        <w:tc>
          <w:tcPr>
            <w:tcW w:w="0" w:type="auto"/>
            <w:tcBorders>
              <w:top w:val="single" w:sz="4" w:space="0" w:color="auto"/>
              <w:bottom w:val="single" w:sz="4" w:space="0" w:color="auto"/>
            </w:tcBorders>
            <w:hideMark/>
          </w:tcPr>
          <w:p w14:paraId="63900D71"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Model</w:t>
            </w:r>
          </w:p>
        </w:tc>
        <w:tc>
          <w:tcPr>
            <w:tcW w:w="0" w:type="auto"/>
            <w:tcBorders>
              <w:top w:val="single" w:sz="4" w:space="0" w:color="auto"/>
              <w:bottom w:val="single" w:sz="4" w:space="0" w:color="auto"/>
            </w:tcBorders>
            <w:hideMark/>
          </w:tcPr>
          <w:p w14:paraId="28609945"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R²</w:t>
            </w:r>
          </w:p>
        </w:tc>
        <w:tc>
          <w:tcPr>
            <w:tcW w:w="0" w:type="auto"/>
            <w:tcBorders>
              <w:top w:val="single" w:sz="4" w:space="0" w:color="auto"/>
              <w:bottom w:val="single" w:sz="4" w:space="0" w:color="auto"/>
            </w:tcBorders>
            <w:hideMark/>
          </w:tcPr>
          <w:p w14:paraId="1CE4B127"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RMSE</w:t>
            </w:r>
          </w:p>
        </w:tc>
        <w:tc>
          <w:tcPr>
            <w:tcW w:w="0" w:type="auto"/>
            <w:tcBorders>
              <w:top w:val="single" w:sz="4" w:space="0" w:color="auto"/>
              <w:bottom w:val="single" w:sz="4" w:space="0" w:color="auto"/>
            </w:tcBorders>
            <w:hideMark/>
          </w:tcPr>
          <w:p w14:paraId="0C6CEAC8"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MAE</w:t>
            </w:r>
          </w:p>
        </w:tc>
      </w:tr>
      <w:tr w:rsidR="00CA3ED0" w:rsidRPr="00CA3ED0" w14:paraId="35D0E5BD" w14:textId="77777777" w:rsidTr="002F65AB">
        <w:trPr>
          <w:jc w:val="center"/>
        </w:trPr>
        <w:tc>
          <w:tcPr>
            <w:tcW w:w="0" w:type="auto"/>
            <w:tcBorders>
              <w:top w:val="single" w:sz="4" w:space="0" w:color="auto"/>
            </w:tcBorders>
            <w:hideMark/>
          </w:tcPr>
          <w:p w14:paraId="0DE790F8"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Linear Regression</w:t>
            </w:r>
          </w:p>
        </w:tc>
        <w:tc>
          <w:tcPr>
            <w:tcW w:w="0" w:type="auto"/>
            <w:tcBorders>
              <w:top w:val="single" w:sz="4" w:space="0" w:color="auto"/>
            </w:tcBorders>
            <w:hideMark/>
          </w:tcPr>
          <w:p w14:paraId="07B12FE5"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0.511955</w:t>
            </w:r>
          </w:p>
        </w:tc>
        <w:tc>
          <w:tcPr>
            <w:tcW w:w="0" w:type="auto"/>
            <w:tcBorders>
              <w:top w:val="single" w:sz="4" w:space="0" w:color="auto"/>
            </w:tcBorders>
            <w:hideMark/>
          </w:tcPr>
          <w:p w14:paraId="338727B4"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1.994841</w:t>
            </w:r>
          </w:p>
        </w:tc>
        <w:tc>
          <w:tcPr>
            <w:tcW w:w="0" w:type="auto"/>
            <w:tcBorders>
              <w:top w:val="single" w:sz="4" w:space="0" w:color="auto"/>
            </w:tcBorders>
            <w:hideMark/>
          </w:tcPr>
          <w:p w14:paraId="630AF11E"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1.685844</w:t>
            </w:r>
          </w:p>
        </w:tc>
      </w:tr>
      <w:tr w:rsidR="00CA3ED0" w:rsidRPr="00CA3ED0" w14:paraId="3BED70FA" w14:textId="77777777" w:rsidTr="002F65AB">
        <w:trPr>
          <w:jc w:val="center"/>
        </w:trPr>
        <w:tc>
          <w:tcPr>
            <w:tcW w:w="0" w:type="auto"/>
            <w:hideMark/>
          </w:tcPr>
          <w:p w14:paraId="2A0A5555"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Random Forest</w:t>
            </w:r>
          </w:p>
        </w:tc>
        <w:tc>
          <w:tcPr>
            <w:tcW w:w="0" w:type="auto"/>
            <w:hideMark/>
          </w:tcPr>
          <w:p w14:paraId="69787744"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0.694818</w:t>
            </w:r>
          </w:p>
        </w:tc>
        <w:tc>
          <w:tcPr>
            <w:tcW w:w="0" w:type="auto"/>
            <w:hideMark/>
          </w:tcPr>
          <w:p w14:paraId="4D84604B"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1.577459</w:t>
            </w:r>
          </w:p>
        </w:tc>
        <w:tc>
          <w:tcPr>
            <w:tcW w:w="0" w:type="auto"/>
            <w:hideMark/>
          </w:tcPr>
          <w:p w14:paraId="6A6EE8FF"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1.380875</w:t>
            </w:r>
          </w:p>
        </w:tc>
      </w:tr>
      <w:tr w:rsidR="00CA3ED0" w:rsidRPr="00CA3ED0" w14:paraId="3C9BEC5B" w14:textId="77777777" w:rsidTr="002F65AB">
        <w:trPr>
          <w:jc w:val="center"/>
        </w:trPr>
        <w:tc>
          <w:tcPr>
            <w:tcW w:w="0" w:type="auto"/>
            <w:hideMark/>
          </w:tcPr>
          <w:p w14:paraId="1F1407B4" w14:textId="77777777" w:rsidR="00CA3ED0" w:rsidRPr="00CA3ED0" w:rsidRDefault="00CA3ED0" w:rsidP="00CA3ED0">
            <w:pPr>
              <w:jc w:val="both"/>
              <w:rPr>
                <w:rFonts w:ascii="Arial" w:hAnsi="Arial" w:cs="Arial"/>
                <w:sz w:val="20"/>
                <w:szCs w:val="20"/>
              </w:rPr>
            </w:pPr>
            <w:proofErr w:type="spellStart"/>
            <w:r w:rsidRPr="00CA3ED0">
              <w:rPr>
                <w:rFonts w:ascii="Arial" w:hAnsi="Arial" w:cs="Arial"/>
                <w:sz w:val="20"/>
                <w:szCs w:val="20"/>
              </w:rPr>
              <w:t>XGBoost</w:t>
            </w:r>
            <w:proofErr w:type="spellEnd"/>
          </w:p>
        </w:tc>
        <w:tc>
          <w:tcPr>
            <w:tcW w:w="0" w:type="auto"/>
            <w:hideMark/>
          </w:tcPr>
          <w:p w14:paraId="5E7858E9"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0.700703</w:t>
            </w:r>
          </w:p>
        </w:tc>
        <w:tc>
          <w:tcPr>
            <w:tcW w:w="0" w:type="auto"/>
            <w:hideMark/>
          </w:tcPr>
          <w:p w14:paraId="49F7B84A"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1.562174</w:t>
            </w:r>
          </w:p>
        </w:tc>
        <w:tc>
          <w:tcPr>
            <w:tcW w:w="0" w:type="auto"/>
            <w:hideMark/>
          </w:tcPr>
          <w:p w14:paraId="3F65B9F6"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1.159511</w:t>
            </w:r>
          </w:p>
        </w:tc>
      </w:tr>
    </w:tbl>
    <w:p w14:paraId="4988DB09" w14:textId="77777777" w:rsidR="002F65AB" w:rsidRDefault="002F65AB" w:rsidP="00CA3ED0">
      <w:pPr>
        <w:jc w:val="both"/>
        <w:rPr>
          <w:rFonts w:ascii="Arial" w:hAnsi="Arial" w:cs="Arial"/>
          <w:b/>
          <w:bCs/>
        </w:rPr>
      </w:pPr>
    </w:p>
    <w:p w14:paraId="44C73EAB" w14:textId="039D6DC5" w:rsidR="00CA3ED0" w:rsidRPr="00CA3ED0" w:rsidRDefault="00CA3ED0" w:rsidP="00CA3ED0">
      <w:pPr>
        <w:jc w:val="both"/>
        <w:rPr>
          <w:rFonts w:ascii="Arial" w:hAnsi="Arial" w:cs="Arial"/>
        </w:rPr>
      </w:pPr>
      <w:r w:rsidRPr="00CA3ED0">
        <w:rPr>
          <w:rFonts w:ascii="Arial" w:hAnsi="Arial" w:cs="Arial"/>
          <w:b/>
          <w:bCs/>
        </w:rPr>
        <w:t>4.6.2 Interpretation of Results</w:t>
      </w:r>
    </w:p>
    <w:p w14:paraId="2ABBF745" w14:textId="77777777" w:rsidR="00CA3ED0" w:rsidRPr="00CA3ED0" w:rsidRDefault="00CA3ED0" w:rsidP="00CA3ED0">
      <w:pPr>
        <w:jc w:val="both"/>
        <w:rPr>
          <w:rFonts w:ascii="Arial" w:hAnsi="Arial" w:cs="Arial"/>
        </w:rPr>
      </w:pPr>
      <w:proofErr w:type="spellStart"/>
      <w:r w:rsidRPr="00CA3ED0">
        <w:rPr>
          <w:rFonts w:ascii="Arial" w:hAnsi="Arial" w:cs="Arial"/>
        </w:rPr>
        <w:t>XGBoost</w:t>
      </w:r>
      <w:proofErr w:type="spellEnd"/>
      <w:r w:rsidRPr="00CA3ED0">
        <w:rPr>
          <w:rFonts w:ascii="Arial" w:hAnsi="Arial" w:cs="Arial"/>
        </w:rPr>
        <w:t xml:space="preserve"> delivers the highest predictive performance (R² = 0.7007) with the lowest RMSE (1.5622) and MAE (1.1595), followed closely by Random Forest (R² = 0.6948), while Linear Regression exhibits lower explanatory power (R² = 0.5120) and higher prediction errors. The superior performance of machine learning models reflects their ability to capture nonlinear relationships, model complex interactions among predictors, and adapt to patterns not easily identified by traditional econometric approaches. These findings suggest that, while econometric models remain valuable for inference, machine learning techniques are more effective for accurate prediction and forecasting of NPAs.</w:t>
      </w:r>
    </w:p>
    <w:p w14:paraId="4E4D8F57" w14:textId="77777777" w:rsidR="002F65AB" w:rsidRDefault="002F65AB" w:rsidP="00CA3ED0">
      <w:pPr>
        <w:jc w:val="both"/>
        <w:rPr>
          <w:rFonts w:ascii="Arial" w:hAnsi="Arial" w:cs="Arial"/>
          <w:b/>
          <w:bCs/>
        </w:rPr>
      </w:pPr>
    </w:p>
    <w:p w14:paraId="0809E10B" w14:textId="3AAE5DB4" w:rsidR="00CA3ED0" w:rsidRPr="00CA3ED0" w:rsidRDefault="00CA3ED0" w:rsidP="00CA3ED0">
      <w:pPr>
        <w:jc w:val="both"/>
        <w:rPr>
          <w:rFonts w:ascii="Arial" w:hAnsi="Arial" w:cs="Arial"/>
          <w:b/>
          <w:bCs/>
        </w:rPr>
      </w:pPr>
      <w:r w:rsidRPr="00CA3ED0">
        <w:rPr>
          <w:rFonts w:ascii="Arial" w:hAnsi="Arial" w:cs="Arial"/>
          <w:b/>
          <w:bCs/>
        </w:rPr>
        <w:t>4.6.3 Forecast Accuracy</w:t>
      </w:r>
    </w:p>
    <w:p w14:paraId="7E0B27B4" w14:textId="77777777" w:rsidR="00CA3ED0" w:rsidRPr="00CA3ED0" w:rsidRDefault="00CA3ED0" w:rsidP="00CA3ED0">
      <w:pPr>
        <w:jc w:val="both"/>
        <w:rPr>
          <w:rFonts w:ascii="Arial" w:hAnsi="Arial" w:cs="Arial"/>
        </w:rPr>
      </w:pPr>
      <w:r w:rsidRPr="00CA3ED0">
        <w:rPr>
          <w:rFonts w:ascii="Arial" w:hAnsi="Arial" w:cs="Arial"/>
        </w:rPr>
        <w:t xml:space="preserve">The predictive accuracy of the best-performing model is further illustrated in </w:t>
      </w:r>
      <w:r w:rsidRPr="00CA3ED0">
        <w:rPr>
          <w:rFonts w:ascii="Arial" w:hAnsi="Arial" w:cs="Arial"/>
          <w:b/>
          <w:bCs/>
        </w:rPr>
        <w:t>Figure 4</w:t>
      </w:r>
      <w:r w:rsidRPr="00CA3ED0">
        <w:rPr>
          <w:rFonts w:ascii="Arial" w:hAnsi="Arial" w:cs="Arial"/>
        </w:rPr>
        <w:t>, which compares actual and predicted NPA values.</w:t>
      </w:r>
    </w:p>
    <w:p w14:paraId="0CFF13E3" w14:textId="77777777" w:rsidR="00CA3ED0" w:rsidRPr="00CA3ED0" w:rsidRDefault="00CA3ED0" w:rsidP="00CA3ED0">
      <w:pPr>
        <w:jc w:val="both"/>
        <w:rPr>
          <w:rFonts w:ascii="Arial" w:hAnsi="Arial" w:cs="Arial"/>
        </w:rPr>
      </w:pPr>
      <w:r w:rsidRPr="00CA3ED0">
        <w:rPr>
          <w:rFonts w:ascii="Arial" w:hAnsi="Arial" w:cs="Arial"/>
          <w:noProof/>
        </w:rPr>
        <w:lastRenderedPageBreak/>
        <w:drawing>
          <wp:inline distT="0" distB="0" distL="0" distR="0" wp14:anchorId="722908EC" wp14:editId="2B482951">
            <wp:extent cx="4965700" cy="3975100"/>
            <wp:effectExtent l="0" t="0" r="6350" b="6350"/>
            <wp:docPr id="13303740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65700" cy="3975100"/>
                    </a:xfrm>
                    <a:prstGeom prst="rect">
                      <a:avLst/>
                    </a:prstGeom>
                    <a:noFill/>
                    <a:ln>
                      <a:noFill/>
                    </a:ln>
                  </pic:spPr>
                </pic:pic>
              </a:graphicData>
            </a:graphic>
          </wp:inline>
        </w:drawing>
      </w:r>
    </w:p>
    <w:p w14:paraId="30AAA9BB" w14:textId="77777777" w:rsidR="00CA3ED0" w:rsidRPr="00CA3ED0" w:rsidRDefault="00CA3ED0" w:rsidP="00CA3ED0">
      <w:pPr>
        <w:jc w:val="center"/>
        <w:rPr>
          <w:rFonts w:ascii="Arial" w:hAnsi="Arial" w:cs="Arial"/>
          <w:b/>
          <w:bCs/>
        </w:rPr>
      </w:pPr>
      <w:r w:rsidRPr="00CA3ED0">
        <w:rPr>
          <w:rFonts w:ascii="Arial" w:hAnsi="Arial" w:cs="Arial"/>
          <w:b/>
          <w:bCs/>
        </w:rPr>
        <w:t>Figure 4. Actual vs Predicted NPA Values</w:t>
      </w:r>
    </w:p>
    <w:p w14:paraId="1E3E429A" w14:textId="77777777" w:rsidR="00CA3ED0" w:rsidRDefault="00CA3ED0" w:rsidP="00CA3ED0">
      <w:pPr>
        <w:jc w:val="both"/>
        <w:rPr>
          <w:rFonts w:ascii="Arial" w:hAnsi="Arial" w:cs="Arial"/>
        </w:rPr>
      </w:pPr>
      <w:r w:rsidRPr="00CA3ED0">
        <w:rPr>
          <w:rFonts w:ascii="Arial" w:hAnsi="Arial" w:cs="Arial"/>
        </w:rPr>
        <w:t>The plot indicates a strong alignment between actual and predicted NPAs, with predictions closely tracking observed trends. Deviations are limited and primarily occur during periods of higher volatility. This close correspondence suggests that the model generalizes well and provides reliable forecasts.</w:t>
      </w:r>
    </w:p>
    <w:p w14:paraId="6E326C31" w14:textId="77777777" w:rsidR="002F65AB" w:rsidRPr="00CA3ED0" w:rsidRDefault="002F65AB" w:rsidP="00CA3ED0">
      <w:pPr>
        <w:jc w:val="both"/>
        <w:rPr>
          <w:rFonts w:ascii="Arial" w:hAnsi="Arial" w:cs="Arial"/>
        </w:rPr>
      </w:pPr>
    </w:p>
    <w:p w14:paraId="558DD55A" w14:textId="77777777" w:rsidR="00CA3ED0" w:rsidRPr="00CA3ED0" w:rsidRDefault="00CA3ED0" w:rsidP="00CA3ED0">
      <w:pPr>
        <w:jc w:val="both"/>
        <w:rPr>
          <w:rFonts w:ascii="Arial" w:hAnsi="Arial" w:cs="Arial"/>
          <w:b/>
          <w:bCs/>
        </w:rPr>
      </w:pPr>
      <w:r w:rsidRPr="00CA3ED0">
        <w:rPr>
          <w:rFonts w:ascii="Arial" w:hAnsi="Arial" w:cs="Arial"/>
          <w:b/>
          <w:bCs/>
        </w:rPr>
        <w:t>4.6.4 Implications for NPA Forecasting</w:t>
      </w:r>
    </w:p>
    <w:p w14:paraId="3D3EBB82" w14:textId="77777777" w:rsidR="00CA3ED0" w:rsidRDefault="00CA3ED0" w:rsidP="00CA3ED0">
      <w:pPr>
        <w:jc w:val="both"/>
        <w:rPr>
          <w:rFonts w:ascii="Arial" w:hAnsi="Arial" w:cs="Arial"/>
        </w:rPr>
      </w:pPr>
      <w:r w:rsidRPr="00CA3ED0">
        <w:rPr>
          <w:rFonts w:ascii="Arial" w:hAnsi="Arial" w:cs="Arial"/>
        </w:rPr>
        <w:t xml:space="preserve">The findings highlight the practical relevance of machine learning models in NPA forecasting. Random Forest and </w:t>
      </w:r>
      <w:proofErr w:type="spellStart"/>
      <w:r w:rsidRPr="00CA3ED0">
        <w:rPr>
          <w:rFonts w:ascii="Arial" w:hAnsi="Arial" w:cs="Arial"/>
        </w:rPr>
        <w:t>XGBoost</w:t>
      </w:r>
      <w:proofErr w:type="spellEnd"/>
      <w:r w:rsidRPr="00CA3ED0">
        <w:rPr>
          <w:rFonts w:ascii="Arial" w:hAnsi="Arial" w:cs="Arial"/>
        </w:rPr>
        <w:t xml:space="preserve"> demonstrate superior predictive accuracy compared to traditional approaches and are well-suited for early warning systems due to their ability to capture nonlinear dynamics in financial data. The integration of these techniques enhances predictive performance, underscoring the importance of data-driven approaches in financial risk analysis.</w:t>
      </w:r>
    </w:p>
    <w:p w14:paraId="78E5AC61" w14:textId="77777777" w:rsidR="002F65AB" w:rsidRPr="00CA3ED0" w:rsidRDefault="002F65AB" w:rsidP="00CA3ED0">
      <w:pPr>
        <w:jc w:val="both"/>
        <w:rPr>
          <w:rFonts w:ascii="Arial" w:hAnsi="Arial" w:cs="Arial"/>
        </w:rPr>
      </w:pPr>
    </w:p>
    <w:p w14:paraId="2AAC2D97" w14:textId="77777777" w:rsidR="00CA3ED0" w:rsidRPr="002F65AB" w:rsidRDefault="00CA3ED0" w:rsidP="00CA3ED0">
      <w:pPr>
        <w:jc w:val="both"/>
        <w:rPr>
          <w:rFonts w:ascii="Arial" w:hAnsi="Arial" w:cs="Arial"/>
          <w:b/>
          <w:bCs/>
          <w:sz w:val="22"/>
          <w:szCs w:val="22"/>
        </w:rPr>
      </w:pPr>
      <w:r w:rsidRPr="002F65AB">
        <w:rPr>
          <w:rFonts w:ascii="Arial" w:hAnsi="Arial" w:cs="Arial"/>
          <w:b/>
          <w:bCs/>
          <w:sz w:val="22"/>
          <w:szCs w:val="22"/>
        </w:rPr>
        <w:t>4.7. Explainable AI (SHAP Analysis)</w:t>
      </w:r>
    </w:p>
    <w:p w14:paraId="2A5DB8A6" w14:textId="77777777" w:rsidR="00CA3ED0" w:rsidRDefault="00CA3ED0" w:rsidP="00CA3ED0">
      <w:pPr>
        <w:jc w:val="both"/>
        <w:rPr>
          <w:rFonts w:ascii="Arial" w:hAnsi="Arial" w:cs="Arial"/>
        </w:rPr>
      </w:pPr>
      <w:r w:rsidRPr="00CA3ED0">
        <w:rPr>
          <w:rFonts w:ascii="Arial" w:hAnsi="Arial" w:cs="Arial"/>
        </w:rPr>
        <w:t xml:space="preserve">While machine learning models such as Random Forest and </w:t>
      </w:r>
      <w:proofErr w:type="spellStart"/>
      <w:r w:rsidRPr="00CA3ED0">
        <w:rPr>
          <w:rFonts w:ascii="Arial" w:hAnsi="Arial" w:cs="Arial"/>
        </w:rPr>
        <w:t>XGBoost</w:t>
      </w:r>
      <w:proofErr w:type="spellEnd"/>
      <w:r w:rsidRPr="00CA3ED0">
        <w:rPr>
          <w:rFonts w:ascii="Arial" w:hAnsi="Arial" w:cs="Arial"/>
        </w:rPr>
        <w:t xml:space="preserve"> provide strong predictive performance, they are often considered “black-box” models due to their limited interpretability. To address this limitation, this study employs </w:t>
      </w:r>
      <w:proofErr w:type="spellStart"/>
      <w:r w:rsidRPr="00CA3ED0">
        <w:rPr>
          <w:rFonts w:ascii="Arial" w:hAnsi="Arial" w:cs="Arial"/>
          <w:b/>
          <w:bCs/>
        </w:rPr>
        <w:t>SHapley</w:t>
      </w:r>
      <w:proofErr w:type="spellEnd"/>
      <w:r w:rsidRPr="00CA3ED0">
        <w:rPr>
          <w:rFonts w:ascii="Arial" w:hAnsi="Arial" w:cs="Arial"/>
          <w:b/>
          <w:bCs/>
        </w:rPr>
        <w:t xml:space="preserve"> Additive </w:t>
      </w:r>
      <w:proofErr w:type="spellStart"/>
      <w:r w:rsidRPr="00CA3ED0">
        <w:rPr>
          <w:rFonts w:ascii="Arial" w:hAnsi="Arial" w:cs="Arial"/>
          <w:b/>
          <w:bCs/>
        </w:rPr>
        <w:t>exPlanations</w:t>
      </w:r>
      <w:proofErr w:type="spellEnd"/>
      <w:r w:rsidRPr="00CA3ED0">
        <w:rPr>
          <w:rFonts w:ascii="Arial" w:hAnsi="Arial" w:cs="Arial"/>
          <w:b/>
          <w:bCs/>
        </w:rPr>
        <w:t xml:space="preserve"> (SHAP)</w:t>
      </w:r>
      <w:r w:rsidRPr="00CA3ED0">
        <w:rPr>
          <w:rFonts w:ascii="Arial" w:hAnsi="Arial" w:cs="Arial"/>
        </w:rPr>
        <w:t xml:space="preserve"> to interpret model predictions and quantify the contribution of each feature to NPA outcomes.</w:t>
      </w:r>
    </w:p>
    <w:p w14:paraId="778F3B2D" w14:textId="77777777" w:rsidR="002F65AB" w:rsidRPr="00CA3ED0" w:rsidRDefault="002F65AB" w:rsidP="00CA3ED0">
      <w:pPr>
        <w:jc w:val="both"/>
        <w:rPr>
          <w:rFonts w:ascii="Arial" w:hAnsi="Arial" w:cs="Arial"/>
        </w:rPr>
      </w:pPr>
    </w:p>
    <w:p w14:paraId="68817405" w14:textId="77777777" w:rsidR="00CA3ED0" w:rsidRPr="00CA3ED0" w:rsidRDefault="00CA3ED0" w:rsidP="00CA3ED0">
      <w:pPr>
        <w:jc w:val="both"/>
        <w:rPr>
          <w:rFonts w:ascii="Arial" w:hAnsi="Arial" w:cs="Arial"/>
          <w:b/>
          <w:bCs/>
        </w:rPr>
      </w:pPr>
      <w:r w:rsidRPr="00CA3ED0">
        <w:rPr>
          <w:rFonts w:ascii="Arial" w:hAnsi="Arial" w:cs="Arial"/>
          <w:b/>
          <w:bCs/>
        </w:rPr>
        <w:t>4.7.1 SHAP Summary Analysis</w:t>
      </w:r>
    </w:p>
    <w:p w14:paraId="494CDB1A" w14:textId="77777777" w:rsidR="00CA3ED0" w:rsidRPr="00CA3ED0" w:rsidRDefault="00CA3ED0" w:rsidP="00CA3ED0">
      <w:pPr>
        <w:jc w:val="both"/>
        <w:rPr>
          <w:rFonts w:ascii="Arial" w:hAnsi="Arial" w:cs="Arial"/>
        </w:rPr>
      </w:pPr>
      <w:r w:rsidRPr="00CA3ED0">
        <w:rPr>
          <w:rFonts w:ascii="Arial" w:hAnsi="Arial" w:cs="Arial"/>
        </w:rPr>
        <w:t xml:space="preserve">The overall impact of explanatory variables on model predictions is illustrated in </w:t>
      </w:r>
      <w:r w:rsidRPr="00CA3ED0">
        <w:rPr>
          <w:rFonts w:ascii="Arial" w:hAnsi="Arial" w:cs="Arial"/>
          <w:b/>
          <w:bCs/>
        </w:rPr>
        <w:t>Figure 5</w:t>
      </w:r>
      <w:r w:rsidRPr="00CA3ED0">
        <w:rPr>
          <w:rFonts w:ascii="Arial" w:hAnsi="Arial" w:cs="Arial"/>
        </w:rPr>
        <w:t>.</w:t>
      </w:r>
    </w:p>
    <w:p w14:paraId="247E54E1" w14:textId="77777777" w:rsidR="00CA3ED0" w:rsidRPr="00CA3ED0" w:rsidRDefault="00CA3ED0" w:rsidP="009861F9">
      <w:pPr>
        <w:jc w:val="center"/>
        <w:rPr>
          <w:rFonts w:ascii="Arial" w:hAnsi="Arial" w:cs="Arial"/>
        </w:rPr>
      </w:pPr>
      <w:r w:rsidRPr="00CA3ED0">
        <w:rPr>
          <w:rFonts w:ascii="Arial" w:hAnsi="Arial" w:cs="Arial"/>
          <w:noProof/>
        </w:rPr>
        <w:lastRenderedPageBreak/>
        <w:drawing>
          <wp:inline distT="0" distB="0" distL="0" distR="0" wp14:anchorId="0A65CB57" wp14:editId="25C21AA4">
            <wp:extent cx="3013114" cy="2711669"/>
            <wp:effectExtent l="0" t="0" r="0" b="0"/>
            <wp:docPr id="17836554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25036" cy="2722398"/>
                    </a:xfrm>
                    <a:prstGeom prst="rect">
                      <a:avLst/>
                    </a:prstGeom>
                    <a:noFill/>
                    <a:ln>
                      <a:noFill/>
                    </a:ln>
                  </pic:spPr>
                </pic:pic>
              </a:graphicData>
            </a:graphic>
          </wp:inline>
        </w:drawing>
      </w:r>
    </w:p>
    <w:p w14:paraId="1D8B0CD0" w14:textId="77777777" w:rsidR="00CA3ED0" w:rsidRPr="00CA3ED0" w:rsidRDefault="00CA3ED0" w:rsidP="00CA3ED0">
      <w:pPr>
        <w:jc w:val="center"/>
        <w:rPr>
          <w:rFonts w:ascii="Arial" w:hAnsi="Arial" w:cs="Arial"/>
          <w:b/>
          <w:bCs/>
        </w:rPr>
      </w:pPr>
      <w:r w:rsidRPr="00CA3ED0">
        <w:rPr>
          <w:rFonts w:ascii="Arial" w:hAnsi="Arial" w:cs="Arial"/>
          <w:b/>
          <w:bCs/>
        </w:rPr>
        <w:t>Figure 5. SHAP Summary Plot</w:t>
      </w:r>
    </w:p>
    <w:p w14:paraId="7A774F91" w14:textId="77777777" w:rsidR="00CA3ED0" w:rsidRPr="00CA3ED0" w:rsidRDefault="00CA3ED0" w:rsidP="00CA3ED0">
      <w:pPr>
        <w:jc w:val="both"/>
        <w:rPr>
          <w:rFonts w:ascii="Arial" w:hAnsi="Arial" w:cs="Arial"/>
        </w:rPr>
      </w:pPr>
    </w:p>
    <w:p w14:paraId="4E345CDE" w14:textId="77777777" w:rsidR="00CA3ED0" w:rsidRDefault="00CA3ED0" w:rsidP="00CA3ED0">
      <w:pPr>
        <w:jc w:val="both"/>
        <w:rPr>
          <w:rFonts w:ascii="Arial" w:hAnsi="Arial" w:cs="Arial"/>
        </w:rPr>
      </w:pPr>
      <w:r w:rsidRPr="00CA3ED0">
        <w:rPr>
          <w:rFonts w:ascii="Arial" w:hAnsi="Arial" w:cs="Arial"/>
        </w:rPr>
        <w:t>The SHAP analysis identifies lagged NPA (NPA</w:t>
      </w:r>
      <w:r w:rsidRPr="00CA3ED0">
        <w:rPr>
          <w:rFonts w:ascii="Cambria Math" w:hAnsi="Cambria Math" w:cs="Cambria Math"/>
        </w:rPr>
        <w:t>ₜ₋₁</w:t>
      </w:r>
      <w:r w:rsidRPr="00CA3ED0">
        <w:rPr>
          <w:rFonts w:ascii="Arial" w:hAnsi="Arial" w:cs="Arial"/>
        </w:rPr>
        <w:t>) as the most influential predictor, confirming strong persistence in asset quality. Lending interest rates exhibit a positive contribution to NPAs, while inflation shows a negative effect. Credit growth has a moderate and heterogeneous impact, whereas GDP growth appears relatively less important. The dominance of lagged NPA reinforces the role of dynamic effects, consistent with the econometric findings.</w:t>
      </w:r>
    </w:p>
    <w:p w14:paraId="752AD59B" w14:textId="77777777" w:rsidR="002F65AB" w:rsidRPr="00CA3ED0" w:rsidRDefault="002F65AB" w:rsidP="00CA3ED0">
      <w:pPr>
        <w:jc w:val="both"/>
        <w:rPr>
          <w:rFonts w:ascii="Arial" w:hAnsi="Arial" w:cs="Arial"/>
        </w:rPr>
      </w:pPr>
    </w:p>
    <w:p w14:paraId="49DB9FC4" w14:textId="77777777" w:rsidR="00CA3ED0" w:rsidRPr="00CA3ED0" w:rsidRDefault="00CA3ED0" w:rsidP="00CA3ED0">
      <w:pPr>
        <w:jc w:val="both"/>
        <w:rPr>
          <w:rFonts w:ascii="Arial" w:hAnsi="Arial" w:cs="Arial"/>
          <w:b/>
          <w:bCs/>
        </w:rPr>
      </w:pPr>
      <w:r w:rsidRPr="00CA3ED0">
        <w:rPr>
          <w:rFonts w:ascii="Arial" w:hAnsi="Arial" w:cs="Arial"/>
          <w:b/>
          <w:bCs/>
        </w:rPr>
        <w:t>4.7.2 Feature Importance Ranking</w:t>
      </w:r>
    </w:p>
    <w:p w14:paraId="098D0A5B" w14:textId="77777777" w:rsidR="00CA3ED0" w:rsidRPr="00CA3ED0" w:rsidRDefault="00CA3ED0" w:rsidP="00CA3ED0">
      <w:pPr>
        <w:jc w:val="both"/>
        <w:rPr>
          <w:rFonts w:ascii="Arial" w:hAnsi="Arial" w:cs="Arial"/>
        </w:rPr>
      </w:pPr>
      <w:r w:rsidRPr="00CA3ED0">
        <w:rPr>
          <w:rFonts w:ascii="Arial" w:hAnsi="Arial" w:cs="Arial"/>
        </w:rPr>
        <w:t xml:space="preserve">To further quantify variable importance, the SHAP feature importance plot is presented in </w:t>
      </w:r>
      <w:r w:rsidRPr="00CA3ED0">
        <w:rPr>
          <w:rFonts w:ascii="Arial" w:hAnsi="Arial" w:cs="Arial"/>
          <w:b/>
          <w:bCs/>
        </w:rPr>
        <w:t>Figure 6</w:t>
      </w:r>
      <w:r w:rsidRPr="00CA3ED0">
        <w:rPr>
          <w:rFonts w:ascii="Arial" w:hAnsi="Arial" w:cs="Arial"/>
        </w:rPr>
        <w:t>.</w:t>
      </w:r>
    </w:p>
    <w:p w14:paraId="02D30AF9" w14:textId="77777777" w:rsidR="00CA3ED0" w:rsidRPr="00CA3ED0" w:rsidRDefault="00CA3ED0" w:rsidP="00CA3ED0">
      <w:pPr>
        <w:jc w:val="center"/>
        <w:rPr>
          <w:rFonts w:ascii="Arial" w:hAnsi="Arial" w:cs="Arial"/>
        </w:rPr>
      </w:pPr>
      <w:r w:rsidRPr="00CA3ED0">
        <w:rPr>
          <w:rFonts w:ascii="Arial" w:hAnsi="Arial" w:cs="Arial"/>
          <w:noProof/>
        </w:rPr>
        <w:drawing>
          <wp:inline distT="0" distB="0" distL="0" distR="0" wp14:anchorId="0C70D5BA" wp14:editId="5FC3E8F4">
            <wp:extent cx="5363210" cy="3201526"/>
            <wp:effectExtent l="0" t="0" r="0" b="0"/>
            <wp:docPr id="14896276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1539" cy="3206498"/>
                    </a:xfrm>
                    <a:prstGeom prst="rect">
                      <a:avLst/>
                    </a:prstGeom>
                    <a:noFill/>
                    <a:ln>
                      <a:noFill/>
                    </a:ln>
                  </pic:spPr>
                </pic:pic>
              </a:graphicData>
            </a:graphic>
          </wp:inline>
        </w:drawing>
      </w:r>
    </w:p>
    <w:p w14:paraId="755891A0" w14:textId="77777777" w:rsidR="00CA3ED0" w:rsidRPr="00CA3ED0" w:rsidRDefault="00CA3ED0" w:rsidP="00CA3ED0">
      <w:pPr>
        <w:jc w:val="center"/>
        <w:rPr>
          <w:rFonts w:ascii="Arial" w:hAnsi="Arial" w:cs="Arial"/>
          <w:b/>
          <w:bCs/>
        </w:rPr>
      </w:pPr>
      <w:r w:rsidRPr="00CA3ED0">
        <w:rPr>
          <w:rFonts w:ascii="Arial" w:hAnsi="Arial" w:cs="Arial"/>
          <w:b/>
          <w:bCs/>
        </w:rPr>
        <w:t>Figure 6. SHAP Feature Importance Plot</w:t>
      </w:r>
    </w:p>
    <w:p w14:paraId="61D7968B" w14:textId="77777777" w:rsidR="00CA3ED0" w:rsidRPr="00CA3ED0" w:rsidRDefault="00CA3ED0" w:rsidP="00CA3ED0">
      <w:pPr>
        <w:jc w:val="both"/>
        <w:rPr>
          <w:rFonts w:ascii="Arial" w:hAnsi="Arial" w:cs="Arial"/>
        </w:rPr>
      </w:pPr>
      <w:r w:rsidRPr="00CA3ED0">
        <w:rPr>
          <w:rFonts w:ascii="Arial" w:hAnsi="Arial" w:cs="Arial"/>
        </w:rPr>
        <w:lastRenderedPageBreak/>
        <w:t>This figure ranks the variables based on their average absolute SHAP values, indicating their relative importance in predicting NPAs.</w:t>
      </w:r>
    </w:p>
    <w:p w14:paraId="26B74729" w14:textId="77777777" w:rsidR="00CA3ED0" w:rsidRPr="00CA3ED0" w:rsidRDefault="00CA3ED0" w:rsidP="00CA3ED0">
      <w:pPr>
        <w:jc w:val="both"/>
        <w:rPr>
          <w:rFonts w:ascii="Arial" w:hAnsi="Arial" w:cs="Arial"/>
        </w:rPr>
      </w:pPr>
      <w:r w:rsidRPr="00CA3ED0">
        <w:rPr>
          <w:rFonts w:ascii="Arial" w:hAnsi="Arial" w:cs="Arial"/>
        </w:rPr>
        <w:t>The ranking of variables based on SHAP values is as follows:</w:t>
      </w:r>
    </w:p>
    <w:p w14:paraId="6031C29D" w14:textId="77777777" w:rsidR="00CA3ED0" w:rsidRPr="00CA3ED0" w:rsidRDefault="00CA3ED0" w:rsidP="00CA3ED0">
      <w:pPr>
        <w:numPr>
          <w:ilvl w:val="0"/>
          <w:numId w:val="33"/>
        </w:numPr>
        <w:jc w:val="both"/>
        <w:rPr>
          <w:rFonts w:ascii="Arial" w:hAnsi="Arial" w:cs="Arial"/>
        </w:rPr>
      </w:pPr>
      <w:r w:rsidRPr="00CA3ED0">
        <w:rPr>
          <w:rFonts w:ascii="Arial" w:hAnsi="Arial" w:cs="Arial"/>
          <w:b/>
          <w:bCs/>
        </w:rPr>
        <w:t>Lagged NPA (highest importance)</w:t>
      </w:r>
      <w:r w:rsidRPr="00CA3ED0">
        <w:rPr>
          <w:rFonts w:ascii="Arial" w:hAnsi="Arial" w:cs="Arial"/>
        </w:rPr>
        <w:t xml:space="preserve"> </w:t>
      </w:r>
    </w:p>
    <w:p w14:paraId="7003EF41" w14:textId="77777777" w:rsidR="00CA3ED0" w:rsidRPr="00CA3ED0" w:rsidRDefault="00CA3ED0" w:rsidP="00CA3ED0">
      <w:pPr>
        <w:numPr>
          <w:ilvl w:val="0"/>
          <w:numId w:val="33"/>
        </w:numPr>
        <w:jc w:val="both"/>
        <w:rPr>
          <w:rFonts w:ascii="Arial" w:hAnsi="Arial" w:cs="Arial"/>
        </w:rPr>
      </w:pPr>
      <w:r w:rsidRPr="00CA3ED0">
        <w:rPr>
          <w:rFonts w:ascii="Arial" w:hAnsi="Arial" w:cs="Arial"/>
          <w:b/>
          <w:bCs/>
        </w:rPr>
        <w:t>Lending Interest Rate</w:t>
      </w:r>
      <w:r w:rsidRPr="00CA3ED0">
        <w:rPr>
          <w:rFonts w:ascii="Arial" w:hAnsi="Arial" w:cs="Arial"/>
        </w:rPr>
        <w:t xml:space="preserve"> </w:t>
      </w:r>
    </w:p>
    <w:p w14:paraId="61FE71DE" w14:textId="77777777" w:rsidR="00CA3ED0" w:rsidRPr="00CA3ED0" w:rsidRDefault="00CA3ED0" w:rsidP="00CA3ED0">
      <w:pPr>
        <w:numPr>
          <w:ilvl w:val="0"/>
          <w:numId w:val="33"/>
        </w:numPr>
        <w:jc w:val="both"/>
        <w:rPr>
          <w:rFonts w:ascii="Arial" w:hAnsi="Arial" w:cs="Arial"/>
        </w:rPr>
      </w:pPr>
      <w:r w:rsidRPr="00CA3ED0">
        <w:rPr>
          <w:rFonts w:ascii="Arial" w:hAnsi="Arial" w:cs="Arial"/>
          <w:b/>
          <w:bCs/>
        </w:rPr>
        <w:t>Credit Growth</w:t>
      </w:r>
      <w:r w:rsidRPr="00CA3ED0">
        <w:rPr>
          <w:rFonts w:ascii="Arial" w:hAnsi="Arial" w:cs="Arial"/>
        </w:rPr>
        <w:t xml:space="preserve"> </w:t>
      </w:r>
    </w:p>
    <w:p w14:paraId="79634928" w14:textId="77777777" w:rsidR="00CA3ED0" w:rsidRPr="00CA3ED0" w:rsidRDefault="00CA3ED0" w:rsidP="00CA3ED0">
      <w:pPr>
        <w:numPr>
          <w:ilvl w:val="0"/>
          <w:numId w:val="33"/>
        </w:numPr>
        <w:jc w:val="both"/>
        <w:rPr>
          <w:rFonts w:ascii="Arial" w:hAnsi="Arial" w:cs="Arial"/>
        </w:rPr>
      </w:pPr>
      <w:r w:rsidRPr="00CA3ED0">
        <w:rPr>
          <w:rFonts w:ascii="Arial" w:hAnsi="Arial" w:cs="Arial"/>
          <w:b/>
          <w:bCs/>
        </w:rPr>
        <w:t>Inflation</w:t>
      </w:r>
      <w:r w:rsidRPr="00CA3ED0">
        <w:rPr>
          <w:rFonts w:ascii="Arial" w:hAnsi="Arial" w:cs="Arial"/>
        </w:rPr>
        <w:t xml:space="preserve"> </w:t>
      </w:r>
    </w:p>
    <w:p w14:paraId="70FA78DE" w14:textId="77777777" w:rsidR="00CA3ED0" w:rsidRPr="00CA3ED0" w:rsidRDefault="00CA3ED0" w:rsidP="00CA3ED0">
      <w:pPr>
        <w:numPr>
          <w:ilvl w:val="0"/>
          <w:numId w:val="33"/>
        </w:numPr>
        <w:jc w:val="both"/>
        <w:rPr>
          <w:rFonts w:ascii="Arial" w:hAnsi="Arial" w:cs="Arial"/>
        </w:rPr>
      </w:pPr>
      <w:r w:rsidRPr="00CA3ED0">
        <w:rPr>
          <w:rFonts w:ascii="Arial" w:hAnsi="Arial" w:cs="Arial"/>
          <w:b/>
          <w:bCs/>
        </w:rPr>
        <w:t>GDP Growth (lowest importance)</w:t>
      </w:r>
      <w:r w:rsidRPr="00CA3ED0">
        <w:rPr>
          <w:rFonts w:ascii="Arial" w:hAnsi="Arial" w:cs="Arial"/>
        </w:rPr>
        <w:t xml:space="preserve"> </w:t>
      </w:r>
    </w:p>
    <w:p w14:paraId="53FBC7DF" w14:textId="77777777" w:rsidR="00CA3ED0" w:rsidRPr="00CA3ED0" w:rsidRDefault="00CA3ED0" w:rsidP="00CA3ED0">
      <w:pPr>
        <w:jc w:val="both"/>
        <w:rPr>
          <w:rFonts w:ascii="Arial" w:hAnsi="Arial" w:cs="Arial"/>
        </w:rPr>
      </w:pPr>
    </w:p>
    <w:p w14:paraId="7D2F8D26" w14:textId="77777777" w:rsidR="00CA3ED0" w:rsidRPr="00CA3ED0" w:rsidRDefault="00CA3ED0" w:rsidP="00CA3ED0">
      <w:pPr>
        <w:jc w:val="both"/>
        <w:rPr>
          <w:rFonts w:ascii="Arial" w:hAnsi="Arial" w:cs="Arial"/>
          <w:b/>
          <w:bCs/>
        </w:rPr>
      </w:pPr>
      <w:r w:rsidRPr="00CA3ED0">
        <w:rPr>
          <w:rFonts w:ascii="Arial" w:hAnsi="Arial" w:cs="Arial"/>
          <w:b/>
          <w:bCs/>
        </w:rPr>
        <w:t>4.7.3 Directional Impact of Variables</w:t>
      </w:r>
    </w:p>
    <w:p w14:paraId="2446F486" w14:textId="77777777" w:rsidR="00CA3ED0" w:rsidRDefault="00CA3ED0" w:rsidP="00CA3ED0">
      <w:pPr>
        <w:jc w:val="both"/>
        <w:rPr>
          <w:rFonts w:ascii="Arial" w:hAnsi="Arial" w:cs="Arial"/>
        </w:rPr>
      </w:pPr>
      <w:r w:rsidRPr="00CA3ED0">
        <w:rPr>
          <w:rFonts w:ascii="Arial" w:hAnsi="Arial" w:cs="Arial"/>
        </w:rPr>
        <w:t>SHAP analysis provides both variable importance and directional effects. Higher lagged NPAs and lending interest rates are associated with increased predicted NPAs, while inflation exhibits a negative effect. Credit growth shows heterogeneous impacts, and GDP growth has limited influence. These results are consistent with the econometric findings, offering cross-validation between statistical and machine learning approaches.</w:t>
      </w:r>
    </w:p>
    <w:p w14:paraId="19AF0E8A" w14:textId="77777777" w:rsidR="002F65AB" w:rsidRPr="00CA3ED0" w:rsidRDefault="002F65AB" w:rsidP="00CA3ED0">
      <w:pPr>
        <w:jc w:val="both"/>
        <w:rPr>
          <w:rFonts w:ascii="Arial" w:hAnsi="Arial" w:cs="Arial"/>
        </w:rPr>
      </w:pPr>
    </w:p>
    <w:p w14:paraId="511F8D20" w14:textId="77777777" w:rsidR="00CA3ED0" w:rsidRPr="00CA3ED0" w:rsidRDefault="00CA3ED0" w:rsidP="00CA3ED0">
      <w:pPr>
        <w:jc w:val="both"/>
        <w:rPr>
          <w:rFonts w:ascii="Arial" w:hAnsi="Arial" w:cs="Arial"/>
          <w:b/>
          <w:bCs/>
        </w:rPr>
      </w:pPr>
      <w:r w:rsidRPr="00CA3ED0">
        <w:rPr>
          <w:rFonts w:ascii="Arial" w:hAnsi="Arial" w:cs="Arial"/>
          <w:b/>
          <w:bCs/>
        </w:rPr>
        <w:t>4.7.4 Integration with Econometric Findings</w:t>
      </w:r>
    </w:p>
    <w:p w14:paraId="4275D34D" w14:textId="77777777" w:rsidR="00CA3ED0" w:rsidRDefault="00CA3ED0" w:rsidP="00CA3ED0">
      <w:pPr>
        <w:jc w:val="both"/>
        <w:rPr>
          <w:rFonts w:ascii="Arial" w:hAnsi="Arial" w:cs="Arial"/>
        </w:rPr>
      </w:pPr>
      <w:r w:rsidRPr="00CA3ED0">
        <w:rPr>
          <w:rFonts w:ascii="Arial" w:hAnsi="Arial" w:cs="Arial"/>
        </w:rPr>
        <w:t>A key strength of the analysis is the consistency between SHAP results and panel econometric estimates. Both approaches identify lending interest rates as a key driver of NPAs, confirm the negative role of inflation, and indicate the limited influence of GDP growth. This alignment enhances the robustness and credibility of the findings, demonstrating that machine learning models, when interpreted using SHAP, are not only predictive but also economically meaningful.</w:t>
      </w:r>
    </w:p>
    <w:p w14:paraId="2086656B" w14:textId="77777777" w:rsidR="002F65AB" w:rsidRPr="00CA3ED0" w:rsidRDefault="002F65AB" w:rsidP="00CA3ED0">
      <w:pPr>
        <w:jc w:val="both"/>
        <w:rPr>
          <w:rFonts w:ascii="Arial" w:hAnsi="Arial" w:cs="Arial"/>
        </w:rPr>
      </w:pPr>
    </w:p>
    <w:p w14:paraId="3D38002C" w14:textId="77777777" w:rsidR="00CA3ED0" w:rsidRPr="002F65AB" w:rsidRDefault="00CA3ED0" w:rsidP="00CA3ED0">
      <w:pPr>
        <w:jc w:val="both"/>
        <w:rPr>
          <w:rFonts w:ascii="Arial" w:hAnsi="Arial" w:cs="Arial"/>
          <w:b/>
          <w:bCs/>
          <w:sz w:val="22"/>
          <w:szCs w:val="22"/>
        </w:rPr>
      </w:pPr>
      <w:r w:rsidRPr="002F65AB">
        <w:rPr>
          <w:rFonts w:ascii="Arial" w:hAnsi="Arial" w:cs="Arial"/>
          <w:b/>
          <w:bCs/>
          <w:sz w:val="22"/>
          <w:szCs w:val="22"/>
        </w:rPr>
        <w:t>4.8. Robustness Analysis</w:t>
      </w:r>
    </w:p>
    <w:p w14:paraId="286B719A" w14:textId="77777777" w:rsidR="00CA3ED0" w:rsidRPr="00CA3ED0" w:rsidRDefault="00CA3ED0" w:rsidP="00CA3ED0">
      <w:pPr>
        <w:jc w:val="both"/>
        <w:rPr>
          <w:rFonts w:ascii="Arial" w:hAnsi="Arial" w:cs="Arial"/>
        </w:rPr>
      </w:pPr>
      <w:r w:rsidRPr="00CA3ED0">
        <w:rPr>
          <w:rFonts w:ascii="Arial" w:hAnsi="Arial" w:cs="Arial"/>
        </w:rPr>
        <w:t>The robustness of the findings is assessed by comparing results across panel econometric models, machine learning approaches, and SHAP-based interpretations. The results show strong cross-model consistency, with inflation exhibiting a negative and significant effect, lending interest rates showing a positive and significant impact, and credit growth and GDP growth remaining statistically insignificant across methods. Machine learning models further reinforce these findings, achieving higher predictive accuracy (R² ≈ 0.69) compared to the econometric model (R² ≈ 0.22), while identifying the same key drivers of NPAs.</w:t>
      </w:r>
    </w:p>
    <w:p w14:paraId="3CF1DDB6" w14:textId="77777777" w:rsidR="00CA3ED0" w:rsidRPr="00CA3ED0" w:rsidRDefault="00CA3ED0" w:rsidP="00CA3ED0">
      <w:pPr>
        <w:jc w:val="both"/>
        <w:rPr>
          <w:rFonts w:ascii="Arial" w:hAnsi="Arial" w:cs="Arial"/>
        </w:rPr>
      </w:pPr>
      <w:r w:rsidRPr="00CA3ED0">
        <w:rPr>
          <w:rFonts w:ascii="Arial" w:hAnsi="Arial" w:cs="Arial"/>
        </w:rPr>
        <w:t>Despite differences in predictive performance, the consistency in variable significance and direction indicates that the results are not sensitive to model specification. While econometric models provide interpretability and inference, machine learning models capture nonlinear patterns, and SHAP analysis bridges these approaches by ensuring interpretability of predictive models.</w:t>
      </w:r>
    </w:p>
    <w:p w14:paraId="25D374DF" w14:textId="77777777" w:rsidR="00CA3ED0" w:rsidRDefault="00CA3ED0" w:rsidP="00CA3ED0">
      <w:pPr>
        <w:jc w:val="both"/>
        <w:rPr>
          <w:rFonts w:ascii="Arial" w:hAnsi="Arial" w:cs="Arial"/>
        </w:rPr>
      </w:pPr>
      <w:r w:rsidRPr="00CA3ED0">
        <w:rPr>
          <w:rFonts w:ascii="Arial" w:hAnsi="Arial" w:cs="Arial"/>
        </w:rPr>
        <w:t>The convergence of evidence across methodologies confirms that the identified determinants of NPAs are stable, reliable, and not driven by model-specific assumptions, thereby strengthening the overall validity of the findings.</w:t>
      </w:r>
    </w:p>
    <w:p w14:paraId="29E5B252" w14:textId="77777777" w:rsidR="002F65AB" w:rsidRPr="00CA3ED0" w:rsidRDefault="002F65AB" w:rsidP="00CA3ED0">
      <w:pPr>
        <w:jc w:val="both"/>
        <w:rPr>
          <w:rFonts w:ascii="Arial" w:hAnsi="Arial" w:cs="Arial"/>
        </w:rPr>
      </w:pPr>
    </w:p>
    <w:p w14:paraId="3C375C1D" w14:textId="77777777" w:rsidR="00CA3ED0" w:rsidRPr="002F65AB" w:rsidRDefault="00CA3ED0" w:rsidP="00CA3ED0">
      <w:pPr>
        <w:jc w:val="both"/>
        <w:rPr>
          <w:rFonts w:ascii="Arial" w:hAnsi="Arial" w:cs="Arial"/>
          <w:b/>
          <w:bCs/>
          <w:sz w:val="22"/>
          <w:szCs w:val="22"/>
        </w:rPr>
      </w:pPr>
      <w:r w:rsidRPr="002F65AB">
        <w:rPr>
          <w:rFonts w:ascii="Arial" w:hAnsi="Arial" w:cs="Arial"/>
          <w:b/>
          <w:bCs/>
          <w:sz w:val="22"/>
          <w:szCs w:val="22"/>
        </w:rPr>
        <w:t>4.9. Policy Implications</w:t>
      </w:r>
    </w:p>
    <w:p w14:paraId="32D59ADB" w14:textId="77777777" w:rsidR="00CA3ED0" w:rsidRPr="00CA3ED0" w:rsidRDefault="00CA3ED0" w:rsidP="00CA3ED0">
      <w:pPr>
        <w:jc w:val="both"/>
        <w:rPr>
          <w:rFonts w:ascii="Arial" w:hAnsi="Arial" w:cs="Arial"/>
        </w:rPr>
      </w:pPr>
      <w:r w:rsidRPr="00CA3ED0">
        <w:rPr>
          <w:rFonts w:ascii="Arial" w:hAnsi="Arial" w:cs="Arial"/>
        </w:rPr>
        <w:t>The findings provide important implications for policymakers, regulators, and financial institutions in managing NPAs. The positive and significant impact of lending interest rates suggests that tighter monetary conditions can elevate default risk, underscoring the need for careful calibration of interest rate policies and incorporation of interest rate sensitivity in credit risk assessment. In contrast, the negative effect of inflation indicates that a stable and moderate inflation environment can ease repayment burdens and support financial stability.</w:t>
      </w:r>
    </w:p>
    <w:p w14:paraId="47A280A0" w14:textId="77777777" w:rsidR="00CA3ED0" w:rsidRDefault="00CA3ED0" w:rsidP="00CA3ED0">
      <w:pPr>
        <w:jc w:val="both"/>
        <w:rPr>
          <w:rFonts w:ascii="Arial" w:hAnsi="Arial" w:cs="Arial"/>
        </w:rPr>
      </w:pPr>
      <w:r w:rsidRPr="00CA3ED0">
        <w:rPr>
          <w:rFonts w:ascii="Arial" w:hAnsi="Arial" w:cs="Arial"/>
        </w:rPr>
        <w:t>The evidence of persistence in NPAs highlights the importance of early warning systems, continuous monitoring, and timely resolution mechanisms to prevent the accumulation of financial stress. Moreover, significant cross-sectional dependence points to strong interlinkages within the banking system, emphasizing the need for a system-wide regulatory approach, including stress testing frameworks that account for spillover and contagion effects.</w:t>
      </w:r>
    </w:p>
    <w:p w14:paraId="34956395" w14:textId="77777777" w:rsidR="002F65AB" w:rsidRPr="00CA3ED0" w:rsidRDefault="002F65AB" w:rsidP="00CA3ED0">
      <w:pPr>
        <w:jc w:val="both"/>
        <w:rPr>
          <w:rFonts w:ascii="Arial" w:hAnsi="Arial" w:cs="Arial"/>
        </w:rPr>
      </w:pPr>
    </w:p>
    <w:p w14:paraId="402D5563" w14:textId="77777777" w:rsidR="00CA3ED0" w:rsidRPr="00CA3ED0" w:rsidRDefault="00CA3ED0" w:rsidP="00CA3ED0">
      <w:pPr>
        <w:jc w:val="both"/>
        <w:rPr>
          <w:rFonts w:ascii="Arial" w:hAnsi="Arial" w:cs="Arial"/>
        </w:rPr>
      </w:pPr>
      <w:r w:rsidRPr="00CA3ED0">
        <w:rPr>
          <w:rFonts w:ascii="Arial" w:hAnsi="Arial" w:cs="Arial"/>
        </w:rPr>
        <w:t>The superior predictive performance of machine learning models supports their adoption in risk management for improved forecasting and early detection of credit deterioration. At the same time, the use of explainable AI techniques such as SHAP enhances transparency and interpretability, facilitating informed decision-making and regulatory oversight.</w:t>
      </w:r>
    </w:p>
    <w:p w14:paraId="17F52093" w14:textId="116D4950" w:rsidR="00790ADA" w:rsidRDefault="00CA3ED0" w:rsidP="00441B6F">
      <w:pPr>
        <w:pStyle w:val="Body"/>
        <w:spacing w:after="0"/>
        <w:rPr>
          <w:rFonts w:ascii="Arial" w:hAnsi="Arial" w:cs="Arial"/>
        </w:rPr>
      </w:pPr>
      <w:r w:rsidRPr="00CA3ED0">
        <w:rPr>
          <w:rFonts w:ascii="Arial" w:hAnsi="Arial" w:cs="Arial"/>
        </w:rPr>
        <w:t xml:space="preserve">Finally, the limited role of credit growth and GDP growth suggests that expanding credit alone does not ensure improved asset quality, highlighting the importance of risk-based lending and credit quality assessment. Taken together, the results call for an integrated policy framework combining macroeconomic stability, advanced analytical tools, and proactive regulatory strategies to effectively manage NPAs and strengthen financial stability. </w:t>
      </w:r>
    </w:p>
    <w:p w14:paraId="1ED01E4F" w14:textId="77777777" w:rsidR="002F65AB" w:rsidRDefault="002F65AB" w:rsidP="00441B6F">
      <w:pPr>
        <w:pStyle w:val="Body"/>
        <w:spacing w:after="0"/>
        <w:rPr>
          <w:rFonts w:ascii="Arial" w:hAnsi="Arial" w:cs="Arial"/>
        </w:rPr>
      </w:pPr>
    </w:p>
    <w:p w14:paraId="32A56E00" w14:textId="77777777" w:rsidR="002F65AB" w:rsidRDefault="002F65AB" w:rsidP="00441B6F">
      <w:pPr>
        <w:pStyle w:val="Body"/>
        <w:spacing w:after="0"/>
        <w:rPr>
          <w:rFonts w:ascii="Arial" w:hAnsi="Arial" w:cs="Arial"/>
        </w:rPr>
      </w:pPr>
    </w:p>
    <w:p w14:paraId="398F8BB4" w14:textId="77777777" w:rsidR="002F65AB" w:rsidRDefault="002F65AB" w:rsidP="00441B6F">
      <w:pPr>
        <w:pStyle w:val="Body"/>
        <w:spacing w:after="0"/>
        <w:rPr>
          <w:rFonts w:ascii="Arial" w:hAnsi="Arial" w:cs="Arial"/>
        </w:rPr>
      </w:pPr>
    </w:p>
    <w:p w14:paraId="41A13473" w14:textId="32DDC266" w:rsidR="00B01FCD" w:rsidRDefault="002F65AB"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Pr="002F65AB">
        <w:rPr>
          <w:rFonts w:ascii="Arial" w:hAnsi="Arial" w:cs="Arial"/>
        </w:rPr>
        <w:t>Conclusion and Future direction</w:t>
      </w:r>
    </w:p>
    <w:p w14:paraId="606601C8" w14:textId="77777777" w:rsidR="00790ADA" w:rsidRPr="00FB3A86" w:rsidRDefault="00790ADA" w:rsidP="00441B6F">
      <w:pPr>
        <w:pStyle w:val="ConcHead"/>
        <w:spacing w:after="0"/>
        <w:jc w:val="both"/>
        <w:rPr>
          <w:rFonts w:ascii="Arial" w:hAnsi="Arial" w:cs="Arial"/>
        </w:rPr>
      </w:pPr>
    </w:p>
    <w:p w14:paraId="3EE0FDCF" w14:textId="77777777" w:rsidR="002F65AB" w:rsidRPr="002F65AB" w:rsidRDefault="002F65AB" w:rsidP="002F65AB">
      <w:pPr>
        <w:pStyle w:val="Body"/>
        <w:rPr>
          <w:rFonts w:ascii="Arial" w:hAnsi="Arial" w:cs="Arial"/>
        </w:rPr>
      </w:pPr>
      <w:r w:rsidRPr="002F65AB">
        <w:rPr>
          <w:rFonts w:ascii="Arial" w:hAnsi="Arial" w:cs="Arial"/>
        </w:rPr>
        <w:t>This study examines the determinants and predictive dynamics of Non-Performing Assets (NPAs) in Indian bank groups using an integrated framework that combines panel econometric models, machine learning techniques, and explainable AI. The results consistently show that lending interest rates have a positive and significant impact on NPAs, while inflation exhibits a negative relationship, indicating its role in easing the real debt burden. Credit growth and GDP growth appear to have relatively weaker effects, suggesting that asset quality is influenced more by financial conditions than by overall economic expansion.</w:t>
      </w:r>
    </w:p>
    <w:p w14:paraId="5875B528" w14:textId="77777777" w:rsidR="002F65AB" w:rsidRPr="002F65AB" w:rsidRDefault="002F65AB" w:rsidP="002F65AB">
      <w:pPr>
        <w:pStyle w:val="Body"/>
        <w:rPr>
          <w:rFonts w:ascii="Arial" w:hAnsi="Arial" w:cs="Arial"/>
        </w:rPr>
      </w:pPr>
      <w:r w:rsidRPr="002F65AB">
        <w:rPr>
          <w:rFonts w:ascii="Arial" w:hAnsi="Arial" w:cs="Arial"/>
        </w:rPr>
        <w:t xml:space="preserve">Diagnostic tests reveal the presence of heteroskedasticity, serial correlation, and cross-sectional dependence, indicating that NPAs are persistent and influenced by interconnected banking dynamics. Machine learning models, particularly Random Forest and </w:t>
      </w:r>
      <w:proofErr w:type="spellStart"/>
      <w:r w:rsidRPr="002F65AB">
        <w:rPr>
          <w:rFonts w:ascii="Arial" w:hAnsi="Arial" w:cs="Arial"/>
        </w:rPr>
        <w:t>XGBoost</w:t>
      </w:r>
      <w:proofErr w:type="spellEnd"/>
      <w:r w:rsidRPr="002F65AB">
        <w:rPr>
          <w:rFonts w:ascii="Arial" w:hAnsi="Arial" w:cs="Arial"/>
        </w:rPr>
        <w:t>, demonstrate superior predictive performance compared to linear regression, highlighting the importance of capturing nonlinear relationships. SHAP-based explainability further confirms the dominance of key variables such as lagged NPAs and interest rates, enhancing interpretability and policy relevance.</w:t>
      </w:r>
    </w:p>
    <w:p w14:paraId="671AD3D9" w14:textId="77777777" w:rsidR="002F65AB" w:rsidRDefault="002F65AB" w:rsidP="002F65AB">
      <w:pPr>
        <w:pStyle w:val="Body"/>
        <w:spacing w:after="0"/>
        <w:rPr>
          <w:rFonts w:ascii="Arial" w:hAnsi="Arial" w:cs="Arial"/>
        </w:rPr>
      </w:pPr>
      <w:r w:rsidRPr="002F65AB">
        <w:rPr>
          <w:rFonts w:ascii="Arial" w:hAnsi="Arial" w:cs="Arial"/>
        </w:rPr>
        <w:t xml:space="preserve">However, the analysis is based on aggregated banking group data, which may conceal bank-level heterogeneity in risk exposure and management practices. Future research can </w:t>
      </w:r>
    </w:p>
    <w:p w14:paraId="445F45F9" w14:textId="3E65EBFB" w:rsidR="00B01FCD" w:rsidRDefault="002F65AB" w:rsidP="002F65AB">
      <w:pPr>
        <w:pStyle w:val="Body"/>
        <w:spacing w:after="0"/>
        <w:rPr>
          <w:rFonts w:ascii="Arial" w:hAnsi="Arial" w:cs="Arial"/>
        </w:rPr>
      </w:pPr>
      <w:r w:rsidRPr="002F65AB">
        <w:rPr>
          <w:rFonts w:ascii="Arial" w:hAnsi="Arial" w:cs="Arial"/>
        </w:rPr>
        <w:t>address this limitation by incorporating disaggregated data and additional institutional variables. All things considered, the study underscores the value of integrating econometric and data-driven approaches to better understand and forecast NPAs, offering useful insights for financial stability and risk management.</w:t>
      </w:r>
    </w:p>
    <w:p w14:paraId="160C4604" w14:textId="77777777" w:rsidR="00790ADA" w:rsidRPr="00FB3A86" w:rsidRDefault="00790ADA" w:rsidP="00441B6F">
      <w:pPr>
        <w:pStyle w:val="Body"/>
        <w:spacing w:after="0"/>
        <w:rPr>
          <w:rFonts w:ascii="Arial" w:hAnsi="Arial" w:cs="Arial"/>
        </w:rPr>
      </w:pPr>
    </w:p>
    <w:p w14:paraId="7F0F39A9"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062405D4" w14:textId="77777777" w:rsidR="00860000" w:rsidRPr="00786D36" w:rsidRDefault="00860000" w:rsidP="00441B6F">
      <w:pPr>
        <w:pStyle w:val="ReferHead"/>
        <w:spacing w:after="0"/>
        <w:jc w:val="both"/>
        <w:rPr>
          <w:rFonts w:ascii="Arial" w:hAnsi="Arial" w:cs="Arial"/>
        </w:rPr>
      </w:pPr>
    </w:p>
    <w:p w14:paraId="2F004C31" w14:textId="0B424521" w:rsidR="00860000" w:rsidRPr="002F65AB" w:rsidRDefault="00E66E10" w:rsidP="00441B6F">
      <w:pPr>
        <w:pStyle w:val="ReferHead"/>
        <w:spacing w:after="0"/>
        <w:jc w:val="both"/>
        <w:rPr>
          <w:rFonts w:ascii="Arial" w:hAnsi="Arial" w:cs="Arial"/>
          <w:b w:val="0"/>
          <w:caps w:val="0"/>
          <w:sz w:val="20"/>
        </w:rPr>
      </w:pPr>
      <w:r w:rsidRPr="002F65AB">
        <w:rPr>
          <w:rFonts w:ascii="Arial" w:hAnsi="Arial" w:cs="Arial"/>
          <w:b w:val="0"/>
          <w:caps w:val="0"/>
          <w:sz w:val="20"/>
        </w:rPr>
        <w:t>Authors have declared that no competing interests exist.</w:t>
      </w:r>
    </w:p>
    <w:p w14:paraId="3977B3CA" w14:textId="77777777" w:rsidR="00371FB6" w:rsidRDefault="00371FB6" w:rsidP="00441B6F">
      <w:pPr>
        <w:pStyle w:val="ReferHead"/>
        <w:spacing w:after="0"/>
        <w:jc w:val="both"/>
        <w:rPr>
          <w:rFonts w:ascii="Arial" w:hAnsi="Arial" w:cs="Arial"/>
          <w:b w:val="0"/>
          <w:caps w:val="0"/>
          <w:sz w:val="20"/>
        </w:rPr>
      </w:pPr>
    </w:p>
    <w:p w14:paraId="694825E0" w14:textId="77777777" w:rsidR="002F65AB" w:rsidRDefault="002F65AB" w:rsidP="00441B6F">
      <w:pPr>
        <w:pStyle w:val="ReferHead"/>
        <w:spacing w:after="0"/>
        <w:jc w:val="both"/>
        <w:rPr>
          <w:rFonts w:ascii="Arial" w:hAnsi="Arial" w:cs="Arial"/>
          <w:b w:val="0"/>
          <w:caps w:val="0"/>
          <w:sz w:val="20"/>
        </w:rPr>
      </w:pPr>
    </w:p>
    <w:p w14:paraId="475EB0AF" w14:textId="77777777" w:rsidR="007B6B26" w:rsidRPr="007B6B26" w:rsidRDefault="007B6B26" w:rsidP="007B6B26">
      <w:pPr>
        <w:pStyle w:val="Body"/>
        <w:spacing w:after="0"/>
        <w:rPr>
          <w:rFonts w:ascii="Arial" w:hAnsi="Arial" w:cs="Arial"/>
        </w:rPr>
      </w:pPr>
    </w:p>
    <w:p w14:paraId="1E7D51EB" w14:textId="77777777" w:rsidR="00860000" w:rsidRDefault="00860000" w:rsidP="00441B6F">
      <w:pPr>
        <w:pStyle w:val="ReferHead"/>
        <w:spacing w:after="0"/>
        <w:jc w:val="both"/>
        <w:rPr>
          <w:rFonts w:ascii="Arial" w:hAnsi="Arial" w:cs="Arial"/>
        </w:rPr>
      </w:pPr>
    </w:p>
    <w:p w14:paraId="6A45C580" w14:textId="77777777" w:rsidR="007B6B26" w:rsidRDefault="00B01FCD" w:rsidP="007B6B26">
      <w:pPr>
        <w:pStyle w:val="ReferHead"/>
        <w:spacing w:after="0"/>
        <w:jc w:val="both"/>
        <w:rPr>
          <w:rFonts w:ascii="Arial" w:hAnsi="Arial" w:cs="Arial"/>
        </w:rPr>
      </w:pPr>
      <w:r w:rsidRPr="00FB3A86">
        <w:rPr>
          <w:rFonts w:ascii="Arial" w:hAnsi="Arial" w:cs="Arial"/>
        </w:rPr>
        <w:t>References</w:t>
      </w:r>
    </w:p>
    <w:p w14:paraId="74E7BD0A" w14:textId="77777777" w:rsidR="007B6B26" w:rsidRDefault="007B6B26" w:rsidP="007B6B26">
      <w:pPr>
        <w:pStyle w:val="ReferHead"/>
        <w:spacing w:after="0"/>
        <w:jc w:val="both"/>
        <w:rPr>
          <w:rFonts w:ascii="Arial" w:hAnsi="Arial" w:cs="Arial"/>
        </w:rPr>
      </w:pPr>
    </w:p>
    <w:sdt>
      <w:sdtPr>
        <w:rPr>
          <w:rFonts w:ascii="Arial" w:hAnsi="Arial" w:cs="Arial"/>
          <w:b/>
          <w:caps/>
          <w:color w:val="000000"/>
          <w:sz w:val="22"/>
        </w:rPr>
        <w:tag w:val="MENDELEY_BIBLIOGRAPHY"/>
        <w:id w:val="487986518"/>
        <w:placeholder>
          <w:docPart w:val="DefaultPlaceholder_-1854013440"/>
        </w:placeholder>
      </w:sdtPr>
      <w:sdtEndPr>
        <w:rPr>
          <w:b w:val="0"/>
          <w:bCs/>
          <w:sz w:val="20"/>
        </w:rPr>
      </w:sdtEndPr>
      <w:sdtContent>
        <w:p w14:paraId="30174940" w14:textId="77777777" w:rsidR="007B6B26" w:rsidRPr="007B6B26" w:rsidRDefault="007B6B26" w:rsidP="007B6B26">
          <w:pPr>
            <w:autoSpaceDE w:val="0"/>
            <w:autoSpaceDN w:val="0"/>
            <w:ind w:hanging="480"/>
            <w:jc w:val="both"/>
            <w:divId w:val="1786121908"/>
            <w:rPr>
              <w:rFonts w:ascii="Arial" w:hAnsi="Arial" w:cs="Arial"/>
              <w:bCs/>
              <w:color w:val="000000"/>
            </w:rPr>
          </w:pPr>
          <w:r w:rsidRPr="007B6B26">
            <w:rPr>
              <w:rFonts w:ascii="Arial" w:hAnsi="Arial" w:cs="Arial"/>
              <w:bCs/>
              <w:color w:val="000000"/>
            </w:rPr>
            <w:t xml:space="preserve">Acemoglu, D., &amp; Restrepo, P. (2019). Automation and New Tasks: How Technology Displaces and Reinstates Labor. </w:t>
          </w:r>
          <w:r w:rsidRPr="007B6B26">
            <w:rPr>
              <w:rFonts w:ascii="Arial" w:hAnsi="Arial" w:cs="Arial"/>
              <w:bCs/>
              <w:i/>
              <w:iCs/>
              <w:color w:val="000000"/>
            </w:rPr>
            <w:t>Journal of Economic Perspectives</w:t>
          </w:r>
          <w:r w:rsidRPr="007B6B26">
            <w:rPr>
              <w:rFonts w:ascii="Arial" w:hAnsi="Arial" w:cs="Arial"/>
              <w:bCs/>
              <w:color w:val="000000"/>
            </w:rPr>
            <w:t xml:space="preserve">, </w:t>
          </w:r>
          <w:r w:rsidRPr="007B6B26">
            <w:rPr>
              <w:rFonts w:ascii="Arial" w:hAnsi="Arial" w:cs="Arial"/>
              <w:bCs/>
              <w:i/>
              <w:iCs/>
              <w:color w:val="000000"/>
            </w:rPr>
            <w:t>33</w:t>
          </w:r>
          <w:r w:rsidRPr="007B6B26">
            <w:rPr>
              <w:rFonts w:ascii="Arial" w:hAnsi="Arial" w:cs="Arial"/>
              <w:bCs/>
              <w:color w:val="000000"/>
            </w:rPr>
            <w:t>(2), 3–30. https://doi.org/10.1257/jep.33.2.3</w:t>
          </w:r>
        </w:p>
        <w:p w14:paraId="0861E070" w14:textId="77777777" w:rsidR="007B6B26" w:rsidRPr="007B6B26" w:rsidRDefault="007B6B26" w:rsidP="007B6B26">
          <w:pPr>
            <w:autoSpaceDE w:val="0"/>
            <w:autoSpaceDN w:val="0"/>
            <w:ind w:hanging="480"/>
            <w:jc w:val="both"/>
            <w:divId w:val="1304117275"/>
            <w:rPr>
              <w:rFonts w:ascii="Arial" w:hAnsi="Arial" w:cs="Arial"/>
              <w:bCs/>
              <w:color w:val="000000"/>
            </w:rPr>
          </w:pPr>
          <w:r w:rsidRPr="007B6B26">
            <w:rPr>
              <w:rFonts w:ascii="Arial" w:hAnsi="Arial" w:cs="Arial"/>
              <w:bCs/>
              <w:color w:val="000000"/>
            </w:rPr>
            <w:t xml:space="preserve">Agarwala, V., &amp; Agarwala, N. (2019). A critical review of non-performing assets in the Indian banking industry. </w:t>
          </w:r>
          <w:proofErr w:type="spellStart"/>
          <w:r w:rsidRPr="007B6B26">
            <w:rPr>
              <w:rFonts w:ascii="Arial" w:hAnsi="Arial" w:cs="Arial"/>
              <w:bCs/>
              <w:i/>
              <w:iCs/>
              <w:color w:val="000000"/>
            </w:rPr>
            <w:t>Rajagiri</w:t>
          </w:r>
          <w:proofErr w:type="spellEnd"/>
          <w:r w:rsidRPr="007B6B26">
            <w:rPr>
              <w:rFonts w:ascii="Arial" w:hAnsi="Arial" w:cs="Arial"/>
              <w:bCs/>
              <w:i/>
              <w:iCs/>
              <w:color w:val="000000"/>
            </w:rPr>
            <w:t xml:space="preserve"> Management Journal</w:t>
          </w:r>
          <w:r w:rsidRPr="007B6B26">
            <w:rPr>
              <w:rFonts w:ascii="Arial" w:hAnsi="Arial" w:cs="Arial"/>
              <w:bCs/>
              <w:color w:val="000000"/>
            </w:rPr>
            <w:t xml:space="preserve">, </w:t>
          </w:r>
          <w:r w:rsidRPr="007B6B26">
            <w:rPr>
              <w:rFonts w:ascii="Arial" w:hAnsi="Arial" w:cs="Arial"/>
              <w:bCs/>
              <w:i/>
              <w:iCs/>
              <w:color w:val="000000"/>
            </w:rPr>
            <w:t>ahead-of-print</w:t>
          </w:r>
          <w:r w:rsidRPr="007B6B26">
            <w:rPr>
              <w:rFonts w:ascii="Arial" w:hAnsi="Arial" w:cs="Arial"/>
              <w:bCs/>
              <w:color w:val="000000"/>
            </w:rPr>
            <w:t>. https://doi.org/10.1108/RAMJ-08-2019-0010</w:t>
          </w:r>
        </w:p>
        <w:p w14:paraId="2DEBE767" w14:textId="77777777" w:rsidR="007B6B26" w:rsidRPr="007B6B26" w:rsidRDefault="007B6B26" w:rsidP="007B6B26">
          <w:pPr>
            <w:autoSpaceDE w:val="0"/>
            <w:autoSpaceDN w:val="0"/>
            <w:ind w:hanging="480"/>
            <w:jc w:val="both"/>
            <w:divId w:val="149635449"/>
            <w:rPr>
              <w:rFonts w:ascii="Arial" w:hAnsi="Arial" w:cs="Arial"/>
              <w:bCs/>
              <w:color w:val="000000"/>
            </w:rPr>
          </w:pPr>
          <w:r w:rsidRPr="007B6B26">
            <w:rPr>
              <w:rFonts w:ascii="Arial" w:hAnsi="Arial" w:cs="Arial"/>
              <w:bCs/>
              <w:color w:val="000000"/>
            </w:rPr>
            <w:lastRenderedPageBreak/>
            <w:t xml:space="preserve">Aich, B. R., </w:t>
          </w:r>
          <w:proofErr w:type="spellStart"/>
          <w:r w:rsidRPr="007B6B26">
            <w:rPr>
              <w:rFonts w:ascii="Arial" w:hAnsi="Arial" w:cs="Arial"/>
              <w:bCs/>
              <w:color w:val="000000"/>
            </w:rPr>
            <w:t>Tareque</w:t>
          </w:r>
          <w:proofErr w:type="spellEnd"/>
          <w:r w:rsidRPr="007B6B26">
            <w:rPr>
              <w:rFonts w:ascii="Arial" w:hAnsi="Arial" w:cs="Arial"/>
              <w:bCs/>
              <w:color w:val="000000"/>
            </w:rPr>
            <w:t xml:space="preserve">, M., Ahmed, T. T., &amp; Rahman, M. M. (2025). Unveiling the nexus of financial inclusion and political stability for capital market participation in South Asian regions. </w:t>
          </w:r>
          <w:r w:rsidRPr="007B6B26">
            <w:rPr>
              <w:rFonts w:ascii="Arial" w:hAnsi="Arial" w:cs="Arial"/>
              <w:bCs/>
              <w:i/>
              <w:iCs/>
              <w:color w:val="000000"/>
            </w:rPr>
            <w:t>Borsa Istanbul Review</w:t>
          </w:r>
          <w:r w:rsidRPr="007B6B26">
            <w:rPr>
              <w:rFonts w:ascii="Arial" w:hAnsi="Arial" w:cs="Arial"/>
              <w:bCs/>
              <w:color w:val="000000"/>
            </w:rPr>
            <w:t xml:space="preserve">, </w:t>
          </w:r>
          <w:r w:rsidRPr="007B6B26">
            <w:rPr>
              <w:rFonts w:ascii="Arial" w:hAnsi="Arial" w:cs="Arial"/>
              <w:bCs/>
              <w:i/>
              <w:iCs/>
              <w:color w:val="000000"/>
            </w:rPr>
            <w:t>25</w:t>
          </w:r>
          <w:r w:rsidRPr="007B6B26">
            <w:rPr>
              <w:rFonts w:ascii="Arial" w:hAnsi="Arial" w:cs="Arial"/>
              <w:bCs/>
              <w:color w:val="000000"/>
            </w:rPr>
            <w:t>(6), 1101–1115. https://doi.org/https://doi.org/10.1016/j.bir.2025.06.008</w:t>
          </w:r>
        </w:p>
        <w:p w14:paraId="4E193588" w14:textId="77777777" w:rsidR="007B6B26" w:rsidRPr="007B6B26" w:rsidRDefault="007B6B26" w:rsidP="007B6B26">
          <w:pPr>
            <w:autoSpaceDE w:val="0"/>
            <w:autoSpaceDN w:val="0"/>
            <w:ind w:hanging="480"/>
            <w:jc w:val="both"/>
            <w:divId w:val="1962757545"/>
            <w:rPr>
              <w:rFonts w:ascii="Arial" w:hAnsi="Arial" w:cs="Arial"/>
              <w:bCs/>
              <w:color w:val="000000"/>
            </w:rPr>
          </w:pPr>
          <w:proofErr w:type="spellStart"/>
          <w:r w:rsidRPr="007B6B26">
            <w:rPr>
              <w:rFonts w:ascii="Arial" w:hAnsi="Arial" w:cs="Arial"/>
              <w:bCs/>
              <w:color w:val="000000"/>
            </w:rPr>
            <w:t>Arhinful</w:t>
          </w:r>
          <w:proofErr w:type="spellEnd"/>
          <w:r w:rsidRPr="007B6B26">
            <w:rPr>
              <w:rFonts w:ascii="Arial" w:hAnsi="Arial" w:cs="Arial"/>
              <w:bCs/>
              <w:color w:val="000000"/>
            </w:rPr>
            <w:t xml:space="preserve">, R., Mensah, L., Gyamfi, B. A., &amp; Obeng, H. A. (2025). The Impact of Non-Performing Loans on Bank Growth: The Moderating Roles of Bank Size and Capital Adequacy Ratio—Evidence from U.S. Banks. </w:t>
          </w:r>
          <w:r w:rsidRPr="007B6B26">
            <w:rPr>
              <w:rFonts w:ascii="Arial" w:hAnsi="Arial" w:cs="Arial"/>
              <w:bCs/>
              <w:i/>
              <w:iCs/>
              <w:color w:val="000000"/>
            </w:rPr>
            <w:t>International Journal of Financial Studies</w:t>
          </w:r>
          <w:r w:rsidRPr="007B6B26">
            <w:rPr>
              <w:rFonts w:ascii="Arial" w:hAnsi="Arial" w:cs="Arial"/>
              <w:bCs/>
              <w:color w:val="000000"/>
            </w:rPr>
            <w:t xml:space="preserve">, </w:t>
          </w:r>
          <w:r w:rsidRPr="007B6B26">
            <w:rPr>
              <w:rFonts w:ascii="Arial" w:hAnsi="Arial" w:cs="Arial"/>
              <w:bCs/>
              <w:i/>
              <w:iCs/>
              <w:color w:val="000000"/>
            </w:rPr>
            <w:t>13</w:t>
          </w:r>
          <w:r w:rsidRPr="007B6B26">
            <w:rPr>
              <w:rFonts w:ascii="Arial" w:hAnsi="Arial" w:cs="Arial"/>
              <w:bCs/>
              <w:color w:val="000000"/>
            </w:rPr>
            <w:t>(3). https://doi.org/10.3390/ijfs13030165</w:t>
          </w:r>
        </w:p>
        <w:p w14:paraId="38277773" w14:textId="77777777" w:rsidR="007B6B26" w:rsidRPr="007B6B26" w:rsidRDefault="007B6B26" w:rsidP="007B6B26">
          <w:pPr>
            <w:autoSpaceDE w:val="0"/>
            <w:autoSpaceDN w:val="0"/>
            <w:ind w:hanging="480"/>
            <w:jc w:val="both"/>
            <w:divId w:val="122891224"/>
            <w:rPr>
              <w:rFonts w:ascii="Arial" w:hAnsi="Arial" w:cs="Arial"/>
              <w:bCs/>
              <w:color w:val="000000"/>
            </w:rPr>
          </w:pPr>
          <w:proofErr w:type="spellStart"/>
          <w:r w:rsidRPr="007B6B26">
            <w:rPr>
              <w:rFonts w:ascii="Arial" w:hAnsi="Arial" w:cs="Arial"/>
              <w:bCs/>
              <w:color w:val="000000"/>
            </w:rPr>
            <w:t>Baltagi</w:t>
          </w:r>
          <w:proofErr w:type="spellEnd"/>
          <w:r w:rsidRPr="007B6B26">
            <w:rPr>
              <w:rFonts w:ascii="Arial" w:hAnsi="Arial" w:cs="Arial"/>
              <w:bCs/>
              <w:color w:val="000000"/>
            </w:rPr>
            <w:t xml:space="preserve">, B. (2021). </w:t>
          </w:r>
          <w:r w:rsidRPr="007B6B26">
            <w:rPr>
              <w:rFonts w:ascii="Arial" w:hAnsi="Arial" w:cs="Arial"/>
              <w:bCs/>
              <w:i/>
              <w:iCs/>
              <w:color w:val="000000"/>
            </w:rPr>
            <w:t>Econometric Analysis of Panel Data</w:t>
          </w:r>
          <w:r w:rsidRPr="007B6B26">
            <w:rPr>
              <w:rFonts w:ascii="Arial" w:hAnsi="Arial" w:cs="Arial"/>
              <w:bCs/>
              <w:color w:val="000000"/>
            </w:rPr>
            <w:t>. https://doi.org/10.1007/978-3-030-53953-5</w:t>
          </w:r>
        </w:p>
        <w:p w14:paraId="5D1E56D5" w14:textId="77777777" w:rsidR="007B6B26" w:rsidRPr="007B6B26" w:rsidRDefault="007B6B26" w:rsidP="007B6B26">
          <w:pPr>
            <w:autoSpaceDE w:val="0"/>
            <w:autoSpaceDN w:val="0"/>
            <w:ind w:hanging="480"/>
            <w:jc w:val="both"/>
            <w:divId w:val="1365715816"/>
            <w:rPr>
              <w:rFonts w:ascii="Arial" w:hAnsi="Arial" w:cs="Arial"/>
              <w:bCs/>
              <w:color w:val="000000"/>
            </w:rPr>
          </w:pPr>
          <w:r w:rsidRPr="007B6B26">
            <w:rPr>
              <w:rFonts w:ascii="Arial" w:hAnsi="Arial" w:cs="Arial"/>
              <w:bCs/>
              <w:color w:val="000000"/>
            </w:rPr>
            <w:t xml:space="preserve">Barakat, H., Elwahab, S., Yassin, N., Ibrahim, S., Ismail, M., &amp; Eldin, N. (2024). Asset quality and banks performance: A panel data analysis of commercial banks. </w:t>
          </w:r>
          <w:r w:rsidRPr="007B6B26">
            <w:rPr>
              <w:rFonts w:ascii="Arial" w:hAnsi="Arial" w:cs="Arial"/>
              <w:bCs/>
              <w:i/>
              <w:iCs/>
              <w:color w:val="000000"/>
            </w:rPr>
            <w:t>Risk Governance and Control: Financial Markets &amp; Institutions</w:t>
          </w:r>
          <w:r w:rsidRPr="007B6B26">
            <w:rPr>
              <w:rFonts w:ascii="Arial" w:hAnsi="Arial" w:cs="Arial"/>
              <w:bCs/>
              <w:color w:val="000000"/>
            </w:rPr>
            <w:t xml:space="preserve">, </w:t>
          </w:r>
          <w:r w:rsidRPr="007B6B26">
            <w:rPr>
              <w:rFonts w:ascii="Arial" w:hAnsi="Arial" w:cs="Arial"/>
              <w:bCs/>
              <w:i/>
              <w:iCs/>
              <w:color w:val="000000"/>
            </w:rPr>
            <w:t>14</w:t>
          </w:r>
          <w:r w:rsidRPr="007B6B26">
            <w:rPr>
              <w:rFonts w:ascii="Arial" w:hAnsi="Arial" w:cs="Arial"/>
              <w:bCs/>
              <w:color w:val="000000"/>
            </w:rPr>
            <w:t>, 111–121. https://doi.org/10.22495/rgcv14i3p11</w:t>
          </w:r>
        </w:p>
        <w:p w14:paraId="6FF62455" w14:textId="77777777" w:rsidR="007B6B26" w:rsidRPr="007B6B26" w:rsidRDefault="007B6B26" w:rsidP="007B6B26">
          <w:pPr>
            <w:autoSpaceDE w:val="0"/>
            <w:autoSpaceDN w:val="0"/>
            <w:ind w:hanging="480"/>
            <w:jc w:val="both"/>
            <w:divId w:val="1950888068"/>
            <w:rPr>
              <w:rFonts w:ascii="Arial" w:hAnsi="Arial" w:cs="Arial"/>
              <w:bCs/>
              <w:color w:val="000000"/>
            </w:rPr>
          </w:pPr>
          <w:r w:rsidRPr="007B6B26">
            <w:rPr>
              <w:rFonts w:ascii="Arial" w:hAnsi="Arial" w:cs="Arial"/>
              <w:bCs/>
              <w:color w:val="000000"/>
            </w:rPr>
            <w:t xml:space="preserve">Bawa, J. K., Goyal, V., Mitra, S. K., &amp; Basu, S. (2019). An analysis of NPAs of Indian banks: Using a comprehensive framework of 31 financial ratios. </w:t>
          </w:r>
          <w:r w:rsidRPr="007B6B26">
            <w:rPr>
              <w:rFonts w:ascii="Arial" w:hAnsi="Arial" w:cs="Arial"/>
              <w:bCs/>
              <w:i/>
              <w:iCs/>
              <w:color w:val="000000"/>
            </w:rPr>
            <w:t>IIMB Management Review</w:t>
          </w:r>
          <w:r w:rsidRPr="007B6B26">
            <w:rPr>
              <w:rFonts w:ascii="Arial" w:hAnsi="Arial" w:cs="Arial"/>
              <w:bCs/>
              <w:color w:val="000000"/>
            </w:rPr>
            <w:t xml:space="preserve">, </w:t>
          </w:r>
          <w:r w:rsidRPr="007B6B26">
            <w:rPr>
              <w:rFonts w:ascii="Arial" w:hAnsi="Arial" w:cs="Arial"/>
              <w:bCs/>
              <w:i/>
              <w:iCs/>
              <w:color w:val="000000"/>
            </w:rPr>
            <w:t>31</w:t>
          </w:r>
          <w:r w:rsidRPr="007B6B26">
            <w:rPr>
              <w:rFonts w:ascii="Arial" w:hAnsi="Arial" w:cs="Arial"/>
              <w:bCs/>
              <w:color w:val="000000"/>
            </w:rPr>
            <w:t>(1), 51–62. https://doi.org/https://doi.org/10.1016/j.iimb.2018.08.004</w:t>
          </w:r>
        </w:p>
        <w:p w14:paraId="50DCD3DA" w14:textId="77777777" w:rsidR="007B6B26" w:rsidRPr="007B6B26" w:rsidRDefault="007B6B26" w:rsidP="007B6B26">
          <w:pPr>
            <w:autoSpaceDE w:val="0"/>
            <w:autoSpaceDN w:val="0"/>
            <w:ind w:hanging="480"/>
            <w:jc w:val="both"/>
            <w:divId w:val="1111314576"/>
            <w:rPr>
              <w:rFonts w:ascii="Arial" w:hAnsi="Arial" w:cs="Arial"/>
              <w:bCs/>
              <w:color w:val="000000"/>
            </w:rPr>
          </w:pPr>
          <w:r w:rsidRPr="007B6B26">
            <w:rPr>
              <w:rFonts w:ascii="Arial" w:hAnsi="Arial" w:cs="Arial"/>
              <w:bCs/>
              <w:color w:val="000000"/>
            </w:rPr>
            <w:t xml:space="preserve">Bhalerao, N., Singh, A., Yadav, S., Professor, A., Lalji Dayal, L., &amp; Road, C. (2022). Analysis of the Growth of Non-Performing Assets (NPAs) and Factors Influencing the Restructuring of Indian Financial Institutions. </w:t>
          </w:r>
          <w:r w:rsidRPr="007B6B26">
            <w:rPr>
              <w:rFonts w:ascii="Arial" w:hAnsi="Arial" w:cs="Arial"/>
              <w:bCs/>
              <w:i/>
              <w:iCs/>
              <w:color w:val="000000"/>
            </w:rPr>
            <w:t>International Journal of Advanced Research in Science, Communication and Technology (IJARSCT) International Open-Access, Double-Blind, Peer-Reviewed, Refereed, Multidisciplinary Online Journal</w:t>
          </w:r>
          <w:r w:rsidRPr="007B6B26">
            <w:rPr>
              <w:rFonts w:ascii="Arial" w:hAnsi="Arial" w:cs="Arial"/>
              <w:bCs/>
              <w:color w:val="000000"/>
            </w:rPr>
            <w:t xml:space="preserve">, </w:t>
          </w:r>
          <w:r w:rsidRPr="007B6B26">
            <w:rPr>
              <w:rFonts w:ascii="Arial" w:hAnsi="Arial" w:cs="Arial"/>
              <w:bCs/>
              <w:i/>
              <w:iCs/>
              <w:color w:val="000000"/>
            </w:rPr>
            <w:t>2</w:t>
          </w:r>
          <w:r w:rsidRPr="007B6B26">
            <w:rPr>
              <w:rFonts w:ascii="Arial" w:hAnsi="Arial" w:cs="Arial"/>
              <w:bCs/>
              <w:color w:val="000000"/>
            </w:rPr>
            <w:t>(1). www.ijarsct.co.in</w:t>
          </w:r>
        </w:p>
        <w:p w14:paraId="42B83F84" w14:textId="77777777" w:rsidR="007B6B26" w:rsidRPr="007B6B26" w:rsidRDefault="007B6B26" w:rsidP="007B6B26">
          <w:pPr>
            <w:autoSpaceDE w:val="0"/>
            <w:autoSpaceDN w:val="0"/>
            <w:ind w:hanging="480"/>
            <w:jc w:val="both"/>
            <w:divId w:val="248582221"/>
            <w:rPr>
              <w:rFonts w:ascii="Arial" w:hAnsi="Arial" w:cs="Arial"/>
              <w:bCs/>
              <w:color w:val="000000"/>
            </w:rPr>
          </w:pPr>
          <w:r w:rsidRPr="009861F9">
            <w:rPr>
              <w:rFonts w:ascii="Arial" w:hAnsi="Arial" w:cs="Arial"/>
              <w:bCs/>
              <w:color w:val="000000"/>
              <w:lang w:val="pl-PL"/>
            </w:rPr>
            <w:t xml:space="preserve">Boudriga, A., Boulila Taktak, N., &amp; Jellouli, S. (2010). </w:t>
          </w:r>
          <w:r w:rsidRPr="007B6B26">
            <w:rPr>
              <w:rFonts w:ascii="Arial" w:hAnsi="Arial" w:cs="Arial"/>
              <w:bCs/>
              <w:i/>
              <w:iCs/>
              <w:color w:val="000000"/>
            </w:rPr>
            <w:t>BANK SPECIFIC, BUSINESS AND INSTITUTIONAL ENVIRONMENT DETERMINANTS OF BANKS NONPERFORMING LOANS: EVIDENCE FROM MENA COUNTRIES</w:t>
          </w:r>
          <w:r w:rsidRPr="007B6B26">
            <w:rPr>
              <w:rFonts w:ascii="Arial" w:hAnsi="Arial" w:cs="Arial"/>
              <w:bCs/>
              <w:color w:val="000000"/>
            </w:rPr>
            <w:t>. www.erf.org.eg</w:t>
          </w:r>
        </w:p>
        <w:p w14:paraId="31698551" w14:textId="77777777" w:rsidR="007B6B26" w:rsidRPr="007B6B26" w:rsidRDefault="007B6B26" w:rsidP="007B6B26">
          <w:pPr>
            <w:autoSpaceDE w:val="0"/>
            <w:autoSpaceDN w:val="0"/>
            <w:ind w:hanging="480"/>
            <w:jc w:val="both"/>
            <w:divId w:val="1741899723"/>
            <w:rPr>
              <w:rFonts w:ascii="Arial" w:hAnsi="Arial" w:cs="Arial"/>
              <w:bCs/>
              <w:color w:val="000000"/>
            </w:rPr>
          </w:pPr>
          <w:proofErr w:type="spellStart"/>
          <w:r w:rsidRPr="007B6B26">
            <w:rPr>
              <w:rFonts w:ascii="Arial" w:hAnsi="Arial" w:cs="Arial"/>
              <w:bCs/>
              <w:color w:val="000000"/>
            </w:rPr>
            <w:t>Breiman</w:t>
          </w:r>
          <w:proofErr w:type="spellEnd"/>
          <w:r w:rsidRPr="007B6B26">
            <w:rPr>
              <w:rFonts w:ascii="Arial" w:hAnsi="Arial" w:cs="Arial"/>
              <w:bCs/>
              <w:color w:val="000000"/>
            </w:rPr>
            <w:t xml:space="preserve">, L. (2001a). Random Forests. </w:t>
          </w:r>
          <w:r w:rsidRPr="007B6B26">
            <w:rPr>
              <w:rFonts w:ascii="Arial" w:hAnsi="Arial" w:cs="Arial"/>
              <w:bCs/>
              <w:i/>
              <w:iCs/>
              <w:color w:val="000000"/>
            </w:rPr>
            <w:t>Machine Learning</w:t>
          </w:r>
          <w:r w:rsidRPr="007B6B26">
            <w:rPr>
              <w:rFonts w:ascii="Arial" w:hAnsi="Arial" w:cs="Arial"/>
              <w:bCs/>
              <w:color w:val="000000"/>
            </w:rPr>
            <w:t xml:space="preserve">, </w:t>
          </w:r>
          <w:r w:rsidRPr="007B6B26">
            <w:rPr>
              <w:rFonts w:ascii="Arial" w:hAnsi="Arial" w:cs="Arial"/>
              <w:bCs/>
              <w:i/>
              <w:iCs/>
              <w:color w:val="000000"/>
            </w:rPr>
            <w:t>45</w:t>
          </w:r>
          <w:r w:rsidRPr="007B6B26">
            <w:rPr>
              <w:rFonts w:ascii="Arial" w:hAnsi="Arial" w:cs="Arial"/>
              <w:bCs/>
              <w:color w:val="000000"/>
            </w:rPr>
            <w:t>(1), 5–32. https://doi.org/10.1023/A:1010933404324</w:t>
          </w:r>
        </w:p>
        <w:p w14:paraId="382C5083" w14:textId="77777777" w:rsidR="007B6B26" w:rsidRPr="007B6B26" w:rsidRDefault="007B6B26" w:rsidP="007B6B26">
          <w:pPr>
            <w:autoSpaceDE w:val="0"/>
            <w:autoSpaceDN w:val="0"/>
            <w:ind w:hanging="480"/>
            <w:jc w:val="both"/>
            <w:divId w:val="1432701589"/>
            <w:rPr>
              <w:rFonts w:ascii="Arial" w:hAnsi="Arial" w:cs="Arial"/>
              <w:bCs/>
              <w:color w:val="000000"/>
            </w:rPr>
          </w:pPr>
          <w:proofErr w:type="spellStart"/>
          <w:r w:rsidRPr="007B6B26">
            <w:rPr>
              <w:rFonts w:ascii="Arial" w:hAnsi="Arial" w:cs="Arial"/>
              <w:bCs/>
              <w:color w:val="000000"/>
            </w:rPr>
            <w:t>Breiman</w:t>
          </w:r>
          <w:proofErr w:type="spellEnd"/>
          <w:r w:rsidRPr="007B6B26">
            <w:rPr>
              <w:rFonts w:ascii="Arial" w:hAnsi="Arial" w:cs="Arial"/>
              <w:bCs/>
              <w:color w:val="000000"/>
            </w:rPr>
            <w:t xml:space="preserve">, L. (2001b). Random Forests. </w:t>
          </w:r>
          <w:r w:rsidRPr="007B6B26">
            <w:rPr>
              <w:rFonts w:ascii="Arial" w:hAnsi="Arial" w:cs="Arial"/>
              <w:bCs/>
              <w:i/>
              <w:iCs/>
              <w:color w:val="000000"/>
            </w:rPr>
            <w:t>Machine Learning</w:t>
          </w:r>
          <w:r w:rsidRPr="007B6B26">
            <w:rPr>
              <w:rFonts w:ascii="Arial" w:hAnsi="Arial" w:cs="Arial"/>
              <w:bCs/>
              <w:color w:val="000000"/>
            </w:rPr>
            <w:t xml:space="preserve">, </w:t>
          </w:r>
          <w:r w:rsidRPr="007B6B26">
            <w:rPr>
              <w:rFonts w:ascii="Arial" w:hAnsi="Arial" w:cs="Arial"/>
              <w:bCs/>
              <w:i/>
              <w:iCs/>
              <w:color w:val="000000"/>
            </w:rPr>
            <w:t>45</w:t>
          </w:r>
          <w:r w:rsidRPr="007B6B26">
            <w:rPr>
              <w:rFonts w:ascii="Arial" w:hAnsi="Arial" w:cs="Arial"/>
              <w:bCs/>
              <w:color w:val="000000"/>
            </w:rPr>
            <w:t>(1), 5–32. https://doi.org/10.1023/A:1010933404324</w:t>
          </w:r>
        </w:p>
        <w:p w14:paraId="1719947F" w14:textId="77777777" w:rsidR="007B6B26" w:rsidRPr="007B6B26" w:rsidRDefault="007B6B26" w:rsidP="007B6B26">
          <w:pPr>
            <w:autoSpaceDE w:val="0"/>
            <w:autoSpaceDN w:val="0"/>
            <w:ind w:hanging="480"/>
            <w:jc w:val="both"/>
            <w:divId w:val="1146123584"/>
            <w:rPr>
              <w:rFonts w:ascii="Arial" w:hAnsi="Arial" w:cs="Arial"/>
              <w:bCs/>
              <w:color w:val="000000"/>
            </w:rPr>
          </w:pPr>
          <w:r w:rsidRPr="007B6B26">
            <w:rPr>
              <w:rFonts w:ascii="Arial" w:hAnsi="Arial" w:cs="Arial"/>
              <w:bCs/>
              <w:color w:val="000000"/>
            </w:rPr>
            <w:t xml:space="preserve">Breusch, T. S., &amp; Pagan, A. R. (1979). A Simple Test for Heteroscedasticity and Random Coefficient Variation. </w:t>
          </w:r>
          <w:proofErr w:type="spellStart"/>
          <w:r w:rsidRPr="007B6B26">
            <w:rPr>
              <w:rFonts w:ascii="Arial" w:hAnsi="Arial" w:cs="Arial"/>
              <w:bCs/>
              <w:i/>
              <w:iCs/>
              <w:color w:val="000000"/>
            </w:rPr>
            <w:t>Econometrica</w:t>
          </w:r>
          <w:proofErr w:type="spellEnd"/>
          <w:r w:rsidRPr="007B6B26">
            <w:rPr>
              <w:rFonts w:ascii="Arial" w:hAnsi="Arial" w:cs="Arial"/>
              <w:bCs/>
              <w:color w:val="000000"/>
            </w:rPr>
            <w:t xml:space="preserve">, </w:t>
          </w:r>
          <w:r w:rsidRPr="007B6B26">
            <w:rPr>
              <w:rFonts w:ascii="Arial" w:hAnsi="Arial" w:cs="Arial"/>
              <w:bCs/>
              <w:i/>
              <w:iCs/>
              <w:color w:val="000000"/>
            </w:rPr>
            <w:t>47</w:t>
          </w:r>
          <w:r w:rsidRPr="007B6B26">
            <w:rPr>
              <w:rFonts w:ascii="Arial" w:hAnsi="Arial" w:cs="Arial"/>
              <w:bCs/>
              <w:color w:val="000000"/>
            </w:rPr>
            <w:t>(5), 1287–1294. http://www.jstor.org/stable/1911963</w:t>
          </w:r>
        </w:p>
        <w:p w14:paraId="4B629CFC" w14:textId="77777777" w:rsidR="007B6B26" w:rsidRPr="007B6B26" w:rsidRDefault="007B6B26" w:rsidP="007B6B26">
          <w:pPr>
            <w:autoSpaceDE w:val="0"/>
            <w:autoSpaceDN w:val="0"/>
            <w:ind w:hanging="480"/>
            <w:jc w:val="both"/>
            <w:divId w:val="151607861"/>
            <w:rPr>
              <w:rFonts w:ascii="Arial" w:hAnsi="Arial" w:cs="Arial"/>
              <w:bCs/>
              <w:color w:val="000000"/>
            </w:rPr>
          </w:pPr>
          <w:r w:rsidRPr="007B6B26">
            <w:rPr>
              <w:rFonts w:ascii="Arial" w:hAnsi="Arial" w:cs="Arial"/>
              <w:bCs/>
              <w:color w:val="000000"/>
            </w:rPr>
            <w:t xml:space="preserve">Chaudhary, A. (2021). Utilizing Ensemble Learning Models to Forecast Loan Default Risk. </w:t>
          </w:r>
          <w:r w:rsidRPr="007B6B26">
            <w:rPr>
              <w:rFonts w:ascii="Arial" w:hAnsi="Arial" w:cs="Arial"/>
              <w:bCs/>
              <w:i/>
              <w:iCs/>
              <w:color w:val="000000"/>
            </w:rPr>
            <w:t>SSRN Electronic Journal</w:t>
          </w:r>
          <w:r w:rsidRPr="007B6B26">
            <w:rPr>
              <w:rFonts w:ascii="Arial" w:hAnsi="Arial" w:cs="Arial"/>
              <w:bCs/>
              <w:color w:val="000000"/>
            </w:rPr>
            <w:t xml:space="preserve">, </w:t>
          </w:r>
          <w:r w:rsidRPr="007B6B26">
            <w:rPr>
              <w:rFonts w:ascii="Arial" w:hAnsi="Arial" w:cs="Arial"/>
              <w:bCs/>
              <w:i/>
              <w:iCs/>
              <w:color w:val="000000"/>
            </w:rPr>
            <w:t>6</w:t>
          </w:r>
          <w:r w:rsidRPr="007B6B26">
            <w:rPr>
              <w:rFonts w:ascii="Arial" w:hAnsi="Arial" w:cs="Arial"/>
              <w:bCs/>
              <w:color w:val="000000"/>
            </w:rPr>
            <w:t>, 116–122. https://doi.org/10.2139/ssrn.5347553</w:t>
          </w:r>
        </w:p>
        <w:p w14:paraId="212D4903" w14:textId="77777777" w:rsidR="007B6B26" w:rsidRPr="007B6B26" w:rsidRDefault="007B6B26" w:rsidP="007B6B26">
          <w:pPr>
            <w:autoSpaceDE w:val="0"/>
            <w:autoSpaceDN w:val="0"/>
            <w:ind w:hanging="480"/>
            <w:jc w:val="both"/>
            <w:divId w:val="914433861"/>
            <w:rPr>
              <w:rFonts w:ascii="Arial" w:hAnsi="Arial" w:cs="Arial"/>
              <w:bCs/>
              <w:color w:val="000000"/>
            </w:rPr>
          </w:pPr>
          <w:r w:rsidRPr="007B6B26">
            <w:rPr>
              <w:rFonts w:ascii="Arial" w:hAnsi="Arial" w:cs="Arial"/>
              <w:bCs/>
              <w:color w:val="000000"/>
            </w:rPr>
            <w:t xml:space="preserve">Chen, T., &amp; </w:t>
          </w:r>
          <w:proofErr w:type="spellStart"/>
          <w:r w:rsidRPr="007B6B26">
            <w:rPr>
              <w:rFonts w:ascii="Arial" w:hAnsi="Arial" w:cs="Arial"/>
              <w:bCs/>
              <w:color w:val="000000"/>
            </w:rPr>
            <w:t>Guestrin</w:t>
          </w:r>
          <w:proofErr w:type="spellEnd"/>
          <w:r w:rsidRPr="007B6B26">
            <w:rPr>
              <w:rFonts w:ascii="Arial" w:hAnsi="Arial" w:cs="Arial"/>
              <w:bCs/>
              <w:color w:val="000000"/>
            </w:rPr>
            <w:t xml:space="preserve">, C. (2016). </w:t>
          </w:r>
          <w:proofErr w:type="spellStart"/>
          <w:r w:rsidRPr="007B6B26">
            <w:rPr>
              <w:rFonts w:ascii="Arial" w:hAnsi="Arial" w:cs="Arial"/>
              <w:bCs/>
              <w:i/>
              <w:iCs/>
              <w:color w:val="000000"/>
            </w:rPr>
            <w:t>XGBoost</w:t>
          </w:r>
          <w:proofErr w:type="spellEnd"/>
          <w:r w:rsidRPr="007B6B26">
            <w:rPr>
              <w:rFonts w:ascii="Arial" w:hAnsi="Arial" w:cs="Arial"/>
              <w:bCs/>
              <w:i/>
              <w:iCs/>
              <w:color w:val="000000"/>
            </w:rPr>
            <w:t>: A Scalable Tree Boosting System</w:t>
          </w:r>
          <w:r w:rsidRPr="007B6B26">
            <w:rPr>
              <w:rFonts w:ascii="Arial" w:hAnsi="Arial" w:cs="Arial"/>
              <w:bCs/>
              <w:color w:val="000000"/>
            </w:rPr>
            <w:t>. 785–794. https://doi.org/10.1145/2939672.2939785</w:t>
          </w:r>
        </w:p>
        <w:p w14:paraId="6156CD48" w14:textId="77777777" w:rsidR="007B6B26" w:rsidRPr="007B6B26" w:rsidRDefault="007B6B26" w:rsidP="007B6B26">
          <w:pPr>
            <w:autoSpaceDE w:val="0"/>
            <w:autoSpaceDN w:val="0"/>
            <w:ind w:hanging="480"/>
            <w:jc w:val="both"/>
            <w:divId w:val="787159558"/>
            <w:rPr>
              <w:rFonts w:ascii="Arial" w:hAnsi="Arial" w:cs="Arial"/>
              <w:bCs/>
              <w:color w:val="000000"/>
            </w:rPr>
          </w:pPr>
          <w:r w:rsidRPr="007B6B26">
            <w:rPr>
              <w:rFonts w:ascii="Arial" w:hAnsi="Arial" w:cs="Arial"/>
              <w:bCs/>
              <w:color w:val="000000"/>
            </w:rPr>
            <w:t xml:space="preserve">Das, S. K. (2025). Drivers of NPAs in Indian Banks: An Empirical Analysis of Bank-specific Determinants. </w:t>
          </w:r>
          <w:r w:rsidRPr="007B6B26">
            <w:rPr>
              <w:rFonts w:ascii="Arial" w:hAnsi="Arial" w:cs="Arial"/>
              <w:bCs/>
              <w:i/>
              <w:iCs/>
              <w:color w:val="000000"/>
            </w:rPr>
            <w:t>International Journal of Empirical Economics</w:t>
          </w:r>
          <w:r w:rsidRPr="007B6B26">
            <w:rPr>
              <w:rFonts w:ascii="Arial" w:hAnsi="Arial" w:cs="Arial"/>
              <w:bCs/>
              <w:color w:val="000000"/>
            </w:rPr>
            <w:t xml:space="preserve">, </w:t>
          </w:r>
          <w:r w:rsidRPr="007B6B26">
            <w:rPr>
              <w:rFonts w:ascii="Arial" w:hAnsi="Arial" w:cs="Arial"/>
              <w:bCs/>
              <w:i/>
              <w:iCs/>
              <w:color w:val="000000"/>
            </w:rPr>
            <w:t>04</w:t>
          </w:r>
          <w:r w:rsidRPr="007B6B26">
            <w:rPr>
              <w:rFonts w:ascii="Arial" w:hAnsi="Arial" w:cs="Arial"/>
              <w:bCs/>
              <w:color w:val="000000"/>
            </w:rPr>
            <w:t>(03), 2550007. https://doi.org/10.1142/S2810943025500076</w:t>
          </w:r>
        </w:p>
        <w:p w14:paraId="5A0E3126" w14:textId="77777777" w:rsidR="007B6B26" w:rsidRPr="007B6B26" w:rsidRDefault="007B6B26" w:rsidP="007B6B26">
          <w:pPr>
            <w:autoSpaceDE w:val="0"/>
            <w:autoSpaceDN w:val="0"/>
            <w:ind w:hanging="480"/>
            <w:jc w:val="both"/>
            <w:divId w:val="1987084050"/>
            <w:rPr>
              <w:rFonts w:ascii="Arial" w:hAnsi="Arial" w:cs="Arial"/>
              <w:bCs/>
              <w:color w:val="000000"/>
            </w:rPr>
          </w:pPr>
          <w:r w:rsidRPr="007B6B26">
            <w:rPr>
              <w:rFonts w:ascii="Arial" w:hAnsi="Arial" w:cs="Arial"/>
              <w:bCs/>
              <w:color w:val="000000"/>
            </w:rPr>
            <w:t xml:space="preserve">Dash, M., &amp; Kabra, G. (2010). The Determinants of Non-Performing Assets in Indian Commercial Bank: An Econometric Study. </w:t>
          </w:r>
          <w:r w:rsidRPr="007B6B26">
            <w:rPr>
              <w:rFonts w:ascii="Arial" w:hAnsi="Arial" w:cs="Arial"/>
              <w:bCs/>
              <w:i/>
              <w:iCs/>
              <w:color w:val="000000"/>
            </w:rPr>
            <w:t>Middle Eastern Finance and Economics</w:t>
          </w:r>
          <w:r w:rsidRPr="007B6B26">
            <w:rPr>
              <w:rFonts w:ascii="Arial" w:hAnsi="Arial" w:cs="Arial"/>
              <w:bCs/>
              <w:color w:val="000000"/>
            </w:rPr>
            <w:t xml:space="preserve">, </w:t>
          </w:r>
          <w:r w:rsidRPr="007B6B26">
            <w:rPr>
              <w:rFonts w:ascii="Arial" w:hAnsi="Arial" w:cs="Arial"/>
              <w:bCs/>
              <w:i/>
              <w:iCs/>
              <w:color w:val="000000"/>
            </w:rPr>
            <w:t>7</w:t>
          </w:r>
          <w:r w:rsidRPr="007B6B26">
            <w:rPr>
              <w:rFonts w:ascii="Arial" w:hAnsi="Arial" w:cs="Arial"/>
              <w:bCs/>
              <w:color w:val="000000"/>
            </w:rPr>
            <w:t>, 94–106.</w:t>
          </w:r>
        </w:p>
        <w:p w14:paraId="6D807184" w14:textId="77777777" w:rsidR="007B6B26" w:rsidRPr="007B6B26" w:rsidRDefault="007B6B26" w:rsidP="007B6B26">
          <w:pPr>
            <w:autoSpaceDE w:val="0"/>
            <w:autoSpaceDN w:val="0"/>
            <w:ind w:hanging="480"/>
            <w:jc w:val="both"/>
            <w:divId w:val="105151679"/>
            <w:rPr>
              <w:rFonts w:ascii="Arial" w:hAnsi="Arial" w:cs="Arial"/>
              <w:bCs/>
              <w:color w:val="000000"/>
            </w:rPr>
          </w:pPr>
          <w:r w:rsidRPr="007B6B26">
            <w:rPr>
              <w:rFonts w:ascii="Arial" w:hAnsi="Arial" w:cs="Arial"/>
              <w:bCs/>
              <w:color w:val="000000"/>
            </w:rPr>
            <w:t xml:space="preserve">David, D., Wang, J., &amp; Angel, V. (2024). Machine learning algorithms for financial risk prediction: A performance comparison. </w:t>
          </w:r>
          <w:r w:rsidRPr="007B6B26">
            <w:rPr>
              <w:rFonts w:ascii="Arial" w:hAnsi="Arial" w:cs="Arial"/>
              <w:bCs/>
              <w:i/>
              <w:iCs/>
              <w:color w:val="000000"/>
            </w:rPr>
            <w:t>International Journal of Accounting Research</w:t>
          </w:r>
          <w:r w:rsidRPr="007B6B26">
            <w:rPr>
              <w:rFonts w:ascii="Arial" w:hAnsi="Arial" w:cs="Arial"/>
              <w:bCs/>
              <w:color w:val="000000"/>
            </w:rPr>
            <w:t xml:space="preserve">, </w:t>
          </w:r>
          <w:r w:rsidRPr="007B6B26">
            <w:rPr>
              <w:rFonts w:ascii="Arial" w:hAnsi="Arial" w:cs="Arial"/>
              <w:bCs/>
              <w:i/>
              <w:iCs/>
              <w:color w:val="000000"/>
            </w:rPr>
            <w:t>9</w:t>
          </w:r>
          <w:r w:rsidRPr="007B6B26">
            <w:rPr>
              <w:rFonts w:ascii="Arial" w:hAnsi="Arial" w:cs="Arial"/>
              <w:bCs/>
              <w:color w:val="000000"/>
            </w:rPr>
            <w:t>, 1. https://doi.org/10.65453/ijar.v9i2.1226</w:t>
          </w:r>
        </w:p>
        <w:p w14:paraId="738FD8AD" w14:textId="77777777" w:rsidR="007B6B26" w:rsidRPr="007B6B26" w:rsidRDefault="007B6B26" w:rsidP="007B6B26">
          <w:pPr>
            <w:autoSpaceDE w:val="0"/>
            <w:autoSpaceDN w:val="0"/>
            <w:ind w:hanging="480"/>
            <w:jc w:val="both"/>
            <w:divId w:val="984970802"/>
            <w:rPr>
              <w:rFonts w:ascii="Arial" w:hAnsi="Arial" w:cs="Arial"/>
              <w:bCs/>
              <w:color w:val="000000"/>
            </w:rPr>
          </w:pPr>
          <w:r w:rsidRPr="007B6B26">
            <w:rPr>
              <w:rFonts w:ascii="Arial" w:hAnsi="Arial" w:cs="Arial"/>
              <w:bCs/>
              <w:color w:val="000000"/>
            </w:rPr>
            <w:t xml:space="preserve">Dhananjaya, K., &amp; Raj, K. (2018). Non-performing assets (NPAs) and its determinants: a study of Indian public sector banks. </w:t>
          </w:r>
          <w:r w:rsidRPr="007B6B26">
            <w:rPr>
              <w:rFonts w:ascii="Arial" w:hAnsi="Arial" w:cs="Arial"/>
              <w:bCs/>
              <w:i/>
              <w:iCs/>
              <w:color w:val="000000"/>
            </w:rPr>
            <w:t>Journal of Social and Economic Development</w:t>
          </w:r>
          <w:r w:rsidRPr="007B6B26">
            <w:rPr>
              <w:rFonts w:ascii="Arial" w:hAnsi="Arial" w:cs="Arial"/>
              <w:bCs/>
              <w:color w:val="000000"/>
            </w:rPr>
            <w:t xml:space="preserve">, </w:t>
          </w:r>
          <w:r w:rsidRPr="007B6B26">
            <w:rPr>
              <w:rFonts w:ascii="Arial" w:hAnsi="Arial" w:cs="Arial"/>
              <w:bCs/>
              <w:i/>
              <w:iCs/>
              <w:color w:val="000000"/>
            </w:rPr>
            <w:t>20</w:t>
          </w:r>
          <w:r w:rsidRPr="007B6B26">
            <w:rPr>
              <w:rFonts w:ascii="Arial" w:hAnsi="Arial" w:cs="Arial"/>
              <w:bCs/>
              <w:color w:val="000000"/>
            </w:rPr>
            <w:t>. https://doi.org/10.1007/s40847-018-0068-0</w:t>
          </w:r>
        </w:p>
        <w:p w14:paraId="70784B46" w14:textId="77777777" w:rsidR="007B6B26" w:rsidRPr="007B6B26" w:rsidRDefault="007B6B26" w:rsidP="007B6B26">
          <w:pPr>
            <w:autoSpaceDE w:val="0"/>
            <w:autoSpaceDN w:val="0"/>
            <w:ind w:hanging="480"/>
            <w:jc w:val="both"/>
            <w:divId w:val="1105266320"/>
            <w:rPr>
              <w:rFonts w:ascii="Arial" w:hAnsi="Arial" w:cs="Arial"/>
              <w:bCs/>
              <w:color w:val="000000"/>
            </w:rPr>
          </w:pPr>
          <w:r w:rsidRPr="007B6B26">
            <w:rPr>
              <w:rFonts w:ascii="Arial" w:hAnsi="Arial" w:cs="Arial"/>
              <w:bCs/>
              <w:color w:val="000000"/>
            </w:rPr>
            <w:t xml:space="preserve">Espinoza, R., &amp; Prasad, A. (2010). Nonperforming Loans in the GCC Banking System and Their Macroeconomic Effects. </w:t>
          </w:r>
          <w:r w:rsidRPr="007B6B26">
            <w:rPr>
              <w:rFonts w:ascii="Arial" w:hAnsi="Arial" w:cs="Arial"/>
              <w:bCs/>
              <w:i/>
              <w:iCs/>
              <w:color w:val="000000"/>
            </w:rPr>
            <w:t>IMF Working Papers</w:t>
          </w:r>
          <w:r w:rsidRPr="007B6B26">
            <w:rPr>
              <w:rFonts w:ascii="Arial" w:hAnsi="Arial" w:cs="Arial"/>
              <w:bCs/>
              <w:color w:val="000000"/>
            </w:rPr>
            <w:t xml:space="preserve">, </w:t>
          </w:r>
          <w:r w:rsidRPr="007B6B26">
            <w:rPr>
              <w:rFonts w:ascii="Arial" w:hAnsi="Arial" w:cs="Arial"/>
              <w:bCs/>
              <w:i/>
              <w:iCs/>
              <w:color w:val="000000"/>
            </w:rPr>
            <w:t>10</w:t>
          </w:r>
          <w:r w:rsidRPr="007B6B26">
            <w:rPr>
              <w:rFonts w:ascii="Arial" w:hAnsi="Arial" w:cs="Arial"/>
              <w:bCs/>
              <w:color w:val="000000"/>
            </w:rPr>
            <w:t>. https://doi.org/10.5089/9781455208890.001</w:t>
          </w:r>
        </w:p>
        <w:p w14:paraId="51ECA1F5" w14:textId="77777777" w:rsidR="007B6B26" w:rsidRPr="007B6B26" w:rsidRDefault="007B6B26" w:rsidP="007B6B26">
          <w:pPr>
            <w:autoSpaceDE w:val="0"/>
            <w:autoSpaceDN w:val="0"/>
            <w:ind w:hanging="480"/>
            <w:jc w:val="both"/>
            <w:divId w:val="1192575659"/>
            <w:rPr>
              <w:rFonts w:ascii="Arial" w:hAnsi="Arial" w:cs="Arial"/>
              <w:bCs/>
              <w:color w:val="000000"/>
            </w:rPr>
          </w:pPr>
          <w:r w:rsidRPr="007B6B26">
            <w:rPr>
              <w:rFonts w:ascii="Arial" w:hAnsi="Arial" w:cs="Arial"/>
              <w:bCs/>
              <w:color w:val="000000"/>
            </w:rPr>
            <w:lastRenderedPageBreak/>
            <w:t xml:space="preserve">Gaur, D., &amp; Mohapatra, D. (2020). The nexus of economic growth, priority sector lending and non-performing assets: case of Indian banking sector. </w:t>
          </w:r>
          <w:r w:rsidRPr="007B6B26">
            <w:rPr>
              <w:rFonts w:ascii="Arial" w:hAnsi="Arial" w:cs="Arial"/>
              <w:bCs/>
              <w:i/>
              <w:iCs/>
              <w:color w:val="000000"/>
            </w:rPr>
            <w:t>South Asian Journal of Business Studies</w:t>
          </w:r>
          <w:r w:rsidRPr="007B6B26">
            <w:rPr>
              <w:rFonts w:ascii="Arial" w:hAnsi="Arial" w:cs="Arial"/>
              <w:bCs/>
              <w:color w:val="000000"/>
            </w:rPr>
            <w:t xml:space="preserve">, </w:t>
          </w:r>
          <w:r w:rsidRPr="007B6B26">
            <w:rPr>
              <w:rFonts w:ascii="Arial" w:hAnsi="Arial" w:cs="Arial"/>
              <w:bCs/>
              <w:i/>
              <w:iCs/>
              <w:color w:val="000000"/>
            </w:rPr>
            <w:t>ahead-of-print</w:t>
          </w:r>
          <w:r w:rsidRPr="007B6B26">
            <w:rPr>
              <w:rFonts w:ascii="Arial" w:hAnsi="Arial" w:cs="Arial"/>
              <w:bCs/>
              <w:color w:val="000000"/>
            </w:rPr>
            <w:t>. https://doi.org/10.1108/SAJBS-01-2020-0010</w:t>
          </w:r>
        </w:p>
        <w:p w14:paraId="7E0E12A3" w14:textId="77777777" w:rsidR="007B6B26" w:rsidRPr="007B6B26" w:rsidRDefault="007B6B26" w:rsidP="007B6B26">
          <w:pPr>
            <w:autoSpaceDE w:val="0"/>
            <w:autoSpaceDN w:val="0"/>
            <w:ind w:hanging="480"/>
            <w:jc w:val="both"/>
            <w:divId w:val="1138693791"/>
            <w:rPr>
              <w:rFonts w:ascii="Arial" w:hAnsi="Arial" w:cs="Arial"/>
              <w:bCs/>
              <w:color w:val="000000"/>
            </w:rPr>
          </w:pPr>
          <w:r w:rsidRPr="007B6B26">
            <w:rPr>
              <w:rFonts w:ascii="Arial" w:hAnsi="Arial" w:cs="Arial"/>
              <w:bCs/>
              <w:color w:val="000000"/>
            </w:rPr>
            <w:t xml:space="preserve">Ghosh Roy, S. (2014). Determinants of Non-Performing Assets in India - Panel Regression. </w:t>
          </w:r>
          <w:r w:rsidRPr="007B6B26">
            <w:rPr>
              <w:rFonts w:ascii="Arial" w:hAnsi="Arial" w:cs="Arial"/>
              <w:bCs/>
              <w:i/>
              <w:iCs/>
              <w:color w:val="000000"/>
            </w:rPr>
            <w:t>Eurasian Journal of Economics and Finance</w:t>
          </w:r>
          <w:r w:rsidRPr="007B6B26">
            <w:rPr>
              <w:rFonts w:ascii="Arial" w:hAnsi="Arial" w:cs="Arial"/>
              <w:bCs/>
              <w:color w:val="000000"/>
            </w:rPr>
            <w:t xml:space="preserve">, </w:t>
          </w:r>
          <w:r w:rsidRPr="007B6B26">
            <w:rPr>
              <w:rFonts w:ascii="Arial" w:hAnsi="Arial" w:cs="Arial"/>
              <w:bCs/>
              <w:i/>
              <w:iCs/>
              <w:color w:val="000000"/>
            </w:rPr>
            <w:t>2</w:t>
          </w:r>
          <w:r w:rsidRPr="007B6B26">
            <w:rPr>
              <w:rFonts w:ascii="Arial" w:hAnsi="Arial" w:cs="Arial"/>
              <w:bCs/>
              <w:color w:val="000000"/>
            </w:rPr>
            <w:t>, 69–78. https://doi.org/10.15604/ejef.2014.02.03.005</w:t>
          </w:r>
        </w:p>
        <w:p w14:paraId="7CEDE0DC" w14:textId="77777777" w:rsidR="007B6B26" w:rsidRPr="007B6B26" w:rsidRDefault="007B6B26" w:rsidP="007B6B26">
          <w:pPr>
            <w:autoSpaceDE w:val="0"/>
            <w:autoSpaceDN w:val="0"/>
            <w:ind w:hanging="480"/>
            <w:jc w:val="both"/>
            <w:divId w:val="991636311"/>
            <w:rPr>
              <w:rFonts w:ascii="Arial" w:hAnsi="Arial" w:cs="Arial"/>
              <w:bCs/>
              <w:color w:val="000000"/>
            </w:rPr>
          </w:pPr>
          <w:r w:rsidRPr="007B6B26">
            <w:rPr>
              <w:rFonts w:ascii="Arial" w:hAnsi="Arial" w:cs="Arial"/>
              <w:bCs/>
              <w:color w:val="000000"/>
            </w:rPr>
            <w:t xml:space="preserve">Hausman, J. A. (1978). Specification Tests in Econometrics. </w:t>
          </w:r>
          <w:proofErr w:type="spellStart"/>
          <w:r w:rsidRPr="007B6B26">
            <w:rPr>
              <w:rFonts w:ascii="Arial" w:hAnsi="Arial" w:cs="Arial"/>
              <w:bCs/>
              <w:i/>
              <w:iCs/>
              <w:color w:val="000000"/>
            </w:rPr>
            <w:t>Econometrica</w:t>
          </w:r>
          <w:proofErr w:type="spellEnd"/>
          <w:r w:rsidRPr="007B6B26">
            <w:rPr>
              <w:rFonts w:ascii="Arial" w:hAnsi="Arial" w:cs="Arial"/>
              <w:bCs/>
              <w:color w:val="000000"/>
            </w:rPr>
            <w:t xml:space="preserve">, </w:t>
          </w:r>
          <w:r w:rsidRPr="007B6B26">
            <w:rPr>
              <w:rFonts w:ascii="Arial" w:hAnsi="Arial" w:cs="Arial"/>
              <w:bCs/>
              <w:i/>
              <w:iCs/>
              <w:color w:val="000000"/>
            </w:rPr>
            <w:t>46</w:t>
          </w:r>
          <w:r w:rsidRPr="007B6B26">
            <w:rPr>
              <w:rFonts w:ascii="Arial" w:hAnsi="Arial" w:cs="Arial"/>
              <w:bCs/>
              <w:color w:val="000000"/>
            </w:rPr>
            <w:t>(6), 1251–1271. http://www.jstor.org/stable/1913827</w:t>
          </w:r>
        </w:p>
        <w:p w14:paraId="4CD85C9F" w14:textId="77777777" w:rsidR="007B6B26" w:rsidRPr="007B6B26" w:rsidRDefault="007B6B26" w:rsidP="007B6B26">
          <w:pPr>
            <w:autoSpaceDE w:val="0"/>
            <w:autoSpaceDN w:val="0"/>
            <w:ind w:hanging="480"/>
            <w:jc w:val="both"/>
            <w:divId w:val="199441134"/>
            <w:rPr>
              <w:rFonts w:ascii="Arial" w:hAnsi="Arial" w:cs="Arial"/>
              <w:bCs/>
              <w:color w:val="000000"/>
            </w:rPr>
          </w:pPr>
          <w:r w:rsidRPr="007B6B26">
            <w:rPr>
              <w:rFonts w:ascii="Arial" w:hAnsi="Arial" w:cs="Arial"/>
              <w:bCs/>
              <w:color w:val="000000"/>
            </w:rPr>
            <w:t xml:space="preserve">Huang, H. (2024). Technology-Driven Financial Risk Management: Exploring the Benefits of Machine Learning for Non-Profit Organizations. </w:t>
          </w:r>
          <w:r w:rsidRPr="007B6B26">
            <w:rPr>
              <w:rFonts w:ascii="Arial" w:hAnsi="Arial" w:cs="Arial"/>
              <w:bCs/>
              <w:i/>
              <w:iCs/>
              <w:color w:val="000000"/>
            </w:rPr>
            <w:t>Systems</w:t>
          </w:r>
          <w:r w:rsidRPr="007B6B26">
            <w:rPr>
              <w:rFonts w:ascii="Arial" w:hAnsi="Arial" w:cs="Arial"/>
              <w:bCs/>
              <w:color w:val="000000"/>
            </w:rPr>
            <w:t xml:space="preserve">, </w:t>
          </w:r>
          <w:r w:rsidRPr="007B6B26">
            <w:rPr>
              <w:rFonts w:ascii="Arial" w:hAnsi="Arial" w:cs="Arial"/>
              <w:bCs/>
              <w:i/>
              <w:iCs/>
              <w:color w:val="000000"/>
            </w:rPr>
            <w:t>12</w:t>
          </w:r>
          <w:r w:rsidRPr="007B6B26">
            <w:rPr>
              <w:rFonts w:ascii="Arial" w:hAnsi="Arial" w:cs="Arial"/>
              <w:bCs/>
              <w:color w:val="000000"/>
            </w:rPr>
            <w:t>(10). https://doi.org/10.3390/systems12100416</w:t>
          </w:r>
        </w:p>
        <w:p w14:paraId="23660D9D" w14:textId="77777777" w:rsidR="007B6B26" w:rsidRPr="007B6B26" w:rsidRDefault="007B6B26" w:rsidP="007B6B26">
          <w:pPr>
            <w:autoSpaceDE w:val="0"/>
            <w:autoSpaceDN w:val="0"/>
            <w:ind w:hanging="480"/>
            <w:jc w:val="both"/>
            <w:divId w:val="2130471677"/>
            <w:rPr>
              <w:rFonts w:ascii="Arial" w:hAnsi="Arial" w:cs="Arial"/>
              <w:bCs/>
              <w:color w:val="000000"/>
            </w:rPr>
          </w:pPr>
          <w:r w:rsidRPr="007B6B26">
            <w:rPr>
              <w:rFonts w:ascii="Arial" w:hAnsi="Arial" w:cs="Arial"/>
              <w:bCs/>
              <w:color w:val="000000"/>
            </w:rPr>
            <w:t xml:space="preserve">Khalid, F. (2025). Role of banks in the Indian Financial System. </w:t>
          </w:r>
          <w:r w:rsidRPr="007B6B26">
            <w:rPr>
              <w:rFonts w:ascii="Arial" w:hAnsi="Arial" w:cs="Arial"/>
              <w:bCs/>
              <w:i/>
              <w:iCs/>
              <w:color w:val="000000"/>
            </w:rPr>
            <w:t xml:space="preserve">International Journal of Innovations in Science Engineering </w:t>
          </w:r>
          <w:proofErr w:type="gramStart"/>
          <w:r w:rsidRPr="007B6B26">
            <w:rPr>
              <w:rFonts w:ascii="Arial" w:hAnsi="Arial" w:cs="Arial"/>
              <w:bCs/>
              <w:i/>
              <w:iCs/>
              <w:color w:val="000000"/>
            </w:rPr>
            <w:t>And</w:t>
          </w:r>
          <w:proofErr w:type="gramEnd"/>
          <w:r w:rsidRPr="007B6B26">
            <w:rPr>
              <w:rFonts w:ascii="Arial" w:hAnsi="Arial" w:cs="Arial"/>
              <w:bCs/>
              <w:i/>
              <w:iCs/>
              <w:color w:val="000000"/>
            </w:rPr>
            <w:t xml:space="preserve"> Management</w:t>
          </w:r>
          <w:r w:rsidRPr="007B6B26">
            <w:rPr>
              <w:rFonts w:ascii="Arial" w:hAnsi="Arial" w:cs="Arial"/>
              <w:bCs/>
              <w:color w:val="000000"/>
            </w:rPr>
            <w:t>, 127–132. https://doi.org/10.69968/ijisem.2025v4si1127-132</w:t>
          </w:r>
        </w:p>
        <w:p w14:paraId="1D250F50" w14:textId="77777777" w:rsidR="007B6B26" w:rsidRPr="007B6B26" w:rsidRDefault="007B6B26" w:rsidP="007B6B26">
          <w:pPr>
            <w:autoSpaceDE w:val="0"/>
            <w:autoSpaceDN w:val="0"/>
            <w:ind w:hanging="480"/>
            <w:jc w:val="both"/>
            <w:divId w:val="1741057361"/>
            <w:rPr>
              <w:rFonts w:ascii="Arial" w:hAnsi="Arial" w:cs="Arial"/>
              <w:bCs/>
              <w:color w:val="000000"/>
            </w:rPr>
          </w:pPr>
          <w:r w:rsidRPr="007B6B26">
            <w:rPr>
              <w:rFonts w:ascii="Arial" w:hAnsi="Arial" w:cs="Arial"/>
              <w:bCs/>
              <w:color w:val="000000"/>
            </w:rPr>
            <w:t xml:space="preserve">Krämer, W. (2025). </w:t>
          </w:r>
          <w:r w:rsidRPr="007B6B26">
            <w:rPr>
              <w:rFonts w:ascii="Arial" w:hAnsi="Arial" w:cs="Arial"/>
              <w:bCs/>
              <w:i/>
              <w:iCs/>
              <w:color w:val="000000"/>
            </w:rPr>
            <w:t>Durbin-Watson Test, The</w:t>
          </w:r>
          <w:r w:rsidRPr="007B6B26">
            <w:rPr>
              <w:rFonts w:ascii="Arial" w:hAnsi="Arial" w:cs="Arial"/>
              <w:bCs/>
              <w:color w:val="000000"/>
            </w:rPr>
            <w:t xml:space="preserve"> (pp. 762–764). https://doi.org/10.1007/978-3-662-69359-9_688</w:t>
          </w:r>
        </w:p>
        <w:p w14:paraId="31C92A48" w14:textId="77777777" w:rsidR="007B6B26" w:rsidRPr="007B6B26" w:rsidRDefault="007B6B26" w:rsidP="007B6B26">
          <w:pPr>
            <w:autoSpaceDE w:val="0"/>
            <w:autoSpaceDN w:val="0"/>
            <w:ind w:hanging="480"/>
            <w:jc w:val="both"/>
            <w:divId w:val="1993219208"/>
            <w:rPr>
              <w:rFonts w:ascii="Arial" w:hAnsi="Arial" w:cs="Arial"/>
              <w:bCs/>
              <w:color w:val="000000"/>
            </w:rPr>
          </w:pPr>
          <w:r w:rsidRPr="007B6B26">
            <w:rPr>
              <w:rFonts w:ascii="Arial" w:hAnsi="Arial" w:cs="Arial"/>
              <w:bCs/>
              <w:color w:val="000000"/>
            </w:rPr>
            <w:t xml:space="preserve">Kristanti, F., </w:t>
          </w:r>
          <w:proofErr w:type="spellStart"/>
          <w:r w:rsidRPr="007B6B26">
            <w:rPr>
              <w:rFonts w:ascii="Arial" w:hAnsi="Arial" w:cs="Arial"/>
              <w:bCs/>
              <w:color w:val="000000"/>
            </w:rPr>
            <w:t>Febrianta</w:t>
          </w:r>
          <w:proofErr w:type="spellEnd"/>
          <w:r w:rsidRPr="007B6B26">
            <w:rPr>
              <w:rFonts w:ascii="Arial" w:hAnsi="Arial" w:cs="Arial"/>
              <w:bCs/>
              <w:color w:val="000000"/>
            </w:rPr>
            <w:t xml:space="preserve">, M. Y., Salim, D., Riyadh, H. A., </w:t>
          </w:r>
          <w:proofErr w:type="spellStart"/>
          <w:r w:rsidRPr="007B6B26">
            <w:rPr>
              <w:rFonts w:ascii="Arial" w:hAnsi="Arial" w:cs="Arial"/>
              <w:bCs/>
              <w:color w:val="000000"/>
            </w:rPr>
            <w:t>Sagama</w:t>
          </w:r>
          <w:proofErr w:type="spellEnd"/>
          <w:r w:rsidRPr="007B6B26">
            <w:rPr>
              <w:rFonts w:ascii="Arial" w:hAnsi="Arial" w:cs="Arial"/>
              <w:bCs/>
              <w:color w:val="000000"/>
            </w:rPr>
            <w:t xml:space="preserve">, Y., &amp; </w:t>
          </w:r>
          <w:proofErr w:type="spellStart"/>
          <w:r w:rsidRPr="007B6B26">
            <w:rPr>
              <w:rFonts w:ascii="Arial" w:hAnsi="Arial" w:cs="Arial"/>
              <w:bCs/>
              <w:color w:val="000000"/>
            </w:rPr>
            <w:t>Beshr</w:t>
          </w:r>
          <w:proofErr w:type="spellEnd"/>
          <w:r w:rsidRPr="007B6B26">
            <w:rPr>
              <w:rFonts w:ascii="Arial" w:hAnsi="Arial" w:cs="Arial"/>
              <w:bCs/>
              <w:color w:val="000000"/>
            </w:rPr>
            <w:t xml:space="preserve">, B. (2024). Advancing financial analytics: Integrating </w:t>
          </w:r>
          <w:proofErr w:type="spellStart"/>
          <w:r w:rsidRPr="007B6B26">
            <w:rPr>
              <w:rFonts w:ascii="Arial" w:hAnsi="Arial" w:cs="Arial"/>
              <w:bCs/>
              <w:color w:val="000000"/>
            </w:rPr>
            <w:t>XGBoost</w:t>
          </w:r>
          <w:proofErr w:type="spellEnd"/>
          <w:r w:rsidRPr="007B6B26">
            <w:rPr>
              <w:rFonts w:ascii="Arial" w:hAnsi="Arial" w:cs="Arial"/>
              <w:bCs/>
              <w:color w:val="000000"/>
            </w:rPr>
            <w:t xml:space="preserve">, LSTM, and Random Forest Algorithms for precision forecasting of corporate financial distress. </w:t>
          </w:r>
          <w:r w:rsidRPr="007B6B26">
            <w:rPr>
              <w:rFonts w:ascii="Arial" w:hAnsi="Arial" w:cs="Arial"/>
              <w:bCs/>
              <w:i/>
              <w:iCs/>
              <w:color w:val="000000"/>
            </w:rPr>
            <w:t>Journal of Infrastructure, Policy and Development</w:t>
          </w:r>
          <w:r w:rsidRPr="007B6B26">
            <w:rPr>
              <w:rFonts w:ascii="Arial" w:hAnsi="Arial" w:cs="Arial"/>
              <w:bCs/>
              <w:color w:val="000000"/>
            </w:rPr>
            <w:t xml:space="preserve">, </w:t>
          </w:r>
          <w:r w:rsidRPr="007B6B26">
            <w:rPr>
              <w:rFonts w:ascii="Arial" w:hAnsi="Arial" w:cs="Arial"/>
              <w:bCs/>
              <w:i/>
              <w:iCs/>
              <w:color w:val="000000"/>
            </w:rPr>
            <w:t>8</w:t>
          </w:r>
          <w:r w:rsidRPr="007B6B26">
            <w:rPr>
              <w:rFonts w:ascii="Arial" w:hAnsi="Arial" w:cs="Arial"/>
              <w:bCs/>
              <w:color w:val="000000"/>
            </w:rPr>
            <w:t>, 4972. https://doi.org/10.24294/jipd.v8i8.4972</w:t>
          </w:r>
        </w:p>
        <w:p w14:paraId="0D67EB2B" w14:textId="77777777" w:rsidR="007B6B26" w:rsidRPr="007B6B26" w:rsidRDefault="007B6B26" w:rsidP="007B6B26">
          <w:pPr>
            <w:autoSpaceDE w:val="0"/>
            <w:autoSpaceDN w:val="0"/>
            <w:ind w:hanging="480"/>
            <w:jc w:val="both"/>
            <w:divId w:val="1286935381"/>
            <w:rPr>
              <w:rFonts w:ascii="Arial" w:hAnsi="Arial" w:cs="Arial"/>
              <w:bCs/>
              <w:color w:val="000000"/>
            </w:rPr>
          </w:pPr>
          <w:r w:rsidRPr="007B6B26">
            <w:rPr>
              <w:rFonts w:ascii="Arial" w:hAnsi="Arial" w:cs="Arial"/>
              <w:bCs/>
              <w:color w:val="000000"/>
            </w:rPr>
            <w:t xml:space="preserve">Kumar, G., &amp; Misra, A. (2024). </w:t>
          </w:r>
          <w:r w:rsidRPr="007B6B26">
            <w:rPr>
              <w:rFonts w:ascii="Arial" w:hAnsi="Arial" w:cs="Arial"/>
              <w:bCs/>
              <w:i/>
              <w:iCs/>
              <w:color w:val="000000"/>
            </w:rPr>
            <w:t>Data Mining Techniques for Predicting the Non-performing Assets (NPA) of Banks in India</w:t>
          </w:r>
          <w:r w:rsidRPr="007B6B26">
            <w:rPr>
              <w:rFonts w:ascii="Arial" w:hAnsi="Arial" w:cs="Arial"/>
              <w:bCs/>
              <w:color w:val="000000"/>
            </w:rPr>
            <w:t xml:space="preserve"> (pp. 133–150). https://doi.org/10.1007/978-3-031-61037-0_6</w:t>
          </w:r>
        </w:p>
        <w:p w14:paraId="66B59062" w14:textId="77777777" w:rsidR="007B6B26" w:rsidRPr="007B6B26" w:rsidRDefault="007B6B26" w:rsidP="007B6B26">
          <w:pPr>
            <w:autoSpaceDE w:val="0"/>
            <w:autoSpaceDN w:val="0"/>
            <w:ind w:hanging="480"/>
            <w:jc w:val="both"/>
            <w:divId w:val="753862855"/>
            <w:rPr>
              <w:rFonts w:ascii="Arial" w:hAnsi="Arial" w:cs="Arial"/>
              <w:bCs/>
              <w:color w:val="000000"/>
            </w:rPr>
          </w:pPr>
          <w:r w:rsidRPr="007B6B26">
            <w:rPr>
              <w:rFonts w:ascii="Arial" w:hAnsi="Arial" w:cs="Arial"/>
              <w:bCs/>
              <w:color w:val="000000"/>
            </w:rPr>
            <w:t xml:space="preserve">Le Gallo, J., &amp; </w:t>
          </w:r>
          <w:proofErr w:type="spellStart"/>
          <w:r w:rsidRPr="007B6B26">
            <w:rPr>
              <w:rFonts w:ascii="Arial" w:hAnsi="Arial" w:cs="Arial"/>
              <w:bCs/>
              <w:color w:val="000000"/>
            </w:rPr>
            <w:t>Sénégas</w:t>
          </w:r>
          <w:proofErr w:type="spellEnd"/>
          <w:r w:rsidRPr="007B6B26">
            <w:rPr>
              <w:rFonts w:ascii="Arial" w:hAnsi="Arial" w:cs="Arial"/>
              <w:bCs/>
              <w:color w:val="000000"/>
            </w:rPr>
            <w:t xml:space="preserve">, M.-A. (2023). On the Proper Computation of the Hausman Test Statistic in Standard Linear Panel Data Models: Some Clarifications and New Results. </w:t>
          </w:r>
          <w:r w:rsidRPr="007B6B26">
            <w:rPr>
              <w:rFonts w:ascii="Arial" w:hAnsi="Arial" w:cs="Arial"/>
              <w:bCs/>
              <w:i/>
              <w:iCs/>
              <w:color w:val="000000"/>
            </w:rPr>
            <w:t>Econometrics</w:t>
          </w:r>
          <w:r w:rsidRPr="007B6B26">
            <w:rPr>
              <w:rFonts w:ascii="Arial" w:hAnsi="Arial" w:cs="Arial"/>
              <w:bCs/>
              <w:color w:val="000000"/>
            </w:rPr>
            <w:t xml:space="preserve">, </w:t>
          </w:r>
          <w:r w:rsidRPr="007B6B26">
            <w:rPr>
              <w:rFonts w:ascii="Arial" w:hAnsi="Arial" w:cs="Arial"/>
              <w:bCs/>
              <w:i/>
              <w:iCs/>
              <w:color w:val="000000"/>
            </w:rPr>
            <w:t>11</w:t>
          </w:r>
          <w:r w:rsidRPr="007B6B26">
            <w:rPr>
              <w:rFonts w:ascii="Arial" w:hAnsi="Arial" w:cs="Arial"/>
              <w:bCs/>
              <w:color w:val="000000"/>
            </w:rPr>
            <w:t>(4). https://doi.org/10.3390/econometrics11040025</w:t>
          </w:r>
        </w:p>
        <w:p w14:paraId="5E70EF8B" w14:textId="77777777" w:rsidR="007B6B26" w:rsidRPr="007B6B26" w:rsidRDefault="007B6B26" w:rsidP="007B6B26">
          <w:pPr>
            <w:autoSpaceDE w:val="0"/>
            <w:autoSpaceDN w:val="0"/>
            <w:ind w:hanging="480"/>
            <w:jc w:val="both"/>
            <w:divId w:val="744494385"/>
            <w:rPr>
              <w:rFonts w:ascii="Arial" w:hAnsi="Arial" w:cs="Arial"/>
              <w:bCs/>
              <w:color w:val="000000"/>
            </w:rPr>
          </w:pPr>
          <w:r w:rsidRPr="007B6B26">
            <w:rPr>
              <w:rFonts w:ascii="Arial" w:hAnsi="Arial" w:cs="Arial"/>
              <w:bCs/>
              <w:color w:val="000000"/>
            </w:rPr>
            <w:t xml:space="preserve">Lundberg, S. M., &amp; Lee, S.-I. (2017). A Unified Approach to Interpreting Model Predictions. In I. Guyon, U. Von Luxburg, S. Bengio, H. Wallach, R. Fergus, S. Vishwanathan, &amp; R. Garnett (Eds.), </w:t>
          </w:r>
          <w:r w:rsidRPr="007B6B26">
            <w:rPr>
              <w:rFonts w:ascii="Arial" w:hAnsi="Arial" w:cs="Arial"/>
              <w:bCs/>
              <w:i/>
              <w:iCs/>
              <w:color w:val="000000"/>
            </w:rPr>
            <w:t>Advances in Neural Information Processing Systems</w:t>
          </w:r>
          <w:r w:rsidRPr="007B6B26">
            <w:rPr>
              <w:rFonts w:ascii="Arial" w:hAnsi="Arial" w:cs="Arial"/>
              <w:bCs/>
              <w:color w:val="000000"/>
            </w:rPr>
            <w:t xml:space="preserve"> (Vol. 30). Curran Associates, Inc. https://proceedings.neurips.cc/paper_files/paper/2017/file/8a20a8621978632d76c43dfd28b67767-Paper.pdf</w:t>
          </w:r>
        </w:p>
        <w:p w14:paraId="2DA28F93" w14:textId="77777777" w:rsidR="007B6B26" w:rsidRPr="007B6B26" w:rsidRDefault="007B6B26" w:rsidP="007B6B26">
          <w:pPr>
            <w:autoSpaceDE w:val="0"/>
            <w:autoSpaceDN w:val="0"/>
            <w:ind w:hanging="480"/>
            <w:jc w:val="both"/>
            <w:divId w:val="869146850"/>
            <w:rPr>
              <w:rFonts w:ascii="Arial" w:hAnsi="Arial" w:cs="Arial"/>
              <w:bCs/>
              <w:color w:val="000000"/>
            </w:rPr>
          </w:pPr>
          <w:r w:rsidRPr="007B6B26">
            <w:rPr>
              <w:rFonts w:ascii="Arial" w:hAnsi="Arial" w:cs="Arial"/>
              <w:bCs/>
              <w:color w:val="000000"/>
            </w:rPr>
            <w:t xml:space="preserve">Malhotra, A. (2021). A hybrid econometric–machine learning approach for relative importance analysis: prioritizing food policy. </w:t>
          </w:r>
          <w:r w:rsidRPr="007B6B26">
            <w:rPr>
              <w:rFonts w:ascii="Arial" w:hAnsi="Arial" w:cs="Arial"/>
              <w:bCs/>
              <w:i/>
              <w:iCs/>
              <w:color w:val="000000"/>
            </w:rPr>
            <w:t>Eurasian Economic Review</w:t>
          </w:r>
          <w:r w:rsidRPr="007B6B26">
            <w:rPr>
              <w:rFonts w:ascii="Arial" w:hAnsi="Arial" w:cs="Arial"/>
              <w:bCs/>
              <w:color w:val="000000"/>
            </w:rPr>
            <w:t xml:space="preserve">, </w:t>
          </w:r>
          <w:r w:rsidRPr="007B6B26">
            <w:rPr>
              <w:rFonts w:ascii="Arial" w:hAnsi="Arial" w:cs="Arial"/>
              <w:bCs/>
              <w:i/>
              <w:iCs/>
              <w:color w:val="000000"/>
            </w:rPr>
            <w:t>11</w:t>
          </w:r>
          <w:r w:rsidRPr="007B6B26">
            <w:rPr>
              <w:rFonts w:ascii="Arial" w:hAnsi="Arial" w:cs="Arial"/>
              <w:bCs/>
              <w:color w:val="000000"/>
            </w:rPr>
            <w:t>. https://doi.org/10.1007/s40822-021-00170-9</w:t>
          </w:r>
        </w:p>
        <w:p w14:paraId="506AB957" w14:textId="77777777" w:rsidR="007B6B26" w:rsidRPr="007B6B26" w:rsidRDefault="007B6B26" w:rsidP="007B6B26">
          <w:pPr>
            <w:autoSpaceDE w:val="0"/>
            <w:autoSpaceDN w:val="0"/>
            <w:ind w:hanging="480"/>
            <w:jc w:val="both"/>
            <w:divId w:val="552697593"/>
            <w:rPr>
              <w:rFonts w:ascii="Arial" w:hAnsi="Arial" w:cs="Arial"/>
              <w:bCs/>
              <w:color w:val="000000"/>
            </w:rPr>
          </w:pPr>
          <w:r w:rsidRPr="007B6B26">
            <w:rPr>
              <w:rFonts w:ascii="Arial" w:hAnsi="Arial" w:cs="Arial"/>
              <w:bCs/>
              <w:color w:val="000000"/>
            </w:rPr>
            <w:t xml:space="preserve">Marew, R., Getachew, A., Tadele, Y., Ali, N., &amp; </w:t>
          </w:r>
          <w:proofErr w:type="spellStart"/>
          <w:r w:rsidRPr="007B6B26">
            <w:rPr>
              <w:rFonts w:ascii="Arial" w:hAnsi="Arial" w:cs="Arial"/>
              <w:bCs/>
              <w:color w:val="000000"/>
            </w:rPr>
            <w:t>Goytom</w:t>
          </w:r>
          <w:proofErr w:type="spellEnd"/>
          <w:r w:rsidRPr="007B6B26">
            <w:rPr>
              <w:rFonts w:ascii="Arial" w:hAnsi="Arial" w:cs="Arial"/>
              <w:bCs/>
              <w:color w:val="000000"/>
            </w:rPr>
            <w:t xml:space="preserve">, I. (2022). </w:t>
          </w:r>
          <w:r w:rsidRPr="007B6B26">
            <w:rPr>
              <w:rFonts w:ascii="Arial" w:hAnsi="Arial" w:cs="Arial"/>
              <w:bCs/>
              <w:i/>
              <w:iCs/>
              <w:color w:val="000000"/>
            </w:rPr>
            <w:t>Machine Learning Models Evaluation and Feature Importance Analysis on NPL Dataset</w:t>
          </w:r>
          <w:r w:rsidRPr="007B6B26">
            <w:rPr>
              <w:rFonts w:ascii="Arial" w:hAnsi="Arial" w:cs="Arial"/>
              <w:bCs/>
              <w:color w:val="000000"/>
            </w:rPr>
            <w:t>. https://doi.org/10.48550/arXiv.2209.09638</w:t>
          </w:r>
        </w:p>
        <w:p w14:paraId="29552EA0" w14:textId="77777777" w:rsidR="007B6B26" w:rsidRPr="007B6B26" w:rsidRDefault="007B6B26" w:rsidP="007B6B26">
          <w:pPr>
            <w:autoSpaceDE w:val="0"/>
            <w:autoSpaceDN w:val="0"/>
            <w:ind w:hanging="480"/>
            <w:jc w:val="both"/>
            <w:divId w:val="333651905"/>
            <w:rPr>
              <w:rFonts w:ascii="Arial" w:hAnsi="Arial" w:cs="Arial"/>
              <w:bCs/>
              <w:color w:val="000000"/>
            </w:rPr>
          </w:pPr>
          <w:r w:rsidRPr="007B6B26">
            <w:rPr>
              <w:rFonts w:ascii="Arial" w:hAnsi="Arial" w:cs="Arial"/>
              <w:bCs/>
              <w:color w:val="000000"/>
            </w:rPr>
            <w:t xml:space="preserve">Mishra, A. K., Jain, S., &amp; Abid, M. (2021). Non-performing assets and its determinants in the Indian banking system: An empirical analysis using dynamic panel data models. </w:t>
          </w:r>
          <w:r w:rsidRPr="007B6B26">
            <w:rPr>
              <w:rFonts w:ascii="Arial" w:hAnsi="Arial" w:cs="Arial"/>
              <w:bCs/>
              <w:i/>
              <w:iCs/>
              <w:color w:val="000000"/>
            </w:rPr>
            <w:t>International Journal of Finance &amp; Economics</w:t>
          </w:r>
          <w:r w:rsidRPr="007B6B26">
            <w:rPr>
              <w:rFonts w:ascii="Arial" w:hAnsi="Arial" w:cs="Arial"/>
              <w:bCs/>
              <w:color w:val="000000"/>
            </w:rPr>
            <w:t xml:space="preserve">, </w:t>
          </w:r>
          <w:r w:rsidRPr="007B6B26">
            <w:rPr>
              <w:rFonts w:ascii="Arial" w:hAnsi="Arial" w:cs="Arial"/>
              <w:bCs/>
              <w:i/>
              <w:iCs/>
              <w:color w:val="000000"/>
            </w:rPr>
            <w:t>26</w:t>
          </w:r>
          <w:r w:rsidRPr="007B6B26">
            <w:rPr>
              <w:rFonts w:ascii="Arial" w:hAnsi="Arial" w:cs="Arial"/>
              <w:bCs/>
              <w:color w:val="000000"/>
            </w:rPr>
            <w:t>(4), 5948–5962. https://doi.org/https://doi.org/10.1002/ijfe.2102</w:t>
          </w:r>
        </w:p>
        <w:p w14:paraId="43EA78CE" w14:textId="77777777" w:rsidR="007B6B26" w:rsidRPr="007B6B26" w:rsidRDefault="007B6B26" w:rsidP="007B6B26">
          <w:pPr>
            <w:autoSpaceDE w:val="0"/>
            <w:autoSpaceDN w:val="0"/>
            <w:ind w:hanging="480"/>
            <w:jc w:val="both"/>
            <w:divId w:val="170337046"/>
            <w:rPr>
              <w:rFonts w:ascii="Arial" w:hAnsi="Arial" w:cs="Arial"/>
              <w:bCs/>
              <w:color w:val="000000"/>
            </w:rPr>
          </w:pPr>
          <w:proofErr w:type="spellStart"/>
          <w:r w:rsidRPr="007B6B26">
            <w:rPr>
              <w:rFonts w:ascii="Arial" w:hAnsi="Arial" w:cs="Arial"/>
              <w:bCs/>
              <w:color w:val="000000"/>
            </w:rPr>
            <w:t>Moharil</w:t>
          </w:r>
          <w:proofErr w:type="spellEnd"/>
          <w:r w:rsidRPr="007B6B26">
            <w:rPr>
              <w:rFonts w:ascii="Arial" w:hAnsi="Arial" w:cs="Arial"/>
              <w:bCs/>
              <w:color w:val="000000"/>
            </w:rPr>
            <w:t xml:space="preserve">, A., Sonavane, N., Kedia, C., &amp; Anand, M. (2020). </w:t>
          </w:r>
          <w:r w:rsidRPr="007B6B26">
            <w:rPr>
              <w:rFonts w:ascii="Arial" w:hAnsi="Arial" w:cs="Arial"/>
              <w:bCs/>
              <w:i/>
              <w:iCs/>
              <w:color w:val="000000"/>
            </w:rPr>
            <w:t>To Reduce Gross NPA and Classify Defaulters Using Shannon Entropy</w:t>
          </w:r>
          <w:r w:rsidRPr="007B6B26">
            <w:rPr>
              <w:rFonts w:ascii="Arial" w:hAnsi="Arial" w:cs="Arial"/>
              <w:bCs/>
              <w:color w:val="000000"/>
            </w:rPr>
            <w:t>. https://doi.org/10.48550/arXiv.2004.14418</w:t>
          </w:r>
        </w:p>
        <w:p w14:paraId="15295805" w14:textId="77777777" w:rsidR="007B6B26" w:rsidRPr="007B6B26" w:rsidRDefault="007B6B26" w:rsidP="007B6B26">
          <w:pPr>
            <w:autoSpaceDE w:val="0"/>
            <w:autoSpaceDN w:val="0"/>
            <w:ind w:hanging="480"/>
            <w:jc w:val="both"/>
            <w:divId w:val="1715808063"/>
            <w:rPr>
              <w:rFonts w:ascii="Arial" w:hAnsi="Arial" w:cs="Arial"/>
              <w:bCs/>
              <w:color w:val="000000"/>
            </w:rPr>
          </w:pPr>
          <w:r w:rsidRPr="007B6B26">
            <w:rPr>
              <w:rFonts w:ascii="Arial" w:hAnsi="Arial" w:cs="Arial"/>
              <w:bCs/>
              <w:color w:val="000000"/>
            </w:rPr>
            <w:t xml:space="preserve">Mullainathan, S., &amp; Spiess, J. (2017a). Machine Learning: An Applied Econometric Approach. </w:t>
          </w:r>
          <w:r w:rsidRPr="007B6B26">
            <w:rPr>
              <w:rFonts w:ascii="Arial" w:hAnsi="Arial" w:cs="Arial"/>
              <w:bCs/>
              <w:i/>
              <w:iCs/>
              <w:color w:val="000000"/>
            </w:rPr>
            <w:t>Journal of Economic Perspectives</w:t>
          </w:r>
          <w:r w:rsidRPr="007B6B26">
            <w:rPr>
              <w:rFonts w:ascii="Arial" w:hAnsi="Arial" w:cs="Arial"/>
              <w:bCs/>
              <w:color w:val="000000"/>
            </w:rPr>
            <w:t xml:space="preserve">, </w:t>
          </w:r>
          <w:r w:rsidRPr="007B6B26">
            <w:rPr>
              <w:rFonts w:ascii="Arial" w:hAnsi="Arial" w:cs="Arial"/>
              <w:bCs/>
              <w:i/>
              <w:iCs/>
              <w:color w:val="000000"/>
            </w:rPr>
            <w:t>31</w:t>
          </w:r>
          <w:r w:rsidRPr="007B6B26">
            <w:rPr>
              <w:rFonts w:ascii="Arial" w:hAnsi="Arial" w:cs="Arial"/>
              <w:bCs/>
              <w:color w:val="000000"/>
            </w:rPr>
            <w:t>, 87–106. https://doi.org/10.1257/jep.31.2.87</w:t>
          </w:r>
        </w:p>
        <w:p w14:paraId="6E2281D8" w14:textId="77777777" w:rsidR="007B6B26" w:rsidRPr="007B6B26" w:rsidRDefault="007B6B26" w:rsidP="007B6B26">
          <w:pPr>
            <w:autoSpaceDE w:val="0"/>
            <w:autoSpaceDN w:val="0"/>
            <w:ind w:hanging="480"/>
            <w:jc w:val="both"/>
            <w:divId w:val="1858733182"/>
            <w:rPr>
              <w:rFonts w:ascii="Arial" w:hAnsi="Arial" w:cs="Arial"/>
              <w:bCs/>
              <w:color w:val="000000"/>
            </w:rPr>
          </w:pPr>
          <w:r w:rsidRPr="007B6B26">
            <w:rPr>
              <w:rFonts w:ascii="Arial" w:hAnsi="Arial" w:cs="Arial"/>
              <w:bCs/>
              <w:color w:val="000000"/>
            </w:rPr>
            <w:t xml:space="preserve">Mullainathan, S., &amp; Spiess, J. (2017b). Machine Learning: An Applied Econometric Approach. </w:t>
          </w:r>
          <w:r w:rsidRPr="007B6B26">
            <w:rPr>
              <w:rFonts w:ascii="Arial" w:hAnsi="Arial" w:cs="Arial"/>
              <w:bCs/>
              <w:i/>
              <w:iCs/>
              <w:color w:val="000000"/>
            </w:rPr>
            <w:t>Journal of Economic Perspectives</w:t>
          </w:r>
          <w:r w:rsidRPr="007B6B26">
            <w:rPr>
              <w:rFonts w:ascii="Arial" w:hAnsi="Arial" w:cs="Arial"/>
              <w:bCs/>
              <w:color w:val="000000"/>
            </w:rPr>
            <w:t xml:space="preserve">, </w:t>
          </w:r>
          <w:r w:rsidRPr="007B6B26">
            <w:rPr>
              <w:rFonts w:ascii="Arial" w:hAnsi="Arial" w:cs="Arial"/>
              <w:bCs/>
              <w:i/>
              <w:iCs/>
              <w:color w:val="000000"/>
            </w:rPr>
            <w:t>31</w:t>
          </w:r>
          <w:r w:rsidRPr="007B6B26">
            <w:rPr>
              <w:rFonts w:ascii="Arial" w:hAnsi="Arial" w:cs="Arial"/>
              <w:bCs/>
              <w:color w:val="000000"/>
            </w:rPr>
            <w:t>(2), 87–106. https://doi.org/10.1257/jep.31.2.87</w:t>
          </w:r>
        </w:p>
        <w:p w14:paraId="3CDC26FE" w14:textId="77777777" w:rsidR="007B6B26" w:rsidRPr="007B6B26" w:rsidRDefault="007B6B26" w:rsidP="007B6B26">
          <w:pPr>
            <w:autoSpaceDE w:val="0"/>
            <w:autoSpaceDN w:val="0"/>
            <w:ind w:hanging="480"/>
            <w:jc w:val="both"/>
            <w:divId w:val="572543155"/>
            <w:rPr>
              <w:rFonts w:ascii="Arial" w:hAnsi="Arial" w:cs="Arial"/>
              <w:bCs/>
              <w:color w:val="000000"/>
            </w:rPr>
          </w:pPr>
          <w:proofErr w:type="spellStart"/>
          <w:r w:rsidRPr="007B6B26">
            <w:rPr>
              <w:rFonts w:ascii="Arial" w:hAnsi="Arial" w:cs="Arial"/>
              <w:bCs/>
              <w:color w:val="000000"/>
            </w:rPr>
            <w:t>Pesaran</w:t>
          </w:r>
          <w:proofErr w:type="spellEnd"/>
          <w:r w:rsidRPr="007B6B26">
            <w:rPr>
              <w:rFonts w:ascii="Arial" w:hAnsi="Arial" w:cs="Arial"/>
              <w:bCs/>
              <w:color w:val="000000"/>
            </w:rPr>
            <w:t xml:space="preserve">, H. (2003). Estimation and Inference in Large Heterogenous Panels with Cross Section Dependence. </w:t>
          </w:r>
          <w:r w:rsidRPr="007B6B26">
            <w:rPr>
              <w:rFonts w:ascii="Arial" w:hAnsi="Arial" w:cs="Arial"/>
              <w:bCs/>
              <w:i/>
              <w:iCs/>
              <w:color w:val="000000"/>
            </w:rPr>
            <w:t>SSRN Electronic Journal</w:t>
          </w:r>
          <w:r w:rsidRPr="007B6B26">
            <w:rPr>
              <w:rFonts w:ascii="Arial" w:hAnsi="Arial" w:cs="Arial"/>
              <w:bCs/>
              <w:color w:val="000000"/>
            </w:rPr>
            <w:t>. https://doi.org/10.2139/ssrn.385123</w:t>
          </w:r>
        </w:p>
        <w:p w14:paraId="64D0AAEC" w14:textId="77777777" w:rsidR="007B6B26" w:rsidRPr="007B6B26" w:rsidRDefault="007B6B26" w:rsidP="007B6B26">
          <w:pPr>
            <w:autoSpaceDE w:val="0"/>
            <w:autoSpaceDN w:val="0"/>
            <w:ind w:hanging="480"/>
            <w:jc w:val="both"/>
            <w:divId w:val="1407730152"/>
            <w:rPr>
              <w:rFonts w:ascii="Arial" w:hAnsi="Arial" w:cs="Arial"/>
              <w:bCs/>
              <w:color w:val="000000"/>
            </w:rPr>
          </w:pPr>
          <w:r w:rsidRPr="007B6B26">
            <w:rPr>
              <w:rFonts w:ascii="Arial" w:hAnsi="Arial" w:cs="Arial"/>
              <w:bCs/>
              <w:color w:val="000000"/>
            </w:rPr>
            <w:t xml:space="preserve">Rajaraman, I., &amp; Vasishtha, G. (2001). Non-performing loans of PSU banks: Some panel results. </w:t>
          </w:r>
          <w:r w:rsidRPr="007B6B26">
            <w:rPr>
              <w:rFonts w:ascii="Arial" w:hAnsi="Arial" w:cs="Arial"/>
              <w:bCs/>
              <w:i/>
              <w:iCs/>
              <w:color w:val="000000"/>
            </w:rPr>
            <w:t>National Institute of Public Finance and Policy, Working Papers</w:t>
          </w:r>
          <w:r w:rsidRPr="007B6B26">
            <w:rPr>
              <w:rFonts w:ascii="Arial" w:hAnsi="Arial" w:cs="Arial"/>
              <w:bCs/>
              <w:color w:val="000000"/>
            </w:rPr>
            <w:t>. https://doi.org/10.2307/4411688</w:t>
          </w:r>
        </w:p>
        <w:p w14:paraId="343A18F8" w14:textId="77777777" w:rsidR="007B6B26" w:rsidRPr="007B6B26" w:rsidRDefault="007B6B26" w:rsidP="007B6B26">
          <w:pPr>
            <w:autoSpaceDE w:val="0"/>
            <w:autoSpaceDN w:val="0"/>
            <w:ind w:hanging="480"/>
            <w:jc w:val="both"/>
            <w:divId w:val="1375886259"/>
            <w:rPr>
              <w:rFonts w:ascii="Arial" w:hAnsi="Arial" w:cs="Arial"/>
              <w:bCs/>
              <w:color w:val="000000"/>
            </w:rPr>
          </w:pPr>
          <w:r w:rsidRPr="007B6B26">
            <w:rPr>
              <w:rFonts w:ascii="Arial" w:hAnsi="Arial" w:cs="Arial"/>
              <w:bCs/>
              <w:color w:val="000000"/>
            </w:rPr>
            <w:lastRenderedPageBreak/>
            <w:t xml:space="preserve">Saeed, M. M., &amp; </w:t>
          </w:r>
          <w:proofErr w:type="spellStart"/>
          <w:r w:rsidRPr="007B6B26">
            <w:rPr>
              <w:rFonts w:ascii="Arial" w:hAnsi="Arial" w:cs="Arial"/>
              <w:bCs/>
              <w:color w:val="000000"/>
            </w:rPr>
            <w:t>Donkoh</w:t>
          </w:r>
          <w:proofErr w:type="spellEnd"/>
          <w:r w:rsidRPr="007B6B26">
            <w:rPr>
              <w:rFonts w:ascii="Arial" w:hAnsi="Arial" w:cs="Arial"/>
              <w:bCs/>
              <w:color w:val="000000"/>
            </w:rPr>
            <w:t xml:space="preserve">, E. (2026). Credit risk management, bank-specific factors, and financial performance of banks: Insights from an emerging economy. </w:t>
          </w:r>
          <w:r w:rsidRPr="007B6B26">
            <w:rPr>
              <w:rFonts w:ascii="Arial" w:hAnsi="Arial" w:cs="Arial"/>
              <w:bCs/>
              <w:i/>
              <w:iCs/>
              <w:color w:val="000000"/>
            </w:rPr>
            <w:t>Social Sciences &amp; Humanities Open</w:t>
          </w:r>
          <w:r w:rsidRPr="007B6B26">
            <w:rPr>
              <w:rFonts w:ascii="Arial" w:hAnsi="Arial" w:cs="Arial"/>
              <w:bCs/>
              <w:color w:val="000000"/>
            </w:rPr>
            <w:t xml:space="preserve">, </w:t>
          </w:r>
          <w:r w:rsidRPr="007B6B26">
            <w:rPr>
              <w:rFonts w:ascii="Arial" w:hAnsi="Arial" w:cs="Arial"/>
              <w:bCs/>
              <w:i/>
              <w:iCs/>
              <w:color w:val="000000"/>
            </w:rPr>
            <w:t>13</w:t>
          </w:r>
          <w:r w:rsidRPr="007B6B26">
            <w:rPr>
              <w:rFonts w:ascii="Arial" w:hAnsi="Arial" w:cs="Arial"/>
              <w:bCs/>
              <w:color w:val="000000"/>
            </w:rPr>
            <w:t>, 102523. https://doi.org/https://doi.org/10.1016/j.ssaho.2026.102523</w:t>
          </w:r>
        </w:p>
        <w:p w14:paraId="33DCB7E3" w14:textId="77777777" w:rsidR="007B6B26" w:rsidRPr="007B6B26" w:rsidRDefault="007B6B26" w:rsidP="007B6B26">
          <w:pPr>
            <w:autoSpaceDE w:val="0"/>
            <w:autoSpaceDN w:val="0"/>
            <w:ind w:hanging="480"/>
            <w:jc w:val="both"/>
            <w:divId w:val="267587425"/>
            <w:rPr>
              <w:rFonts w:ascii="Arial" w:hAnsi="Arial" w:cs="Arial"/>
              <w:bCs/>
              <w:color w:val="000000"/>
            </w:rPr>
          </w:pPr>
          <w:r w:rsidRPr="007B6B26">
            <w:rPr>
              <w:rFonts w:ascii="Arial" w:hAnsi="Arial" w:cs="Arial"/>
              <w:bCs/>
              <w:color w:val="000000"/>
            </w:rPr>
            <w:t xml:space="preserve">Sareen, R. (2023). Analysis of bank specific factors of non-performing assets of select commercial banks. </w:t>
          </w:r>
          <w:r w:rsidRPr="007B6B26">
            <w:rPr>
              <w:rFonts w:ascii="Arial" w:hAnsi="Arial" w:cs="Arial"/>
              <w:bCs/>
              <w:i/>
              <w:iCs/>
              <w:color w:val="000000"/>
            </w:rPr>
            <w:t>Asian Journal of Management</w:t>
          </w:r>
          <w:r w:rsidRPr="007B6B26">
            <w:rPr>
              <w:rFonts w:ascii="Arial" w:hAnsi="Arial" w:cs="Arial"/>
              <w:bCs/>
              <w:color w:val="000000"/>
            </w:rPr>
            <w:t>, 283–292. https://doi.org/10.52711/2321-5763.2023.00046</w:t>
          </w:r>
        </w:p>
        <w:p w14:paraId="3587587B" w14:textId="77777777" w:rsidR="007B6B26" w:rsidRPr="007B6B26" w:rsidRDefault="007B6B26" w:rsidP="007B6B26">
          <w:pPr>
            <w:autoSpaceDE w:val="0"/>
            <w:autoSpaceDN w:val="0"/>
            <w:ind w:hanging="480"/>
            <w:jc w:val="both"/>
            <w:divId w:val="247542303"/>
            <w:rPr>
              <w:rFonts w:ascii="Arial" w:hAnsi="Arial" w:cs="Arial"/>
              <w:bCs/>
              <w:color w:val="000000"/>
            </w:rPr>
          </w:pPr>
          <w:r w:rsidRPr="007B6B26">
            <w:rPr>
              <w:rFonts w:ascii="Arial" w:hAnsi="Arial" w:cs="Arial"/>
              <w:bCs/>
              <w:color w:val="000000"/>
            </w:rPr>
            <w:t xml:space="preserve">Sengupta, R., &amp; Vardhan, H. (2017). </w:t>
          </w:r>
          <w:r w:rsidRPr="007B6B26">
            <w:rPr>
              <w:rFonts w:ascii="Arial" w:hAnsi="Arial" w:cs="Arial"/>
              <w:bCs/>
              <w:i/>
              <w:iCs/>
              <w:color w:val="000000"/>
            </w:rPr>
            <w:t>Non-performing assets in Indian Banks: This time it is different</w:t>
          </w:r>
          <w:r w:rsidRPr="007B6B26">
            <w:rPr>
              <w:rFonts w:ascii="Arial" w:hAnsi="Arial" w:cs="Arial"/>
              <w:bCs/>
              <w:color w:val="000000"/>
            </w:rPr>
            <w:t xml:space="preserve"> (Numbers 2017–019). https://doi.org/None</w:t>
          </w:r>
        </w:p>
        <w:p w14:paraId="245A386F" w14:textId="77777777" w:rsidR="007B6B26" w:rsidRPr="007B6B26" w:rsidRDefault="007B6B26" w:rsidP="007B6B26">
          <w:pPr>
            <w:autoSpaceDE w:val="0"/>
            <w:autoSpaceDN w:val="0"/>
            <w:ind w:hanging="480"/>
            <w:jc w:val="both"/>
            <w:divId w:val="1747527926"/>
            <w:rPr>
              <w:rFonts w:ascii="Arial" w:hAnsi="Arial" w:cs="Arial"/>
              <w:bCs/>
              <w:color w:val="000000"/>
            </w:rPr>
          </w:pPr>
          <w:r w:rsidRPr="007B6B26">
            <w:rPr>
              <w:rFonts w:ascii="Arial" w:hAnsi="Arial" w:cs="Arial"/>
              <w:bCs/>
              <w:color w:val="000000"/>
            </w:rPr>
            <w:t xml:space="preserve">Singh, H., &amp; Mohanty, A. (n.d.). Algorithmic Risk or Risk Mitigated? A Comparative Study of Credit-risk Assessment Accuracy Pre- and Post-automation in Indian Commercial Lending. </w:t>
          </w:r>
          <w:r w:rsidRPr="007B6B26">
            <w:rPr>
              <w:rFonts w:ascii="Arial" w:hAnsi="Arial" w:cs="Arial"/>
              <w:bCs/>
              <w:i/>
              <w:iCs/>
              <w:color w:val="000000"/>
            </w:rPr>
            <w:t>Journal of Contemporary Business Research</w:t>
          </w:r>
          <w:r w:rsidRPr="007B6B26">
            <w:rPr>
              <w:rFonts w:ascii="Arial" w:hAnsi="Arial" w:cs="Arial"/>
              <w:bCs/>
              <w:color w:val="000000"/>
            </w:rPr>
            <w:t xml:space="preserve">, </w:t>
          </w:r>
          <w:r w:rsidRPr="007B6B26">
            <w:rPr>
              <w:rFonts w:ascii="Arial" w:hAnsi="Arial" w:cs="Arial"/>
              <w:bCs/>
              <w:i/>
              <w:iCs/>
              <w:color w:val="000000"/>
            </w:rPr>
            <w:t>0</w:t>
          </w:r>
          <w:r w:rsidRPr="007B6B26">
            <w:rPr>
              <w:rFonts w:ascii="Arial" w:hAnsi="Arial" w:cs="Arial"/>
              <w:bCs/>
              <w:color w:val="000000"/>
            </w:rPr>
            <w:t>(0), 3049513X251405596. https://doi.org/10.1177/3049513X251405596</w:t>
          </w:r>
        </w:p>
        <w:p w14:paraId="3433B452" w14:textId="77777777" w:rsidR="007B6B26" w:rsidRPr="007B6B26" w:rsidRDefault="007B6B26" w:rsidP="007B6B26">
          <w:pPr>
            <w:autoSpaceDE w:val="0"/>
            <w:autoSpaceDN w:val="0"/>
            <w:ind w:hanging="480"/>
            <w:jc w:val="both"/>
            <w:divId w:val="1122072619"/>
            <w:rPr>
              <w:rFonts w:ascii="Arial" w:hAnsi="Arial" w:cs="Arial"/>
              <w:bCs/>
              <w:color w:val="000000"/>
            </w:rPr>
          </w:pPr>
          <w:r w:rsidRPr="007B6B26">
            <w:rPr>
              <w:rFonts w:ascii="Arial" w:hAnsi="Arial" w:cs="Arial"/>
              <w:bCs/>
              <w:color w:val="000000"/>
            </w:rPr>
            <w:t xml:space="preserve">Sinha, R. (2024). Book review: Christoph Molnar. 2020. Interpretable Machine Learning: A Guide for Making Black Box Models Explainable. </w:t>
          </w:r>
          <w:r w:rsidRPr="007B6B26">
            <w:rPr>
              <w:rFonts w:ascii="Arial" w:hAnsi="Arial" w:cs="Arial"/>
              <w:bCs/>
              <w:i/>
              <w:iCs/>
              <w:color w:val="000000"/>
            </w:rPr>
            <w:t>Metamorphosis: A Journal of Management Research</w:t>
          </w:r>
          <w:r w:rsidRPr="007B6B26">
            <w:rPr>
              <w:rFonts w:ascii="Arial" w:hAnsi="Arial" w:cs="Arial"/>
              <w:bCs/>
              <w:color w:val="000000"/>
            </w:rPr>
            <w:t xml:space="preserve">, </w:t>
          </w:r>
          <w:r w:rsidRPr="007B6B26">
            <w:rPr>
              <w:rFonts w:ascii="Arial" w:hAnsi="Arial" w:cs="Arial"/>
              <w:bCs/>
              <w:i/>
              <w:iCs/>
              <w:color w:val="000000"/>
            </w:rPr>
            <w:t>23</w:t>
          </w:r>
          <w:r w:rsidRPr="007B6B26">
            <w:rPr>
              <w:rFonts w:ascii="Arial" w:hAnsi="Arial" w:cs="Arial"/>
              <w:bCs/>
              <w:color w:val="000000"/>
            </w:rPr>
            <w:t>, 92–93. https://doi.org/10.1177/09726225241252009</w:t>
          </w:r>
        </w:p>
        <w:p w14:paraId="3E9977E5" w14:textId="77777777" w:rsidR="007B6B26" w:rsidRPr="007B6B26" w:rsidRDefault="007B6B26" w:rsidP="007B6B26">
          <w:pPr>
            <w:autoSpaceDE w:val="0"/>
            <w:autoSpaceDN w:val="0"/>
            <w:ind w:hanging="480"/>
            <w:jc w:val="both"/>
            <w:divId w:val="1493981058"/>
            <w:rPr>
              <w:rFonts w:ascii="Arial" w:hAnsi="Arial" w:cs="Arial"/>
              <w:bCs/>
              <w:color w:val="000000"/>
            </w:rPr>
          </w:pPr>
          <w:r w:rsidRPr="007B6B26">
            <w:rPr>
              <w:rFonts w:ascii="Arial" w:hAnsi="Arial" w:cs="Arial"/>
              <w:bCs/>
              <w:color w:val="000000"/>
            </w:rPr>
            <w:t xml:space="preserve">Sohil, F., Sohail, M., &amp; Shabbir, J. (2021). An introduction to statistical learning with applications in R: by Gareth James, Daniela Witten, Trevor Hastie, and Robert Tibshirani, New York, Springer Science and Business Media, 2013, 41.98, </w:t>
          </w:r>
          <w:proofErr w:type="spellStart"/>
          <w:r w:rsidRPr="007B6B26">
            <w:rPr>
              <w:rFonts w:ascii="Arial" w:hAnsi="Arial" w:cs="Arial"/>
              <w:bCs/>
              <w:color w:val="000000"/>
            </w:rPr>
            <w:t>eISBN</w:t>
          </w:r>
          <w:proofErr w:type="spellEnd"/>
          <w:r w:rsidRPr="007B6B26">
            <w:rPr>
              <w:rFonts w:ascii="Arial" w:hAnsi="Arial" w:cs="Arial"/>
              <w:bCs/>
              <w:color w:val="000000"/>
            </w:rPr>
            <w:t xml:space="preserve">: 978-1-4614-7137-7. </w:t>
          </w:r>
          <w:r w:rsidRPr="007B6B26">
            <w:rPr>
              <w:rFonts w:ascii="Arial" w:hAnsi="Arial" w:cs="Arial"/>
              <w:bCs/>
              <w:i/>
              <w:iCs/>
              <w:color w:val="000000"/>
            </w:rPr>
            <w:t>Statistical Theory and Related Fields</w:t>
          </w:r>
          <w:r w:rsidRPr="007B6B26">
            <w:rPr>
              <w:rFonts w:ascii="Arial" w:hAnsi="Arial" w:cs="Arial"/>
              <w:bCs/>
              <w:color w:val="000000"/>
            </w:rPr>
            <w:t xml:space="preserve">, </w:t>
          </w:r>
          <w:r w:rsidRPr="007B6B26">
            <w:rPr>
              <w:rFonts w:ascii="Arial" w:hAnsi="Arial" w:cs="Arial"/>
              <w:bCs/>
              <w:i/>
              <w:iCs/>
              <w:color w:val="000000"/>
            </w:rPr>
            <w:t>6</w:t>
          </w:r>
          <w:r w:rsidRPr="007B6B26">
            <w:rPr>
              <w:rFonts w:ascii="Arial" w:hAnsi="Arial" w:cs="Arial"/>
              <w:bCs/>
              <w:color w:val="000000"/>
            </w:rPr>
            <w:t>, 1. https://doi.org/10.1080/24754269.2021.1980261</w:t>
          </w:r>
        </w:p>
        <w:p w14:paraId="20995852" w14:textId="77777777" w:rsidR="007B6B26" w:rsidRPr="007B6B26" w:rsidRDefault="007B6B26" w:rsidP="007B6B26">
          <w:pPr>
            <w:autoSpaceDE w:val="0"/>
            <w:autoSpaceDN w:val="0"/>
            <w:ind w:hanging="480"/>
            <w:jc w:val="both"/>
            <w:divId w:val="570391463"/>
            <w:rPr>
              <w:rFonts w:ascii="Arial" w:hAnsi="Arial" w:cs="Arial"/>
              <w:bCs/>
              <w:color w:val="000000"/>
            </w:rPr>
          </w:pPr>
          <w:r w:rsidRPr="007B6B26">
            <w:rPr>
              <w:rFonts w:ascii="Arial" w:hAnsi="Arial" w:cs="Arial"/>
              <w:bCs/>
              <w:color w:val="000000"/>
            </w:rPr>
            <w:t xml:space="preserve">Sun, W., Wang, Y., Zhang, L., Chen, X. H., &amp; Hoang, Y. H. (2025). Enhancing economic cycle forecasting based on interpretable machine learning and news narrative sentiment. </w:t>
          </w:r>
          <w:r w:rsidRPr="007B6B26">
            <w:rPr>
              <w:rFonts w:ascii="Arial" w:hAnsi="Arial" w:cs="Arial"/>
              <w:bCs/>
              <w:i/>
              <w:iCs/>
              <w:color w:val="000000"/>
            </w:rPr>
            <w:t>Technological Forecasting and Social Change</w:t>
          </w:r>
          <w:r w:rsidRPr="007B6B26">
            <w:rPr>
              <w:rFonts w:ascii="Arial" w:hAnsi="Arial" w:cs="Arial"/>
              <w:bCs/>
              <w:color w:val="000000"/>
            </w:rPr>
            <w:t xml:space="preserve">, </w:t>
          </w:r>
          <w:r w:rsidRPr="007B6B26">
            <w:rPr>
              <w:rFonts w:ascii="Arial" w:hAnsi="Arial" w:cs="Arial"/>
              <w:bCs/>
              <w:i/>
              <w:iCs/>
              <w:color w:val="000000"/>
            </w:rPr>
            <w:t>215</w:t>
          </w:r>
          <w:r w:rsidRPr="007B6B26">
            <w:rPr>
              <w:rFonts w:ascii="Arial" w:hAnsi="Arial" w:cs="Arial"/>
              <w:bCs/>
              <w:color w:val="000000"/>
            </w:rPr>
            <w:t>, 124094. https://doi.org/https://doi.org/10.1016/j.techfore.2025.124094</w:t>
          </w:r>
        </w:p>
        <w:p w14:paraId="35DE0A3F" w14:textId="77777777" w:rsidR="007B6B26" w:rsidRPr="007B6B26" w:rsidRDefault="007B6B26" w:rsidP="007B6B26">
          <w:pPr>
            <w:autoSpaceDE w:val="0"/>
            <w:autoSpaceDN w:val="0"/>
            <w:ind w:hanging="480"/>
            <w:jc w:val="both"/>
            <w:divId w:val="306208361"/>
            <w:rPr>
              <w:rFonts w:ascii="Arial" w:hAnsi="Arial" w:cs="Arial"/>
              <w:bCs/>
              <w:color w:val="000000"/>
            </w:rPr>
          </w:pPr>
          <w:r w:rsidRPr="007B6B26">
            <w:rPr>
              <w:rFonts w:ascii="Arial" w:hAnsi="Arial" w:cs="Arial"/>
              <w:bCs/>
              <w:color w:val="000000"/>
            </w:rPr>
            <w:t xml:space="preserve">Swamy, V. (2012). Impact of Macroeconomic and Endogenous Factors on </w:t>
          </w:r>
          <w:proofErr w:type="gramStart"/>
          <w:r w:rsidRPr="007B6B26">
            <w:rPr>
              <w:rFonts w:ascii="Arial" w:hAnsi="Arial" w:cs="Arial"/>
              <w:bCs/>
              <w:color w:val="000000"/>
            </w:rPr>
            <w:t>Non Performing</w:t>
          </w:r>
          <w:proofErr w:type="gramEnd"/>
          <w:r w:rsidRPr="007B6B26">
            <w:rPr>
              <w:rFonts w:ascii="Arial" w:hAnsi="Arial" w:cs="Arial"/>
              <w:bCs/>
              <w:color w:val="000000"/>
            </w:rPr>
            <w:t xml:space="preserve"> Bank Assets. </w:t>
          </w:r>
          <w:r w:rsidRPr="007B6B26">
            <w:rPr>
              <w:rFonts w:ascii="Arial" w:hAnsi="Arial" w:cs="Arial"/>
              <w:bCs/>
              <w:i/>
              <w:iCs/>
              <w:color w:val="000000"/>
            </w:rPr>
            <w:t>International Journal of Banking and Finance</w:t>
          </w:r>
          <w:r w:rsidRPr="007B6B26">
            <w:rPr>
              <w:rFonts w:ascii="Arial" w:hAnsi="Arial" w:cs="Arial"/>
              <w:bCs/>
              <w:color w:val="000000"/>
            </w:rPr>
            <w:t xml:space="preserve">, </w:t>
          </w:r>
          <w:r w:rsidRPr="007B6B26">
            <w:rPr>
              <w:rFonts w:ascii="Arial" w:hAnsi="Arial" w:cs="Arial"/>
              <w:bCs/>
              <w:i/>
              <w:iCs/>
              <w:color w:val="000000"/>
            </w:rPr>
            <w:t>9</w:t>
          </w:r>
          <w:r w:rsidRPr="007B6B26">
            <w:rPr>
              <w:rFonts w:ascii="Arial" w:hAnsi="Arial" w:cs="Arial"/>
              <w:bCs/>
              <w:color w:val="000000"/>
            </w:rPr>
            <w:t>. https://doi.org/10.32890/ijbf2012.9.1.8447</w:t>
          </w:r>
        </w:p>
        <w:p w14:paraId="223BDF2A" w14:textId="77777777" w:rsidR="007B6B26" w:rsidRPr="007B6B26" w:rsidRDefault="007B6B26" w:rsidP="007B6B26">
          <w:pPr>
            <w:autoSpaceDE w:val="0"/>
            <w:autoSpaceDN w:val="0"/>
            <w:ind w:hanging="480"/>
            <w:jc w:val="both"/>
            <w:divId w:val="879781926"/>
            <w:rPr>
              <w:rFonts w:ascii="Arial" w:hAnsi="Arial" w:cs="Arial"/>
              <w:bCs/>
              <w:color w:val="000000"/>
            </w:rPr>
          </w:pPr>
          <w:r w:rsidRPr="009861F9">
            <w:rPr>
              <w:rFonts w:ascii="Arial" w:hAnsi="Arial" w:cs="Arial"/>
              <w:bCs/>
              <w:color w:val="000000"/>
              <w:lang w:val="pl-PL"/>
            </w:rPr>
            <w:t xml:space="preserve">Wang, Y., Wei, W., Liu, Z., Liu, J., Lv, Y., &amp; Li, X. (2025). </w:t>
          </w:r>
          <w:r w:rsidRPr="007B6B26">
            <w:rPr>
              <w:rFonts w:ascii="Arial" w:hAnsi="Arial" w:cs="Arial"/>
              <w:bCs/>
              <w:color w:val="000000"/>
            </w:rPr>
            <w:t xml:space="preserve">Interpretable Machine Learning Framework for Corporate Financialization Prediction: A SHAP-Based Analysis of High-Dimensional Data. </w:t>
          </w:r>
          <w:r w:rsidRPr="007B6B26">
            <w:rPr>
              <w:rFonts w:ascii="Arial" w:hAnsi="Arial" w:cs="Arial"/>
              <w:bCs/>
              <w:i/>
              <w:iCs/>
              <w:color w:val="000000"/>
            </w:rPr>
            <w:t>Mathematics</w:t>
          </w:r>
          <w:r w:rsidRPr="007B6B26">
            <w:rPr>
              <w:rFonts w:ascii="Arial" w:hAnsi="Arial" w:cs="Arial"/>
              <w:bCs/>
              <w:color w:val="000000"/>
            </w:rPr>
            <w:t xml:space="preserve">, </w:t>
          </w:r>
          <w:r w:rsidRPr="007B6B26">
            <w:rPr>
              <w:rFonts w:ascii="Arial" w:hAnsi="Arial" w:cs="Arial"/>
              <w:bCs/>
              <w:i/>
              <w:iCs/>
              <w:color w:val="000000"/>
            </w:rPr>
            <w:t>13</w:t>
          </w:r>
          <w:r w:rsidRPr="007B6B26">
            <w:rPr>
              <w:rFonts w:ascii="Arial" w:hAnsi="Arial" w:cs="Arial"/>
              <w:bCs/>
              <w:color w:val="000000"/>
            </w:rPr>
            <w:t>, 2526. https://doi.org/10.3390/math13152526</w:t>
          </w:r>
        </w:p>
        <w:p w14:paraId="6DED24A6" w14:textId="77777777" w:rsidR="007B6B26" w:rsidRPr="007B6B26" w:rsidRDefault="007B6B26" w:rsidP="007B6B26">
          <w:pPr>
            <w:autoSpaceDE w:val="0"/>
            <w:autoSpaceDN w:val="0"/>
            <w:ind w:hanging="480"/>
            <w:jc w:val="both"/>
            <w:divId w:val="1731807789"/>
            <w:rPr>
              <w:rFonts w:ascii="Arial" w:hAnsi="Arial" w:cs="Arial"/>
              <w:bCs/>
              <w:color w:val="000000"/>
            </w:rPr>
          </w:pPr>
          <w:r w:rsidRPr="007B6B26">
            <w:rPr>
              <w:rFonts w:ascii="Arial" w:hAnsi="Arial" w:cs="Arial"/>
              <w:bCs/>
              <w:color w:val="000000"/>
            </w:rPr>
            <w:t xml:space="preserve">Wooldridge, J. (2021). </w:t>
          </w:r>
          <w:r w:rsidRPr="007B6B26">
            <w:rPr>
              <w:rFonts w:ascii="Arial" w:hAnsi="Arial" w:cs="Arial"/>
              <w:bCs/>
              <w:i/>
              <w:iCs/>
              <w:color w:val="000000"/>
            </w:rPr>
            <w:t xml:space="preserve">Two-Way Fixed Effects, the Two-Way </w:t>
          </w:r>
          <w:proofErr w:type="spellStart"/>
          <w:r w:rsidRPr="007B6B26">
            <w:rPr>
              <w:rFonts w:ascii="Arial" w:hAnsi="Arial" w:cs="Arial"/>
              <w:bCs/>
              <w:i/>
              <w:iCs/>
              <w:color w:val="000000"/>
            </w:rPr>
            <w:t>Mundlak</w:t>
          </w:r>
          <w:proofErr w:type="spellEnd"/>
          <w:r w:rsidRPr="007B6B26">
            <w:rPr>
              <w:rFonts w:ascii="Arial" w:hAnsi="Arial" w:cs="Arial"/>
              <w:bCs/>
              <w:i/>
              <w:iCs/>
              <w:color w:val="000000"/>
            </w:rPr>
            <w:t xml:space="preserve"> Regression, and Difference-in-Differences Estimators</w:t>
          </w:r>
          <w:r w:rsidRPr="007B6B26">
            <w:rPr>
              <w:rFonts w:ascii="Arial" w:hAnsi="Arial" w:cs="Arial"/>
              <w:bCs/>
              <w:color w:val="000000"/>
            </w:rPr>
            <w:t>.</w:t>
          </w:r>
        </w:p>
        <w:p w14:paraId="3DA3DEB4" w14:textId="77777777" w:rsidR="007B6B26" w:rsidRPr="007B6B26" w:rsidRDefault="007B6B26" w:rsidP="007B6B26">
          <w:pPr>
            <w:autoSpaceDE w:val="0"/>
            <w:autoSpaceDN w:val="0"/>
            <w:ind w:hanging="480"/>
            <w:jc w:val="both"/>
            <w:divId w:val="1212112008"/>
            <w:rPr>
              <w:rFonts w:ascii="Arial" w:hAnsi="Arial" w:cs="Arial"/>
              <w:bCs/>
              <w:color w:val="000000"/>
            </w:rPr>
          </w:pPr>
          <w:r w:rsidRPr="007B6B26">
            <w:rPr>
              <w:rFonts w:ascii="Arial" w:hAnsi="Arial" w:cs="Arial"/>
              <w:bCs/>
              <w:color w:val="000000"/>
            </w:rPr>
            <w:t>Zhong, C., Xie, Y., Wang, H., Chen, W., Yang, Z., Zhang, L., Deng, Q., Cheng, T., Li, M., Ju, J., Liu, Y., &amp; Liang, H. (2024). Berberine inhibits NLRP3 inflammasome activation by regulating mTOR/</w:t>
          </w:r>
          <w:proofErr w:type="spellStart"/>
          <w:r w:rsidRPr="007B6B26">
            <w:rPr>
              <w:rFonts w:ascii="Arial" w:hAnsi="Arial" w:cs="Arial"/>
              <w:bCs/>
              <w:color w:val="000000"/>
            </w:rPr>
            <w:t>mtROS</w:t>
          </w:r>
          <w:proofErr w:type="spellEnd"/>
          <w:r w:rsidRPr="007B6B26">
            <w:rPr>
              <w:rFonts w:ascii="Arial" w:hAnsi="Arial" w:cs="Arial"/>
              <w:bCs/>
              <w:color w:val="000000"/>
            </w:rPr>
            <w:t xml:space="preserve"> axis to alleviate diabetic cardiomyopathy. </w:t>
          </w:r>
          <w:r w:rsidRPr="007B6B26">
            <w:rPr>
              <w:rFonts w:ascii="Arial" w:hAnsi="Arial" w:cs="Arial"/>
              <w:bCs/>
              <w:i/>
              <w:iCs/>
              <w:color w:val="000000"/>
            </w:rPr>
            <w:t>European Journal of Pharmacology</w:t>
          </w:r>
          <w:r w:rsidRPr="007B6B26">
            <w:rPr>
              <w:rFonts w:ascii="Arial" w:hAnsi="Arial" w:cs="Arial"/>
              <w:bCs/>
              <w:color w:val="000000"/>
            </w:rPr>
            <w:t xml:space="preserve">, </w:t>
          </w:r>
          <w:r w:rsidRPr="007B6B26">
            <w:rPr>
              <w:rFonts w:ascii="Arial" w:hAnsi="Arial" w:cs="Arial"/>
              <w:bCs/>
              <w:i/>
              <w:iCs/>
              <w:color w:val="000000"/>
            </w:rPr>
            <w:t>964</w:t>
          </w:r>
          <w:r w:rsidRPr="007B6B26">
            <w:rPr>
              <w:rFonts w:ascii="Arial" w:hAnsi="Arial" w:cs="Arial"/>
              <w:bCs/>
              <w:color w:val="000000"/>
            </w:rPr>
            <w:t>, 176253. https://doi.org/10.1016/j.ejphar.2023.176253</w:t>
          </w:r>
        </w:p>
        <w:p w14:paraId="1034AAB3" w14:textId="52A37688" w:rsidR="007B6B26" w:rsidRPr="007B6B26" w:rsidRDefault="007B6B26" w:rsidP="007B6B26">
          <w:pPr>
            <w:pStyle w:val="ReferHead"/>
            <w:spacing w:after="0"/>
            <w:jc w:val="both"/>
            <w:rPr>
              <w:rFonts w:ascii="Arial" w:hAnsi="Arial" w:cs="Arial"/>
              <w:b w:val="0"/>
              <w:bCs/>
              <w:sz w:val="20"/>
            </w:rPr>
            <w:sectPr w:rsidR="007B6B26" w:rsidRPr="007B6B26" w:rsidSect="00050E95">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r w:rsidRPr="007B6B26">
            <w:rPr>
              <w:rFonts w:ascii="Arial" w:hAnsi="Arial" w:cs="Arial"/>
              <w:b w:val="0"/>
              <w:bCs/>
              <w:color w:val="000000"/>
              <w:sz w:val="20"/>
            </w:rPr>
            <w:t> </w:t>
          </w:r>
        </w:p>
      </w:sdtContent>
    </w:sdt>
    <w:p w14:paraId="4F854B93" w14:textId="77777777" w:rsidR="00B01FCD" w:rsidRPr="00FB3A86" w:rsidRDefault="00B01FCD" w:rsidP="00441B6F">
      <w:pPr>
        <w:pStyle w:val="Appendix"/>
        <w:spacing w:after="0"/>
        <w:jc w:val="both"/>
        <w:rPr>
          <w:rFonts w:ascii="Arial" w:hAnsi="Arial" w:cs="Arial"/>
          <w:b w:val="0"/>
        </w:rPr>
      </w:pPr>
    </w:p>
    <w:sectPr w:rsidR="00B01FCD" w:rsidRPr="00FB3A86" w:rsidSect="00050E9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84F6B" w14:textId="77777777" w:rsidR="0061744A" w:rsidRDefault="0061744A" w:rsidP="00C37E61">
      <w:r>
        <w:separator/>
      </w:r>
    </w:p>
  </w:endnote>
  <w:endnote w:type="continuationSeparator" w:id="0">
    <w:p w14:paraId="7819ACF2" w14:textId="77777777" w:rsidR="0061744A" w:rsidRDefault="0061744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F06CF" w14:textId="77777777" w:rsidR="00050E95" w:rsidRDefault="00050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DA07E" w14:textId="77777777" w:rsidR="00050E95" w:rsidRDefault="00050E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B21FB" w14:textId="40E3CF95" w:rsidR="00754C9A" w:rsidRPr="00050E95" w:rsidRDefault="00754C9A" w:rsidP="00050E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C701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98D9B" w14:textId="77777777" w:rsidR="0061744A" w:rsidRDefault="0061744A" w:rsidP="00C37E61">
      <w:r>
        <w:separator/>
      </w:r>
    </w:p>
  </w:footnote>
  <w:footnote w:type="continuationSeparator" w:id="0">
    <w:p w14:paraId="6AF42FFD" w14:textId="77777777" w:rsidR="0061744A" w:rsidRDefault="0061744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1A451" w14:textId="6C023A65" w:rsidR="00050E95" w:rsidRDefault="00050E95">
    <w:pPr>
      <w:pStyle w:val="Header"/>
    </w:pPr>
    <w:r>
      <w:rPr>
        <w:noProof/>
      </w:rPr>
      <w:pict w14:anchorId="699AA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847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81409" w14:textId="1F4CA598" w:rsidR="00050E95" w:rsidRDefault="00050E95">
    <w:pPr>
      <w:pStyle w:val="Header"/>
    </w:pPr>
    <w:r>
      <w:rPr>
        <w:noProof/>
      </w:rPr>
      <w:pict w14:anchorId="45F9E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847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E9FDD" w14:textId="7221F75C" w:rsidR="00296529" w:rsidRPr="00296529" w:rsidRDefault="00050E95" w:rsidP="00296529">
    <w:pPr>
      <w:ind w:left="2160"/>
      <w:jc w:val="center"/>
      <w:rPr>
        <w:rFonts w:ascii="Times New Roman" w:eastAsia="Calibri" w:hAnsi="Times New Roman"/>
        <w:i/>
        <w:sz w:val="18"/>
        <w:szCs w:val="22"/>
      </w:rPr>
    </w:pPr>
    <w:r>
      <w:rPr>
        <w:noProof/>
      </w:rPr>
      <w:pict w14:anchorId="20C64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847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977BCB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18EE99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A3C8B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057777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8F9E9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C32EA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42D09" w14:textId="631431A2" w:rsidR="00050E95" w:rsidRDefault="00050E95">
    <w:pPr>
      <w:pStyle w:val="Header"/>
    </w:pPr>
    <w:r>
      <w:rPr>
        <w:noProof/>
      </w:rPr>
      <w:pict w14:anchorId="56786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848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A3C27" w14:textId="1F96E86D" w:rsidR="00050E95" w:rsidRDefault="00050E95">
    <w:pPr>
      <w:pStyle w:val="Header"/>
    </w:pPr>
    <w:r>
      <w:rPr>
        <w:noProof/>
      </w:rPr>
      <w:pict w14:anchorId="2BE8DD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848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C8C11" w14:textId="28A60600" w:rsidR="00050E95" w:rsidRDefault="00050E95">
    <w:pPr>
      <w:pStyle w:val="Header"/>
    </w:pPr>
    <w:r>
      <w:rPr>
        <w:noProof/>
      </w:rPr>
      <w:pict w14:anchorId="1256D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847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891A6D"/>
    <w:multiLevelType w:val="multilevel"/>
    <w:tmpl w:val="1546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FD6F6C"/>
    <w:multiLevelType w:val="multilevel"/>
    <w:tmpl w:val="84206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0F45BAA"/>
    <w:multiLevelType w:val="multilevel"/>
    <w:tmpl w:val="BD02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0"/>
  </w:num>
  <w:num w:numId="31">
    <w:abstractNumId w:val="18"/>
  </w:num>
  <w:num w:numId="32">
    <w:abstractNumId w:val="1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0E95"/>
    <w:rsid w:val="000A47FA"/>
    <w:rsid w:val="000A65D3"/>
    <w:rsid w:val="000B1E33"/>
    <w:rsid w:val="000D689F"/>
    <w:rsid w:val="000E7B7B"/>
    <w:rsid w:val="000E7D62"/>
    <w:rsid w:val="00103357"/>
    <w:rsid w:val="00113F44"/>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65AB"/>
    <w:rsid w:val="00315186"/>
    <w:rsid w:val="00315B60"/>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44A"/>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573B6"/>
    <w:rsid w:val="00761D52"/>
    <w:rsid w:val="0077749E"/>
    <w:rsid w:val="00785A6B"/>
    <w:rsid w:val="00790ADA"/>
    <w:rsid w:val="007A38DA"/>
    <w:rsid w:val="007B6B26"/>
    <w:rsid w:val="007D2288"/>
    <w:rsid w:val="007E088F"/>
    <w:rsid w:val="007F7B32"/>
    <w:rsid w:val="00804BC2"/>
    <w:rsid w:val="0081431A"/>
    <w:rsid w:val="0083216F"/>
    <w:rsid w:val="00860000"/>
    <w:rsid w:val="00863BD3"/>
    <w:rsid w:val="008641ED"/>
    <w:rsid w:val="00866D66"/>
    <w:rsid w:val="008671C6"/>
    <w:rsid w:val="00875803"/>
    <w:rsid w:val="00876C97"/>
    <w:rsid w:val="008B459E"/>
    <w:rsid w:val="008E13AE"/>
    <w:rsid w:val="008E1506"/>
    <w:rsid w:val="008E5D05"/>
    <w:rsid w:val="008E710C"/>
    <w:rsid w:val="008F69D6"/>
    <w:rsid w:val="00902823"/>
    <w:rsid w:val="00915CA6"/>
    <w:rsid w:val="00927834"/>
    <w:rsid w:val="009500A6"/>
    <w:rsid w:val="00957C18"/>
    <w:rsid w:val="009659BA"/>
    <w:rsid w:val="00977157"/>
    <w:rsid w:val="00983040"/>
    <w:rsid w:val="009861F9"/>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181C"/>
    <w:rsid w:val="00A87268"/>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0BE1"/>
    <w:rsid w:val="00C37E61"/>
    <w:rsid w:val="00C70F1B"/>
    <w:rsid w:val="00C71A47"/>
    <w:rsid w:val="00C7464C"/>
    <w:rsid w:val="00C85588"/>
    <w:rsid w:val="00CA3ED0"/>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3918B7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8726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CA3ED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1Char">
    <w:name w:val="Heading 1 Char"/>
    <w:basedOn w:val="DefaultParagraphFont"/>
    <w:link w:val="Heading1"/>
    <w:uiPriority w:val="9"/>
    <w:rsid w:val="008E5D05"/>
    <w:rPr>
      <w:rFonts w:ascii="Arial" w:hAnsi="Arial"/>
      <w:b/>
      <w:kern w:val="28"/>
      <w:sz w:val="28"/>
    </w:rPr>
  </w:style>
  <w:style w:type="character" w:customStyle="1" w:styleId="Heading3Char">
    <w:name w:val="Heading 3 Char"/>
    <w:basedOn w:val="DefaultParagraphFont"/>
    <w:link w:val="Heading3"/>
    <w:uiPriority w:val="9"/>
    <w:semiHidden/>
    <w:rsid w:val="00A8726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A3ED0"/>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CA3ED0"/>
    <w:pPr>
      <w:ind w:left="720"/>
      <w:contextualSpacing/>
    </w:pPr>
  </w:style>
  <w:style w:type="character" w:customStyle="1" w:styleId="FooterChar">
    <w:name w:val="Footer Char"/>
    <w:basedOn w:val="DefaultParagraphFont"/>
    <w:link w:val="Footer"/>
    <w:uiPriority w:val="99"/>
    <w:rsid w:val="002F65AB"/>
    <w:rPr>
      <w:rFonts w:ascii="Helvetica" w:hAnsi="Helvetica"/>
    </w:rPr>
  </w:style>
  <w:style w:type="character" w:styleId="PlaceholderText">
    <w:name w:val="Placeholder Text"/>
    <w:basedOn w:val="DefaultParagraphFont"/>
    <w:uiPriority w:val="99"/>
    <w:semiHidden/>
    <w:rsid w:val="007B6B2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5151679">
      <w:marLeft w:val="480"/>
      <w:marRight w:val="0"/>
      <w:marTop w:val="0"/>
      <w:marBottom w:val="0"/>
      <w:divBdr>
        <w:top w:val="none" w:sz="0" w:space="0" w:color="auto"/>
        <w:left w:val="none" w:sz="0" w:space="0" w:color="auto"/>
        <w:bottom w:val="none" w:sz="0" w:space="0" w:color="auto"/>
        <w:right w:val="none" w:sz="0" w:space="0" w:color="auto"/>
      </w:divBdr>
    </w:div>
    <w:div w:id="122891224">
      <w:marLeft w:val="480"/>
      <w:marRight w:val="0"/>
      <w:marTop w:val="0"/>
      <w:marBottom w:val="0"/>
      <w:divBdr>
        <w:top w:val="none" w:sz="0" w:space="0" w:color="auto"/>
        <w:left w:val="none" w:sz="0" w:space="0" w:color="auto"/>
        <w:bottom w:val="none" w:sz="0" w:space="0" w:color="auto"/>
        <w:right w:val="none" w:sz="0" w:space="0" w:color="auto"/>
      </w:divBdr>
    </w:div>
    <w:div w:id="149635449">
      <w:marLeft w:val="480"/>
      <w:marRight w:val="0"/>
      <w:marTop w:val="0"/>
      <w:marBottom w:val="0"/>
      <w:divBdr>
        <w:top w:val="none" w:sz="0" w:space="0" w:color="auto"/>
        <w:left w:val="none" w:sz="0" w:space="0" w:color="auto"/>
        <w:bottom w:val="none" w:sz="0" w:space="0" w:color="auto"/>
        <w:right w:val="none" w:sz="0" w:space="0" w:color="auto"/>
      </w:divBdr>
    </w:div>
    <w:div w:id="151607861">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0337046">
      <w:marLeft w:val="480"/>
      <w:marRight w:val="0"/>
      <w:marTop w:val="0"/>
      <w:marBottom w:val="0"/>
      <w:divBdr>
        <w:top w:val="none" w:sz="0" w:space="0" w:color="auto"/>
        <w:left w:val="none" w:sz="0" w:space="0" w:color="auto"/>
        <w:bottom w:val="none" w:sz="0" w:space="0" w:color="auto"/>
        <w:right w:val="none" w:sz="0" w:space="0" w:color="auto"/>
      </w:divBdr>
    </w:div>
    <w:div w:id="199441134">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7542303">
      <w:marLeft w:val="480"/>
      <w:marRight w:val="0"/>
      <w:marTop w:val="0"/>
      <w:marBottom w:val="0"/>
      <w:divBdr>
        <w:top w:val="none" w:sz="0" w:space="0" w:color="auto"/>
        <w:left w:val="none" w:sz="0" w:space="0" w:color="auto"/>
        <w:bottom w:val="none" w:sz="0" w:space="0" w:color="auto"/>
        <w:right w:val="none" w:sz="0" w:space="0" w:color="auto"/>
      </w:divBdr>
    </w:div>
    <w:div w:id="248582221">
      <w:marLeft w:val="480"/>
      <w:marRight w:val="0"/>
      <w:marTop w:val="0"/>
      <w:marBottom w:val="0"/>
      <w:divBdr>
        <w:top w:val="none" w:sz="0" w:space="0" w:color="auto"/>
        <w:left w:val="none" w:sz="0" w:space="0" w:color="auto"/>
        <w:bottom w:val="none" w:sz="0" w:space="0" w:color="auto"/>
        <w:right w:val="none" w:sz="0" w:space="0" w:color="auto"/>
      </w:divBdr>
    </w:div>
    <w:div w:id="267587425">
      <w:marLeft w:val="480"/>
      <w:marRight w:val="0"/>
      <w:marTop w:val="0"/>
      <w:marBottom w:val="0"/>
      <w:divBdr>
        <w:top w:val="none" w:sz="0" w:space="0" w:color="auto"/>
        <w:left w:val="none" w:sz="0" w:space="0" w:color="auto"/>
        <w:bottom w:val="none" w:sz="0" w:space="0" w:color="auto"/>
        <w:right w:val="none" w:sz="0" w:space="0" w:color="auto"/>
      </w:divBdr>
    </w:div>
    <w:div w:id="306208361">
      <w:marLeft w:val="480"/>
      <w:marRight w:val="0"/>
      <w:marTop w:val="0"/>
      <w:marBottom w:val="0"/>
      <w:divBdr>
        <w:top w:val="none" w:sz="0" w:space="0" w:color="auto"/>
        <w:left w:val="none" w:sz="0" w:space="0" w:color="auto"/>
        <w:bottom w:val="none" w:sz="0" w:space="0" w:color="auto"/>
        <w:right w:val="none" w:sz="0" w:space="0" w:color="auto"/>
      </w:divBdr>
    </w:div>
    <w:div w:id="333651905">
      <w:marLeft w:val="480"/>
      <w:marRight w:val="0"/>
      <w:marTop w:val="0"/>
      <w:marBottom w:val="0"/>
      <w:divBdr>
        <w:top w:val="none" w:sz="0" w:space="0" w:color="auto"/>
        <w:left w:val="none" w:sz="0" w:space="0" w:color="auto"/>
        <w:bottom w:val="none" w:sz="0" w:space="0" w:color="auto"/>
        <w:right w:val="none" w:sz="0" w:space="0" w:color="auto"/>
      </w:divBdr>
    </w:div>
    <w:div w:id="552697593">
      <w:marLeft w:val="480"/>
      <w:marRight w:val="0"/>
      <w:marTop w:val="0"/>
      <w:marBottom w:val="0"/>
      <w:divBdr>
        <w:top w:val="none" w:sz="0" w:space="0" w:color="auto"/>
        <w:left w:val="none" w:sz="0" w:space="0" w:color="auto"/>
        <w:bottom w:val="none" w:sz="0" w:space="0" w:color="auto"/>
        <w:right w:val="none" w:sz="0" w:space="0" w:color="auto"/>
      </w:divBdr>
    </w:div>
    <w:div w:id="570391463">
      <w:marLeft w:val="480"/>
      <w:marRight w:val="0"/>
      <w:marTop w:val="0"/>
      <w:marBottom w:val="0"/>
      <w:divBdr>
        <w:top w:val="none" w:sz="0" w:space="0" w:color="auto"/>
        <w:left w:val="none" w:sz="0" w:space="0" w:color="auto"/>
        <w:bottom w:val="none" w:sz="0" w:space="0" w:color="auto"/>
        <w:right w:val="none" w:sz="0" w:space="0" w:color="auto"/>
      </w:divBdr>
    </w:div>
    <w:div w:id="572543155">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44494385">
      <w:marLeft w:val="480"/>
      <w:marRight w:val="0"/>
      <w:marTop w:val="0"/>
      <w:marBottom w:val="0"/>
      <w:divBdr>
        <w:top w:val="none" w:sz="0" w:space="0" w:color="auto"/>
        <w:left w:val="none" w:sz="0" w:space="0" w:color="auto"/>
        <w:bottom w:val="none" w:sz="0" w:space="0" w:color="auto"/>
        <w:right w:val="none" w:sz="0" w:space="0" w:color="auto"/>
      </w:divBdr>
    </w:div>
    <w:div w:id="753862855">
      <w:marLeft w:val="480"/>
      <w:marRight w:val="0"/>
      <w:marTop w:val="0"/>
      <w:marBottom w:val="0"/>
      <w:divBdr>
        <w:top w:val="none" w:sz="0" w:space="0" w:color="auto"/>
        <w:left w:val="none" w:sz="0" w:space="0" w:color="auto"/>
        <w:bottom w:val="none" w:sz="0" w:space="0" w:color="auto"/>
        <w:right w:val="none" w:sz="0" w:space="0" w:color="auto"/>
      </w:divBdr>
    </w:div>
    <w:div w:id="787159558">
      <w:marLeft w:val="480"/>
      <w:marRight w:val="0"/>
      <w:marTop w:val="0"/>
      <w:marBottom w:val="0"/>
      <w:divBdr>
        <w:top w:val="none" w:sz="0" w:space="0" w:color="auto"/>
        <w:left w:val="none" w:sz="0" w:space="0" w:color="auto"/>
        <w:bottom w:val="none" w:sz="0" w:space="0" w:color="auto"/>
        <w:right w:val="none" w:sz="0" w:space="0" w:color="auto"/>
      </w:divBdr>
    </w:div>
    <w:div w:id="869146850">
      <w:marLeft w:val="480"/>
      <w:marRight w:val="0"/>
      <w:marTop w:val="0"/>
      <w:marBottom w:val="0"/>
      <w:divBdr>
        <w:top w:val="none" w:sz="0" w:space="0" w:color="auto"/>
        <w:left w:val="none" w:sz="0" w:space="0" w:color="auto"/>
        <w:bottom w:val="none" w:sz="0" w:space="0" w:color="auto"/>
        <w:right w:val="none" w:sz="0" w:space="0" w:color="auto"/>
      </w:divBdr>
    </w:div>
    <w:div w:id="879781926">
      <w:marLeft w:val="480"/>
      <w:marRight w:val="0"/>
      <w:marTop w:val="0"/>
      <w:marBottom w:val="0"/>
      <w:divBdr>
        <w:top w:val="none" w:sz="0" w:space="0" w:color="auto"/>
        <w:left w:val="none" w:sz="0" w:space="0" w:color="auto"/>
        <w:bottom w:val="none" w:sz="0" w:space="0" w:color="auto"/>
        <w:right w:val="none" w:sz="0" w:space="0" w:color="auto"/>
      </w:divBdr>
    </w:div>
    <w:div w:id="914433861">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4970802">
      <w:marLeft w:val="480"/>
      <w:marRight w:val="0"/>
      <w:marTop w:val="0"/>
      <w:marBottom w:val="0"/>
      <w:divBdr>
        <w:top w:val="none" w:sz="0" w:space="0" w:color="auto"/>
        <w:left w:val="none" w:sz="0" w:space="0" w:color="auto"/>
        <w:bottom w:val="none" w:sz="0" w:space="0" w:color="auto"/>
        <w:right w:val="none" w:sz="0" w:space="0" w:color="auto"/>
      </w:divBdr>
    </w:div>
    <w:div w:id="991636311">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5266320">
      <w:marLeft w:val="480"/>
      <w:marRight w:val="0"/>
      <w:marTop w:val="0"/>
      <w:marBottom w:val="0"/>
      <w:divBdr>
        <w:top w:val="none" w:sz="0" w:space="0" w:color="auto"/>
        <w:left w:val="none" w:sz="0" w:space="0" w:color="auto"/>
        <w:bottom w:val="none" w:sz="0" w:space="0" w:color="auto"/>
        <w:right w:val="none" w:sz="0" w:space="0" w:color="auto"/>
      </w:divBdr>
    </w:div>
    <w:div w:id="1111314576">
      <w:marLeft w:val="48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2072619">
      <w:marLeft w:val="480"/>
      <w:marRight w:val="0"/>
      <w:marTop w:val="0"/>
      <w:marBottom w:val="0"/>
      <w:divBdr>
        <w:top w:val="none" w:sz="0" w:space="0" w:color="auto"/>
        <w:left w:val="none" w:sz="0" w:space="0" w:color="auto"/>
        <w:bottom w:val="none" w:sz="0" w:space="0" w:color="auto"/>
        <w:right w:val="none" w:sz="0" w:space="0" w:color="auto"/>
      </w:divBdr>
    </w:div>
    <w:div w:id="1138693791">
      <w:marLeft w:val="480"/>
      <w:marRight w:val="0"/>
      <w:marTop w:val="0"/>
      <w:marBottom w:val="0"/>
      <w:divBdr>
        <w:top w:val="none" w:sz="0" w:space="0" w:color="auto"/>
        <w:left w:val="none" w:sz="0" w:space="0" w:color="auto"/>
        <w:bottom w:val="none" w:sz="0" w:space="0" w:color="auto"/>
        <w:right w:val="none" w:sz="0" w:space="0" w:color="auto"/>
      </w:divBdr>
    </w:div>
    <w:div w:id="1146123584">
      <w:marLeft w:val="480"/>
      <w:marRight w:val="0"/>
      <w:marTop w:val="0"/>
      <w:marBottom w:val="0"/>
      <w:divBdr>
        <w:top w:val="none" w:sz="0" w:space="0" w:color="auto"/>
        <w:left w:val="none" w:sz="0" w:space="0" w:color="auto"/>
        <w:bottom w:val="none" w:sz="0" w:space="0" w:color="auto"/>
        <w:right w:val="none" w:sz="0" w:space="0" w:color="auto"/>
      </w:divBdr>
    </w:div>
    <w:div w:id="1192575659">
      <w:marLeft w:val="480"/>
      <w:marRight w:val="0"/>
      <w:marTop w:val="0"/>
      <w:marBottom w:val="0"/>
      <w:divBdr>
        <w:top w:val="none" w:sz="0" w:space="0" w:color="auto"/>
        <w:left w:val="none" w:sz="0" w:space="0" w:color="auto"/>
        <w:bottom w:val="none" w:sz="0" w:space="0" w:color="auto"/>
        <w:right w:val="none" w:sz="0" w:space="0" w:color="auto"/>
      </w:divBdr>
    </w:div>
    <w:div w:id="1212112008">
      <w:marLeft w:val="480"/>
      <w:marRight w:val="0"/>
      <w:marTop w:val="0"/>
      <w:marBottom w:val="0"/>
      <w:divBdr>
        <w:top w:val="none" w:sz="0" w:space="0" w:color="auto"/>
        <w:left w:val="none" w:sz="0" w:space="0" w:color="auto"/>
        <w:bottom w:val="none" w:sz="0" w:space="0" w:color="auto"/>
        <w:right w:val="none" w:sz="0" w:space="0" w:color="auto"/>
      </w:divBdr>
    </w:div>
    <w:div w:id="1286935381">
      <w:marLeft w:val="480"/>
      <w:marRight w:val="0"/>
      <w:marTop w:val="0"/>
      <w:marBottom w:val="0"/>
      <w:divBdr>
        <w:top w:val="none" w:sz="0" w:space="0" w:color="auto"/>
        <w:left w:val="none" w:sz="0" w:space="0" w:color="auto"/>
        <w:bottom w:val="none" w:sz="0" w:space="0" w:color="auto"/>
        <w:right w:val="none" w:sz="0" w:space="0" w:color="auto"/>
      </w:divBdr>
    </w:div>
    <w:div w:id="1304117275">
      <w:marLeft w:val="480"/>
      <w:marRight w:val="0"/>
      <w:marTop w:val="0"/>
      <w:marBottom w:val="0"/>
      <w:divBdr>
        <w:top w:val="none" w:sz="0" w:space="0" w:color="auto"/>
        <w:left w:val="none" w:sz="0" w:space="0" w:color="auto"/>
        <w:bottom w:val="none" w:sz="0" w:space="0" w:color="auto"/>
        <w:right w:val="none" w:sz="0" w:space="0" w:color="auto"/>
      </w:divBdr>
    </w:div>
    <w:div w:id="1365715816">
      <w:marLeft w:val="480"/>
      <w:marRight w:val="0"/>
      <w:marTop w:val="0"/>
      <w:marBottom w:val="0"/>
      <w:divBdr>
        <w:top w:val="none" w:sz="0" w:space="0" w:color="auto"/>
        <w:left w:val="none" w:sz="0" w:space="0" w:color="auto"/>
        <w:bottom w:val="none" w:sz="0" w:space="0" w:color="auto"/>
        <w:right w:val="none" w:sz="0" w:space="0" w:color="auto"/>
      </w:divBdr>
    </w:div>
    <w:div w:id="1375886259">
      <w:marLeft w:val="480"/>
      <w:marRight w:val="0"/>
      <w:marTop w:val="0"/>
      <w:marBottom w:val="0"/>
      <w:divBdr>
        <w:top w:val="none" w:sz="0" w:space="0" w:color="auto"/>
        <w:left w:val="none" w:sz="0" w:space="0" w:color="auto"/>
        <w:bottom w:val="none" w:sz="0" w:space="0" w:color="auto"/>
        <w:right w:val="none" w:sz="0" w:space="0" w:color="auto"/>
      </w:divBdr>
    </w:div>
    <w:div w:id="1407730152">
      <w:marLeft w:val="480"/>
      <w:marRight w:val="0"/>
      <w:marTop w:val="0"/>
      <w:marBottom w:val="0"/>
      <w:divBdr>
        <w:top w:val="none" w:sz="0" w:space="0" w:color="auto"/>
        <w:left w:val="none" w:sz="0" w:space="0" w:color="auto"/>
        <w:bottom w:val="none" w:sz="0" w:space="0" w:color="auto"/>
        <w:right w:val="none" w:sz="0" w:space="0" w:color="auto"/>
      </w:divBdr>
    </w:div>
    <w:div w:id="1432701589">
      <w:marLeft w:val="480"/>
      <w:marRight w:val="0"/>
      <w:marTop w:val="0"/>
      <w:marBottom w:val="0"/>
      <w:divBdr>
        <w:top w:val="none" w:sz="0" w:space="0" w:color="auto"/>
        <w:left w:val="none" w:sz="0" w:space="0" w:color="auto"/>
        <w:bottom w:val="none" w:sz="0" w:space="0" w:color="auto"/>
        <w:right w:val="none" w:sz="0" w:space="0" w:color="auto"/>
      </w:divBdr>
    </w:div>
    <w:div w:id="1493981058">
      <w:marLeft w:val="480"/>
      <w:marRight w:val="0"/>
      <w:marTop w:val="0"/>
      <w:marBottom w:val="0"/>
      <w:divBdr>
        <w:top w:val="none" w:sz="0" w:space="0" w:color="auto"/>
        <w:left w:val="none" w:sz="0" w:space="0" w:color="auto"/>
        <w:bottom w:val="none" w:sz="0" w:space="0" w:color="auto"/>
        <w:right w:val="none" w:sz="0" w:space="0" w:color="auto"/>
      </w:divBdr>
    </w:div>
    <w:div w:id="1715808063">
      <w:marLeft w:val="480"/>
      <w:marRight w:val="0"/>
      <w:marTop w:val="0"/>
      <w:marBottom w:val="0"/>
      <w:divBdr>
        <w:top w:val="none" w:sz="0" w:space="0" w:color="auto"/>
        <w:left w:val="none" w:sz="0" w:space="0" w:color="auto"/>
        <w:bottom w:val="none" w:sz="0" w:space="0" w:color="auto"/>
        <w:right w:val="none" w:sz="0" w:space="0" w:color="auto"/>
      </w:divBdr>
    </w:div>
    <w:div w:id="1731807789">
      <w:marLeft w:val="480"/>
      <w:marRight w:val="0"/>
      <w:marTop w:val="0"/>
      <w:marBottom w:val="0"/>
      <w:divBdr>
        <w:top w:val="none" w:sz="0" w:space="0" w:color="auto"/>
        <w:left w:val="none" w:sz="0" w:space="0" w:color="auto"/>
        <w:bottom w:val="none" w:sz="0" w:space="0" w:color="auto"/>
        <w:right w:val="none" w:sz="0" w:space="0" w:color="auto"/>
      </w:divBdr>
    </w:div>
    <w:div w:id="1741057361">
      <w:marLeft w:val="480"/>
      <w:marRight w:val="0"/>
      <w:marTop w:val="0"/>
      <w:marBottom w:val="0"/>
      <w:divBdr>
        <w:top w:val="none" w:sz="0" w:space="0" w:color="auto"/>
        <w:left w:val="none" w:sz="0" w:space="0" w:color="auto"/>
        <w:bottom w:val="none" w:sz="0" w:space="0" w:color="auto"/>
        <w:right w:val="none" w:sz="0" w:space="0" w:color="auto"/>
      </w:divBdr>
    </w:div>
    <w:div w:id="1741899723">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7527926">
      <w:marLeft w:val="480"/>
      <w:marRight w:val="0"/>
      <w:marTop w:val="0"/>
      <w:marBottom w:val="0"/>
      <w:divBdr>
        <w:top w:val="none" w:sz="0" w:space="0" w:color="auto"/>
        <w:left w:val="none" w:sz="0" w:space="0" w:color="auto"/>
        <w:bottom w:val="none" w:sz="0" w:space="0" w:color="auto"/>
        <w:right w:val="none" w:sz="0" w:space="0" w:color="auto"/>
      </w:divBdr>
    </w:div>
    <w:div w:id="1786121908">
      <w:marLeft w:val="480"/>
      <w:marRight w:val="0"/>
      <w:marTop w:val="0"/>
      <w:marBottom w:val="0"/>
      <w:divBdr>
        <w:top w:val="none" w:sz="0" w:space="0" w:color="auto"/>
        <w:left w:val="none" w:sz="0" w:space="0" w:color="auto"/>
        <w:bottom w:val="none" w:sz="0" w:space="0" w:color="auto"/>
        <w:right w:val="none" w:sz="0" w:space="0" w:color="auto"/>
      </w:divBdr>
    </w:div>
    <w:div w:id="1858733182">
      <w:marLeft w:val="480"/>
      <w:marRight w:val="0"/>
      <w:marTop w:val="0"/>
      <w:marBottom w:val="0"/>
      <w:divBdr>
        <w:top w:val="none" w:sz="0" w:space="0" w:color="auto"/>
        <w:left w:val="none" w:sz="0" w:space="0" w:color="auto"/>
        <w:bottom w:val="none" w:sz="0" w:space="0" w:color="auto"/>
        <w:right w:val="none" w:sz="0" w:space="0" w:color="auto"/>
      </w:divBdr>
    </w:div>
    <w:div w:id="1950888068">
      <w:marLeft w:val="480"/>
      <w:marRight w:val="0"/>
      <w:marTop w:val="0"/>
      <w:marBottom w:val="0"/>
      <w:divBdr>
        <w:top w:val="none" w:sz="0" w:space="0" w:color="auto"/>
        <w:left w:val="none" w:sz="0" w:space="0" w:color="auto"/>
        <w:bottom w:val="none" w:sz="0" w:space="0" w:color="auto"/>
        <w:right w:val="none" w:sz="0" w:space="0" w:color="auto"/>
      </w:divBdr>
    </w:div>
    <w:div w:id="1962757545">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7084050">
      <w:marLeft w:val="480"/>
      <w:marRight w:val="0"/>
      <w:marTop w:val="0"/>
      <w:marBottom w:val="0"/>
      <w:divBdr>
        <w:top w:val="none" w:sz="0" w:space="0" w:color="auto"/>
        <w:left w:val="none" w:sz="0" w:space="0" w:color="auto"/>
        <w:bottom w:val="none" w:sz="0" w:space="0" w:color="auto"/>
        <w:right w:val="none" w:sz="0" w:space="0" w:color="auto"/>
      </w:divBdr>
    </w:div>
    <w:div w:id="1993219208">
      <w:marLeft w:val="480"/>
      <w:marRight w:val="0"/>
      <w:marTop w:val="0"/>
      <w:marBottom w:val="0"/>
      <w:divBdr>
        <w:top w:val="none" w:sz="0" w:space="0" w:color="auto"/>
        <w:left w:val="none" w:sz="0" w:space="0" w:color="auto"/>
        <w:bottom w:val="none" w:sz="0" w:space="0" w:color="auto"/>
        <w:right w:val="none" w:sz="0" w:space="0" w:color="auto"/>
      </w:divBdr>
    </w:div>
    <w:div w:id="2130471677">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D29EAD15614CCB952A0A056ED2AAAD"/>
        <w:category>
          <w:name w:val="General"/>
          <w:gallery w:val="placeholder"/>
        </w:category>
        <w:types>
          <w:type w:val="bbPlcHdr"/>
        </w:types>
        <w:behaviors>
          <w:behavior w:val="content"/>
        </w:behaviors>
        <w:guid w:val="{1512C267-B2BF-40CC-801B-5A11CF09D83C}"/>
      </w:docPartPr>
      <w:docPartBody>
        <w:p w:rsidR="00107DA7" w:rsidRDefault="00C82020" w:rsidP="00C82020">
          <w:pPr>
            <w:pStyle w:val="A8D29EAD15614CCB952A0A056ED2AAAD"/>
          </w:pPr>
          <w:r w:rsidRPr="00C63A7D">
            <w:rPr>
              <w:rStyle w:val="PlaceholderText"/>
            </w:rPr>
            <w:t>Click or tap here to enter text.</w:t>
          </w:r>
        </w:p>
      </w:docPartBody>
    </w:docPart>
    <w:docPart>
      <w:docPartPr>
        <w:name w:val="08503E936084459D95AE77B04F03CAA1"/>
        <w:category>
          <w:name w:val="General"/>
          <w:gallery w:val="placeholder"/>
        </w:category>
        <w:types>
          <w:type w:val="bbPlcHdr"/>
        </w:types>
        <w:behaviors>
          <w:behavior w:val="content"/>
        </w:behaviors>
        <w:guid w:val="{8289AE80-2F23-4223-A0D9-C75FC86CDC45}"/>
      </w:docPartPr>
      <w:docPartBody>
        <w:p w:rsidR="00107DA7" w:rsidRDefault="00C82020" w:rsidP="00C82020">
          <w:pPr>
            <w:pStyle w:val="08503E936084459D95AE77B04F03CAA1"/>
          </w:pPr>
          <w:r w:rsidRPr="00C63A7D">
            <w:rPr>
              <w:rStyle w:val="PlaceholderText"/>
            </w:rPr>
            <w:t>Click or tap here to enter text.</w:t>
          </w:r>
        </w:p>
      </w:docPartBody>
    </w:docPart>
    <w:docPart>
      <w:docPartPr>
        <w:name w:val="58A58C9C4BC141069102AA8ECBB19E24"/>
        <w:category>
          <w:name w:val="General"/>
          <w:gallery w:val="placeholder"/>
        </w:category>
        <w:types>
          <w:type w:val="bbPlcHdr"/>
        </w:types>
        <w:behaviors>
          <w:behavior w:val="content"/>
        </w:behaviors>
        <w:guid w:val="{D782E64D-D747-4123-933C-00B1C6470BE2}"/>
      </w:docPartPr>
      <w:docPartBody>
        <w:p w:rsidR="00107DA7" w:rsidRDefault="00C82020" w:rsidP="00C82020">
          <w:pPr>
            <w:pStyle w:val="58A58C9C4BC141069102AA8ECBB19E24"/>
          </w:pPr>
          <w:r w:rsidRPr="00C63A7D">
            <w:rPr>
              <w:rStyle w:val="PlaceholderText"/>
            </w:rPr>
            <w:t>Click or tap here to enter text.</w:t>
          </w:r>
        </w:p>
      </w:docPartBody>
    </w:docPart>
    <w:docPart>
      <w:docPartPr>
        <w:name w:val="FC1006D891084BA9B0790DB01B5AAB4C"/>
        <w:category>
          <w:name w:val="General"/>
          <w:gallery w:val="placeholder"/>
        </w:category>
        <w:types>
          <w:type w:val="bbPlcHdr"/>
        </w:types>
        <w:behaviors>
          <w:behavior w:val="content"/>
        </w:behaviors>
        <w:guid w:val="{8C08A181-A406-4E4F-97C1-2A6EB31B7F60}"/>
      </w:docPartPr>
      <w:docPartBody>
        <w:p w:rsidR="00107DA7" w:rsidRDefault="00C82020" w:rsidP="00C82020">
          <w:pPr>
            <w:pStyle w:val="FC1006D891084BA9B0790DB01B5AAB4C"/>
          </w:pPr>
          <w:r w:rsidRPr="00C63A7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880A453-D1AB-47E8-895E-997A59C6231F}"/>
      </w:docPartPr>
      <w:docPartBody>
        <w:p w:rsidR="00107DA7" w:rsidRDefault="00C82020">
          <w:r w:rsidRPr="00C200D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020"/>
    <w:rsid w:val="000C5DBC"/>
    <w:rsid w:val="00107DA7"/>
    <w:rsid w:val="00315B60"/>
    <w:rsid w:val="003D0745"/>
    <w:rsid w:val="007573B6"/>
    <w:rsid w:val="00BC5280"/>
    <w:rsid w:val="00C82020"/>
    <w:rsid w:val="00CD5120"/>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2020"/>
    <w:rPr>
      <w:color w:val="666666"/>
    </w:rPr>
  </w:style>
  <w:style w:type="paragraph" w:customStyle="1" w:styleId="A8D29EAD15614CCB952A0A056ED2AAAD">
    <w:name w:val="A8D29EAD15614CCB952A0A056ED2AAAD"/>
    <w:rsid w:val="00C82020"/>
  </w:style>
  <w:style w:type="paragraph" w:customStyle="1" w:styleId="08503E936084459D95AE77B04F03CAA1">
    <w:name w:val="08503E936084459D95AE77B04F03CAA1"/>
    <w:rsid w:val="00C82020"/>
  </w:style>
  <w:style w:type="paragraph" w:customStyle="1" w:styleId="58A58C9C4BC141069102AA8ECBB19E24">
    <w:name w:val="58A58C9C4BC141069102AA8ECBB19E24"/>
    <w:rsid w:val="00C82020"/>
  </w:style>
  <w:style w:type="paragraph" w:customStyle="1" w:styleId="FC1006D891084BA9B0790DB01B5AAB4C">
    <w:name w:val="FC1006D891084BA9B0790DB01B5AAB4C"/>
    <w:rsid w:val="00C820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5D6B73-F0E4-4099-B5F1-F6AB727EBAD3}">
  <we:reference id="wa104382081" version="1.55.1.0" store="en-US" storeType="OMEX"/>
  <we:alternateReferences>
    <we:reference id="WA104382081" version="1.55.1.0" store="en-US" storeType="OMEX"/>
  </we:alternateReferences>
  <we:properties>
    <we:property name="MENDELEY_CITATIONS" value="[{&quot;citationID&quot;:&quot;MENDELEY_CITATION_da70d458-65de-4503-b57e-10d2720536a8&quot;,&quot;properties&quot;:{&quot;noteIndex&quot;:0},&quot;isEdited&quot;:false,&quot;manualOverride&quot;:{&quot;isManuallyOverridden&quot;:false,&quot;citeprocText&quot;:&quot;(Aich et al., 2025; Khalid, 2025)&quot;,&quot;manualOverrideText&quot;:&quot;&quot;},&quot;citationTag&quot;:&quot;MENDELEY_CITATION_v3_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&quot;,&quot;citationItems&quot;:[{&quot;id&quot;:&quot;5447d6e8-05f7-3ffa-8bca-5c78ea58c80b&quot;,&quot;itemData&quot;:{&quot;type&quot;:&quot;article-journal&quot;,&quot;id&quot;:&quot;5447d6e8-05f7-3ffa-8bca-5c78ea58c80b&quot;,&quot;title&quot;:&quot;Role of banks in the Indian Financial System&quot;,&quot;author&quot;:[{&quot;family&quot;:&quot;Khalid&quot;,&quot;given&quot;:&quot;Farhan&quot;,&quot;parse-names&quot;:false,&quot;dropping-particle&quot;:&quot;&quot;,&quot;non-dropping-particle&quot;:&quot;&quot;}],&quot;container-title&quot;:&quot;International Journal of Innovations in Science Engineering And Management&quot;,&quot;DOI&quot;:&quot;10.69968/ijisem.2025v4si1127-132&quot;,&quot;issued&quot;:{&quot;date-parts&quot;:[[2025,3]]},&quot;page&quot;:&quot;127-132&quot;,&quot;container-title-short&quot;:&quot;&quot;},&quot;isTemporary&quot;:false},{&quot;id&quot;:&quot;251259a0-b1b7-3d98-a863-0e5394223789&quot;,&quot;itemData&quot;:{&quot;type&quot;:&quot;article-journal&quot;,&quot;id&quot;:&quot;251259a0-b1b7-3d98-a863-0e5394223789&quot;,&quot;title&quot;:&quot;Unveiling the nexus of financial inclusion and political stability for capital market participation in South Asian regions&quot;,&quot;author&quot;:[{&quot;family&quot;:&quot;Aich&quot;,&quot;given&quot;:&quot;Bithe Rani&quot;,&quot;parse-names&quot;:false,&quot;dropping-particle&quot;:&quot;&quot;,&quot;non-dropping-particle&quot;:&quot;&quot;},{&quot;family&quot;:&quot;Tareque&quot;,&quot;given&quot;:&quot;Mohammad&quot;,&quot;parse-names&quot;:false,&quot;dropping-particle&quot;:&quot;&quot;,&quot;non-dropping-particle&quot;:&quot;&quot;},{&quot;family&quot;:&quot;Ahmed&quot;,&quot;given&quot;:&quot;Tasfia Tasneem&quot;,&quot;parse-names&quot;:false,&quot;dropping-particle&quot;:&quot;&quot;,&quot;non-dropping-particle&quot;:&quot;&quot;},{&quot;family&quot;:&quot;Rahman&quot;,&quot;given&quot;:&quot;Md Mominur&quot;,&quot;parse-names&quot;:false,&quot;dropping-particle&quot;:&quot;&quot;,&quot;non-dropping-particle&quot;:&quot;&quot;}],&quot;container-title&quot;:&quot;Borsa Istanbul Review&quot;,&quot;DOI&quot;:&quot;https://doi.org/10.1016/j.bir.2025.06.008&quot;,&quot;ISSN&quot;:&quot;2214-8450&quot;,&quot;URL&quot;:&quot;https://www.sciencedirect.com/science/article/pii/S2214845025000973&quot;,&quot;issued&quot;:{&quot;date-parts&quot;:[[2025]]},&quot;page&quot;:&quot;1101-1115&quot;,&quot;abstract&quot;:&quot;Frequent political uncertainty, governance challenges, financial inaccessibility, and inconsistent policy environments in South Asian countries undermine investor confidence and obstruct the development of capital markets. Thus, this study is motivated to investigate the long-term and short-term consequences of financial inclusion and political stability on capital market participation in South Asian countries. We used a panel ARDL model as the estimates demonstrated no cross-sectional dependence, considerable cointegration, and variables with mixed-level stationarity. The results highlighted financial inclusion, literacy, and savings as the most significant determinants influencing capital market participation in South Asian economies. Interestingly, while political stability did not show a direct long-term effect, its indirect influence through variables such as investor confidence and institutional trust warrants further exploration. The findings suggest that policymakers should prioritize expanding financial inclusion initiatives, improving financial and general literacy rates, and adopting policies that encourage a balanced-saving-investment behavior among citizens to strengthen capital markets.&quot;,&quot;issue&quot;:&quot;6&quot;,&quot;volume&quot;:&quot;25&quot;,&quot;container-title-short&quot;:&quot;&quot;},&quot;isTemporary&quot;:false}]},{&quot;citationID&quot;:&quot;MENDELEY_CITATION_dd19d600-dfac-44b1-8ef1-99bf344b3e52&quot;,&quot;properties&quot;:{&quot;noteIndex&quot;:0},&quot;isEdited&quot;:false,&quot;manualOverride&quot;:{&quot;isManuallyOverridden&quot;:false,&quot;citeprocText&quot;:&quot;(Agarwala &amp;#38; Agarwala, 2019; Bhalerao et al., 2022)&quot;,&quot;manualOverrideText&quot;:&quot;&quot;},&quot;citationTag&quot;:&quot;MENDELEY_CITATION_v3_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&quot;,&quot;citationItems&quot;:[{&quot;id&quot;:&quot;27ab89d4-375b-3874-9b02-5424dcf134dc&quot;,&quot;itemData&quot;:{&quot;type&quot;:&quot;article-journal&quot;,&quot;id&quot;:&quot;27ab89d4-375b-3874-9b02-5424dcf134dc&quot;,&quot;title&quot;:&quot;A critical review of non-performing assets in the Indian banking industry&quot;,&quot;author&quot;:[{&quot;family&quot;:&quot;Agarwala&quot;,&quot;given&quot;:&quot;Varuna&quot;,&quot;parse-names&quot;:false,&quot;dropping-particle&quot;:&quot;&quot;,&quot;non-dropping-particle&quot;:&quot;&quot;},{&quot;family&quot;:&quot;Agarwala&quot;,&quot;given&quot;:&quot;Nidhi&quot;,&quot;parse-names&quot;:false,&quot;dropping-particle&quot;:&quot;&quot;,&quot;non-dropping-particle&quot;:&quot;&quot;}],&quot;container-title&quot;:&quot;Rajagiri Management Journal&quot;,&quot;DOI&quot;:&quot;10.1108/RAMJ-08-2019-0010&quot;,&quot;issued&quot;:{&quot;date-parts&quot;:[[2019,3]]},&quot;volume&quot;:&quot;ahead-of-print&quot;,&quot;container-title-short&quot;:&quot;&quot;},&quot;isTemporary&quot;:false},{&quot;id&quot;:&quot;3ad9b872-c6be-31a9-982a-7e8195ce0557&quot;,&quot;itemData&quot;:{&quot;type&quot;:&quot;article-journal&quot;,&quot;id&quot;:&quot;3ad9b872-c6be-31a9-982a-7e8195ce0557&quot;,&quot;title&quot;:&quot;Analysis of the Growth of Non-Performing Assets (NPAs) and Factors Influencing the Restructuring of Indian Financial Institutions&quot;,&quot;author&quot;:[{&quot;family&quot;:&quot;Bhalerao&quot;,&quot;given&quot;:&quot;Namrata&quot;,&quot;parse-names&quot;:false,&quot;dropping-particle&quot;:&quot;&quot;,&quot;non-dropping-particle&quot;:&quot;&quot;},{&quot;family&quot;:&quot;Singh&quot;,&quot;given&quot;:&quot;Ashish&quot;,&quot;parse-names&quot;:false,&quot;dropping-particle&quot;:&quot;&quot;,&quot;non-dropping-particle&quot;:&quot;&quot;},{&quot;family&quot;:&quot;Yadav&quot;,&quot;given&quot;:&quot;Shikhar&quot;,&quot;parse-names&quot;:false,&quot;dropping-particle&quot;:&quot;&quot;,&quot;non-dropping-particle&quot;:&quot;&quot;},{&quot;family&quot;:&quot;Professor&quot;,&quot;given&quot;:&quot;Assistant&quot;,&quot;parse-names&quot;:false,&quot;dropping-particle&quot;:&quot;&quot;,&quot;non-dropping-particle&quot;:&quot;&quot;},{&quot;family&quot;:&quot;Lalji Dayal&quot;,&quot;given&quot;:&quot;Lilavati&quot;,&quot;parse-names&quot;:false,&quot;dropping-particle&quot;:&quot;&quot;,&quot;non-dropping-particle&quot;:&quot;&quot;},{&quot;family&quot;:&quot;Road&quot;,&quot;given&quot;:&quot;Charni&quot;,&quot;parse-names&quot;:false,&quot;dropping-particle&quot;:&quot;&quot;,&quot;non-dropping-particle&quot;:&quot;&quot;}],&quot;container-title&quot;:&quot;International Journal of Advanced Research in Science, Communication and Technology (IJARSCT) International Open-Access, Double-Blind, Peer-Reviewed, Refereed, Multidisciplinary Online Journal&quot;,&quot;ISSN&quot;:&quot;2581-9429&quot;,&quot;URL&quot;:&quot;www.ijarsct.co.in&quot;,&quot;issued&quot;:{&quot;date-parts&quot;:[[2022]]},&quot;abstract&quot;:&quot;The recent restructuring of Public Sector Financial institutes (PSBs) has generated significant interest among various economic stakeholders, including as investors, depositors, borrowers, financial institute staff, and the executive teams of the merging organizations. Depositors aim to ensure their financial stability, while borrowers from merging companies are looking for alternative loans that provide cheaper interest rates and faster processing. Investors will prioritize a higher rate of dividend payments and an appreciation in the value of their assets, while employees would prioritize the enhancement of their working conditions. The senior leadership will seek greater independence to effectively oversee and operate their multiple institutions, with the aim of expanding and maximizing profitability. The initial Narasimham Committee proposed in 1991 that robust financial institutes should merge. After an extensive period of 28 years, the Indian government finally acted upon the vital recommendation from the committee. The significant accumulation of non-performing assets (NPAs) in public sector financial institutes and the subsequent need for recurrent recapitalization are commonly believed to be the reasons for this slow response. Any government that regularly provides more capital to public sector financial institutes (PSBs), while also being the majority shareholder and having full administrative control over their boards and senior management, is participating in a moral hazard and practicing poor economics. The utilization of taxpayer funds, which are earned to promote the economic development of the country, for the purpose of enabling Public Sector Financial institutes (PSBs) to meet the regulatory capital requirements set by international standards and the provisioning needs mandated by the Reserve Financial institute of India, is questionable. The government's objective behind the merger is to enhance the size and global competitiveness of PSBs, while also improving their access to financial markets for funding purposes. The need to restructure Public Sector Financial institutes can be assessed by examining the growth of Non-Performing Assets (NPAs) and the financial deterioration of PSBs over time, as similar government interventions may be necessary in the future. The establishment of \&quot;too big to fail financial institutes\&quot; with worldwide influence, as a result of the Government of India's restructuring law, would depend on the enhancement of financial performance indicators of PSBs in the next years&quot;,&quot;issue&quot;:&quot;1&quot;,&quot;volume&quot;:&quot;2&quot;,&quot;container-title-short&quot;:&quot;&quot;},&quot;isTemporary&quot;:false}]},{&quot;citationID&quot;:&quot;MENDELEY_CITATION_4b4e7914-b7d9-45d8-b6d9-d642c909cfda&quot;,&quot;properties&quot;:{&quot;noteIndex&quot;:0},&quot;isEdited&quot;:false,&quot;manualOverride&quot;:{&quot;isManuallyOverridden&quot;:false,&quot;citeprocText&quot;:&quot;(Das, 2025; Ghosh Roy, 2014; Swamy, 2012)&quot;,&quot;manualOverrideText&quot;:&quot;&quot;},&quot;citationTag&quot;:&quot;MENDELEY_CITATION_v3_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&quot;,&quot;citationItems&quot;:[{&quot;id&quot;:&quot;5ff5d3ae-2b79-3810-90fc-f7841f1c4e44&quot;,&quot;itemData&quot;:{&quot;type&quot;:&quot;article-journal&quot;,&quot;id&quot;:&quot;5ff5d3ae-2b79-3810-90fc-f7841f1c4e44&quot;,&quot;title&quot;:&quot;Determinants of Non-Performing Assets in India - Panel Regression&quot;,&quot;author&quot;:[{&quot;family&quot;:&quot;Ghosh Roy&quot;,&quot;given&quot;:&quot;Saikat&quot;,&quot;parse-names&quot;:false,&quot;dropping-particle&quot;:&quot;&quot;,&quot;non-dropping-particle&quot;:&quot;&quot;}],&quot;container-title&quot;:&quot;Eurasian Journal of Economics and Finance&quot;,&quot;DOI&quot;:&quot;10.15604/ejef.2014.02.03.005&quot;,&quot;issued&quot;:{&quot;date-parts&quot;:[[2014,3]]},&quot;page&quot;:&quot;69-78&quot;,&quot;volume&quot;:&quot;2&quot;,&quot;container-title-short&quot;:&quot;&quot;},&quot;isTemporary&quot;:false},{&quot;id&quot;:&quot;88e1e6ce-1a0e-3647-a5f7-88431725c12a&quot;,&quot;itemData&quot;:{&quot;type&quot;:&quot;article-journal&quot;,&quot;id&quot;:&quot;88e1e6ce-1a0e-3647-a5f7-88431725c12a&quot;,&quot;title&quot;:&quot;Drivers of NPAs in Indian Banks: An Empirical Analysis of Bank-specific Determinants&quot;,&quot;author&quot;:[{&quot;family&quot;:&quot;Das&quot;,&quot;given&quot;:&quot;Santosh Kumar&quot;,&quot;parse-names&quot;:false,&quot;dropping-particle&quot;:&quot;&quot;,&quot;non-dropping-particle&quot;:&quot;&quot;}],&quot;container-title&quot;:&quot;International Journal of Empirical Economics&quot;,&quot;DOI&quot;:&quot;10.1142/S2810943025500076&quot;,&quot;URL&quot;:&quot;https://doi.org/10.1142/S2810943025500076&quot;,&quot;issued&quot;:{&quot;date-parts&quot;:[[2025]]},&quot;page&quot;:&quot;2550007&quot;,&quot;abstract&quot;:&quot; The paper empirically analyses the factors responsible for non-performing assets (NPAs) in India’s banks, with a focus on bank-specific factors or determinants. Panel estimation of a total sample of 43 Indian banks, comprising 20 public sector banks (PSBs), 18 domestic private banks, and 5 foreign banks, has been conducted for the period from 2005 to 2020 to analyse the bank-specific factors that affect NPAs in India’s banks. To gain deeper insights into the NPA problem, a separate estimation was carried out for the high NPAs period, from 2011 to 2020. Separate estimations for the PSBs and domestic private banks were carried out to identify factors that drive NPAs in these bank groups. The finding suggests that inadequacies in earning management and the quality of lending are responsible for the NPA crisis in Indian banks. There is a need to revisit the earning and lending strategy of the banks in India. The PSBs, in particular, need to focus on their lending strategy as this bank group has been the major source of lending to the industrial and infrastructure sectors, the bulk of which turned into NPAs. &quot;,&quot;issue&quot;:&quot;03&quot;,&quot;volume&quot;:&quot;04&quot;,&quot;container-title-short&quot;:&quot;&quot;},&quot;isTemporary&quot;:false},{&quot;id&quot;:&quot;eb1e71e5-e33f-3067-9360-07a1066b5daa&quot;,&quot;itemData&quot;:{&quot;type&quot;:&quot;article-journal&quot;,&quot;id&quot;:&quot;eb1e71e5-e33f-3067-9360-07a1066b5daa&quot;,&quot;title&quot;:&quot;Impact of Macroeconomic and Endogenous Factors on Non Performing Bank Assets&quot;,&quot;author&quot;:[{&quot;family&quot;:&quot;Swamy&quot;,&quot;given&quot;:&quot;Vighneswara&quot;,&quot;parse-names&quot;:false,&quot;dropping-particle&quot;:&quot;&quot;,&quot;non-dropping-particle&quot;:&quot;&quot;}],&quot;container-title&quot;:&quot;International Journal of Banking and Finance&quot;,&quot;DOI&quot;:&quot;10.32890/ijbf2012.9.1.8447&quot;,&quot;issued&quot;:{&quot;date-parts&quot;:[[2012,3]]},&quot;volume&quot;:&quot;9&quot;,&quot;container-title-short&quot;:&quot;&quot;},&quot;isTemporary&quot;:false}]},{&quot;citationID&quot;:&quot;MENDELEY_CITATION_b7af11f9-96db-42b5-bfce-30126718623e&quot;,&quot;properties&quot;:{&quot;noteIndex&quot;:0},&quot;isEdited&quot;:false,&quot;manualOverride&quot;:{&quot;isManuallyOverridden&quot;:false,&quot;citeprocText&quot;:&quot;(Arhinful et al., 2025; Saeed &amp;#38; Donkoh, 2026)&quot;,&quot;manualOverrideText&quot;:&quot;&quot;},&quot;citationTag&quot;:&quot;MENDELEY_CITATION_v3_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&quot;,&quot;citationItems&quot;:[{&quot;id&quot;:&quot;2e5d5aa0-0d53-3150-82fe-02408d192267&quot;,&quot;itemData&quot;:{&quot;type&quot;:&quot;article-journal&quot;,&quot;id&quot;:&quot;2e5d5aa0-0d53-3150-82fe-02408d192267&quot;,&quot;title&quot;:&quot;The Impact of Non-Performing Loans on Bank Growth: The Moderating Roles of Bank Size and Capital Adequacy Ratio—Evidence from U.S. Banks&quot;,&quot;author&quot;:[{&quot;family&quot;:&quot;Arhinful&quot;,&quot;given&quot;:&quot;Richard&quot;,&quot;parse-names&quot;:false,&quot;dropping-particle&quot;:&quot;&quot;,&quot;non-dropping-particle&quot;:&quot;&quot;},{&quot;family&quot;:&quot;Mensah&quot;,&quot;given&quot;:&quot;Leviticus&quot;,&quot;parse-names&quot;:false,&quot;dropping-particle&quot;:&quot;&quot;,&quot;non-dropping-particle&quot;:&quot;&quot;},{&quot;family&quot;:&quot;Gyamfi&quot;,&quot;given&quot;:&quot;Bright Akwasi&quot;,&quot;parse-names&quot;:false,&quot;dropping-particle&quot;:&quot;&quot;,&quot;non-dropping-particle&quot;:&quot;&quot;},{&quot;family&quot;:&quot;Obeng&quot;,&quot;given&quot;:&quot;Hayford Asare&quot;,&quot;parse-names&quot;:false,&quot;dropping-particle&quot;:&quot;&quot;,&quot;non-dropping-particle&quot;:&quot;&quot;}],&quot;container-title&quot;:&quot;International Journal of Financial Studies&quot;,&quot;DOI&quot;:&quot;10.3390/ijfs13030165&quot;,&quot;ISSN&quot;:&quot;2227-7072&quot;,&quot;URL&quot;:&quot;https://www.mdpi.com/2227-7072/13/3/165&quot;,&quot;issued&quot;:{&quot;date-parts&quot;:[[2025]]},&quot;abstract&quot;:&quot;Banks in the United States face persistent challenges from non-performing loans (NPLs), despite conducting thorough client evaluations before issuing loans. To mitigate the impact of NPLs and support both local and global growth, banks must adopt effective risk management strategies. This study investigates the effect of NPLs on bank growth and the moderating of bank size and Capital Adequacy Ratio (CAR) through the lens of the Resource-Based View (RBV) theory. A sample of 253 banks listed on the New York Stock Exchange from 2006 to 2023 was selected using specific inclusion criteria from the Thomson Reuters Eikon DataStream. To address cross-sectional dependence and endogeneity, advanced estimation techniques—Feasible Generalized Least Squares (FGLS), Driscoll and Kraay standard errors, and the Generalized Method of Moments (GMM)—were employed. The results show that NPLs have a significant negative impact on banks’ asset and income growth. Furthermore, bank size and capital adequacy ratio (CAR) negatively and significantly moderate this relationship. These findings underscore the need for banks to enhance credit risk management by strengthening loan approval processes and leveraging advanced analytics to assess borrower risk more accurately.&quot;,&quot;issue&quot;:&quot;3&quot;,&quot;volume&quot;:&quot;13&quot;,&quot;container-title-short&quot;:&quot;&quot;},&quot;isTemporary&quot;:false},{&quot;id&quot;:&quot;4fb23273-0ecd-307f-acd0-3161d93101ba&quot;,&quot;itemData&quot;:{&quot;type&quot;:&quot;article-journal&quot;,&quot;id&quot;:&quot;4fb23273-0ecd-307f-acd0-3161d93101ba&quot;,&quot;title&quot;:&quot;Credit risk management, bank-specific factors, and financial performance of banks: Insights from an emerging economy&quot;,&quot;author&quot;:[{&quot;family&quot;:&quot;Saeed&quot;,&quot;given&quot;:&quot;Musah Mohammed&quot;,&quot;parse-names&quot;:false,&quot;dropping-particle&quot;:&quot;&quot;,&quot;non-dropping-particle&quot;:&quot;&quot;},{&quot;family&quot;:&quot;Donkoh&quot;,&quot;given&quot;:&quot;Evans&quot;,&quot;parse-names&quot;:false,&quot;dropping-particle&quot;:&quot;&quot;,&quot;non-dropping-particle&quot;:&quot;&quot;}],&quot;container-title&quot;:&quot;Social Sciences &amp; Humanities Open&quot;,&quot;DOI&quot;:&quot;https://doi.org/10.1016/j.ssaho.2026.102523&quot;,&quot;ISSN&quot;:&quot;2590-2911&quot;,&quot;URL&quot;:&quot;https://www.sciencedirect.com/science/article/pii/S2590291126000872&quot;,&quot;issued&quot;:{&quot;date-parts&quot;:[[2026]]},&quot;page&quot;:&quot;102523&quot;,&quot;abstract&quot;:&quot;Depository institutions play a critical role in promoting financial stability and economic growth by mobilizing savings and allocating credit across sectors. As key intermediaries, commercial banks rely on deposits and lending activities to generate income while supporting broader economic development. This study examines how credit risk management and bank-specific factors influence the financial performance of commercial banks in Ghana, using an audited annual financial dataset that covers ten years from 2013 to 2022, yielding 110 bank-year observations. The findings show that capital adequacy and average lending rates significantly enhance financial performance, while non-performing loans, cost-efficiency ratios, and loan-to-deposit ratios exert negative but significant effects. These results highlight the need for banks to adopt a balanced approach to managing credit risk, operational efficiency, liquidity, and capital buffers to sustain long-term performance in a dynamic financial environment. The study provides several practical implications for banks, regulators, and policymakers. Banks should strengthen credit appraisal systems, improve borrower monitoring, and implement early-warning mechanisms to minimise loan defaults. Investments in operational efficiency and technological systems are crucial for managing costs and improving performance. Regulators, in turn, should reinforce supervisory frameworks that promote adequate capitalization, sound credit risk practices, and sustainable liquidity management across the sector. These insights support more resilient banking operations and greater financial stability within Ghana's evolving financial landscape. This study also offers significant originality and methodological value by providing one of the few comprehensive empirical analyses that jointly assess credit risk indicators and bank-specific factors over a decade. Unlike studies that treat these variables independently or rely on narrow proxies, this research employs consistent measurement techniques using audited financial statements to enhance reliability. Overall, the study advances knowledge on bank performance determinants and offers evidence-based guidance for effective risk management and strategic decision-making in Ghana's banking sector.&quot;,&quot;volume&quot;:&quot;13&quot;,&quot;container-title-short&quot;:&quot;&quot;},&quot;isTemporary&quot;:false}]},{&quot;citationID&quot;:&quot;MENDELEY_CITATION_83878529-a20b-411e-91fe-917754131b4d&quot;,&quot;properties&quot;:{&quot;noteIndex&quot;:0},&quot;isEdited&quot;:false,&quot;manualOverride&quot;:{&quot;isManuallyOverridden&quot;:false,&quot;citeprocText&quot;:&quot;(Barakat et al., 2024; Dhananjaya &amp;#38; Raj, 2018)&quot;,&quot;manualOverrideText&quot;:&quot;&quot;},&quot;citationTag&quot;:&quot;MENDELEY_CITATION_v3_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&quot;,&quot;citationItems&quot;:[{&quot;id&quot;:&quot;39f88a4c-fa99-3761-9a0a-cffb138a8bef&quot;,&quot;itemData&quot;:{&quot;type&quot;:&quot;article-journal&quot;,&quot;id&quot;:&quot;39f88a4c-fa99-3761-9a0a-cffb138a8bef&quot;,&quot;title&quot;:&quot;Non-performing assets (NPAs) and its determinants: a study of Indian public sector banks&quot;,&quot;author&quot;:[{&quot;family&quot;:&quot;Dhananjaya&quot;,&quot;given&quot;:&quot;K&quot;,&quot;parse-names&quot;:false,&quot;dropping-particle&quot;:&quot;&quot;,&quot;non-dropping-particle&quot;:&quot;&quot;},{&quot;family&quot;:&quot;Raj&quot;,&quot;given&quot;:&quot;Krishna&quot;,&quot;parse-names&quot;:false,&quot;dropping-particle&quot;:&quot;&quot;,&quot;non-dropping-particle&quot;:&quot;&quot;}],&quot;container-title&quot;:&quot;Journal of Social and Economic Development&quot;,&quot;DOI&quot;:&quot;10.1007/s40847-018-0068-0&quot;,&quot;issued&quot;:{&quot;date-parts&quot;:[[2018,3]]},&quot;volume&quot;:&quot;20&quot;,&quot;container-title-short&quot;:&quot;&quot;},&quot;isTemporary&quot;:false},{&quot;id&quot;:&quot;121f038f-176f-34c1-b652-8ee4dad02752&quot;,&quot;itemData&quot;:{&quot;type&quot;:&quot;article-journal&quot;,&quot;id&quot;:&quot;121f038f-176f-34c1-b652-8ee4dad02752&quot;,&quot;title&quot;:&quot;Asset quality and banks performance: A panel data analysis of commercial banks&quot;,&quot;author&quot;:[{&quot;family&quot;:&quot;Barakat&quot;,&quot;given&quot;:&quot;Hanan&quot;,&quot;parse-names&quot;:false,&quot;dropping-particle&quot;:&quot;&quot;,&quot;non-dropping-particle&quot;:&quot;&quot;},{&quot;family&quot;:&quot;Elwahab&quot;,&quot;given&quot;:&quot;Shereen&quot;,&quot;parse-names&quot;:false,&quot;dropping-particle&quot;:&quot;&quot;,&quot;non-dropping-particle&quot;:&quot;&quot;},{&quot;family&quot;:&quot;Yassin&quot;,&quot;given&quot;:&quot;Nouran&quot;,&quot;parse-names&quot;:false,&quot;dropping-particle&quot;:&quot;&quot;,&quot;non-dropping-particle&quot;:&quot;&quot;},{&quot;family&quot;:&quot;Ibrahim&quot;,&quot;given&quot;:&quot;Salma&quot;,&quot;parse-names&quot;:false,&quot;dropping-particle&quot;:&quot;&quot;,&quot;non-dropping-particle&quot;:&quot;&quot;},{&quot;family&quot;:&quot;Ismail&quot;,&quot;given&quot;:&quot;Mohmed&quot;,&quot;parse-names&quot;:false,&quot;dropping-particle&quot;:&quot;&quot;,&quot;non-dropping-particle&quot;:&quot;&quot;},{&quot;family&quot;:&quot;Eldin&quot;,&quot;given&quot;:&quot;Nadia&quot;,&quot;parse-names&quot;:false,&quot;dropping-particle&quot;:&quot;&quot;,&quot;non-dropping-particle&quot;:&quot;&quot;}],&quot;container-title&quot;:&quot;Risk Governance and Control: Financial Markets &amp; Institutions&quot;,&quot;DOI&quot;:&quot;10.22495/rgcv14i3p11&quot;,&quot;issued&quot;:{&quot;date-parts&quot;:[[2024,3]]},&quot;page&quot;:&quot;111-121&quot;,&quot;volume&quot;:&quot;14&quot;,&quot;container-title-short&quot;:&quot;&quot;},&quot;isTemporary&quot;:false}]},{&quot;citationID&quot;:&quot;MENDELEY_CITATION_b84a4dc1-7dfc-4a51-8bc9-5dc8b25bb11d&quot;,&quot;properties&quot;:{&quot;noteIndex&quot;:0},&quot;isEdited&quot;:false,&quot;manualOverride&quot;:{&quot;isManuallyOverridden&quot;:false,&quot;citeprocText&quot;:&quot;(David et al., 2024; Huang, 2024; Kristanti et al., 2024)&quot;,&quot;manualOverrideText&quot;:&quot;&quot;},&quot;citationTag&quot;:&quot;MENDELEY_CITATION_v3_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&quot;,&quot;citationItems&quot;:[{&quot;id&quot;:&quot;4afd564c-ef88-341f-b582-6773ac90c13c&quot;,&quot;itemData&quot;:{&quot;type&quot;:&quot;article-journal&quot;,&quot;id&quot;:&quot;4afd564c-ef88-341f-b582-6773ac90c13c&quot;,&quot;title&quot;:&quot;Advancing financial analytics: Integrating XGBoost, LSTM, and Random Forest Algorithms for precision forecasting of corporate financial distress&quot;,&quot;author&quot;:[{&quot;family&quot;:&quot;Kristanti&quot;,&quot;given&quot;:&quot;Farida&quot;,&quot;parse-names&quot;:false,&quot;dropping-particle&quot;:&quot;&quot;,&quot;non-dropping-particle&quot;:&quot;&quot;},{&quot;family&quot;:&quot;Febrianta&quot;,&quot;given&quot;:&quot;Mochamad Yudha&quot;,&quot;parse-names&quot;:false,&quot;dropping-particle&quot;:&quot;&quot;,&quot;non-dropping-particle&quot;:&quot;&quot;},{&quot;family&quot;:&quot;Salim&quot;,&quot;given&quot;:&quot;Dwi&quot;,&quot;parse-names&quot;:false,&quot;dropping-particle&quot;:&quot;&quot;,&quot;non-dropping-particle&quot;:&quot;&quot;},{&quot;family&quot;:&quot;Riyadh&quot;,&quot;given&quot;:&quot;Hosam Alden&quot;,&quot;parse-names&quot;:false,&quot;dropping-particle&quot;:&quot;&quot;,&quot;non-dropping-particle&quot;:&quot;&quot;},{&quot;family&quot;:&quot;Sagama&quot;,&quot;given&quot;:&quot;Yoga&quot;,&quot;parse-names&quot;:false,&quot;dropping-particle&quot;:&quot;&quot;,&quot;non-dropping-particle&quot;:&quot;&quot;},{&quot;family&quot;:&quot;Beshr&quot;,&quot;given&quot;:&quot;Baligh&quot;,&quot;parse-names&quot;:false,&quot;dropping-particle&quot;:&quot;&quot;,&quot;non-dropping-particle&quot;:&quot;&quot;}],&quot;container-title&quot;:&quot;Journal of Infrastructure, Policy and Development&quot;,&quot;DOI&quot;:&quot;10.24294/jipd.v8i8.4972&quot;,&quot;issued&quot;:{&quot;date-parts&quot;:[[2024,3]]},&quot;page&quot;:&quot;4972&quot;,&quot;volume&quot;:&quot;8&quot;,&quot;container-title-short&quot;:&quot;&quot;},&quot;isTemporary&quot;:false},{&quot;id&quot;:&quot;1dfb0f1b-fb89-3cee-9241-20f52c66b516&quot;,&quot;itemData&quot;:{&quot;type&quot;:&quot;article-journal&quot;,&quot;id&quot;:&quot;1dfb0f1b-fb89-3cee-9241-20f52c66b516&quot;,&quot;title&quot;:&quot;Machine learning algorithms for financial risk prediction: A performance comparison&quot;,&quot;author&quot;:[{&quot;family&quot;:&quot;David&quot;,&quot;given&quot;:&quot;David&quot;,&quot;parse-names&quot;:false,&quot;dropping-particle&quot;:&quot;&quot;,&quot;non-dropping-particle&quot;:&quot;&quot;},{&quot;family&quot;:&quot;Wang&quot;,&quot;given&quot;:&quot;Jianling&quot;,&quot;parse-names&quot;:false,&quot;dropping-particle&quot;:&quot;&quot;,&quot;non-dropping-particle&quot;:&quot;&quot;},{&quot;family&quot;:&quot;Angel&quot;,&quot;given&quot;:&quot;Vanessa&quot;,&quot;parse-names&quot;:false,&quot;dropping-particle&quot;:&quot;&quot;,&quot;non-dropping-particle&quot;:&quot;&quot;}],&quot;container-title&quot;:&quot;International Journal of Accounting Research&quot;,&quot;DOI&quot;:&quot;10.65453/ijar.v9i2.1226&quot;,&quot;issued&quot;:{&quot;date-parts&quot;:[[2024,3]]},&quot;page&quot;:&quot;1&quot;,&quot;volume&quot;:&quot;9&quot;,&quot;container-title-short&quot;:&quot;&quot;},&quot;isTemporary&quot;:false},{&quot;id&quot;:&quot;a25440e9-1352-39b7-9259-fdb55f27d68c&quot;,&quot;itemData&quot;:{&quot;type&quot;:&quot;article-journal&quot;,&quot;id&quot;:&quot;a25440e9-1352-39b7-9259-fdb55f27d68c&quot;,&quot;title&quot;:&quot;Technology-Driven Financial Risk Management: Exploring the Benefits of Machine Learning for Non-Profit Organizations&quot;,&quot;author&quot;:[{&quot;family&quot;:&quot;Huang&quot;,&quot;given&quot;:&quot;Hao&quot;,&quot;parse-names&quot;:false,&quot;dropping-particle&quot;:&quot;&quot;,&quot;non-dropping-particle&quot;:&quot;&quot;}],&quot;container-title&quot;:&quot;Systems&quot;,&quot;DOI&quot;:&quot;10.3390/systems12100416&quot;,&quot;ISSN&quot;:&quot;2079-8954&quot;,&quot;URL&quot;:&quot;https://www.mdpi.com/2079-8954/12/10/416&quot;,&quot;issued&quot;:{&quot;date-parts&quot;:[[2024]]},&quot;abstract&quot;:&quot;This study explores how machine learning can optimize financial risk management for non-profit organizations by evaluating various algorithms aimed at mitigating loan default risks. The findings indicate that ensemble learning models, such as random forest and LightGBM, significantly improve prediction accuracy, thereby enabling non-profits to better manage financial risk. In the context of the 2008 subprime mortgage crisis, which underscored the volatility of financial markets, this research assesses a range of risks—credit, operational, liquidity, and market risks—while exploring both traditional machine learning and advanced ensemble techniques, with a particular focus on stacking fusion to enhance model performance. Emphasizing the importance of privacy and adaptive methods, this study advocates for interdisciplinary approaches to overcome limitations such as stress testing, data analysis rule formulation, and regulatory collaboration. The research underscores machine learning’s crucial role in financial risk control and calls on regulatory authorities to reassess existing frameworks to accommodate evolving risks. Additionally, it highlights the need for accurate data type identification and the potential for machine learning to strengthen financial risk management amid uncertainty, promoting interdisciplinary efforts that address broader issues like environmental sustainability and economic development.&quot;,&quot;issue&quot;:&quot;10&quot;,&quot;volume&quot;:&quot;12&quot;,&quot;container-title-short&quot;:&quot;&quot;},&quot;isTemporary&quot;:false}]},{&quot;citationID&quot;:&quot;MENDELEY_CITATION_e9ab1e40-3ccc-4d0a-8064-8d65b006e1b4&quot;,&quot;properties&quot;:{&quot;noteIndex&quot;:0},&quot;isEdited&quot;:false,&quot;manualOverride&quot;:{&quot;isManuallyOverridden&quot;:false,&quot;citeprocText&quot;:&quot;(Chaudhary, 2021; Kumar &amp;#38; Misra, 2024; Singh &amp;#38; Mohanty, n.d.)&quot;,&quot;manualOverrideText&quot;:&quot;&quot;},&quot;citationTag&quot;:&quot;MENDELEY_CITATION_v3_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&quot;,&quot;citationItems&quot;:[{&quot;id&quot;:&quot;10d40836-3a78-317b-9871-686217c760c2&quot;,&quot;itemData&quot;:{&quot;type&quot;:&quot;chapter&quot;,&quot;id&quot;:&quot;10d40836-3a78-317b-9871-686217c760c2&quot;,&quot;title&quot;:&quot;Data Mining Techniques for Predicting the Non-performing Assets (NPA) of Banks in India&quot;,&quot;author&quot;:[{&quot;family&quot;:&quot;Kumar&quot;,&quot;given&quot;:&quot;Gaurav&quot;,&quot;parse-names&quot;:false,&quot;dropping-particle&quot;:&quot;&quot;,&quot;non-dropping-particle&quot;:&quot;&quot;},{&quot;family&quot;:&quot;Misra&quot;,&quot;given&quot;:&quot;Arun&quot;,&quot;parse-names&quot;:false,&quot;dropping-particle&quot;:&quot;&quot;,&quot;non-dropping-particle&quot;:&quot;&quot;}],&quot;DOI&quot;:&quot;10.1007/978-3-031-61037-0_6&quot;,&quot;ISBN&quot;:&quot;978-3-031-61036-3&quot;,&quot;issued&quot;:{&quot;date-parts&quot;:[[2024,3]]},&quot;page&quot;:&quot;133-150&quot;,&quot;container-title-short&quot;:&quot;&quot;},&quot;isTemporary&quot;:false},{&quot;id&quot;:&quot;3e2daa5e-4b78-3ac9-bbbb-9870617f26ac&quot;,&quot;itemData&quot;:{&quot;type&quot;:&quot;article-journal&quot;,&quot;id&quot;:&quot;3e2daa5e-4b78-3ac9-bbbb-9870617f26ac&quot;,&quot;title&quot;:&quot;Utilizing Ensemble Learning Models to Forecast Loan Default Risk&quot;,&quot;author&quot;:[{&quot;family&quot;:&quot;Chaudhary&quot;,&quot;given&quot;:&quot;Arjun&quot;,&quot;parse-names&quot;:false,&quot;dropping-particle&quot;:&quot;&quot;,&quot;non-dropping-particle&quot;:&quot;&quot;}],&quot;container-title&quot;:&quot;SSRN Electronic Journal&quot;,&quot;DOI&quot;:&quot;10.2139/ssrn.5347553&quot;,&quot;issued&quot;:{&quot;date-parts&quot;:[[2021,3]]},&quot;page&quot;:&quot;116-122&quot;,&quot;volume&quot;:&quot;6&quot;,&quot;container-title-short&quot;:&quot;&quot;},&quot;isTemporary&quot;:false},{&quot;id&quot;:&quot;4487b526-9e37-370f-928f-1d8e1b644bd2&quot;,&quot;itemData&quot;:{&quot;type&quot;:&quot;article-journal&quot;,&quot;id&quot;:&quot;4487b526-9e37-370f-928f-1d8e1b644bd2&quot;,&quot;title&quot;:&quot;Algorithmic Risk or Risk Mitigated? A Comparative Study of Credit-risk Assessment Accuracy Pre- and Post-automation in Indian Commercial Lending&quot;,&quot;author&quot;:[{&quot;family&quot;:&quot;Singh&quot;,&quot;given&quot;:&quot;Harpreet&quot;,&quot;parse-names&quot;:false,&quot;dropping-particle&quot;:&quot;&quot;,&quot;non-dropping-particle&quot;:&quot;&quot;},{&quot;family&quot;:&quot;Mohanty&quot;,&quot;given&quot;:&quot;Anoop&quot;,&quot;parse-names&quot;:false,&quot;dropping-particle&quot;:&quot;&quot;,&quot;non-dropping-particle&quot;:&quot;&quot;}],&quot;container-title&quot;:&quot;Journal of Contemporary Business Research&quot;,&quot;DOI&quot;:&quot;10.1177/3049513X251405596&quot;,&quot;URL&quot;:&quot;https://doi.org/10.1177/3049513X251405596&quot;,&quot;page&quot;:&quot;3049513X251405596&quot;,&quot;abstract&quot;:&quot; The integration of algorithmic credit assessment tools into Indian commercial banking has transformed traditional approaches to risk evaluation. This study conducts a comparative analysis of credit-risk assessment accuracy before and after the introduction of credit automation technologies—including rule-based engines, machine-learning–based scoring and real-time data analytics. Drawing on panel data from selected public and private sector banks between 2015 and 2024, it evaluates automation’s effect on key risk indicators: default prediction accuracy, non-performing asset (NPA) incidence and credit-score volatility. Employing a quasi-experimental difference-in-differences (DiD) framework and model-performance metrics (AUC, precision–recall and Type I/II error rates), the study isolates the causal impact of automation on credit-decision outcomes. Complementary robustness checks using logistic regression and borrower-attribute calibration assess model drift and discriminatory power. Results demonstrate that algorithmic systems significantly improve prediction accuracy and reduce NPA ratios, particularly in high-volume retail and MSME portfolios. Yet, risk evaluation for unbanked and thin-file borrowers remains prone to algorithmic bias and data sparsity. By revealing this duality—efficiency gains alongside fairness risks—the article contributes to ongoing debates on responsible AI in financial services. It further proposes policy measures including hybrid credit-scoring architectures, continuous model validation and AI-governance standards to ensure accuracy and equity. The findings enrich theoretical discussions of automated risk management while offering actionable insights for sustainable digital transformation in Indian commercial lending. &quot;,&quot;issue&quot;:&quot;0&quot;,&quot;volume&quot;:&quot;0&quot;,&quot;container-title-short&quot;:&quot;&quot;},&quot;isTemporary&quot;:false}]},{&quot;citationID&quot;:&quot;MENDELEY_CITATION_449bec4b-529c-4977-8654-c42288cc4eac&quot;,&quot;properties&quot;:{&quot;noteIndex&quot;:0},&quot;isEdited&quot;:false,&quot;manualOverride&quot;:{&quot;isManuallyOverridden&quot;:false,&quot;citeprocText&quot;:&quot;(Sun et al., 2025; Wang et al., 2025)&quot;,&quot;manualOverrideText&quot;:&quot;&quot;},&quot;citationTag&quot;:&quot;MENDELEY_CITATION_v3_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&quot;,&quot;citationItems&quot;:[{&quot;id&quot;:&quot;19fb1eeb-b7e7-3616-891c-165e6635d189&quot;,&quot;itemData&quot;:{&quot;type&quot;:&quot;article-journal&quot;,&quot;id&quot;:&quot;19fb1eeb-b7e7-3616-891c-165e6635d189&quot;,&quot;title&quot;:&quot;Interpretable Machine Learning Framework for Corporate Financialization Prediction: A SHAP-Based Analysis of High-Dimensional Data&quot;,&quot;author&quot;:[{&quot;family&quot;:&quot;Wang&quot;,&quot;given&quot;:&quot;Yanhe&quot;,&quot;parse-names&quot;:false,&quot;dropping-particle&quot;:&quot;&quot;,&quot;non-dropping-particle&quot;:&quot;&quot;},{&quot;family&quot;:&quot;Wei&quot;,&quot;given&quot;:&quot;Wei&quot;,&quot;parse-names&quot;:false,&quot;dropping-particle&quot;:&quot;&quot;,&quot;non-dropping-particle&quot;:&quot;&quot;},{&quot;family&quot;:&quot;Liu&quot;,&quot;given&quot;:&quot;Zhuodong&quot;,&quot;parse-names&quot;:false,&quot;dropping-particle&quot;:&quot;&quot;,&quot;non-dropping-particle&quot;:&quot;&quot;},{&quot;family&quot;:&quot;Liu&quot;,&quot;given&quot;:&quot;Jiahe&quot;,&quot;parse-names&quot;:false,&quot;dropping-particle&quot;:&quot;&quot;,&quot;non-dropping-particle&quot;:&quot;&quot;},{&quot;family&quot;:&quot;Lv&quot;,&quot;given&quot;:&quot;Yinzhen&quot;,&quot;parse-names&quot;:false,&quot;dropping-particle&quot;:&quot;&quot;,&quot;non-dropping-particle&quot;:&quot;&quot;},{&quot;family&quot;:&quot;Li&quot;,&quot;given&quot;:&quot;Xiangyu&quot;,&quot;parse-names&quot;:false,&quot;dropping-particle&quot;:&quot;&quot;,&quot;non-dropping-particle&quot;:&quot;&quot;}],&quot;container-title&quot;:&quot;Mathematics&quot;,&quot;DOI&quot;:&quot;10.3390/math13152526&quot;,&quot;issued&quot;:{&quot;date-parts&quot;:[[2025,3]]},&quot;page&quot;:&quot;2526&quot;,&quot;volume&quot;:&quot;13&quot;,&quot;container-title-short&quot;:&quot;&quot;},&quot;isTemporary&quot;:false},{&quot;id&quot;:&quot;4a4fb9f6-ffe5-33c6-a714-11557882fdc6&quot;,&quot;itemData&quot;:{&quot;type&quot;:&quot;article-journal&quot;,&quot;id&quot;:&quot;4a4fb9f6-ffe5-33c6-a714-11557882fdc6&quot;,&quot;title&quot;:&quot;Enhancing economic cycle forecasting based on interpretable machine learning and news narrative sentiment&quot;,&quot;author&quot;:[{&quot;family&quot;:&quot;Sun&quot;,&quot;given&quot;:&quot;Weixin&quot;,&quot;parse-names&quot;:false,&quot;dropping-particle&quot;:&quot;&quot;,&quot;non-dropping-particle&quot;:&quot;&quot;},{&quot;family&quot;:&quot;Wang&quot;,&quot;given&quot;:&quot;Yong&quot;,&quot;parse-names&quot;:false,&quot;dropping-particle&quot;:&quot;&quot;,&quot;non-dropping-particle&quot;:&quot;&quot;},{&quot;family&quot;:&quot;Zhang&quot;,&quot;given&quot;:&quot;Li&quot;,&quot;parse-names&quot;:false,&quot;dropping-particle&quot;:&quot;&quot;,&quot;non-dropping-particle&quot;:&quot;&quot;},{&quot;family&quot;:&quot;Chen&quot;,&quot;given&quot;:&quot;Xihui Haviour&quot;,&quot;parse-names&quot;:false,&quot;dropping-particle&quot;:&quot;&quot;,&quot;non-dropping-particle&quot;:&quot;&quot;},{&quot;family&quot;:&quot;Hoang&quot;,&quot;given&quot;:&quot;Yen Hai&quot;,&quot;parse-names&quot;:false,&quot;dropping-particle&quot;:&quot;&quot;,&quot;non-dropping-particle&quot;:&quot;&quot;}],&quot;container-title&quot;:&quot;Technological Forecasting and Social Change&quot;,&quot;container-title-short&quot;:&quot;Technol. Forecast. Soc. Change&quot;,&quot;DOI&quot;:&quot;https://doi.org/10.1016/j.techfore.2025.124094&quot;,&quot;ISSN&quot;:&quot;0040-1625&quot;,&quot;URL&quot;:&quot;https://www.sciencedirect.com/science/article/pii/S0040162525001258&quot;,&quot;issued&quot;:{&quot;date-parts&quot;:[[2025]]},&quot;page&quot;:&quot;124094&quot;,&quot;abstract&quot;:&quot;The growing prevalence of uncertainty in global events poses significant challenges to economic cycle forecasting, emphasizing the need for more robust predictive models. This study addresses this gap by developing a novel forecasting framework that integrates multiple uncertainty indices to improve accuracy, stability, and interpretability, particularly during uncertainty shocks. To achieve this, several methodological innovations were implemented. First, news sentiment-based uncertainty indices were incorporated as candidate variables to capture uncertainty dynamics. Second, Bayesian least absolute shrinkage and selection operator (Bayesian LASSO) was employed for efficient variable selection, mitigating the curse of dimensionality in small samples. Third, the multi-objective Lichtenberg algorithm (MOLA) was applied to optimize the prediction window size, ensuring model robustness. Additionally, a MOLA-based extreme gradient boosting (MOLA-XGBoost) model was developed to fine-tune hyperparameters across dimensions of prediction accuracy, stability, and directional consistency. Finally, SHapley Additive exPlanations (SHAP) theory was used to enhance model interpretability. This study forecasts China's economic cycle using multiple indicators, demonstrating that the proposed approach consistently delivers accurate and robust predictions even under uncertainty shocks. The findings highlight the crucial role of uncertainty indices in improving economic forecasts, offering new insights and methodologies for predictive modeling in volatile environments.&quot;,&quot;volume&quot;:&quot;215&quot;},&quot;isTemporary&quot;:false}]},{&quot;citationID&quot;:&quot;MENDELEY_CITATION_3c1e69cd-9054-4631-91ca-55699d636eb5&quot;,&quot;properties&quot;:{&quot;noteIndex&quot;:0},&quot;isEdited&quot;:false,&quot;manualOverride&quot;:{&quot;isManuallyOverridden&quot;:false,&quot;citeprocText&quot;:&quot;(Ghosh Roy, 2014)&quot;,&quot;manualOverrideText&quot;:&quot;&quot;},&quot;citationTag&quot;:&quot;MENDELEY_CITATION_v3_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&quot;,&quot;citationItems&quot;:[{&quot;id&quot;:&quot;5ff5d3ae-2b79-3810-90fc-f7841f1c4e44&quot;,&quot;itemData&quot;:{&quot;type&quot;:&quot;article-journal&quot;,&quot;id&quot;:&quot;5ff5d3ae-2b79-3810-90fc-f7841f1c4e44&quot;,&quot;title&quot;:&quot;Determinants of Non-Performing Assets in India - Panel Regression&quot;,&quot;author&quot;:[{&quot;family&quot;:&quot;Ghosh Roy&quot;,&quot;given&quot;:&quot;Saikat&quot;,&quot;parse-names&quot;:false,&quot;dropping-particle&quot;:&quot;&quot;,&quot;non-dropping-particle&quot;:&quot;&quot;}],&quot;container-title&quot;:&quot;Eurasian Journal of Economics and Finance&quot;,&quot;DOI&quot;:&quot;10.15604/ejef.2014.02.03.005&quot;,&quot;issued&quot;:{&quot;date-parts&quot;:[[2014,3]]},&quot;page&quot;:&quot;69-78&quot;,&quot;volume&quot;:&quot;2&quot;,&quot;container-title-short&quot;:&quot;&quot;},&quot;isTemporary&quot;:false,&quot;suppress-author&quot;:false,&quot;composite&quot;:false,&quot;author-only&quot;:false}]},{&quot;citationID&quot;:&quot;MENDELEY_CITATION_9caede49-f906-496c-91d7-204f86841771&quot;,&quot;properties&quot;:{&quot;noteIndex&quot;:0},&quot;isEdited&quot;:false,&quot;manualOverride&quot;:{&quot;isManuallyOverridden&quot;:false,&quot;citeprocText&quot;:&quot;(Dash &amp;#38; Kabra, 2010)&quot;,&quot;manualOverrideText&quot;:&quot;&quot;},&quot;citationTag&quot;:&quot;MENDELEY_CITATION_v3_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&quot;,&quot;citationItems&quot;:[{&quot;id&quot;:&quot;ff8c2db1-7945-3d62-9ca6-5bdd8f921263&quot;,&quot;itemData&quot;:{&quot;type&quot;:&quot;article-journal&quot;,&quot;id&quot;:&quot;ff8c2db1-7945-3d62-9ca6-5bdd8f921263&quot;,&quot;title&quot;:&quot;The Determinants of Non-Performing Assets in Indian Commercial Bank: An Econometric Study&quot;,&quot;author&quot;:[{&quot;family&quot;:&quot;Dash&quot;,&quot;given&quot;:&quot;Manoj&quot;,&quot;parse-names&quot;:false,&quot;dropping-particle&quot;:&quot;&quot;,&quot;non-dropping-particle&quot;:&quot;&quot;},{&quot;family&quot;:&quot;Kabra&quot;,&quot;given&quot;:&quot;Gaurav&quot;,&quot;parse-names&quot;:false,&quot;dropping-particle&quot;:&quot;&quot;,&quot;non-dropping-particle&quot;:&quot;&quot;}],&quot;container-title&quot;:&quot;Middle Eastern Finance and Economics&quot;,&quot;issued&quot;:{&quot;date-parts&quot;:[[2010,3]]},&quot;page&quot;:&quot;94-106&quot;,&quot;volume&quot;:&quot;7&quot;,&quot;container-title-short&quot;:&quot;&quot;},&quot;isTemporary&quot;:false}]},{&quot;citationID&quot;:&quot;MENDELEY_CITATION_c2534c56-09e5-4bbb-a5cf-09f689132191&quot;,&quot;properties&quot;:{&quot;noteIndex&quot;:0},&quot;isEdited&quot;:false,&quot;manualOverride&quot;:{&quot;isManuallyOverridden&quot;:false,&quot;citeprocText&quot;:&quot;(Rajaraman &amp;#38; Vasishtha, 2001)&quot;,&quot;manualOverrideText&quot;:&quot;&quot;},&quot;citationTag&quot;:&quot;MENDELEY_CITATION_v3_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&quot;,&quot;citationItems&quot;:[{&quot;id&quot;:&quot;d31c3d7d-bf4f-3ef7-9f04-2f6715bc62e9&quot;,&quot;itemData&quot;:{&quot;type&quot;:&quot;article-journal&quot;,&quot;id&quot;:&quot;d31c3d7d-bf4f-3ef7-9f04-2f6715bc62e9&quot;,&quot;title&quot;:&quot;Non-performing loans of PSU banks: Some panel results&quot;,&quot;author&quot;:[{&quot;family&quot;:&quot;Rajaraman&quot;,&quot;given&quot;:&quot;Indira&quot;,&quot;parse-names&quot;:false,&quot;dropping-particle&quot;:&quot;&quot;,&quot;non-dropping-particle&quot;:&quot;&quot;},{&quot;family&quot;:&quot;Vasishtha&quot;,&quot;given&quot;:&quot;Garima&quot;,&quot;parse-names&quot;:false,&quot;dropping-particle&quot;:&quot;&quot;,&quot;non-dropping-particle&quot;:&quot;&quot;}],&quot;container-title&quot;:&quot;National Institute of Public Finance and Policy, Working Papers&quot;,&quot;DOI&quot;:&quot;10.2307/4411688&quot;,&quot;issued&quot;:{&quot;date-parts&quot;:[[2001,3]]},&quot;container-title-short&quot;:&quot;&quot;},&quot;isTemporary&quot;:false}]},{&quot;citationID&quot;:&quot;MENDELEY_CITATION_ae607f49-cf58-4417-adf0-c2aa867322f2&quot;,&quot;properties&quot;:{&quot;noteIndex&quot;:0},&quot;isEdited&quot;:false,&quot;manualOverride&quot;:{&quot;isManuallyOverridden&quot;:false,&quot;citeprocText&quot;:&quot;(Espinoza &amp;#38; Prasad, 2010)&quot;,&quot;manualOverrideText&quot;:&quot;&quot;},&quot;citationTag&quot;:&quot;MENDELEY_CITATION_v3_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&quot;,&quot;citationItems&quot;:[{&quot;id&quot;:&quot;4820cce8-82c5-31db-8792-a148bb405cf0&quot;,&quot;itemData&quot;:{&quot;type&quot;:&quot;article-journal&quot;,&quot;id&quot;:&quot;4820cce8-82c5-31db-8792-a148bb405cf0&quot;,&quot;title&quot;:&quot;Nonperforming Loans in the GCC Banking System and Their Macroeconomic Effects&quot;,&quot;author&quot;:[{&quot;family&quot;:&quot;Espinoza&quot;,&quot;given&quot;:&quot;Raphael&quot;,&quot;parse-names&quot;:false,&quot;dropping-particle&quot;:&quot;&quot;,&quot;non-dropping-particle&quot;:&quot;&quot;},{&quot;family&quot;:&quot;Prasad&quot;,&quot;given&quot;:&quot;A&quot;,&quot;parse-names&quot;:false,&quot;dropping-particle&quot;:&quot;&quot;,&quot;non-dropping-particle&quot;:&quot;&quot;}],&quot;container-title&quot;:&quot;IMF Working Papers&quot;,&quot;DOI&quot;:&quot;10.5089/9781455208890.001&quot;,&quot;issued&quot;:{&quot;date-parts&quot;:[[2010,3]]},&quot;volume&quot;:&quot;10&quot;,&quot;container-title-short&quot;:&quot;&quot;},&quot;isTemporary&quot;:false,&quot;suppress-author&quot;:false,&quot;composite&quot;:false,&quot;author-only&quot;:false}]},{&quot;citationID&quot;:&quot;MENDELEY_CITATION_22befe4d-bfb3-4ec8-9c4d-3a25fb6cbd2c&quot;,&quot;properties&quot;:{&quot;noteIndex&quot;:0},&quot;isEdited&quot;:false,&quot;manualOverride&quot;:{&quot;isManuallyOverridden&quot;:false,&quot;citeprocText&quot;:&quot;(Boudriga et al., 2010)&quot;,&quot;manualOverrideText&quot;:&quot;&quot;},&quot;citationTag&quot;:&quot;MENDELEY_CITATION_v3_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&quot;,&quot;citationItems&quot;:[{&quot;id&quot;:&quot;8da18745-a50a-3f68-91a6-fe9aae9626bc&quot;,&quot;itemData&quot;:{&quot;type&quot;:&quot;report&quot;,&quot;id&quot;:&quot;8da18745-a50a-3f68-91a6-fe9aae9626bc&quot;,&quot;title&quot;:&quot;BANK SPECIFIC, BUSINESS AND INSTITUTIONAL ENVIRONMENT DETERMINANTS OF BANKS NONPERFORMING LOANS: EVIDENCE FROM MENA COUNTRIES&quot;,&quot;author&quot;:[{&quot;family&quot;:&quot;Boudriga&quot;,&quot;given&quot;:&quot;Abdelkader&quot;,&quot;parse-names&quot;:false,&quot;dropping-particle&quot;:&quot;&quot;,&quot;non-dropping-particle&quot;:&quot;&quot;},{&quot;family&quot;:&quot;Boulila Taktak&quot;,&quot;given&quot;:&quot;Neila&quot;,&quot;parse-names&quot;:false,&quot;dropping-particle&quot;:&quot;&quot;,&quot;non-dropping-particle&quot;:&quot;&quot;},{&quot;family&quot;:&quot;Jellouli&quot;,&quot;given&quot;:&quot;Sana&quot;,&quot;parse-names&quot;:false,&quot;dropping-particle&quot;:&quot;&quot;,&quot;non-dropping-particle&quot;:&quot;&quot;}],&quot;URL&quot;:&quot;www.erf.org.eg&quot;,&quot;issued&quot;:{&quot;date-parts&quot;:[[2010]]},&quot;container-title-short&quot;:&quot;&quot;},&quot;isTemporary&quot;:false}]},{&quot;citationID&quot;:&quot;MENDELEY_CITATION_0403365c-cace-4f08-965e-3eb3215188f0&quot;,&quot;properties&quot;:{&quot;noteIndex&quot;:0},&quot;isEdited&quot;:false,&quot;manualOverride&quot;:{&quot;isManuallyOverridden&quot;:false,&quot;citeprocText&quot;:&quot;(Mishra et al., 2021)&quot;,&quot;manualOverrideText&quot;:&quot;&quot;},&quot;citationTag&quot;:&quot;MENDELEY_CITATION_v3_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&quot;,&quot;citationItems&quot;:[{&quot;id&quot;:&quot;6af9002f-e2c1-3d86-81c2-2d1c6bcdf27d&quot;,&quot;itemData&quot;:{&quot;type&quot;:&quot;article-journal&quot;,&quot;id&quot;:&quot;6af9002f-e2c1-3d86-81c2-2d1c6bcdf27d&quot;,&quot;title&quot;:&quot;Non-performing assets and its determinants in the Indian banking system: An empirical analysis using dynamic panel data models&quot;,&quot;author&quot;:[{&quot;family&quot;:&quot;Mishra&quot;,&quot;given&quot;:&quot;Aswini Kumar&quot;,&quot;parse-names&quot;:false,&quot;dropping-particle&quot;:&quot;&quot;,&quot;non-dropping-particle&quot;:&quot;&quot;},{&quot;family&quot;:&quot;Jain&quot;,&quot;given&quot;:&quot;Shikhar&quot;,&quot;parse-names&quot;:false,&quot;dropping-particle&quot;:&quot;&quot;,&quot;non-dropping-particle&quot;:&quot;&quot;},{&quot;family&quot;:&quot;Abid&quot;,&quot;given&quot;:&quot;Mohammad&quot;,&quot;parse-names&quot;:false,&quot;dropping-particle&quot;:&quot;&quot;,&quot;non-dropping-particle&quot;:&quot;&quot;}],&quot;container-title&quot;:&quot;International Journal of Finance &amp; Economics&quot;,&quot;DOI&quot;:&quot;https://doi.org/10.1002/ijfe.2102&quot;,&quot;URL&quot;:&quot;https://onlinelibrary.wiley.com/doi/abs/10.1002/ijfe.2102&quot;,&quot;issued&quot;:{&quot;date-parts&quot;:[[2021]]},&quot;page&quot;:&quot;5948-5962&quot;,&quot;abstract&quot;:&quot;Abstract Non-performing assets (NPAs) in the Indian banking system are currently one of the biggest financial threats to the Indian economy. The gross NPAs for Indian banks have increased by nearly four times from nearly USD 35 billion as of March 2014 to more than USD 150 billion as of March 2018. The factors responsible for this are political, macroeconomic as well as bank-specific in nature. In this study, we study the determinants of NPAs for Indian banks by using a panel dataset for 40 public and private banks in India, for the period March 2010 to June 2019 (quarterly-frequency). Among the macro-economic variables, we find the Index of Industrial Production (IIP), Consumer Price Index (CPI) Inflation, policy repo rate, and exchange rate to be significant determinants of NPAs. Among the bank-specific variables, we find gross loans and advances, provisions and contingencies, income on investments, and sector of bank (Public vs. Private) to be significant determinants of NPAs. We also find the role of demonetization (2016) towards influencing the NPAs of Indian banks, to be insignificant. Finally, we also provide some policy implications and remedial measures to tackle the problem of NPAs.&quot;,&quot;issue&quot;:&quot;4&quot;,&quot;volume&quot;:&quot;26&quot;,&quot;container-title-short&quot;:&quot;&quot;},&quot;isTemporary&quot;:false}]},{&quot;citationID&quot;:&quot;MENDELEY_CITATION_0041dd20-624c-4d6d-a521-041f14714ce4&quot;,&quot;properties&quot;:{&quot;noteIndex&quot;:0},&quot;isEdited&quot;:false,&quot;manualOverride&quot;:{&quot;isManuallyOverridden&quot;:false,&quot;citeprocText&quot;:&quot;(Mishra et al., 2021)&quot;,&quot;manualOverrideText&quot;:&quot;&quot;},&quot;citationTag&quot;:&quot;MENDELEY_CITATION_v3_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&quot;,&quot;citationItems&quot;:[{&quot;id&quot;:&quot;6af9002f-e2c1-3d86-81c2-2d1c6bcdf27d&quot;,&quot;itemData&quot;:{&quot;type&quot;:&quot;article-journal&quot;,&quot;id&quot;:&quot;6af9002f-e2c1-3d86-81c2-2d1c6bcdf27d&quot;,&quot;title&quot;:&quot;Non-performing assets and its determinants in the Indian banking system: An empirical analysis using dynamic panel data models&quot;,&quot;author&quot;:[{&quot;family&quot;:&quot;Mishra&quot;,&quot;given&quot;:&quot;Aswini Kumar&quot;,&quot;parse-names&quot;:false,&quot;dropping-particle&quot;:&quot;&quot;,&quot;non-dropping-particle&quot;:&quot;&quot;},{&quot;family&quot;:&quot;Jain&quot;,&quot;given&quot;:&quot;Shikhar&quot;,&quot;parse-names&quot;:false,&quot;dropping-particle&quot;:&quot;&quot;,&quot;non-dropping-particle&quot;:&quot;&quot;},{&quot;family&quot;:&quot;Abid&quot;,&quot;given&quot;:&quot;Mohammad&quot;,&quot;parse-names&quot;:false,&quot;dropping-particle&quot;:&quot;&quot;,&quot;non-dropping-particle&quot;:&quot;&quot;}],&quot;container-title&quot;:&quot;International Journal of Finance &amp; Economics&quot;,&quot;DOI&quot;:&quot;https://doi.org/10.1002/ijfe.2102&quot;,&quot;URL&quot;:&quot;https://onlinelibrary.wiley.com/doi/abs/10.1002/ijfe.2102&quot;,&quot;issued&quot;:{&quot;date-parts&quot;:[[2021]]},&quot;page&quot;:&quot;5948-5962&quot;,&quot;abstract&quot;:&quot;Abstract Non-performing assets (NPAs) in the Indian banking system are currently one of the biggest financial threats to the Indian economy. The gross NPAs for Indian banks have increased by nearly four times from nearly USD 35 billion as of March 2014 to more than USD 150 billion as of March 2018. The factors responsible for this are political, macroeconomic as well as bank-specific in nature. In this study, we study the determinants of NPAs for Indian banks by using a panel dataset for 40 public and private banks in India, for the period March 2010 to June 2019 (quarterly-frequency). Among the macro-economic variables, we find the Index of Industrial Production (IIP), Consumer Price Index (CPI) Inflation, policy repo rate, and exchange rate to be significant determinants of NPAs. Among the bank-specific variables, we find gross loans and advances, provisions and contingencies, income on investments, and sector of bank (Public vs. Private) to be significant determinants of NPAs. We also find the role of demonetization (2016) towards influencing the NPAs of Indian banks, to be insignificant. Finally, we also provide some policy implications and remedial measures to tackle the problem of NPAs.&quot;,&quot;issue&quot;:&quot;4&quot;,&quot;volume&quot;:&quot;26&quot;,&quot;container-title-short&quot;:&quot;&quot;},&quot;isTemporary&quot;:false,&quot;suppress-author&quot;:false,&quot;composite&quot;:false,&quot;author-only&quot;:false}]},{&quot;citationID&quot;:&quot;MENDELEY_CITATION_e6772ea9-fd9f-4a26-a46b-b4a681827a65&quot;,&quot;properties&quot;:{&quot;noteIndex&quot;:0},&quot;isEdited&quot;:false,&quot;manualOverride&quot;:{&quot;isManuallyOverridden&quot;:false,&quot;citeprocText&quot;:&quot;(Sareen, 2023)&quot;,&quot;manualOverrideText&quot;:&quot;&quot;},&quot;citationTag&quot;:&quot;MENDELEY_CITATION_v3_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&quot;,&quot;citationItems&quot;:[{&quot;id&quot;:&quot;a2ebf1b4-087b-36f1-b9e8-0acbcfafb1fa&quot;,&quot;itemData&quot;:{&quot;type&quot;:&quot;article-journal&quot;,&quot;id&quot;:&quot;a2ebf1b4-087b-36f1-b9e8-0acbcfafb1fa&quot;,&quot;title&quot;:&quot;Analysis of bank specific factors of non-performing assets of select commercial banks&quot;,&quot;author&quot;:[{&quot;family&quot;:&quot;Sareen&quot;,&quot;given&quot;:&quot;Rachan&quot;,&quot;parse-names&quot;:false,&quot;dropping-particle&quot;:&quot;&quot;,&quot;non-dropping-particle&quot;:&quot;&quot;}],&quot;container-title&quot;:&quot;Asian Journal of Management&quot;,&quot;DOI&quot;:&quot;10.52711/2321-5763.2023.00046&quot;,&quot;issued&quot;:{&quot;date-parts&quot;:[[2023,3]]},&quot;page&quot;:&quot;283-292&quot;,&quot;container-title-short&quot;:&quot;&quot;},&quot;isTemporary&quot;:false,&quot;suppress-author&quot;:false,&quot;composite&quot;:false,&quot;author-only&quot;:false}]},{&quot;citationID&quot;:&quot;MENDELEY_CITATION_be7b15e0-9c42-47ec-8dd5-da84fd60ae9f&quot;,&quot;properties&quot;:{&quot;noteIndex&quot;:0},&quot;isEdited&quot;:false,&quot;manualOverride&quot;:{&quot;isManuallyOverridden&quot;:false,&quot;citeprocText&quot;:&quot;(Bawa et al., 2019)&quot;,&quot;manualOverrideText&quot;:&quot;&quot;},&quot;citationTag&quot;:&quot;MENDELEY_CITATION_v3_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&quot;,&quot;citationItems&quot;:[{&quot;id&quot;:&quot;b60b784c-91aa-3629-90e8-1e8a30e92ac0&quot;,&quot;itemData&quot;:{&quot;type&quot;:&quot;article-journal&quot;,&quot;id&quot;:&quot;b60b784c-91aa-3629-90e8-1e8a30e92ac0&quot;,&quot;title&quot;:&quot;An analysis of NPAs of Indian banks: Using a comprehensive framework of 31 financial ratios&quot;,&quot;author&quot;:[{&quot;family&quot;:&quot;Bawa&quot;,&quot;given&quot;:&quot;Jaslene Kaur&quot;,&quot;parse-names&quot;:false,&quot;dropping-particle&quot;:&quot;&quot;,&quot;non-dropping-particle&quot;:&quot;&quot;},{&quot;family&quot;:&quot;Goyal&quot;,&quot;given&quot;:&quot;Vinay&quot;,&quot;parse-names&quot;:false,&quot;dropping-particle&quot;:&quot;&quot;,&quot;non-dropping-particle&quot;:&quot;&quot;},{&quot;family&quot;:&quot;Mitra&quot;,&quot;given&quot;:&quot;S K&quot;,&quot;parse-names&quot;:false,&quot;dropping-particle&quot;:&quot;&quot;,&quot;non-dropping-particle&quot;:&quot;&quot;},{&quot;family&quot;:&quot;Basu&quot;,&quot;given&quot;:&quot;Sankarshan&quot;,&quot;parse-names&quot;:false,&quot;dropping-particle&quot;:&quot;&quot;,&quot;non-dropping-particle&quot;:&quot;&quot;}],&quot;container-title&quot;:&quot;IIMB Management Review&quot;,&quot;DOI&quot;:&quot;https://doi.org/10.1016/j.iimb.2018.08.004&quot;,&quot;ISSN&quot;:&quot;0970-3896&quot;,&quot;URL&quot;:&quot;https://www.sciencedirect.com/science/article/pii/S0970389618304579&quot;,&quot;issued&quot;:{&quot;date-parts&quot;:[[2019]]},&quot;page&quot;:&quot;51-62&quot;,&quot;abstract&quot;:&quot;The study examines panel data for 46 Indian banks with 31 bank specific financial ratios over eight years (2007 to 2014). Together, these ratios reflect operating capability, liquidity, solvency, profitability, capital adequacy and business development capacity aspects across Indian banks that affect non-performing assets (NPAs). The data was analysed using a GMM model that dealt with endogeneity issues present in the data. This model captured NPA with an r-square of 85%. We find a negative significant relationship between intermediation cost ratio, Return on Assets and NPAs. Asset growth, lagged NPAs, and total liabilities by total assets are positively related to NPAs.&quot;,&quot;issue&quot;:&quot;1&quot;,&quot;volume&quot;:&quot;31&quot;,&quot;container-title-short&quot;:&quot;&quot;},&quot;isTemporary&quot;:false,&quot;suppress-author&quot;:false,&quot;composite&quot;:false,&quot;author-only&quot;:false}]},{&quot;citationID&quot;:&quot;MENDELEY_CITATION_cf1e686e-bcd0-4b8f-8669-179872f0aaf9&quot;,&quot;properties&quot;:{&quot;noteIndex&quot;:0},&quot;isEdited&quot;:false,&quot;manualOverride&quot;:{&quot;isManuallyOverridden&quot;:false,&quot;citeprocText&quot;:&quot;(Dash &amp;#38; Kabra, 2010)&quot;,&quot;manualOverrideText&quot;:&quot;&quot;},&quot;citationTag&quot;:&quot;MENDELEY_CITATION_v3_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&quot;,&quot;citationItems&quot;:[{&quot;id&quot;:&quot;ff8c2db1-7945-3d62-9ca6-5bdd8f921263&quot;,&quot;itemData&quot;:{&quot;type&quot;:&quot;article-journal&quot;,&quot;id&quot;:&quot;ff8c2db1-7945-3d62-9ca6-5bdd8f921263&quot;,&quot;title&quot;:&quot;The Determinants of Non-Performing Assets in Indian Commercial Bank: An Econometric Study&quot;,&quot;author&quot;:[{&quot;family&quot;:&quot;Dash&quot;,&quot;given&quot;:&quot;Manoj&quot;,&quot;parse-names&quot;:false,&quot;dropping-particle&quot;:&quot;&quot;,&quot;non-dropping-particle&quot;:&quot;&quot;},{&quot;family&quot;:&quot;Kabra&quot;,&quot;given&quot;:&quot;Gaurav&quot;,&quot;parse-names&quot;:false,&quot;dropping-particle&quot;:&quot;&quot;,&quot;non-dropping-particle&quot;:&quot;&quot;}],&quot;container-title&quot;:&quot;Middle Eastern Finance and Economics&quot;,&quot;issued&quot;:{&quot;date-parts&quot;:[[2010,3]]},&quot;page&quot;:&quot;94-106&quot;,&quot;volume&quot;:&quot;7&quot;,&quot;container-title-short&quot;:&quot;&quot;},&quot;isTemporary&quot;:false,&quot;suppress-author&quot;:false,&quot;composite&quot;:false,&quot;author-only&quot;:false}]},{&quot;citationID&quot;:&quot;MENDELEY_CITATION_5df8e6af-d6ee-4d2c-abbf-e08684d15bda&quot;,&quot;properties&quot;:{&quot;noteIndex&quot;:0},&quot;isEdited&quot;:false,&quot;manualOverride&quot;:{&quot;isManuallyOverridden&quot;:false,&quot;citeprocText&quot;:&quot;(Gaur &amp;#38; Mohapatra, 2020)&quot;,&quot;manualOverrideText&quot;:&quot;&quot;},&quot;citationTag&quot;:&quot;MENDELEY_CITATION_v3_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&quot;,&quot;citationItems&quot;:[{&quot;id&quot;:&quot;82e46ddd-bb4c-3207-9d03-d80c4ff36abb&quot;,&quot;itemData&quot;:{&quot;type&quot;:&quot;article-journal&quot;,&quot;id&quot;:&quot;82e46ddd-bb4c-3207-9d03-d80c4ff36abb&quot;,&quot;title&quot;:&quot;The nexus of economic growth, priority sector lending and non-performing assets: case of Indian banking sector&quot;,&quot;author&quot;:[{&quot;family&quot;:&quot;Gaur&quot;,&quot;given&quot;:&quot;Dolly&quot;,&quot;parse-names&quot;:false,&quot;dropping-particle&quot;:&quot;&quot;,&quot;non-dropping-particle&quot;:&quot;&quot;},{&quot;family&quot;:&quot;Mohapatra&quot;,&quot;given&quot;:&quot;Dipti&quot;,&quot;parse-names&quot;:false,&quot;dropping-particle&quot;:&quot;&quot;,&quot;non-dropping-particle&quot;:&quot;&quot;}],&quot;container-title&quot;:&quot;South Asian Journal of Business Studies&quot;,&quot;DOI&quot;:&quot;10.1108/SAJBS-01-2020-0010&quot;,&quot;issued&quot;:{&quot;date-parts&quot;:[[2020,3]]},&quot;volume&quot;:&quot;ahead-of-print&quot;,&quot;container-title-short&quot;:&quot;&quot;},&quot;isTemporary&quot;:false,&quot;suppress-author&quot;:false,&quot;composite&quot;:false,&quot;author-only&quot;:false}]},{&quot;citationID&quot;:&quot;MENDELEY_CITATION_4d90f6ff-f9fd-4d58-a947-ce349ab530b7&quot;,&quot;properties&quot;:{&quot;noteIndex&quot;:0},&quot;isEdited&quot;:false,&quot;manualOverride&quot;:{&quot;isManuallyOverridden&quot;:false,&quot;citeprocText&quot;:&quot;(Sengupta &amp;#38; Vardhan, 2017)&quot;,&quot;manualOverrideText&quot;:&quot;&quot;},&quot;citationTag&quot;:&quot;MENDELEY_CITATION_v3_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&quot;,&quot;citationItems&quot;:[{&quot;id&quot;:&quot;95affb97-c165-391c-a75b-a98ad1ddbbd7&quot;,&quot;itemData&quot;:{&quot;type&quot;:&quot;report&quot;,&quot;id&quot;:&quot;95affb97-c165-391c-a75b-a98ad1ddbbd7&quot;,&quot;title&quot;:&quot;Non-performing assets in Indian Banks: This time it is different&quot;,&quot;author&quot;:[{&quot;family&quot;:&quot;Sengupta&quot;,&quot;given&quot;:&quot;Rajeswari&quot;,&quot;parse-names&quot;:false,&quot;dropping-particle&quot;:&quot;&quot;,&quot;non-dropping-particle&quot;:&quot;&quot;},{&quot;family&quot;:&quot;Vardhan&quot;,&quot;given&quot;:&quot;Harsh&quot;,&quot;parse-names&quot;:false,&quot;dropping-particle&quot;:&quot;&quot;,&quot;non-dropping-particle&quot;:&quot;&quot;}],&quot;DOI&quot;:&quot;None&quot;,&quot;URL&quot;:&quot;https://ideas.repec.org/p/ind/igiwpp/2017-019.html&quot;,&quot;issued&quot;:{&quot;date-parts&quot;:[[2017,9]]},&quot;abstract&quot;:&quot;Growing non-performing assets is a recurrent problem in the Indian banking sector. Over the past two decades, there have been two such episodes when the banking sector was severely impaired by balance sheet problems. In this paper we do a comparative analysis of the two banking crisis episodes-the one in the late 1990s and one that started in the aftermath of the 2008 Global Financial Crisis and is yet to be resolved. We describe the macroeconomic and banking environment preceding the episodes, the degree and nature of the crises and also discuss the policy responses that have been undertaken. We conclude by drawing policy lessons from this discussion and suggest some measures that can be adopted to better deal with a future balance sheet related crisis in the banking sector such that the impact on the real economy is minimal.&quot;,&quot;issue&quot;:&quot;2017-019&quot;,&quot;container-title-short&quot;:&quot;&quot;},&quot;isTemporary&quot;:false,&quot;suppress-author&quot;:false,&quot;composite&quot;:false,&quot;author-only&quot;:false}]},{&quot;citationID&quot;:&quot;MENDELEY_CITATION_9fa2255c-6c2e-43aa-a232-9c63a7fc2a63&quot;,&quot;properties&quot;:{&quot;noteIndex&quot;:0},&quot;isEdited&quot;:false,&quot;manualOverride&quot;:{&quot;isManuallyOverridden&quot;:false,&quot;citeprocText&quot;:&quot;(Marew et al., 2022)&quot;,&quot;manualOverrideText&quot;:&quot;&quot;},&quot;citationTag&quot;:&quot;MENDELEY_CITATION_v3_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&quot;,&quot;citationItems&quot;:[{&quot;id&quot;:&quot;abbbd19b-085e-360a-8732-823bad4c752e&quot;,&quot;itemData&quot;:{&quot;type&quot;:&quot;article&quot;,&quot;id&quot;:&quot;abbbd19b-085e-360a-8732-823bad4c752e&quot;,&quot;title&quot;:&quot;Machine Learning Models Evaluation and Feature Importance Analysis on NPL Dataset&quot;,&quot;author&quot;:[{&quot;family&quot;:&quot;Marew&quot;,&quot;given&quot;:&quot;Rufael&quot;,&quot;parse-names&quot;:false,&quot;dropping-particle&quot;:&quot;&quot;,&quot;non-dropping-particle&quot;:&quot;&quot;},{&quot;family&quot;:&quot;Getachew&quot;,&quot;given&quot;:&quot;Anteneh&quot;,&quot;parse-names&quot;:false,&quot;dropping-particle&quot;:&quot;&quot;,&quot;non-dropping-particle&quot;:&quot;&quot;},{&quot;family&quot;:&quot;Tadele&quot;,&quot;given&quot;:&quot;Yishak&quot;,&quot;parse-names&quot;:false,&quot;dropping-particle&quot;:&quot;&quot;,&quot;non-dropping-particle&quot;:&quot;&quot;},{&quot;family&quot;:&quot;Ali&quot;,&quot;given&quot;:&quot;Nuredin&quot;,&quot;parse-names&quot;:false,&quot;dropping-particle&quot;:&quot;&quot;,&quot;non-dropping-particle&quot;:&quot;&quot;},{&quot;family&quot;:&quot;Goytom&quot;,&quot;given&quot;:&quot;Israel&quot;,&quot;parse-names&quot;:false,&quot;dropping-particle&quot;:&quot;&quot;,&quot;non-dropping-particle&quot;:&quot;&quot;}],&quot;DOI&quot;:&quot;10.48550/arXiv.2209.09638&quot;,&quot;issued&quot;:{&quot;date-parts&quot;:[[2022,3]]},&quot;container-title-short&quot;:&quot;&quot;},&quot;isTemporary&quot;:false,&quot;suppress-author&quot;:false,&quot;composite&quot;:false,&quot;author-only&quot;:false}]},{&quot;citationID&quot;:&quot;MENDELEY_CITATION_3e9065a4-abff-472d-ae34-6e74d823076c&quot;,&quot;properties&quot;:{&quot;noteIndex&quot;:0},&quot;isEdited&quot;:false,&quot;manualOverride&quot;:{&quot;isManuallyOverridden&quot;:false,&quot;citeprocText&quot;:&quot;(Moharil et al., 2020)&quot;,&quot;manualOverrideText&quot;:&quot;&quot;},&quot;citationTag&quot;:&quot;MENDELEY_CITATION_v3_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&quot;,&quot;citationItems&quot;:[{&quot;id&quot;:&quot;49c47cc9-0827-3526-b7ee-ea8bc732a70f&quot;,&quot;itemData&quot;:{&quot;type&quot;:&quot;article&quot;,&quot;id&quot;:&quot;49c47cc9-0827-3526-b7ee-ea8bc732a70f&quot;,&quot;title&quot;:&quot;To Reduce Gross NPA and Classify Defaulters Using Shannon Entropy&quot;,&quot;author&quot;:[{&quot;family&quot;:&quot;Moharil&quot;,&quot;given&quot;:&quot;Ambarish&quot;,&quot;parse-names&quot;:false,&quot;dropping-particle&quot;:&quot;&quot;,&quot;non-dropping-particle&quot;:&quot;&quot;},{&quot;family&quot;:&quot;Sonavane&quot;,&quot;given&quot;:&quot;Nikhil&quot;,&quot;parse-names&quot;:false,&quot;dropping-particle&quot;:&quot;&quot;,&quot;non-dropping-particle&quot;:&quot;&quot;},{&quot;family&quot;:&quot;Kedia&quot;,&quot;given&quot;:&quot;Chirag&quot;,&quot;parse-names&quot;:false,&quot;dropping-particle&quot;:&quot;&quot;,&quot;non-dropping-particle&quot;:&quot;&quot;},{&quot;family&quot;:&quot;Anand&quot;,&quot;given&quot;:&quot;Mansimran&quot;,&quot;parse-names&quot;:false,&quot;dropping-particle&quot;:&quot;&quot;,&quot;non-dropping-particle&quot;:&quot;&quot;}],&quot;DOI&quot;:&quot;10.48550/arXiv.2004.14418&quot;,&quot;issued&quot;:{&quot;date-parts&quot;:[[2020,3]]},&quot;container-title-short&quot;:&quot;&quot;},&quot;isTemporary&quot;:false,&quot;suppress-author&quot;:false,&quot;composite&quot;:false,&quot;author-only&quot;:false}]},{&quot;citationID&quot;:&quot;MENDELEY_CITATION_749988df-817a-49e5-b74c-41b10a50e83f&quot;,&quot;properties&quot;:{&quot;noteIndex&quot;:0},&quot;isEdited&quot;:false,&quot;manualOverride&quot;:{&quot;isManuallyOverridden&quot;:false,&quot;citeprocText&quot;:&quot;(Zhong et al., 2024)&quot;,&quot;manualOverrideText&quot;:&quot;&quot;},&quot;citationTag&quot;:&quot;MENDELEY_CITATION_v3_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&quot;,&quot;citationItems&quot;:[{&quot;id&quot;:&quot;0d85001b-b85e-3257-beb2-83eeb89cba0d&quot;,&quot;itemData&quot;:{&quot;type&quot;:&quot;article-journal&quot;,&quot;id&quot;:&quot;0d85001b-b85e-3257-beb2-83eeb89cba0d&quot;,&quot;title&quot;:&quot;Berberine inhibits NLRP3 inflammasome activation by regulating mTOR/mtROS axis to alleviate diabetic cardiomyopathy&quot;,&quot;author&quot;:[{&quot;family&quot;:&quot;Zhong&quot;,&quot;given&quot;:&quot;Changsheng&quot;,&quot;parse-names&quot;:false,&quot;dropping-particle&quot;:&quot;&quot;,&quot;non-dropping-particle&quot;:&quot;&quot;},{&quot;family&quot;:&quot;Xie&quot;,&quot;given&quot;:&quot;Yilin&quot;,&quot;parse-names&quot;:false,&quot;dropping-particle&quot;:&quot;&quot;,&quot;non-dropping-particle&quot;:&quot;&quot;},{&quot;family&quot;:&quot;Wang&quot;,&quot;given&quot;:&quot;Huifang&quot;,&quot;parse-names&quot;:false,&quot;dropping-particle&quot;:&quot;&quot;,&quot;non-dropping-particle&quot;:&quot;&quot;},{&quot;family&quot;:&quot;Chen&quot;,&quot;given&quot;:&quot;Wenxian&quot;,&quot;parse-names&quot;:false,&quot;dropping-particle&quot;:&quot;&quot;,&quot;non-dropping-particle&quot;:&quot;&quot;},{&quot;family&quot;:&quot;Yang&quot;,&quot;given&quot;:&quot;Zhenbo&quot;,&quot;parse-names&quot;:false,&quot;dropping-particle&quot;:&quot;&quot;,&quot;non-dropping-particle&quot;:&quot;&quot;},{&quot;family&quot;:&quot;Zhang&quot;,&quot;given&quot;:&quot;Lei&quot;,&quot;parse-names&quot;:false,&quot;dropping-particle&quot;:&quot;&quot;,&quot;non-dropping-particle&quot;:&quot;&quot;},{&quot;family&quot;:&quot;Deng&quot;,&quot;given&quot;:&quot;Qin&quot;,&quot;parse-names&quot;:false,&quot;dropping-particle&quot;:&quot;&quot;,&quot;non-dropping-particle&quot;:&quot;&quot;},{&quot;family&quot;:&quot;Cheng&quot;,&quot;given&quot;:&quot;Ting&quot;,&quot;parse-names&quot;:false,&quot;dropping-particle&quot;:&quot;&quot;,&quot;non-dropping-particle&quot;:&quot;&quot;},{&quot;family&quot;:&quot;Li&quot;,&quot;given&quot;:&quot;Mengyang&quot;,&quot;parse-names&quot;:false,&quot;dropping-particle&quot;:&quot;&quot;,&quot;non-dropping-particle&quot;:&quot;&quot;},{&quot;family&quot;:&quot;Ju&quot;,&quot;given&quot;:&quot;Jin&quot;,&quot;parse-names&quot;:false,&quot;dropping-particle&quot;:&quot;&quot;,&quot;non-dropping-particle&quot;:&quot;&quot;},{&quot;family&quot;:&quot;Liu&quot;,&quot;given&quot;:&quot;Yanyan&quot;,&quot;parse-names&quot;:false,&quot;dropping-particle&quot;:&quot;&quot;,&quot;non-dropping-particle&quot;:&quot;&quot;},{&quot;family&quot;:&quot;Liang&quot;,&quot;given&quot;:&quot;Haihai&quot;,&quot;parse-names&quot;:false,&quot;dropping-particle&quot;:&quot;&quot;,&quot;non-dropping-particle&quot;:&quot;&quot;}],&quot;container-title&quot;:&quot;European Journal of Pharmacology&quot;,&quot;container-title-short&quot;:&quot;Eur. J. Pharmacol.&quot;,&quot;DOI&quot;:&quot;10.1016/j.ejphar.2023.176253&quot;,&quot;ISSN&quot;:&quot;00142999&quot;,&quot;issued&quot;:{&quot;date-parts&quot;:[[2024,2]]},&quot;page&quot;:&quot;176253&quot;,&quot;volume&quot;:&quot;964&quot;},&quot;isTemporary&quot;:false,&quot;suppress-author&quot;:false,&quot;composite&quot;:false,&quot;author-only&quot;:false}]},{&quot;citationID&quot;:&quot;MENDELEY_CITATION_0ff11a40-04c2-4fac-8f1e-1246243c70d1&quot;,&quot;properties&quot;:{&quot;noteIndex&quot;:0},&quot;isEdited&quot;:false,&quot;manualOverride&quot;:{&quot;isManuallyOverridden&quot;:false,&quot;citeprocText&quot;:&quot;(Mullainathan &amp;#38; Spiess, 2017a)&quot;,&quot;manualOverrideText&quot;:&quot;&quot;},&quot;citationTag&quot;:&quot;MENDELEY_CITATION_v3_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&quot;,&quot;citationItems&quot;:[{&quot;id&quot;:&quot;394fd83f-5dc0-380d-9209-c33e0e71351d&quot;,&quot;itemData&quot;:{&quot;type&quot;:&quot;article-journal&quot;,&quot;id&quot;:&quot;394fd83f-5dc0-380d-9209-c33e0e71351d&quot;,&quot;title&quot;:&quot;Machine Learning: An Applied Econometric Approach&quot;,&quot;author&quot;:[{&quot;family&quot;:&quot;Mullainathan&quot;,&quot;given&quot;:&quot;Sendhil&quot;,&quot;parse-names&quot;:false,&quot;dropping-particle&quot;:&quot;&quot;,&quot;non-dropping-particle&quot;:&quot;&quot;},{&quot;family&quot;:&quot;Spiess&quot;,&quot;given&quot;:&quot;Jann&quot;,&quot;parse-names&quot;:false,&quot;dropping-particle&quot;:&quot;&quot;,&quot;non-dropping-particle&quot;:&quot;&quot;}],&quot;container-title&quot;:&quot;Journal of Economic Perspectives&quot;,&quot;DOI&quot;:&quot;10.1257/jep.31.2.87&quot;,&quot;issued&quot;:{&quot;date-parts&quot;:[[2017,3]]},&quot;page&quot;:&quot;87-106&quot;,&quot;volume&quot;:&quot;31&quot;,&quot;container-title-short&quot;:&quot;&quot;},&quot;isTemporary&quot;:false,&quot;suppress-author&quot;:false,&quot;composite&quot;:false,&quot;author-only&quot;:false}]},{&quot;citationID&quot;:&quot;MENDELEY_CITATION_8ef4ce8c-a43c-4ddc-926d-d4b63b2fb67c&quot;,&quot;properties&quot;:{&quot;noteIndex&quot;:0},&quot;isEdited&quot;:false,&quot;manualOverride&quot;:{&quot;isManuallyOverridden&quot;:false,&quot;citeprocText&quot;:&quot;(Malhotra, 2021)&quot;,&quot;manualOverrideText&quot;:&quot;&quot;},&quot;citationTag&quot;:&quot;MENDELEY_CITATION_v3_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&quot;,&quot;citationItems&quot;:[{&quot;id&quot;:&quot;232ed0e4-9d89-3907-882a-9f0ea19ec742&quot;,&quot;itemData&quot;:{&quot;type&quot;:&quot;article-journal&quot;,&quot;id&quot;:&quot;232ed0e4-9d89-3907-882a-9f0ea19ec742&quot;,&quot;title&quot;:&quot;A hybrid econometric–machine learning approach for relative importance analysis: prioritizing food policy&quot;,&quot;author&quot;:[{&quot;family&quot;:&quot;Malhotra&quot;,&quot;given&quot;:&quot;Akash&quot;,&quot;parse-names&quot;:false,&quot;dropping-particle&quot;:&quot;&quot;,&quot;non-dropping-particle&quot;:&quot;&quot;}],&quot;container-title&quot;:&quot;Eurasian Economic Review&quot;,&quot;DOI&quot;:&quot;10.1007/s40822-021-00170-9&quot;,&quot;issued&quot;:{&quot;date-parts&quot;:[[2021,3]]},&quot;volume&quot;:&quot;11&quot;,&quot;container-title-short&quot;:&quot;&quot;},&quot;isTemporary&quot;:false,&quot;suppress-author&quot;:false,&quot;composite&quot;:false,&quot;author-only&quot;:false}]},{&quot;citationID&quot;:&quot;MENDELEY_CITATION_7d196d1b-d33b-49a2-892a-5a39e6ea85d7&quot;,&quot;properties&quot;:{&quot;noteIndex&quot;:0},&quot;isEdited&quot;:false,&quot;manualOverride&quot;:{&quot;isManuallyOverridden&quot;:false,&quot;citeprocText&quot;:&quot;(Baltagi, 2021)&quot;,&quot;manualOverrideText&quot;:&quot;&quot;},&quot;citationTag&quot;:&quot;MENDELEY_CITATION_v3_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&quot;,&quot;citationItems&quot;:[{&quot;id&quot;:&quot;eef94006-ed5a-3215-b903-9cf69ffd18e3&quot;,&quot;itemData&quot;:{&quot;type&quot;:&quot;book&quot;,&quot;id&quot;:&quot;eef94006-ed5a-3215-b903-9cf69ffd18e3&quot;,&quot;title&quot;:&quot;Econometric Analysis of Panel Data&quot;,&quot;author&quot;:[{&quot;family&quot;:&quot;Baltagi&quot;,&quot;given&quot;:&quot;Badi&quot;,&quot;parse-names&quot;:false,&quot;dropping-particle&quot;:&quot;&quot;,&quot;non-dropping-particle&quot;:&quot;&quot;}],&quot;DOI&quot;:&quot;10.1007/978-3-030-53953-5&quot;,&quot;ISBN&quot;:&quot;978-3-030-53952-8&quot;,&quot;issued&quot;:{&quot;date-parts&quot;:[[2021,3]]},&quot;container-title-short&quot;:&quot;&quot;},&quot;isTemporary&quot;:false,&quot;suppress-author&quot;:false,&quot;composite&quot;:false,&quot;author-only&quot;:false}]},{&quot;citationID&quot;:&quot;MENDELEY_CITATION_69460672-11c1-4f46-9eb1-15e8da15d56b&quot;,&quot;properties&quot;:{&quot;noteIndex&quot;:0},&quot;isEdited&quot;:false,&quot;manualOverride&quot;:{&quot;isManuallyOverridden&quot;:false,&quot;citeprocText&quot;:&quot;(Wooldridge, 2021)&quot;,&quot;manualOverrideText&quot;:&quot;&quot;},&quot;citationTag&quot;:&quot;MENDELEY_CITATION_v3_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&quot;,&quot;citationItems&quot;:[{&quot;id&quot;:&quot;a8797b83-a5d2-3d08-b803-541acab700a7&quot;,&quot;itemData&quot;:{&quot;type&quot;:&quot;article&quot;,&quot;id&quot;:&quot;a8797b83-a5d2-3d08-b803-541acab700a7&quot;,&quot;title&quot;:&quot;Two-Way Fixed Effects, the Two-Way Mundlak Regression, and Difference-in-Differences Estimators&quot;,&quot;author&quot;:[{&quot;family&quot;:&quot;Wooldridge&quot;,&quot;given&quot;:&quot;Jeffrey&quot;,&quot;parse-names&quot;:false,&quot;dropping-particle&quot;:&quot;&quot;,&quot;non-dropping-particle&quot;:&quot;&quot;}],&quot;issued&quot;:{&quot;date-parts&quot;:[[2021,3]]},&quot;container-title-short&quot;:&quot;&quot;},&quot;isTemporary&quot;:false,&quot;suppress-author&quot;:false,&quot;composite&quot;:false,&quot;author-only&quot;:false}]},{&quot;citationID&quot;:&quot;MENDELEY_CITATION_1811c834-c4ac-4b89-b002-4d67519d5a26&quot;,&quot;properties&quot;:{&quot;noteIndex&quot;:0},&quot;isEdited&quot;:false,&quot;manualOverride&quot;:{&quot;isManuallyOverridden&quot;:false,&quot;citeprocText&quot;:&quot;(Hausman, 1978)&quot;,&quot;manualOverrideText&quot;:&quot;&quot;},&quot;citationTag&quot;:&quot;MENDELEY_CITATION_v3_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&quot;,&quot;citationItems&quot;:[{&quot;id&quot;:&quot;89061f06-5c54-340a-aca8-6d2f1dcafa0a&quot;,&quot;itemData&quot;:{&quot;type&quot;:&quot;article-journal&quot;,&quot;id&quot;:&quot;89061f06-5c54-340a-aca8-6d2f1dcafa0a&quot;,&quot;title&quot;:&quot;Specification Tests in Econometrics&quot;,&quot;author&quot;:[{&quot;family&quot;:&quot;Hausman&quot;,&quot;given&quot;:&quot;J A&quot;,&quot;parse-names&quot;:false,&quot;dropping-particle&quot;:&quot;&quot;,&quot;non-dropping-particle&quot;:&quot;&quot;}],&quot;container-title&quot;:&quot;Econometrica&quot;,&quot;ISSN&quot;:&quot;00129682, 14680262&quot;,&quot;URL&quot;:&quot;http://www.jstor.org/stable/1913827&quot;,&quot;issued&quot;:{&quot;date-parts&quot;:[[1978]]},&quot;page&quot;:&quot;1251-1271&quot;,&quot;abstract&quot;:&quot;Using the result that under the null hypothesis of no misspecification an asymptotically efficient estimator must have zero asymptotic covariance with its difference from a consistent but asymptotically inefficient estimator, specification tests are devised for a number of model specifications in econometrics. Local power is calculated for small departures from the null hypothesis. An instrumental variable test as well as tests for a time series cross section model and the simultaneous equation model are presented. An empirical model provides evidence that unobserved individual factors are present which are not orthogonal to the included right-hand-side variable in a common econometric specification of an individual wage equation.&quot;,&quot;publisher&quot;:&quot;[Wiley, Econometric Society]&quot;,&quot;issue&quot;:&quot;6&quot;,&quot;volume&quot;:&quot;46&quot;,&quot;container-title-short&quot;:&quot;&quot;},&quot;isTemporary&quot;:false}]},{&quot;citationID&quot;:&quot;MENDELEY_CITATION_32b040dc-5fc3-4245-84d5-a77dd14d8ea2&quot;,&quot;properties&quot;:{&quot;noteIndex&quot;:0},&quot;isEdited&quot;:false,&quot;manualOverride&quot;:{&quot;isManuallyOverridden&quot;:false,&quot;citeprocText&quot;:&quot;(Breusch &amp;#38; Pagan, 1979)&quot;,&quot;manualOverrideText&quot;:&quot;&quot;},&quot;citationTag&quot;:&quot;MENDELEY_CITATION_v3_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&quot;,&quot;citationItems&quot;:[{&quot;id&quot;:&quot;d4a3a5a2-f7b8-33c2-8be2-29c187958cdd&quot;,&quot;itemData&quot;:{&quot;type&quot;:&quot;article-journal&quot;,&quot;id&quot;:&quot;d4a3a5a2-f7b8-33c2-8be2-29c187958cdd&quot;,&quot;title&quot;:&quot;A Simple Test for Heteroscedasticity and Random Coefficient Variation&quot;,&quot;author&quot;:[{&quot;family&quot;:&quot;Breusch&quot;,&quot;given&quot;:&quot;T S&quot;,&quot;parse-names&quot;:false,&quot;dropping-particle&quot;:&quot;&quot;,&quot;non-dropping-particle&quot;:&quot;&quot;},{&quot;family&quot;:&quot;Pagan&quot;,&quot;given&quot;:&quot;A R&quot;,&quot;parse-names&quot;:false,&quot;dropping-particle&quot;:&quot;&quot;,&quot;non-dropping-particle&quot;:&quot;&quot;}],&quot;container-title&quot;:&quot;Econometrica&quot;,&quot;ISSN&quot;:&quot;00129682, 14680262&quot;,&quot;URL&quot;:&quot;http://www.jstor.org/stable/1911963&quot;,&quot;issued&quot;:{&quot;date-parts&quot;:[[1979]]},&quot;page&quot;:&quot;1287-1294&quot;,&quot;abstract&quot;:&quot;A simple test for heteroscedastic disturbances in a linear regression model is developed using the framework of the Lagrangian multiplier test. For a wide range of heteroscedastic and random coefficient specifications, the criterion is given as a readily computed function of the OLS residuals. Some finite sampleevidence is presented to supplement the general asymptotic properties of Lagrangian multiplier tests.&quot;,&quot;publisher&quot;:&quot;[Wiley, Econometric Society]&quot;,&quot;issue&quot;:&quot;5&quot;,&quot;volume&quot;:&quot;47&quot;,&quot;container-title-short&quot;:&quot;&quot;},&quot;isTemporary&quot;:false,&quot;suppress-author&quot;:false,&quot;composite&quot;:false,&quot;author-only&quot;:false}]},{&quot;citationID&quot;:&quot;MENDELEY_CITATION_f5a9e7fb-b9a1-4b29-bf7b-0b9be3021ef8&quot;,&quot;properties&quot;:{&quot;noteIndex&quot;:0},&quot;isEdited&quot;:false,&quot;manualOverride&quot;:{&quot;isManuallyOverridden&quot;:false,&quot;citeprocText&quot;:&quot;(Pesaran, 2003)&quot;,&quot;manualOverrideText&quot;:&quot;&quot;},&quot;citationTag&quot;:&quot;MENDELEY_CITATION_v3_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&quot;,&quot;citationItems&quot;:[{&quot;id&quot;:&quot;3378d066-b92b-3c29-a4a7-7f83fe372f62&quot;,&quot;itemData&quot;:{&quot;type&quot;:&quot;article-journal&quot;,&quot;id&quot;:&quot;3378d066-b92b-3c29-a4a7-7f83fe372f62&quot;,&quot;title&quot;:&quot;Estimation and Inference in Large Heterogenous Panels with Cross Section Dependence&quot;,&quot;author&quot;:[{&quot;family&quot;:&quot;Pesaran&quot;,&quot;given&quot;:&quot;Hashem&quot;,&quot;parse-names&quot;:false,&quot;dropping-particle&quot;:&quot;&quot;,&quot;non-dropping-particle&quot;:&quot;&quot;}],&quot;container-title&quot;:&quot;SSRN Electronic Journal&quot;,&quot;DOI&quot;:&quot;10.2139/ssrn.385123&quot;,&quot;issued&quot;:{&quot;date-parts&quot;:[[2003,3]]},&quot;container-title-short&quot;:&quot;&quot;},&quot;isTemporary&quot;:false,&quot;suppress-author&quot;:false,&quot;composite&quot;:false,&quot;author-only&quot;:false}]},{&quot;citationID&quot;:&quot;MENDELEY_CITATION_aeb67bfc-bafe-4b9d-a34e-cdab5bdd06ec&quot;,&quot;properties&quot;:{&quot;noteIndex&quot;:0},&quot;isEdited&quot;:false,&quot;manualOverride&quot;:{&quot;isManuallyOverridden&quot;:false,&quot;citeprocText&quot;:&quot;(Breiman, 2001a)&quot;,&quot;manualOverrideText&quot;:&quot;&quot;},&quot;citationTag&quot;:&quot;MENDELEY_CITATION_v3_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&quot;,&quot;citationItems&quot;:[{&quot;id&quot;:&quot;d2e9af0e-2890-37b1-996d-002ab19f9f46&quot;,&quot;itemData&quot;:{&quot;type&quot;:&quot;article-journal&quot;,&quot;id&quot;:&quot;d2e9af0e-2890-37b1-996d-002ab19f9f46&quot;,&quot;title&quot;:&quot;Random Forests&quot;,&quot;author&quot;:[{&quot;family&quot;:&quot;Breiman&quot;,&quot;given&quot;:&quot;Leo&quot;,&quot;parse-names&quot;:false,&quot;dropping-particle&quot;:&quot;&quot;,&quot;non-dropping-particle&quot;:&quot;&quot;}],&quot;container-title&quot;:&quot;Machine Learning&quot;,&quot;container-title-short&quot;:&quot;Mach. Learn.&quot;,&quot;DOI&quot;:&quot;10.1023/A:1010933404324&quot;,&quot;ISSN&quot;:&quot;1573-0565&quot;,&quot;URL&quot;:&quot;https://doi.org/10.1023/A:1010933404324&quot;,&quot;issued&quot;:{&quot;date-parts&quot;:[[2001]]},&quot;page&quot;:&quot;5-32&quot;,&quot;abstract&quot;:&quot;Random forests are a combination of tree predictors such that each tree depends on the values of a random vector sampled independently and with the same distribution for all trees in the forest. The generalization error for forests converges a.s. to a limit as the number of trees in the forest becomes large. The generalization error of a forest of tree classifiers depends on the strength of the individual trees in the forest and the correlation between them. Using a random selection of features to split each node yields error rates that compare favorably to Adaboost (Y. Freund &amp; R. Schapire, Machine Learning: Proceedings of the Thirteenth International conference, ***, 148–156), but are more robust with respect to noise. Internal estimates monitor error, strength, and correlation and these are used to show the response to increasing the number of features used in the splitting. Internal estimates are also used to measure variable importance. These ideas are also applicable to regression.&quot;,&quot;issue&quot;:&quot;1&quot;,&quot;volume&quot;:&quot;45&quot;},&quot;isTemporary&quot;:false,&quot;suppress-author&quot;:false,&quot;composite&quot;:false,&quot;author-only&quot;:false}]},{&quot;citationID&quot;:&quot;MENDELEY_CITATION_000676c5-46e8-42cc-8942-dea8dd65f6ad&quot;,&quot;properties&quot;:{&quot;noteIndex&quot;:0},&quot;isEdited&quot;:false,&quot;manualOverride&quot;:{&quot;isManuallyOverridden&quot;:false,&quot;citeprocText&quot;:&quot;(Chen &amp;#38; Guestrin, 2016)&quot;,&quot;manualOverrideText&quot;:&quot;&quot;},&quot;citationTag&quot;:&quot;MENDELEY_CITATION_v3_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&quot;,&quot;citationItems&quot;:[{&quot;id&quot;:&quot;71720b4e-630a-31a5-a8e8-2f28f418f1b9&quot;,&quot;itemData&quot;:{&quot;type&quot;:&quot;paper-conference&quot;,&quot;id&quot;:&quot;71720b4e-630a-31a5-a8e8-2f28f418f1b9&quot;,&quot;title&quot;:&quot;XGBoost: A Scalable Tree Boosting System&quot;,&quot;author&quot;:[{&quot;family&quot;:&quot;Chen&quot;,&quot;given&quot;:&quot;Tianqi&quot;,&quot;parse-names&quot;:false,&quot;dropping-particle&quot;:&quot;&quot;,&quot;non-dropping-particle&quot;:&quot;&quot;},{&quot;family&quot;:&quot;Guestrin&quot;,&quot;given&quot;:&quot;Carlos&quot;,&quot;parse-names&quot;:false,&quot;dropping-particle&quot;:&quot;&quot;,&quot;non-dropping-particle&quot;:&quot;&quot;}],&quot;DOI&quot;:&quot;10.1145/2939672.2939785&quot;,&quot;issued&quot;:{&quot;date-parts&quot;:[[2016,3]]},&quot;page&quot;:&quot;785-794&quot;,&quot;container-title-short&quot;:&quot;&quot;},&quot;isTemporary&quot;:false,&quot;suppress-author&quot;:false,&quot;composite&quot;:false,&quot;author-only&quot;:false}]},{&quot;citationID&quot;:&quot;MENDELEY_CITATION_07e11ef8-290c-4da0-8e83-1864470ea5b6&quot;,&quot;properties&quot;:{&quot;noteIndex&quot;:0},&quot;isEdited&quot;:false,&quot;manualOverride&quot;:{&quot;isManuallyOverridden&quot;:false,&quot;citeprocText&quot;:&quot;(Wooldridge, 2021)&quot;,&quot;manualOverrideText&quot;:&quot;&quot;},&quot;citationTag&quot;:&quot;MENDELEY_CITATION_v3_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&quot;,&quot;citationItems&quot;:[{&quot;id&quot;:&quot;a8797b83-a5d2-3d08-b803-541acab700a7&quot;,&quot;itemData&quot;:{&quot;type&quot;:&quot;article&quot;,&quot;id&quot;:&quot;a8797b83-a5d2-3d08-b803-541acab700a7&quot;,&quot;title&quot;:&quot;Two-Way Fixed Effects, the Two-Way Mundlak Regression, and Difference-in-Differences Estimators&quot;,&quot;author&quot;:[{&quot;family&quot;:&quot;Wooldridge&quot;,&quot;given&quot;:&quot;Jeffrey&quot;,&quot;parse-names&quot;:false,&quot;dropping-particle&quot;:&quot;&quot;,&quot;non-dropping-particle&quot;:&quot;&quot;}],&quot;issued&quot;:{&quot;date-parts&quot;:[[2021,3]]},&quot;container-title-short&quot;:&quot;&quot;},&quot;isTemporary&quot;:false,&quot;suppress-author&quot;:false,&quot;composite&quot;:false,&quot;author-only&quot;:false}]},{&quot;citationID&quot;:&quot;MENDELEY_CITATION_7587b4d0-21d6-424a-b51a-d982135e5cd5&quot;,&quot;properties&quot;:{&quot;noteIndex&quot;:0},&quot;isEdited&quot;:false,&quot;manualOverride&quot;:{&quot;isManuallyOverridden&quot;:false,&quot;citeprocText&quot;:&quot;(Baltagi, 2021; Hausman, 1978)&quot;,&quot;manualOverrideText&quot;:&quot;&quot;},&quot;citationTag&quot;:&quot;MENDELEY_CITATION_v3_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&quot;,&quot;citationItems&quot;:[{&quot;id&quot;:&quot;eef94006-ed5a-3215-b903-9cf69ffd18e3&quot;,&quot;itemData&quot;:{&quot;type&quot;:&quot;book&quot;,&quot;id&quot;:&quot;eef94006-ed5a-3215-b903-9cf69ffd18e3&quot;,&quot;title&quot;:&quot;Econometric Analysis of Panel Data&quot;,&quot;author&quot;:[{&quot;family&quot;:&quot;Baltagi&quot;,&quot;given&quot;:&quot;Badi&quot;,&quot;parse-names&quot;:false,&quot;dropping-particle&quot;:&quot;&quot;,&quot;non-dropping-particle&quot;:&quot;&quot;}],&quot;DOI&quot;:&quot;10.1007/978-3-030-53953-5&quot;,&quot;ISBN&quot;:&quot;978-3-030-53952-8&quot;,&quot;issued&quot;:{&quot;date-parts&quot;:[[2021,3]]},&quot;container-title-short&quot;:&quot;&quot;},&quot;isTemporary&quot;:false},{&quot;id&quot;:&quot;89061f06-5c54-340a-aca8-6d2f1dcafa0a&quot;,&quot;itemData&quot;:{&quot;type&quot;:&quot;article-journal&quot;,&quot;id&quot;:&quot;89061f06-5c54-340a-aca8-6d2f1dcafa0a&quot;,&quot;title&quot;:&quot;Specification Tests in Econometrics&quot;,&quot;author&quot;:[{&quot;family&quot;:&quot;Hausman&quot;,&quot;given&quot;:&quot;J A&quot;,&quot;parse-names&quot;:false,&quot;dropping-particle&quot;:&quot;&quot;,&quot;non-dropping-particle&quot;:&quot;&quot;}],&quot;container-title&quot;:&quot;Econometrica&quot;,&quot;ISSN&quot;:&quot;00129682, 14680262&quot;,&quot;URL&quot;:&quot;http://www.jstor.org/stable/1913827&quot;,&quot;issued&quot;:{&quot;date-parts&quot;:[[1978]]},&quot;page&quot;:&quot;1251-1271&quot;,&quot;abstract&quot;:&quot;Using the result that under the null hypothesis of no misspecification an asymptotically efficient estimator must have zero asymptotic covariance with its difference from a consistent but asymptotically inefficient estimator, specification tests are devised for a number of model specifications in econometrics. Local power is calculated for small departures from the null hypothesis. An instrumental variable test as well as tests for a time series cross section model and the simultaneous equation model are presented. An empirical model provides evidence that unobserved individual factors are present which are not orthogonal to the included right-hand-side variable in a common econometric specification of an individual wage equation.&quot;,&quot;publisher&quot;:&quot;[Wiley, Econometric Society]&quot;,&quot;issue&quot;:&quot;6&quot;,&quot;volume&quot;:&quot;46&quot;,&quot;container-title-short&quot;:&quot;&quot;},&quot;isTemporary&quot;:false}]},{&quot;citationID&quot;:&quot;MENDELEY_CITATION_f91ba064-eadf-4e46-a0a8-43c7a1f2adc4&quot;,&quot;properties&quot;:{&quot;noteIndex&quot;:0},&quot;isEdited&quot;:false,&quot;manualOverride&quot;:{&quot;isManuallyOverridden&quot;:false,&quot;citeprocText&quot;:&quot;(Le Gallo &amp;#38; Sénégas, 2023)&quot;,&quot;manualOverrideText&quot;:&quot;&quot;},&quot;citationTag&quot;:&quot;MENDELEY_CITATION_v3_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&quot;,&quot;citationItems&quot;:[{&quot;id&quot;:&quot;26f3605c-4bbd-346e-8ac7-2b1cc40075d3&quot;,&quot;itemData&quot;:{&quot;type&quot;:&quot;article-journal&quot;,&quot;id&quot;:&quot;26f3605c-4bbd-346e-8ac7-2b1cc40075d3&quot;,&quot;title&quot;:&quot;On the Proper Computation of the Hausman Test Statistic in Standard Linear Panel Data Models: Some Clarifications and New Results&quot;,&quot;author&quot;:[{&quot;family&quot;:&quot;Gallo&quot;,&quot;given&quot;:&quot;Julie&quot;,&quot;parse-names&quot;:false,&quot;dropping-particle&quot;:&quot;&quot;,&quot;non-dropping-particle&quot;:&quot;Le&quot;},{&quot;family&quot;:&quot;Sénégas&quot;,&quot;given&quot;:&quot;Marc-Alexandre&quot;,&quot;parse-names&quot;:false,&quot;dropping-particle&quot;:&quot;&quot;,&quot;non-dropping-particle&quot;:&quot;&quot;}],&quot;container-title&quot;:&quot;Econometrics&quot;,&quot;DOI&quot;:&quot;10.3390/econometrics11040025&quot;,&quot;ISSN&quot;:&quot;2225-1146&quot;,&quot;URL&quot;:&quot;https://www.mdpi.com/2225-1146/11/4/25&quot;,&quot;issued&quot;:{&quot;date-parts&quot;:[[2023]]},&quot;abstract&quot;:&quot;We provide new analytical results for the implementation of the Hausman specification test statistic in a standard panel data model, comparing the version based on the estimators computed from the untransformed random effects model specification under Feasible Generalized Least Squares and the one computed from the quasi-demeaned model estimated by Ordinary Least Squares. We show that the quasi-demeaned model cannot provide a reliable magnitude when implementing the Hausman test in a finite sample setting, although it is the most common approach used to produce the test statistic in econometric software. The difference between the Hausman statistics computed under the two methods can be substantial and even lead to opposite conclusions for the test of orthogonality between the regressors and the individual-specific effects. Furthermore, this difference remains important even with large cross-sectional dimensions as it mainly depends on the within-between structure of the regressors and on the presence of a significant correlation between the individual effects and the covariates in the data. We propose to supplement the test outcomes that are provided in the main econometric software packages with some metrics to address the issue at hand.&quot;,&quot;issue&quot;:&quot;4&quot;,&quot;volume&quot;:&quot;11&quot;,&quot;container-title-short&quot;:&quot;&quot;},&quot;isTemporary&quot;:false,&quot;suppress-author&quot;:false,&quot;composite&quot;:false,&quot;author-only&quot;:false}]},{&quot;citationID&quot;:&quot;MENDELEY_CITATION_fc315ddc-bcd5-4090-8bd9-d2fe73011e58&quot;,&quot;properties&quot;:{&quot;noteIndex&quot;:0},&quot;isEdited&quot;:false,&quot;manualOverride&quot;:{&quot;isManuallyOverridden&quot;:false,&quot;citeprocText&quot;:&quot;(Sohil et al., 2021)&quot;,&quot;manualOverrideText&quot;:&quot;&quot;},&quot;citationTag&quot;:&quot;MENDELEY_CITATION_v3_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&quot;,&quot;citationItems&quot;:[{&quot;id&quot;:&quot;59bb09e4-0773-317b-9563-0badedeebf9b&quot;,&quot;itemData&quot;:{&quot;type&quot;:&quot;article-journal&quot;,&quot;id&quot;:&quot;59bb09e4-0773-317b-9563-0badedeebf9b&quot;,&quot;title&quot;:&quot;An introduction to statistical learning with applications in R: by Gareth James, Daniela Witten, Trevor Hastie, and Robert Tibshirani, New York, Springer Science and Business Media, 2013, 41.98, eISBN: 978-1-4614-7137-7&quot;,&quot;author&quot;:[{&quot;family&quot;:&quot;Sohil&quot;,&quot;given&quot;:&quot;Fariha&quot;,&quot;parse-names&quot;:false,&quot;dropping-particle&quot;:&quot;&quot;,&quot;non-dropping-particle&quot;:&quot;&quot;},{&quot;family&quot;:&quot;Sohail&quot;,&quot;given&quot;:&quot;Muhammed&quot;,&quot;parse-names&quot;:false,&quot;dropping-particle&quot;:&quot;&quot;,&quot;non-dropping-particle&quot;:&quot;&quot;},{&quot;family&quot;:&quot;Shabbir&quot;,&quot;given&quot;:&quot;Javid&quot;,&quot;parse-names&quot;:false,&quot;dropping-particle&quot;:&quot;&quot;,&quot;non-dropping-particle&quot;:&quot;&quot;}],&quot;container-title&quot;:&quot;Statistical Theory and Related Fields&quot;,&quot;container-title-short&quot;:&quot;Stat. Theory Relat. Fields&quot;,&quot;DOI&quot;:&quot;10.1080/24754269.2021.1980261&quot;,&quot;issued&quot;:{&quot;date-parts&quot;:[[2021,3]]},&quot;page&quot;:&quot;1&quot;,&quot;volume&quot;:&quot;6&quot;},&quot;isTemporary&quot;:false,&quot;suppress-author&quot;:false,&quot;composite&quot;:false,&quot;author-only&quot;:false}]},{&quot;citationID&quot;:&quot;MENDELEY_CITATION_6732b977-2bc6-415f-b496-fd1ca62d219a&quot;,&quot;properties&quot;:{&quot;noteIndex&quot;:0},&quot;isEdited&quot;:false,&quot;manualOverride&quot;:{&quot;isManuallyOverridden&quot;:false,&quot;citeprocText&quot;:&quot;(Breusch &amp;#38; Pagan, 1979)&quot;,&quot;manualOverrideText&quot;:&quot;&quot;},&quot;citationTag&quot;:&quot;MENDELEY_CITATION_v3_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&quot;,&quot;citationItems&quot;:[{&quot;id&quot;:&quot;d4a3a5a2-f7b8-33c2-8be2-29c187958cdd&quot;,&quot;itemData&quot;:{&quot;type&quot;:&quot;article-journal&quot;,&quot;id&quot;:&quot;d4a3a5a2-f7b8-33c2-8be2-29c187958cdd&quot;,&quot;title&quot;:&quot;A Simple Test for Heteroscedasticity and Random Coefficient Variation&quot;,&quot;author&quot;:[{&quot;family&quot;:&quot;Breusch&quot;,&quot;given&quot;:&quot;T S&quot;,&quot;parse-names&quot;:false,&quot;dropping-particle&quot;:&quot;&quot;,&quot;non-dropping-particle&quot;:&quot;&quot;},{&quot;family&quot;:&quot;Pagan&quot;,&quot;given&quot;:&quot;A R&quot;,&quot;parse-names&quot;:false,&quot;dropping-particle&quot;:&quot;&quot;,&quot;non-dropping-particle&quot;:&quot;&quot;}],&quot;container-title&quot;:&quot;Econometrica&quot;,&quot;ISSN&quot;:&quot;00129682, 14680262&quot;,&quot;URL&quot;:&quot;http://www.jstor.org/stable/1911963&quot;,&quot;issued&quot;:{&quot;date-parts&quot;:[[1979]]},&quot;page&quot;:&quot;1287-1294&quot;,&quot;abstract&quot;:&quot;A simple test for heteroscedastic disturbances in a linear regression model is developed using the framework of the Lagrangian multiplier test. For a wide range of heteroscedastic and random coefficient specifications, the criterion is given as a readily computed function of the OLS residuals. Some finite sampleevidence is presented to supplement the general asymptotic properties of Lagrangian multiplier tests.&quot;,&quot;publisher&quot;:&quot;[Wiley, Econometric Society]&quot;,&quot;issue&quot;:&quot;5&quot;,&quot;volume&quot;:&quot;47&quot;,&quot;container-title-short&quot;:&quot;&quot;},&quot;isTemporary&quot;:false,&quot;suppress-author&quot;:false,&quot;composite&quot;:false,&quot;author-only&quot;:false}]},{&quot;citationID&quot;:&quot;MENDELEY_CITATION_5f6e6e4e-e76e-4b78-ba54-5537e3ec81fb&quot;,&quot;properties&quot;:{&quot;noteIndex&quot;:0},&quot;isEdited&quot;:false,&quot;manualOverride&quot;:{&quot;isManuallyOverridden&quot;:false,&quot;citeprocText&quot;:&quot;(Krämer, 2025)&quot;,&quot;manualOverrideText&quot;:&quot;&quot;},&quot;citationTag&quot;:&quot;MENDELEY_CITATION_v3_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&quot;,&quot;citationItems&quot;:[{&quot;id&quot;:&quot;35004110-6d0b-38cf-b128-444d93b77584&quot;,&quot;itemData&quot;:{&quot;type&quot;:&quot;chapter&quot;,&quot;id&quot;:&quot;35004110-6d0b-38cf-b128-444d93b77584&quot;,&quot;title&quot;:&quot;Durbin-Watson Test, The&quot;,&quot;author&quot;:[{&quot;family&quot;:&quot;Krämer&quot;,&quot;given&quot;:&quot;Walter&quot;,&quot;parse-names&quot;:false,&quot;dropping-particle&quot;:&quot;&quot;,&quot;non-dropping-particle&quot;:&quot;&quot;}],&quot;DOI&quot;:&quot;10.1007/978-3-662-69359-9_688&quot;,&quot;ISBN&quot;:&quot;978-3-662-69358-2&quot;,&quot;issued&quot;:{&quot;date-parts&quot;:[[2025,3]]},&quot;page&quot;:&quot;762-764&quot;,&quot;container-title-short&quot;:&quot;&quot;},&quot;isTemporary&quot;:false,&quot;suppress-author&quot;:false,&quot;composite&quot;:false,&quot;author-only&quot;:false}]},{&quot;citationID&quot;:&quot;MENDELEY_CITATION_6b883e8f-ea4d-4c13-8272-c937254cce88&quot;,&quot;properties&quot;:{&quot;noteIndex&quot;:0},&quot;isEdited&quot;:false,&quot;manualOverride&quot;:{&quot;isManuallyOverridden&quot;:false,&quot;citeprocText&quot;:&quot;(Pesaran, 2003)&quot;,&quot;manualOverrideText&quot;:&quot;&quot;},&quot;citationTag&quot;:&quot;MENDELEY_CITATION_v3_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&quot;,&quot;citationItems&quot;:[{&quot;id&quot;:&quot;3378d066-b92b-3c29-a4a7-7f83fe372f62&quot;,&quot;itemData&quot;:{&quot;type&quot;:&quot;article-journal&quot;,&quot;id&quot;:&quot;3378d066-b92b-3c29-a4a7-7f83fe372f62&quot;,&quot;title&quot;:&quot;Estimation and Inference in Large Heterogenous Panels with Cross Section Dependence&quot;,&quot;author&quot;:[{&quot;family&quot;:&quot;Pesaran&quot;,&quot;given&quot;:&quot;Hashem&quot;,&quot;parse-names&quot;:false,&quot;dropping-particle&quot;:&quot;&quot;,&quot;non-dropping-particle&quot;:&quot;&quot;}],&quot;container-title&quot;:&quot;SSRN Electronic Journal&quot;,&quot;DOI&quot;:&quot;10.2139/ssrn.385123&quot;,&quot;issued&quot;:{&quot;date-parts&quot;:[[2003,3]]},&quot;container-title-short&quot;:&quot;&quot;},&quot;isTemporary&quot;:false,&quot;suppress-author&quot;:false,&quot;composite&quot;:false,&quot;author-only&quot;:false}]},{&quot;citationID&quot;:&quot;MENDELEY_CITATION_558010ea-5f70-4b73-95f0-638aecf78ba7&quot;,&quot;properties&quot;:{&quot;noteIndex&quot;:0},&quot;isEdited&quot;:false,&quot;manualOverride&quot;:{&quot;isManuallyOverridden&quot;:false,&quot;citeprocText&quot;:&quot;(Breiman, 2001b; Chen &amp;#38; Guestrin, 2016)&quot;,&quot;manualOverrideText&quot;:&quot;&quot;},&quot;citationTag&quot;:&quot;MENDELEY_CITATION_v3_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&quot;,&quot;citationItems&quot;:[{&quot;id&quot;:&quot;b41238e8-12e1-31ab-919f-41b7397d4c3a&quot;,&quot;itemData&quot;:{&quot;type&quot;:&quot;article-journal&quot;,&quot;id&quot;:&quot;b41238e8-12e1-31ab-919f-41b7397d4c3a&quot;,&quot;title&quot;:&quot;Random Forests&quot;,&quot;author&quot;:[{&quot;family&quot;:&quot;Breiman&quot;,&quot;given&quot;:&quot;Leo&quot;,&quot;parse-names&quot;:false,&quot;dropping-particle&quot;:&quot;&quot;,&quot;non-dropping-particle&quot;:&quot;&quot;}],&quot;container-title&quot;:&quot;Machine Learning&quot;,&quot;container-title-short&quot;:&quot;Mach. Learn.&quot;,&quot;DOI&quot;:&quot;10.1023/A:1010933404324&quot;,&quot;ISSN&quot;:&quot;1573-0565&quot;,&quot;URL&quot;:&quot;https://doi.org/10.1023/A:1010933404324&quot;,&quot;issued&quot;:{&quot;date-parts&quot;:[[2001]]},&quot;page&quot;:&quot;5-32&quot;,&quot;abstract&quot;:&quot;Random forests are a combination of tree predictors such that each tree depends on the values of a random vector sampled independently and with the same distribution for all trees in the forest. The generalization error for forests converges a.s. to a limit as the number of trees in the forest becomes large. The generalization error of a forest of tree classifiers depends on the strength of the individual trees in the forest and the correlation between them. Using a random selection of features to split each node yields error rates that compare favorably to Adaboost (Y. Freund &amp; R. Schapire, Machine Learning: Proceedings of the Thirteenth International conference, ***, 148–156), but are more robust with respect to noise. Internal estimates monitor error, strength, and correlation and these are used to show the response to increasing the number of features used in the splitting. Internal estimates are also used to measure variable importance. These ideas are also applicable to regression.&quot;,&quot;issue&quot;:&quot;1&quot;,&quot;volume&quot;:&quot;45&quot;},&quot;isTemporary&quot;:false},{&quot;id&quot;:&quot;71720b4e-630a-31a5-a8e8-2f28f418f1b9&quot;,&quot;itemData&quot;:{&quot;type&quot;:&quot;paper-conference&quot;,&quot;id&quot;:&quot;71720b4e-630a-31a5-a8e8-2f28f418f1b9&quot;,&quot;title&quot;:&quot;XGBoost: A Scalable Tree Boosting System&quot;,&quot;author&quot;:[{&quot;family&quot;:&quot;Chen&quot;,&quot;given&quot;:&quot;Tianqi&quot;,&quot;parse-names&quot;:false,&quot;dropping-particle&quot;:&quot;&quot;,&quot;non-dropping-particle&quot;:&quot;&quot;},{&quot;family&quot;:&quot;Guestrin&quot;,&quot;given&quot;:&quot;Carlos&quot;,&quot;parse-names&quot;:false,&quot;dropping-particle&quot;:&quot;&quot;,&quot;non-dropping-particle&quot;:&quot;&quot;}],&quot;DOI&quot;:&quot;10.1145/2939672.2939785&quot;,&quot;issued&quot;:{&quot;date-parts&quot;:[[2016,3]]},&quot;page&quot;:&quot;785-794&quot;,&quot;container-title-short&quot;:&quot;&quot;},&quot;isTemporary&quot;:false}]},{&quot;citationID&quot;:&quot;MENDELEY_CITATION_1d041b1e-edc4-4698-a001-1d01609c78e3&quot;,&quot;properties&quot;:{&quot;noteIndex&quot;:0},&quot;isEdited&quot;:false,&quot;manualOverride&quot;:{&quot;isManuallyOverridden&quot;:false,&quot;citeprocText&quot;:&quot;(Lundberg &amp;#38; Lee, 2017)&quot;,&quot;manualOverrideText&quot;:&quot;&quot;},&quot;citationTag&quot;:&quot;MENDELEY_CITATION_v3_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&quot;,&quot;citationItems&quot;:[{&quot;id&quot;:&quot;59304fa0-7348-3b05-b3d9-551c27e02dbb&quot;,&quot;itemData&quot;:{&quot;type&quot;:&quot;paper-conference&quot;,&quot;id&quot;:&quot;59304fa0-7348-3b05-b3d9-551c27e02dbb&quot;,&quot;title&quot;:&quot;A Unified Approach to Interpreting Model Predictions&quot;,&quot;author&quot;:[{&quot;family&quot;:&quot;Lundberg&quot;,&quot;given&quot;:&quot;Scott M&quot;,&quot;parse-names&quot;:false,&quot;dropping-particle&quot;:&quot;&quot;,&quot;non-dropping-particle&quot;:&quot;&quot;},{&quot;family&quot;:&quot;Lee&quot;,&quot;given&quot;:&quot;Su-In&quot;,&quot;parse-names&quot;:false,&quot;dropping-particle&quot;:&quot;&quot;,&quot;non-dropping-particle&quot;:&quot;&quot;}],&quot;container-title&quot;:&quot;Advances in Neural Information Processing Systems&quot;,&quot;container-title-short&quot;:&quot;Adv. Neural Inf. Process. Syst.&quot;,&quot;editor&quot;:[{&quot;family&quot;:&quot;Guyon&quot;,&quot;given&quot;:&quot;I&quot;,&quot;parse-names&quot;:false,&quot;dropping-particle&quot;:&quot;&quot;,&quot;non-dropping-particle&quot;:&quot;&quot;},{&quot;family&quot;:&quot;Luxburg&quot;,&quot;given&quot;:&quot;U&quot;,&quot;parse-names&quot;:false,&quot;dropping-particle&quot;:&quot;Von&quot;,&quot;non-dropping-particle&quot;:&quot;&quot;},{&quot;family&quot;:&quot;Bengio&quot;,&quot;given&quot;:&quot;S&quot;,&quot;parse-names&quot;:false,&quot;dropping-particle&quot;:&quot;&quot;,&quot;non-dropping-particle&quot;:&quot;&quot;},{&quot;family&quot;:&quot;Wallach&quot;,&quot;given&quot;:&quot;H&quot;,&quot;parse-names&quot;:false,&quot;dropping-particle&quot;:&quot;&quot;,&quot;non-dropping-particle&quot;:&quot;&quot;},{&quot;family&quot;:&quot;Fergus&quot;,&quot;given&quot;:&quot;R&quot;,&quot;parse-names&quot;:false,&quot;dropping-particle&quot;:&quot;&quot;,&quot;non-dropping-particle&quot;:&quot;&quot;},{&quot;family&quot;:&quot;Vishwanathan&quot;,&quot;given&quot;:&quot;S&quot;,&quot;parse-names&quot;:false,&quot;dropping-particle&quot;:&quot;&quot;,&quot;non-dropping-particle&quot;:&quot;&quot;},{&quot;family&quot;:&quot;Garnett&quot;,&quot;given&quot;:&quot;R&quot;,&quot;parse-names&quot;:false,&quot;dropping-particle&quot;:&quot;&quot;,&quot;non-dropping-particle&quot;:&quot;&quot;}],&quot;URL&quot;:&quot;https://proceedings.neurips.cc/paper_files/paper/2017/file/8a20a8621978632d76c43dfd28b67767-Paper.pdf&quot;,&quot;issued&quot;:{&quot;date-parts&quot;:[[2017]]},&quot;publisher&quot;:&quot;Curran Associates, Inc.&quot;,&quot;volume&quot;:&quot;30&quot;},&quot;isTemporary&quot;:false,&quot;suppress-author&quot;:false,&quot;composite&quot;:false,&quot;author-only&quot;:false}]},{&quot;citationID&quot;:&quot;MENDELEY_CITATION_ec2535b4-5754-4753-b2f8-213b16837f2f&quot;,&quot;properties&quot;:{&quot;noteIndex&quot;:0},&quot;isEdited&quot;:false,&quot;manualOverride&quot;:{&quot;isManuallyOverridden&quot;:false,&quot;citeprocText&quot;:&quot;(Sinha, 2024)&quot;,&quot;manualOverrideText&quot;:&quot;&quot;},&quot;citationTag&quot;:&quot;MENDELEY_CITATION_v3_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&quot;,&quot;citationItems&quot;:[{&quot;id&quot;:&quot;d842da5a-9a21-320c-9239-00434e1149fe&quot;,&quot;itemData&quot;:{&quot;type&quot;:&quot;article-journal&quot;,&quot;id&quot;:&quot;d842da5a-9a21-320c-9239-00434e1149fe&quot;,&quot;title&quot;:&quot;Book review: Christoph Molnar. 2020. Interpretable Machine Learning: A Guide for Making Black Box Models Explainable&quot;,&quot;author&quot;:[{&quot;family&quot;:&quot;Sinha&quot;,&quot;given&quot;:&quot;Rohan&quot;,&quot;parse-names&quot;:false,&quot;dropping-particle&quot;:&quot;&quot;,&quot;non-dropping-particle&quot;:&quot;&quot;}],&quot;container-title&quot;:&quot;Metamorphosis: A Journal of Management Research&quot;,&quot;DOI&quot;:&quot;10.1177/09726225241252009&quot;,&quot;issued&quot;:{&quot;date-parts&quot;:[[2024,3]]},&quot;page&quot;:&quot;92-93&quot;,&quot;volume&quot;:&quot;23&quot;,&quot;container-title-short&quot;:&quot;&quot;},&quot;isTemporary&quot;:false,&quot;suppress-author&quot;:false,&quot;composite&quot;:false,&quot;author-only&quot;:false}]},{&quot;citationID&quot;:&quot;MENDELEY_CITATION_e699f6c5-9d10-438b-95bd-189b051c080a&quot;,&quot;properties&quot;:{&quot;noteIndex&quot;:0},&quot;isEdited&quot;:false,&quot;manualOverride&quot;:{&quot;isManuallyOverridden&quot;:false,&quot;citeprocText&quot;:&quot;(Acemoglu &amp;#38; Restrepo, 2019; Mullainathan &amp;#38; Spiess, 2017b)&quot;,&quot;manualOverrideText&quot;:&quot;&quot;},&quot;citationTag&quot;:&quot;MENDELEY_CITATION_v3_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&quot;,&quot;citationItems&quot;:[{&quot;id&quot;:&quot;392adedd-811f-3393-8ae6-3a5bddbbb410&quot;,&quot;itemData&quot;:{&quot;type&quot;:&quot;article-journal&quot;,&quot;id&quot;:&quot;392adedd-811f-3393-8ae6-3a5bddbbb410&quot;,&quot;title&quot;:&quot;Automation and New Tasks: How Technology Displaces and Reinstates Labor&quot;,&quot;author&quot;:[{&quot;family&quot;:&quot;Acemoglu&quot;,&quot;given&quot;:&quot;Daron&quot;,&quot;parse-names&quot;:false,&quot;dropping-particle&quot;:&quot;&quot;,&quot;non-dropping-particle&quot;:&quot;&quot;},{&quot;family&quot;:&quot;Restrepo&quot;,&quot;given&quot;:&quot;Pascual&quot;,&quot;parse-names&quot;:false,&quot;dropping-particle&quot;:&quot;&quot;,&quot;non-dropping-particle&quot;:&quot;&quot;}],&quot;container-title&quot;:&quot;Journal of Economic Perspectives&quot;,&quot;DOI&quot;:&quot;10.1257/jep.33.2.3&quot;,&quot;URL&quot;:&quot;https://www.aeaweb.org/articles?id=10.1257/jep.33.2.3&quot;,&quot;issued&quot;:{&quot;date-parts&quot;:[[2019,5]]},&quot;page&quot;:&quot;3-30&quot;,&quot;issue&quot;:&quot;2&quot;,&quot;volume&quot;:&quot;33&quot;,&quot;container-title-short&quot;:&quot;&quot;},&quot;isTemporary&quot;:false},{&quot;id&quot;:&quot;1d2eb18d-97df-3cd6-a4bd-6f00dd028baa&quot;,&quot;itemData&quot;:{&quot;type&quot;:&quot;article-journal&quot;,&quot;id&quot;:&quot;1d2eb18d-97df-3cd6-a4bd-6f00dd028baa&quot;,&quot;title&quot;:&quot;Machine Learning: An Applied Econometric Approach&quot;,&quot;author&quot;:[{&quot;family&quot;:&quot;Mullainathan&quot;,&quot;given&quot;:&quot;Sendhil&quot;,&quot;parse-names&quot;:false,&quot;dropping-particle&quot;:&quot;&quot;,&quot;non-dropping-particle&quot;:&quot;&quot;},{&quot;family&quot;:&quot;Spiess&quot;,&quot;given&quot;:&quot;Jann&quot;,&quot;parse-names&quot;:false,&quot;dropping-particle&quot;:&quot;&quot;,&quot;non-dropping-particle&quot;:&quot;&quot;}],&quot;container-title&quot;:&quot;Journal of Economic Perspectives&quot;,&quot;DOI&quot;:&quot;10.1257/jep.31.2.87&quot;,&quot;URL&quot;:&quot;https://www.aeaweb.org/articles?id=10.1257/jep.31.2.87&quot;,&quot;issued&quot;:{&quot;date-parts&quot;:[[2017,5]]},&quot;page&quot;:&quot;87-106&quot;,&quot;issue&quot;:&quot;2&quot;,&quot;volume&quot;:&quot;31&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y name="MENDELEY_BIBLIOGRAPHY_IS_DIRTY" value="false"/>
    <we:property name="MENDELEY_BIBLIOGRAPHY_LAST_MODIFIED" value="1774677291876"/>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2E28D-92EC-4BAD-B726-D8ECBFD99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20</Pages>
  <Words>7970</Words>
  <Characters>45435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53299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7</cp:revision>
  <cp:lastPrinted>1999-07-06T11:00:00Z</cp:lastPrinted>
  <dcterms:created xsi:type="dcterms:W3CDTF">2026-03-28T05:55:00Z</dcterms:created>
  <dcterms:modified xsi:type="dcterms:W3CDTF">2026-03-28T12:21:00Z</dcterms:modified>
</cp:coreProperties>
</file>