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63FDE" w14:textId="77777777" w:rsidR="00455369" w:rsidRDefault="00455369">
      <w:pPr>
        <w:pStyle w:val="Title"/>
        <w:spacing w:after="0"/>
        <w:jc w:val="both"/>
        <w:rPr>
          <w:rFonts w:ascii="Arial" w:hAnsi="Arial" w:cs="Arial"/>
        </w:rPr>
      </w:pPr>
    </w:p>
    <w:p w14:paraId="72DD25E6" w14:textId="77777777" w:rsidR="00455369" w:rsidRDefault="006721A8">
      <w:pPr>
        <w:pStyle w:val="Author"/>
        <w:spacing w:line="240" w:lineRule="auto"/>
        <w:jc w:val="left"/>
        <w:rPr>
          <w:szCs w:val="24"/>
        </w:rPr>
      </w:pPr>
      <w:r>
        <w:rPr>
          <w:rFonts w:ascii="Arial" w:eastAsia="Calibri" w:hAnsi="Arial" w:cs="Arial"/>
          <w:bCs/>
          <w:iCs/>
          <w:kern w:val="2"/>
          <w:szCs w:val="24"/>
        </w:rPr>
        <w:t xml:space="preserve">Financial Literacy of Pre-Service Teachers of UEP </w:t>
      </w:r>
      <w:proofErr w:type="spellStart"/>
      <w:r>
        <w:rPr>
          <w:rFonts w:ascii="Arial" w:eastAsia="Calibri" w:hAnsi="Arial" w:cs="Arial"/>
          <w:bCs/>
          <w:iCs/>
          <w:kern w:val="2"/>
          <w:szCs w:val="24"/>
        </w:rPr>
        <w:t>Laoang</w:t>
      </w:r>
      <w:proofErr w:type="spellEnd"/>
      <w:r>
        <w:rPr>
          <w:rFonts w:ascii="Arial" w:eastAsia="Calibri" w:hAnsi="Arial" w:cs="Arial"/>
          <w:bCs/>
          <w:iCs/>
          <w:kern w:val="2"/>
          <w:szCs w:val="24"/>
        </w:rPr>
        <w:t xml:space="preserve"> Campus: Basis for Crafting Financial Literacy Program</w:t>
      </w:r>
      <w:r>
        <w:rPr>
          <w:rFonts w:ascii="Arial" w:hAnsi="Arial" w:cs="Arial"/>
          <w:bCs/>
          <w:iCs/>
          <w:kern w:val="2"/>
          <w:szCs w:val="24"/>
        </w:rPr>
        <w:t xml:space="preserve"> </w:t>
      </w:r>
    </w:p>
    <w:p w14:paraId="2903EB3B" w14:textId="77777777" w:rsidR="00455369" w:rsidRDefault="00455369">
      <w:pPr>
        <w:pStyle w:val="Author"/>
        <w:spacing w:line="240" w:lineRule="auto"/>
        <w:jc w:val="both"/>
        <w:rPr>
          <w:rFonts w:ascii="Arial" w:hAnsi="Arial" w:cs="Arial"/>
          <w:sz w:val="36"/>
        </w:rPr>
      </w:pPr>
    </w:p>
    <w:p w14:paraId="082ADBCF" w14:textId="77777777" w:rsidR="00160752" w:rsidRDefault="00160752">
      <w:pPr>
        <w:pStyle w:val="Affiliation"/>
        <w:spacing w:after="0" w:line="240" w:lineRule="auto"/>
        <w:rPr>
          <w:rFonts w:ascii="Arial" w:hAnsi="Arial" w:cs="Arial"/>
          <w:i/>
        </w:rPr>
      </w:pPr>
    </w:p>
    <w:p w14:paraId="0C1B6DF0" w14:textId="77777777" w:rsidR="00455369" w:rsidRDefault="00455369">
      <w:pPr>
        <w:pStyle w:val="Affiliation"/>
        <w:spacing w:after="0" w:line="240" w:lineRule="auto"/>
        <w:jc w:val="both"/>
        <w:rPr>
          <w:rFonts w:ascii="Arial" w:hAnsi="Arial" w:cs="Arial"/>
        </w:rPr>
      </w:pPr>
    </w:p>
    <w:p w14:paraId="13553581" w14:textId="77777777" w:rsidR="00455369" w:rsidRDefault="00455369">
      <w:pPr>
        <w:pStyle w:val="Affiliation"/>
        <w:spacing w:after="0" w:line="240" w:lineRule="auto"/>
        <w:jc w:val="both"/>
        <w:rPr>
          <w:rFonts w:ascii="Arial" w:hAnsi="Arial" w:cs="Arial"/>
        </w:rPr>
      </w:pPr>
    </w:p>
    <w:p w14:paraId="46F25ADF" w14:textId="3CD3D266" w:rsidR="00455369" w:rsidRDefault="006721A8">
      <w:pPr>
        <w:pStyle w:val="Copyright"/>
        <w:spacing w:after="0" w:line="240" w:lineRule="auto"/>
        <w:jc w:val="both"/>
        <w:rPr>
          <w:rFonts w:ascii="Arial" w:hAnsi="Arial" w:cs="Arial"/>
        </w:rPr>
      </w:pPr>
      <w:r>
        <w:pict w14:anchorId="5C77397A">
          <v:shapetype id="_x0000_t32" coordsize="21600,21600" o:spt="32" o:oned="t" path="m,l21600,21600e" filled="f">
            <v:path arrowok="t" fillok="f" o:connecttype="none"/>
            <o:lock v:ext="edit" shapetype="t"/>
          </v:shapetype>
          <v:shape id="Shape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53mm">
            <w10:anchorlock/>
          </v:shape>
        </w:pict>
      </w:r>
      <w:r w:rsidR="00160752">
        <w:rPr>
          <w:rFonts w:ascii="Arial" w:hAnsi="Arial" w:cs="Arial"/>
        </w:rPr>
        <w:t>.</w:t>
      </w:r>
    </w:p>
    <w:p w14:paraId="5A950204" w14:textId="77777777" w:rsidR="00455369" w:rsidRDefault="00455369">
      <w:pPr>
        <w:sectPr w:rsidR="00455369" w:rsidSect="00E32E82">
          <w:headerReference w:type="even" r:id="rId8"/>
          <w:headerReference w:type="default" r:id="rId9"/>
          <w:headerReference w:type="first" r:id="rId10"/>
          <w:footerReference w:type="first" r:id="rId11"/>
          <w:pgSz w:w="12240" w:h="15840"/>
          <w:pgMar w:top="1440" w:right="2016" w:bottom="2016" w:left="2016" w:header="720" w:footer="1296" w:gutter="0"/>
          <w:cols w:space="720"/>
          <w:formProt w:val="0"/>
          <w:docGrid w:linePitch="272" w:charSpace="16384"/>
        </w:sectPr>
      </w:pPr>
    </w:p>
    <w:p w14:paraId="217B279A" w14:textId="77777777" w:rsidR="00455369" w:rsidRDefault="006721A8">
      <w:pPr>
        <w:pStyle w:val="AbstHead"/>
        <w:spacing w:after="0"/>
        <w:jc w:val="both"/>
        <w:rPr>
          <w:rFonts w:ascii="Arial" w:hAnsi="Arial" w:cs="Arial"/>
        </w:rPr>
      </w:pPr>
      <w:r>
        <w:rPr>
          <w:rFonts w:ascii="Arial" w:hAnsi="Arial" w:cs="Arial"/>
        </w:rPr>
        <w:t xml:space="preserve">ABSTRACT </w:t>
      </w:r>
    </w:p>
    <w:p w14:paraId="0CAAF1C0" w14:textId="77777777" w:rsidR="00455369" w:rsidRDefault="00455369">
      <w:pPr>
        <w:pStyle w:val="AbstHead"/>
        <w:spacing w:after="0"/>
        <w:jc w:val="both"/>
        <w:rPr>
          <w:rFonts w:ascii="Arial" w:hAnsi="Arial" w:cs="Arial"/>
        </w:rPr>
      </w:pPr>
    </w:p>
    <w:tbl>
      <w:tblPr>
        <w:tblW w:w="8424" w:type="dxa"/>
        <w:tblLayout w:type="fixed"/>
        <w:tblLook w:val="04A0" w:firstRow="1" w:lastRow="0" w:firstColumn="1" w:lastColumn="0" w:noHBand="0" w:noVBand="1"/>
      </w:tblPr>
      <w:tblGrid>
        <w:gridCol w:w="8424"/>
      </w:tblGrid>
      <w:tr w:rsidR="00455369" w14:paraId="2260463E" w14:textId="77777777">
        <w:tc>
          <w:tcPr>
            <w:tcW w:w="8424" w:type="dxa"/>
            <w:tcBorders>
              <w:top w:val="single" w:sz="4" w:space="0" w:color="000000"/>
              <w:left w:val="single" w:sz="4" w:space="0" w:color="000000"/>
              <w:bottom w:val="single" w:sz="4" w:space="0" w:color="000000"/>
              <w:right w:val="single" w:sz="4" w:space="0" w:color="000000"/>
            </w:tcBorders>
            <w:shd w:val="clear" w:color="auto" w:fill="F2F2F2"/>
          </w:tcPr>
          <w:p w14:paraId="15090C13" w14:textId="77777777" w:rsidR="00455369" w:rsidRDefault="006721A8">
            <w:pPr>
              <w:pStyle w:val="Body"/>
              <w:spacing w:after="0"/>
              <w:rPr>
                <w:rFonts w:ascii="Arial" w:eastAsia="Calibri" w:hAnsi="Arial" w:cs="Arial"/>
                <w:szCs w:val="22"/>
              </w:rPr>
            </w:pPr>
            <w:r>
              <w:rPr>
                <w:rStyle w:val="Strong"/>
                <w:rFonts w:ascii="Arial" w:eastAsia="Calibri" w:hAnsi="Arial" w:cs="Arial"/>
                <w:szCs w:val="22"/>
              </w:rPr>
              <w:t>Aims:</w:t>
            </w:r>
            <w:r>
              <w:rPr>
                <w:rFonts w:ascii="Arial" w:eastAsia="Calibri" w:hAnsi="Arial" w:cs="Arial"/>
                <w:szCs w:val="22"/>
              </w:rPr>
              <w:t xml:space="preserve"> This study aimed to evaluate the financial literacy levels of pre-service teachers enrolled in teacher education programs at the University of Eastern Philippines, </w:t>
            </w:r>
            <w:proofErr w:type="spellStart"/>
            <w:r>
              <w:rPr>
                <w:rFonts w:ascii="Arial" w:eastAsia="Calibri" w:hAnsi="Arial" w:cs="Arial"/>
                <w:szCs w:val="22"/>
              </w:rPr>
              <w:t>Laoang</w:t>
            </w:r>
            <w:proofErr w:type="spellEnd"/>
            <w:r>
              <w:rPr>
                <w:rFonts w:ascii="Arial" w:eastAsia="Calibri" w:hAnsi="Arial" w:cs="Arial"/>
                <w:szCs w:val="22"/>
              </w:rPr>
              <w:t xml:space="preserve"> Campus, and to design an extension program addressing their specific needs.</w:t>
            </w:r>
          </w:p>
          <w:p w14:paraId="1720E6A8" w14:textId="77777777" w:rsidR="00455369" w:rsidRDefault="00455369">
            <w:pPr>
              <w:pStyle w:val="Body"/>
              <w:spacing w:after="0"/>
              <w:rPr>
                <w:rFonts w:ascii="Arial" w:eastAsia="Calibri" w:hAnsi="Arial" w:cs="Arial"/>
                <w:szCs w:val="22"/>
              </w:rPr>
            </w:pPr>
          </w:p>
          <w:p w14:paraId="643D85E2" w14:textId="77777777" w:rsidR="00455369" w:rsidRDefault="006721A8">
            <w:pPr>
              <w:pStyle w:val="BodyText"/>
            </w:pPr>
            <w:r>
              <w:rPr>
                <w:rStyle w:val="Strong"/>
              </w:rPr>
              <w:t>Study D</w:t>
            </w:r>
            <w:r>
              <w:rPr>
                <w:rStyle w:val="Strong"/>
              </w:rPr>
              <w:t>esign:</w:t>
            </w:r>
            <w:r>
              <w:t xml:space="preserve"> A descriptive research design was employed to assess financial literacy across five dimensions: saving, budgeting, investing, debt management, and financial knowledge.</w:t>
            </w:r>
          </w:p>
          <w:p w14:paraId="27461A8D" w14:textId="77777777" w:rsidR="00455369" w:rsidRDefault="006721A8">
            <w:pPr>
              <w:pStyle w:val="BodyText"/>
            </w:pPr>
            <w:r>
              <w:rPr>
                <w:rStyle w:val="Strong"/>
              </w:rPr>
              <w:t>Place and Duration of Study:</w:t>
            </w:r>
            <w:r>
              <w:t xml:space="preserve"> The study was conducted at the University of Eastern</w:t>
            </w:r>
            <w:r>
              <w:t xml:space="preserve"> Philippines, </w:t>
            </w:r>
            <w:proofErr w:type="spellStart"/>
            <w:r>
              <w:t>Laoang</w:t>
            </w:r>
            <w:proofErr w:type="spellEnd"/>
            <w:r>
              <w:t xml:space="preserve"> Campus, during the second semester of the academic year 2023–2024.</w:t>
            </w:r>
          </w:p>
          <w:p w14:paraId="477558D5" w14:textId="77777777" w:rsidR="00455369" w:rsidRDefault="006721A8">
            <w:pPr>
              <w:pStyle w:val="BodyText"/>
            </w:pPr>
            <w:r>
              <w:rPr>
                <w:rStyle w:val="Strong"/>
              </w:rPr>
              <w:t>Methodology:</w:t>
            </w:r>
            <w:r>
              <w:t xml:space="preserve"> Pre-service teachers from the Bachelor of Elementary Education, Bachelor of Physical Education, Bachelor of Secondary Education, and Bachelor of Technology</w:t>
            </w:r>
            <w:r>
              <w:t xml:space="preserve"> and Livelihood Education programs participated. Data were collected using a validated researcher-made instrument and analyzed through frequency counts, percentages, and weighted mean.</w:t>
            </w:r>
          </w:p>
          <w:p w14:paraId="7BDDB366" w14:textId="77777777" w:rsidR="00455369" w:rsidRDefault="006721A8">
            <w:pPr>
              <w:pStyle w:val="BodyText"/>
            </w:pPr>
            <w:r>
              <w:rPr>
                <w:rStyle w:val="Strong"/>
              </w:rPr>
              <w:t>Results:</w:t>
            </w:r>
            <w:r>
              <w:t xml:space="preserve"> Budgeting emerged as the strongest domain, followed by saving </w:t>
            </w:r>
            <w:r>
              <w:t>and financial knowledge. Debt management and investing were identified as weaker areas, highlighting domains where students demonstrated limited confidence and competence.</w:t>
            </w:r>
          </w:p>
          <w:p w14:paraId="03384FF6" w14:textId="77777777" w:rsidR="00455369" w:rsidRDefault="006721A8">
            <w:pPr>
              <w:pStyle w:val="BodyText"/>
            </w:pPr>
            <w:r>
              <w:rPr>
                <w:rStyle w:val="Strong"/>
              </w:rPr>
              <w:t>Conclusion:</w:t>
            </w:r>
            <w:r>
              <w:t xml:space="preserve"> An extension program was developed to reinforce strengths and address ga</w:t>
            </w:r>
            <w:r>
              <w:t>ps through workshops, interactive modules, and practical activities focused on budgeting, saving strategies, debt management, and introductory investing. The program aims to equip pre-service teachers with comprehensive financial skills that enhance person</w:t>
            </w:r>
            <w:r>
              <w:t>al growth and professional readiness. The findings underscore the importance of integrating financial literacy into teacher education to foster financially responsible and resilient educators.</w:t>
            </w:r>
          </w:p>
        </w:tc>
      </w:tr>
    </w:tbl>
    <w:p w14:paraId="62738301" w14:textId="77777777" w:rsidR="00455369" w:rsidRDefault="00455369">
      <w:pPr>
        <w:pStyle w:val="Body"/>
        <w:spacing w:after="0"/>
        <w:ind w:left="1077" w:hanging="907"/>
        <w:rPr>
          <w:rFonts w:ascii="Arial" w:hAnsi="Arial" w:cs="Arial"/>
          <w:i/>
        </w:rPr>
      </w:pPr>
    </w:p>
    <w:p w14:paraId="04759CFA" w14:textId="77777777" w:rsidR="00455369" w:rsidRDefault="006721A8">
      <w:pPr>
        <w:pStyle w:val="Body"/>
        <w:spacing w:after="0"/>
        <w:ind w:left="1077" w:hanging="907"/>
        <w:rPr>
          <w:rFonts w:ascii="Arial" w:hAnsi="Arial" w:cs="Arial"/>
          <w:i/>
        </w:rPr>
      </w:pPr>
      <w:r>
        <w:rPr>
          <w:rFonts w:ascii="Arial" w:hAnsi="Arial" w:cs="Arial"/>
          <w:i/>
        </w:rPr>
        <w:t>Keywords: financial literacy, pre-service teachers, teacher e</w:t>
      </w:r>
      <w:r>
        <w:rPr>
          <w:rFonts w:ascii="Arial" w:hAnsi="Arial" w:cs="Arial"/>
          <w:i/>
        </w:rPr>
        <w:t xml:space="preserve">ducation, extension </w:t>
      </w:r>
      <w:proofErr w:type="gramStart"/>
      <w:r>
        <w:rPr>
          <w:rFonts w:ascii="Arial" w:hAnsi="Arial" w:cs="Arial"/>
          <w:i/>
        </w:rPr>
        <w:t xml:space="preserve">program,   </w:t>
      </w:r>
      <w:proofErr w:type="gramEnd"/>
      <w:r>
        <w:rPr>
          <w:rFonts w:ascii="Arial" w:hAnsi="Arial" w:cs="Arial"/>
          <w:i/>
        </w:rPr>
        <w:t>budgeting, saving strategies, debt management, investing competence</w:t>
      </w:r>
    </w:p>
    <w:p w14:paraId="2F13CD9B" w14:textId="77777777" w:rsidR="00455369" w:rsidRDefault="00455369">
      <w:pPr>
        <w:pStyle w:val="Body"/>
        <w:spacing w:after="0"/>
        <w:rPr>
          <w:rFonts w:ascii="Arial" w:hAnsi="Arial" w:cs="Arial"/>
          <w:i/>
        </w:rPr>
      </w:pPr>
    </w:p>
    <w:p w14:paraId="25C38249" w14:textId="77777777" w:rsidR="00455369" w:rsidRDefault="00455369">
      <w:pPr>
        <w:pStyle w:val="Body"/>
        <w:spacing w:after="0"/>
        <w:rPr>
          <w:rFonts w:ascii="Arial" w:hAnsi="Arial" w:cs="Arial"/>
          <w:i/>
        </w:rPr>
      </w:pPr>
    </w:p>
    <w:p w14:paraId="5869EF3A" w14:textId="77777777" w:rsidR="00455369" w:rsidRDefault="00455369">
      <w:pPr>
        <w:pStyle w:val="Body"/>
        <w:spacing w:after="0"/>
        <w:rPr>
          <w:rFonts w:ascii="Arial" w:hAnsi="Arial" w:cs="Arial"/>
          <w:i/>
        </w:rPr>
      </w:pPr>
    </w:p>
    <w:p w14:paraId="730B7390" w14:textId="77777777" w:rsidR="00455369" w:rsidRDefault="006721A8">
      <w:pPr>
        <w:pStyle w:val="AbstHead"/>
        <w:spacing w:after="0"/>
        <w:jc w:val="both"/>
        <w:rPr>
          <w:rFonts w:ascii="Arial" w:hAnsi="Arial" w:cs="Arial"/>
        </w:rPr>
      </w:pPr>
      <w:r>
        <w:rPr>
          <w:rFonts w:ascii="Arial" w:hAnsi="Arial" w:cs="Arial"/>
        </w:rPr>
        <w:t xml:space="preserve">1. INTRODUCTION </w:t>
      </w:r>
    </w:p>
    <w:p w14:paraId="195D3FF2" w14:textId="77777777" w:rsidR="00455369" w:rsidRDefault="00455369">
      <w:pPr>
        <w:pStyle w:val="AbstHead"/>
        <w:spacing w:after="0"/>
        <w:jc w:val="both"/>
        <w:rPr>
          <w:rFonts w:ascii="Arial" w:hAnsi="Arial" w:cs="Arial"/>
        </w:rPr>
      </w:pPr>
    </w:p>
    <w:p w14:paraId="296AD84B" w14:textId="77777777" w:rsidR="00455369" w:rsidRDefault="006721A8">
      <w:pPr>
        <w:pStyle w:val="BodyText"/>
        <w:spacing w:before="280" w:after="280"/>
        <w:jc w:val="both"/>
        <w:rPr>
          <w:rFonts w:ascii="Arial" w:hAnsi="Arial"/>
        </w:rPr>
      </w:pPr>
      <w:r>
        <w:rPr>
          <w:rFonts w:ascii="Arial" w:eastAsiaTheme="minorHAnsi" w:hAnsi="Arial" w:cstheme="minorBidi"/>
          <w:szCs w:val="24"/>
          <w:lang w:val="en-PH"/>
        </w:rPr>
        <w:t xml:space="preserve">Financial literacy has been consistently recognized as an essential skill for pre-service teachers, enabling them to make informed </w:t>
      </w:r>
      <w:r>
        <w:rPr>
          <w:rFonts w:ascii="Arial" w:eastAsiaTheme="minorHAnsi" w:hAnsi="Arial" w:cstheme="minorBidi"/>
          <w:szCs w:val="24"/>
          <w:lang w:val="en-PH"/>
        </w:rPr>
        <w:t xml:space="preserve">financial decisions, achieve personal stability, and </w:t>
      </w:r>
      <w:r>
        <w:rPr>
          <w:rFonts w:ascii="Arial" w:eastAsiaTheme="minorHAnsi" w:hAnsi="Arial" w:cstheme="minorBidi"/>
          <w:szCs w:val="24"/>
          <w:lang w:val="en-PH"/>
        </w:rPr>
        <w:lastRenderedPageBreak/>
        <w:t>reduce stress related to money matters. As future educators, their ability to teach financial concepts and model responsible financial behavior depends on their own financial knowledge and confidence. Wi</w:t>
      </w:r>
      <w:r>
        <w:rPr>
          <w:rFonts w:ascii="Arial" w:eastAsiaTheme="minorHAnsi" w:hAnsi="Arial" w:cstheme="minorBidi"/>
          <w:szCs w:val="24"/>
          <w:lang w:val="en-PH"/>
        </w:rPr>
        <w:t>thout a strong foundation, they struggle to guide students in making wise financial choices (</w:t>
      </w:r>
      <w:proofErr w:type="spellStart"/>
      <w:r>
        <w:rPr>
          <w:rFonts w:ascii="Arial" w:eastAsiaTheme="minorHAnsi" w:hAnsi="Arial" w:cstheme="minorBidi"/>
          <w:szCs w:val="24"/>
          <w:lang w:val="en-PH"/>
        </w:rPr>
        <w:t>Barotilla</w:t>
      </w:r>
      <w:proofErr w:type="spellEnd"/>
      <w:r>
        <w:rPr>
          <w:rFonts w:ascii="Arial" w:eastAsiaTheme="minorHAnsi" w:hAnsi="Arial" w:cstheme="minorBidi"/>
          <w:szCs w:val="24"/>
          <w:lang w:val="en-PH"/>
        </w:rPr>
        <w:t xml:space="preserve"> et al., 2024; </w:t>
      </w:r>
      <w:proofErr w:type="spellStart"/>
      <w:r>
        <w:rPr>
          <w:rFonts w:ascii="Arial" w:eastAsiaTheme="minorHAnsi" w:hAnsi="Arial" w:cstheme="minorBidi"/>
          <w:szCs w:val="24"/>
          <w:lang w:val="en-PH"/>
        </w:rPr>
        <w:t>Gundran</w:t>
      </w:r>
      <w:proofErr w:type="spellEnd"/>
      <w:r>
        <w:rPr>
          <w:rFonts w:ascii="Arial" w:eastAsiaTheme="minorHAnsi" w:hAnsi="Arial" w:cstheme="minorBidi"/>
          <w:szCs w:val="24"/>
          <w:lang w:val="en-PH"/>
        </w:rPr>
        <w:t xml:space="preserve"> &amp; </w:t>
      </w:r>
      <w:proofErr w:type="spellStart"/>
      <w:r>
        <w:rPr>
          <w:rFonts w:ascii="Arial" w:eastAsiaTheme="minorHAnsi" w:hAnsi="Arial" w:cstheme="minorBidi"/>
          <w:szCs w:val="24"/>
          <w:lang w:val="en-PH"/>
        </w:rPr>
        <w:t>Vallejos</w:t>
      </w:r>
      <w:proofErr w:type="spellEnd"/>
      <w:r>
        <w:rPr>
          <w:rFonts w:ascii="Arial" w:eastAsiaTheme="minorHAnsi" w:hAnsi="Arial" w:cstheme="minorBidi"/>
          <w:szCs w:val="24"/>
          <w:lang w:val="en-PH"/>
        </w:rPr>
        <w:t>, 2025).</w:t>
      </w:r>
    </w:p>
    <w:p w14:paraId="02F883A0" w14:textId="77777777" w:rsidR="00455369" w:rsidRDefault="006721A8">
      <w:pPr>
        <w:pStyle w:val="BodyText"/>
        <w:jc w:val="both"/>
      </w:pPr>
      <w:proofErr w:type="spellStart"/>
      <w:r>
        <w:rPr>
          <w:rStyle w:val="Strong"/>
          <w:rFonts w:ascii="Arial" w:hAnsi="Arial"/>
          <w:b w:val="0"/>
          <w:bCs w:val="0"/>
        </w:rPr>
        <w:t>Casane</w:t>
      </w:r>
      <w:proofErr w:type="spellEnd"/>
      <w:r>
        <w:rPr>
          <w:rStyle w:val="Strong"/>
          <w:rFonts w:ascii="Arial" w:hAnsi="Arial"/>
          <w:b w:val="0"/>
          <w:bCs w:val="0"/>
        </w:rPr>
        <w:t xml:space="preserve"> (2026)</w:t>
      </w:r>
      <w:r>
        <w:rPr>
          <w:rFonts w:ascii="Arial" w:hAnsi="Arial"/>
        </w:rPr>
        <w:t xml:space="preserve"> examined the financial literacy of BEED students in </w:t>
      </w:r>
      <w:proofErr w:type="spellStart"/>
      <w:r>
        <w:rPr>
          <w:rStyle w:val="Emphasis"/>
          <w:rFonts w:ascii="Arial" w:hAnsi="Arial"/>
        </w:rPr>
        <w:t>Edukasyong</w:t>
      </w:r>
      <w:proofErr w:type="spellEnd"/>
      <w:r>
        <w:rPr>
          <w:rStyle w:val="Emphasis"/>
          <w:rFonts w:ascii="Arial" w:hAnsi="Arial"/>
        </w:rPr>
        <w:t xml:space="preserve"> </w:t>
      </w:r>
      <w:proofErr w:type="spellStart"/>
      <w:r>
        <w:rPr>
          <w:rStyle w:val="Emphasis"/>
          <w:rFonts w:ascii="Arial" w:hAnsi="Arial"/>
        </w:rPr>
        <w:t>Pantahanan</w:t>
      </w:r>
      <w:proofErr w:type="spellEnd"/>
      <w:r>
        <w:rPr>
          <w:rStyle w:val="Emphasis"/>
          <w:rFonts w:ascii="Arial" w:hAnsi="Arial"/>
        </w:rPr>
        <w:t xml:space="preserve"> at </w:t>
      </w:r>
      <w:proofErr w:type="spellStart"/>
      <w:r>
        <w:rPr>
          <w:rStyle w:val="Emphasis"/>
          <w:rFonts w:ascii="Arial" w:hAnsi="Arial"/>
        </w:rPr>
        <w:t>Pangkabuhayan</w:t>
      </w:r>
      <w:proofErr w:type="spellEnd"/>
      <w:r>
        <w:rPr>
          <w:rStyle w:val="Emphasis"/>
          <w:rFonts w:ascii="Arial" w:hAnsi="Arial"/>
        </w:rPr>
        <w:t xml:space="preserve"> (EPP)</w:t>
      </w:r>
      <w:r>
        <w:rPr>
          <w:rFonts w:ascii="Arial" w:hAnsi="Arial"/>
        </w:rPr>
        <w:t xml:space="preserve"> a</w:t>
      </w:r>
      <w:r>
        <w:rPr>
          <w:rFonts w:ascii="Arial" w:hAnsi="Arial"/>
        </w:rPr>
        <w:t xml:space="preserve">nd its relationship with academic performance. Results showed that budgeting, saving, debt management, and financial planning were strongly linked to higher academic achievement, while investing had little impact, reflecting limited awareness and practice </w:t>
      </w:r>
      <w:r>
        <w:rPr>
          <w:rFonts w:ascii="Arial" w:hAnsi="Arial"/>
        </w:rPr>
        <w:t>among students. This underscores the need to strengthen investment education through curriculum integration and training programs.</w:t>
      </w:r>
    </w:p>
    <w:p w14:paraId="12DE4474" w14:textId="77777777" w:rsidR="00455369" w:rsidRDefault="006721A8">
      <w:pPr>
        <w:pStyle w:val="BodyText"/>
        <w:jc w:val="both"/>
      </w:pPr>
      <w:r>
        <w:rPr>
          <w:rFonts w:ascii="Arial" w:hAnsi="Arial"/>
        </w:rPr>
        <w:t xml:space="preserve">Despite these strengths, many pre-service teachers continue to face financial challenges and receive limited education on </w:t>
      </w:r>
      <w:r>
        <w:rPr>
          <w:rFonts w:ascii="Arial" w:hAnsi="Arial"/>
        </w:rPr>
        <w:t>managing finances effectively. Studies revealed consistent strengths in budgeting and saving but persistent weaknesses in debt management, investing, and long-term planning (</w:t>
      </w:r>
      <w:proofErr w:type="spellStart"/>
      <w:r>
        <w:rPr>
          <w:rFonts w:ascii="Arial" w:hAnsi="Arial"/>
        </w:rPr>
        <w:t>Barotilla</w:t>
      </w:r>
      <w:proofErr w:type="spellEnd"/>
      <w:r>
        <w:rPr>
          <w:rFonts w:ascii="Arial" w:hAnsi="Arial"/>
        </w:rPr>
        <w:t xml:space="preserve"> et al., 2024; UEP </w:t>
      </w:r>
      <w:proofErr w:type="spellStart"/>
      <w:r>
        <w:rPr>
          <w:rFonts w:ascii="Arial" w:hAnsi="Arial"/>
        </w:rPr>
        <w:t>Laoang</w:t>
      </w:r>
      <w:proofErr w:type="spellEnd"/>
      <w:r>
        <w:rPr>
          <w:rFonts w:ascii="Arial" w:hAnsi="Arial"/>
        </w:rPr>
        <w:t xml:space="preserve"> Campus Study, 2026). </w:t>
      </w:r>
      <w:proofErr w:type="spellStart"/>
      <w:r>
        <w:rPr>
          <w:rStyle w:val="Strong"/>
          <w:rFonts w:ascii="Arial" w:hAnsi="Arial"/>
          <w:b w:val="0"/>
          <w:bCs w:val="0"/>
        </w:rPr>
        <w:t>Gundran</w:t>
      </w:r>
      <w:proofErr w:type="spellEnd"/>
      <w:r>
        <w:rPr>
          <w:rStyle w:val="Strong"/>
          <w:rFonts w:ascii="Arial" w:hAnsi="Arial"/>
          <w:b w:val="0"/>
          <w:bCs w:val="0"/>
        </w:rPr>
        <w:t xml:space="preserve"> and </w:t>
      </w:r>
      <w:proofErr w:type="spellStart"/>
      <w:r>
        <w:rPr>
          <w:rStyle w:val="Strong"/>
          <w:rFonts w:ascii="Arial" w:hAnsi="Arial"/>
          <w:b w:val="0"/>
          <w:bCs w:val="0"/>
        </w:rPr>
        <w:t>Vallejos</w:t>
      </w:r>
      <w:proofErr w:type="spellEnd"/>
      <w:r>
        <w:rPr>
          <w:rStyle w:val="Strong"/>
          <w:rFonts w:ascii="Arial" w:hAnsi="Arial"/>
          <w:b w:val="0"/>
          <w:bCs w:val="0"/>
        </w:rPr>
        <w:t xml:space="preserve"> (2025</w:t>
      </w:r>
      <w:r>
        <w:rPr>
          <w:rStyle w:val="Strong"/>
          <w:rFonts w:ascii="Arial" w:hAnsi="Arial"/>
          <w:b w:val="0"/>
          <w:bCs w:val="0"/>
        </w:rPr>
        <w:t>)</w:t>
      </w:r>
      <w:r>
        <w:rPr>
          <w:rFonts w:ascii="Arial" w:hAnsi="Arial"/>
        </w:rPr>
        <w:t xml:space="preserve"> emphasized that structured training programs are essential to strengthen competencies in budgeting, saving, and investing, supporting initiatives to craft extension programs tailored to teacher education students.</w:t>
      </w:r>
    </w:p>
    <w:p w14:paraId="73F4D9E0" w14:textId="77777777" w:rsidR="00455369" w:rsidRDefault="006721A8">
      <w:pPr>
        <w:pStyle w:val="BodyText"/>
        <w:jc w:val="both"/>
      </w:pPr>
      <w:r>
        <w:rPr>
          <w:rFonts w:ascii="Arial" w:hAnsi="Arial"/>
        </w:rPr>
        <w:t xml:space="preserve">Recent findings also highlight systemic </w:t>
      </w:r>
      <w:r>
        <w:rPr>
          <w:rFonts w:ascii="Arial" w:hAnsi="Arial"/>
        </w:rPr>
        <w:t xml:space="preserve">issues across the teaching profession. </w:t>
      </w:r>
      <w:r>
        <w:rPr>
          <w:rStyle w:val="Strong"/>
          <w:rFonts w:ascii="Arial" w:hAnsi="Arial"/>
          <w:b w:val="0"/>
          <w:bCs w:val="0"/>
        </w:rPr>
        <w:t>Vidal-</w:t>
      </w:r>
      <w:proofErr w:type="spellStart"/>
      <w:r>
        <w:rPr>
          <w:rStyle w:val="Strong"/>
          <w:rFonts w:ascii="Arial" w:hAnsi="Arial"/>
          <w:b w:val="0"/>
          <w:bCs w:val="0"/>
        </w:rPr>
        <w:t>Sarahina</w:t>
      </w:r>
      <w:proofErr w:type="spellEnd"/>
      <w:r>
        <w:rPr>
          <w:rStyle w:val="Strong"/>
          <w:rFonts w:ascii="Arial" w:hAnsi="Arial"/>
          <w:b w:val="0"/>
          <w:bCs w:val="0"/>
        </w:rPr>
        <w:t xml:space="preserve"> (2025)</w:t>
      </w:r>
      <w:r>
        <w:rPr>
          <w:rFonts w:ascii="Arial" w:hAnsi="Arial"/>
        </w:rPr>
        <w:t xml:space="preserve"> revealed that even in-service teachers face gaps in translating financial knowledge into consistent behavior, reinforcing the importance of early interventions during teacher education. Similarly</w:t>
      </w:r>
      <w:r>
        <w:rPr>
          <w:rFonts w:ascii="Arial" w:hAnsi="Arial"/>
        </w:rPr>
        <w:t xml:space="preserve">, </w:t>
      </w:r>
      <w:r>
        <w:rPr>
          <w:rStyle w:val="Strong"/>
          <w:rFonts w:ascii="Arial" w:hAnsi="Arial"/>
          <w:b w:val="0"/>
          <w:bCs w:val="0"/>
        </w:rPr>
        <w:t>Guira (2020)</w:t>
      </w:r>
      <w:r>
        <w:rPr>
          <w:rFonts w:ascii="Arial" w:hAnsi="Arial"/>
        </w:rPr>
        <w:t xml:space="preserve"> found comparable challenges among senior high school teachers, while </w:t>
      </w:r>
      <w:r>
        <w:rPr>
          <w:rStyle w:val="Strong"/>
          <w:rFonts w:ascii="Arial" w:hAnsi="Arial"/>
          <w:b w:val="0"/>
          <w:bCs w:val="0"/>
        </w:rPr>
        <w:t>Montalbo et al. (2017)</w:t>
      </w:r>
      <w:r>
        <w:rPr>
          <w:rFonts w:ascii="Arial" w:hAnsi="Arial"/>
        </w:rPr>
        <w:t xml:space="preserve"> reported very low financial literacy nationwide, underscoring the urgency of embedding financial education in curricula.</w:t>
      </w:r>
    </w:p>
    <w:p w14:paraId="13575F03" w14:textId="77777777" w:rsidR="00455369" w:rsidRDefault="006721A8">
      <w:pPr>
        <w:pStyle w:val="BodyText"/>
        <w:jc w:val="both"/>
      </w:pPr>
      <w:r>
        <w:rPr>
          <w:rFonts w:ascii="Arial" w:hAnsi="Arial"/>
        </w:rPr>
        <w:t>Other related studies furthe</w:t>
      </w:r>
      <w:r>
        <w:rPr>
          <w:rFonts w:ascii="Arial" w:hAnsi="Arial"/>
        </w:rPr>
        <w:t xml:space="preserve">r support this need. </w:t>
      </w:r>
      <w:r>
        <w:rPr>
          <w:rStyle w:val="Strong"/>
          <w:rFonts w:ascii="Arial" w:hAnsi="Arial"/>
          <w:b w:val="0"/>
          <w:bCs w:val="0"/>
        </w:rPr>
        <w:t>Zerna (2024)</w:t>
      </w:r>
      <w:r>
        <w:rPr>
          <w:rFonts w:ascii="Arial" w:hAnsi="Arial"/>
        </w:rPr>
        <w:t xml:space="preserve"> found moderate literacy but limited financial well-being among teachers in Siquijor. </w:t>
      </w:r>
      <w:proofErr w:type="spellStart"/>
      <w:r>
        <w:rPr>
          <w:rStyle w:val="Strong"/>
          <w:rFonts w:ascii="Arial" w:hAnsi="Arial"/>
          <w:b w:val="0"/>
          <w:bCs w:val="0"/>
        </w:rPr>
        <w:t>Humilde</w:t>
      </w:r>
      <w:proofErr w:type="spellEnd"/>
      <w:r>
        <w:rPr>
          <w:rStyle w:val="Strong"/>
          <w:rFonts w:ascii="Arial" w:hAnsi="Arial"/>
          <w:b w:val="0"/>
          <w:bCs w:val="0"/>
        </w:rPr>
        <w:t xml:space="preserve"> and Berry (2021)</w:t>
      </w:r>
      <w:r>
        <w:rPr>
          <w:rFonts w:ascii="Arial" w:hAnsi="Arial"/>
        </w:rPr>
        <w:t xml:space="preserve"> noted strong implementation of basic financial literacy concepts under </w:t>
      </w:r>
      <w:r>
        <w:rPr>
          <w:rStyle w:val="Emphasis"/>
          <w:rFonts w:ascii="Arial" w:hAnsi="Arial"/>
        </w:rPr>
        <w:t>DepEd Order No. 22, s.2021</w:t>
      </w:r>
      <w:r>
        <w:rPr>
          <w:rFonts w:ascii="Arial" w:hAnsi="Arial"/>
        </w:rPr>
        <w:t>, but weak cove</w:t>
      </w:r>
      <w:r>
        <w:rPr>
          <w:rFonts w:ascii="Arial" w:hAnsi="Arial"/>
        </w:rPr>
        <w:t xml:space="preserve">rage of investment education. </w:t>
      </w:r>
      <w:r>
        <w:rPr>
          <w:rStyle w:val="Strong"/>
          <w:rFonts w:ascii="Arial" w:hAnsi="Arial"/>
          <w:b w:val="0"/>
          <w:bCs w:val="0"/>
        </w:rPr>
        <w:t>Abaya et al. (2021)</w:t>
      </w:r>
      <w:r>
        <w:rPr>
          <w:rFonts w:ascii="Arial" w:hAnsi="Arial"/>
        </w:rPr>
        <w:t xml:space="preserve"> observed that teachers in Cabanatuan practiced saving and budgeting yet often borrowed due to emergencies. </w:t>
      </w:r>
      <w:proofErr w:type="spellStart"/>
      <w:r>
        <w:rPr>
          <w:rStyle w:val="Strong"/>
          <w:rFonts w:ascii="Arial" w:hAnsi="Arial"/>
          <w:b w:val="0"/>
          <w:bCs w:val="0"/>
        </w:rPr>
        <w:t>Nalaza-Costuna</w:t>
      </w:r>
      <w:proofErr w:type="spellEnd"/>
      <w:r>
        <w:rPr>
          <w:rStyle w:val="Strong"/>
          <w:rFonts w:ascii="Arial" w:hAnsi="Arial"/>
          <w:b w:val="0"/>
          <w:bCs w:val="0"/>
        </w:rPr>
        <w:t xml:space="preserve"> (2023)</w:t>
      </w:r>
      <w:r>
        <w:rPr>
          <w:rFonts w:ascii="Arial" w:hAnsi="Arial"/>
        </w:rPr>
        <w:t xml:space="preserve"> confirmed strong correlations between literacy and capability in budgeting, s</w:t>
      </w:r>
      <w:r>
        <w:rPr>
          <w:rFonts w:ascii="Arial" w:hAnsi="Arial"/>
        </w:rPr>
        <w:t xml:space="preserve">aving, and investing, while </w:t>
      </w:r>
      <w:proofErr w:type="spellStart"/>
      <w:r>
        <w:rPr>
          <w:rStyle w:val="Strong"/>
          <w:rFonts w:ascii="Arial" w:hAnsi="Arial"/>
          <w:b w:val="0"/>
          <w:bCs w:val="0"/>
        </w:rPr>
        <w:t>Hernanie</w:t>
      </w:r>
      <w:proofErr w:type="spellEnd"/>
      <w:r>
        <w:rPr>
          <w:rStyle w:val="Strong"/>
          <w:rFonts w:ascii="Arial" w:hAnsi="Arial"/>
          <w:b w:val="0"/>
          <w:bCs w:val="0"/>
        </w:rPr>
        <w:t xml:space="preserve"> and Martin (2025)</w:t>
      </w:r>
      <w:r>
        <w:rPr>
          <w:rFonts w:ascii="Arial" w:hAnsi="Arial"/>
        </w:rPr>
        <w:t xml:space="preserve"> found no significant link between financial literacy and teaching performance in Sultan Kudarat. </w:t>
      </w:r>
      <w:proofErr w:type="spellStart"/>
      <w:r>
        <w:rPr>
          <w:rStyle w:val="Strong"/>
          <w:rFonts w:ascii="Arial" w:hAnsi="Arial"/>
          <w:b w:val="0"/>
          <w:bCs w:val="0"/>
        </w:rPr>
        <w:t>Macdon</w:t>
      </w:r>
      <w:proofErr w:type="spellEnd"/>
      <w:r>
        <w:rPr>
          <w:rStyle w:val="Strong"/>
          <w:rFonts w:ascii="Arial" w:hAnsi="Arial"/>
          <w:b w:val="0"/>
          <w:bCs w:val="0"/>
        </w:rPr>
        <w:t xml:space="preserve"> and Merlin (2023)</w:t>
      </w:r>
      <w:r>
        <w:rPr>
          <w:rFonts w:ascii="Arial" w:hAnsi="Arial"/>
        </w:rPr>
        <w:t xml:space="preserve"> reported low literacy among teachers and school heads in Marinduque, stressing </w:t>
      </w:r>
      <w:r>
        <w:rPr>
          <w:rFonts w:ascii="Arial" w:hAnsi="Arial"/>
        </w:rPr>
        <w:t xml:space="preserve">the need for enhancement programs. </w:t>
      </w:r>
      <w:r>
        <w:rPr>
          <w:rStyle w:val="Strong"/>
          <w:rFonts w:ascii="Arial" w:hAnsi="Arial"/>
          <w:b w:val="0"/>
          <w:bCs w:val="0"/>
        </w:rPr>
        <w:t>Tilan and Cabal (2021)</w:t>
      </w:r>
      <w:r>
        <w:rPr>
          <w:rFonts w:ascii="Arial" w:hAnsi="Arial"/>
        </w:rPr>
        <w:t xml:space="preserve"> showed literacy across all aspects but linked it to income levels, while </w:t>
      </w:r>
      <w:r>
        <w:rPr>
          <w:rStyle w:val="Strong"/>
          <w:rFonts w:ascii="Arial" w:hAnsi="Arial"/>
          <w:b w:val="0"/>
          <w:bCs w:val="0"/>
        </w:rPr>
        <w:t>Adorna et al. (2022)</w:t>
      </w:r>
      <w:r>
        <w:rPr>
          <w:rFonts w:ascii="Arial" w:hAnsi="Arial"/>
        </w:rPr>
        <w:t xml:space="preserve"> emphasized the role of training and position in improving literacy.</w:t>
      </w:r>
    </w:p>
    <w:p w14:paraId="19E4BAA7" w14:textId="77777777" w:rsidR="00455369" w:rsidRDefault="00455369">
      <w:pPr>
        <w:spacing w:before="280" w:after="280" w:line="276" w:lineRule="auto"/>
        <w:jc w:val="both"/>
        <w:rPr>
          <w:rFonts w:ascii="Arial" w:hAnsi="Arial"/>
        </w:rPr>
      </w:pPr>
    </w:p>
    <w:p w14:paraId="76D953DC" w14:textId="77777777" w:rsidR="00455369" w:rsidRDefault="006721A8">
      <w:pPr>
        <w:spacing w:after="140" w:line="276" w:lineRule="auto"/>
        <w:jc w:val="both"/>
        <w:rPr>
          <w:rFonts w:asciiTheme="minorHAnsi" w:eastAsiaTheme="minorHAnsi" w:hAnsiTheme="minorHAnsi" w:cstheme="minorBidi"/>
          <w:sz w:val="18"/>
          <w:szCs w:val="22"/>
          <w:lang w:val="en-PH"/>
        </w:rPr>
      </w:pPr>
      <w:r>
        <w:rPr>
          <w:rFonts w:ascii="Arial" w:eastAsiaTheme="minorHAnsi" w:hAnsi="Arial" w:cstheme="minorBidi"/>
          <w:szCs w:val="24"/>
          <w:lang w:val="en-PH"/>
        </w:rPr>
        <w:t>Taken together, these findings demo</w:t>
      </w:r>
      <w:r>
        <w:rPr>
          <w:rFonts w:ascii="Arial" w:eastAsiaTheme="minorHAnsi" w:hAnsi="Arial" w:cstheme="minorBidi"/>
          <w:szCs w:val="24"/>
          <w:lang w:val="en-PH"/>
        </w:rPr>
        <w:t xml:space="preserve">nstrated that financial literacy among teachers and pre-service teachers was shaped not only by knowledge but also by behavior, cultural tendencies, and systemic challenges. Thus, the study at UEP </w:t>
      </w:r>
      <w:proofErr w:type="spellStart"/>
      <w:r>
        <w:rPr>
          <w:rFonts w:ascii="Arial" w:eastAsiaTheme="minorHAnsi" w:hAnsi="Arial" w:cstheme="minorBidi"/>
          <w:szCs w:val="24"/>
          <w:lang w:val="en-PH"/>
        </w:rPr>
        <w:t>Laoang</w:t>
      </w:r>
      <w:proofErr w:type="spellEnd"/>
      <w:r>
        <w:rPr>
          <w:rFonts w:ascii="Arial" w:eastAsiaTheme="minorHAnsi" w:hAnsi="Arial" w:cstheme="minorBidi"/>
          <w:szCs w:val="24"/>
          <w:lang w:val="en-PH"/>
        </w:rPr>
        <w:t xml:space="preserve"> Campus assessed the financial literacy levels of pre</w:t>
      </w:r>
      <w:r>
        <w:rPr>
          <w:rFonts w:ascii="Arial" w:eastAsiaTheme="minorHAnsi" w:hAnsi="Arial" w:cstheme="minorBidi"/>
          <w:szCs w:val="24"/>
          <w:lang w:val="en-PH"/>
        </w:rPr>
        <w:t xml:space="preserve">-service teachers and used the results as the basis for crafting a comprehensive financial literacy program. By addressing gaps in debt management, investing, and long-term planning, while reinforcing strengths in budgeting and saving, the </w:t>
      </w:r>
      <w:r>
        <w:rPr>
          <w:rFonts w:ascii="Arial" w:eastAsiaTheme="minorHAnsi" w:hAnsi="Arial" w:cstheme="minorBidi"/>
          <w:szCs w:val="24"/>
          <w:lang w:val="en-PH"/>
        </w:rPr>
        <w:lastRenderedPageBreak/>
        <w:t>program aimed to</w:t>
      </w:r>
      <w:r>
        <w:rPr>
          <w:rFonts w:ascii="Arial" w:eastAsiaTheme="minorHAnsi" w:hAnsi="Arial" w:cstheme="minorBidi"/>
          <w:szCs w:val="24"/>
          <w:lang w:val="en-PH"/>
        </w:rPr>
        <w:t xml:space="preserve"> empower future educators to be financially resilient and serve as responsible role models for their students.</w:t>
      </w:r>
    </w:p>
    <w:p w14:paraId="0A730BCC" w14:textId="77777777" w:rsidR="00455369" w:rsidRDefault="00455369">
      <w:pPr>
        <w:pStyle w:val="Body"/>
        <w:spacing w:after="0"/>
        <w:rPr>
          <w:rFonts w:ascii="Arial" w:hAnsi="Arial" w:cs="Arial"/>
          <w:lang w:val="en-PH"/>
        </w:rPr>
      </w:pPr>
    </w:p>
    <w:p w14:paraId="7A9841BC" w14:textId="77777777" w:rsidR="00455369" w:rsidRDefault="00455369">
      <w:pPr>
        <w:pStyle w:val="Body"/>
        <w:spacing w:after="0"/>
        <w:rPr>
          <w:rFonts w:ascii="Arial" w:hAnsi="Arial" w:cs="Arial"/>
        </w:rPr>
      </w:pPr>
    </w:p>
    <w:p w14:paraId="3E1EC514" w14:textId="77777777" w:rsidR="00455369" w:rsidRDefault="00455369">
      <w:pPr>
        <w:pStyle w:val="Body"/>
        <w:spacing w:after="0"/>
        <w:rPr>
          <w:rFonts w:ascii="Arial" w:hAnsi="Arial" w:cs="Arial"/>
        </w:rPr>
      </w:pPr>
    </w:p>
    <w:p w14:paraId="3D7B6CCD" w14:textId="77777777" w:rsidR="00455369" w:rsidRDefault="00455369">
      <w:pPr>
        <w:pStyle w:val="Body"/>
        <w:spacing w:after="0"/>
        <w:rPr>
          <w:rFonts w:ascii="Arial" w:hAnsi="Arial" w:cs="Arial"/>
        </w:rPr>
      </w:pPr>
    </w:p>
    <w:p w14:paraId="4309DAD3" w14:textId="77777777" w:rsidR="00455369" w:rsidRDefault="006721A8">
      <w:pPr>
        <w:pStyle w:val="AbstHead"/>
        <w:spacing w:after="0"/>
        <w:jc w:val="both"/>
        <w:rPr>
          <w:rFonts w:ascii="Arial" w:hAnsi="Arial" w:cs="Arial"/>
        </w:rPr>
      </w:pPr>
      <w:r>
        <w:rPr>
          <w:rFonts w:ascii="Arial" w:hAnsi="Arial" w:cs="Arial"/>
        </w:rPr>
        <w:t xml:space="preserve">2. methodology </w:t>
      </w:r>
    </w:p>
    <w:p w14:paraId="6C1CAF22" w14:textId="77777777" w:rsidR="00455369" w:rsidRDefault="006721A8">
      <w:pPr>
        <w:spacing w:beforeAutospacing="1" w:afterAutospacing="1"/>
        <w:jc w:val="both"/>
        <w:outlineLvl w:val="2"/>
        <w:rPr>
          <w:rFonts w:ascii="Arial" w:hAnsi="Arial" w:cs="Arial"/>
          <w:b/>
          <w:bCs/>
          <w:sz w:val="22"/>
          <w:szCs w:val="24"/>
          <w:lang w:val="en-PH" w:eastAsia="en-PH"/>
        </w:rPr>
      </w:pPr>
      <w:r>
        <w:rPr>
          <w:rFonts w:ascii="Arial" w:hAnsi="Arial" w:cs="Arial"/>
          <w:b/>
          <w:bCs/>
          <w:sz w:val="22"/>
          <w:szCs w:val="24"/>
          <w:lang w:val="en-PH" w:eastAsia="en-PH"/>
        </w:rPr>
        <w:t>2.1. Research Design</w:t>
      </w:r>
    </w:p>
    <w:p w14:paraId="2377AD6E" w14:textId="77777777" w:rsidR="00455369" w:rsidRDefault="006721A8">
      <w:pPr>
        <w:spacing w:beforeAutospacing="1" w:afterAutospacing="1"/>
        <w:jc w:val="both"/>
        <w:rPr>
          <w:rFonts w:ascii="Arial" w:hAnsi="Arial" w:cs="Arial"/>
          <w:szCs w:val="24"/>
          <w:lang w:val="en-PH" w:eastAsia="en-PH"/>
        </w:rPr>
      </w:pPr>
      <w:r>
        <w:rPr>
          <w:rFonts w:ascii="Arial" w:hAnsi="Arial" w:cs="Arial"/>
          <w:szCs w:val="24"/>
          <w:lang w:val="en-PH" w:eastAsia="en-PH"/>
        </w:rPr>
        <w:t xml:space="preserve">This study used a quantitative approach with a descriptive design. It aimed to assess the financial literacy levels of pre-service students in teacher education programs at the University of Eastern Philippines, </w:t>
      </w:r>
      <w:proofErr w:type="spellStart"/>
      <w:r>
        <w:rPr>
          <w:rFonts w:ascii="Arial" w:hAnsi="Arial" w:cs="Arial"/>
          <w:szCs w:val="24"/>
          <w:lang w:val="en-PH" w:eastAsia="en-PH"/>
        </w:rPr>
        <w:t>Laoang</w:t>
      </w:r>
      <w:proofErr w:type="spellEnd"/>
      <w:r>
        <w:rPr>
          <w:rFonts w:ascii="Arial" w:hAnsi="Arial" w:cs="Arial"/>
          <w:szCs w:val="24"/>
          <w:lang w:val="en-PH" w:eastAsia="en-PH"/>
        </w:rPr>
        <w:t xml:space="preserve"> Campus. The study focused on five are</w:t>
      </w:r>
      <w:r>
        <w:rPr>
          <w:rFonts w:ascii="Arial" w:hAnsi="Arial" w:cs="Arial"/>
          <w:szCs w:val="24"/>
          <w:lang w:val="en-PH" w:eastAsia="en-PH"/>
        </w:rPr>
        <w:t>as: budgeting, saving, investing, debt management, and financial knowledge.</w:t>
      </w:r>
    </w:p>
    <w:p w14:paraId="41451506" w14:textId="77777777" w:rsidR="00455369" w:rsidRDefault="006721A8">
      <w:pPr>
        <w:spacing w:beforeAutospacing="1" w:afterAutospacing="1"/>
        <w:jc w:val="both"/>
        <w:outlineLvl w:val="2"/>
        <w:rPr>
          <w:rFonts w:ascii="Arial" w:hAnsi="Arial" w:cs="Arial"/>
          <w:b/>
          <w:bCs/>
          <w:sz w:val="22"/>
          <w:szCs w:val="24"/>
          <w:lang w:val="en-PH" w:eastAsia="en-PH"/>
        </w:rPr>
      </w:pPr>
      <w:r>
        <w:rPr>
          <w:rFonts w:ascii="Arial" w:hAnsi="Arial" w:cs="Arial"/>
          <w:b/>
          <w:bCs/>
          <w:sz w:val="22"/>
          <w:szCs w:val="24"/>
          <w:lang w:val="en-PH" w:eastAsia="en-PH"/>
        </w:rPr>
        <w:t>2.2. Respondents</w:t>
      </w:r>
    </w:p>
    <w:p w14:paraId="12446CA3" w14:textId="77777777" w:rsidR="00455369" w:rsidRDefault="006721A8">
      <w:pPr>
        <w:spacing w:beforeAutospacing="1" w:afterAutospacing="1"/>
        <w:jc w:val="both"/>
        <w:rPr>
          <w:rFonts w:ascii="Arial" w:hAnsi="Arial" w:cs="Arial"/>
          <w:szCs w:val="24"/>
          <w:lang w:val="en-PH" w:eastAsia="en-PH"/>
        </w:rPr>
      </w:pPr>
      <w:r>
        <w:rPr>
          <w:rFonts w:ascii="Arial" w:hAnsi="Arial" w:cs="Arial"/>
          <w:szCs w:val="24"/>
          <w:lang w:val="en-PH" w:eastAsia="en-PH"/>
        </w:rPr>
        <w:t>The participants were 41 pre-service students from four programs: Bachelor of Elementary Education (</w:t>
      </w:r>
      <w:proofErr w:type="spellStart"/>
      <w:r>
        <w:rPr>
          <w:rFonts w:ascii="Arial" w:hAnsi="Arial" w:cs="Arial"/>
          <w:szCs w:val="24"/>
          <w:lang w:val="en-PH" w:eastAsia="en-PH"/>
        </w:rPr>
        <w:t>BEEd</w:t>
      </w:r>
      <w:proofErr w:type="spellEnd"/>
      <w:r>
        <w:rPr>
          <w:rFonts w:ascii="Arial" w:hAnsi="Arial" w:cs="Arial"/>
          <w:szCs w:val="24"/>
          <w:lang w:val="en-PH" w:eastAsia="en-PH"/>
        </w:rPr>
        <w:t>), Bachelor of Physical Education (BPED), Bachelor of Secon</w:t>
      </w:r>
      <w:r>
        <w:rPr>
          <w:rFonts w:ascii="Arial" w:hAnsi="Arial" w:cs="Arial"/>
          <w:szCs w:val="24"/>
          <w:lang w:val="en-PH" w:eastAsia="en-PH"/>
        </w:rPr>
        <w:t xml:space="preserve">dary Education (BSED), and Bachelor of Technical-Vocational Teacher Education (BTVTED). Data were collected during the second semester of the 2023–2024 school year, while students were completing their teaching internship. Their busy schedules during this </w:t>
      </w:r>
      <w:r>
        <w:rPr>
          <w:rFonts w:ascii="Arial" w:hAnsi="Arial" w:cs="Arial"/>
          <w:szCs w:val="24"/>
          <w:lang w:val="en-PH" w:eastAsia="en-PH"/>
        </w:rPr>
        <w:t>period limited the number of respondents.</w:t>
      </w:r>
    </w:p>
    <w:p w14:paraId="66085A71" w14:textId="77777777" w:rsidR="00455369" w:rsidRDefault="006721A8">
      <w:pPr>
        <w:spacing w:beforeAutospacing="1" w:afterAutospacing="1"/>
        <w:jc w:val="both"/>
        <w:outlineLvl w:val="2"/>
        <w:rPr>
          <w:rFonts w:ascii="Arial" w:hAnsi="Arial" w:cs="Arial"/>
          <w:b/>
          <w:bCs/>
          <w:sz w:val="22"/>
          <w:szCs w:val="24"/>
          <w:lang w:val="en-PH" w:eastAsia="en-PH"/>
        </w:rPr>
      </w:pPr>
      <w:r>
        <w:rPr>
          <w:rFonts w:ascii="Arial" w:hAnsi="Arial" w:cs="Arial"/>
          <w:b/>
          <w:bCs/>
          <w:sz w:val="22"/>
          <w:szCs w:val="24"/>
          <w:lang w:val="en-PH" w:eastAsia="en-PH"/>
        </w:rPr>
        <w:t>2. 3. Sampling Technique</w:t>
      </w:r>
    </w:p>
    <w:p w14:paraId="698287DA" w14:textId="77777777" w:rsidR="00455369" w:rsidRDefault="006721A8">
      <w:pPr>
        <w:spacing w:beforeAutospacing="1" w:afterAutospacing="1"/>
        <w:jc w:val="both"/>
        <w:rPr>
          <w:rFonts w:ascii="Arial" w:hAnsi="Arial" w:cs="Arial"/>
          <w:szCs w:val="24"/>
          <w:lang w:val="en-PH" w:eastAsia="en-PH"/>
        </w:rPr>
      </w:pPr>
      <w:r>
        <w:rPr>
          <w:rFonts w:ascii="Arial" w:hAnsi="Arial" w:cs="Arial"/>
          <w:szCs w:val="24"/>
          <w:lang w:val="en-PH" w:eastAsia="en-PH"/>
        </w:rPr>
        <w:t>Convenience sampling was used to select participants. This method allowed the researcher to gather data from students who were available and willing to participate during their internship.</w:t>
      </w:r>
    </w:p>
    <w:p w14:paraId="4FA29820" w14:textId="77777777" w:rsidR="00455369" w:rsidRDefault="006721A8">
      <w:pPr>
        <w:spacing w:beforeAutospacing="1" w:afterAutospacing="1"/>
        <w:jc w:val="both"/>
        <w:outlineLvl w:val="2"/>
        <w:rPr>
          <w:rFonts w:ascii="Arial" w:hAnsi="Arial" w:cs="Arial"/>
          <w:b/>
          <w:bCs/>
          <w:sz w:val="22"/>
          <w:szCs w:val="24"/>
          <w:lang w:val="en-PH" w:eastAsia="en-PH"/>
        </w:rPr>
      </w:pPr>
      <w:r>
        <w:rPr>
          <w:rFonts w:ascii="Arial" w:hAnsi="Arial" w:cs="Arial"/>
          <w:b/>
          <w:bCs/>
          <w:sz w:val="22"/>
          <w:szCs w:val="24"/>
          <w:lang w:val="en-PH" w:eastAsia="en-PH"/>
        </w:rPr>
        <w:t>2.4. Research Instrument</w:t>
      </w:r>
    </w:p>
    <w:p w14:paraId="2BB2ECFA" w14:textId="77777777" w:rsidR="00455369" w:rsidRDefault="006721A8">
      <w:pPr>
        <w:spacing w:beforeAutospacing="1" w:afterAutospacing="1"/>
        <w:jc w:val="both"/>
        <w:rPr>
          <w:rFonts w:ascii="Arial" w:hAnsi="Arial" w:cs="Arial"/>
          <w:szCs w:val="24"/>
          <w:lang w:val="en-PH" w:eastAsia="en-PH"/>
        </w:rPr>
      </w:pPr>
      <w:r>
        <w:rPr>
          <w:rFonts w:ascii="Arial" w:hAnsi="Arial" w:cs="Arial"/>
          <w:szCs w:val="24"/>
          <w:lang w:val="en-PH" w:eastAsia="en-PH"/>
        </w:rPr>
        <w:t>A researcher-made questionnaire was used to measure financial literacy in the five domains. The instrument was reviewed by experts in education and finance to ensure clarity and relevance. Their feedback guided necessary revisions.</w:t>
      </w:r>
      <w:r>
        <w:rPr>
          <w:rFonts w:ascii="Arial" w:hAnsi="Arial" w:cs="Arial"/>
          <w:szCs w:val="24"/>
          <w:lang w:val="en-PH" w:eastAsia="en-PH"/>
        </w:rPr>
        <w:t xml:space="preserve"> </w:t>
      </w:r>
    </w:p>
    <w:p w14:paraId="0A39F523" w14:textId="77777777" w:rsidR="00455369" w:rsidRDefault="006721A8">
      <w:pPr>
        <w:spacing w:beforeAutospacing="1" w:afterAutospacing="1"/>
        <w:jc w:val="both"/>
        <w:rPr>
          <w:rFonts w:ascii="Arial" w:hAnsi="Arial" w:cs="Arial"/>
          <w:b/>
          <w:bCs/>
          <w:sz w:val="22"/>
          <w:szCs w:val="24"/>
          <w:lang w:val="en-PH" w:eastAsia="en-PH"/>
        </w:rPr>
      </w:pPr>
      <w:r>
        <w:rPr>
          <w:rFonts w:ascii="Arial" w:hAnsi="Arial" w:cs="Arial"/>
          <w:b/>
          <w:bCs/>
          <w:sz w:val="22"/>
          <w:szCs w:val="24"/>
          <w:lang w:val="en-PH" w:eastAsia="en-PH"/>
        </w:rPr>
        <w:t>2.5. Data Collection Procedure</w:t>
      </w:r>
    </w:p>
    <w:p w14:paraId="6C7DE9AC" w14:textId="77777777" w:rsidR="00455369" w:rsidRDefault="006721A8">
      <w:pPr>
        <w:spacing w:beforeAutospacing="1" w:afterAutospacing="1"/>
        <w:jc w:val="both"/>
        <w:rPr>
          <w:rFonts w:ascii="Arial" w:hAnsi="Arial" w:cs="Arial"/>
          <w:szCs w:val="24"/>
          <w:lang w:val="en-PH" w:eastAsia="en-PH"/>
        </w:rPr>
      </w:pPr>
      <w:r>
        <w:rPr>
          <w:rFonts w:ascii="Arial" w:hAnsi="Arial" w:cs="Arial"/>
          <w:szCs w:val="24"/>
          <w:lang w:val="en-PH" w:eastAsia="en-PH"/>
        </w:rPr>
        <w:t>The researcher distributed the questionnaires during internship sessions with help from supervising instructors. Students were informed about the study and assured of confidentiality. They completed the questionnaires indep</w:t>
      </w:r>
      <w:r>
        <w:rPr>
          <w:rFonts w:ascii="Arial" w:hAnsi="Arial" w:cs="Arial"/>
          <w:szCs w:val="24"/>
          <w:lang w:val="en-PH" w:eastAsia="en-PH"/>
        </w:rPr>
        <w:t>endently during available time slots.</w:t>
      </w:r>
    </w:p>
    <w:p w14:paraId="357A60E6" w14:textId="77777777" w:rsidR="00455369" w:rsidRDefault="006721A8">
      <w:pPr>
        <w:spacing w:beforeAutospacing="1" w:afterAutospacing="1"/>
        <w:jc w:val="both"/>
        <w:outlineLvl w:val="2"/>
        <w:rPr>
          <w:rFonts w:ascii="Arial" w:hAnsi="Arial" w:cs="Arial"/>
          <w:b/>
          <w:bCs/>
          <w:sz w:val="22"/>
          <w:szCs w:val="24"/>
          <w:lang w:val="en-PH" w:eastAsia="en-PH"/>
        </w:rPr>
      </w:pPr>
      <w:r>
        <w:rPr>
          <w:rFonts w:ascii="Arial" w:hAnsi="Arial" w:cs="Arial"/>
          <w:b/>
          <w:bCs/>
          <w:sz w:val="22"/>
          <w:szCs w:val="24"/>
          <w:lang w:val="en-PH" w:eastAsia="en-PH"/>
        </w:rPr>
        <w:t>2.6. Data Analysis</w:t>
      </w:r>
    </w:p>
    <w:p w14:paraId="32E4234F" w14:textId="77777777" w:rsidR="00455369" w:rsidRDefault="006721A8">
      <w:pPr>
        <w:spacing w:beforeAutospacing="1" w:afterAutospacing="1"/>
        <w:jc w:val="both"/>
        <w:rPr>
          <w:rFonts w:ascii="Arial" w:hAnsi="Arial" w:cs="Arial"/>
          <w:szCs w:val="24"/>
          <w:lang w:val="en-PH" w:eastAsia="en-PH"/>
        </w:rPr>
      </w:pPr>
      <w:r>
        <w:rPr>
          <w:rFonts w:ascii="Arial" w:hAnsi="Arial" w:cs="Arial"/>
          <w:szCs w:val="24"/>
          <w:lang w:val="en-PH" w:eastAsia="en-PH"/>
        </w:rPr>
        <w:t>Descriptive statistics were used to analyze the data. Frequency counts and percentages, weighted mean determined the level of financial literacy in each domain, and ranking identified the strongest a</w:t>
      </w:r>
      <w:r>
        <w:rPr>
          <w:rFonts w:ascii="Arial" w:hAnsi="Arial" w:cs="Arial"/>
          <w:szCs w:val="24"/>
          <w:lang w:val="en-PH" w:eastAsia="en-PH"/>
        </w:rPr>
        <w:t>nd weakest areas.</w:t>
      </w:r>
    </w:p>
    <w:p w14:paraId="752B59AC" w14:textId="77777777" w:rsidR="00455369" w:rsidRDefault="00455369">
      <w:pPr>
        <w:spacing w:beforeAutospacing="1" w:afterAutospacing="1"/>
        <w:ind w:left="540" w:hanging="540"/>
        <w:jc w:val="both"/>
        <w:outlineLvl w:val="2"/>
        <w:rPr>
          <w:rFonts w:ascii="Arial" w:hAnsi="Arial" w:cs="Arial"/>
          <w:b/>
          <w:bCs/>
          <w:sz w:val="22"/>
          <w:szCs w:val="24"/>
          <w:lang w:val="en-PH" w:eastAsia="en-PH"/>
        </w:rPr>
      </w:pPr>
    </w:p>
    <w:p w14:paraId="1B1C22BC" w14:textId="77777777" w:rsidR="00455369" w:rsidRDefault="006721A8">
      <w:pPr>
        <w:pStyle w:val="Head1"/>
        <w:spacing w:after="0"/>
        <w:jc w:val="both"/>
        <w:rPr>
          <w:rFonts w:ascii="Arial" w:hAnsi="Arial" w:cs="Arial"/>
        </w:rPr>
      </w:pPr>
      <w:r>
        <w:rPr>
          <w:rFonts w:ascii="Arial" w:hAnsi="Arial" w:cs="Arial"/>
        </w:rPr>
        <w:lastRenderedPageBreak/>
        <w:t>3. results and discussion</w:t>
      </w:r>
    </w:p>
    <w:p w14:paraId="216D3488" w14:textId="77777777" w:rsidR="00455369" w:rsidRDefault="00455369">
      <w:pPr>
        <w:pStyle w:val="Head1"/>
        <w:spacing w:after="0"/>
        <w:jc w:val="both"/>
        <w:rPr>
          <w:rFonts w:ascii="Arial" w:hAnsi="Arial" w:cs="Arial"/>
          <w:sz w:val="2"/>
        </w:rPr>
      </w:pPr>
    </w:p>
    <w:p w14:paraId="7584FBA7" w14:textId="77777777" w:rsidR="00455369" w:rsidRDefault="006721A8">
      <w:pPr>
        <w:spacing w:beforeAutospacing="1" w:afterAutospacing="1"/>
        <w:jc w:val="both"/>
        <w:rPr>
          <w:rFonts w:ascii="Arial" w:hAnsi="Arial" w:cs="Arial"/>
          <w:b/>
          <w:sz w:val="22"/>
          <w:szCs w:val="24"/>
        </w:rPr>
      </w:pPr>
      <w:r>
        <w:rPr>
          <w:rFonts w:ascii="Arial" w:hAnsi="Arial" w:cs="Arial"/>
          <w:b/>
          <w:sz w:val="22"/>
          <w:szCs w:val="24"/>
        </w:rPr>
        <w:t>3.1.  Financial Literacy in terms of Saving</w:t>
      </w:r>
    </w:p>
    <w:p w14:paraId="09B722FE" w14:textId="1CCD8C2C" w:rsidR="00455369" w:rsidRDefault="006721A8">
      <w:pPr>
        <w:pStyle w:val="BodyText"/>
        <w:spacing w:beforeAutospacing="1" w:afterAutospacing="1"/>
        <w:ind w:right="-46"/>
        <w:jc w:val="both"/>
        <w:rPr>
          <w:rFonts w:ascii="Arial" w:hAnsi="Arial" w:cs="Arial"/>
          <w:lang w:val="en-PH" w:eastAsia="en-PH"/>
        </w:rPr>
      </w:pPr>
      <w:r>
        <w:rPr>
          <w:rFonts w:ascii="Arial" w:hAnsi="Arial" w:cs="Arial"/>
          <w:lang w:val="en-PH" w:eastAsia="en-PH"/>
        </w:rPr>
        <w:t>The computed average score across all statements is 4.093, reflecting a positive overall perspective toward saving money among respondents. As presented in Table.1, t</w:t>
      </w:r>
      <w:r>
        <w:rPr>
          <w:rFonts w:ascii="Arial" w:hAnsi="Arial" w:cs="Arial"/>
          <w:lang w:val="en-PH" w:eastAsia="en-PH"/>
        </w:rPr>
        <w:t xml:space="preserve">he highest-rated statement, </w:t>
      </w:r>
      <w:r>
        <w:rPr>
          <w:rStyle w:val="Emphasis"/>
          <w:rFonts w:ascii="Arial" w:hAnsi="Arial" w:cs="Arial"/>
          <w:lang w:val="en-PH" w:eastAsia="en-PH"/>
        </w:rPr>
        <w:t>“Saving money is essential for achieving my financial goals”</w:t>
      </w:r>
      <w:r>
        <w:rPr>
          <w:rFonts w:ascii="Arial" w:hAnsi="Arial" w:cs="Arial"/>
          <w:lang w:val="en-PH" w:eastAsia="en-PH"/>
        </w:rPr>
        <w:t>, underscores the significance of saving in achieving financial stability. This finding highlights the strong emphasis placed by respondents on savings as a critical to</w:t>
      </w:r>
      <w:r>
        <w:rPr>
          <w:rFonts w:ascii="Arial" w:hAnsi="Arial" w:cs="Arial"/>
          <w:lang w:val="en-PH" w:eastAsia="en-PH"/>
        </w:rPr>
        <w:t xml:space="preserve">ol for attaining their financial objectives. Conversely, the lowest-rated statement, </w:t>
      </w:r>
      <w:r>
        <w:rPr>
          <w:rStyle w:val="Emphasis"/>
          <w:rFonts w:ascii="Arial" w:hAnsi="Arial" w:cs="Arial"/>
          <w:lang w:val="en-PH" w:eastAsia="en-PH"/>
        </w:rPr>
        <w:t>“Saving money is an important part of my financial plan”</w:t>
      </w:r>
      <w:r>
        <w:rPr>
          <w:rFonts w:ascii="Arial" w:hAnsi="Arial" w:cs="Arial"/>
          <w:lang w:val="en-PH" w:eastAsia="en-PH"/>
        </w:rPr>
        <w:t>, points to potential areas for development in embedding savings into a deliberate financial strategy.</w:t>
      </w:r>
    </w:p>
    <w:p w14:paraId="51C61E59" w14:textId="77777777" w:rsidR="00455369" w:rsidRDefault="006721A8">
      <w:pPr>
        <w:pStyle w:val="BodyText"/>
        <w:jc w:val="both"/>
      </w:pPr>
      <w:r>
        <w:t xml:space="preserve">The results further reveal that respondents exhibit consistent savings habits and a solid understanding of available savings options, as evidenced by high scores in statements like </w:t>
      </w:r>
      <w:r>
        <w:rPr>
          <w:rStyle w:val="Emphasis"/>
        </w:rPr>
        <w:t>“I regularly track and monitor my expenses to support my savings efforts”</w:t>
      </w:r>
      <w:r>
        <w:t xml:space="preserve"> a</w:t>
      </w:r>
      <w:r>
        <w:t xml:space="preserve">nd </w:t>
      </w:r>
      <w:r>
        <w:rPr>
          <w:rStyle w:val="Emphasis"/>
        </w:rPr>
        <w:t>“I have a clear understanding of the different savings options available to me.”</w:t>
      </w:r>
      <w:r>
        <w:t xml:space="preserve"> Saving money is perceived as providing financial security and peace of mind, as reflected in the statement </w:t>
      </w:r>
      <w:r>
        <w:rPr>
          <w:rStyle w:val="Emphasis"/>
        </w:rPr>
        <w:t>“Saving money gives me a sense of financial security and peace of</w:t>
      </w:r>
      <w:r>
        <w:rPr>
          <w:rStyle w:val="Emphasis"/>
        </w:rPr>
        <w:t xml:space="preserve"> mind.”</w:t>
      </w:r>
      <w:r>
        <w:t xml:space="preserve"> However, there is room for improvement in terms of regularly reassessing savings plans and aligning them with long-term financial strategies, as suggested by the slightly lower scores for such statements.</w:t>
      </w:r>
    </w:p>
    <w:p w14:paraId="38871F63" w14:textId="77777777" w:rsidR="00455369" w:rsidRDefault="006721A8">
      <w:pPr>
        <w:pStyle w:val="BodyText"/>
        <w:jc w:val="both"/>
      </w:pPr>
      <w:r>
        <w:t>The findings indicate that individuals feel</w:t>
      </w:r>
      <w:r>
        <w:t xml:space="preserve"> empowered in managing their finances through regular savings and tracking practices but could benefit from financial education focusing on integrating saving into broader financial plans. By addressing these gaps, individuals can further enhance their fin</w:t>
      </w:r>
      <w:r>
        <w:t>ancial adaptability and security, fostering even stronger savings behaviors.</w:t>
      </w:r>
    </w:p>
    <w:p w14:paraId="32CBF7C0" w14:textId="77777777" w:rsidR="00455369" w:rsidRDefault="006721A8">
      <w:pPr>
        <w:pStyle w:val="BodyText"/>
        <w:jc w:val="both"/>
      </w:pPr>
      <w:r>
        <w:t xml:space="preserve">These insights are consistent with </w:t>
      </w:r>
      <w:proofErr w:type="spellStart"/>
      <w:r>
        <w:rPr>
          <w:rStyle w:val="Strong"/>
          <w:b w:val="0"/>
          <w:bCs w:val="0"/>
        </w:rPr>
        <w:t>Casane</w:t>
      </w:r>
      <w:proofErr w:type="spellEnd"/>
      <w:r>
        <w:rPr>
          <w:rStyle w:val="Strong"/>
          <w:b w:val="0"/>
          <w:bCs w:val="0"/>
        </w:rPr>
        <w:t xml:space="preserve"> (2026)</w:t>
      </w:r>
      <w:r>
        <w:t>, who found that budgeting and saving were strongly linked to higher academic achievement among BEED students, while investing rema</w:t>
      </w:r>
      <w:r>
        <w:t xml:space="preserve">ined underdeveloped. Similarly, </w:t>
      </w:r>
      <w:proofErr w:type="spellStart"/>
      <w:r>
        <w:rPr>
          <w:rStyle w:val="Strong"/>
          <w:b w:val="0"/>
          <w:bCs w:val="0"/>
        </w:rPr>
        <w:t>Barotilla</w:t>
      </w:r>
      <w:proofErr w:type="spellEnd"/>
      <w:r>
        <w:rPr>
          <w:rStyle w:val="Strong"/>
          <w:b w:val="0"/>
          <w:bCs w:val="0"/>
        </w:rPr>
        <w:t xml:space="preserve"> et al. (2024)</w:t>
      </w:r>
      <w:r>
        <w:t xml:space="preserve"> reported that pre-service teachers demonstrated strong saving habits but struggled with embedding savings into long-term financial planning. </w:t>
      </w:r>
      <w:r>
        <w:rPr>
          <w:rStyle w:val="Strong"/>
          <w:b w:val="0"/>
          <w:bCs w:val="0"/>
        </w:rPr>
        <w:t>Abaya et al. (2021)</w:t>
      </w:r>
      <w:r>
        <w:t xml:space="preserve"> also observed that teachers in Cabanatu</w:t>
      </w:r>
      <w:r>
        <w:t xml:space="preserve">an practiced saving and budgeting yet often resorted to borrowing during emergencies, </w:t>
      </w:r>
      <w:r>
        <w:rPr>
          <w:rFonts w:ascii="Arial" w:hAnsi="Arial"/>
        </w:rPr>
        <w:t xml:space="preserve">highlighting the need for deliberate financial strategies. Finally, </w:t>
      </w:r>
      <w:r>
        <w:rPr>
          <w:rStyle w:val="Strong"/>
          <w:rFonts w:ascii="Arial" w:hAnsi="Arial"/>
          <w:b w:val="0"/>
          <w:bCs w:val="0"/>
        </w:rPr>
        <w:t>Adorna et al. (2022)</w:t>
      </w:r>
      <w:r>
        <w:rPr>
          <w:rFonts w:ascii="Arial" w:hAnsi="Arial"/>
        </w:rPr>
        <w:t xml:space="preserve"> emphasized that structured training and professional development significantly im</w:t>
      </w:r>
      <w:r>
        <w:rPr>
          <w:rFonts w:ascii="Arial" w:hAnsi="Arial"/>
        </w:rPr>
        <w:t>prove teachers’ financial literacy, reinforcing the importance of integrating savings education into teacher preparation programs.</w:t>
      </w:r>
    </w:p>
    <w:p w14:paraId="55EC51F9" w14:textId="77777777" w:rsidR="00455369" w:rsidRDefault="00455369">
      <w:pPr>
        <w:spacing w:beforeAutospacing="1" w:afterAutospacing="1"/>
        <w:ind w:right="-46"/>
        <w:jc w:val="both"/>
        <w:rPr>
          <w:rFonts w:ascii="Arial" w:hAnsi="Arial"/>
        </w:rPr>
      </w:pPr>
    </w:p>
    <w:p w14:paraId="66119366" w14:textId="338DCAEA" w:rsidR="00455369" w:rsidRDefault="006721A8">
      <w:pPr>
        <w:spacing w:beforeAutospacing="1" w:afterAutospacing="1"/>
        <w:outlineLvl w:val="2"/>
        <w:rPr>
          <w:rFonts w:ascii="Arial" w:hAnsi="Arial" w:cs="Arial"/>
          <w:b/>
          <w:bCs/>
          <w:sz w:val="22"/>
          <w:szCs w:val="24"/>
          <w:lang w:val="en-PH" w:eastAsia="en-PH"/>
        </w:rPr>
      </w:pPr>
      <w:r>
        <w:rPr>
          <w:rFonts w:ascii="Arial" w:hAnsi="Arial" w:cs="Arial"/>
          <w:b/>
          <w:bCs/>
          <w:sz w:val="22"/>
          <w:szCs w:val="24"/>
          <w:lang w:val="en-PH" w:eastAsia="en-PH"/>
        </w:rPr>
        <w:t>Table.1: Financial Literacy in Terms of Saving</w:t>
      </w:r>
    </w:p>
    <w:tbl>
      <w:tblPr>
        <w:tblStyle w:val="TableGrid1"/>
        <w:tblW w:w="8616" w:type="dxa"/>
        <w:tblLayout w:type="fixed"/>
        <w:tblLook w:val="04A0" w:firstRow="1" w:lastRow="0" w:firstColumn="1" w:lastColumn="0" w:noHBand="0" w:noVBand="1"/>
      </w:tblPr>
      <w:tblGrid>
        <w:gridCol w:w="602"/>
        <w:gridCol w:w="5266"/>
        <w:gridCol w:w="809"/>
        <w:gridCol w:w="1939"/>
      </w:tblGrid>
      <w:tr w:rsidR="00455369" w14:paraId="33A33F3B" w14:textId="77777777">
        <w:tc>
          <w:tcPr>
            <w:tcW w:w="602" w:type="dxa"/>
          </w:tcPr>
          <w:p w14:paraId="4B509701" w14:textId="77777777" w:rsidR="00455369" w:rsidRDefault="006721A8">
            <w:pPr>
              <w:suppressAutoHyphens w:val="0"/>
              <w:jc w:val="center"/>
              <w:rPr>
                <w:rFonts w:ascii="Arial" w:hAnsi="Arial" w:cs="Arial"/>
                <w:b/>
                <w:bCs/>
                <w:szCs w:val="24"/>
                <w:lang w:eastAsia="en-PH"/>
              </w:rPr>
            </w:pPr>
            <w:r>
              <w:rPr>
                <w:rFonts w:ascii="Arial" w:eastAsia="Calibri" w:hAnsi="Arial" w:cs="Arial"/>
                <w:b/>
                <w:bCs/>
                <w:szCs w:val="24"/>
                <w:lang w:eastAsia="en-PH"/>
              </w:rPr>
              <w:t>No.</w:t>
            </w:r>
          </w:p>
        </w:tc>
        <w:tc>
          <w:tcPr>
            <w:tcW w:w="5266" w:type="dxa"/>
          </w:tcPr>
          <w:p w14:paraId="6DBDF13B" w14:textId="77777777" w:rsidR="00455369" w:rsidRDefault="006721A8">
            <w:pPr>
              <w:suppressAutoHyphens w:val="0"/>
              <w:jc w:val="center"/>
              <w:rPr>
                <w:rFonts w:ascii="Arial" w:hAnsi="Arial" w:cs="Arial"/>
                <w:b/>
                <w:bCs/>
                <w:szCs w:val="24"/>
                <w:lang w:eastAsia="en-PH"/>
              </w:rPr>
            </w:pPr>
            <w:r>
              <w:rPr>
                <w:rFonts w:ascii="Arial" w:eastAsia="Calibri" w:hAnsi="Arial" w:cs="Arial"/>
                <w:b/>
                <w:bCs/>
                <w:szCs w:val="24"/>
                <w:lang w:eastAsia="en-PH"/>
              </w:rPr>
              <w:t>Statement</w:t>
            </w:r>
          </w:p>
        </w:tc>
        <w:tc>
          <w:tcPr>
            <w:tcW w:w="809" w:type="dxa"/>
          </w:tcPr>
          <w:p w14:paraId="2ADC458B" w14:textId="77777777" w:rsidR="00455369" w:rsidRDefault="006721A8">
            <w:pPr>
              <w:suppressAutoHyphens w:val="0"/>
              <w:jc w:val="center"/>
              <w:rPr>
                <w:rFonts w:ascii="Arial" w:hAnsi="Arial" w:cs="Arial"/>
                <w:b/>
                <w:bCs/>
                <w:szCs w:val="24"/>
                <w:lang w:eastAsia="en-PH"/>
              </w:rPr>
            </w:pPr>
            <w:r>
              <w:rPr>
                <w:rFonts w:ascii="Arial" w:eastAsia="Calibri" w:hAnsi="Arial" w:cs="Arial"/>
                <w:b/>
                <w:bCs/>
                <w:szCs w:val="24"/>
                <w:lang w:eastAsia="en-PH"/>
              </w:rPr>
              <w:t>WM</w:t>
            </w:r>
          </w:p>
        </w:tc>
        <w:tc>
          <w:tcPr>
            <w:tcW w:w="1939" w:type="dxa"/>
          </w:tcPr>
          <w:p w14:paraId="5F64A88E" w14:textId="77777777" w:rsidR="00455369" w:rsidRDefault="006721A8">
            <w:pPr>
              <w:suppressAutoHyphens w:val="0"/>
              <w:jc w:val="center"/>
              <w:rPr>
                <w:rFonts w:ascii="Arial" w:hAnsi="Arial" w:cs="Arial"/>
                <w:b/>
                <w:bCs/>
                <w:szCs w:val="24"/>
                <w:lang w:eastAsia="en-PH"/>
              </w:rPr>
            </w:pPr>
            <w:r>
              <w:rPr>
                <w:rFonts w:ascii="Arial" w:eastAsia="Calibri" w:hAnsi="Arial" w:cs="Arial"/>
                <w:b/>
                <w:bCs/>
                <w:szCs w:val="24"/>
                <w:lang w:eastAsia="en-PH"/>
              </w:rPr>
              <w:t>Interpretation</w:t>
            </w:r>
          </w:p>
        </w:tc>
      </w:tr>
      <w:tr w:rsidR="00455369" w14:paraId="1F2968B1" w14:textId="77777777">
        <w:tc>
          <w:tcPr>
            <w:tcW w:w="602" w:type="dxa"/>
          </w:tcPr>
          <w:p w14:paraId="18BD86A3"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1</w:t>
            </w:r>
          </w:p>
        </w:tc>
        <w:tc>
          <w:tcPr>
            <w:tcW w:w="5266" w:type="dxa"/>
          </w:tcPr>
          <w:p w14:paraId="39E2EAA4"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 xml:space="preserve">Saving money is an important part of my </w:t>
            </w:r>
            <w:r>
              <w:rPr>
                <w:rFonts w:ascii="Arial" w:eastAsia="Calibri" w:hAnsi="Arial" w:cs="Arial"/>
                <w:szCs w:val="24"/>
                <w:lang w:eastAsia="en-PH"/>
              </w:rPr>
              <w:t>financial plan.</w:t>
            </w:r>
          </w:p>
        </w:tc>
        <w:tc>
          <w:tcPr>
            <w:tcW w:w="809" w:type="dxa"/>
          </w:tcPr>
          <w:p w14:paraId="51505DBC"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3.53</w:t>
            </w:r>
          </w:p>
        </w:tc>
        <w:tc>
          <w:tcPr>
            <w:tcW w:w="1939" w:type="dxa"/>
          </w:tcPr>
          <w:p w14:paraId="1328CC11"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Moderately Literate</w:t>
            </w:r>
          </w:p>
        </w:tc>
      </w:tr>
      <w:tr w:rsidR="00455369" w14:paraId="7DFDAC12" w14:textId="77777777">
        <w:tc>
          <w:tcPr>
            <w:tcW w:w="602" w:type="dxa"/>
          </w:tcPr>
          <w:p w14:paraId="12A210D7"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2</w:t>
            </w:r>
          </w:p>
        </w:tc>
        <w:tc>
          <w:tcPr>
            <w:tcW w:w="5266" w:type="dxa"/>
          </w:tcPr>
          <w:p w14:paraId="6E6CC6F8"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I consistently save a portion of my income.</w:t>
            </w:r>
          </w:p>
        </w:tc>
        <w:tc>
          <w:tcPr>
            <w:tcW w:w="809" w:type="dxa"/>
          </w:tcPr>
          <w:p w14:paraId="5E1A0124"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4.16</w:t>
            </w:r>
          </w:p>
        </w:tc>
        <w:tc>
          <w:tcPr>
            <w:tcW w:w="1939" w:type="dxa"/>
          </w:tcPr>
          <w:p w14:paraId="26AAB565"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Highly Literate</w:t>
            </w:r>
          </w:p>
        </w:tc>
      </w:tr>
      <w:tr w:rsidR="00455369" w14:paraId="511DB6EA" w14:textId="77777777">
        <w:tc>
          <w:tcPr>
            <w:tcW w:w="602" w:type="dxa"/>
          </w:tcPr>
          <w:p w14:paraId="07BF1A37"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lastRenderedPageBreak/>
              <w:t>3</w:t>
            </w:r>
          </w:p>
        </w:tc>
        <w:tc>
          <w:tcPr>
            <w:tcW w:w="5266" w:type="dxa"/>
          </w:tcPr>
          <w:p w14:paraId="495D6435"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I am confident in my ability to reach my savings goals.</w:t>
            </w:r>
          </w:p>
        </w:tc>
        <w:tc>
          <w:tcPr>
            <w:tcW w:w="809" w:type="dxa"/>
          </w:tcPr>
          <w:p w14:paraId="1EDA0FE3"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4.14</w:t>
            </w:r>
          </w:p>
        </w:tc>
        <w:tc>
          <w:tcPr>
            <w:tcW w:w="1939" w:type="dxa"/>
          </w:tcPr>
          <w:p w14:paraId="2EA027A5"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Highly Literate</w:t>
            </w:r>
          </w:p>
        </w:tc>
      </w:tr>
      <w:tr w:rsidR="00455369" w14:paraId="0FFF1160" w14:textId="77777777">
        <w:tc>
          <w:tcPr>
            <w:tcW w:w="602" w:type="dxa"/>
          </w:tcPr>
          <w:p w14:paraId="7BFEFDE7"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4</w:t>
            </w:r>
          </w:p>
        </w:tc>
        <w:tc>
          <w:tcPr>
            <w:tcW w:w="5266" w:type="dxa"/>
          </w:tcPr>
          <w:p w14:paraId="005F9164"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I have a clear understanding of the different savings options av</w:t>
            </w:r>
            <w:r>
              <w:rPr>
                <w:rFonts w:ascii="Arial" w:eastAsia="Calibri" w:hAnsi="Arial" w:cs="Arial"/>
                <w:szCs w:val="24"/>
                <w:lang w:eastAsia="en-PH"/>
              </w:rPr>
              <w:t>ailable.</w:t>
            </w:r>
          </w:p>
        </w:tc>
        <w:tc>
          <w:tcPr>
            <w:tcW w:w="809" w:type="dxa"/>
          </w:tcPr>
          <w:p w14:paraId="6D595037"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4.19</w:t>
            </w:r>
          </w:p>
        </w:tc>
        <w:tc>
          <w:tcPr>
            <w:tcW w:w="1939" w:type="dxa"/>
          </w:tcPr>
          <w:p w14:paraId="1667323D"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Highly Literate</w:t>
            </w:r>
          </w:p>
        </w:tc>
      </w:tr>
      <w:tr w:rsidR="00455369" w14:paraId="55510F42" w14:textId="77777777">
        <w:tc>
          <w:tcPr>
            <w:tcW w:w="602" w:type="dxa"/>
          </w:tcPr>
          <w:p w14:paraId="474A40BA"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5</w:t>
            </w:r>
          </w:p>
        </w:tc>
        <w:tc>
          <w:tcPr>
            <w:tcW w:w="5266" w:type="dxa"/>
          </w:tcPr>
          <w:p w14:paraId="06A209E6"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I regularly track and monitor my expenses to support my savings efforts.</w:t>
            </w:r>
          </w:p>
        </w:tc>
        <w:tc>
          <w:tcPr>
            <w:tcW w:w="809" w:type="dxa"/>
          </w:tcPr>
          <w:p w14:paraId="1162665E"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4.19</w:t>
            </w:r>
          </w:p>
        </w:tc>
        <w:tc>
          <w:tcPr>
            <w:tcW w:w="1939" w:type="dxa"/>
          </w:tcPr>
          <w:p w14:paraId="06FDE544"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Highly Literate</w:t>
            </w:r>
          </w:p>
        </w:tc>
      </w:tr>
      <w:tr w:rsidR="00455369" w14:paraId="0F722D8A" w14:textId="77777777">
        <w:tc>
          <w:tcPr>
            <w:tcW w:w="602" w:type="dxa"/>
          </w:tcPr>
          <w:p w14:paraId="21C3419A"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6</w:t>
            </w:r>
          </w:p>
        </w:tc>
        <w:tc>
          <w:tcPr>
            <w:tcW w:w="5266" w:type="dxa"/>
          </w:tcPr>
          <w:p w14:paraId="5AB876A1"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Saving money gives me a sense of financial security and peace of mind.</w:t>
            </w:r>
          </w:p>
        </w:tc>
        <w:tc>
          <w:tcPr>
            <w:tcW w:w="809" w:type="dxa"/>
          </w:tcPr>
          <w:p w14:paraId="71ABD57A"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4.44</w:t>
            </w:r>
          </w:p>
        </w:tc>
        <w:tc>
          <w:tcPr>
            <w:tcW w:w="1939" w:type="dxa"/>
          </w:tcPr>
          <w:p w14:paraId="6829A51A"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Financially</w:t>
            </w:r>
          </w:p>
          <w:p w14:paraId="20AFB2FC"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Empowered</w:t>
            </w:r>
          </w:p>
        </w:tc>
      </w:tr>
      <w:tr w:rsidR="00455369" w14:paraId="2D0E9516" w14:textId="77777777">
        <w:tc>
          <w:tcPr>
            <w:tcW w:w="602" w:type="dxa"/>
          </w:tcPr>
          <w:p w14:paraId="2A49BF41"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7</w:t>
            </w:r>
          </w:p>
        </w:tc>
        <w:tc>
          <w:tcPr>
            <w:tcW w:w="5266" w:type="dxa"/>
          </w:tcPr>
          <w:p w14:paraId="6A3AFC53"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 xml:space="preserve">I have successfully </w:t>
            </w:r>
            <w:r>
              <w:rPr>
                <w:rFonts w:ascii="Arial" w:eastAsia="Calibri" w:hAnsi="Arial" w:cs="Arial"/>
                <w:szCs w:val="24"/>
                <w:lang w:eastAsia="en-PH"/>
              </w:rPr>
              <w:t>achieved my savings goals through consistent habits.</w:t>
            </w:r>
          </w:p>
        </w:tc>
        <w:tc>
          <w:tcPr>
            <w:tcW w:w="809" w:type="dxa"/>
          </w:tcPr>
          <w:p w14:paraId="73EEE294"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3.74</w:t>
            </w:r>
          </w:p>
        </w:tc>
        <w:tc>
          <w:tcPr>
            <w:tcW w:w="1939" w:type="dxa"/>
          </w:tcPr>
          <w:p w14:paraId="2E772D38"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Moderately Literate</w:t>
            </w:r>
          </w:p>
        </w:tc>
      </w:tr>
      <w:tr w:rsidR="00455369" w14:paraId="10A71E24" w14:textId="77777777">
        <w:tc>
          <w:tcPr>
            <w:tcW w:w="602" w:type="dxa"/>
          </w:tcPr>
          <w:p w14:paraId="237A3B5F"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8</w:t>
            </w:r>
          </w:p>
        </w:tc>
        <w:tc>
          <w:tcPr>
            <w:tcW w:w="5266" w:type="dxa"/>
          </w:tcPr>
          <w:p w14:paraId="23445ED7"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I regularly reassess and adjust my savings plan based on changes.</w:t>
            </w:r>
          </w:p>
        </w:tc>
        <w:tc>
          <w:tcPr>
            <w:tcW w:w="809" w:type="dxa"/>
          </w:tcPr>
          <w:p w14:paraId="10F721D8"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4.07</w:t>
            </w:r>
          </w:p>
        </w:tc>
        <w:tc>
          <w:tcPr>
            <w:tcW w:w="1939" w:type="dxa"/>
          </w:tcPr>
          <w:p w14:paraId="73DA16BC"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Highly Literate</w:t>
            </w:r>
          </w:p>
        </w:tc>
      </w:tr>
      <w:tr w:rsidR="00455369" w14:paraId="2E3C9055" w14:textId="77777777">
        <w:tc>
          <w:tcPr>
            <w:tcW w:w="602" w:type="dxa"/>
          </w:tcPr>
          <w:p w14:paraId="763BF7A8"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9</w:t>
            </w:r>
          </w:p>
        </w:tc>
        <w:tc>
          <w:tcPr>
            <w:tcW w:w="5266" w:type="dxa"/>
          </w:tcPr>
          <w:p w14:paraId="7598EB27"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I feel in control of my finances due to my consistent savings habits.</w:t>
            </w:r>
          </w:p>
        </w:tc>
        <w:tc>
          <w:tcPr>
            <w:tcW w:w="809" w:type="dxa"/>
          </w:tcPr>
          <w:p w14:paraId="06823294"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3.98</w:t>
            </w:r>
          </w:p>
        </w:tc>
        <w:tc>
          <w:tcPr>
            <w:tcW w:w="1939" w:type="dxa"/>
          </w:tcPr>
          <w:p w14:paraId="4BDB1189"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Moderately</w:t>
            </w:r>
            <w:r>
              <w:rPr>
                <w:rFonts w:ascii="Arial" w:eastAsia="Calibri" w:hAnsi="Arial" w:cs="Arial"/>
                <w:szCs w:val="24"/>
                <w:lang w:eastAsia="en-PH"/>
              </w:rPr>
              <w:t xml:space="preserve"> Literate</w:t>
            </w:r>
          </w:p>
        </w:tc>
      </w:tr>
      <w:tr w:rsidR="00455369" w14:paraId="5984F908" w14:textId="77777777">
        <w:tc>
          <w:tcPr>
            <w:tcW w:w="602" w:type="dxa"/>
          </w:tcPr>
          <w:p w14:paraId="6479E55E"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10</w:t>
            </w:r>
          </w:p>
        </w:tc>
        <w:tc>
          <w:tcPr>
            <w:tcW w:w="5266" w:type="dxa"/>
          </w:tcPr>
          <w:p w14:paraId="336134D8"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Saving money is essential for achieving my financial goals.</w:t>
            </w:r>
          </w:p>
        </w:tc>
        <w:tc>
          <w:tcPr>
            <w:tcW w:w="809" w:type="dxa"/>
          </w:tcPr>
          <w:p w14:paraId="33351950"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4.49</w:t>
            </w:r>
          </w:p>
        </w:tc>
        <w:tc>
          <w:tcPr>
            <w:tcW w:w="1939" w:type="dxa"/>
          </w:tcPr>
          <w:p w14:paraId="1718D98C"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Financially</w:t>
            </w:r>
          </w:p>
          <w:p w14:paraId="2F5E8E47" w14:textId="77777777" w:rsidR="00455369" w:rsidRDefault="006721A8">
            <w:pPr>
              <w:suppressAutoHyphens w:val="0"/>
              <w:rPr>
                <w:rFonts w:ascii="Arial" w:hAnsi="Arial" w:cs="Arial"/>
                <w:szCs w:val="24"/>
                <w:lang w:eastAsia="en-PH"/>
              </w:rPr>
            </w:pPr>
            <w:r>
              <w:rPr>
                <w:rFonts w:ascii="Arial" w:eastAsia="Calibri" w:hAnsi="Arial" w:cs="Arial"/>
                <w:szCs w:val="24"/>
                <w:lang w:eastAsia="en-PH"/>
              </w:rPr>
              <w:t>Empowered</w:t>
            </w:r>
          </w:p>
        </w:tc>
      </w:tr>
      <w:tr w:rsidR="00455369" w14:paraId="0C475233" w14:textId="77777777">
        <w:tc>
          <w:tcPr>
            <w:tcW w:w="602" w:type="dxa"/>
          </w:tcPr>
          <w:p w14:paraId="5D528D6F" w14:textId="77777777" w:rsidR="00455369" w:rsidRDefault="00455369">
            <w:pPr>
              <w:suppressAutoHyphens w:val="0"/>
              <w:rPr>
                <w:rFonts w:ascii="Arial" w:hAnsi="Arial" w:cs="Arial"/>
                <w:szCs w:val="24"/>
                <w:lang w:eastAsia="en-PH"/>
              </w:rPr>
            </w:pPr>
          </w:p>
        </w:tc>
        <w:tc>
          <w:tcPr>
            <w:tcW w:w="5266" w:type="dxa"/>
          </w:tcPr>
          <w:p w14:paraId="4308B9E2" w14:textId="77777777" w:rsidR="00455369" w:rsidRDefault="006721A8">
            <w:pPr>
              <w:suppressAutoHyphens w:val="0"/>
              <w:rPr>
                <w:rFonts w:ascii="Arial" w:hAnsi="Arial" w:cs="Arial"/>
                <w:szCs w:val="24"/>
                <w:lang w:eastAsia="en-PH"/>
              </w:rPr>
            </w:pPr>
            <w:r>
              <w:rPr>
                <w:rFonts w:ascii="Arial" w:eastAsia="Calibri" w:hAnsi="Arial" w:cs="Arial"/>
                <w:b/>
                <w:bCs/>
                <w:szCs w:val="24"/>
                <w:lang w:eastAsia="en-PH"/>
              </w:rPr>
              <w:t>Weighted Mean</w:t>
            </w:r>
          </w:p>
        </w:tc>
        <w:tc>
          <w:tcPr>
            <w:tcW w:w="809" w:type="dxa"/>
          </w:tcPr>
          <w:p w14:paraId="40CFF5C8" w14:textId="77777777" w:rsidR="00455369" w:rsidRDefault="006721A8">
            <w:pPr>
              <w:suppressAutoHyphens w:val="0"/>
              <w:rPr>
                <w:rFonts w:ascii="Arial" w:hAnsi="Arial" w:cs="Arial"/>
                <w:szCs w:val="24"/>
                <w:lang w:eastAsia="en-PH"/>
              </w:rPr>
            </w:pPr>
            <w:r>
              <w:rPr>
                <w:rFonts w:ascii="Arial" w:eastAsia="Calibri" w:hAnsi="Arial" w:cs="Arial"/>
                <w:b/>
                <w:bCs/>
                <w:szCs w:val="24"/>
                <w:lang w:eastAsia="en-PH"/>
              </w:rPr>
              <w:t>4.093</w:t>
            </w:r>
          </w:p>
        </w:tc>
        <w:tc>
          <w:tcPr>
            <w:tcW w:w="1939" w:type="dxa"/>
          </w:tcPr>
          <w:p w14:paraId="0514DBF7" w14:textId="77777777" w:rsidR="00455369" w:rsidRDefault="006721A8">
            <w:pPr>
              <w:suppressAutoHyphens w:val="0"/>
              <w:rPr>
                <w:rFonts w:ascii="Arial" w:hAnsi="Arial" w:cs="Arial"/>
                <w:szCs w:val="24"/>
                <w:lang w:eastAsia="en-PH"/>
              </w:rPr>
            </w:pPr>
            <w:r>
              <w:rPr>
                <w:rFonts w:ascii="Arial" w:eastAsia="Calibri" w:hAnsi="Arial" w:cs="Arial"/>
                <w:b/>
                <w:bCs/>
                <w:szCs w:val="24"/>
                <w:lang w:eastAsia="en-PH"/>
              </w:rPr>
              <w:t>Highly Literate</w:t>
            </w:r>
          </w:p>
        </w:tc>
      </w:tr>
    </w:tbl>
    <w:p w14:paraId="27291C3C" w14:textId="77777777" w:rsidR="00455369" w:rsidRDefault="006721A8">
      <w:pPr>
        <w:spacing w:beforeAutospacing="1" w:afterAutospacing="1"/>
        <w:ind w:right="-548"/>
        <w:jc w:val="both"/>
        <w:rPr>
          <w:rFonts w:asciiTheme="minorHAnsi" w:eastAsiaTheme="minorHAnsi" w:hAnsiTheme="minorHAnsi" w:cstheme="minorBidi"/>
          <w:b/>
          <w:bCs/>
          <w:szCs w:val="22"/>
          <w:lang w:val="en-PH"/>
        </w:rPr>
      </w:pPr>
      <w:r>
        <w:rPr>
          <w:rFonts w:ascii="Arial" w:hAnsi="Arial" w:cs="Arial"/>
          <w:b/>
          <w:bCs/>
          <w:sz w:val="22"/>
          <w:szCs w:val="24"/>
          <w:lang w:val="en-PH" w:eastAsia="en-PH"/>
        </w:rPr>
        <w:t>3. 2. Financial Literacy in terms of Budgeting</w:t>
      </w:r>
    </w:p>
    <w:p w14:paraId="6F2CFBFE" w14:textId="61ADF581" w:rsidR="00455369" w:rsidRDefault="006721A8">
      <w:pPr>
        <w:spacing w:beforeAutospacing="1" w:afterAutospacing="1" w:line="276" w:lineRule="auto"/>
        <w:ind w:right="-46"/>
        <w:jc w:val="both"/>
        <w:rPr>
          <w:rFonts w:ascii="Arial" w:hAnsi="Arial" w:cs="Arial"/>
          <w:szCs w:val="24"/>
          <w:lang w:val="en-PH" w:eastAsia="en-PH"/>
        </w:rPr>
      </w:pPr>
      <w:r>
        <w:rPr>
          <w:rFonts w:ascii="Arial" w:hAnsi="Arial" w:cs="Arial"/>
          <w:szCs w:val="24"/>
          <w:lang w:val="en-PH" w:eastAsia="en-PH"/>
        </w:rPr>
        <w:t xml:space="preserve">As illustrated in </w:t>
      </w:r>
      <w:r>
        <w:rPr>
          <w:rFonts w:ascii="Arial" w:hAnsi="Arial" w:cs="Arial"/>
          <w:b/>
          <w:bCs/>
          <w:szCs w:val="24"/>
          <w:lang w:val="en-PH" w:eastAsia="en-PH"/>
        </w:rPr>
        <w:t>Table 2</w:t>
      </w:r>
      <w:r>
        <w:rPr>
          <w:rFonts w:ascii="Arial" w:hAnsi="Arial" w:cs="Arial"/>
          <w:szCs w:val="24"/>
          <w:lang w:val="en-PH" w:eastAsia="en-PH"/>
        </w:rPr>
        <w:t xml:space="preserve">, the computed overall Weighted Mean (WM) for budgeting is </w:t>
      </w:r>
      <w:r>
        <w:rPr>
          <w:rFonts w:ascii="Arial" w:hAnsi="Arial" w:cs="Arial"/>
          <w:b/>
          <w:bCs/>
          <w:szCs w:val="24"/>
          <w:lang w:val="en-PH" w:eastAsia="en-PH"/>
        </w:rPr>
        <w:t>4.304</w:t>
      </w:r>
      <w:r>
        <w:rPr>
          <w:rFonts w:ascii="Arial" w:hAnsi="Arial" w:cs="Arial"/>
          <w:szCs w:val="24"/>
          <w:lang w:val="en-PH" w:eastAsia="en-PH"/>
        </w:rPr>
        <w:t xml:space="preserve">, indicating a positive perspective toward budgeting practices among respondents. The highest-rated statement, </w:t>
      </w:r>
      <w:r>
        <w:rPr>
          <w:rFonts w:ascii="Arial" w:hAnsi="Arial" w:cs="Arial"/>
          <w:i/>
          <w:iCs/>
          <w:szCs w:val="24"/>
          <w:lang w:val="en-PH" w:eastAsia="en-PH"/>
        </w:rPr>
        <w:t>"Budgeting is an essential tool for managing personal finances effectively"</w:t>
      </w:r>
      <w:r>
        <w:rPr>
          <w:rFonts w:ascii="Arial" w:hAnsi="Arial" w:cs="Arial"/>
          <w:szCs w:val="24"/>
          <w:lang w:val="en-PH" w:eastAsia="en-PH"/>
        </w:rPr>
        <w:t>, demo</w:t>
      </w:r>
      <w:r>
        <w:rPr>
          <w:rFonts w:ascii="Arial" w:hAnsi="Arial" w:cs="Arial"/>
          <w:szCs w:val="24"/>
          <w:lang w:val="en-PH" w:eastAsia="en-PH"/>
        </w:rPr>
        <w:t xml:space="preserve">nstrates a strong consensus on the importance of budgeting as a cornerstone of effective financial management. On the other hand, the statements </w:t>
      </w:r>
      <w:r>
        <w:rPr>
          <w:rFonts w:ascii="Arial" w:hAnsi="Arial" w:cs="Arial"/>
          <w:i/>
          <w:iCs/>
          <w:szCs w:val="24"/>
          <w:lang w:val="en-PH" w:eastAsia="en-PH"/>
        </w:rPr>
        <w:t>"I consistently create and follow a budget to track my income and expenses"</w:t>
      </w:r>
      <w:r>
        <w:rPr>
          <w:rFonts w:ascii="Arial" w:hAnsi="Arial" w:cs="Arial"/>
          <w:szCs w:val="24"/>
          <w:lang w:val="en-PH" w:eastAsia="en-PH"/>
        </w:rPr>
        <w:t xml:space="preserve"> and </w:t>
      </w:r>
      <w:r>
        <w:rPr>
          <w:rFonts w:ascii="Arial" w:hAnsi="Arial" w:cs="Arial"/>
          <w:i/>
          <w:iCs/>
          <w:szCs w:val="24"/>
          <w:lang w:val="en-PH" w:eastAsia="en-PH"/>
        </w:rPr>
        <w:t xml:space="preserve">"I regularly review and adjust </w:t>
      </w:r>
      <w:r>
        <w:rPr>
          <w:rFonts w:ascii="Arial" w:hAnsi="Arial" w:cs="Arial"/>
          <w:i/>
          <w:iCs/>
          <w:szCs w:val="24"/>
          <w:lang w:val="en-PH" w:eastAsia="en-PH"/>
        </w:rPr>
        <w:t>my budget to accommodate changes in my financial situation"</w:t>
      </w:r>
      <w:r>
        <w:rPr>
          <w:rFonts w:ascii="Arial" w:hAnsi="Arial" w:cs="Arial"/>
          <w:szCs w:val="24"/>
          <w:lang w:val="en-PH" w:eastAsia="en-PH"/>
        </w:rPr>
        <w:t>, ranking lowest but still reflecting agreement among participants.</w:t>
      </w:r>
    </w:p>
    <w:p w14:paraId="2BCC2314" w14:textId="77777777" w:rsidR="00455369" w:rsidRDefault="006721A8">
      <w:pPr>
        <w:spacing w:beforeAutospacing="1" w:afterAutospacing="1" w:line="276" w:lineRule="auto"/>
        <w:ind w:right="-188"/>
        <w:jc w:val="both"/>
        <w:rPr>
          <w:rFonts w:ascii="Arial" w:hAnsi="Arial" w:cs="Arial"/>
          <w:szCs w:val="24"/>
          <w:lang w:val="en-PH" w:eastAsia="en-PH"/>
        </w:rPr>
      </w:pPr>
      <w:r>
        <w:rPr>
          <w:rFonts w:ascii="Arial" w:hAnsi="Arial" w:cs="Arial"/>
          <w:szCs w:val="24"/>
          <w:lang w:val="en-PH" w:eastAsia="en-PH"/>
        </w:rPr>
        <w:t>The results emphasize that respondents value budgeting as a critical practice for financial control and goal achievement. Stateme</w:t>
      </w:r>
      <w:r>
        <w:rPr>
          <w:rFonts w:ascii="Arial" w:hAnsi="Arial" w:cs="Arial"/>
          <w:szCs w:val="24"/>
          <w:lang w:val="en-PH" w:eastAsia="en-PH"/>
        </w:rPr>
        <w:t xml:space="preserve">nts such as </w:t>
      </w:r>
      <w:r>
        <w:rPr>
          <w:rFonts w:ascii="Arial" w:hAnsi="Arial" w:cs="Arial"/>
          <w:i/>
          <w:iCs/>
          <w:szCs w:val="24"/>
          <w:lang w:val="en-PH" w:eastAsia="en-PH"/>
        </w:rPr>
        <w:t>"I allocate specific amounts to different spending categories in my budget"</w:t>
      </w:r>
      <w:r>
        <w:rPr>
          <w:rFonts w:ascii="Arial" w:hAnsi="Arial" w:cs="Arial"/>
          <w:szCs w:val="24"/>
          <w:lang w:val="en-PH" w:eastAsia="en-PH"/>
        </w:rPr>
        <w:t xml:space="preserve"> and </w:t>
      </w:r>
      <w:r>
        <w:rPr>
          <w:rFonts w:ascii="Arial" w:hAnsi="Arial" w:cs="Arial"/>
          <w:i/>
          <w:iCs/>
          <w:szCs w:val="24"/>
          <w:lang w:val="en-PH" w:eastAsia="en-PH"/>
        </w:rPr>
        <w:t>"I have a clear understanding of my monthly income and expenses"</w:t>
      </w:r>
      <w:r>
        <w:rPr>
          <w:rFonts w:ascii="Arial" w:hAnsi="Arial" w:cs="Arial"/>
          <w:szCs w:val="24"/>
          <w:lang w:val="en-PH" w:eastAsia="en-PH"/>
        </w:rPr>
        <w:t xml:space="preserve"> highlight a practical and structured approach to managing income and expenses. However, the slightl</w:t>
      </w:r>
      <w:r>
        <w:rPr>
          <w:rFonts w:ascii="Arial" w:hAnsi="Arial" w:cs="Arial"/>
          <w:szCs w:val="24"/>
          <w:lang w:val="en-PH" w:eastAsia="en-PH"/>
        </w:rPr>
        <w:t>y lower scores for consistent tracking and revising budgets suggest opportunities for improvement in maintaining and updating financial plans over time.</w:t>
      </w:r>
    </w:p>
    <w:p w14:paraId="516A8E02" w14:textId="77777777" w:rsidR="00455369" w:rsidRDefault="006721A8">
      <w:pPr>
        <w:spacing w:beforeAutospacing="1" w:afterAutospacing="1" w:line="276" w:lineRule="auto"/>
        <w:ind w:right="-188"/>
        <w:jc w:val="both"/>
        <w:rPr>
          <w:rFonts w:ascii="Arial" w:hAnsi="Arial" w:cs="Arial"/>
          <w:szCs w:val="24"/>
          <w:lang w:val="en-PH" w:eastAsia="en-PH"/>
        </w:rPr>
      </w:pPr>
      <w:r>
        <w:rPr>
          <w:rFonts w:ascii="Arial" w:hAnsi="Arial" w:cs="Arial"/>
          <w:szCs w:val="24"/>
          <w:lang w:val="en-PH" w:eastAsia="en-PH"/>
        </w:rPr>
        <w:t>These findings indicate a solid foundation of budgeting practices, with respondents recognizing its rol</w:t>
      </w:r>
      <w:r>
        <w:rPr>
          <w:rFonts w:ascii="Arial" w:hAnsi="Arial" w:cs="Arial"/>
          <w:szCs w:val="24"/>
          <w:lang w:val="en-PH" w:eastAsia="en-PH"/>
        </w:rPr>
        <w:t>e in enhancing financial organization. Efforts to strengthen consistency in tracking and adaptability in revising budgets could further empower individuals to navigate financial challenges and changes effectively.</w:t>
      </w:r>
    </w:p>
    <w:p w14:paraId="7FD6B119" w14:textId="77777777" w:rsidR="00455369" w:rsidRDefault="006721A8">
      <w:pPr>
        <w:spacing w:beforeAutospacing="1" w:afterAutospacing="1" w:line="276" w:lineRule="auto"/>
        <w:ind w:right="-188"/>
        <w:jc w:val="both"/>
        <w:rPr>
          <w:rFonts w:ascii="Arial" w:hAnsi="Arial" w:cs="Arial"/>
          <w:szCs w:val="24"/>
          <w:lang w:val="en-PH" w:eastAsia="en-PH"/>
        </w:rPr>
      </w:pPr>
      <w:r>
        <w:rPr>
          <w:rFonts w:ascii="Arial" w:hAnsi="Arial" w:cs="Arial"/>
          <w:szCs w:val="24"/>
          <w:lang w:val="en-PH" w:eastAsia="en-PH"/>
        </w:rPr>
        <w:t>The results align with recent findings tha</w:t>
      </w:r>
      <w:r>
        <w:rPr>
          <w:rFonts w:ascii="Arial" w:hAnsi="Arial" w:cs="Arial"/>
          <w:szCs w:val="24"/>
          <w:lang w:val="en-PH" w:eastAsia="en-PH"/>
        </w:rPr>
        <w:t xml:space="preserve">t highlight the critical role of budgeting in financial literacy and stability. </w:t>
      </w:r>
      <w:proofErr w:type="spellStart"/>
      <w:r>
        <w:rPr>
          <w:rStyle w:val="Strong"/>
          <w:rFonts w:ascii="Arial" w:hAnsi="Arial" w:cs="Arial"/>
          <w:b w:val="0"/>
          <w:bCs w:val="0"/>
          <w:szCs w:val="24"/>
          <w:lang w:val="en-PH" w:eastAsia="en-PH"/>
        </w:rPr>
        <w:t>Templa</w:t>
      </w:r>
      <w:proofErr w:type="spellEnd"/>
      <w:r>
        <w:rPr>
          <w:rStyle w:val="Strong"/>
          <w:rFonts w:ascii="Arial" w:hAnsi="Arial" w:cs="Arial"/>
          <w:b w:val="0"/>
          <w:bCs w:val="0"/>
          <w:szCs w:val="24"/>
          <w:lang w:val="en-PH" w:eastAsia="en-PH"/>
        </w:rPr>
        <w:t xml:space="preserve"> et al. (2025)</w:t>
      </w:r>
      <w:r>
        <w:rPr>
          <w:rFonts w:ascii="Arial" w:hAnsi="Arial" w:cs="Arial"/>
          <w:szCs w:val="24"/>
          <w:lang w:val="en-PH" w:eastAsia="en-PH"/>
        </w:rPr>
        <w:t xml:space="preserve"> demonstrated that financial literacy significantly influences the budgeting practices of college students, showing that those with higher literacy levels consistently track expenses and allocate funds more effectively. Similarly, the </w:t>
      </w:r>
      <w:proofErr w:type="spellStart"/>
      <w:r>
        <w:rPr>
          <w:rStyle w:val="Strong"/>
          <w:rFonts w:ascii="Arial" w:hAnsi="Arial" w:cs="Arial"/>
          <w:b w:val="0"/>
          <w:bCs w:val="0"/>
          <w:szCs w:val="24"/>
          <w:lang w:val="en-PH" w:eastAsia="en-PH"/>
        </w:rPr>
        <w:t>Bangko</w:t>
      </w:r>
      <w:proofErr w:type="spellEnd"/>
      <w:r>
        <w:rPr>
          <w:rStyle w:val="Strong"/>
          <w:rFonts w:ascii="Arial" w:hAnsi="Arial" w:cs="Arial"/>
          <w:b w:val="0"/>
          <w:bCs w:val="0"/>
          <w:szCs w:val="24"/>
          <w:lang w:val="en-PH" w:eastAsia="en-PH"/>
        </w:rPr>
        <w:t xml:space="preserve"> </w:t>
      </w:r>
      <w:proofErr w:type="spellStart"/>
      <w:r>
        <w:rPr>
          <w:rStyle w:val="Strong"/>
          <w:rFonts w:ascii="Arial" w:hAnsi="Arial" w:cs="Arial"/>
          <w:b w:val="0"/>
          <w:bCs w:val="0"/>
          <w:szCs w:val="24"/>
          <w:lang w:val="en-PH" w:eastAsia="en-PH"/>
        </w:rPr>
        <w:t>Sentral</w:t>
      </w:r>
      <w:proofErr w:type="spellEnd"/>
      <w:r>
        <w:rPr>
          <w:rStyle w:val="Strong"/>
          <w:rFonts w:ascii="Arial" w:hAnsi="Arial" w:cs="Arial"/>
          <w:b w:val="0"/>
          <w:bCs w:val="0"/>
          <w:szCs w:val="24"/>
          <w:lang w:val="en-PH" w:eastAsia="en-PH"/>
        </w:rPr>
        <w:t xml:space="preserve"> ng </w:t>
      </w:r>
      <w:proofErr w:type="spellStart"/>
      <w:r>
        <w:rPr>
          <w:rStyle w:val="Strong"/>
          <w:rFonts w:ascii="Arial" w:hAnsi="Arial" w:cs="Arial"/>
          <w:b w:val="0"/>
          <w:bCs w:val="0"/>
          <w:szCs w:val="24"/>
          <w:lang w:val="en-PH" w:eastAsia="en-PH"/>
        </w:rPr>
        <w:t>Pil</w:t>
      </w:r>
      <w:r>
        <w:rPr>
          <w:rStyle w:val="Strong"/>
          <w:rFonts w:ascii="Arial" w:hAnsi="Arial" w:cs="Arial"/>
          <w:b w:val="0"/>
          <w:bCs w:val="0"/>
          <w:szCs w:val="24"/>
          <w:lang w:val="en-PH" w:eastAsia="en-PH"/>
        </w:rPr>
        <w:t>ipinas</w:t>
      </w:r>
      <w:proofErr w:type="spellEnd"/>
      <w:r>
        <w:rPr>
          <w:rStyle w:val="Strong"/>
          <w:rFonts w:ascii="Arial" w:hAnsi="Arial" w:cs="Arial"/>
          <w:b w:val="0"/>
          <w:bCs w:val="0"/>
          <w:szCs w:val="24"/>
          <w:lang w:val="en-PH" w:eastAsia="en-PH"/>
        </w:rPr>
        <w:t xml:space="preserve"> (2024)</w:t>
      </w:r>
      <w:r>
        <w:rPr>
          <w:rFonts w:ascii="Arial" w:hAnsi="Arial" w:cs="Arial"/>
          <w:szCs w:val="24"/>
          <w:lang w:val="en-PH" w:eastAsia="en-PH"/>
        </w:rPr>
        <w:t xml:space="preserve"> reported that effective budgeting and expense monitoring are essential for financial security across Filipino households, particularly among young adults, </w:t>
      </w:r>
      <w:r>
        <w:rPr>
          <w:rFonts w:ascii="Arial" w:hAnsi="Arial" w:cs="Arial"/>
          <w:szCs w:val="24"/>
          <w:lang w:val="en-PH" w:eastAsia="en-PH"/>
        </w:rPr>
        <w:lastRenderedPageBreak/>
        <w:t>and emphasized the importance of financial attitude and aptitude in shaping long-term b</w:t>
      </w:r>
      <w:r>
        <w:rPr>
          <w:rFonts w:ascii="Arial" w:hAnsi="Arial" w:cs="Arial"/>
          <w:szCs w:val="24"/>
          <w:lang w:val="en-PH" w:eastAsia="en-PH"/>
        </w:rPr>
        <w:t xml:space="preserve">ehavior. These updated studies reinforce the need to strengthen financial literacy initiatives that focus on budgeting and expense tracking, underscoring their impact on financial decision-making and overall well-being. </w:t>
      </w:r>
    </w:p>
    <w:p w14:paraId="6A550C22" w14:textId="4B2B94A2" w:rsidR="00455369" w:rsidRDefault="006721A8">
      <w:pPr>
        <w:spacing w:beforeAutospacing="1" w:afterAutospacing="1"/>
        <w:outlineLvl w:val="2"/>
        <w:rPr>
          <w:rFonts w:ascii="Arial" w:hAnsi="Arial" w:cs="Arial"/>
          <w:b/>
          <w:bCs/>
          <w:sz w:val="22"/>
          <w:szCs w:val="27"/>
          <w:lang w:val="en-PH" w:eastAsia="en-PH"/>
        </w:rPr>
      </w:pPr>
      <w:r>
        <w:rPr>
          <w:rFonts w:ascii="Arial" w:hAnsi="Arial" w:cs="Arial"/>
          <w:b/>
          <w:bCs/>
          <w:sz w:val="22"/>
          <w:szCs w:val="27"/>
          <w:lang w:val="en-PH" w:eastAsia="en-PH"/>
        </w:rPr>
        <w:t>Table.2: Financial Literacy in Term</w:t>
      </w:r>
      <w:r>
        <w:rPr>
          <w:rFonts w:ascii="Arial" w:hAnsi="Arial" w:cs="Arial"/>
          <w:b/>
          <w:bCs/>
          <w:sz w:val="22"/>
          <w:szCs w:val="27"/>
          <w:lang w:val="en-PH" w:eastAsia="en-PH"/>
        </w:rPr>
        <w:t>s of Budgeting</w:t>
      </w:r>
    </w:p>
    <w:tbl>
      <w:tblPr>
        <w:tblStyle w:val="TableGrid1"/>
        <w:tblW w:w="8504" w:type="dxa"/>
        <w:tblLayout w:type="fixed"/>
        <w:tblLook w:val="04A0" w:firstRow="1" w:lastRow="0" w:firstColumn="1" w:lastColumn="0" w:noHBand="0" w:noVBand="1"/>
      </w:tblPr>
      <w:tblGrid>
        <w:gridCol w:w="602"/>
        <w:gridCol w:w="5350"/>
        <w:gridCol w:w="792"/>
        <w:gridCol w:w="1760"/>
      </w:tblGrid>
      <w:tr w:rsidR="00455369" w14:paraId="1B904225" w14:textId="77777777">
        <w:tc>
          <w:tcPr>
            <w:tcW w:w="602" w:type="dxa"/>
          </w:tcPr>
          <w:p w14:paraId="5BBF5E86" w14:textId="77777777" w:rsidR="00455369" w:rsidRDefault="006721A8">
            <w:pPr>
              <w:suppressAutoHyphens w:val="0"/>
              <w:jc w:val="center"/>
              <w:rPr>
                <w:rFonts w:eastAsia="Calibri"/>
              </w:rPr>
            </w:pPr>
            <w:r>
              <w:rPr>
                <w:rFonts w:ascii="Arial" w:eastAsia="Calibri" w:hAnsi="Arial" w:cs="Arial"/>
                <w:b/>
                <w:bCs/>
                <w:lang w:eastAsia="en-PH"/>
              </w:rPr>
              <w:t>No.</w:t>
            </w:r>
          </w:p>
        </w:tc>
        <w:tc>
          <w:tcPr>
            <w:tcW w:w="5350" w:type="dxa"/>
          </w:tcPr>
          <w:p w14:paraId="579A2347" w14:textId="77777777" w:rsidR="00455369" w:rsidRDefault="006721A8">
            <w:pPr>
              <w:suppressAutoHyphens w:val="0"/>
              <w:jc w:val="center"/>
              <w:rPr>
                <w:rFonts w:eastAsia="Calibri"/>
              </w:rPr>
            </w:pPr>
            <w:r>
              <w:rPr>
                <w:rFonts w:ascii="Arial" w:eastAsia="Calibri" w:hAnsi="Arial" w:cs="Arial"/>
                <w:b/>
                <w:bCs/>
                <w:lang w:eastAsia="en-PH"/>
              </w:rPr>
              <w:t>Statement</w:t>
            </w:r>
          </w:p>
        </w:tc>
        <w:tc>
          <w:tcPr>
            <w:tcW w:w="792" w:type="dxa"/>
          </w:tcPr>
          <w:p w14:paraId="4F484A83" w14:textId="77777777" w:rsidR="00455369" w:rsidRDefault="006721A8">
            <w:pPr>
              <w:suppressAutoHyphens w:val="0"/>
              <w:jc w:val="center"/>
              <w:rPr>
                <w:rFonts w:eastAsia="Calibri"/>
              </w:rPr>
            </w:pPr>
            <w:r>
              <w:rPr>
                <w:rFonts w:ascii="Arial" w:eastAsia="Calibri" w:hAnsi="Arial" w:cs="Arial"/>
                <w:b/>
                <w:bCs/>
                <w:lang w:eastAsia="en-PH"/>
              </w:rPr>
              <w:t>WM</w:t>
            </w:r>
          </w:p>
        </w:tc>
        <w:tc>
          <w:tcPr>
            <w:tcW w:w="1760" w:type="dxa"/>
          </w:tcPr>
          <w:p w14:paraId="235F56C3" w14:textId="77777777" w:rsidR="00455369" w:rsidRDefault="006721A8">
            <w:pPr>
              <w:suppressAutoHyphens w:val="0"/>
              <w:jc w:val="center"/>
              <w:rPr>
                <w:rFonts w:eastAsia="Calibri"/>
              </w:rPr>
            </w:pPr>
            <w:r>
              <w:rPr>
                <w:rFonts w:ascii="Arial" w:eastAsia="Calibri" w:hAnsi="Arial" w:cs="Arial"/>
                <w:b/>
                <w:bCs/>
                <w:lang w:eastAsia="en-PH"/>
              </w:rPr>
              <w:t>Interpretation</w:t>
            </w:r>
          </w:p>
        </w:tc>
      </w:tr>
      <w:tr w:rsidR="00455369" w14:paraId="6B24AB45" w14:textId="77777777">
        <w:tc>
          <w:tcPr>
            <w:tcW w:w="602" w:type="dxa"/>
          </w:tcPr>
          <w:p w14:paraId="08464DFA" w14:textId="77777777" w:rsidR="00455369" w:rsidRDefault="006721A8">
            <w:pPr>
              <w:suppressAutoHyphens w:val="0"/>
              <w:rPr>
                <w:rFonts w:eastAsia="Calibri"/>
              </w:rPr>
            </w:pPr>
            <w:r>
              <w:rPr>
                <w:rFonts w:ascii="Arial" w:eastAsia="Calibri" w:hAnsi="Arial" w:cs="Arial"/>
                <w:lang w:eastAsia="en-PH"/>
              </w:rPr>
              <w:t>11</w:t>
            </w:r>
          </w:p>
        </w:tc>
        <w:tc>
          <w:tcPr>
            <w:tcW w:w="5350" w:type="dxa"/>
          </w:tcPr>
          <w:p w14:paraId="0C2A1CB5" w14:textId="77777777" w:rsidR="00455369" w:rsidRDefault="006721A8">
            <w:pPr>
              <w:suppressAutoHyphens w:val="0"/>
              <w:rPr>
                <w:rFonts w:eastAsia="Calibri"/>
              </w:rPr>
            </w:pPr>
            <w:r>
              <w:rPr>
                <w:rFonts w:ascii="Arial" w:eastAsia="Calibri" w:hAnsi="Arial" w:cs="Arial"/>
                <w:lang w:eastAsia="en-PH"/>
              </w:rPr>
              <w:t>Budgeting is an essential tool for managing personal finances effectively.</w:t>
            </w:r>
          </w:p>
        </w:tc>
        <w:tc>
          <w:tcPr>
            <w:tcW w:w="792" w:type="dxa"/>
          </w:tcPr>
          <w:p w14:paraId="469BF7A9" w14:textId="77777777" w:rsidR="00455369" w:rsidRDefault="006721A8">
            <w:pPr>
              <w:suppressAutoHyphens w:val="0"/>
              <w:rPr>
                <w:rFonts w:eastAsia="Calibri"/>
              </w:rPr>
            </w:pPr>
            <w:r>
              <w:rPr>
                <w:rFonts w:ascii="Arial" w:eastAsia="Calibri" w:hAnsi="Arial" w:cs="Arial"/>
                <w:lang w:eastAsia="en-PH"/>
              </w:rPr>
              <w:t>4.65</w:t>
            </w:r>
          </w:p>
        </w:tc>
        <w:tc>
          <w:tcPr>
            <w:tcW w:w="1760" w:type="dxa"/>
          </w:tcPr>
          <w:p w14:paraId="6878F92A" w14:textId="77777777" w:rsidR="00455369" w:rsidRDefault="006721A8">
            <w:pPr>
              <w:suppressAutoHyphens w:val="0"/>
              <w:rPr>
                <w:rFonts w:eastAsia="Calibri"/>
              </w:rPr>
            </w:pPr>
            <w:r>
              <w:rPr>
                <w:rFonts w:ascii="Arial" w:eastAsia="Calibri" w:hAnsi="Arial" w:cs="Arial"/>
                <w:lang w:eastAsia="en-PH"/>
              </w:rPr>
              <w:t>Financially</w:t>
            </w:r>
          </w:p>
          <w:p w14:paraId="03FBBA3F" w14:textId="77777777" w:rsidR="00455369" w:rsidRDefault="006721A8">
            <w:pPr>
              <w:suppressAutoHyphens w:val="0"/>
              <w:rPr>
                <w:rFonts w:eastAsia="Calibri"/>
              </w:rPr>
            </w:pPr>
            <w:r>
              <w:rPr>
                <w:rFonts w:ascii="Arial" w:eastAsia="Calibri" w:hAnsi="Arial" w:cs="Arial"/>
                <w:lang w:eastAsia="en-PH"/>
              </w:rPr>
              <w:t>Empowered</w:t>
            </w:r>
          </w:p>
        </w:tc>
      </w:tr>
      <w:tr w:rsidR="00455369" w14:paraId="2E3B713F" w14:textId="77777777">
        <w:tc>
          <w:tcPr>
            <w:tcW w:w="602" w:type="dxa"/>
          </w:tcPr>
          <w:p w14:paraId="78CB7298" w14:textId="77777777" w:rsidR="00455369" w:rsidRDefault="006721A8">
            <w:pPr>
              <w:suppressAutoHyphens w:val="0"/>
              <w:rPr>
                <w:rFonts w:eastAsia="Calibri"/>
              </w:rPr>
            </w:pPr>
            <w:r>
              <w:rPr>
                <w:rFonts w:ascii="Arial" w:eastAsia="Calibri" w:hAnsi="Arial" w:cs="Arial"/>
                <w:lang w:eastAsia="en-PH"/>
              </w:rPr>
              <w:t>12</w:t>
            </w:r>
          </w:p>
        </w:tc>
        <w:tc>
          <w:tcPr>
            <w:tcW w:w="5350" w:type="dxa"/>
          </w:tcPr>
          <w:p w14:paraId="2FF82D3A" w14:textId="77777777" w:rsidR="00455369" w:rsidRDefault="006721A8">
            <w:pPr>
              <w:suppressAutoHyphens w:val="0"/>
              <w:rPr>
                <w:rFonts w:eastAsia="Calibri"/>
              </w:rPr>
            </w:pPr>
            <w:r>
              <w:rPr>
                <w:rFonts w:ascii="Arial" w:eastAsia="Calibri" w:hAnsi="Arial" w:cs="Arial"/>
                <w:lang w:eastAsia="en-PH"/>
              </w:rPr>
              <w:t>I consistently create and follow a budget to track my income and expenses.</w:t>
            </w:r>
          </w:p>
        </w:tc>
        <w:tc>
          <w:tcPr>
            <w:tcW w:w="792" w:type="dxa"/>
          </w:tcPr>
          <w:p w14:paraId="5EEBD539" w14:textId="77777777" w:rsidR="00455369" w:rsidRDefault="006721A8">
            <w:pPr>
              <w:suppressAutoHyphens w:val="0"/>
              <w:rPr>
                <w:rFonts w:eastAsia="Calibri"/>
              </w:rPr>
            </w:pPr>
            <w:r>
              <w:rPr>
                <w:rFonts w:ascii="Arial" w:eastAsia="Calibri" w:hAnsi="Arial" w:cs="Arial"/>
                <w:lang w:eastAsia="en-PH"/>
              </w:rPr>
              <w:t>4.19</w:t>
            </w:r>
          </w:p>
        </w:tc>
        <w:tc>
          <w:tcPr>
            <w:tcW w:w="1760" w:type="dxa"/>
          </w:tcPr>
          <w:p w14:paraId="185FCCAB" w14:textId="77777777" w:rsidR="00455369" w:rsidRDefault="006721A8">
            <w:pPr>
              <w:suppressAutoHyphens w:val="0"/>
              <w:rPr>
                <w:rFonts w:eastAsia="Calibri"/>
              </w:rPr>
            </w:pPr>
            <w:r>
              <w:rPr>
                <w:rFonts w:ascii="Arial" w:eastAsia="Calibri" w:hAnsi="Arial" w:cs="Arial"/>
                <w:lang w:eastAsia="en-PH"/>
              </w:rPr>
              <w:t>Highly Literate</w:t>
            </w:r>
          </w:p>
        </w:tc>
      </w:tr>
      <w:tr w:rsidR="00455369" w14:paraId="3C1E6197" w14:textId="77777777">
        <w:tc>
          <w:tcPr>
            <w:tcW w:w="602" w:type="dxa"/>
          </w:tcPr>
          <w:p w14:paraId="39744F69" w14:textId="77777777" w:rsidR="00455369" w:rsidRDefault="006721A8">
            <w:pPr>
              <w:suppressAutoHyphens w:val="0"/>
              <w:rPr>
                <w:rFonts w:eastAsia="Calibri"/>
              </w:rPr>
            </w:pPr>
            <w:r>
              <w:rPr>
                <w:rFonts w:ascii="Arial" w:eastAsia="Calibri" w:hAnsi="Arial" w:cs="Arial"/>
                <w:lang w:eastAsia="en-PH"/>
              </w:rPr>
              <w:t>13</w:t>
            </w:r>
          </w:p>
        </w:tc>
        <w:tc>
          <w:tcPr>
            <w:tcW w:w="5350" w:type="dxa"/>
          </w:tcPr>
          <w:p w14:paraId="3E173A99" w14:textId="77777777" w:rsidR="00455369" w:rsidRDefault="006721A8">
            <w:pPr>
              <w:suppressAutoHyphens w:val="0"/>
              <w:rPr>
                <w:rFonts w:eastAsia="Calibri"/>
              </w:rPr>
            </w:pPr>
            <w:r>
              <w:rPr>
                <w:rFonts w:ascii="Arial" w:eastAsia="Calibri" w:hAnsi="Arial" w:cs="Arial"/>
                <w:lang w:eastAsia="en-PH"/>
              </w:rPr>
              <w:t>I have a clear understanding of my monthly income and expenses.</w:t>
            </w:r>
          </w:p>
        </w:tc>
        <w:tc>
          <w:tcPr>
            <w:tcW w:w="792" w:type="dxa"/>
          </w:tcPr>
          <w:p w14:paraId="1C2FD60D" w14:textId="77777777" w:rsidR="00455369" w:rsidRDefault="006721A8">
            <w:pPr>
              <w:suppressAutoHyphens w:val="0"/>
              <w:rPr>
                <w:rFonts w:eastAsia="Calibri"/>
              </w:rPr>
            </w:pPr>
            <w:r>
              <w:rPr>
                <w:rFonts w:ascii="Arial" w:eastAsia="Calibri" w:hAnsi="Arial" w:cs="Arial"/>
                <w:lang w:eastAsia="en-PH"/>
              </w:rPr>
              <w:t>4.23</w:t>
            </w:r>
          </w:p>
        </w:tc>
        <w:tc>
          <w:tcPr>
            <w:tcW w:w="1760" w:type="dxa"/>
          </w:tcPr>
          <w:p w14:paraId="72337BB9" w14:textId="77777777" w:rsidR="00455369" w:rsidRDefault="006721A8">
            <w:pPr>
              <w:suppressAutoHyphens w:val="0"/>
              <w:rPr>
                <w:rFonts w:eastAsia="Calibri"/>
              </w:rPr>
            </w:pPr>
            <w:r>
              <w:rPr>
                <w:rFonts w:ascii="Arial" w:eastAsia="Calibri" w:hAnsi="Arial" w:cs="Arial"/>
                <w:lang w:eastAsia="en-PH"/>
              </w:rPr>
              <w:t>Highly Literate</w:t>
            </w:r>
          </w:p>
        </w:tc>
      </w:tr>
      <w:tr w:rsidR="00455369" w14:paraId="1AC0C582" w14:textId="77777777">
        <w:tc>
          <w:tcPr>
            <w:tcW w:w="602" w:type="dxa"/>
          </w:tcPr>
          <w:p w14:paraId="7492C195" w14:textId="77777777" w:rsidR="00455369" w:rsidRDefault="006721A8">
            <w:pPr>
              <w:suppressAutoHyphens w:val="0"/>
              <w:rPr>
                <w:rFonts w:eastAsia="Calibri"/>
              </w:rPr>
            </w:pPr>
            <w:r>
              <w:rPr>
                <w:rFonts w:ascii="Arial" w:eastAsia="Calibri" w:hAnsi="Arial" w:cs="Arial"/>
                <w:lang w:eastAsia="en-PH"/>
              </w:rPr>
              <w:t>14</w:t>
            </w:r>
          </w:p>
        </w:tc>
        <w:tc>
          <w:tcPr>
            <w:tcW w:w="5350" w:type="dxa"/>
          </w:tcPr>
          <w:p w14:paraId="3D196844" w14:textId="77777777" w:rsidR="00455369" w:rsidRDefault="006721A8">
            <w:pPr>
              <w:suppressAutoHyphens w:val="0"/>
              <w:rPr>
                <w:rFonts w:eastAsia="Calibri"/>
              </w:rPr>
            </w:pPr>
            <w:r>
              <w:rPr>
                <w:rFonts w:ascii="Arial" w:eastAsia="Calibri" w:hAnsi="Arial" w:cs="Arial"/>
                <w:lang w:eastAsia="en-PH"/>
              </w:rPr>
              <w:t>I allocate specific amounts to different spending categories in my budget.</w:t>
            </w:r>
          </w:p>
        </w:tc>
        <w:tc>
          <w:tcPr>
            <w:tcW w:w="792" w:type="dxa"/>
          </w:tcPr>
          <w:p w14:paraId="12C1CB5A" w14:textId="77777777" w:rsidR="00455369" w:rsidRDefault="006721A8">
            <w:pPr>
              <w:suppressAutoHyphens w:val="0"/>
              <w:rPr>
                <w:rFonts w:eastAsia="Calibri"/>
              </w:rPr>
            </w:pPr>
            <w:r>
              <w:rPr>
                <w:rFonts w:ascii="Arial" w:eastAsia="Calibri" w:hAnsi="Arial" w:cs="Arial"/>
                <w:lang w:eastAsia="en-PH"/>
              </w:rPr>
              <w:t>4.26</w:t>
            </w:r>
          </w:p>
        </w:tc>
        <w:tc>
          <w:tcPr>
            <w:tcW w:w="1760" w:type="dxa"/>
          </w:tcPr>
          <w:p w14:paraId="2FA2FC96" w14:textId="77777777" w:rsidR="00455369" w:rsidRDefault="006721A8">
            <w:pPr>
              <w:suppressAutoHyphens w:val="0"/>
              <w:rPr>
                <w:rFonts w:eastAsia="Calibri"/>
              </w:rPr>
            </w:pPr>
            <w:r>
              <w:rPr>
                <w:rFonts w:ascii="Arial" w:eastAsia="Calibri" w:hAnsi="Arial" w:cs="Arial"/>
                <w:lang w:eastAsia="en-PH"/>
              </w:rPr>
              <w:t>Highly Literate</w:t>
            </w:r>
          </w:p>
        </w:tc>
      </w:tr>
      <w:tr w:rsidR="00455369" w14:paraId="04B4E916" w14:textId="77777777">
        <w:tc>
          <w:tcPr>
            <w:tcW w:w="602" w:type="dxa"/>
          </w:tcPr>
          <w:p w14:paraId="7065DCD9" w14:textId="77777777" w:rsidR="00455369" w:rsidRDefault="006721A8">
            <w:pPr>
              <w:suppressAutoHyphens w:val="0"/>
              <w:rPr>
                <w:rFonts w:eastAsia="Calibri"/>
              </w:rPr>
            </w:pPr>
            <w:r>
              <w:rPr>
                <w:rFonts w:ascii="Arial" w:eastAsia="Calibri" w:hAnsi="Arial" w:cs="Arial"/>
                <w:lang w:eastAsia="en-PH"/>
              </w:rPr>
              <w:t>15</w:t>
            </w:r>
          </w:p>
        </w:tc>
        <w:tc>
          <w:tcPr>
            <w:tcW w:w="5350" w:type="dxa"/>
          </w:tcPr>
          <w:p w14:paraId="0ED65BC2" w14:textId="77777777" w:rsidR="00455369" w:rsidRDefault="006721A8">
            <w:pPr>
              <w:suppressAutoHyphens w:val="0"/>
              <w:rPr>
                <w:rFonts w:eastAsia="Calibri"/>
              </w:rPr>
            </w:pPr>
            <w:r>
              <w:rPr>
                <w:rFonts w:ascii="Arial" w:eastAsia="Calibri" w:hAnsi="Arial" w:cs="Arial"/>
                <w:lang w:eastAsia="en-PH"/>
              </w:rPr>
              <w:t xml:space="preserve">I regularly review and adjust my budget to accommodate changes in </w:t>
            </w:r>
            <w:r>
              <w:rPr>
                <w:rFonts w:ascii="Arial" w:eastAsia="Calibri" w:hAnsi="Arial" w:cs="Arial"/>
                <w:lang w:eastAsia="en-PH"/>
              </w:rPr>
              <w:t>my financial situation.</w:t>
            </w:r>
          </w:p>
        </w:tc>
        <w:tc>
          <w:tcPr>
            <w:tcW w:w="792" w:type="dxa"/>
          </w:tcPr>
          <w:p w14:paraId="508ADCBF" w14:textId="77777777" w:rsidR="00455369" w:rsidRDefault="006721A8">
            <w:pPr>
              <w:suppressAutoHyphens w:val="0"/>
              <w:rPr>
                <w:rFonts w:eastAsia="Calibri"/>
              </w:rPr>
            </w:pPr>
            <w:r>
              <w:rPr>
                <w:rFonts w:ascii="Arial" w:eastAsia="Calibri" w:hAnsi="Arial" w:cs="Arial"/>
                <w:lang w:eastAsia="en-PH"/>
              </w:rPr>
              <w:t>4.19</w:t>
            </w:r>
          </w:p>
        </w:tc>
        <w:tc>
          <w:tcPr>
            <w:tcW w:w="1760" w:type="dxa"/>
          </w:tcPr>
          <w:p w14:paraId="7A4358DC" w14:textId="77777777" w:rsidR="00455369" w:rsidRDefault="006721A8">
            <w:pPr>
              <w:suppressAutoHyphens w:val="0"/>
              <w:rPr>
                <w:rFonts w:eastAsia="Calibri"/>
              </w:rPr>
            </w:pPr>
            <w:r>
              <w:rPr>
                <w:rFonts w:ascii="Arial" w:eastAsia="Calibri" w:hAnsi="Arial" w:cs="Arial"/>
                <w:lang w:eastAsia="en-PH"/>
              </w:rPr>
              <w:t>Highly Literate</w:t>
            </w:r>
          </w:p>
        </w:tc>
      </w:tr>
      <w:tr w:rsidR="00455369" w14:paraId="600A08F1" w14:textId="77777777">
        <w:tc>
          <w:tcPr>
            <w:tcW w:w="602" w:type="dxa"/>
          </w:tcPr>
          <w:p w14:paraId="2B5E9988" w14:textId="77777777" w:rsidR="00455369" w:rsidRDefault="00455369">
            <w:pPr>
              <w:suppressAutoHyphens w:val="0"/>
              <w:rPr>
                <w:rFonts w:ascii="Arial" w:eastAsia="Calibri" w:hAnsi="Arial" w:cs="Arial"/>
                <w:lang w:eastAsia="en-PH"/>
              </w:rPr>
            </w:pPr>
          </w:p>
        </w:tc>
        <w:tc>
          <w:tcPr>
            <w:tcW w:w="5350" w:type="dxa"/>
          </w:tcPr>
          <w:p w14:paraId="6734B425" w14:textId="77777777" w:rsidR="00455369" w:rsidRDefault="006721A8">
            <w:pPr>
              <w:suppressAutoHyphens w:val="0"/>
              <w:rPr>
                <w:rFonts w:eastAsia="Calibri"/>
              </w:rPr>
            </w:pPr>
            <w:r>
              <w:rPr>
                <w:rFonts w:ascii="Arial" w:eastAsia="Calibri" w:hAnsi="Arial" w:cs="Arial"/>
                <w:b/>
                <w:bCs/>
                <w:lang w:eastAsia="en-PH"/>
              </w:rPr>
              <w:t>Weighted Mean</w:t>
            </w:r>
          </w:p>
        </w:tc>
        <w:tc>
          <w:tcPr>
            <w:tcW w:w="792" w:type="dxa"/>
          </w:tcPr>
          <w:p w14:paraId="6BEFE30E" w14:textId="77777777" w:rsidR="00455369" w:rsidRDefault="006721A8">
            <w:pPr>
              <w:suppressAutoHyphens w:val="0"/>
              <w:rPr>
                <w:rFonts w:eastAsia="Calibri"/>
              </w:rPr>
            </w:pPr>
            <w:r>
              <w:rPr>
                <w:rFonts w:ascii="Arial" w:eastAsia="Calibri" w:hAnsi="Arial" w:cs="Arial"/>
                <w:b/>
                <w:bCs/>
                <w:lang w:eastAsia="en-PH"/>
              </w:rPr>
              <w:t>4.304</w:t>
            </w:r>
          </w:p>
        </w:tc>
        <w:tc>
          <w:tcPr>
            <w:tcW w:w="1760" w:type="dxa"/>
          </w:tcPr>
          <w:p w14:paraId="6CE67456" w14:textId="77777777" w:rsidR="00455369" w:rsidRDefault="006721A8">
            <w:pPr>
              <w:suppressAutoHyphens w:val="0"/>
              <w:rPr>
                <w:rFonts w:eastAsia="Calibri"/>
              </w:rPr>
            </w:pPr>
            <w:r>
              <w:rPr>
                <w:rFonts w:ascii="Arial" w:eastAsia="Calibri" w:hAnsi="Arial" w:cs="Arial"/>
                <w:b/>
                <w:bCs/>
                <w:lang w:eastAsia="en-PH"/>
              </w:rPr>
              <w:t>Highly Literate</w:t>
            </w:r>
          </w:p>
        </w:tc>
      </w:tr>
    </w:tbl>
    <w:p w14:paraId="7C05EF92" w14:textId="77777777" w:rsidR="00455369" w:rsidRDefault="00455369">
      <w:pPr>
        <w:spacing w:after="200" w:line="276" w:lineRule="auto"/>
        <w:rPr>
          <w:rFonts w:asciiTheme="minorHAnsi" w:eastAsiaTheme="minorHAnsi" w:hAnsiTheme="minorHAnsi" w:cstheme="minorBidi"/>
          <w:sz w:val="22"/>
          <w:szCs w:val="22"/>
          <w:lang w:val="en-PH"/>
        </w:rPr>
      </w:pPr>
    </w:p>
    <w:p w14:paraId="0AC4B512" w14:textId="77777777" w:rsidR="00455369" w:rsidRDefault="006721A8">
      <w:pPr>
        <w:spacing w:after="200" w:line="276" w:lineRule="auto"/>
        <w:rPr>
          <w:rFonts w:ascii="Arial" w:eastAsiaTheme="minorHAnsi" w:hAnsi="Arial" w:cs="Arial"/>
          <w:b/>
          <w:sz w:val="22"/>
          <w:szCs w:val="22"/>
          <w:lang w:val="en-PH"/>
        </w:rPr>
      </w:pPr>
      <w:r>
        <w:rPr>
          <w:rFonts w:ascii="Arial" w:eastAsiaTheme="minorHAnsi" w:hAnsi="Arial" w:cs="Arial"/>
          <w:b/>
          <w:sz w:val="22"/>
          <w:szCs w:val="22"/>
          <w:lang w:val="en-PH"/>
        </w:rPr>
        <w:t>3.3. Financial Literacy in terms of Investing</w:t>
      </w:r>
    </w:p>
    <w:p w14:paraId="37631EEC" w14:textId="28B957FD" w:rsidR="00455369" w:rsidRDefault="006721A8">
      <w:pPr>
        <w:spacing w:beforeAutospacing="1" w:afterAutospacing="1" w:line="276" w:lineRule="auto"/>
        <w:jc w:val="both"/>
        <w:rPr>
          <w:rFonts w:ascii="Arial" w:hAnsi="Arial" w:cs="Arial"/>
          <w:lang w:val="en-PH" w:eastAsia="en-PH"/>
        </w:rPr>
      </w:pPr>
      <w:r>
        <w:rPr>
          <w:rFonts w:ascii="Arial" w:hAnsi="Arial" w:cs="Arial"/>
          <w:lang w:val="en-PH" w:eastAsia="en-PH"/>
        </w:rPr>
        <w:t xml:space="preserve">Based on the data in </w:t>
      </w:r>
      <w:r>
        <w:rPr>
          <w:rFonts w:ascii="Arial" w:hAnsi="Arial" w:cs="Arial"/>
          <w:b/>
          <w:bCs/>
          <w:lang w:val="en-PH" w:eastAsia="en-PH"/>
        </w:rPr>
        <w:t>Table 3</w:t>
      </w:r>
      <w:r>
        <w:rPr>
          <w:rFonts w:ascii="Arial" w:hAnsi="Arial" w:cs="Arial"/>
          <w:lang w:val="en-PH" w:eastAsia="en-PH"/>
        </w:rPr>
        <w:t xml:space="preserve">, the computed overall Weighted Mean (WM) for financial literacy in terms of investing is </w:t>
      </w:r>
      <w:r>
        <w:rPr>
          <w:rFonts w:ascii="Arial" w:hAnsi="Arial" w:cs="Arial"/>
          <w:b/>
          <w:bCs/>
          <w:lang w:val="en-PH" w:eastAsia="en-PH"/>
        </w:rPr>
        <w:t>3.71</w:t>
      </w:r>
      <w:r>
        <w:rPr>
          <w:rFonts w:ascii="Arial" w:hAnsi="Arial" w:cs="Arial"/>
          <w:lang w:val="en-PH" w:eastAsia="en-PH"/>
        </w:rPr>
        <w:t xml:space="preserve">, indicating that respondents generally agree on having moderate investment knowledge and practices. The highest-rated statement, </w:t>
      </w:r>
      <w:r>
        <w:rPr>
          <w:rFonts w:ascii="Arial" w:hAnsi="Arial" w:cs="Arial"/>
          <w:i/>
          <w:iCs/>
          <w:lang w:val="en-PH" w:eastAsia="en-PH"/>
        </w:rPr>
        <w:t>"I have a basic understanding of investment options"</w:t>
      </w:r>
      <w:r>
        <w:rPr>
          <w:rFonts w:ascii="Arial" w:hAnsi="Arial" w:cs="Arial"/>
          <w:lang w:val="en-PH" w:eastAsia="en-PH"/>
        </w:rPr>
        <w:t>, suggests that respondents are familiar with different investment opportu</w:t>
      </w:r>
      <w:r>
        <w:rPr>
          <w:rFonts w:ascii="Arial" w:hAnsi="Arial" w:cs="Arial"/>
          <w:lang w:val="en-PH" w:eastAsia="en-PH"/>
        </w:rPr>
        <w:t xml:space="preserve">nities available to them, which forms the foundation for making informed financial decisions. On the other hand, the lowest-rated statement, </w:t>
      </w:r>
      <w:r>
        <w:rPr>
          <w:rFonts w:ascii="Arial" w:hAnsi="Arial" w:cs="Arial"/>
          <w:i/>
          <w:iCs/>
          <w:lang w:val="en-PH" w:eastAsia="en-PH"/>
        </w:rPr>
        <w:t>"I regularly invest a portion of my income"</w:t>
      </w:r>
      <w:r>
        <w:rPr>
          <w:rFonts w:ascii="Arial" w:hAnsi="Arial" w:cs="Arial"/>
          <w:lang w:val="en-PH" w:eastAsia="en-PH"/>
        </w:rPr>
        <w:t>, highlights a need to encourage more consistent investment habits.</w:t>
      </w:r>
    </w:p>
    <w:p w14:paraId="70A62417" w14:textId="77777777" w:rsidR="00455369" w:rsidRDefault="006721A8">
      <w:pPr>
        <w:spacing w:beforeAutospacing="1" w:afterAutospacing="1" w:line="276" w:lineRule="auto"/>
        <w:jc w:val="both"/>
        <w:rPr>
          <w:rFonts w:ascii="Arial" w:hAnsi="Arial" w:cs="Arial"/>
          <w:lang w:val="en-PH" w:eastAsia="en-PH"/>
        </w:rPr>
      </w:pPr>
      <w:r>
        <w:rPr>
          <w:rFonts w:ascii="Arial" w:hAnsi="Arial" w:cs="Arial"/>
          <w:lang w:val="en-PH" w:eastAsia="en-PH"/>
        </w:rPr>
        <w:t>Resp</w:t>
      </w:r>
      <w:r>
        <w:rPr>
          <w:rFonts w:ascii="Arial" w:hAnsi="Arial" w:cs="Arial"/>
          <w:lang w:val="en-PH" w:eastAsia="en-PH"/>
        </w:rPr>
        <w:t>ondents agree moderately on their ability to understand the risks and rewards associated with investments and on having a long-term investment plan. These findings indicate a reasonable level of awareness of investment principles but reflect an opportunity</w:t>
      </w:r>
      <w:r>
        <w:rPr>
          <w:rFonts w:ascii="Arial" w:hAnsi="Arial" w:cs="Arial"/>
          <w:lang w:val="en-PH" w:eastAsia="en-PH"/>
        </w:rPr>
        <w:t xml:space="preserve"> to enhance confidence and activity in actual investing practices. Encouraging active participation in investing and providing tools for better decision-making could bridge these gaps and foster stronger financial outcomes.</w:t>
      </w:r>
    </w:p>
    <w:p w14:paraId="30C376D3" w14:textId="77777777" w:rsidR="00455369" w:rsidRDefault="006721A8">
      <w:pPr>
        <w:spacing w:beforeAutospacing="1" w:afterAutospacing="1" w:line="276" w:lineRule="auto"/>
        <w:jc w:val="both"/>
      </w:pPr>
      <w:r>
        <w:rPr>
          <w:rFonts w:ascii="Arial" w:hAnsi="Arial" w:cs="Arial"/>
          <w:lang w:val="en-PH" w:eastAsia="en-PH"/>
        </w:rPr>
        <w:t xml:space="preserve">The results are consistent with </w:t>
      </w:r>
      <w:r>
        <w:rPr>
          <w:rFonts w:ascii="Arial" w:hAnsi="Arial" w:cs="Arial"/>
          <w:lang w:val="en-PH" w:eastAsia="en-PH"/>
        </w:rPr>
        <w:t xml:space="preserve">more recent findings that highlight the importance of financial literacy in investment decision-making. </w:t>
      </w:r>
      <w:proofErr w:type="spellStart"/>
      <w:r>
        <w:rPr>
          <w:rStyle w:val="Strong"/>
          <w:rFonts w:ascii="Arial" w:hAnsi="Arial" w:cs="Arial"/>
          <w:b w:val="0"/>
          <w:bCs w:val="0"/>
          <w:lang w:val="en-PH" w:eastAsia="en-PH"/>
        </w:rPr>
        <w:t>Nalaza-Costuna</w:t>
      </w:r>
      <w:proofErr w:type="spellEnd"/>
      <w:r>
        <w:rPr>
          <w:rStyle w:val="Strong"/>
          <w:rFonts w:ascii="Arial" w:hAnsi="Arial" w:cs="Arial"/>
          <w:b w:val="0"/>
          <w:bCs w:val="0"/>
          <w:lang w:val="en-PH" w:eastAsia="en-PH"/>
        </w:rPr>
        <w:t xml:space="preserve"> (2023)</w:t>
      </w:r>
      <w:r>
        <w:rPr>
          <w:rFonts w:ascii="Arial" w:hAnsi="Arial" w:cs="Arial"/>
          <w:lang w:val="en-PH" w:eastAsia="en-PH"/>
        </w:rPr>
        <w:t xml:space="preserve"> confirmed strong correlations between teachers’ financial literacy and their capability in budgeting, saving, and investing, emphasizing the need for structured programs to strengthen investment knowledge. Similarly, </w:t>
      </w:r>
      <w:r>
        <w:rPr>
          <w:rStyle w:val="Strong"/>
          <w:rFonts w:ascii="Arial" w:hAnsi="Arial" w:cs="Arial"/>
          <w:b w:val="0"/>
          <w:bCs w:val="0"/>
          <w:lang w:val="en-PH" w:eastAsia="en-PH"/>
        </w:rPr>
        <w:t>Vidal-</w:t>
      </w:r>
      <w:proofErr w:type="spellStart"/>
      <w:r>
        <w:rPr>
          <w:rStyle w:val="Strong"/>
          <w:rFonts w:ascii="Arial" w:hAnsi="Arial" w:cs="Arial"/>
          <w:b w:val="0"/>
          <w:bCs w:val="0"/>
          <w:lang w:val="en-PH" w:eastAsia="en-PH"/>
        </w:rPr>
        <w:t>Sarahina</w:t>
      </w:r>
      <w:proofErr w:type="spellEnd"/>
      <w:r>
        <w:rPr>
          <w:rStyle w:val="Strong"/>
          <w:rFonts w:ascii="Arial" w:hAnsi="Arial" w:cs="Arial"/>
          <w:b w:val="0"/>
          <w:bCs w:val="0"/>
          <w:lang w:val="en-PH" w:eastAsia="en-PH"/>
        </w:rPr>
        <w:t xml:space="preserve"> (2025)</w:t>
      </w:r>
      <w:r>
        <w:rPr>
          <w:rFonts w:ascii="Arial" w:hAnsi="Arial" w:cs="Arial"/>
          <w:lang w:val="en-PH" w:eastAsia="en-PH"/>
        </w:rPr>
        <w:t xml:space="preserve"> revealed that ev</w:t>
      </w:r>
      <w:r>
        <w:rPr>
          <w:rFonts w:ascii="Arial" w:hAnsi="Arial" w:cs="Arial"/>
          <w:lang w:val="en-PH" w:eastAsia="en-PH"/>
        </w:rPr>
        <w:t xml:space="preserve">en in-service teachers continue to face gaps in translating financial knowledge into consistent investment behavior, reinforcing the importance of early interventions during teacher education. In addition, </w:t>
      </w:r>
      <w:r>
        <w:rPr>
          <w:rStyle w:val="Strong"/>
          <w:rFonts w:ascii="Arial" w:hAnsi="Arial" w:cs="Arial"/>
          <w:b w:val="0"/>
          <w:bCs w:val="0"/>
          <w:lang w:val="en-PH" w:eastAsia="en-PH"/>
        </w:rPr>
        <w:t>Zerna (2024)</w:t>
      </w:r>
      <w:r>
        <w:rPr>
          <w:rFonts w:ascii="Arial" w:hAnsi="Arial" w:cs="Arial"/>
          <w:lang w:val="en-PH" w:eastAsia="en-PH"/>
        </w:rPr>
        <w:t xml:space="preserve"> found that while teachers demonstrate</w:t>
      </w:r>
      <w:r>
        <w:rPr>
          <w:rFonts w:ascii="Arial" w:hAnsi="Arial" w:cs="Arial"/>
          <w:lang w:val="en-PH" w:eastAsia="en-PH"/>
        </w:rPr>
        <w:t xml:space="preserve">d moderate literacy, their financial well-being remained </w:t>
      </w:r>
      <w:r>
        <w:rPr>
          <w:rFonts w:ascii="Arial" w:hAnsi="Arial" w:cs="Arial"/>
          <w:lang w:val="en-PH" w:eastAsia="en-PH"/>
        </w:rPr>
        <w:lastRenderedPageBreak/>
        <w:t>limited, particularly in areas of investment planning. These updated studies underscore the necessity of targeted interventions and curriculum integration to improve both understanding and active eng</w:t>
      </w:r>
      <w:r>
        <w:rPr>
          <w:rFonts w:ascii="Arial" w:hAnsi="Arial" w:cs="Arial"/>
          <w:lang w:val="en-PH" w:eastAsia="en-PH"/>
        </w:rPr>
        <w:t xml:space="preserve">agement in investing, supporting the conclusions of this research. </w:t>
      </w:r>
    </w:p>
    <w:p w14:paraId="55B248DA" w14:textId="63B8FABD" w:rsidR="00455369" w:rsidRDefault="006721A8">
      <w:pPr>
        <w:spacing w:beforeAutospacing="1" w:afterAutospacing="1"/>
        <w:outlineLvl w:val="2"/>
        <w:rPr>
          <w:rFonts w:ascii="Arial" w:hAnsi="Arial" w:cs="Arial"/>
          <w:b/>
          <w:bCs/>
          <w:sz w:val="22"/>
          <w:lang w:val="en-PH" w:eastAsia="en-PH"/>
        </w:rPr>
      </w:pPr>
      <w:r>
        <w:rPr>
          <w:rFonts w:ascii="Arial" w:hAnsi="Arial" w:cs="Arial"/>
          <w:b/>
          <w:bCs/>
          <w:sz w:val="22"/>
          <w:lang w:val="en-PH" w:eastAsia="en-PH"/>
        </w:rPr>
        <w:t>Table 3: Financial Literacy in Terms of Investing</w:t>
      </w:r>
    </w:p>
    <w:tbl>
      <w:tblPr>
        <w:tblStyle w:val="TableGrid1"/>
        <w:tblW w:w="8272" w:type="dxa"/>
        <w:tblLayout w:type="fixed"/>
        <w:tblLook w:val="04A0" w:firstRow="1" w:lastRow="0" w:firstColumn="1" w:lastColumn="0" w:noHBand="0" w:noVBand="1"/>
      </w:tblPr>
      <w:tblGrid>
        <w:gridCol w:w="603"/>
        <w:gridCol w:w="4893"/>
        <w:gridCol w:w="821"/>
        <w:gridCol w:w="1955"/>
      </w:tblGrid>
      <w:tr w:rsidR="00455369" w14:paraId="79EAFEAD" w14:textId="77777777">
        <w:tc>
          <w:tcPr>
            <w:tcW w:w="603" w:type="dxa"/>
          </w:tcPr>
          <w:p w14:paraId="33A1C8FC" w14:textId="77777777" w:rsidR="00455369" w:rsidRDefault="006721A8">
            <w:pPr>
              <w:suppressAutoHyphens w:val="0"/>
              <w:jc w:val="center"/>
              <w:rPr>
                <w:rFonts w:eastAsia="Calibri"/>
              </w:rPr>
            </w:pPr>
            <w:r>
              <w:rPr>
                <w:rFonts w:ascii="Arial" w:eastAsia="Calibri" w:hAnsi="Arial" w:cs="Arial"/>
                <w:b/>
                <w:bCs/>
                <w:lang w:eastAsia="en-PH"/>
              </w:rPr>
              <w:t>No.</w:t>
            </w:r>
          </w:p>
        </w:tc>
        <w:tc>
          <w:tcPr>
            <w:tcW w:w="4893" w:type="dxa"/>
          </w:tcPr>
          <w:p w14:paraId="60A833B3" w14:textId="77777777" w:rsidR="00455369" w:rsidRDefault="006721A8">
            <w:pPr>
              <w:suppressAutoHyphens w:val="0"/>
              <w:jc w:val="center"/>
              <w:rPr>
                <w:rFonts w:eastAsia="Calibri"/>
              </w:rPr>
            </w:pPr>
            <w:r>
              <w:rPr>
                <w:rFonts w:ascii="Arial" w:eastAsia="Calibri" w:hAnsi="Arial" w:cs="Arial"/>
                <w:b/>
                <w:bCs/>
                <w:lang w:eastAsia="en-PH"/>
              </w:rPr>
              <w:t>Statement</w:t>
            </w:r>
          </w:p>
        </w:tc>
        <w:tc>
          <w:tcPr>
            <w:tcW w:w="821" w:type="dxa"/>
          </w:tcPr>
          <w:p w14:paraId="2FD45729" w14:textId="77777777" w:rsidR="00455369" w:rsidRDefault="006721A8">
            <w:pPr>
              <w:suppressAutoHyphens w:val="0"/>
              <w:jc w:val="center"/>
              <w:rPr>
                <w:rFonts w:eastAsia="Calibri"/>
              </w:rPr>
            </w:pPr>
            <w:r>
              <w:rPr>
                <w:rFonts w:ascii="Arial" w:eastAsia="Calibri" w:hAnsi="Arial" w:cs="Arial"/>
                <w:b/>
                <w:bCs/>
                <w:lang w:eastAsia="en-PH"/>
              </w:rPr>
              <w:t>WM</w:t>
            </w:r>
          </w:p>
        </w:tc>
        <w:tc>
          <w:tcPr>
            <w:tcW w:w="1955" w:type="dxa"/>
          </w:tcPr>
          <w:p w14:paraId="00208069" w14:textId="77777777" w:rsidR="00455369" w:rsidRDefault="006721A8">
            <w:pPr>
              <w:suppressAutoHyphens w:val="0"/>
              <w:jc w:val="center"/>
              <w:rPr>
                <w:rFonts w:eastAsia="Calibri"/>
              </w:rPr>
            </w:pPr>
            <w:r>
              <w:rPr>
                <w:rFonts w:ascii="Arial" w:eastAsia="Calibri" w:hAnsi="Arial" w:cs="Arial"/>
                <w:b/>
                <w:bCs/>
                <w:lang w:eastAsia="en-PH"/>
              </w:rPr>
              <w:t>Interpretation</w:t>
            </w:r>
          </w:p>
        </w:tc>
      </w:tr>
      <w:tr w:rsidR="00455369" w14:paraId="55BF4E46" w14:textId="77777777">
        <w:tc>
          <w:tcPr>
            <w:tcW w:w="603" w:type="dxa"/>
          </w:tcPr>
          <w:p w14:paraId="47393E71" w14:textId="77777777" w:rsidR="00455369" w:rsidRDefault="006721A8">
            <w:pPr>
              <w:suppressAutoHyphens w:val="0"/>
              <w:rPr>
                <w:rFonts w:eastAsia="Calibri"/>
              </w:rPr>
            </w:pPr>
            <w:r>
              <w:rPr>
                <w:rFonts w:ascii="Arial" w:eastAsia="Calibri" w:hAnsi="Arial" w:cs="Arial"/>
                <w:lang w:eastAsia="en-PH"/>
              </w:rPr>
              <w:t>16</w:t>
            </w:r>
          </w:p>
        </w:tc>
        <w:tc>
          <w:tcPr>
            <w:tcW w:w="4893" w:type="dxa"/>
          </w:tcPr>
          <w:p w14:paraId="7A1D4632" w14:textId="77777777" w:rsidR="00455369" w:rsidRDefault="006721A8">
            <w:pPr>
              <w:suppressAutoHyphens w:val="0"/>
              <w:rPr>
                <w:rFonts w:eastAsia="Calibri"/>
              </w:rPr>
            </w:pPr>
            <w:r>
              <w:rPr>
                <w:rFonts w:ascii="Arial" w:eastAsia="Calibri" w:hAnsi="Arial" w:cs="Arial"/>
                <w:lang w:eastAsia="en-PH"/>
              </w:rPr>
              <w:t>I have a basic understanding of investment options.</w:t>
            </w:r>
          </w:p>
        </w:tc>
        <w:tc>
          <w:tcPr>
            <w:tcW w:w="821" w:type="dxa"/>
          </w:tcPr>
          <w:p w14:paraId="501AE180" w14:textId="77777777" w:rsidR="00455369" w:rsidRDefault="006721A8">
            <w:pPr>
              <w:suppressAutoHyphens w:val="0"/>
              <w:rPr>
                <w:rFonts w:eastAsia="Calibri"/>
              </w:rPr>
            </w:pPr>
            <w:r>
              <w:rPr>
                <w:rFonts w:ascii="Arial" w:eastAsia="Calibri" w:hAnsi="Arial" w:cs="Arial"/>
                <w:lang w:eastAsia="en-PH"/>
              </w:rPr>
              <w:t>3.93</w:t>
            </w:r>
          </w:p>
        </w:tc>
        <w:tc>
          <w:tcPr>
            <w:tcW w:w="1955" w:type="dxa"/>
          </w:tcPr>
          <w:p w14:paraId="3249D6B9" w14:textId="77777777" w:rsidR="00455369" w:rsidRDefault="006721A8">
            <w:pPr>
              <w:suppressAutoHyphens w:val="0"/>
              <w:rPr>
                <w:rFonts w:eastAsia="Calibri"/>
              </w:rPr>
            </w:pPr>
            <w:r>
              <w:rPr>
                <w:rFonts w:ascii="Arial" w:eastAsia="Calibri" w:hAnsi="Arial" w:cs="Arial"/>
                <w:lang w:eastAsia="en-PH"/>
              </w:rPr>
              <w:t>Highly Literate</w:t>
            </w:r>
          </w:p>
        </w:tc>
      </w:tr>
      <w:tr w:rsidR="00455369" w14:paraId="6A5F2193" w14:textId="77777777">
        <w:tc>
          <w:tcPr>
            <w:tcW w:w="603" w:type="dxa"/>
          </w:tcPr>
          <w:p w14:paraId="272AAFD1" w14:textId="77777777" w:rsidR="00455369" w:rsidRDefault="006721A8">
            <w:pPr>
              <w:suppressAutoHyphens w:val="0"/>
              <w:rPr>
                <w:rFonts w:eastAsia="Calibri"/>
              </w:rPr>
            </w:pPr>
            <w:r>
              <w:rPr>
                <w:rFonts w:ascii="Arial" w:eastAsia="Calibri" w:hAnsi="Arial" w:cs="Arial"/>
                <w:lang w:eastAsia="en-PH"/>
              </w:rPr>
              <w:t>17</w:t>
            </w:r>
          </w:p>
        </w:tc>
        <w:tc>
          <w:tcPr>
            <w:tcW w:w="4893" w:type="dxa"/>
          </w:tcPr>
          <w:p w14:paraId="2BA7BD58" w14:textId="77777777" w:rsidR="00455369" w:rsidRDefault="006721A8">
            <w:pPr>
              <w:suppressAutoHyphens w:val="0"/>
              <w:rPr>
                <w:rFonts w:eastAsia="Calibri"/>
              </w:rPr>
            </w:pPr>
            <w:r>
              <w:rPr>
                <w:rFonts w:ascii="Arial" w:eastAsia="Calibri" w:hAnsi="Arial" w:cs="Arial"/>
                <w:lang w:eastAsia="en-PH"/>
              </w:rPr>
              <w:t xml:space="preserve">I feel confident in </w:t>
            </w:r>
            <w:r>
              <w:rPr>
                <w:rFonts w:ascii="Arial" w:eastAsia="Calibri" w:hAnsi="Arial" w:cs="Arial"/>
                <w:lang w:eastAsia="en-PH"/>
              </w:rPr>
              <w:t>making investment decisions.</w:t>
            </w:r>
          </w:p>
        </w:tc>
        <w:tc>
          <w:tcPr>
            <w:tcW w:w="821" w:type="dxa"/>
          </w:tcPr>
          <w:p w14:paraId="5D179955" w14:textId="77777777" w:rsidR="00455369" w:rsidRDefault="006721A8">
            <w:pPr>
              <w:suppressAutoHyphens w:val="0"/>
              <w:rPr>
                <w:rFonts w:eastAsia="Calibri"/>
              </w:rPr>
            </w:pPr>
            <w:r>
              <w:rPr>
                <w:rFonts w:ascii="Arial" w:eastAsia="Calibri" w:hAnsi="Arial" w:cs="Arial"/>
                <w:lang w:eastAsia="en-PH"/>
              </w:rPr>
              <w:t>3.65</w:t>
            </w:r>
          </w:p>
        </w:tc>
        <w:tc>
          <w:tcPr>
            <w:tcW w:w="1955" w:type="dxa"/>
          </w:tcPr>
          <w:p w14:paraId="6D622CD7" w14:textId="77777777" w:rsidR="00455369" w:rsidRDefault="006721A8">
            <w:pPr>
              <w:suppressAutoHyphens w:val="0"/>
              <w:rPr>
                <w:rFonts w:eastAsia="Calibri"/>
              </w:rPr>
            </w:pPr>
            <w:r>
              <w:rPr>
                <w:rFonts w:ascii="Arial" w:eastAsia="Calibri" w:hAnsi="Arial" w:cs="Arial"/>
                <w:lang w:eastAsia="en-PH"/>
              </w:rPr>
              <w:t>Moderately Literate</w:t>
            </w:r>
          </w:p>
        </w:tc>
      </w:tr>
      <w:tr w:rsidR="00455369" w14:paraId="315EE6E7" w14:textId="77777777">
        <w:tc>
          <w:tcPr>
            <w:tcW w:w="603" w:type="dxa"/>
          </w:tcPr>
          <w:p w14:paraId="5E97ECC7" w14:textId="77777777" w:rsidR="00455369" w:rsidRDefault="006721A8">
            <w:pPr>
              <w:suppressAutoHyphens w:val="0"/>
              <w:rPr>
                <w:rFonts w:eastAsia="Calibri"/>
              </w:rPr>
            </w:pPr>
            <w:r>
              <w:rPr>
                <w:rFonts w:ascii="Arial" w:eastAsia="Calibri" w:hAnsi="Arial" w:cs="Arial"/>
                <w:lang w:eastAsia="en-PH"/>
              </w:rPr>
              <w:t>18</w:t>
            </w:r>
          </w:p>
        </w:tc>
        <w:tc>
          <w:tcPr>
            <w:tcW w:w="4893" w:type="dxa"/>
          </w:tcPr>
          <w:p w14:paraId="0563691C" w14:textId="77777777" w:rsidR="00455369" w:rsidRDefault="006721A8">
            <w:pPr>
              <w:suppressAutoHyphens w:val="0"/>
              <w:rPr>
                <w:rFonts w:eastAsia="Calibri"/>
              </w:rPr>
            </w:pPr>
            <w:r>
              <w:rPr>
                <w:rFonts w:ascii="Arial" w:eastAsia="Calibri" w:hAnsi="Arial" w:cs="Arial"/>
                <w:lang w:eastAsia="en-PH"/>
              </w:rPr>
              <w:t>I regularly invest a portion of my income.</w:t>
            </w:r>
          </w:p>
        </w:tc>
        <w:tc>
          <w:tcPr>
            <w:tcW w:w="821" w:type="dxa"/>
          </w:tcPr>
          <w:p w14:paraId="51C41057" w14:textId="77777777" w:rsidR="00455369" w:rsidRDefault="006721A8">
            <w:pPr>
              <w:suppressAutoHyphens w:val="0"/>
              <w:rPr>
                <w:rFonts w:eastAsia="Calibri"/>
              </w:rPr>
            </w:pPr>
            <w:r>
              <w:rPr>
                <w:rFonts w:ascii="Arial" w:eastAsia="Calibri" w:hAnsi="Arial" w:cs="Arial"/>
                <w:lang w:eastAsia="en-PH"/>
              </w:rPr>
              <w:t>3.53</w:t>
            </w:r>
          </w:p>
        </w:tc>
        <w:tc>
          <w:tcPr>
            <w:tcW w:w="1955" w:type="dxa"/>
          </w:tcPr>
          <w:p w14:paraId="69B3CA25" w14:textId="77777777" w:rsidR="00455369" w:rsidRDefault="006721A8">
            <w:pPr>
              <w:suppressAutoHyphens w:val="0"/>
              <w:rPr>
                <w:rFonts w:eastAsia="Calibri"/>
              </w:rPr>
            </w:pPr>
            <w:r>
              <w:rPr>
                <w:rFonts w:ascii="Arial" w:eastAsia="Calibri" w:hAnsi="Arial" w:cs="Arial"/>
                <w:lang w:eastAsia="en-PH"/>
              </w:rPr>
              <w:t>Moderately Literate</w:t>
            </w:r>
          </w:p>
        </w:tc>
      </w:tr>
      <w:tr w:rsidR="00455369" w14:paraId="3FFB5CEC" w14:textId="77777777">
        <w:tc>
          <w:tcPr>
            <w:tcW w:w="603" w:type="dxa"/>
          </w:tcPr>
          <w:p w14:paraId="20CCF041" w14:textId="77777777" w:rsidR="00455369" w:rsidRDefault="006721A8">
            <w:pPr>
              <w:suppressAutoHyphens w:val="0"/>
              <w:rPr>
                <w:rFonts w:eastAsia="Calibri"/>
              </w:rPr>
            </w:pPr>
            <w:r>
              <w:rPr>
                <w:rFonts w:ascii="Arial" w:eastAsia="Calibri" w:hAnsi="Arial" w:cs="Arial"/>
                <w:lang w:eastAsia="en-PH"/>
              </w:rPr>
              <w:t>19</w:t>
            </w:r>
          </w:p>
        </w:tc>
        <w:tc>
          <w:tcPr>
            <w:tcW w:w="4893" w:type="dxa"/>
          </w:tcPr>
          <w:p w14:paraId="7129BA43" w14:textId="77777777" w:rsidR="00455369" w:rsidRDefault="006721A8">
            <w:pPr>
              <w:suppressAutoHyphens w:val="0"/>
              <w:rPr>
                <w:rFonts w:eastAsia="Calibri"/>
              </w:rPr>
            </w:pPr>
            <w:r>
              <w:rPr>
                <w:rFonts w:ascii="Arial" w:eastAsia="Calibri" w:hAnsi="Arial" w:cs="Arial"/>
                <w:lang w:eastAsia="en-PH"/>
              </w:rPr>
              <w:t>I understand the risks and rewards associated with different investments.</w:t>
            </w:r>
          </w:p>
        </w:tc>
        <w:tc>
          <w:tcPr>
            <w:tcW w:w="821" w:type="dxa"/>
          </w:tcPr>
          <w:p w14:paraId="68DB9592" w14:textId="77777777" w:rsidR="00455369" w:rsidRDefault="006721A8">
            <w:pPr>
              <w:suppressAutoHyphens w:val="0"/>
              <w:rPr>
                <w:rFonts w:eastAsia="Calibri"/>
              </w:rPr>
            </w:pPr>
            <w:r>
              <w:rPr>
                <w:rFonts w:ascii="Arial" w:eastAsia="Calibri" w:hAnsi="Arial" w:cs="Arial"/>
                <w:lang w:eastAsia="en-PH"/>
              </w:rPr>
              <w:t>3.79</w:t>
            </w:r>
          </w:p>
        </w:tc>
        <w:tc>
          <w:tcPr>
            <w:tcW w:w="1955" w:type="dxa"/>
          </w:tcPr>
          <w:p w14:paraId="4B05FE58" w14:textId="77777777" w:rsidR="00455369" w:rsidRDefault="006721A8">
            <w:pPr>
              <w:suppressAutoHyphens w:val="0"/>
              <w:rPr>
                <w:rFonts w:eastAsia="Calibri"/>
              </w:rPr>
            </w:pPr>
            <w:r>
              <w:rPr>
                <w:rFonts w:ascii="Arial" w:eastAsia="Calibri" w:hAnsi="Arial" w:cs="Arial"/>
                <w:lang w:eastAsia="en-PH"/>
              </w:rPr>
              <w:t>Moderately Literate</w:t>
            </w:r>
          </w:p>
        </w:tc>
      </w:tr>
      <w:tr w:rsidR="00455369" w14:paraId="733A9844" w14:textId="77777777">
        <w:tc>
          <w:tcPr>
            <w:tcW w:w="603" w:type="dxa"/>
          </w:tcPr>
          <w:p w14:paraId="2928933E" w14:textId="77777777" w:rsidR="00455369" w:rsidRDefault="006721A8">
            <w:pPr>
              <w:suppressAutoHyphens w:val="0"/>
              <w:rPr>
                <w:rFonts w:eastAsia="Calibri"/>
              </w:rPr>
            </w:pPr>
            <w:r>
              <w:rPr>
                <w:rFonts w:ascii="Arial" w:eastAsia="Calibri" w:hAnsi="Arial" w:cs="Arial"/>
                <w:lang w:eastAsia="en-PH"/>
              </w:rPr>
              <w:t>20</w:t>
            </w:r>
          </w:p>
        </w:tc>
        <w:tc>
          <w:tcPr>
            <w:tcW w:w="4893" w:type="dxa"/>
          </w:tcPr>
          <w:p w14:paraId="14A56C45" w14:textId="77777777" w:rsidR="00455369" w:rsidRDefault="006721A8">
            <w:pPr>
              <w:suppressAutoHyphens w:val="0"/>
              <w:rPr>
                <w:rFonts w:eastAsia="Calibri"/>
              </w:rPr>
            </w:pPr>
            <w:r>
              <w:rPr>
                <w:rFonts w:ascii="Arial" w:eastAsia="Calibri" w:hAnsi="Arial" w:cs="Arial"/>
                <w:lang w:eastAsia="en-PH"/>
              </w:rPr>
              <w:t xml:space="preserve">I have a long-term </w:t>
            </w:r>
            <w:r>
              <w:rPr>
                <w:rFonts w:ascii="Arial" w:eastAsia="Calibri" w:hAnsi="Arial" w:cs="Arial"/>
                <w:lang w:eastAsia="en-PH"/>
              </w:rPr>
              <w:t>investment plan.</w:t>
            </w:r>
          </w:p>
        </w:tc>
        <w:tc>
          <w:tcPr>
            <w:tcW w:w="821" w:type="dxa"/>
          </w:tcPr>
          <w:p w14:paraId="29375621" w14:textId="77777777" w:rsidR="00455369" w:rsidRDefault="006721A8">
            <w:pPr>
              <w:suppressAutoHyphens w:val="0"/>
              <w:rPr>
                <w:rFonts w:eastAsia="Calibri"/>
              </w:rPr>
            </w:pPr>
            <w:r>
              <w:rPr>
                <w:rFonts w:ascii="Arial" w:eastAsia="Calibri" w:hAnsi="Arial" w:cs="Arial"/>
                <w:lang w:eastAsia="en-PH"/>
              </w:rPr>
              <w:t>3.65</w:t>
            </w:r>
          </w:p>
        </w:tc>
        <w:tc>
          <w:tcPr>
            <w:tcW w:w="1955" w:type="dxa"/>
          </w:tcPr>
          <w:p w14:paraId="4AEFF945" w14:textId="77777777" w:rsidR="00455369" w:rsidRDefault="006721A8">
            <w:pPr>
              <w:suppressAutoHyphens w:val="0"/>
              <w:rPr>
                <w:rFonts w:eastAsia="Calibri"/>
              </w:rPr>
            </w:pPr>
            <w:r>
              <w:rPr>
                <w:rFonts w:ascii="Arial" w:eastAsia="Calibri" w:hAnsi="Arial" w:cs="Arial"/>
                <w:lang w:eastAsia="en-PH"/>
              </w:rPr>
              <w:t>Moderately Literate</w:t>
            </w:r>
          </w:p>
        </w:tc>
      </w:tr>
      <w:tr w:rsidR="00455369" w14:paraId="24211FCB" w14:textId="77777777">
        <w:tc>
          <w:tcPr>
            <w:tcW w:w="603" w:type="dxa"/>
          </w:tcPr>
          <w:p w14:paraId="29F05E7E" w14:textId="77777777" w:rsidR="00455369" w:rsidRDefault="00455369">
            <w:pPr>
              <w:suppressAutoHyphens w:val="0"/>
              <w:rPr>
                <w:rFonts w:ascii="Arial" w:eastAsia="Calibri" w:hAnsi="Arial" w:cs="Arial"/>
                <w:lang w:eastAsia="en-PH"/>
              </w:rPr>
            </w:pPr>
          </w:p>
        </w:tc>
        <w:tc>
          <w:tcPr>
            <w:tcW w:w="4893" w:type="dxa"/>
          </w:tcPr>
          <w:p w14:paraId="0565CFEF" w14:textId="77777777" w:rsidR="00455369" w:rsidRDefault="006721A8">
            <w:pPr>
              <w:suppressAutoHyphens w:val="0"/>
              <w:rPr>
                <w:rFonts w:eastAsia="Calibri"/>
              </w:rPr>
            </w:pPr>
            <w:r>
              <w:rPr>
                <w:rFonts w:ascii="Arial" w:eastAsia="Calibri" w:hAnsi="Arial" w:cs="Arial"/>
                <w:b/>
                <w:bCs/>
                <w:lang w:eastAsia="en-PH"/>
              </w:rPr>
              <w:t>Weighted Mean</w:t>
            </w:r>
          </w:p>
        </w:tc>
        <w:tc>
          <w:tcPr>
            <w:tcW w:w="821" w:type="dxa"/>
          </w:tcPr>
          <w:p w14:paraId="2DE6B43B" w14:textId="77777777" w:rsidR="00455369" w:rsidRDefault="006721A8">
            <w:pPr>
              <w:suppressAutoHyphens w:val="0"/>
              <w:rPr>
                <w:rFonts w:eastAsia="Calibri"/>
              </w:rPr>
            </w:pPr>
            <w:r>
              <w:rPr>
                <w:rFonts w:ascii="Arial" w:eastAsia="Calibri" w:hAnsi="Arial" w:cs="Arial"/>
                <w:b/>
                <w:bCs/>
                <w:lang w:eastAsia="en-PH"/>
              </w:rPr>
              <w:t>3.71</w:t>
            </w:r>
          </w:p>
        </w:tc>
        <w:tc>
          <w:tcPr>
            <w:tcW w:w="1955" w:type="dxa"/>
          </w:tcPr>
          <w:p w14:paraId="069CFBF3" w14:textId="77777777" w:rsidR="00455369" w:rsidRDefault="006721A8">
            <w:pPr>
              <w:suppressAutoHyphens w:val="0"/>
              <w:rPr>
                <w:rFonts w:eastAsia="Calibri"/>
              </w:rPr>
            </w:pPr>
            <w:r>
              <w:rPr>
                <w:rFonts w:ascii="Arial" w:eastAsia="Calibri" w:hAnsi="Arial" w:cs="Arial"/>
                <w:b/>
                <w:bCs/>
                <w:lang w:eastAsia="en-PH"/>
              </w:rPr>
              <w:t>Moderately</w:t>
            </w:r>
          </w:p>
          <w:p w14:paraId="4F7A5BD0" w14:textId="77777777" w:rsidR="00455369" w:rsidRDefault="006721A8">
            <w:pPr>
              <w:suppressAutoHyphens w:val="0"/>
              <w:rPr>
                <w:rFonts w:eastAsia="Calibri"/>
              </w:rPr>
            </w:pPr>
            <w:r>
              <w:rPr>
                <w:rFonts w:ascii="Arial" w:eastAsia="Calibri" w:hAnsi="Arial" w:cs="Arial"/>
                <w:b/>
                <w:bCs/>
                <w:lang w:eastAsia="en-PH"/>
              </w:rPr>
              <w:t>Literate</w:t>
            </w:r>
          </w:p>
        </w:tc>
      </w:tr>
    </w:tbl>
    <w:p w14:paraId="25CD716F" w14:textId="77777777" w:rsidR="00455369" w:rsidRDefault="006721A8">
      <w:pPr>
        <w:spacing w:beforeAutospacing="1" w:afterAutospacing="1"/>
        <w:jc w:val="both"/>
        <w:rPr>
          <w:rFonts w:ascii="Arial" w:hAnsi="Arial" w:cs="Arial"/>
          <w:sz w:val="22"/>
          <w:lang w:val="en-PH" w:eastAsia="en-PH"/>
        </w:rPr>
      </w:pPr>
      <w:r>
        <w:rPr>
          <w:rFonts w:ascii="Arial" w:hAnsi="Arial" w:cs="Arial"/>
          <w:b/>
          <w:bCs/>
          <w:sz w:val="22"/>
          <w:lang w:val="en-PH" w:eastAsia="en-PH"/>
        </w:rPr>
        <w:t>3.4. Financial Literacy in terms of Debt Management</w:t>
      </w:r>
      <w:r>
        <w:rPr>
          <w:rFonts w:ascii="Arial" w:hAnsi="Arial" w:cs="Arial"/>
          <w:sz w:val="22"/>
          <w:lang w:val="en-PH" w:eastAsia="en-PH"/>
        </w:rPr>
        <w:t xml:space="preserve"> </w:t>
      </w:r>
    </w:p>
    <w:p w14:paraId="55857C20" w14:textId="1D09CCC1" w:rsidR="00455369" w:rsidRDefault="006721A8">
      <w:pPr>
        <w:spacing w:beforeAutospacing="1" w:afterAutospacing="1"/>
        <w:jc w:val="both"/>
        <w:rPr>
          <w:rFonts w:ascii="Arial" w:hAnsi="Arial" w:cs="Arial"/>
          <w:lang w:val="en-PH" w:eastAsia="en-PH"/>
        </w:rPr>
      </w:pPr>
      <w:r>
        <w:rPr>
          <w:rFonts w:ascii="Arial" w:hAnsi="Arial" w:cs="Arial"/>
          <w:lang w:val="en-PH" w:eastAsia="en-PH"/>
        </w:rPr>
        <w:t xml:space="preserve">The computed overall Weighted Mean (WM) for debt management, as seen in </w:t>
      </w:r>
      <w:r>
        <w:rPr>
          <w:rFonts w:ascii="Arial" w:hAnsi="Arial" w:cs="Arial"/>
          <w:b/>
          <w:bCs/>
          <w:lang w:val="en-PH" w:eastAsia="en-PH"/>
        </w:rPr>
        <w:t>Table.4</w:t>
      </w:r>
      <w:r>
        <w:rPr>
          <w:rFonts w:ascii="Arial" w:hAnsi="Arial" w:cs="Arial"/>
          <w:lang w:val="en-PH" w:eastAsia="en-PH"/>
        </w:rPr>
        <w:t xml:space="preserve">, is </w:t>
      </w:r>
      <w:r>
        <w:rPr>
          <w:rFonts w:ascii="Arial" w:hAnsi="Arial" w:cs="Arial"/>
          <w:b/>
          <w:bCs/>
          <w:lang w:val="en-PH" w:eastAsia="en-PH"/>
        </w:rPr>
        <w:t>3.82</w:t>
      </w:r>
      <w:r>
        <w:rPr>
          <w:rFonts w:ascii="Arial" w:hAnsi="Arial" w:cs="Arial"/>
          <w:lang w:val="en-PH" w:eastAsia="en-PH"/>
        </w:rPr>
        <w:t xml:space="preserve">, indicating that respondents generally agree on having a moderate level of financial literacy in managing debt effectively. The highest-rated statement, </w:t>
      </w:r>
      <w:r>
        <w:rPr>
          <w:rFonts w:ascii="Arial" w:hAnsi="Arial" w:cs="Arial"/>
          <w:i/>
          <w:iCs/>
          <w:lang w:val="en-PH" w:eastAsia="en-PH"/>
        </w:rPr>
        <w:t>"I avoid unnecessary debt"</w:t>
      </w:r>
      <w:r>
        <w:rPr>
          <w:rFonts w:ascii="Arial" w:hAnsi="Arial" w:cs="Arial"/>
          <w:lang w:val="en-PH" w:eastAsia="en-PH"/>
        </w:rPr>
        <w:t>, reflects a strong commitment to avoiding financial practices that may lead</w:t>
      </w:r>
      <w:r>
        <w:rPr>
          <w:rFonts w:ascii="Arial" w:hAnsi="Arial" w:cs="Arial"/>
          <w:lang w:val="en-PH" w:eastAsia="en-PH"/>
        </w:rPr>
        <w:t xml:space="preserve"> to excessive or unwarranted liabilities. This signifies a prudent approach to debt, which is a vital aspect of maintaining financial stability. On the other hand, the lowest-rated statement, </w:t>
      </w:r>
      <w:r>
        <w:rPr>
          <w:rFonts w:ascii="Arial" w:hAnsi="Arial" w:cs="Arial"/>
          <w:i/>
          <w:iCs/>
          <w:lang w:val="en-PH" w:eastAsia="en-PH"/>
        </w:rPr>
        <w:t>"I regularly review my credit report"</w:t>
      </w:r>
      <w:r>
        <w:rPr>
          <w:rFonts w:ascii="Arial" w:hAnsi="Arial" w:cs="Arial"/>
          <w:lang w:val="en-PH" w:eastAsia="en-PH"/>
        </w:rPr>
        <w:t xml:space="preserve">, highlights an area where </w:t>
      </w:r>
      <w:r>
        <w:rPr>
          <w:rFonts w:ascii="Arial" w:hAnsi="Arial" w:cs="Arial"/>
          <w:lang w:val="en-PH" w:eastAsia="en-PH"/>
        </w:rPr>
        <w:t>respondents could enhance their financial management skills by staying informed about their credit status.</w:t>
      </w:r>
    </w:p>
    <w:p w14:paraId="7CF7B86E" w14:textId="77777777" w:rsidR="00455369" w:rsidRDefault="006721A8">
      <w:pPr>
        <w:spacing w:beforeAutospacing="1" w:afterAutospacing="1"/>
        <w:jc w:val="both"/>
        <w:rPr>
          <w:rFonts w:ascii="Arial" w:hAnsi="Arial" w:cs="Arial"/>
          <w:lang w:val="en-PH" w:eastAsia="en-PH"/>
        </w:rPr>
      </w:pPr>
      <w:r>
        <w:rPr>
          <w:rFonts w:ascii="Arial" w:hAnsi="Arial" w:cs="Arial"/>
          <w:lang w:val="en-PH" w:eastAsia="en-PH"/>
        </w:rPr>
        <w:t xml:space="preserve">Respondents also express agreement with understanding credit mechanisms </w:t>
      </w:r>
      <w:r>
        <w:rPr>
          <w:rFonts w:ascii="Arial" w:hAnsi="Arial" w:cs="Arial"/>
          <w:i/>
          <w:iCs/>
          <w:lang w:val="en-PH" w:eastAsia="en-PH"/>
        </w:rPr>
        <w:t>"I have a clear understanding of how credit works"</w:t>
      </w:r>
      <w:r>
        <w:rPr>
          <w:rFonts w:ascii="Arial" w:hAnsi="Arial" w:cs="Arial"/>
          <w:lang w:val="en-PH" w:eastAsia="en-PH"/>
        </w:rPr>
        <w:t>, and having a structured p</w:t>
      </w:r>
      <w:r>
        <w:rPr>
          <w:rFonts w:ascii="Arial" w:hAnsi="Arial" w:cs="Arial"/>
          <w:lang w:val="en-PH" w:eastAsia="en-PH"/>
        </w:rPr>
        <w:t xml:space="preserve">lan to pay off debts </w:t>
      </w:r>
      <w:r>
        <w:rPr>
          <w:rFonts w:ascii="Arial" w:hAnsi="Arial" w:cs="Arial"/>
          <w:i/>
          <w:iCs/>
          <w:lang w:val="en-PH" w:eastAsia="en-PH"/>
        </w:rPr>
        <w:t>"I have a plan to pay off my existing debts"</w:t>
      </w:r>
      <w:proofErr w:type="gramStart"/>
      <w:r>
        <w:rPr>
          <w:rFonts w:ascii="Arial" w:hAnsi="Arial" w:cs="Arial"/>
          <w:lang w:val="en-PH" w:eastAsia="en-PH"/>
        </w:rPr>
        <w:t>, .</w:t>
      </w:r>
      <w:proofErr w:type="gramEnd"/>
      <w:r>
        <w:rPr>
          <w:rFonts w:ascii="Arial" w:hAnsi="Arial" w:cs="Arial"/>
          <w:lang w:val="en-PH" w:eastAsia="en-PH"/>
        </w:rPr>
        <w:t xml:space="preserve"> These findings suggest that while respondents actively work to manage and minimize debt, there is room for improvement in areas such as credit monitoring and comprehensive debt management</w:t>
      </w:r>
      <w:r>
        <w:rPr>
          <w:rFonts w:ascii="Arial" w:hAnsi="Arial" w:cs="Arial"/>
          <w:lang w:val="en-PH" w:eastAsia="en-PH"/>
        </w:rPr>
        <w:t xml:space="preserve"> strategies.</w:t>
      </w:r>
    </w:p>
    <w:p w14:paraId="466B47E0" w14:textId="77777777" w:rsidR="00455369" w:rsidRDefault="006721A8">
      <w:pPr>
        <w:spacing w:beforeAutospacing="1" w:afterAutospacing="1"/>
        <w:jc w:val="both"/>
        <w:rPr>
          <w:rFonts w:ascii="Arial" w:hAnsi="Arial" w:cs="Arial"/>
          <w:lang w:val="en-PH" w:eastAsia="en-PH"/>
        </w:rPr>
      </w:pPr>
      <w:r>
        <w:rPr>
          <w:rFonts w:ascii="Arial" w:hAnsi="Arial" w:cs="Arial"/>
          <w:lang w:val="en-PH" w:eastAsia="en-PH"/>
        </w:rPr>
        <w:t>The findings indicate a solid foundation in debt management, emphasizing responsible financial behaviors such as avoiding unnecessary debt and planning for debt repayment. Efforts to promote regular credit review and understanding of debt-rela</w:t>
      </w:r>
      <w:r>
        <w:rPr>
          <w:rFonts w:ascii="Arial" w:hAnsi="Arial" w:cs="Arial"/>
          <w:lang w:val="en-PH" w:eastAsia="en-PH"/>
        </w:rPr>
        <w:t>ted tools could strengthen these practices further.</w:t>
      </w:r>
    </w:p>
    <w:p w14:paraId="1CB13637" w14:textId="77777777" w:rsidR="00455369" w:rsidRDefault="006721A8">
      <w:pPr>
        <w:spacing w:beforeAutospacing="1" w:afterAutospacing="1"/>
        <w:jc w:val="both"/>
        <w:rPr>
          <w:rFonts w:ascii="Arial" w:hAnsi="Arial" w:cs="Arial"/>
          <w:lang w:val="en-PH" w:eastAsia="en-PH"/>
        </w:rPr>
      </w:pPr>
      <w:r>
        <w:rPr>
          <w:rFonts w:ascii="Arial" w:hAnsi="Arial" w:cs="Arial"/>
          <w:lang w:val="en-PH" w:eastAsia="en-PH"/>
        </w:rPr>
        <w:t xml:space="preserve">The findings align with more recent studies that emphasize the importance of debt management as a critical aspect of financial literacy. </w:t>
      </w:r>
      <w:proofErr w:type="spellStart"/>
      <w:r>
        <w:rPr>
          <w:rStyle w:val="Strong"/>
          <w:rFonts w:ascii="Arial" w:hAnsi="Arial" w:cs="Arial"/>
          <w:b w:val="0"/>
          <w:bCs w:val="0"/>
          <w:lang w:val="en-PH" w:eastAsia="en-PH"/>
        </w:rPr>
        <w:t>Nalaza-Costuna</w:t>
      </w:r>
      <w:proofErr w:type="spellEnd"/>
      <w:r>
        <w:rPr>
          <w:rStyle w:val="Strong"/>
          <w:rFonts w:ascii="Arial" w:hAnsi="Arial" w:cs="Arial"/>
          <w:b w:val="0"/>
          <w:bCs w:val="0"/>
          <w:lang w:val="en-PH" w:eastAsia="en-PH"/>
        </w:rPr>
        <w:t xml:space="preserve"> (2023)</w:t>
      </w:r>
      <w:r>
        <w:rPr>
          <w:rFonts w:ascii="Arial" w:hAnsi="Arial" w:cs="Arial"/>
          <w:lang w:val="en-PH" w:eastAsia="en-PH"/>
        </w:rPr>
        <w:t xml:space="preserve"> confirmed strong correlations between teachers’ financial literacy and their capability in budgeting, saving, and investing, noting that debt management remains a persistent challenge requiring structured interventions. Similarly, </w:t>
      </w:r>
      <w:r>
        <w:rPr>
          <w:rStyle w:val="Strong"/>
          <w:rFonts w:ascii="Arial" w:hAnsi="Arial" w:cs="Arial"/>
          <w:b w:val="0"/>
          <w:bCs w:val="0"/>
          <w:lang w:val="en-PH" w:eastAsia="en-PH"/>
        </w:rPr>
        <w:t>Zerna (2024)</w:t>
      </w:r>
      <w:r>
        <w:rPr>
          <w:rFonts w:ascii="Arial" w:hAnsi="Arial" w:cs="Arial"/>
          <w:lang w:val="en-PH" w:eastAsia="en-PH"/>
        </w:rPr>
        <w:t xml:space="preserve"> reported th</w:t>
      </w:r>
      <w:r>
        <w:rPr>
          <w:rFonts w:ascii="Arial" w:hAnsi="Arial" w:cs="Arial"/>
          <w:lang w:val="en-PH" w:eastAsia="en-PH"/>
        </w:rPr>
        <w:t xml:space="preserve">at while teachers demonstrated moderate literacy, concerns about debt and financial well-being were prevalent, underscoring the need for targeted programs to address borrowing and repayment practices. In addition, </w:t>
      </w:r>
      <w:proofErr w:type="spellStart"/>
      <w:r>
        <w:rPr>
          <w:rStyle w:val="Strong"/>
          <w:rFonts w:ascii="Arial" w:hAnsi="Arial" w:cs="Arial"/>
          <w:b w:val="0"/>
          <w:bCs w:val="0"/>
          <w:lang w:val="en-PH" w:eastAsia="en-PH"/>
        </w:rPr>
        <w:t>Hernanie</w:t>
      </w:r>
      <w:proofErr w:type="spellEnd"/>
      <w:r>
        <w:rPr>
          <w:rStyle w:val="Strong"/>
          <w:rFonts w:ascii="Arial" w:hAnsi="Arial" w:cs="Arial"/>
          <w:b w:val="0"/>
          <w:bCs w:val="0"/>
          <w:lang w:val="en-PH" w:eastAsia="en-PH"/>
        </w:rPr>
        <w:t xml:space="preserve"> and Martin (2025)</w:t>
      </w:r>
      <w:r>
        <w:rPr>
          <w:rFonts w:ascii="Arial" w:hAnsi="Arial" w:cs="Arial"/>
          <w:lang w:val="en-PH" w:eastAsia="en-PH"/>
        </w:rPr>
        <w:t xml:space="preserve"> found that alth</w:t>
      </w:r>
      <w:r>
        <w:rPr>
          <w:rFonts w:ascii="Arial" w:hAnsi="Arial" w:cs="Arial"/>
          <w:lang w:val="en-PH" w:eastAsia="en-PH"/>
        </w:rPr>
        <w:t xml:space="preserve">ough teachers in Sultan Kudarat </w:t>
      </w:r>
      <w:r>
        <w:rPr>
          <w:rFonts w:ascii="Arial" w:hAnsi="Arial" w:cs="Arial"/>
          <w:lang w:val="en-PH" w:eastAsia="en-PH"/>
        </w:rPr>
        <w:lastRenderedPageBreak/>
        <w:t>exhibited varying levels of financial literacy, debt management skills did not significantly translate into improved teaching performance, highlighting gaps in applying financial knowledge to real-life contexts. These update</w:t>
      </w:r>
      <w:r>
        <w:rPr>
          <w:rFonts w:ascii="Arial" w:hAnsi="Arial" w:cs="Arial"/>
          <w:lang w:val="en-PH" w:eastAsia="en-PH"/>
        </w:rPr>
        <w:t xml:space="preserve">d studies reinforce the importance of initiatives aimed at enhancing debt management knowledge and behaviors, supporting the conclusions of this research. </w:t>
      </w:r>
    </w:p>
    <w:p w14:paraId="5579ADA7" w14:textId="57B54526" w:rsidR="00455369" w:rsidRDefault="006721A8">
      <w:pPr>
        <w:spacing w:beforeAutospacing="1" w:afterAutospacing="1"/>
        <w:outlineLvl w:val="2"/>
        <w:rPr>
          <w:rFonts w:ascii="Arial" w:hAnsi="Arial" w:cs="Arial"/>
          <w:b/>
          <w:bCs/>
          <w:sz w:val="22"/>
          <w:lang w:val="en-PH" w:eastAsia="en-PH"/>
        </w:rPr>
      </w:pPr>
      <w:r>
        <w:rPr>
          <w:rFonts w:ascii="Arial" w:hAnsi="Arial" w:cs="Arial"/>
          <w:b/>
          <w:bCs/>
          <w:sz w:val="22"/>
          <w:lang w:val="en-PH" w:eastAsia="en-PH"/>
        </w:rPr>
        <w:t>Table.4: Financial Literacy in Terms of Debt Management</w:t>
      </w:r>
    </w:p>
    <w:tbl>
      <w:tblPr>
        <w:tblStyle w:val="TableGrid1"/>
        <w:tblW w:w="8388" w:type="dxa"/>
        <w:tblLayout w:type="fixed"/>
        <w:tblLook w:val="04A0" w:firstRow="1" w:lastRow="0" w:firstColumn="1" w:lastColumn="0" w:noHBand="0" w:noVBand="1"/>
      </w:tblPr>
      <w:tblGrid>
        <w:gridCol w:w="603"/>
        <w:gridCol w:w="4726"/>
        <w:gridCol w:w="719"/>
        <w:gridCol w:w="2340"/>
      </w:tblGrid>
      <w:tr w:rsidR="00455369" w14:paraId="73C1039D" w14:textId="77777777">
        <w:tc>
          <w:tcPr>
            <w:tcW w:w="603" w:type="dxa"/>
          </w:tcPr>
          <w:p w14:paraId="3807B90F" w14:textId="77777777" w:rsidR="00455369" w:rsidRDefault="006721A8">
            <w:pPr>
              <w:suppressAutoHyphens w:val="0"/>
              <w:jc w:val="center"/>
              <w:rPr>
                <w:rFonts w:ascii="Arial" w:hAnsi="Arial" w:cs="Arial"/>
                <w:b/>
                <w:bCs/>
                <w:lang w:eastAsia="en-PH"/>
              </w:rPr>
            </w:pPr>
            <w:r>
              <w:rPr>
                <w:rFonts w:ascii="Arial" w:eastAsia="Calibri" w:hAnsi="Arial" w:cs="Arial"/>
                <w:b/>
                <w:bCs/>
                <w:lang w:eastAsia="en-PH"/>
              </w:rPr>
              <w:t>No.</w:t>
            </w:r>
          </w:p>
        </w:tc>
        <w:tc>
          <w:tcPr>
            <w:tcW w:w="4725" w:type="dxa"/>
          </w:tcPr>
          <w:p w14:paraId="1B5342AD" w14:textId="77777777" w:rsidR="00455369" w:rsidRDefault="006721A8">
            <w:pPr>
              <w:suppressAutoHyphens w:val="0"/>
              <w:jc w:val="center"/>
              <w:rPr>
                <w:rFonts w:ascii="Arial" w:hAnsi="Arial" w:cs="Arial"/>
                <w:b/>
                <w:bCs/>
                <w:lang w:eastAsia="en-PH"/>
              </w:rPr>
            </w:pPr>
            <w:r>
              <w:rPr>
                <w:rFonts w:ascii="Arial" w:eastAsia="Calibri" w:hAnsi="Arial" w:cs="Arial"/>
                <w:b/>
                <w:bCs/>
                <w:lang w:eastAsia="en-PH"/>
              </w:rPr>
              <w:t>Statement</w:t>
            </w:r>
          </w:p>
        </w:tc>
        <w:tc>
          <w:tcPr>
            <w:tcW w:w="719" w:type="dxa"/>
          </w:tcPr>
          <w:p w14:paraId="6431B299" w14:textId="77777777" w:rsidR="00455369" w:rsidRDefault="006721A8">
            <w:pPr>
              <w:suppressAutoHyphens w:val="0"/>
              <w:jc w:val="center"/>
              <w:rPr>
                <w:rFonts w:ascii="Arial" w:hAnsi="Arial" w:cs="Arial"/>
                <w:b/>
                <w:bCs/>
                <w:lang w:eastAsia="en-PH"/>
              </w:rPr>
            </w:pPr>
            <w:r>
              <w:rPr>
                <w:rFonts w:ascii="Arial" w:eastAsia="Calibri" w:hAnsi="Arial" w:cs="Arial"/>
                <w:b/>
                <w:bCs/>
                <w:lang w:eastAsia="en-PH"/>
              </w:rPr>
              <w:t>WM</w:t>
            </w:r>
          </w:p>
        </w:tc>
        <w:tc>
          <w:tcPr>
            <w:tcW w:w="2340" w:type="dxa"/>
          </w:tcPr>
          <w:p w14:paraId="619D89EC" w14:textId="77777777" w:rsidR="00455369" w:rsidRDefault="006721A8">
            <w:pPr>
              <w:suppressAutoHyphens w:val="0"/>
              <w:jc w:val="center"/>
              <w:rPr>
                <w:rFonts w:ascii="Arial" w:hAnsi="Arial" w:cs="Arial"/>
                <w:b/>
                <w:bCs/>
                <w:lang w:eastAsia="en-PH"/>
              </w:rPr>
            </w:pPr>
            <w:r>
              <w:rPr>
                <w:rFonts w:ascii="Arial" w:eastAsia="Calibri" w:hAnsi="Arial" w:cs="Arial"/>
                <w:b/>
                <w:bCs/>
                <w:lang w:eastAsia="en-PH"/>
              </w:rPr>
              <w:t>Interpretation</w:t>
            </w:r>
          </w:p>
        </w:tc>
      </w:tr>
      <w:tr w:rsidR="00455369" w14:paraId="54F859CD" w14:textId="77777777">
        <w:tc>
          <w:tcPr>
            <w:tcW w:w="603" w:type="dxa"/>
          </w:tcPr>
          <w:p w14:paraId="4EB498EB" w14:textId="77777777" w:rsidR="00455369" w:rsidRDefault="006721A8">
            <w:pPr>
              <w:suppressAutoHyphens w:val="0"/>
              <w:rPr>
                <w:rFonts w:ascii="Arial" w:hAnsi="Arial" w:cs="Arial"/>
                <w:lang w:eastAsia="en-PH"/>
              </w:rPr>
            </w:pPr>
            <w:r>
              <w:rPr>
                <w:rFonts w:ascii="Arial" w:eastAsia="Calibri" w:hAnsi="Arial" w:cs="Arial"/>
                <w:lang w:eastAsia="en-PH"/>
              </w:rPr>
              <w:t>21</w:t>
            </w:r>
          </w:p>
        </w:tc>
        <w:tc>
          <w:tcPr>
            <w:tcW w:w="4725" w:type="dxa"/>
          </w:tcPr>
          <w:p w14:paraId="015B4505" w14:textId="77777777" w:rsidR="00455369" w:rsidRDefault="006721A8">
            <w:pPr>
              <w:suppressAutoHyphens w:val="0"/>
              <w:rPr>
                <w:rFonts w:ascii="Arial" w:hAnsi="Arial" w:cs="Arial"/>
                <w:lang w:eastAsia="en-PH"/>
              </w:rPr>
            </w:pPr>
            <w:r>
              <w:rPr>
                <w:rFonts w:ascii="Arial" w:eastAsia="Calibri" w:hAnsi="Arial" w:cs="Arial"/>
                <w:lang w:eastAsia="en-PH"/>
              </w:rPr>
              <w:t>I have a</w:t>
            </w:r>
            <w:r>
              <w:rPr>
                <w:rFonts w:ascii="Arial" w:eastAsia="Calibri" w:hAnsi="Arial" w:cs="Arial"/>
                <w:lang w:eastAsia="en-PH"/>
              </w:rPr>
              <w:t xml:space="preserve"> clear understanding of how credit works.</w:t>
            </w:r>
          </w:p>
        </w:tc>
        <w:tc>
          <w:tcPr>
            <w:tcW w:w="719" w:type="dxa"/>
          </w:tcPr>
          <w:p w14:paraId="25737589" w14:textId="77777777" w:rsidR="00455369" w:rsidRDefault="006721A8">
            <w:pPr>
              <w:suppressAutoHyphens w:val="0"/>
              <w:rPr>
                <w:rFonts w:ascii="Arial" w:hAnsi="Arial" w:cs="Arial"/>
                <w:lang w:eastAsia="en-PH"/>
              </w:rPr>
            </w:pPr>
            <w:r>
              <w:rPr>
                <w:rFonts w:ascii="Arial" w:eastAsia="Calibri" w:hAnsi="Arial" w:cs="Arial"/>
                <w:lang w:eastAsia="en-PH"/>
              </w:rPr>
              <w:t>3.77</w:t>
            </w:r>
          </w:p>
        </w:tc>
        <w:tc>
          <w:tcPr>
            <w:tcW w:w="2340" w:type="dxa"/>
          </w:tcPr>
          <w:p w14:paraId="5970BC65" w14:textId="77777777" w:rsidR="00455369" w:rsidRDefault="006721A8">
            <w:pPr>
              <w:suppressAutoHyphens w:val="0"/>
              <w:rPr>
                <w:rFonts w:ascii="Arial" w:hAnsi="Arial" w:cs="Arial"/>
                <w:lang w:eastAsia="en-PH"/>
              </w:rPr>
            </w:pPr>
            <w:r>
              <w:rPr>
                <w:rFonts w:ascii="Arial" w:eastAsia="Calibri" w:hAnsi="Arial" w:cs="Arial"/>
                <w:lang w:eastAsia="en-PH"/>
              </w:rPr>
              <w:t>Moderately Literate</w:t>
            </w:r>
          </w:p>
        </w:tc>
      </w:tr>
      <w:tr w:rsidR="00455369" w14:paraId="5DADCD29" w14:textId="77777777">
        <w:tc>
          <w:tcPr>
            <w:tcW w:w="603" w:type="dxa"/>
          </w:tcPr>
          <w:p w14:paraId="5699ED3B" w14:textId="77777777" w:rsidR="00455369" w:rsidRDefault="006721A8">
            <w:pPr>
              <w:suppressAutoHyphens w:val="0"/>
              <w:rPr>
                <w:rFonts w:ascii="Arial" w:hAnsi="Arial" w:cs="Arial"/>
                <w:lang w:eastAsia="en-PH"/>
              </w:rPr>
            </w:pPr>
            <w:r>
              <w:rPr>
                <w:rFonts w:ascii="Arial" w:eastAsia="Calibri" w:hAnsi="Arial" w:cs="Arial"/>
                <w:lang w:eastAsia="en-PH"/>
              </w:rPr>
              <w:t>22</w:t>
            </w:r>
          </w:p>
        </w:tc>
        <w:tc>
          <w:tcPr>
            <w:tcW w:w="4725" w:type="dxa"/>
          </w:tcPr>
          <w:p w14:paraId="6A2ECF84" w14:textId="77777777" w:rsidR="00455369" w:rsidRDefault="006721A8">
            <w:pPr>
              <w:suppressAutoHyphens w:val="0"/>
              <w:rPr>
                <w:rFonts w:ascii="Arial" w:hAnsi="Arial" w:cs="Arial"/>
                <w:lang w:eastAsia="en-PH"/>
              </w:rPr>
            </w:pPr>
            <w:r>
              <w:rPr>
                <w:rFonts w:ascii="Arial" w:eastAsia="Calibri" w:hAnsi="Arial" w:cs="Arial"/>
                <w:lang w:eastAsia="en-PH"/>
              </w:rPr>
              <w:t>I manage my debt effectively.</w:t>
            </w:r>
          </w:p>
        </w:tc>
        <w:tc>
          <w:tcPr>
            <w:tcW w:w="719" w:type="dxa"/>
          </w:tcPr>
          <w:p w14:paraId="20DBE80D" w14:textId="77777777" w:rsidR="00455369" w:rsidRDefault="006721A8">
            <w:pPr>
              <w:suppressAutoHyphens w:val="0"/>
              <w:rPr>
                <w:rFonts w:ascii="Arial" w:hAnsi="Arial" w:cs="Arial"/>
                <w:lang w:eastAsia="en-PH"/>
              </w:rPr>
            </w:pPr>
            <w:r>
              <w:rPr>
                <w:rFonts w:ascii="Arial" w:eastAsia="Calibri" w:hAnsi="Arial" w:cs="Arial"/>
                <w:lang w:eastAsia="en-PH"/>
              </w:rPr>
              <w:t>3.67</w:t>
            </w:r>
          </w:p>
        </w:tc>
        <w:tc>
          <w:tcPr>
            <w:tcW w:w="2340" w:type="dxa"/>
          </w:tcPr>
          <w:p w14:paraId="2F62002F" w14:textId="77777777" w:rsidR="00455369" w:rsidRDefault="006721A8">
            <w:pPr>
              <w:suppressAutoHyphens w:val="0"/>
              <w:rPr>
                <w:rFonts w:ascii="Arial" w:hAnsi="Arial" w:cs="Arial"/>
                <w:lang w:eastAsia="en-PH"/>
              </w:rPr>
            </w:pPr>
            <w:r>
              <w:rPr>
                <w:rFonts w:ascii="Arial" w:eastAsia="Calibri" w:hAnsi="Arial" w:cs="Arial"/>
                <w:lang w:eastAsia="en-PH"/>
              </w:rPr>
              <w:t>Moderately Literate</w:t>
            </w:r>
          </w:p>
        </w:tc>
      </w:tr>
      <w:tr w:rsidR="00455369" w14:paraId="25DFE04C" w14:textId="77777777">
        <w:tc>
          <w:tcPr>
            <w:tcW w:w="603" w:type="dxa"/>
          </w:tcPr>
          <w:p w14:paraId="6FA47FAC" w14:textId="77777777" w:rsidR="00455369" w:rsidRDefault="006721A8">
            <w:pPr>
              <w:suppressAutoHyphens w:val="0"/>
              <w:rPr>
                <w:rFonts w:ascii="Arial" w:hAnsi="Arial" w:cs="Arial"/>
                <w:lang w:eastAsia="en-PH"/>
              </w:rPr>
            </w:pPr>
            <w:r>
              <w:rPr>
                <w:rFonts w:ascii="Arial" w:eastAsia="Calibri" w:hAnsi="Arial" w:cs="Arial"/>
                <w:lang w:eastAsia="en-PH"/>
              </w:rPr>
              <w:t>23</w:t>
            </w:r>
          </w:p>
        </w:tc>
        <w:tc>
          <w:tcPr>
            <w:tcW w:w="4725" w:type="dxa"/>
          </w:tcPr>
          <w:p w14:paraId="14C2EB43" w14:textId="77777777" w:rsidR="00455369" w:rsidRDefault="006721A8">
            <w:pPr>
              <w:suppressAutoHyphens w:val="0"/>
              <w:rPr>
                <w:rFonts w:ascii="Arial" w:hAnsi="Arial" w:cs="Arial"/>
                <w:lang w:eastAsia="en-PH"/>
              </w:rPr>
            </w:pPr>
            <w:r>
              <w:rPr>
                <w:rFonts w:ascii="Arial" w:eastAsia="Calibri" w:hAnsi="Arial" w:cs="Arial"/>
                <w:lang w:eastAsia="en-PH"/>
              </w:rPr>
              <w:t>I avoid unnecessary debt.</w:t>
            </w:r>
          </w:p>
        </w:tc>
        <w:tc>
          <w:tcPr>
            <w:tcW w:w="719" w:type="dxa"/>
          </w:tcPr>
          <w:p w14:paraId="14C833E5" w14:textId="77777777" w:rsidR="00455369" w:rsidRDefault="006721A8">
            <w:pPr>
              <w:suppressAutoHyphens w:val="0"/>
              <w:rPr>
                <w:rFonts w:ascii="Arial" w:hAnsi="Arial" w:cs="Arial"/>
                <w:lang w:eastAsia="en-PH"/>
              </w:rPr>
            </w:pPr>
            <w:r>
              <w:rPr>
                <w:rFonts w:ascii="Arial" w:eastAsia="Calibri" w:hAnsi="Arial" w:cs="Arial"/>
                <w:lang w:eastAsia="en-PH"/>
              </w:rPr>
              <w:t>4.11</w:t>
            </w:r>
          </w:p>
        </w:tc>
        <w:tc>
          <w:tcPr>
            <w:tcW w:w="2340" w:type="dxa"/>
          </w:tcPr>
          <w:p w14:paraId="5F7BA7C3" w14:textId="77777777" w:rsidR="00455369" w:rsidRDefault="006721A8">
            <w:pPr>
              <w:suppressAutoHyphens w:val="0"/>
              <w:rPr>
                <w:rFonts w:ascii="Arial" w:hAnsi="Arial" w:cs="Arial"/>
                <w:lang w:eastAsia="en-PH"/>
              </w:rPr>
            </w:pPr>
            <w:r>
              <w:rPr>
                <w:rFonts w:ascii="Arial" w:eastAsia="Calibri" w:hAnsi="Arial" w:cs="Arial"/>
                <w:lang w:eastAsia="en-PH"/>
              </w:rPr>
              <w:t>Highly Literate</w:t>
            </w:r>
          </w:p>
        </w:tc>
      </w:tr>
      <w:tr w:rsidR="00455369" w14:paraId="7F9B15DD" w14:textId="77777777">
        <w:tc>
          <w:tcPr>
            <w:tcW w:w="603" w:type="dxa"/>
          </w:tcPr>
          <w:p w14:paraId="18AC9223" w14:textId="77777777" w:rsidR="00455369" w:rsidRDefault="006721A8">
            <w:pPr>
              <w:suppressAutoHyphens w:val="0"/>
              <w:rPr>
                <w:rFonts w:ascii="Arial" w:hAnsi="Arial" w:cs="Arial"/>
                <w:lang w:eastAsia="en-PH"/>
              </w:rPr>
            </w:pPr>
            <w:r>
              <w:rPr>
                <w:rFonts w:ascii="Arial" w:eastAsia="Calibri" w:hAnsi="Arial" w:cs="Arial"/>
                <w:lang w:eastAsia="en-PH"/>
              </w:rPr>
              <w:t>24</w:t>
            </w:r>
          </w:p>
        </w:tc>
        <w:tc>
          <w:tcPr>
            <w:tcW w:w="4725" w:type="dxa"/>
          </w:tcPr>
          <w:p w14:paraId="2F6F09FB" w14:textId="77777777" w:rsidR="00455369" w:rsidRDefault="006721A8">
            <w:pPr>
              <w:suppressAutoHyphens w:val="0"/>
              <w:rPr>
                <w:rFonts w:ascii="Arial" w:hAnsi="Arial" w:cs="Arial"/>
                <w:lang w:eastAsia="en-PH"/>
              </w:rPr>
            </w:pPr>
            <w:r>
              <w:rPr>
                <w:rFonts w:ascii="Arial" w:eastAsia="Calibri" w:hAnsi="Arial" w:cs="Arial"/>
                <w:lang w:eastAsia="en-PH"/>
              </w:rPr>
              <w:t>I have a plan to pay off my existing debts.</w:t>
            </w:r>
          </w:p>
        </w:tc>
        <w:tc>
          <w:tcPr>
            <w:tcW w:w="719" w:type="dxa"/>
          </w:tcPr>
          <w:p w14:paraId="51DE9DAD" w14:textId="77777777" w:rsidR="00455369" w:rsidRDefault="006721A8">
            <w:pPr>
              <w:suppressAutoHyphens w:val="0"/>
              <w:rPr>
                <w:rFonts w:ascii="Arial" w:hAnsi="Arial" w:cs="Arial"/>
                <w:lang w:eastAsia="en-PH"/>
              </w:rPr>
            </w:pPr>
            <w:r>
              <w:rPr>
                <w:rFonts w:ascii="Arial" w:eastAsia="Calibri" w:hAnsi="Arial" w:cs="Arial"/>
                <w:lang w:eastAsia="en-PH"/>
              </w:rPr>
              <w:t>3.98</w:t>
            </w:r>
          </w:p>
        </w:tc>
        <w:tc>
          <w:tcPr>
            <w:tcW w:w="2340" w:type="dxa"/>
          </w:tcPr>
          <w:p w14:paraId="6453D83A" w14:textId="77777777" w:rsidR="00455369" w:rsidRDefault="006721A8">
            <w:pPr>
              <w:suppressAutoHyphens w:val="0"/>
              <w:rPr>
                <w:rFonts w:ascii="Arial" w:hAnsi="Arial" w:cs="Arial"/>
                <w:lang w:eastAsia="en-PH"/>
              </w:rPr>
            </w:pPr>
            <w:r>
              <w:rPr>
                <w:rFonts w:ascii="Arial" w:eastAsia="Calibri" w:hAnsi="Arial" w:cs="Arial"/>
                <w:lang w:eastAsia="en-PH"/>
              </w:rPr>
              <w:t>Moderately Literate</w:t>
            </w:r>
          </w:p>
        </w:tc>
      </w:tr>
      <w:tr w:rsidR="00455369" w14:paraId="78019C22" w14:textId="77777777">
        <w:tc>
          <w:tcPr>
            <w:tcW w:w="603" w:type="dxa"/>
          </w:tcPr>
          <w:p w14:paraId="7BA2B598" w14:textId="77777777" w:rsidR="00455369" w:rsidRDefault="006721A8">
            <w:pPr>
              <w:suppressAutoHyphens w:val="0"/>
              <w:rPr>
                <w:rFonts w:ascii="Arial" w:hAnsi="Arial" w:cs="Arial"/>
                <w:lang w:eastAsia="en-PH"/>
              </w:rPr>
            </w:pPr>
            <w:r>
              <w:rPr>
                <w:rFonts w:ascii="Arial" w:eastAsia="Calibri" w:hAnsi="Arial" w:cs="Arial"/>
                <w:lang w:eastAsia="en-PH"/>
              </w:rPr>
              <w:t>25</w:t>
            </w:r>
          </w:p>
        </w:tc>
        <w:tc>
          <w:tcPr>
            <w:tcW w:w="4725" w:type="dxa"/>
          </w:tcPr>
          <w:p w14:paraId="2C1D813B" w14:textId="77777777" w:rsidR="00455369" w:rsidRDefault="006721A8">
            <w:pPr>
              <w:suppressAutoHyphens w:val="0"/>
              <w:rPr>
                <w:rFonts w:ascii="Arial" w:hAnsi="Arial" w:cs="Arial"/>
                <w:lang w:eastAsia="en-PH"/>
              </w:rPr>
            </w:pPr>
            <w:r>
              <w:rPr>
                <w:rFonts w:ascii="Arial" w:eastAsia="Calibri" w:hAnsi="Arial" w:cs="Arial"/>
                <w:lang w:eastAsia="en-PH"/>
              </w:rPr>
              <w:t xml:space="preserve">I </w:t>
            </w:r>
            <w:r>
              <w:rPr>
                <w:rFonts w:ascii="Arial" w:eastAsia="Calibri" w:hAnsi="Arial" w:cs="Arial"/>
                <w:lang w:eastAsia="en-PH"/>
              </w:rPr>
              <w:t>regularly review my credit report.</w:t>
            </w:r>
          </w:p>
        </w:tc>
        <w:tc>
          <w:tcPr>
            <w:tcW w:w="719" w:type="dxa"/>
          </w:tcPr>
          <w:p w14:paraId="02F37567" w14:textId="77777777" w:rsidR="00455369" w:rsidRDefault="006721A8">
            <w:pPr>
              <w:suppressAutoHyphens w:val="0"/>
              <w:rPr>
                <w:rFonts w:ascii="Arial" w:hAnsi="Arial" w:cs="Arial"/>
                <w:lang w:eastAsia="en-PH"/>
              </w:rPr>
            </w:pPr>
            <w:r>
              <w:rPr>
                <w:rFonts w:ascii="Arial" w:eastAsia="Calibri" w:hAnsi="Arial" w:cs="Arial"/>
                <w:lang w:eastAsia="en-PH"/>
              </w:rPr>
              <w:t>3.56</w:t>
            </w:r>
          </w:p>
        </w:tc>
        <w:tc>
          <w:tcPr>
            <w:tcW w:w="2340" w:type="dxa"/>
          </w:tcPr>
          <w:p w14:paraId="50EB9009" w14:textId="77777777" w:rsidR="00455369" w:rsidRDefault="006721A8">
            <w:pPr>
              <w:suppressAutoHyphens w:val="0"/>
              <w:rPr>
                <w:rFonts w:ascii="Arial" w:hAnsi="Arial" w:cs="Arial"/>
                <w:lang w:eastAsia="en-PH"/>
              </w:rPr>
            </w:pPr>
            <w:r>
              <w:rPr>
                <w:rFonts w:ascii="Arial" w:eastAsia="Calibri" w:hAnsi="Arial" w:cs="Arial"/>
                <w:lang w:eastAsia="en-PH"/>
              </w:rPr>
              <w:t>Moderately Literate</w:t>
            </w:r>
          </w:p>
        </w:tc>
      </w:tr>
      <w:tr w:rsidR="00455369" w14:paraId="25F610ED" w14:textId="77777777">
        <w:tc>
          <w:tcPr>
            <w:tcW w:w="603" w:type="dxa"/>
          </w:tcPr>
          <w:p w14:paraId="70CFC6A6" w14:textId="77777777" w:rsidR="00455369" w:rsidRDefault="00455369">
            <w:pPr>
              <w:suppressAutoHyphens w:val="0"/>
              <w:rPr>
                <w:rFonts w:ascii="Arial" w:hAnsi="Arial" w:cs="Arial"/>
                <w:lang w:eastAsia="en-PH"/>
              </w:rPr>
            </w:pPr>
          </w:p>
        </w:tc>
        <w:tc>
          <w:tcPr>
            <w:tcW w:w="4725" w:type="dxa"/>
          </w:tcPr>
          <w:p w14:paraId="6E04C9B6" w14:textId="77777777" w:rsidR="00455369" w:rsidRDefault="006721A8">
            <w:pPr>
              <w:suppressAutoHyphens w:val="0"/>
              <w:rPr>
                <w:rFonts w:ascii="Arial" w:hAnsi="Arial" w:cs="Arial"/>
                <w:lang w:eastAsia="en-PH"/>
              </w:rPr>
            </w:pPr>
            <w:r>
              <w:rPr>
                <w:rFonts w:ascii="Arial" w:eastAsia="Calibri" w:hAnsi="Arial" w:cs="Arial"/>
                <w:b/>
                <w:bCs/>
                <w:lang w:eastAsia="en-PH"/>
              </w:rPr>
              <w:t>Weighted Mean</w:t>
            </w:r>
          </w:p>
        </w:tc>
        <w:tc>
          <w:tcPr>
            <w:tcW w:w="719" w:type="dxa"/>
          </w:tcPr>
          <w:p w14:paraId="48BB2B40" w14:textId="77777777" w:rsidR="00455369" w:rsidRDefault="006721A8">
            <w:pPr>
              <w:suppressAutoHyphens w:val="0"/>
              <w:rPr>
                <w:rFonts w:ascii="Arial" w:hAnsi="Arial" w:cs="Arial"/>
                <w:lang w:eastAsia="en-PH"/>
              </w:rPr>
            </w:pPr>
            <w:r>
              <w:rPr>
                <w:rFonts w:ascii="Arial" w:eastAsia="Calibri" w:hAnsi="Arial" w:cs="Arial"/>
                <w:b/>
                <w:bCs/>
                <w:lang w:eastAsia="en-PH"/>
              </w:rPr>
              <w:t>3.82</w:t>
            </w:r>
          </w:p>
        </w:tc>
        <w:tc>
          <w:tcPr>
            <w:tcW w:w="2340" w:type="dxa"/>
          </w:tcPr>
          <w:p w14:paraId="4F7711E3" w14:textId="77777777" w:rsidR="00455369" w:rsidRDefault="006721A8">
            <w:pPr>
              <w:suppressAutoHyphens w:val="0"/>
              <w:rPr>
                <w:rFonts w:ascii="Arial" w:hAnsi="Arial" w:cs="Arial"/>
                <w:lang w:eastAsia="en-PH"/>
              </w:rPr>
            </w:pPr>
            <w:r>
              <w:rPr>
                <w:rFonts w:ascii="Arial" w:eastAsia="Calibri" w:hAnsi="Arial" w:cs="Arial"/>
                <w:b/>
                <w:bCs/>
                <w:lang w:eastAsia="en-PH"/>
              </w:rPr>
              <w:t>Moderately Literate</w:t>
            </w:r>
          </w:p>
        </w:tc>
      </w:tr>
    </w:tbl>
    <w:p w14:paraId="6BF4174E" w14:textId="77777777" w:rsidR="00455369" w:rsidRDefault="00455369">
      <w:pPr>
        <w:spacing w:beforeAutospacing="1" w:afterAutospacing="1"/>
        <w:rPr>
          <w:rFonts w:ascii="Arial" w:hAnsi="Arial" w:cs="Arial"/>
          <w:b/>
          <w:bCs/>
          <w:lang w:val="en-PH" w:eastAsia="en-PH"/>
        </w:rPr>
      </w:pPr>
    </w:p>
    <w:p w14:paraId="0E2F08EB" w14:textId="77777777" w:rsidR="00455369" w:rsidRDefault="006721A8">
      <w:pPr>
        <w:spacing w:beforeAutospacing="1" w:afterAutospacing="1"/>
        <w:rPr>
          <w:rFonts w:ascii="Arial" w:hAnsi="Arial" w:cs="Arial"/>
          <w:sz w:val="22"/>
          <w:lang w:val="en-PH" w:eastAsia="en-PH"/>
        </w:rPr>
      </w:pPr>
      <w:r>
        <w:rPr>
          <w:rFonts w:ascii="Arial" w:hAnsi="Arial" w:cs="Arial"/>
          <w:b/>
          <w:bCs/>
          <w:sz w:val="22"/>
          <w:lang w:val="en-PH" w:eastAsia="en-PH"/>
        </w:rPr>
        <w:t>3.5. Financial Literacy in terms of Financial Knowledge</w:t>
      </w:r>
      <w:r>
        <w:rPr>
          <w:rFonts w:ascii="Arial" w:hAnsi="Arial" w:cs="Arial"/>
          <w:sz w:val="22"/>
          <w:lang w:val="en-PH" w:eastAsia="en-PH"/>
        </w:rPr>
        <w:t xml:space="preserve"> </w:t>
      </w:r>
    </w:p>
    <w:p w14:paraId="3D75E355" w14:textId="0490A26A" w:rsidR="00455369" w:rsidRDefault="006721A8">
      <w:pPr>
        <w:spacing w:beforeAutospacing="1" w:afterAutospacing="1"/>
        <w:jc w:val="both"/>
        <w:rPr>
          <w:rFonts w:ascii="Arial" w:hAnsi="Arial" w:cs="Arial"/>
          <w:lang w:val="en-PH" w:eastAsia="en-PH"/>
        </w:rPr>
      </w:pPr>
      <w:r>
        <w:rPr>
          <w:rFonts w:ascii="Arial" w:hAnsi="Arial" w:cs="Arial"/>
          <w:lang w:val="en-PH" w:eastAsia="en-PH"/>
        </w:rPr>
        <w:t xml:space="preserve">The computed overall Weighted Mean (WM) for financial knowledge, as outlined in </w:t>
      </w:r>
      <w:r>
        <w:rPr>
          <w:rFonts w:ascii="Arial" w:hAnsi="Arial" w:cs="Arial"/>
          <w:b/>
          <w:bCs/>
          <w:lang w:val="en-PH" w:eastAsia="en-PH"/>
        </w:rPr>
        <w:t>Table.5</w:t>
      </w:r>
      <w:r>
        <w:rPr>
          <w:rFonts w:ascii="Arial" w:hAnsi="Arial" w:cs="Arial"/>
          <w:lang w:val="en-PH" w:eastAsia="en-PH"/>
        </w:rPr>
        <w:t xml:space="preserve">, is </w:t>
      </w:r>
      <w:r>
        <w:rPr>
          <w:rFonts w:ascii="Arial" w:hAnsi="Arial" w:cs="Arial"/>
          <w:b/>
          <w:bCs/>
          <w:lang w:val="en-PH" w:eastAsia="en-PH"/>
        </w:rPr>
        <w:t>3.95</w:t>
      </w:r>
      <w:r>
        <w:rPr>
          <w:rFonts w:ascii="Arial" w:hAnsi="Arial" w:cs="Arial"/>
          <w:lang w:val="en-PH" w:eastAsia="en-PH"/>
        </w:rPr>
        <w:t xml:space="preserve">, indicating that respondents generally agree they possess a satisfactory level of financial knowledge. The highest-rated statement, </w:t>
      </w:r>
      <w:r>
        <w:rPr>
          <w:rFonts w:ascii="Arial" w:hAnsi="Arial" w:cs="Arial"/>
          <w:i/>
          <w:iCs/>
          <w:lang w:val="en-PH" w:eastAsia="en-PH"/>
        </w:rPr>
        <w:t>"I understand basic financial concepts</w:t>
      </w:r>
      <w:proofErr w:type="gramStart"/>
      <w:r>
        <w:rPr>
          <w:rFonts w:ascii="Arial" w:hAnsi="Arial" w:cs="Arial"/>
          <w:i/>
          <w:iCs/>
          <w:lang w:val="en-PH" w:eastAsia="en-PH"/>
        </w:rPr>
        <w:t>"</w:t>
      </w:r>
      <w:r>
        <w:rPr>
          <w:rFonts w:ascii="Arial" w:hAnsi="Arial" w:cs="Arial"/>
          <w:lang w:val="en-PH" w:eastAsia="en-PH"/>
        </w:rPr>
        <w:t xml:space="preserve"> ,</w:t>
      </w:r>
      <w:proofErr w:type="gramEnd"/>
      <w:r>
        <w:rPr>
          <w:rFonts w:ascii="Arial" w:hAnsi="Arial" w:cs="Arial"/>
          <w:lang w:val="en-PH" w:eastAsia="en-PH"/>
        </w:rPr>
        <w:t xml:space="preserve"> highlights a strong grasp of fundamental financial principles among respondents, which is crucial for effective financial decision-making. Conversely, the lowest-ranked statement, </w:t>
      </w:r>
      <w:r>
        <w:rPr>
          <w:rFonts w:ascii="Arial" w:hAnsi="Arial" w:cs="Arial"/>
          <w:i/>
          <w:iCs/>
          <w:lang w:val="en-PH" w:eastAsia="en-PH"/>
        </w:rPr>
        <w:t>"I have received formal financial education"</w:t>
      </w:r>
      <w:r>
        <w:rPr>
          <w:rFonts w:ascii="Arial" w:hAnsi="Arial" w:cs="Arial"/>
          <w:lang w:val="en-PH" w:eastAsia="en-PH"/>
        </w:rPr>
        <w:t>, suggests that while responden</w:t>
      </w:r>
      <w:r>
        <w:rPr>
          <w:rFonts w:ascii="Arial" w:hAnsi="Arial" w:cs="Arial"/>
          <w:lang w:val="en-PH" w:eastAsia="en-PH"/>
        </w:rPr>
        <w:t>ts may have acquired financial knowledge informally, there is room to increase access to formal financial education opportunities.</w:t>
      </w:r>
    </w:p>
    <w:p w14:paraId="6E9F040D" w14:textId="77777777" w:rsidR="00455369" w:rsidRDefault="006721A8">
      <w:pPr>
        <w:spacing w:beforeAutospacing="1" w:afterAutospacing="1"/>
        <w:jc w:val="both"/>
        <w:rPr>
          <w:rFonts w:ascii="Arial" w:hAnsi="Arial" w:cs="Arial"/>
          <w:lang w:val="en-PH" w:eastAsia="en-PH"/>
        </w:rPr>
      </w:pPr>
      <w:r>
        <w:rPr>
          <w:rFonts w:ascii="Arial" w:hAnsi="Arial" w:cs="Arial"/>
          <w:lang w:val="en-PH" w:eastAsia="en-PH"/>
        </w:rPr>
        <w:t xml:space="preserve">Other findings indicate that respondents feel moderately prepared to handle unexpected financial emergencies </w:t>
      </w:r>
      <w:r>
        <w:rPr>
          <w:rFonts w:ascii="Arial" w:hAnsi="Arial" w:cs="Arial"/>
          <w:i/>
          <w:iCs/>
          <w:lang w:val="en-PH" w:eastAsia="en-PH"/>
        </w:rPr>
        <w:t>"I feel prepared</w:t>
      </w:r>
      <w:r>
        <w:rPr>
          <w:rFonts w:ascii="Arial" w:hAnsi="Arial" w:cs="Arial"/>
          <w:i/>
          <w:iCs/>
          <w:lang w:val="en-PH" w:eastAsia="en-PH"/>
        </w:rPr>
        <w:t xml:space="preserve"> to handle unexpected financial emergencies"</w:t>
      </w:r>
      <w:r>
        <w:rPr>
          <w:rFonts w:ascii="Arial" w:hAnsi="Arial" w:cs="Arial"/>
          <w:lang w:val="en-PH" w:eastAsia="en-PH"/>
        </w:rPr>
        <w:t xml:space="preserve">, and confident in their overall financial knowledge </w:t>
      </w:r>
      <w:r>
        <w:rPr>
          <w:rFonts w:ascii="Arial" w:hAnsi="Arial" w:cs="Arial"/>
          <w:i/>
          <w:iCs/>
          <w:lang w:val="en-PH" w:eastAsia="en-PH"/>
        </w:rPr>
        <w:t>"I feel confident in my overall financial knowledge</w:t>
      </w:r>
      <w:proofErr w:type="gramStart"/>
      <w:r>
        <w:rPr>
          <w:rFonts w:ascii="Arial" w:hAnsi="Arial" w:cs="Arial"/>
          <w:i/>
          <w:iCs/>
          <w:lang w:val="en-PH" w:eastAsia="en-PH"/>
        </w:rPr>
        <w:t>"</w:t>
      </w:r>
      <w:r>
        <w:rPr>
          <w:rFonts w:ascii="Arial" w:hAnsi="Arial" w:cs="Arial"/>
          <w:lang w:val="en-PH" w:eastAsia="en-PH"/>
        </w:rPr>
        <w:t>,.</w:t>
      </w:r>
      <w:proofErr w:type="gramEnd"/>
      <w:r>
        <w:rPr>
          <w:rFonts w:ascii="Arial" w:hAnsi="Arial" w:cs="Arial"/>
          <w:lang w:val="en-PH" w:eastAsia="en-PH"/>
        </w:rPr>
        <w:t xml:space="preserve"> These results suggest a solid foundation in financial literacy but highlight the need for continuous eff</w:t>
      </w:r>
      <w:r>
        <w:rPr>
          <w:rFonts w:ascii="Arial" w:hAnsi="Arial" w:cs="Arial"/>
          <w:lang w:val="en-PH" w:eastAsia="en-PH"/>
        </w:rPr>
        <w:t>orts to expand formal education and access reliable financial resources. Encouraging regular engagement with financial information and resources could help reinforce these positive outcomes.</w:t>
      </w:r>
    </w:p>
    <w:p w14:paraId="656B4E32" w14:textId="77777777" w:rsidR="00455369" w:rsidRDefault="006721A8">
      <w:pPr>
        <w:pStyle w:val="BodyText"/>
        <w:spacing w:beforeAutospacing="1" w:afterAutospacing="1"/>
        <w:jc w:val="both"/>
        <w:rPr>
          <w:rFonts w:ascii="Arial" w:hAnsi="Arial" w:cs="Arial"/>
          <w:lang w:val="en-PH" w:eastAsia="en-PH"/>
        </w:rPr>
      </w:pPr>
      <w:r>
        <w:rPr>
          <w:rFonts w:ascii="Arial" w:hAnsi="Arial" w:cs="Arial"/>
          <w:lang w:val="en-PH" w:eastAsia="en-PH"/>
        </w:rPr>
        <w:t>The findings align with more recent studies that emphasize the im</w:t>
      </w:r>
      <w:r>
        <w:rPr>
          <w:rFonts w:ascii="Arial" w:hAnsi="Arial" w:cs="Arial"/>
          <w:lang w:val="en-PH" w:eastAsia="en-PH"/>
        </w:rPr>
        <w:t xml:space="preserve">portance of financial literacy in shaping financial behavior and preparedness. </w:t>
      </w:r>
      <w:proofErr w:type="spellStart"/>
      <w:r>
        <w:rPr>
          <w:rStyle w:val="Strong"/>
          <w:rFonts w:ascii="Arial" w:hAnsi="Arial" w:cs="Arial"/>
          <w:b w:val="0"/>
          <w:bCs w:val="0"/>
          <w:lang w:val="en-PH" w:eastAsia="en-PH"/>
        </w:rPr>
        <w:t>Nalaza-Costuna</w:t>
      </w:r>
      <w:proofErr w:type="spellEnd"/>
      <w:r>
        <w:rPr>
          <w:rStyle w:val="Strong"/>
          <w:rFonts w:ascii="Arial" w:hAnsi="Arial" w:cs="Arial"/>
          <w:b w:val="0"/>
          <w:bCs w:val="0"/>
          <w:lang w:val="en-PH" w:eastAsia="en-PH"/>
        </w:rPr>
        <w:t xml:space="preserve"> (2023)</w:t>
      </w:r>
      <w:r>
        <w:rPr>
          <w:rFonts w:ascii="Arial" w:hAnsi="Arial" w:cs="Arial"/>
          <w:lang w:val="en-PH" w:eastAsia="en-PH"/>
        </w:rPr>
        <w:t xml:space="preserve"> confirmed strong correlations between teachers’ financial literacy and their capability in budgeting, saving, and investing, highlighting the need for stru</w:t>
      </w:r>
      <w:r>
        <w:rPr>
          <w:rFonts w:ascii="Arial" w:hAnsi="Arial" w:cs="Arial"/>
          <w:lang w:val="en-PH" w:eastAsia="en-PH"/>
        </w:rPr>
        <w:t xml:space="preserve">ctured programs to strengthen knowledge and confidence in financial decision-making. Similarly, </w:t>
      </w:r>
      <w:r>
        <w:rPr>
          <w:rStyle w:val="Strong"/>
          <w:rFonts w:ascii="Arial" w:hAnsi="Arial" w:cs="Arial"/>
          <w:b w:val="0"/>
          <w:bCs w:val="0"/>
          <w:lang w:val="en-PH" w:eastAsia="en-PH"/>
        </w:rPr>
        <w:t>Zerna (2024)</w:t>
      </w:r>
      <w:r>
        <w:rPr>
          <w:rFonts w:ascii="Arial" w:hAnsi="Arial" w:cs="Arial"/>
          <w:lang w:val="en-PH" w:eastAsia="en-PH"/>
        </w:rPr>
        <w:t xml:space="preserve"> reported that while teachers demonstrated moderate literacy, concerns about debt and overall financial well-being persisted, underscoring the impor</w:t>
      </w:r>
      <w:r>
        <w:rPr>
          <w:rFonts w:ascii="Arial" w:hAnsi="Arial" w:cs="Arial"/>
          <w:lang w:val="en-PH" w:eastAsia="en-PH"/>
        </w:rPr>
        <w:t xml:space="preserve">tance of embedding financial education into professional development. In addition, </w:t>
      </w:r>
      <w:r>
        <w:rPr>
          <w:rStyle w:val="Strong"/>
          <w:rFonts w:ascii="Arial" w:hAnsi="Arial" w:cs="Arial"/>
          <w:b w:val="0"/>
          <w:bCs w:val="0"/>
          <w:lang w:val="en-PH" w:eastAsia="en-PH"/>
        </w:rPr>
        <w:t>Vidal-</w:t>
      </w:r>
      <w:proofErr w:type="spellStart"/>
      <w:r>
        <w:rPr>
          <w:rStyle w:val="Strong"/>
          <w:rFonts w:ascii="Arial" w:hAnsi="Arial" w:cs="Arial"/>
          <w:b w:val="0"/>
          <w:bCs w:val="0"/>
          <w:lang w:val="en-PH" w:eastAsia="en-PH"/>
        </w:rPr>
        <w:t>Sarahina</w:t>
      </w:r>
      <w:proofErr w:type="spellEnd"/>
      <w:r>
        <w:rPr>
          <w:rStyle w:val="Strong"/>
          <w:rFonts w:ascii="Arial" w:hAnsi="Arial" w:cs="Arial"/>
          <w:b w:val="0"/>
          <w:bCs w:val="0"/>
          <w:lang w:val="en-PH" w:eastAsia="en-PH"/>
        </w:rPr>
        <w:t xml:space="preserve"> (2025)</w:t>
      </w:r>
      <w:r>
        <w:rPr>
          <w:rFonts w:ascii="Arial" w:hAnsi="Arial" w:cs="Arial"/>
          <w:lang w:val="en-PH" w:eastAsia="en-PH"/>
        </w:rPr>
        <w:t xml:space="preserve"> revealed that even in-service teachers continued to face gaps in translating financial knowledge into consistent behavior, reinforcing the urgency of e</w:t>
      </w:r>
      <w:r>
        <w:rPr>
          <w:rFonts w:ascii="Arial" w:hAnsi="Arial" w:cs="Arial"/>
          <w:lang w:val="en-PH" w:eastAsia="en-PH"/>
        </w:rPr>
        <w:t xml:space="preserve">arly interventions during teacher education. These updated studies support the need for initiatives that provide accessible education and resources, </w:t>
      </w:r>
      <w:r>
        <w:rPr>
          <w:rFonts w:ascii="Arial" w:hAnsi="Arial" w:cs="Arial"/>
          <w:lang w:val="en-PH" w:eastAsia="en-PH"/>
        </w:rPr>
        <w:lastRenderedPageBreak/>
        <w:t>reinforcing the importance of structured learning to improve financial preparedness and decision-making.</w:t>
      </w:r>
    </w:p>
    <w:p w14:paraId="60A3CE85" w14:textId="20713024" w:rsidR="00455369" w:rsidRDefault="006721A8">
      <w:pPr>
        <w:spacing w:beforeAutospacing="1" w:afterAutospacing="1"/>
        <w:outlineLvl w:val="2"/>
        <w:rPr>
          <w:rFonts w:ascii="Arial" w:hAnsi="Arial" w:cs="Arial"/>
          <w:b/>
          <w:bCs/>
          <w:sz w:val="22"/>
          <w:lang w:val="en-PH" w:eastAsia="en-PH"/>
        </w:rPr>
      </w:pPr>
      <w:r>
        <w:rPr>
          <w:rFonts w:ascii="Arial" w:hAnsi="Arial" w:cs="Arial"/>
          <w:b/>
          <w:bCs/>
          <w:sz w:val="22"/>
          <w:lang w:val="en-PH" w:eastAsia="en-PH"/>
        </w:rPr>
        <w:t>Ta</w:t>
      </w:r>
      <w:r>
        <w:rPr>
          <w:rFonts w:ascii="Arial" w:hAnsi="Arial" w:cs="Arial"/>
          <w:b/>
          <w:bCs/>
          <w:sz w:val="22"/>
          <w:lang w:val="en-PH" w:eastAsia="en-PH"/>
        </w:rPr>
        <w:t>ble.5: Financial Literacy in Terms of Financial Knowledge</w:t>
      </w:r>
    </w:p>
    <w:tbl>
      <w:tblPr>
        <w:tblStyle w:val="TableGrid"/>
        <w:tblW w:w="8478" w:type="dxa"/>
        <w:tblLayout w:type="fixed"/>
        <w:tblLook w:val="04A0" w:firstRow="1" w:lastRow="0" w:firstColumn="1" w:lastColumn="0" w:noHBand="0" w:noVBand="1"/>
      </w:tblPr>
      <w:tblGrid>
        <w:gridCol w:w="600"/>
        <w:gridCol w:w="5465"/>
        <w:gridCol w:w="909"/>
        <w:gridCol w:w="1504"/>
      </w:tblGrid>
      <w:tr w:rsidR="00455369" w14:paraId="4BB83553" w14:textId="77777777">
        <w:tc>
          <w:tcPr>
            <w:tcW w:w="600" w:type="dxa"/>
          </w:tcPr>
          <w:p w14:paraId="0736B5E9" w14:textId="77777777" w:rsidR="00455369" w:rsidRDefault="006721A8">
            <w:pPr>
              <w:suppressAutoHyphens w:val="0"/>
              <w:jc w:val="center"/>
              <w:rPr>
                <w:rFonts w:ascii="Arial" w:hAnsi="Arial" w:cs="Arial"/>
                <w:b/>
                <w:bCs/>
                <w:lang w:val="en-PH" w:eastAsia="en-PH"/>
              </w:rPr>
            </w:pPr>
            <w:r>
              <w:rPr>
                <w:rFonts w:ascii="Arial" w:hAnsi="Arial" w:cs="Arial"/>
                <w:b/>
                <w:bCs/>
                <w:lang w:val="en-PH" w:eastAsia="en-PH"/>
              </w:rPr>
              <w:t>No.</w:t>
            </w:r>
          </w:p>
        </w:tc>
        <w:tc>
          <w:tcPr>
            <w:tcW w:w="5464" w:type="dxa"/>
          </w:tcPr>
          <w:p w14:paraId="58ED6D35" w14:textId="77777777" w:rsidR="00455369" w:rsidRDefault="006721A8">
            <w:pPr>
              <w:suppressAutoHyphens w:val="0"/>
              <w:jc w:val="center"/>
              <w:rPr>
                <w:rFonts w:ascii="Arial" w:hAnsi="Arial" w:cs="Arial"/>
                <w:b/>
                <w:bCs/>
                <w:lang w:val="en-PH" w:eastAsia="en-PH"/>
              </w:rPr>
            </w:pPr>
            <w:r>
              <w:rPr>
                <w:rFonts w:ascii="Arial" w:hAnsi="Arial" w:cs="Arial"/>
                <w:b/>
                <w:bCs/>
                <w:lang w:val="en-PH" w:eastAsia="en-PH"/>
              </w:rPr>
              <w:t>Statement</w:t>
            </w:r>
          </w:p>
        </w:tc>
        <w:tc>
          <w:tcPr>
            <w:tcW w:w="909" w:type="dxa"/>
          </w:tcPr>
          <w:p w14:paraId="2783619F" w14:textId="77777777" w:rsidR="00455369" w:rsidRDefault="006721A8">
            <w:pPr>
              <w:suppressAutoHyphens w:val="0"/>
              <w:jc w:val="center"/>
              <w:rPr>
                <w:rFonts w:ascii="Arial" w:hAnsi="Arial" w:cs="Arial"/>
                <w:b/>
                <w:bCs/>
                <w:lang w:val="en-PH" w:eastAsia="en-PH"/>
              </w:rPr>
            </w:pPr>
            <w:r>
              <w:rPr>
                <w:rFonts w:ascii="Arial" w:hAnsi="Arial" w:cs="Arial"/>
                <w:b/>
                <w:bCs/>
                <w:lang w:val="en-PH" w:eastAsia="en-PH"/>
              </w:rPr>
              <w:t>WM</w:t>
            </w:r>
          </w:p>
        </w:tc>
        <w:tc>
          <w:tcPr>
            <w:tcW w:w="1504" w:type="dxa"/>
          </w:tcPr>
          <w:p w14:paraId="7644E2A8" w14:textId="77777777" w:rsidR="00455369" w:rsidRDefault="006721A8">
            <w:pPr>
              <w:suppressAutoHyphens w:val="0"/>
              <w:jc w:val="center"/>
              <w:rPr>
                <w:rFonts w:ascii="Arial" w:hAnsi="Arial" w:cs="Arial"/>
                <w:b/>
                <w:bCs/>
                <w:lang w:val="en-PH" w:eastAsia="en-PH"/>
              </w:rPr>
            </w:pPr>
            <w:r>
              <w:rPr>
                <w:rFonts w:ascii="Arial" w:hAnsi="Arial" w:cs="Arial"/>
                <w:b/>
                <w:bCs/>
                <w:lang w:val="en-PH" w:eastAsia="en-PH"/>
              </w:rPr>
              <w:t>Interpretation</w:t>
            </w:r>
          </w:p>
        </w:tc>
      </w:tr>
      <w:tr w:rsidR="00455369" w14:paraId="372254B2" w14:textId="77777777">
        <w:tc>
          <w:tcPr>
            <w:tcW w:w="600" w:type="dxa"/>
          </w:tcPr>
          <w:p w14:paraId="74E29960" w14:textId="77777777" w:rsidR="00455369" w:rsidRDefault="006721A8">
            <w:pPr>
              <w:suppressAutoHyphens w:val="0"/>
              <w:rPr>
                <w:rFonts w:ascii="Arial" w:hAnsi="Arial" w:cs="Arial"/>
                <w:lang w:val="en-PH" w:eastAsia="en-PH"/>
              </w:rPr>
            </w:pPr>
            <w:r>
              <w:rPr>
                <w:rFonts w:ascii="Arial" w:hAnsi="Arial" w:cs="Arial"/>
                <w:lang w:val="en-PH" w:eastAsia="en-PH"/>
              </w:rPr>
              <w:t>26</w:t>
            </w:r>
          </w:p>
        </w:tc>
        <w:tc>
          <w:tcPr>
            <w:tcW w:w="5464" w:type="dxa"/>
          </w:tcPr>
          <w:p w14:paraId="3422EB1E" w14:textId="77777777" w:rsidR="00455369" w:rsidRDefault="006721A8">
            <w:pPr>
              <w:suppressAutoHyphens w:val="0"/>
              <w:rPr>
                <w:rFonts w:ascii="Arial" w:hAnsi="Arial" w:cs="Arial"/>
                <w:lang w:val="en-PH" w:eastAsia="en-PH"/>
              </w:rPr>
            </w:pPr>
            <w:r>
              <w:rPr>
                <w:rFonts w:ascii="Arial" w:hAnsi="Arial" w:cs="Arial"/>
                <w:lang w:val="en-PH" w:eastAsia="en-PH"/>
              </w:rPr>
              <w:t>I feel confident in my overall financial knowledge.</w:t>
            </w:r>
          </w:p>
        </w:tc>
        <w:tc>
          <w:tcPr>
            <w:tcW w:w="909" w:type="dxa"/>
          </w:tcPr>
          <w:p w14:paraId="3AA29F76" w14:textId="77777777" w:rsidR="00455369" w:rsidRDefault="006721A8">
            <w:pPr>
              <w:suppressAutoHyphens w:val="0"/>
              <w:rPr>
                <w:rFonts w:ascii="Arial" w:hAnsi="Arial" w:cs="Arial"/>
                <w:lang w:val="en-PH" w:eastAsia="en-PH"/>
              </w:rPr>
            </w:pPr>
            <w:r>
              <w:rPr>
                <w:rFonts w:ascii="Arial" w:hAnsi="Arial" w:cs="Arial"/>
                <w:lang w:val="en-PH" w:eastAsia="en-PH"/>
              </w:rPr>
              <w:t>3.91</w:t>
            </w:r>
          </w:p>
        </w:tc>
        <w:tc>
          <w:tcPr>
            <w:tcW w:w="1504" w:type="dxa"/>
          </w:tcPr>
          <w:p w14:paraId="0BCC493D" w14:textId="77777777" w:rsidR="00455369" w:rsidRDefault="006721A8">
            <w:pPr>
              <w:suppressAutoHyphens w:val="0"/>
              <w:rPr>
                <w:rFonts w:ascii="Arial" w:hAnsi="Arial" w:cs="Arial"/>
                <w:lang w:val="en-PH" w:eastAsia="en-PH"/>
              </w:rPr>
            </w:pPr>
            <w:r>
              <w:rPr>
                <w:rFonts w:ascii="Arial" w:hAnsi="Arial" w:cs="Arial"/>
                <w:lang w:val="en-PH" w:eastAsia="en-PH"/>
              </w:rPr>
              <w:t>Highly Literate</w:t>
            </w:r>
          </w:p>
        </w:tc>
      </w:tr>
      <w:tr w:rsidR="00455369" w14:paraId="0789F3CB" w14:textId="77777777">
        <w:tc>
          <w:tcPr>
            <w:tcW w:w="600" w:type="dxa"/>
          </w:tcPr>
          <w:p w14:paraId="3B17F899" w14:textId="77777777" w:rsidR="00455369" w:rsidRDefault="006721A8">
            <w:pPr>
              <w:suppressAutoHyphens w:val="0"/>
              <w:rPr>
                <w:rFonts w:ascii="Arial" w:hAnsi="Arial" w:cs="Arial"/>
                <w:lang w:val="en-PH" w:eastAsia="en-PH"/>
              </w:rPr>
            </w:pPr>
            <w:r>
              <w:rPr>
                <w:rFonts w:ascii="Arial" w:hAnsi="Arial" w:cs="Arial"/>
                <w:lang w:val="en-PH" w:eastAsia="en-PH"/>
              </w:rPr>
              <w:t>27</w:t>
            </w:r>
          </w:p>
        </w:tc>
        <w:tc>
          <w:tcPr>
            <w:tcW w:w="5464" w:type="dxa"/>
          </w:tcPr>
          <w:p w14:paraId="21A8C772" w14:textId="77777777" w:rsidR="00455369" w:rsidRDefault="006721A8">
            <w:pPr>
              <w:suppressAutoHyphens w:val="0"/>
              <w:rPr>
                <w:rFonts w:ascii="Arial" w:hAnsi="Arial" w:cs="Arial"/>
                <w:lang w:val="en-PH" w:eastAsia="en-PH"/>
              </w:rPr>
            </w:pPr>
            <w:r>
              <w:rPr>
                <w:rFonts w:ascii="Arial" w:hAnsi="Arial" w:cs="Arial"/>
                <w:lang w:val="en-PH" w:eastAsia="en-PH"/>
              </w:rPr>
              <w:t>I seek out financial information and resources regularly.</w:t>
            </w:r>
          </w:p>
        </w:tc>
        <w:tc>
          <w:tcPr>
            <w:tcW w:w="909" w:type="dxa"/>
          </w:tcPr>
          <w:p w14:paraId="62F82D4A" w14:textId="77777777" w:rsidR="00455369" w:rsidRDefault="006721A8">
            <w:pPr>
              <w:suppressAutoHyphens w:val="0"/>
              <w:rPr>
                <w:rFonts w:ascii="Arial" w:hAnsi="Arial" w:cs="Arial"/>
                <w:lang w:val="en-PH" w:eastAsia="en-PH"/>
              </w:rPr>
            </w:pPr>
            <w:r>
              <w:rPr>
                <w:rFonts w:ascii="Arial" w:hAnsi="Arial" w:cs="Arial"/>
                <w:lang w:val="en-PH" w:eastAsia="en-PH"/>
              </w:rPr>
              <w:t>3.77</w:t>
            </w:r>
          </w:p>
        </w:tc>
        <w:tc>
          <w:tcPr>
            <w:tcW w:w="1504" w:type="dxa"/>
          </w:tcPr>
          <w:p w14:paraId="65EE57A8" w14:textId="77777777" w:rsidR="00455369" w:rsidRDefault="006721A8">
            <w:pPr>
              <w:suppressAutoHyphens w:val="0"/>
              <w:rPr>
                <w:rFonts w:ascii="Arial" w:hAnsi="Arial" w:cs="Arial"/>
                <w:lang w:val="en-PH" w:eastAsia="en-PH"/>
              </w:rPr>
            </w:pPr>
            <w:r>
              <w:rPr>
                <w:rFonts w:ascii="Arial" w:hAnsi="Arial" w:cs="Arial"/>
                <w:lang w:val="en-PH" w:eastAsia="en-PH"/>
              </w:rPr>
              <w:t>Moderately</w:t>
            </w:r>
          </w:p>
          <w:p w14:paraId="03A5B7D4" w14:textId="77777777" w:rsidR="00455369" w:rsidRDefault="006721A8">
            <w:pPr>
              <w:suppressAutoHyphens w:val="0"/>
              <w:rPr>
                <w:rFonts w:ascii="Arial" w:hAnsi="Arial" w:cs="Arial"/>
                <w:lang w:val="en-PH" w:eastAsia="en-PH"/>
              </w:rPr>
            </w:pPr>
            <w:r>
              <w:rPr>
                <w:rFonts w:ascii="Arial" w:hAnsi="Arial" w:cs="Arial"/>
                <w:lang w:val="en-PH" w:eastAsia="en-PH"/>
              </w:rPr>
              <w:t>Literate</w:t>
            </w:r>
          </w:p>
        </w:tc>
      </w:tr>
      <w:tr w:rsidR="00455369" w14:paraId="52EB302B" w14:textId="77777777">
        <w:tc>
          <w:tcPr>
            <w:tcW w:w="600" w:type="dxa"/>
          </w:tcPr>
          <w:p w14:paraId="525A79ED" w14:textId="77777777" w:rsidR="00455369" w:rsidRDefault="006721A8">
            <w:pPr>
              <w:suppressAutoHyphens w:val="0"/>
              <w:rPr>
                <w:rFonts w:ascii="Arial" w:hAnsi="Arial" w:cs="Arial"/>
                <w:lang w:val="en-PH" w:eastAsia="en-PH"/>
              </w:rPr>
            </w:pPr>
            <w:r>
              <w:rPr>
                <w:rFonts w:ascii="Arial" w:hAnsi="Arial" w:cs="Arial"/>
                <w:lang w:val="en-PH" w:eastAsia="en-PH"/>
              </w:rPr>
              <w:t>28</w:t>
            </w:r>
          </w:p>
        </w:tc>
        <w:tc>
          <w:tcPr>
            <w:tcW w:w="5464" w:type="dxa"/>
          </w:tcPr>
          <w:p w14:paraId="7404685D" w14:textId="77777777" w:rsidR="00455369" w:rsidRDefault="006721A8">
            <w:pPr>
              <w:suppressAutoHyphens w:val="0"/>
              <w:rPr>
                <w:rFonts w:ascii="Arial" w:hAnsi="Arial" w:cs="Arial"/>
                <w:lang w:val="en-PH" w:eastAsia="en-PH"/>
              </w:rPr>
            </w:pPr>
            <w:r>
              <w:rPr>
                <w:rFonts w:ascii="Arial" w:hAnsi="Arial" w:cs="Arial"/>
                <w:lang w:val="en-PH" w:eastAsia="en-PH"/>
              </w:rPr>
              <w:t>I understand basic financial concepts (e.g., interest, inflation).</w:t>
            </w:r>
          </w:p>
        </w:tc>
        <w:tc>
          <w:tcPr>
            <w:tcW w:w="909" w:type="dxa"/>
          </w:tcPr>
          <w:p w14:paraId="6824ADDF" w14:textId="77777777" w:rsidR="00455369" w:rsidRDefault="006721A8">
            <w:pPr>
              <w:suppressAutoHyphens w:val="0"/>
              <w:rPr>
                <w:rFonts w:ascii="Arial" w:hAnsi="Arial" w:cs="Arial"/>
                <w:lang w:val="en-PH" w:eastAsia="en-PH"/>
              </w:rPr>
            </w:pPr>
            <w:r>
              <w:rPr>
                <w:rFonts w:ascii="Arial" w:hAnsi="Arial" w:cs="Arial"/>
                <w:lang w:val="en-PH" w:eastAsia="en-PH"/>
              </w:rPr>
              <w:t>4.49</w:t>
            </w:r>
          </w:p>
        </w:tc>
        <w:tc>
          <w:tcPr>
            <w:tcW w:w="1504" w:type="dxa"/>
          </w:tcPr>
          <w:p w14:paraId="622F280A" w14:textId="77777777" w:rsidR="00455369" w:rsidRDefault="006721A8">
            <w:pPr>
              <w:suppressAutoHyphens w:val="0"/>
              <w:rPr>
                <w:rFonts w:ascii="Arial" w:hAnsi="Arial" w:cs="Arial"/>
                <w:lang w:val="en-PH" w:eastAsia="en-PH"/>
              </w:rPr>
            </w:pPr>
            <w:r>
              <w:rPr>
                <w:rFonts w:ascii="Arial" w:hAnsi="Arial" w:cs="Arial"/>
                <w:lang w:val="en-PH" w:eastAsia="en-PH"/>
              </w:rPr>
              <w:t>Financially</w:t>
            </w:r>
          </w:p>
          <w:p w14:paraId="461FF447" w14:textId="77777777" w:rsidR="00455369" w:rsidRDefault="006721A8">
            <w:pPr>
              <w:suppressAutoHyphens w:val="0"/>
              <w:rPr>
                <w:rFonts w:ascii="Arial" w:hAnsi="Arial" w:cs="Arial"/>
                <w:lang w:val="en-PH" w:eastAsia="en-PH"/>
              </w:rPr>
            </w:pPr>
            <w:r>
              <w:rPr>
                <w:rFonts w:ascii="Arial" w:hAnsi="Arial" w:cs="Arial"/>
                <w:lang w:val="en-PH" w:eastAsia="en-PH"/>
              </w:rPr>
              <w:t>Empowered</w:t>
            </w:r>
          </w:p>
        </w:tc>
      </w:tr>
      <w:tr w:rsidR="00455369" w14:paraId="2957C3E8" w14:textId="77777777">
        <w:tc>
          <w:tcPr>
            <w:tcW w:w="600" w:type="dxa"/>
          </w:tcPr>
          <w:p w14:paraId="23A3BC70" w14:textId="77777777" w:rsidR="00455369" w:rsidRDefault="006721A8">
            <w:pPr>
              <w:suppressAutoHyphens w:val="0"/>
              <w:rPr>
                <w:rFonts w:ascii="Arial" w:hAnsi="Arial" w:cs="Arial"/>
                <w:lang w:val="en-PH" w:eastAsia="en-PH"/>
              </w:rPr>
            </w:pPr>
            <w:r>
              <w:rPr>
                <w:rFonts w:ascii="Arial" w:hAnsi="Arial" w:cs="Arial"/>
                <w:lang w:val="en-PH" w:eastAsia="en-PH"/>
              </w:rPr>
              <w:t>29</w:t>
            </w:r>
          </w:p>
        </w:tc>
        <w:tc>
          <w:tcPr>
            <w:tcW w:w="5464" w:type="dxa"/>
          </w:tcPr>
          <w:p w14:paraId="5B80CDDB" w14:textId="77777777" w:rsidR="00455369" w:rsidRDefault="006721A8">
            <w:pPr>
              <w:suppressAutoHyphens w:val="0"/>
              <w:rPr>
                <w:rFonts w:ascii="Arial" w:hAnsi="Arial" w:cs="Arial"/>
                <w:lang w:val="en-PH" w:eastAsia="en-PH"/>
              </w:rPr>
            </w:pPr>
            <w:r>
              <w:rPr>
                <w:rFonts w:ascii="Arial" w:hAnsi="Arial" w:cs="Arial"/>
                <w:lang w:val="en-PH" w:eastAsia="en-PH"/>
              </w:rPr>
              <w:t>I feel prepared to handle unexpected financial emergencies.</w:t>
            </w:r>
          </w:p>
        </w:tc>
        <w:tc>
          <w:tcPr>
            <w:tcW w:w="909" w:type="dxa"/>
          </w:tcPr>
          <w:p w14:paraId="77663B19" w14:textId="77777777" w:rsidR="00455369" w:rsidRDefault="006721A8">
            <w:pPr>
              <w:suppressAutoHyphens w:val="0"/>
              <w:rPr>
                <w:rFonts w:ascii="Arial" w:hAnsi="Arial" w:cs="Arial"/>
                <w:lang w:val="en-PH" w:eastAsia="en-PH"/>
              </w:rPr>
            </w:pPr>
            <w:r>
              <w:rPr>
                <w:rFonts w:ascii="Arial" w:hAnsi="Arial" w:cs="Arial"/>
                <w:lang w:val="en-PH" w:eastAsia="en-PH"/>
              </w:rPr>
              <w:t>3.93</w:t>
            </w:r>
          </w:p>
        </w:tc>
        <w:tc>
          <w:tcPr>
            <w:tcW w:w="1504" w:type="dxa"/>
          </w:tcPr>
          <w:p w14:paraId="27F6278B" w14:textId="77777777" w:rsidR="00455369" w:rsidRDefault="006721A8">
            <w:pPr>
              <w:suppressAutoHyphens w:val="0"/>
              <w:rPr>
                <w:rFonts w:ascii="Arial" w:hAnsi="Arial" w:cs="Arial"/>
                <w:lang w:val="en-PH" w:eastAsia="en-PH"/>
              </w:rPr>
            </w:pPr>
            <w:r>
              <w:rPr>
                <w:rFonts w:ascii="Arial" w:hAnsi="Arial" w:cs="Arial"/>
                <w:lang w:val="en-PH" w:eastAsia="en-PH"/>
              </w:rPr>
              <w:t>Highly Literate</w:t>
            </w:r>
          </w:p>
        </w:tc>
      </w:tr>
      <w:tr w:rsidR="00455369" w14:paraId="067C7579" w14:textId="77777777">
        <w:tc>
          <w:tcPr>
            <w:tcW w:w="600" w:type="dxa"/>
          </w:tcPr>
          <w:p w14:paraId="27036EE7" w14:textId="77777777" w:rsidR="00455369" w:rsidRDefault="006721A8">
            <w:pPr>
              <w:suppressAutoHyphens w:val="0"/>
              <w:rPr>
                <w:rFonts w:ascii="Arial" w:hAnsi="Arial" w:cs="Arial"/>
                <w:lang w:val="en-PH" w:eastAsia="en-PH"/>
              </w:rPr>
            </w:pPr>
            <w:r>
              <w:rPr>
                <w:rFonts w:ascii="Arial" w:hAnsi="Arial" w:cs="Arial"/>
                <w:lang w:val="en-PH" w:eastAsia="en-PH"/>
              </w:rPr>
              <w:t>30</w:t>
            </w:r>
          </w:p>
        </w:tc>
        <w:tc>
          <w:tcPr>
            <w:tcW w:w="5464" w:type="dxa"/>
          </w:tcPr>
          <w:p w14:paraId="49C262AB" w14:textId="77777777" w:rsidR="00455369" w:rsidRDefault="006721A8">
            <w:pPr>
              <w:suppressAutoHyphens w:val="0"/>
              <w:rPr>
                <w:rFonts w:ascii="Arial" w:hAnsi="Arial" w:cs="Arial"/>
                <w:lang w:val="en-PH" w:eastAsia="en-PH"/>
              </w:rPr>
            </w:pPr>
            <w:r>
              <w:rPr>
                <w:rFonts w:ascii="Arial" w:hAnsi="Arial" w:cs="Arial"/>
                <w:lang w:val="en-PH" w:eastAsia="en-PH"/>
              </w:rPr>
              <w:t>I have received formal financial education (e.g., courses, workshops).</w:t>
            </w:r>
          </w:p>
        </w:tc>
        <w:tc>
          <w:tcPr>
            <w:tcW w:w="909" w:type="dxa"/>
          </w:tcPr>
          <w:p w14:paraId="4150104A" w14:textId="77777777" w:rsidR="00455369" w:rsidRDefault="006721A8">
            <w:pPr>
              <w:suppressAutoHyphens w:val="0"/>
              <w:rPr>
                <w:rFonts w:ascii="Arial" w:hAnsi="Arial" w:cs="Arial"/>
                <w:lang w:val="en-PH" w:eastAsia="en-PH"/>
              </w:rPr>
            </w:pPr>
            <w:r>
              <w:rPr>
                <w:rFonts w:ascii="Arial" w:hAnsi="Arial" w:cs="Arial"/>
                <w:lang w:val="en-PH" w:eastAsia="en-PH"/>
              </w:rPr>
              <w:t>3.67</w:t>
            </w:r>
          </w:p>
        </w:tc>
        <w:tc>
          <w:tcPr>
            <w:tcW w:w="1504" w:type="dxa"/>
          </w:tcPr>
          <w:p w14:paraId="378DBC60" w14:textId="77777777" w:rsidR="00455369" w:rsidRDefault="006721A8">
            <w:pPr>
              <w:suppressAutoHyphens w:val="0"/>
              <w:rPr>
                <w:rFonts w:ascii="Arial" w:hAnsi="Arial" w:cs="Arial"/>
                <w:lang w:val="en-PH" w:eastAsia="en-PH"/>
              </w:rPr>
            </w:pPr>
            <w:r>
              <w:rPr>
                <w:rFonts w:ascii="Arial" w:hAnsi="Arial" w:cs="Arial"/>
                <w:lang w:val="en-PH" w:eastAsia="en-PH"/>
              </w:rPr>
              <w:t>Moderately</w:t>
            </w:r>
          </w:p>
          <w:p w14:paraId="53809261" w14:textId="77777777" w:rsidR="00455369" w:rsidRDefault="006721A8">
            <w:pPr>
              <w:suppressAutoHyphens w:val="0"/>
              <w:rPr>
                <w:rFonts w:ascii="Arial" w:hAnsi="Arial" w:cs="Arial"/>
                <w:lang w:val="en-PH" w:eastAsia="en-PH"/>
              </w:rPr>
            </w:pPr>
            <w:r>
              <w:rPr>
                <w:rFonts w:ascii="Arial" w:hAnsi="Arial" w:cs="Arial"/>
                <w:lang w:val="en-PH" w:eastAsia="en-PH"/>
              </w:rPr>
              <w:t>Literate</w:t>
            </w:r>
          </w:p>
        </w:tc>
      </w:tr>
      <w:tr w:rsidR="00455369" w14:paraId="5E5E50C6" w14:textId="77777777">
        <w:tc>
          <w:tcPr>
            <w:tcW w:w="600" w:type="dxa"/>
          </w:tcPr>
          <w:p w14:paraId="6FB35B73" w14:textId="77777777" w:rsidR="00455369" w:rsidRDefault="00455369">
            <w:pPr>
              <w:suppressAutoHyphens w:val="0"/>
              <w:rPr>
                <w:rFonts w:ascii="Arial" w:hAnsi="Arial" w:cs="Arial"/>
                <w:lang w:val="en-PH" w:eastAsia="en-PH"/>
              </w:rPr>
            </w:pPr>
          </w:p>
        </w:tc>
        <w:tc>
          <w:tcPr>
            <w:tcW w:w="5464" w:type="dxa"/>
          </w:tcPr>
          <w:p w14:paraId="4EC84955" w14:textId="77777777" w:rsidR="00455369" w:rsidRDefault="006721A8">
            <w:pPr>
              <w:suppressAutoHyphens w:val="0"/>
              <w:rPr>
                <w:rFonts w:ascii="Arial" w:hAnsi="Arial" w:cs="Arial"/>
                <w:lang w:val="en-PH" w:eastAsia="en-PH"/>
              </w:rPr>
            </w:pPr>
            <w:r>
              <w:rPr>
                <w:rFonts w:ascii="Arial" w:hAnsi="Arial" w:cs="Arial"/>
                <w:b/>
                <w:bCs/>
                <w:lang w:val="en-PH" w:eastAsia="en-PH"/>
              </w:rPr>
              <w:t>Weighted Mean</w:t>
            </w:r>
          </w:p>
        </w:tc>
        <w:tc>
          <w:tcPr>
            <w:tcW w:w="909" w:type="dxa"/>
          </w:tcPr>
          <w:p w14:paraId="74B213C6" w14:textId="77777777" w:rsidR="00455369" w:rsidRDefault="006721A8">
            <w:pPr>
              <w:suppressAutoHyphens w:val="0"/>
              <w:rPr>
                <w:rFonts w:ascii="Arial" w:hAnsi="Arial" w:cs="Arial"/>
                <w:lang w:val="en-PH" w:eastAsia="en-PH"/>
              </w:rPr>
            </w:pPr>
            <w:r>
              <w:rPr>
                <w:rFonts w:ascii="Arial" w:hAnsi="Arial" w:cs="Arial"/>
                <w:b/>
                <w:bCs/>
                <w:lang w:val="en-PH" w:eastAsia="en-PH"/>
              </w:rPr>
              <w:t>3.95</w:t>
            </w:r>
          </w:p>
        </w:tc>
        <w:tc>
          <w:tcPr>
            <w:tcW w:w="1504" w:type="dxa"/>
          </w:tcPr>
          <w:p w14:paraId="6EAD8139" w14:textId="77777777" w:rsidR="00455369" w:rsidRDefault="006721A8">
            <w:pPr>
              <w:suppressAutoHyphens w:val="0"/>
              <w:rPr>
                <w:rFonts w:ascii="Arial" w:hAnsi="Arial" w:cs="Arial"/>
                <w:b/>
                <w:bCs/>
                <w:lang w:val="en-PH" w:eastAsia="en-PH"/>
              </w:rPr>
            </w:pPr>
            <w:r>
              <w:rPr>
                <w:rFonts w:ascii="Arial" w:hAnsi="Arial" w:cs="Arial"/>
                <w:b/>
                <w:bCs/>
                <w:lang w:val="en-PH" w:eastAsia="en-PH"/>
              </w:rPr>
              <w:t>Highly</w:t>
            </w:r>
          </w:p>
          <w:p w14:paraId="11434FEF" w14:textId="77777777" w:rsidR="00455369" w:rsidRDefault="006721A8">
            <w:pPr>
              <w:suppressAutoHyphens w:val="0"/>
              <w:rPr>
                <w:rFonts w:ascii="Arial" w:hAnsi="Arial" w:cs="Arial"/>
                <w:lang w:val="en-PH" w:eastAsia="en-PH"/>
              </w:rPr>
            </w:pPr>
            <w:r>
              <w:rPr>
                <w:rFonts w:ascii="Arial" w:hAnsi="Arial" w:cs="Arial"/>
                <w:b/>
                <w:bCs/>
                <w:lang w:val="en-PH" w:eastAsia="en-PH"/>
              </w:rPr>
              <w:t>Literate</w:t>
            </w:r>
          </w:p>
        </w:tc>
      </w:tr>
    </w:tbl>
    <w:p w14:paraId="634DAAAC" w14:textId="77777777" w:rsidR="00455369" w:rsidRDefault="00455369">
      <w:pPr>
        <w:pStyle w:val="Body"/>
        <w:spacing w:after="0"/>
        <w:rPr>
          <w:rFonts w:ascii="Arial" w:hAnsi="Arial" w:cs="Arial"/>
        </w:rPr>
      </w:pPr>
    </w:p>
    <w:p w14:paraId="35997428" w14:textId="77777777" w:rsidR="00455369" w:rsidRDefault="00455369">
      <w:pPr>
        <w:pStyle w:val="Body"/>
        <w:spacing w:after="0"/>
        <w:rPr>
          <w:rFonts w:ascii="Arial" w:hAnsi="Arial" w:cs="Arial"/>
        </w:rPr>
      </w:pPr>
    </w:p>
    <w:p w14:paraId="5B09FD0B" w14:textId="77777777" w:rsidR="00455369" w:rsidRDefault="006721A8">
      <w:pPr>
        <w:pStyle w:val="ConcHead"/>
        <w:spacing w:after="0"/>
        <w:jc w:val="both"/>
        <w:rPr>
          <w:rFonts w:ascii="Arial" w:hAnsi="Arial" w:cs="Arial"/>
        </w:rPr>
      </w:pPr>
      <w:r>
        <w:rPr>
          <w:rFonts w:ascii="Arial" w:hAnsi="Arial" w:cs="Arial"/>
        </w:rPr>
        <w:t>4. Conclusion</w:t>
      </w:r>
    </w:p>
    <w:p w14:paraId="293D7905" w14:textId="77777777" w:rsidR="00455369" w:rsidRDefault="00455369">
      <w:pPr>
        <w:pStyle w:val="ConcHead"/>
        <w:spacing w:after="0"/>
        <w:jc w:val="both"/>
        <w:rPr>
          <w:rFonts w:ascii="Arial" w:hAnsi="Arial" w:cs="Arial"/>
        </w:rPr>
      </w:pPr>
    </w:p>
    <w:p w14:paraId="36588F7B" w14:textId="77777777" w:rsidR="00455369" w:rsidRDefault="006721A8">
      <w:pPr>
        <w:pStyle w:val="BodyText"/>
        <w:spacing w:beforeAutospacing="1" w:afterAutospacing="1"/>
        <w:jc w:val="both"/>
      </w:pPr>
      <w:r>
        <w:rPr>
          <w:rFonts w:ascii="Arial" w:hAnsi="Arial" w:cs="Arial"/>
          <w:szCs w:val="24"/>
          <w:lang w:val="en-PH" w:eastAsia="en-PH"/>
        </w:rPr>
        <w:t xml:space="preserve">The study concludes that the financial literacy of pre-service students at the University of Eastern Philippines, </w:t>
      </w:r>
      <w:proofErr w:type="spellStart"/>
      <w:r>
        <w:rPr>
          <w:rFonts w:ascii="Arial" w:hAnsi="Arial" w:cs="Arial"/>
          <w:szCs w:val="24"/>
          <w:lang w:val="en-PH" w:eastAsia="en-PH"/>
        </w:rPr>
        <w:t>Laoang</w:t>
      </w:r>
      <w:proofErr w:type="spellEnd"/>
      <w:r>
        <w:rPr>
          <w:rFonts w:ascii="Arial" w:hAnsi="Arial" w:cs="Arial"/>
          <w:szCs w:val="24"/>
          <w:lang w:val="en-PH" w:eastAsia="en-PH"/>
        </w:rPr>
        <w:t xml:space="preserve"> Campus reflects both notable strengths and critical areas for improvement. </w:t>
      </w:r>
      <w:r>
        <w:rPr>
          <w:rStyle w:val="Strong"/>
          <w:rFonts w:ascii="Arial" w:hAnsi="Arial" w:cs="Arial"/>
          <w:b w:val="0"/>
          <w:bCs w:val="0"/>
          <w:szCs w:val="24"/>
          <w:lang w:val="en-PH" w:eastAsia="en-PH"/>
        </w:rPr>
        <w:t>Budgeting emerged as the strongest dimension</w:t>
      </w:r>
      <w:r>
        <w:rPr>
          <w:rFonts w:ascii="Arial" w:hAnsi="Arial" w:cs="Arial"/>
          <w:szCs w:val="24"/>
          <w:lang w:val="en-PH" w:eastAsia="en-PH"/>
        </w:rPr>
        <w:t xml:space="preserve">, demonstrating students’ ability to plan, allocate, and manage financial resources effectively. This strength highlights their preparedness for financial responsibilities in both personal and professional contexts. </w:t>
      </w:r>
      <w:r>
        <w:rPr>
          <w:rStyle w:val="Strong"/>
          <w:rFonts w:ascii="Arial" w:hAnsi="Arial" w:cs="Arial"/>
          <w:b w:val="0"/>
          <w:bCs w:val="0"/>
          <w:szCs w:val="24"/>
          <w:lang w:val="en-PH" w:eastAsia="en-PH"/>
        </w:rPr>
        <w:t>Saving ranked second</w:t>
      </w:r>
      <w:r>
        <w:rPr>
          <w:rFonts w:ascii="Arial" w:hAnsi="Arial" w:cs="Arial"/>
          <w:szCs w:val="24"/>
          <w:lang w:val="en-PH" w:eastAsia="en-PH"/>
        </w:rPr>
        <w:t>, underscoring their</w:t>
      </w:r>
      <w:r>
        <w:rPr>
          <w:rFonts w:ascii="Arial" w:hAnsi="Arial" w:cs="Arial"/>
          <w:szCs w:val="24"/>
          <w:lang w:val="en-PH" w:eastAsia="en-PH"/>
        </w:rPr>
        <w:t xml:space="preserve"> resilience and foresight in securing future stability through consistent saving practices.</w:t>
      </w:r>
    </w:p>
    <w:p w14:paraId="7E853347" w14:textId="77777777" w:rsidR="00455369" w:rsidRDefault="006721A8">
      <w:pPr>
        <w:pStyle w:val="BodyText"/>
        <w:jc w:val="both"/>
      </w:pPr>
      <w:r>
        <w:rPr>
          <w:rFonts w:ascii="Arial" w:hAnsi="Arial"/>
        </w:rPr>
        <w:t xml:space="preserve">Meanwhile, </w:t>
      </w:r>
      <w:r>
        <w:rPr>
          <w:rStyle w:val="Strong"/>
          <w:rFonts w:ascii="Arial" w:hAnsi="Arial"/>
          <w:b w:val="0"/>
          <w:bCs w:val="0"/>
        </w:rPr>
        <w:t>financial knowledge was rated moderately high</w:t>
      </w:r>
      <w:r>
        <w:rPr>
          <w:rFonts w:ascii="Arial" w:hAnsi="Arial"/>
        </w:rPr>
        <w:t xml:space="preserve">, indicating a solid grasp of basic concepts but revealing the need to deepen understanding of more complex </w:t>
      </w:r>
      <w:r>
        <w:rPr>
          <w:rFonts w:ascii="Arial" w:hAnsi="Arial"/>
        </w:rPr>
        <w:t xml:space="preserve">principles such as investment strategies, risk management, and long-term planning. </w:t>
      </w:r>
      <w:r>
        <w:rPr>
          <w:rStyle w:val="Strong"/>
          <w:rFonts w:ascii="Arial" w:hAnsi="Arial"/>
          <w:b w:val="0"/>
          <w:bCs w:val="0"/>
        </w:rPr>
        <w:t>Debt management scored lower</w:t>
      </w:r>
      <w:r>
        <w:rPr>
          <w:rFonts w:ascii="Arial" w:hAnsi="Arial"/>
        </w:rPr>
        <w:t xml:space="preserve">, pointing to challenges in handling financial obligations and credit responsibly, while </w:t>
      </w:r>
      <w:r>
        <w:rPr>
          <w:rStyle w:val="Strong"/>
          <w:rFonts w:ascii="Arial" w:hAnsi="Arial"/>
          <w:b w:val="0"/>
          <w:bCs w:val="0"/>
        </w:rPr>
        <w:t>investing was the weakest dimension</w:t>
      </w:r>
      <w:r>
        <w:rPr>
          <w:rFonts w:ascii="Arial" w:hAnsi="Arial"/>
        </w:rPr>
        <w:t xml:space="preserve">, reflecting limited </w:t>
      </w:r>
      <w:r>
        <w:rPr>
          <w:rFonts w:ascii="Arial" w:hAnsi="Arial"/>
        </w:rPr>
        <w:t>confidence and knowledge in pursuing opportunities for long-term wealth creation.</w:t>
      </w:r>
    </w:p>
    <w:p w14:paraId="570D2394" w14:textId="77777777" w:rsidR="00455369" w:rsidRDefault="006721A8">
      <w:pPr>
        <w:pStyle w:val="BodyText"/>
        <w:jc w:val="both"/>
      </w:pPr>
      <w:r>
        <w:rPr>
          <w:rFonts w:ascii="Arial" w:hAnsi="Arial"/>
        </w:rPr>
        <w:t xml:space="preserve">Overall, the findings emphasize the importance of </w:t>
      </w:r>
      <w:r>
        <w:rPr>
          <w:rStyle w:val="Strong"/>
          <w:rFonts w:ascii="Arial" w:hAnsi="Arial"/>
          <w:b w:val="0"/>
          <w:bCs w:val="0"/>
        </w:rPr>
        <w:t>structured financial education programs</w:t>
      </w:r>
      <w:r>
        <w:rPr>
          <w:rFonts w:ascii="Arial" w:hAnsi="Arial"/>
        </w:rPr>
        <w:t xml:space="preserve"> that reinforce strengths in budgeting and saving while addressing gaps in debt manag</w:t>
      </w:r>
      <w:r>
        <w:rPr>
          <w:rFonts w:ascii="Arial" w:hAnsi="Arial"/>
        </w:rPr>
        <w:t>ement and investing. Embedding comprehensive financial literacy initiatives into teacher education curricula will not only empower pre-service students to achieve personal financial stability but also enable them to model responsible financial behavior for</w:t>
      </w:r>
      <w:r>
        <w:rPr>
          <w:rFonts w:ascii="Arial" w:hAnsi="Arial"/>
        </w:rPr>
        <w:t xml:space="preserve"> their future learners, thereby contributing to the development of financially literate communities.</w:t>
      </w:r>
    </w:p>
    <w:p w14:paraId="2E1AB71D" w14:textId="77777777" w:rsidR="00455369" w:rsidRDefault="00455369">
      <w:pPr>
        <w:pStyle w:val="BodyText"/>
        <w:jc w:val="both"/>
        <w:rPr>
          <w:rFonts w:ascii="Arial" w:hAnsi="Arial"/>
        </w:rPr>
      </w:pPr>
    </w:p>
    <w:p w14:paraId="51EF9EEA" w14:textId="77777777" w:rsidR="00455369" w:rsidRDefault="006721A8">
      <w:pPr>
        <w:pStyle w:val="Heading1"/>
        <w:rPr>
          <w:sz w:val="20"/>
        </w:rPr>
      </w:pPr>
      <w:r>
        <w:rPr>
          <w:rFonts w:cs="Arial"/>
          <w:b w:val="0"/>
          <w:bCs/>
          <w:iCs/>
          <w:sz w:val="20"/>
        </w:rPr>
        <w:lastRenderedPageBreak/>
        <w:t xml:space="preserve"> </w:t>
      </w:r>
      <w:r>
        <w:rPr>
          <w:rFonts w:cs="Arial"/>
          <w:bCs/>
          <w:iCs/>
          <w:sz w:val="22"/>
          <w:szCs w:val="22"/>
        </w:rPr>
        <w:t>Proposed Financial Literacy Program Framework</w:t>
      </w:r>
    </w:p>
    <w:p w14:paraId="70B04681" w14:textId="77777777" w:rsidR="00455369" w:rsidRDefault="00455369">
      <w:pPr>
        <w:rPr>
          <w:rFonts w:cs="Arial"/>
          <w:bCs/>
          <w:iCs/>
          <w:kern w:val="2"/>
        </w:rPr>
      </w:pPr>
    </w:p>
    <w:p w14:paraId="358DB85A" w14:textId="77777777" w:rsidR="00455369" w:rsidRDefault="006721A8">
      <w:pPr>
        <w:pStyle w:val="BodyText"/>
      </w:pPr>
      <w:r>
        <w:rPr>
          <w:rStyle w:val="Strong"/>
          <w:rFonts w:ascii="Arial" w:hAnsi="Arial"/>
        </w:rPr>
        <w:t>1. Research Findings (Input)</w:t>
      </w:r>
    </w:p>
    <w:p w14:paraId="18E62758" w14:textId="77777777" w:rsidR="00455369" w:rsidRDefault="006721A8">
      <w:pPr>
        <w:pStyle w:val="BodyText"/>
        <w:numPr>
          <w:ilvl w:val="0"/>
          <w:numId w:val="2"/>
        </w:numPr>
        <w:tabs>
          <w:tab w:val="clear" w:pos="709"/>
          <w:tab w:val="left" w:pos="0"/>
        </w:tabs>
        <w:rPr>
          <w:rFonts w:ascii="Arial" w:hAnsi="Arial"/>
        </w:rPr>
      </w:pPr>
      <w:r>
        <w:rPr>
          <w:rFonts w:ascii="Arial" w:hAnsi="Arial"/>
        </w:rPr>
        <w:t>Strengths: Budgeting, Saving</w:t>
      </w:r>
    </w:p>
    <w:p w14:paraId="50801BDB" w14:textId="77777777" w:rsidR="00455369" w:rsidRDefault="006721A8">
      <w:pPr>
        <w:pStyle w:val="BodyText"/>
        <w:numPr>
          <w:ilvl w:val="0"/>
          <w:numId w:val="2"/>
        </w:numPr>
        <w:tabs>
          <w:tab w:val="clear" w:pos="709"/>
          <w:tab w:val="left" w:pos="0"/>
        </w:tabs>
        <w:rPr>
          <w:rFonts w:ascii="Arial" w:hAnsi="Arial"/>
        </w:rPr>
      </w:pPr>
      <w:r>
        <w:rPr>
          <w:rFonts w:ascii="Arial" w:hAnsi="Arial"/>
        </w:rPr>
        <w:t>Moderate: Financial Knowledge</w:t>
      </w:r>
    </w:p>
    <w:p w14:paraId="5DB985EF" w14:textId="77777777" w:rsidR="00455369" w:rsidRDefault="006721A8">
      <w:pPr>
        <w:pStyle w:val="BodyText"/>
        <w:numPr>
          <w:ilvl w:val="0"/>
          <w:numId w:val="2"/>
        </w:numPr>
        <w:tabs>
          <w:tab w:val="clear" w:pos="709"/>
          <w:tab w:val="left" w:pos="0"/>
        </w:tabs>
        <w:rPr>
          <w:rFonts w:ascii="Arial" w:hAnsi="Arial"/>
        </w:rPr>
      </w:pPr>
      <w:r>
        <w:rPr>
          <w:rFonts w:ascii="Arial" w:hAnsi="Arial"/>
        </w:rPr>
        <w:t>Weaknesses: Debt M</w:t>
      </w:r>
      <w:r>
        <w:rPr>
          <w:rFonts w:ascii="Arial" w:hAnsi="Arial"/>
        </w:rPr>
        <w:t>anagement, Investing</w:t>
      </w:r>
    </w:p>
    <w:p w14:paraId="315418D0" w14:textId="77777777" w:rsidR="00455369" w:rsidRDefault="006721A8">
      <w:pPr>
        <w:pStyle w:val="BodyText"/>
      </w:pPr>
      <w:r>
        <w:rPr>
          <w:rStyle w:val="Strong"/>
          <w:rFonts w:ascii="Arial" w:hAnsi="Arial"/>
        </w:rPr>
        <w:t>2. Program Objectives</w:t>
      </w:r>
    </w:p>
    <w:p w14:paraId="0248A820" w14:textId="77777777" w:rsidR="00455369" w:rsidRDefault="006721A8">
      <w:pPr>
        <w:pStyle w:val="BodyText"/>
        <w:numPr>
          <w:ilvl w:val="0"/>
          <w:numId w:val="3"/>
        </w:numPr>
        <w:tabs>
          <w:tab w:val="clear" w:pos="709"/>
          <w:tab w:val="left" w:pos="0"/>
        </w:tabs>
        <w:rPr>
          <w:rFonts w:ascii="Arial" w:hAnsi="Arial"/>
        </w:rPr>
      </w:pPr>
      <w:r>
        <w:rPr>
          <w:rFonts w:ascii="Arial" w:hAnsi="Arial"/>
        </w:rPr>
        <w:t>Reinforce budgeting and saving skills</w:t>
      </w:r>
    </w:p>
    <w:p w14:paraId="38668ED2" w14:textId="77777777" w:rsidR="00455369" w:rsidRDefault="006721A8">
      <w:pPr>
        <w:pStyle w:val="BodyText"/>
        <w:numPr>
          <w:ilvl w:val="0"/>
          <w:numId w:val="3"/>
        </w:numPr>
        <w:tabs>
          <w:tab w:val="clear" w:pos="709"/>
          <w:tab w:val="left" w:pos="0"/>
        </w:tabs>
        <w:rPr>
          <w:rFonts w:ascii="Arial" w:hAnsi="Arial"/>
        </w:rPr>
      </w:pPr>
      <w:r>
        <w:rPr>
          <w:rFonts w:ascii="Arial" w:hAnsi="Arial"/>
        </w:rPr>
        <w:t>Improve debt management practices</w:t>
      </w:r>
    </w:p>
    <w:p w14:paraId="5181D4CC" w14:textId="77777777" w:rsidR="00455369" w:rsidRDefault="006721A8">
      <w:pPr>
        <w:pStyle w:val="BodyText"/>
        <w:numPr>
          <w:ilvl w:val="0"/>
          <w:numId w:val="3"/>
        </w:numPr>
        <w:tabs>
          <w:tab w:val="clear" w:pos="709"/>
          <w:tab w:val="left" w:pos="0"/>
        </w:tabs>
        <w:rPr>
          <w:rFonts w:ascii="Arial" w:hAnsi="Arial"/>
        </w:rPr>
      </w:pPr>
      <w:r>
        <w:rPr>
          <w:rFonts w:ascii="Arial" w:hAnsi="Arial"/>
        </w:rPr>
        <w:t>Build confidence in investing</w:t>
      </w:r>
    </w:p>
    <w:p w14:paraId="7CCD8407" w14:textId="77777777" w:rsidR="00455369" w:rsidRDefault="006721A8">
      <w:pPr>
        <w:pStyle w:val="BodyText"/>
        <w:numPr>
          <w:ilvl w:val="0"/>
          <w:numId w:val="3"/>
        </w:numPr>
        <w:tabs>
          <w:tab w:val="clear" w:pos="709"/>
          <w:tab w:val="left" w:pos="0"/>
        </w:tabs>
        <w:rPr>
          <w:rFonts w:ascii="Arial" w:hAnsi="Arial"/>
        </w:rPr>
      </w:pPr>
      <w:r>
        <w:rPr>
          <w:rFonts w:ascii="Arial" w:hAnsi="Arial"/>
        </w:rPr>
        <w:t>Deepen financial knowledge for long-term planning</w:t>
      </w:r>
    </w:p>
    <w:p w14:paraId="734EEC49" w14:textId="77777777" w:rsidR="00455369" w:rsidRDefault="006721A8">
      <w:pPr>
        <w:pStyle w:val="BodyText"/>
      </w:pPr>
      <w:r>
        <w:rPr>
          <w:rStyle w:val="Strong"/>
          <w:rFonts w:ascii="Arial" w:hAnsi="Arial"/>
        </w:rPr>
        <w:t>3. Core Components</w:t>
      </w:r>
    </w:p>
    <w:p w14:paraId="35CBB484" w14:textId="77777777" w:rsidR="00455369" w:rsidRDefault="006721A8">
      <w:pPr>
        <w:pStyle w:val="BodyText"/>
        <w:numPr>
          <w:ilvl w:val="0"/>
          <w:numId w:val="4"/>
        </w:numPr>
        <w:tabs>
          <w:tab w:val="clear" w:pos="709"/>
          <w:tab w:val="left" w:pos="0"/>
        </w:tabs>
      </w:pPr>
      <w:r>
        <w:rPr>
          <w:rStyle w:val="Strong"/>
          <w:rFonts w:ascii="Arial" w:hAnsi="Arial"/>
        </w:rPr>
        <w:t>Budgeting Workshops</w:t>
      </w:r>
      <w:r>
        <w:rPr>
          <w:rFonts w:ascii="Arial" w:hAnsi="Arial"/>
        </w:rPr>
        <w:t xml:space="preserve"> → Income allocation, e</w:t>
      </w:r>
      <w:r>
        <w:rPr>
          <w:rFonts w:ascii="Arial" w:hAnsi="Arial"/>
        </w:rPr>
        <w:t>xpense tracking</w:t>
      </w:r>
    </w:p>
    <w:p w14:paraId="62D8F981" w14:textId="77777777" w:rsidR="00455369" w:rsidRDefault="006721A8">
      <w:pPr>
        <w:pStyle w:val="BodyText"/>
        <w:numPr>
          <w:ilvl w:val="0"/>
          <w:numId w:val="4"/>
        </w:numPr>
        <w:tabs>
          <w:tab w:val="clear" w:pos="709"/>
          <w:tab w:val="left" w:pos="0"/>
        </w:tabs>
      </w:pPr>
      <w:r>
        <w:rPr>
          <w:rStyle w:val="Strong"/>
          <w:rFonts w:ascii="Arial" w:hAnsi="Arial"/>
        </w:rPr>
        <w:t>Saving Strategies</w:t>
      </w:r>
      <w:r>
        <w:rPr>
          <w:rFonts w:ascii="Arial" w:hAnsi="Arial"/>
        </w:rPr>
        <w:t xml:space="preserve"> → Emergency funds, digital savings tools</w:t>
      </w:r>
    </w:p>
    <w:p w14:paraId="38E8A3A1" w14:textId="77777777" w:rsidR="00455369" w:rsidRDefault="006721A8">
      <w:pPr>
        <w:pStyle w:val="BodyText"/>
        <w:numPr>
          <w:ilvl w:val="0"/>
          <w:numId w:val="4"/>
        </w:numPr>
        <w:tabs>
          <w:tab w:val="clear" w:pos="709"/>
          <w:tab w:val="left" w:pos="0"/>
        </w:tabs>
      </w:pPr>
      <w:r>
        <w:rPr>
          <w:rStyle w:val="Strong"/>
          <w:rFonts w:ascii="Arial" w:hAnsi="Arial"/>
        </w:rPr>
        <w:t>Debt Management Training</w:t>
      </w:r>
      <w:r>
        <w:rPr>
          <w:rFonts w:ascii="Arial" w:hAnsi="Arial"/>
        </w:rPr>
        <w:t xml:space="preserve"> → Credit literacy, repayment planning</w:t>
      </w:r>
    </w:p>
    <w:p w14:paraId="4FDA2231" w14:textId="77777777" w:rsidR="00455369" w:rsidRDefault="006721A8">
      <w:pPr>
        <w:pStyle w:val="BodyText"/>
        <w:numPr>
          <w:ilvl w:val="0"/>
          <w:numId w:val="4"/>
        </w:numPr>
        <w:tabs>
          <w:tab w:val="clear" w:pos="709"/>
          <w:tab w:val="left" w:pos="0"/>
        </w:tabs>
      </w:pPr>
      <w:r>
        <w:rPr>
          <w:rStyle w:val="Strong"/>
          <w:rFonts w:ascii="Arial" w:hAnsi="Arial"/>
        </w:rPr>
        <w:t>Investment Education</w:t>
      </w:r>
      <w:r>
        <w:rPr>
          <w:rFonts w:ascii="Arial" w:hAnsi="Arial"/>
        </w:rPr>
        <w:t xml:space="preserve"> → Basics of stocks, bonds, mutual funds, risk management</w:t>
      </w:r>
    </w:p>
    <w:p w14:paraId="7E5E8F4F" w14:textId="77777777" w:rsidR="00455369" w:rsidRDefault="006721A8">
      <w:pPr>
        <w:pStyle w:val="BodyText"/>
        <w:numPr>
          <w:ilvl w:val="0"/>
          <w:numId w:val="4"/>
        </w:numPr>
        <w:tabs>
          <w:tab w:val="clear" w:pos="709"/>
          <w:tab w:val="left" w:pos="0"/>
        </w:tabs>
      </w:pPr>
      <w:r>
        <w:rPr>
          <w:rStyle w:val="Strong"/>
          <w:rFonts w:ascii="Arial" w:hAnsi="Arial"/>
        </w:rPr>
        <w:t>Knowledge Enhancement</w:t>
      </w:r>
      <w:r>
        <w:rPr>
          <w:rFonts w:ascii="Arial" w:hAnsi="Arial"/>
        </w:rPr>
        <w:t xml:space="preserve"> → Retirement plann</w:t>
      </w:r>
      <w:r>
        <w:rPr>
          <w:rFonts w:ascii="Arial" w:hAnsi="Arial"/>
        </w:rPr>
        <w:t>ing, insurance, financial risk analysis</w:t>
      </w:r>
    </w:p>
    <w:p w14:paraId="0CACBDEB" w14:textId="77777777" w:rsidR="00455369" w:rsidRDefault="006721A8">
      <w:pPr>
        <w:pStyle w:val="BodyText"/>
      </w:pPr>
      <w:r>
        <w:rPr>
          <w:rStyle w:val="Strong"/>
          <w:rFonts w:ascii="Arial" w:hAnsi="Arial"/>
        </w:rPr>
        <w:t>4. Implementation Strategies</w:t>
      </w:r>
    </w:p>
    <w:p w14:paraId="59FE895B" w14:textId="77777777" w:rsidR="00455369" w:rsidRDefault="006721A8">
      <w:pPr>
        <w:pStyle w:val="BodyText"/>
        <w:numPr>
          <w:ilvl w:val="0"/>
          <w:numId w:val="5"/>
        </w:numPr>
        <w:tabs>
          <w:tab w:val="clear" w:pos="709"/>
          <w:tab w:val="left" w:pos="0"/>
        </w:tabs>
        <w:rPr>
          <w:rFonts w:ascii="Arial" w:hAnsi="Arial"/>
        </w:rPr>
      </w:pPr>
      <w:r>
        <w:rPr>
          <w:rFonts w:ascii="Arial" w:hAnsi="Arial"/>
        </w:rPr>
        <w:t>Curriculum integration into teacher education</w:t>
      </w:r>
    </w:p>
    <w:p w14:paraId="14E84F9D" w14:textId="77777777" w:rsidR="00455369" w:rsidRDefault="006721A8">
      <w:pPr>
        <w:pStyle w:val="BodyText"/>
        <w:numPr>
          <w:ilvl w:val="0"/>
          <w:numId w:val="5"/>
        </w:numPr>
        <w:tabs>
          <w:tab w:val="clear" w:pos="709"/>
          <w:tab w:val="left" w:pos="0"/>
        </w:tabs>
        <w:rPr>
          <w:rFonts w:ascii="Arial" w:hAnsi="Arial"/>
        </w:rPr>
      </w:pPr>
      <w:r>
        <w:rPr>
          <w:rFonts w:ascii="Arial" w:hAnsi="Arial"/>
        </w:rPr>
        <w:t>Structured seminars and workshops</w:t>
      </w:r>
    </w:p>
    <w:p w14:paraId="2F42EE90" w14:textId="77777777" w:rsidR="00455369" w:rsidRDefault="006721A8">
      <w:pPr>
        <w:pStyle w:val="BodyText"/>
        <w:numPr>
          <w:ilvl w:val="0"/>
          <w:numId w:val="5"/>
        </w:numPr>
        <w:tabs>
          <w:tab w:val="clear" w:pos="709"/>
          <w:tab w:val="left" w:pos="0"/>
        </w:tabs>
        <w:rPr>
          <w:rFonts w:ascii="Arial" w:hAnsi="Arial"/>
        </w:rPr>
      </w:pPr>
      <w:r>
        <w:rPr>
          <w:rFonts w:ascii="Arial" w:hAnsi="Arial"/>
        </w:rPr>
        <w:t>Partnerships with BSP and financial institutions</w:t>
      </w:r>
    </w:p>
    <w:p w14:paraId="35C6CA74" w14:textId="77777777" w:rsidR="00455369" w:rsidRDefault="006721A8">
      <w:pPr>
        <w:pStyle w:val="BodyText"/>
        <w:numPr>
          <w:ilvl w:val="0"/>
          <w:numId w:val="5"/>
        </w:numPr>
        <w:tabs>
          <w:tab w:val="clear" w:pos="709"/>
          <w:tab w:val="left" w:pos="0"/>
        </w:tabs>
        <w:rPr>
          <w:rFonts w:ascii="Arial" w:hAnsi="Arial"/>
        </w:rPr>
      </w:pPr>
      <w:r>
        <w:rPr>
          <w:rFonts w:ascii="Arial" w:hAnsi="Arial"/>
        </w:rPr>
        <w:t>Student support systems (counseling, peer mentoring)</w:t>
      </w:r>
    </w:p>
    <w:p w14:paraId="26518A33" w14:textId="77777777" w:rsidR="00455369" w:rsidRDefault="006721A8">
      <w:pPr>
        <w:pStyle w:val="BodyText"/>
        <w:numPr>
          <w:ilvl w:val="0"/>
          <w:numId w:val="5"/>
        </w:numPr>
        <w:tabs>
          <w:tab w:val="clear" w:pos="709"/>
          <w:tab w:val="left" w:pos="0"/>
        </w:tabs>
        <w:rPr>
          <w:rFonts w:ascii="Arial" w:hAnsi="Arial"/>
        </w:rPr>
      </w:pPr>
      <w:r>
        <w:rPr>
          <w:rFonts w:ascii="Arial" w:hAnsi="Arial"/>
        </w:rPr>
        <w:t>Continuous monitoring and evaluation</w:t>
      </w:r>
    </w:p>
    <w:p w14:paraId="212F9A00" w14:textId="77777777" w:rsidR="00455369" w:rsidRDefault="006721A8">
      <w:pPr>
        <w:pStyle w:val="BodyText"/>
      </w:pPr>
      <w:r>
        <w:rPr>
          <w:rStyle w:val="Strong"/>
          <w:rFonts w:ascii="Arial" w:hAnsi="Arial"/>
        </w:rPr>
        <w:t>5. Expected Outcomes (Output)</w:t>
      </w:r>
    </w:p>
    <w:p w14:paraId="3A33B2D0" w14:textId="77777777" w:rsidR="00455369" w:rsidRDefault="006721A8">
      <w:pPr>
        <w:pStyle w:val="BodyText"/>
        <w:numPr>
          <w:ilvl w:val="0"/>
          <w:numId w:val="6"/>
        </w:numPr>
        <w:tabs>
          <w:tab w:val="clear" w:pos="709"/>
          <w:tab w:val="left" w:pos="0"/>
        </w:tabs>
        <w:rPr>
          <w:rFonts w:ascii="Arial" w:hAnsi="Arial"/>
        </w:rPr>
      </w:pPr>
      <w:r>
        <w:rPr>
          <w:rFonts w:ascii="Arial" w:hAnsi="Arial"/>
        </w:rPr>
        <w:t>Balanced financial literacy across all dimensions</w:t>
      </w:r>
    </w:p>
    <w:p w14:paraId="6C5FB3F8" w14:textId="77777777" w:rsidR="00455369" w:rsidRDefault="006721A8">
      <w:pPr>
        <w:pStyle w:val="BodyText"/>
        <w:numPr>
          <w:ilvl w:val="0"/>
          <w:numId w:val="6"/>
        </w:numPr>
        <w:tabs>
          <w:tab w:val="clear" w:pos="709"/>
          <w:tab w:val="left" w:pos="0"/>
        </w:tabs>
        <w:rPr>
          <w:rFonts w:ascii="Arial" w:hAnsi="Arial"/>
        </w:rPr>
      </w:pPr>
      <w:r>
        <w:rPr>
          <w:rFonts w:ascii="Arial" w:hAnsi="Arial"/>
        </w:rPr>
        <w:t>Reduced financial stress among pre-service teachers</w:t>
      </w:r>
    </w:p>
    <w:p w14:paraId="2E882C34" w14:textId="77777777" w:rsidR="00455369" w:rsidRDefault="006721A8">
      <w:pPr>
        <w:pStyle w:val="BodyText"/>
        <w:numPr>
          <w:ilvl w:val="0"/>
          <w:numId w:val="6"/>
        </w:numPr>
        <w:tabs>
          <w:tab w:val="clear" w:pos="709"/>
          <w:tab w:val="left" w:pos="0"/>
        </w:tabs>
        <w:rPr>
          <w:rFonts w:ascii="Arial" w:hAnsi="Arial"/>
        </w:rPr>
      </w:pPr>
      <w:r>
        <w:rPr>
          <w:rFonts w:ascii="Arial" w:hAnsi="Arial"/>
        </w:rPr>
        <w:t>Greater confidence in debt and investment decisions</w:t>
      </w:r>
    </w:p>
    <w:p w14:paraId="39148B27" w14:textId="77777777" w:rsidR="00455369" w:rsidRDefault="006721A8">
      <w:pPr>
        <w:pStyle w:val="BodyText"/>
        <w:numPr>
          <w:ilvl w:val="0"/>
          <w:numId w:val="6"/>
        </w:numPr>
        <w:tabs>
          <w:tab w:val="clear" w:pos="709"/>
          <w:tab w:val="left" w:pos="0"/>
        </w:tabs>
        <w:rPr>
          <w:rFonts w:ascii="Arial" w:hAnsi="Arial"/>
        </w:rPr>
      </w:pPr>
      <w:r>
        <w:rPr>
          <w:rFonts w:ascii="Arial" w:hAnsi="Arial"/>
        </w:rPr>
        <w:t>Empowered educators modeling respon</w:t>
      </w:r>
      <w:r>
        <w:rPr>
          <w:rFonts w:ascii="Arial" w:hAnsi="Arial"/>
        </w:rPr>
        <w:t>sible financial behavior</w:t>
      </w:r>
    </w:p>
    <w:p w14:paraId="642B1CD9" w14:textId="77777777" w:rsidR="00455369" w:rsidRDefault="006721A8">
      <w:pPr>
        <w:pStyle w:val="BodyText"/>
        <w:numPr>
          <w:ilvl w:val="0"/>
          <w:numId w:val="6"/>
        </w:numPr>
        <w:tabs>
          <w:tab w:val="clear" w:pos="709"/>
          <w:tab w:val="left" w:pos="0"/>
        </w:tabs>
        <w:rPr>
          <w:rFonts w:ascii="Arial" w:hAnsi="Arial"/>
        </w:rPr>
      </w:pPr>
      <w:r>
        <w:rPr>
          <w:rFonts w:ascii="Arial" w:hAnsi="Arial"/>
        </w:rPr>
        <w:t>Contribution to financially literate communities</w:t>
      </w:r>
    </w:p>
    <w:p w14:paraId="64FEAE2F" w14:textId="77777777" w:rsidR="00455369" w:rsidRDefault="00455369">
      <w:pPr>
        <w:pStyle w:val="Author"/>
        <w:spacing w:line="240" w:lineRule="auto"/>
        <w:jc w:val="left"/>
        <w:rPr>
          <w:szCs w:val="24"/>
        </w:rPr>
      </w:pPr>
    </w:p>
    <w:p w14:paraId="0F3D7E07" w14:textId="77777777" w:rsidR="00455369" w:rsidRDefault="00455369"/>
    <w:p w14:paraId="451887E4" w14:textId="77777777" w:rsidR="00455369" w:rsidRDefault="00455369"/>
    <w:p w14:paraId="59221C41" w14:textId="77777777" w:rsidR="00455369" w:rsidRDefault="006721A8">
      <w:pPr>
        <w:pStyle w:val="ReferHead"/>
        <w:spacing w:after="0"/>
        <w:jc w:val="both"/>
        <w:rPr>
          <w:rFonts w:ascii="Arial" w:hAnsi="Arial" w:cs="Arial"/>
          <w:bCs/>
        </w:rPr>
      </w:pPr>
      <w:r>
        <w:rPr>
          <w:rFonts w:ascii="Arial" w:hAnsi="Arial" w:cs="Arial"/>
          <w:bCs/>
        </w:rPr>
        <w:t>Competing interests</w:t>
      </w:r>
    </w:p>
    <w:p w14:paraId="0CA2CF12" w14:textId="77777777" w:rsidR="00455369" w:rsidRDefault="00455369">
      <w:pPr>
        <w:pStyle w:val="ReferHead"/>
        <w:spacing w:after="0"/>
        <w:jc w:val="both"/>
        <w:rPr>
          <w:rFonts w:ascii="Arial" w:hAnsi="Arial" w:cs="Arial"/>
          <w:b w:val="0"/>
          <w:caps w:val="0"/>
          <w:sz w:val="20"/>
        </w:rPr>
      </w:pPr>
    </w:p>
    <w:p w14:paraId="5CEE96C4" w14:textId="77777777" w:rsidR="00455369" w:rsidRDefault="006721A8">
      <w:pPr>
        <w:pStyle w:val="ReferHead"/>
        <w:spacing w:after="0"/>
        <w:jc w:val="both"/>
        <w:rPr>
          <w:rFonts w:ascii="Arial" w:hAnsi="Arial" w:cs="Arial"/>
          <w:b w:val="0"/>
          <w:caps w:val="0"/>
          <w:sz w:val="20"/>
        </w:rPr>
      </w:pPr>
      <w:r>
        <w:rPr>
          <w:rFonts w:ascii="Arial" w:hAnsi="Arial" w:cs="Arial"/>
          <w:b w:val="0"/>
          <w:caps w:val="0"/>
          <w:sz w:val="20"/>
        </w:rPr>
        <w:t>Authors had declared that no competing interests exist.</w:t>
      </w:r>
    </w:p>
    <w:p w14:paraId="481AC401" w14:textId="77777777" w:rsidR="00455369" w:rsidRDefault="00455369">
      <w:pPr>
        <w:pStyle w:val="ReferHead"/>
        <w:spacing w:after="0"/>
        <w:jc w:val="both"/>
        <w:rPr>
          <w:rFonts w:ascii="Arial" w:hAnsi="Arial" w:cs="Arial"/>
          <w:b w:val="0"/>
          <w:caps w:val="0"/>
          <w:sz w:val="20"/>
        </w:rPr>
      </w:pPr>
    </w:p>
    <w:p w14:paraId="45DE3C4B" w14:textId="77777777" w:rsidR="00455369" w:rsidRDefault="00455369">
      <w:pPr>
        <w:pStyle w:val="ReferHead"/>
        <w:spacing w:after="0"/>
        <w:jc w:val="both"/>
        <w:rPr>
          <w:rFonts w:ascii="Arial" w:hAnsi="Arial" w:cs="Arial"/>
          <w:bCs/>
        </w:rPr>
      </w:pPr>
    </w:p>
    <w:p w14:paraId="5E1B94DF" w14:textId="77777777" w:rsidR="00455369" w:rsidRDefault="00455369">
      <w:pPr>
        <w:pStyle w:val="ReferHead"/>
        <w:spacing w:after="0"/>
        <w:jc w:val="both"/>
        <w:rPr>
          <w:rFonts w:ascii="Arial" w:hAnsi="Arial" w:cs="Arial"/>
          <w:b w:val="0"/>
          <w:caps w:val="0"/>
          <w:sz w:val="20"/>
        </w:rPr>
      </w:pPr>
    </w:p>
    <w:p w14:paraId="632B1CEE" w14:textId="77777777" w:rsidR="00455369" w:rsidRDefault="00455369">
      <w:pPr>
        <w:pStyle w:val="ReferHead"/>
        <w:spacing w:after="0"/>
        <w:jc w:val="both"/>
        <w:rPr>
          <w:rFonts w:ascii="Arial" w:hAnsi="Arial" w:cs="Arial"/>
          <w:bCs/>
        </w:rPr>
      </w:pPr>
    </w:p>
    <w:p w14:paraId="0801C236" w14:textId="77777777" w:rsidR="00455369" w:rsidRDefault="00455369">
      <w:pPr>
        <w:pStyle w:val="ReferHead"/>
        <w:spacing w:after="0"/>
        <w:jc w:val="both"/>
        <w:rPr>
          <w:rFonts w:ascii="Arial" w:hAnsi="Arial" w:cs="Arial"/>
          <w:b w:val="0"/>
          <w:caps w:val="0"/>
          <w:sz w:val="20"/>
        </w:rPr>
      </w:pPr>
    </w:p>
    <w:p w14:paraId="46844CBC" w14:textId="77777777" w:rsidR="00455369" w:rsidRDefault="00455369">
      <w:pPr>
        <w:pStyle w:val="ReferHead"/>
        <w:spacing w:after="0"/>
        <w:jc w:val="both"/>
        <w:rPr>
          <w:rFonts w:ascii="Arial" w:hAnsi="Arial" w:cs="Arial"/>
        </w:rPr>
      </w:pPr>
      <w:bookmarkStart w:id="0" w:name="_GoBack"/>
      <w:bookmarkEnd w:id="0"/>
    </w:p>
    <w:p w14:paraId="5C80AE33" w14:textId="77777777" w:rsidR="00455369" w:rsidRDefault="006721A8">
      <w:pPr>
        <w:pStyle w:val="ReferHead"/>
        <w:spacing w:after="0"/>
        <w:ind w:left="630" w:hanging="630"/>
        <w:jc w:val="center"/>
        <w:rPr>
          <w:rFonts w:ascii="Arial" w:hAnsi="Arial" w:cs="Arial"/>
          <w:sz w:val="20"/>
        </w:rPr>
      </w:pPr>
      <w:r>
        <w:rPr>
          <w:rFonts w:ascii="Arial" w:hAnsi="Arial" w:cs="Arial"/>
          <w:sz w:val="20"/>
        </w:rPr>
        <w:t>References</w:t>
      </w:r>
    </w:p>
    <w:p w14:paraId="4FA7B591" w14:textId="77777777" w:rsidR="00455369" w:rsidRDefault="00455369">
      <w:pPr>
        <w:pStyle w:val="ReferHead"/>
        <w:spacing w:after="0"/>
        <w:ind w:left="630" w:hanging="630"/>
        <w:jc w:val="both"/>
        <w:rPr>
          <w:rFonts w:ascii="Arial" w:hAnsi="Arial" w:cs="Arial"/>
          <w:sz w:val="20"/>
        </w:rPr>
      </w:pPr>
    </w:p>
    <w:p w14:paraId="6FED49C0" w14:textId="77777777" w:rsidR="00455369" w:rsidRDefault="006721A8">
      <w:pPr>
        <w:pStyle w:val="Body"/>
        <w:ind w:left="630" w:hanging="630"/>
        <w:rPr>
          <w:rFonts w:ascii="Arial" w:hAnsi="Arial" w:cs="Arial"/>
        </w:rPr>
      </w:pPr>
      <w:r>
        <w:rPr>
          <w:rFonts w:ascii="Arial" w:hAnsi="Arial" w:cs="Arial"/>
        </w:rPr>
        <w:t xml:space="preserve">Abaya, K. J. C., Aguinaldo, R. A., </w:t>
      </w:r>
      <w:proofErr w:type="spellStart"/>
      <w:r>
        <w:rPr>
          <w:rFonts w:ascii="Arial" w:hAnsi="Arial" w:cs="Arial"/>
        </w:rPr>
        <w:t>Asprec</w:t>
      </w:r>
      <w:proofErr w:type="spellEnd"/>
      <w:r>
        <w:rPr>
          <w:rFonts w:ascii="Arial" w:hAnsi="Arial" w:cs="Arial"/>
        </w:rPr>
        <w:t>, A. B. B., Baylon, J. A., Donato, J. S., &amp; Viloria, V. A. (2021). Practices on financial literacy o</w:t>
      </w:r>
      <w:r>
        <w:rPr>
          <w:rFonts w:ascii="Arial" w:hAnsi="Arial" w:cs="Arial"/>
        </w:rPr>
        <w:t xml:space="preserve">f teachers in the Schools Division Office of Cabanatuan City. International Journal of English Literature and Social Sciences, 6(4), 152–160. </w:t>
      </w:r>
      <w:hyperlink r:id="rId12">
        <w:r>
          <w:rPr>
            <w:rStyle w:val="Hyperlink"/>
            <w:rFonts w:ascii="Arial" w:hAnsi="Arial" w:cs="Arial"/>
          </w:rPr>
          <w:t>https://doi.org/10.22161/ijels.64.25</w:t>
        </w:r>
      </w:hyperlink>
    </w:p>
    <w:p w14:paraId="7D332EED" w14:textId="77777777" w:rsidR="00455369" w:rsidRDefault="006721A8">
      <w:pPr>
        <w:pStyle w:val="Body"/>
        <w:ind w:left="630" w:hanging="630"/>
        <w:rPr>
          <w:rFonts w:ascii="Arial" w:hAnsi="Arial" w:cs="Arial"/>
        </w:rPr>
      </w:pPr>
      <w:r>
        <w:rPr>
          <w:rFonts w:ascii="Arial" w:hAnsi="Arial" w:cs="Arial"/>
        </w:rPr>
        <w:t>Adorna, L. C., Vasque</w:t>
      </w:r>
      <w:r>
        <w:rPr>
          <w:rFonts w:ascii="Arial" w:hAnsi="Arial" w:cs="Arial"/>
        </w:rPr>
        <w:t xml:space="preserve">z, A. G., </w:t>
      </w:r>
      <w:proofErr w:type="spellStart"/>
      <w:r>
        <w:rPr>
          <w:rFonts w:ascii="Arial" w:hAnsi="Arial" w:cs="Arial"/>
        </w:rPr>
        <w:t>Escat</w:t>
      </w:r>
      <w:proofErr w:type="spellEnd"/>
      <w:r>
        <w:rPr>
          <w:rFonts w:ascii="Arial" w:hAnsi="Arial" w:cs="Arial"/>
        </w:rPr>
        <w:t>, J. A., Macatangay, J. B., Monterola, K. G. D., &amp; Del Rosario, S. M. V. (2022). Financial literacy of elementary school teachers in Narra Del Norte District. International Journal of Multidisciplinary Research and Publications, 5(6), 222–22</w:t>
      </w:r>
      <w:r>
        <w:rPr>
          <w:rFonts w:ascii="Arial" w:hAnsi="Arial" w:cs="Arial"/>
        </w:rPr>
        <w:t>6.</w:t>
      </w:r>
    </w:p>
    <w:p w14:paraId="2F9C34C2" w14:textId="77777777" w:rsidR="00455369" w:rsidRDefault="006721A8">
      <w:pPr>
        <w:pStyle w:val="Body"/>
        <w:ind w:left="630" w:hanging="630"/>
        <w:rPr>
          <w:rFonts w:ascii="Arial" w:hAnsi="Arial" w:cs="Arial"/>
        </w:rPr>
      </w:pPr>
      <w:proofErr w:type="spellStart"/>
      <w:r>
        <w:rPr>
          <w:rFonts w:ascii="Arial" w:hAnsi="Arial" w:cs="Arial"/>
        </w:rPr>
        <w:t>Barotilla</w:t>
      </w:r>
      <w:proofErr w:type="spellEnd"/>
      <w:r>
        <w:rPr>
          <w:rFonts w:ascii="Arial" w:hAnsi="Arial" w:cs="Arial"/>
        </w:rPr>
        <w:t xml:space="preserve">, H., </w:t>
      </w:r>
      <w:proofErr w:type="spellStart"/>
      <w:r>
        <w:rPr>
          <w:rFonts w:ascii="Arial" w:hAnsi="Arial" w:cs="Arial"/>
        </w:rPr>
        <w:t>Barotilla</w:t>
      </w:r>
      <w:proofErr w:type="spellEnd"/>
      <w:r>
        <w:rPr>
          <w:rFonts w:ascii="Arial" w:hAnsi="Arial" w:cs="Arial"/>
        </w:rPr>
        <w:t xml:space="preserve">, J., Bermudez, M., Daub, M., Torres, K. R., &amp; </w:t>
      </w:r>
      <w:proofErr w:type="spellStart"/>
      <w:r>
        <w:rPr>
          <w:rFonts w:ascii="Arial" w:hAnsi="Arial" w:cs="Arial"/>
        </w:rPr>
        <w:t>Pugado</w:t>
      </w:r>
      <w:proofErr w:type="spellEnd"/>
      <w:r>
        <w:rPr>
          <w:rFonts w:ascii="Arial" w:hAnsi="Arial" w:cs="Arial"/>
        </w:rPr>
        <w:t>, R. (2024). Money crisis: The cry of pre-service teachers in handling finances. Psychology and Education: A Multidisciplinary Journal, 21(8), 893–898.</w:t>
      </w:r>
    </w:p>
    <w:p w14:paraId="16A0B74B" w14:textId="77777777" w:rsidR="00455369" w:rsidRDefault="006721A8">
      <w:pPr>
        <w:pStyle w:val="Body"/>
        <w:ind w:left="630" w:hanging="630"/>
        <w:rPr>
          <w:rFonts w:ascii="Arial" w:hAnsi="Arial" w:cs="Arial"/>
        </w:rPr>
      </w:pPr>
      <w:proofErr w:type="spellStart"/>
      <w:r>
        <w:rPr>
          <w:rFonts w:ascii="Arial" w:hAnsi="Arial" w:cs="Arial"/>
        </w:rPr>
        <w:t>Casane</w:t>
      </w:r>
      <w:proofErr w:type="spellEnd"/>
      <w:r>
        <w:rPr>
          <w:rFonts w:ascii="Arial" w:hAnsi="Arial" w:cs="Arial"/>
        </w:rPr>
        <w:t xml:space="preserve">. (2026). Academic performance and financial literacy of Bachelor of Elementary Education students in </w:t>
      </w:r>
      <w:proofErr w:type="spellStart"/>
      <w:r>
        <w:rPr>
          <w:rFonts w:ascii="Arial" w:hAnsi="Arial" w:cs="Arial"/>
        </w:rPr>
        <w:t>Edukasyong</w:t>
      </w:r>
      <w:proofErr w:type="spellEnd"/>
      <w:r>
        <w:rPr>
          <w:rFonts w:ascii="Arial" w:hAnsi="Arial" w:cs="Arial"/>
        </w:rPr>
        <w:t xml:space="preserve"> </w:t>
      </w:r>
      <w:proofErr w:type="spellStart"/>
      <w:r>
        <w:rPr>
          <w:rFonts w:ascii="Arial" w:hAnsi="Arial" w:cs="Arial"/>
        </w:rPr>
        <w:t>Pantahanan</w:t>
      </w:r>
      <w:proofErr w:type="spellEnd"/>
      <w:r>
        <w:rPr>
          <w:rFonts w:ascii="Arial" w:hAnsi="Arial" w:cs="Arial"/>
        </w:rPr>
        <w:t xml:space="preserve"> at </w:t>
      </w:r>
      <w:proofErr w:type="spellStart"/>
      <w:r>
        <w:rPr>
          <w:rFonts w:ascii="Arial" w:hAnsi="Arial" w:cs="Arial"/>
        </w:rPr>
        <w:t>Pangkabuhayan</w:t>
      </w:r>
      <w:proofErr w:type="spellEnd"/>
      <w:r>
        <w:rPr>
          <w:rFonts w:ascii="Arial" w:hAnsi="Arial" w:cs="Arial"/>
        </w:rPr>
        <w:t xml:space="preserve"> (EPP). Asian Journal of Arts, Humanities and Social Studies, 9(1), 102–112. </w:t>
      </w:r>
      <w:hyperlink r:id="rId13">
        <w:r>
          <w:rPr>
            <w:rStyle w:val="Hyperlink"/>
            <w:rFonts w:ascii="Arial" w:hAnsi="Arial" w:cs="Arial"/>
          </w:rPr>
          <w:t>https://doi.org/10.9734/AJAHSS/2026/v9i13014613</w:t>
        </w:r>
      </w:hyperlink>
    </w:p>
    <w:p w14:paraId="2EA4704B" w14:textId="77777777" w:rsidR="00455369" w:rsidRDefault="006721A8">
      <w:pPr>
        <w:pStyle w:val="Body"/>
        <w:ind w:left="540" w:hanging="540"/>
        <w:rPr>
          <w:rFonts w:ascii="Arial" w:hAnsi="Arial" w:cs="Arial"/>
        </w:rPr>
      </w:pPr>
      <w:proofErr w:type="spellStart"/>
      <w:r>
        <w:rPr>
          <w:rFonts w:ascii="Arial" w:hAnsi="Arial" w:cs="Arial"/>
        </w:rPr>
        <w:t>Gundran</w:t>
      </w:r>
      <w:proofErr w:type="spellEnd"/>
      <w:r>
        <w:rPr>
          <w:rFonts w:ascii="Arial" w:hAnsi="Arial" w:cs="Arial"/>
        </w:rPr>
        <w:t>, T., &amp; Vallejos, J. A. G. (2025). Financial literacy among the pre-service student teachers: Basis for training. International Journal of Research Studies in Education, 14(</w:t>
      </w:r>
      <w:r>
        <w:rPr>
          <w:rFonts w:ascii="Arial" w:hAnsi="Arial" w:cs="Arial"/>
        </w:rPr>
        <w:t xml:space="preserve">6), 1–11. </w:t>
      </w:r>
      <w:hyperlink r:id="rId14">
        <w:r>
          <w:rPr>
            <w:rStyle w:val="Hyperlink"/>
            <w:rFonts w:ascii="Arial" w:hAnsi="Arial" w:cs="Arial"/>
          </w:rPr>
          <w:t>https://doi.org/10.5861/ijrse.2025.25025</w:t>
        </w:r>
      </w:hyperlink>
    </w:p>
    <w:p w14:paraId="7574C1FD" w14:textId="77777777" w:rsidR="00455369" w:rsidRDefault="006721A8">
      <w:pPr>
        <w:pStyle w:val="Body"/>
        <w:ind w:left="630" w:hanging="630"/>
        <w:rPr>
          <w:rFonts w:ascii="Arial" w:hAnsi="Arial" w:cs="Arial"/>
        </w:rPr>
      </w:pPr>
      <w:r>
        <w:rPr>
          <w:rFonts w:ascii="Arial" w:hAnsi="Arial" w:cs="Arial"/>
        </w:rPr>
        <w:t>Guira, G. A. (2020). Financial literacy among senior high school teachers. E-</w:t>
      </w:r>
      <w:proofErr w:type="spellStart"/>
      <w:r>
        <w:rPr>
          <w:rFonts w:ascii="Arial" w:hAnsi="Arial" w:cs="Arial"/>
        </w:rPr>
        <w:t>Saliksik</w:t>
      </w:r>
      <w:proofErr w:type="spellEnd"/>
      <w:r>
        <w:rPr>
          <w:rFonts w:ascii="Arial" w:hAnsi="Arial" w:cs="Arial"/>
        </w:rPr>
        <w:t>: DepEd Research Portal. Department of Education, Philippine</w:t>
      </w:r>
      <w:r>
        <w:rPr>
          <w:rFonts w:ascii="Arial" w:hAnsi="Arial" w:cs="Arial"/>
        </w:rPr>
        <w:t>s.</w:t>
      </w:r>
    </w:p>
    <w:p w14:paraId="1B42F176" w14:textId="77777777" w:rsidR="00455369" w:rsidRDefault="006721A8">
      <w:pPr>
        <w:pStyle w:val="Body"/>
        <w:ind w:left="630" w:hanging="630"/>
        <w:rPr>
          <w:rFonts w:ascii="Arial" w:hAnsi="Arial" w:cs="Arial"/>
        </w:rPr>
      </w:pPr>
      <w:proofErr w:type="spellStart"/>
      <w:r>
        <w:rPr>
          <w:rFonts w:ascii="Arial" w:hAnsi="Arial" w:cs="Arial"/>
        </w:rPr>
        <w:t>Humilde</w:t>
      </w:r>
      <w:proofErr w:type="spellEnd"/>
      <w:r>
        <w:rPr>
          <w:rFonts w:ascii="Arial" w:hAnsi="Arial" w:cs="Arial"/>
        </w:rPr>
        <w:t>, N. B., &amp; Berry, E. B. (2021). Implementation of financial literacy policy among basic education implementers. International Journal of Advance Research and Innovative Ideas in Education (IJARIIE).</w:t>
      </w:r>
    </w:p>
    <w:p w14:paraId="7235FABB" w14:textId="77777777" w:rsidR="00455369" w:rsidRDefault="006721A8">
      <w:pPr>
        <w:pStyle w:val="Body"/>
        <w:ind w:left="630" w:hanging="630"/>
        <w:rPr>
          <w:rFonts w:ascii="Arial" w:hAnsi="Arial" w:cs="Arial"/>
        </w:rPr>
      </w:pPr>
      <w:proofErr w:type="spellStart"/>
      <w:r>
        <w:rPr>
          <w:rFonts w:ascii="Arial" w:hAnsi="Arial" w:cs="Arial"/>
        </w:rPr>
        <w:t>Ilocos</w:t>
      </w:r>
      <w:proofErr w:type="spellEnd"/>
      <w:r>
        <w:rPr>
          <w:rFonts w:ascii="Arial" w:hAnsi="Arial" w:cs="Arial"/>
        </w:rPr>
        <w:t xml:space="preserve"> Sur Polytechnic State College (ISPSC). (</w:t>
      </w:r>
      <w:r>
        <w:rPr>
          <w:rFonts w:ascii="Arial" w:hAnsi="Arial" w:cs="Arial"/>
        </w:rPr>
        <w:t>2024). Financial literacy levels of pre-service student teachers: Knowledge, attitudes, and behaviors. Institutional Research Report, ISPSC Main Campus.</w:t>
      </w:r>
    </w:p>
    <w:p w14:paraId="1BE0C0FC" w14:textId="77777777" w:rsidR="00455369" w:rsidRDefault="006721A8">
      <w:pPr>
        <w:pStyle w:val="Body"/>
        <w:ind w:left="630" w:hanging="630"/>
        <w:rPr>
          <w:rFonts w:ascii="Arial" w:hAnsi="Arial" w:cs="Arial"/>
        </w:rPr>
      </w:pPr>
      <w:proofErr w:type="spellStart"/>
      <w:r>
        <w:rPr>
          <w:rFonts w:ascii="Arial" w:hAnsi="Arial" w:cs="Arial"/>
        </w:rPr>
        <w:t>Hernanie</w:t>
      </w:r>
      <w:proofErr w:type="spellEnd"/>
      <w:r>
        <w:rPr>
          <w:rFonts w:ascii="Arial" w:hAnsi="Arial" w:cs="Arial"/>
        </w:rPr>
        <w:t xml:space="preserve">, N. P., &amp; Martin, R. L. (2025). Financial literacy and teaching performance of teachers in </w:t>
      </w:r>
      <w:proofErr w:type="spellStart"/>
      <w:r>
        <w:rPr>
          <w:rFonts w:ascii="Arial" w:hAnsi="Arial" w:cs="Arial"/>
        </w:rPr>
        <w:t>Pal</w:t>
      </w:r>
      <w:r>
        <w:rPr>
          <w:rFonts w:ascii="Arial" w:hAnsi="Arial" w:cs="Arial"/>
        </w:rPr>
        <w:t>imbang</w:t>
      </w:r>
      <w:proofErr w:type="spellEnd"/>
      <w:r>
        <w:rPr>
          <w:rFonts w:ascii="Arial" w:hAnsi="Arial" w:cs="Arial"/>
        </w:rPr>
        <w:t xml:space="preserve"> District I. Psychology and Education: A Multidisciplinary Journal, 39(6), 1–17. </w:t>
      </w:r>
      <w:hyperlink r:id="rId15">
        <w:r>
          <w:rPr>
            <w:rStyle w:val="Hyperlink"/>
            <w:rFonts w:ascii="Arial" w:hAnsi="Arial" w:cs="Arial"/>
          </w:rPr>
          <w:t>https://doi.org/10.70838/PEMJ.390608</w:t>
        </w:r>
      </w:hyperlink>
    </w:p>
    <w:p w14:paraId="18585080" w14:textId="77777777" w:rsidR="00455369" w:rsidRDefault="006721A8">
      <w:pPr>
        <w:pStyle w:val="Body"/>
        <w:ind w:left="630" w:hanging="630"/>
        <w:rPr>
          <w:rFonts w:ascii="Arial" w:hAnsi="Arial" w:cs="Arial"/>
        </w:rPr>
      </w:pPr>
      <w:r>
        <w:rPr>
          <w:rFonts w:ascii="Arial" w:hAnsi="Arial" w:cs="Arial"/>
        </w:rPr>
        <w:t>Macdon, G. R. M., &amp; Merlin, M. M. (2023). Financial literacy of teachers and</w:t>
      </w:r>
      <w:r>
        <w:rPr>
          <w:rFonts w:ascii="Arial" w:hAnsi="Arial" w:cs="Arial"/>
        </w:rPr>
        <w:t xml:space="preserve"> school heads in the Division of Marinduque: Basis for financial education enhancement program. </w:t>
      </w:r>
      <w:r>
        <w:rPr>
          <w:rFonts w:ascii="Arial" w:hAnsi="Arial" w:cs="Arial"/>
        </w:rPr>
        <w:lastRenderedPageBreak/>
        <w:t xml:space="preserve">Psychology and Education: A Multidisciplinary Journal. </w:t>
      </w:r>
      <w:hyperlink r:id="rId16">
        <w:r>
          <w:rPr>
            <w:rStyle w:val="Hyperlink"/>
            <w:rFonts w:ascii="Arial" w:hAnsi="Arial" w:cs="Arial"/>
          </w:rPr>
          <w:t>https://doi.org/10.5281/ZENODO.8170154</w:t>
        </w:r>
      </w:hyperlink>
    </w:p>
    <w:p w14:paraId="0F1506E2" w14:textId="77777777" w:rsidR="00455369" w:rsidRDefault="006721A8">
      <w:pPr>
        <w:pStyle w:val="Body"/>
        <w:ind w:left="630" w:hanging="630"/>
        <w:rPr>
          <w:rFonts w:ascii="Arial" w:hAnsi="Arial" w:cs="Arial"/>
        </w:rPr>
      </w:pPr>
      <w:r>
        <w:rPr>
          <w:rFonts w:ascii="Arial" w:hAnsi="Arial" w:cs="Arial"/>
        </w:rPr>
        <w:t>Montalbo</w:t>
      </w:r>
      <w:r>
        <w:rPr>
          <w:rFonts w:ascii="Arial" w:hAnsi="Arial" w:cs="Arial"/>
        </w:rPr>
        <w:t xml:space="preserve">, I. C., Pogoy, A. M., </w:t>
      </w:r>
      <w:proofErr w:type="spellStart"/>
      <w:r>
        <w:rPr>
          <w:rFonts w:ascii="Arial" w:hAnsi="Arial" w:cs="Arial"/>
        </w:rPr>
        <w:t>Villarante</w:t>
      </w:r>
      <w:proofErr w:type="spellEnd"/>
      <w:r>
        <w:rPr>
          <w:rFonts w:ascii="Arial" w:hAnsi="Arial" w:cs="Arial"/>
        </w:rPr>
        <w:t xml:space="preserve">, G. A., &amp; Pepito, G. M. (2017). Financial literacy of professional and pre-service teachers in the Philippines. Journal of Global Economics, 5(4), 267. </w:t>
      </w:r>
      <w:hyperlink r:id="rId17">
        <w:r>
          <w:rPr>
            <w:rStyle w:val="Hyperlink"/>
            <w:rFonts w:ascii="Arial" w:hAnsi="Arial" w:cs="Arial"/>
          </w:rPr>
          <w:t>https://d</w:t>
        </w:r>
        <w:r>
          <w:rPr>
            <w:rStyle w:val="Hyperlink"/>
            <w:rFonts w:ascii="Arial" w:hAnsi="Arial" w:cs="Arial"/>
          </w:rPr>
          <w:t>oi.org/10.4172/2375-4389.1000267</w:t>
        </w:r>
      </w:hyperlink>
    </w:p>
    <w:p w14:paraId="34B5D169" w14:textId="77777777" w:rsidR="00455369" w:rsidRDefault="006721A8">
      <w:pPr>
        <w:pStyle w:val="Body"/>
        <w:ind w:left="630" w:hanging="630"/>
        <w:rPr>
          <w:rFonts w:ascii="Arial" w:hAnsi="Arial" w:cs="Arial"/>
        </w:rPr>
      </w:pPr>
      <w:proofErr w:type="spellStart"/>
      <w:r>
        <w:rPr>
          <w:rFonts w:ascii="Arial" w:hAnsi="Arial" w:cs="Arial"/>
        </w:rPr>
        <w:t>Nalaza-Costuna</w:t>
      </w:r>
      <w:proofErr w:type="spellEnd"/>
      <w:r>
        <w:rPr>
          <w:rFonts w:ascii="Arial" w:hAnsi="Arial" w:cs="Arial"/>
        </w:rPr>
        <w:t xml:space="preserve">, J. U. Y. (2023). Teachers’ financial literacy and capability. International Journal of Research Publications, 100(125), 1–110. </w:t>
      </w:r>
      <w:hyperlink r:id="rId18">
        <w:r>
          <w:rPr>
            <w:rStyle w:val="Hyperlink"/>
            <w:rFonts w:ascii="Arial" w:hAnsi="Arial" w:cs="Arial"/>
          </w:rPr>
          <w:t>https://doi.org</w:t>
        </w:r>
        <w:r>
          <w:rPr>
            <w:rStyle w:val="Hyperlink"/>
            <w:rFonts w:ascii="Arial" w:hAnsi="Arial" w:cs="Arial"/>
          </w:rPr>
          <w:t>/10.47119/IJRP1001251520234904</w:t>
        </w:r>
      </w:hyperlink>
    </w:p>
    <w:p w14:paraId="3E2F83A9" w14:textId="77777777" w:rsidR="00455369" w:rsidRDefault="006721A8">
      <w:pPr>
        <w:pStyle w:val="Body"/>
        <w:ind w:left="630" w:hanging="630"/>
        <w:rPr>
          <w:rFonts w:ascii="Arial" w:hAnsi="Arial" w:cs="Arial"/>
        </w:rPr>
      </w:pPr>
      <w:r>
        <w:rPr>
          <w:rFonts w:ascii="Arial" w:hAnsi="Arial" w:cs="Arial"/>
        </w:rPr>
        <w:t xml:space="preserve">Tilan, A. S., &amp; Cabal, E. M. (2021). Financial literacy of Filipino </w:t>
      </w:r>
      <w:proofErr w:type="gramStart"/>
      <w:r>
        <w:rPr>
          <w:rFonts w:ascii="Arial" w:hAnsi="Arial" w:cs="Arial"/>
        </w:rPr>
        <w:t>public school</w:t>
      </w:r>
      <w:proofErr w:type="gramEnd"/>
      <w:r>
        <w:rPr>
          <w:rFonts w:ascii="Arial" w:hAnsi="Arial" w:cs="Arial"/>
        </w:rPr>
        <w:t xml:space="preserve"> teachers and employees: Basis for intervention program. International Journal of Science and Research, 10(10), 1–12. </w:t>
      </w:r>
      <w:hyperlink r:id="rId19">
        <w:r>
          <w:rPr>
            <w:rStyle w:val="Hyperlink"/>
            <w:rFonts w:ascii="Arial" w:hAnsi="Arial" w:cs="Arial"/>
          </w:rPr>
          <w:t>https://doi.org/10.21275/SR211012345</w:t>
        </w:r>
      </w:hyperlink>
    </w:p>
    <w:p w14:paraId="3FDAAE0E" w14:textId="77777777" w:rsidR="00455369" w:rsidRDefault="006721A8">
      <w:pPr>
        <w:pStyle w:val="Body"/>
        <w:ind w:left="630" w:hanging="630"/>
        <w:rPr>
          <w:rFonts w:ascii="Arial" w:hAnsi="Arial" w:cs="Arial"/>
        </w:rPr>
      </w:pPr>
      <w:r>
        <w:rPr>
          <w:rFonts w:ascii="Arial" w:hAnsi="Arial" w:cs="Arial"/>
        </w:rPr>
        <w:t>Vidal-</w:t>
      </w:r>
      <w:proofErr w:type="spellStart"/>
      <w:r>
        <w:rPr>
          <w:rFonts w:ascii="Arial" w:hAnsi="Arial" w:cs="Arial"/>
        </w:rPr>
        <w:t>Sarahina</w:t>
      </w:r>
      <w:proofErr w:type="spellEnd"/>
      <w:r>
        <w:rPr>
          <w:rFonts w:ascii="Arial" w:hAnsi="Arial" w:cs="Arial"/>
        </w:rPr>
        <w:t xml:space="preserve">, M. E. (2025). Financial literacy of Department of Education teachers in the Philippines. Journal of Interdisciplinary Perspectives, 3(9), 71–78. </w:t>
      </w:r>
      <w:hyperlink r:id="rId20">
        <w:r>
          <w:rPr>
            <w:rStyle w:val="Hyperlink"/>
            <w:rFonts w:ascii="Arial" w:hAnsi="Arial" w:cs="Arial"/>
          </w:rPr>
          <w:t>https://doi.org/10.69569/jip.2025.483</w:t>
        </w:r>
      </w:hyperlink>
    </w:p>
    <w:p w14:paraId="435429C0" w14:textId="77777777" w:rsidR="00455369" w:rsidRDefault="006721A8">
      <w:pPr>
        <w:pStyle w:val="Body"/>
        <w:spacing w:after="0"/>
        <w:ind w:left="630" w:hanging="630"/>
        <w:rPr>
          <w:rFonts w:ascii="Arial" w:hAnsi="Arial" w:cs="Arial"/>
        </w:rPr>
      </w:pPr>
      <w:r>
        <w:rPr>
          <w:rFonts w:ascii="Arial" w:hAnsi="Arial" w:cs="Arial"/>
        </w:rPr>
        <w:t xml:space="preserve">Zerna, E. (2024). Teachers’ financial literacy, concerns, and well-being: A basis for financial program design. Journal of Interdisciplinary Perspectives, 2(12), 441–452. </w:t>
      </w:r>
      <w:hyperlink r:id="rId21">
        <w:r>
          <w:rPr>
            <w:rStyle w:val="Hyperlink"/>
            <w:rFonts w:ascii="Arial" w:hAnsi="Arial" w:cs="Arial"/>
          </w:rPr>
          <w:t>https://doi.org/10.69569/jip.2024.0464</w:t>
        </w:r>
      </w:hyperlink>
    </w:p>
    <w:p w14:paraId="0ED27C5A" w14:textId="77777777" w:rsidR="00455369" w:rsidRDefault="00455369">
      <w:pPr>
        <w:pStyle w:val="Body"/>
        <w:spacing w:after="0"/>
        <w:ind w:left="630" w:hanging="630"/>
        <w:rPr>
          <w:rFonts w:ascii="Arial" w:hAnsi="Arial" w:cs="Arial"/>
        </w:rPr>
      </w:pPr>
    </w:p>
    <w:p w14:paraId="3BF934C1" w14:textId="77777777" w:rsidR="00455369" w:rsidRDefault="00455369">
      <w:pPr>
        <w:pStyle w:val="Body"/>
        <w:spacing w:after="0"/>
        <w:rPr>
          <w:rFonts w:ascii="Arial" w:hAnsi="Arial" w:cs="Arial"/>
        </w:rPr>
      </w:pPr>
    </w:p>
    <w:p w14:paraId="6269A275" w14:textId="77777777" w:rsidR="00455369" w:rsidRDefault="00455369">
      <w:pPr>
        <w:pStyle w:val="Body"/>
        <w:spacing w:after="0"/>
        <w:rPr>
          <w:rFonts w:ascii="Arial" w:hAnsi="Arial" w:cs="Arial"/>
        </w:rPr>
      </w:pPr>
    </w:p>
    <w:p w14:paraId="098A5440" w14:textId="77777777" w:rsidR="00455369" w:rsidRDefault="00455369">
      <w:pPr>
        <w:sectPr w:rsidR="00455369" w:rsidSect="00E32E82">
          <w:type w:val="continuous"/>
          <w:pgSz w:w="12240" w:h="15840"/>
          <w:pgMar w:top="1440" w:right="2016" w:bottom="2016" w:left="2016" w:header="720" w:footer="1296" w:gutter="0"/>
          <w:cols w:space="720"/>
          <w:formProt w:val="0"/>
          <w:docGrid w:linePitch="272" w:charSpace="16384"/>
        </w:sectPr>
      </w:pPr>
    </w:p>
    <w:p w14:paraId="1ACEC463" w14:textId="77777777" w:rsidR="00455369" w:rsidRDefault="00455369">
      <w:pPr>
        <w:pStyle w:val="Appendix"/>
        <w:spacing w:after="0"/>
        <w:jc w:val="both"/>
        <w:rPr>
          <w:rFonts w:ascii="Arial" w:hAnsi="Arial" w:cs="Arial"/>
          <w:b w:val="0"/>
        </w:rPr>
      </w:pPr>
    </w:p>
    <w:sectPr w:rsidR="00455369" w:rsidSect="00E32E82">
      <w:type w:val="continuous"/>
      <w:pgSz w:w="12240" w:h="15840"/>
      <w:pgMar w:top="1440" w:right="2016" w:bottom="2016" w:left="2016" w:header="720" w:footer="1296"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2B22A" w14:textId="77777777" w:rsidR="006721A8" w:rsidRDefault="006721A8">
      <w:r>
        <w:separator/>
      </w:r>
    </w:p>
  </w:endnote>
  <w:endnote w:type="continuationSeparator" w:id="0">
    <w:p w14:paraId="1BA36FAC" w14:textId="77777777" w:rsidR="006721A8" w:rsidRDefault="0067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ABDF" w14:textId="77777777" w:rsidR="00455369" w:rsidRPr="00D777DA" w:rsidRDefault="00455369" w:rsidP="00D77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31607" w14:textId="77777777" w:rsidR="006721A8" w:rsidRDefault="006721A8">
      <w:r>
        <w:separator/>
      </w:r>
    </w:p>
  </w:footnote>
  <w:footnote w:type="continuationSeparator" w:id="0">
    <w:p w14:paraId="26E52074" w14:textId="77777777" w:rsidR="006721A8" w:rsidRDefault="0067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D22E" w14:textId="3E4CC49C" w:rsidR="00D777DA" w:rsidRDefault="00D777DA">
    <w:pPr>
      <w:pStyle w:val="Header"/>
    </w:pPr>
    <w:r>
      <w:rPr>
        <w:noProof/>
      </w:rPr>
      <w:pict w14:anchorId="746AB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00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16D8" w14:textId="61B329F6" w:rsidR="00D777DA" w:rsidRDefault="00D777DA">
    <w:pPr>
      <w:pStyle w:val="Header"/>
    </w:pPr>
    <w:r>
      <w:rPr>
        <w:noProof/>
      </w:rPr>
      <w:pict w14:anchorId="133E8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00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CE63" w14:textId="18BE3920" w:rsidR="00D777DA" w:rsidRDefault="00D777DA">
    <w:pPr>
      <w:pStyle w:val="Header"/>
    </w:pPr>
    <w:r>
      <w:rPr>
        <w:noProof/>
      </w:rPr>
      <w:pict w14:anchorId="60EA5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0092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6689C"/>
    <w:multiLevelType w:val="multilevel"/>
    <w:tmpl w:val="D1AAE2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01B55E1"/>
    <w:multiLevelType w:val="multilevel"/>
    <w:tmpl w:val="B66CE4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0AD38A4"/>
    <w:multiLevelType w:val="multilevel"/>
    <w:tmpl w:val="400A374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3FA565F"/>
    <w:multiLevelType w:val="multilevel"/>
    <w:tmpl w:val="6A20EF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6BB6985"/>
    <w:multiLevelType w:val="multilevel"/>
    <w:tmpl w:val="D908C0B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68722D8D"/>
    <w:multiLevelType w:val="multilevel"/>
    <w:tmpl w:val="521C67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F073D0"/>
    <w:multiLevelType w:val="multilevel"/>
    <w:tmpl w:val="A25C552C"/>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5369"/>
    <w:rsid w:val="00160752"/>
    <w:rsid w:val="00455369"/>
    <w:rsid w:val="0063365D"/>
    <w:rsid w:val="006721A8"/>
    <w:rsid w:val="00A31840"/>
    <w:rsid w:val="00D777DA"/>
    <w:rsid w:val="00E32E82"/>
    <w:rsid w:val="00E462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hape1"/>
      </o:rules>
    </o:shapelayout>
  </w:shapeDefaults>
  <w:decimalSymbol w:val="."/>
  <w:listSeparator w:val=","/>
  <w14:docId w14:val="268C5401"/>
  <w15:docId w15:val="{9EDC2DDE-754A-4E4F-AA5A-EBD712BC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customStyle="1" w:styleId="linenumber1">
    <w:name w:val="line number1"/>
    <w:basedOn w:val="DefaultParagraphFont"/>
    <w:qForma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qFormat/>
    <w:rsid w:val="00287E68"/>
    <w:rPr>
      <w:color w:val="605E5C"/>
      <w:shd w:val="clear" w:color="auto" w:fill="E1DFDD"/>
    </w:rPr>
  </w:style>
  <w:style w:type="character" w:customStyle="1" w:styleId="linenumber2">
    <w:name w:val="line number2"/>
    <w:qFormat/>
  </w:style>
  <w:style w:type="character" w:styleId="Strong">
    <w:name w:val="Strong"/>
    <w:qFormat/>
    <w:rPr>
      <w:b/>
      <w:bCs/>
    </w:rPr>
  </w:style>
  <w:style w:type="character" w:styleId="LineNumber">
    <w:name w:val="line numbe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suppressLineNumbers/>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suppressLineNumbers/>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table" w:styleId="TableGrid">
    <w:name w:val="Table Grid"/>
    <w:basedOn w:val="TableNormal"/>
    <w:uiPriority w:val="5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182497"/>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9734/AJAHSS/2026/v9i13014613" TargetMode="External"/><Relationship Id="rId18" Type="http://schemas.openxmlformats.org/officeDocument/2006/relationships/hyperlink" Target="https://doi.org/10.47119/IJRP1001251520234904" TargetMode="External"/><Relationship Id="rId3" Type="http://schemas.openxmlformats.org/officeDocument/2006/relationships/styles" Target="styles.xml"/><Relationship Id="rId21" Type="http://schemas.openxmlformats.org/officeDocument/2006/relationships/hyperlink" Target="https://doi.org/10.69569/jip.2024.0464" TargetMode="External"/><Relationship Id="rId7" Type="http://schemas.openxmlformats.org/officeDocument/2006/relationships/endnotes" Target="endnotes.xml"/><Relationship Id="rId12" Type="http://schemas.openxmlformats.org/officeDocument/2006/relationships/hyperlink" Target="https://doi.org/10.22161/ijels.64.25" TargetMode="External"/><Relationship Id="rId17" Type="http://schemas.openxmlformats.org/officeDocument/2006/relationships/hyperlink" Target="https://doi.org/10.4172/2375-4389.1000267" TargetMode="External"/><Relationship Id="rId2" Type="http://schemas.openxmlformats.org/officeDocument/2006/relationships/numbering" Target="numbering.xml"/><Relationship Id="rId16" Type="http://schemas.openxmlformats.org/officeDocument/2006/relationships/hyperlink" Target="https://doi.org/10.5281/ZENODO.8170154" TargetMode="External"/><Relationship Id="rId20" Type="http://schemas.openxmlformats.org/officeDocument/2006/relationships/hyperlink" Target="https://doi.org/10.69569/jip.2025.4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70838/PEMJ.390608"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21275/SR2110123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61/ijrse.2025.25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50093-4C73-4F5B-A3F5-C4CFAC71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4504</Words>
  <Characters>25673</Characters>
  <Application>Microsoft Office Word</Application>
  <DocSecurity>0</DocSecurity>
  <Lines>213</Lines>
  <Paragraphs>60</Paragraphs>
  <ScaleCrop>false</ScaleCrop>
  <Company>aaaa</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1166</cp:lastModifiedBy>
  <cp:revision>29</cp:revision>
  <cp:lastPrinted>1999-07-06T11:00:00Z</cp:lastPrinted>
  <dcterms:created xsi:type="dcterms:W3CDTF">2014-10-25T14:34:00Z</dcterms:created>
  <dcterms:modified xsi:type="dcterms:W3CDTF">2026-03-30T13:05:00Z</dcterms:modified>
  <dc:language>en-PH</dc:language>
</cp:coreProperties>
</file>