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FBBCC" w14:textId="77777777" w:rsidR="001D4F15" w:rsidRPr="001D4F15" w:rsidRDefault="001D4F15" w:rsidP="001D4F15">
      <w:pPr>
        <w:pStyle w:val="NoSpacing"/>
        <w:jc w:val="center"/>
        <w:rPr>
          <w:rFonts w:ascii="Times New Roman" w:hAnsi="Times New Roman" w:cs="Times New Roman"/>
          <w:b/>
          <w:bCs/>
          <w:i/>
          <w:iCs/>
          <w:sz w:val="32"/>
          <w:szCs w:val="32"/>
          <w:u w:val="single"/>
          <w:lang w:val="en-US"/>
        </w:rPr>
      </w:pPr>
      <w:r w:rsidRPr="001D4F15">
        <w:rPr>
          <w:rFonts w:ascii="Times New Roman" w:hAnsi="Times New Roman" w:cs="Times New Roman"/>
          <w:b/>
          <w:bCs/>
          <w:i/>
          <w:iCs/>
          <w:sz w:val="32"/>
          <w:szCs w:val="32"/>
          <w:u w:val="single"/>
          <w:lang w:val="en-US"/>
        </w:rPr>
        <w:t>Original Research Article</w:t>
      </w:r>
    </w:p>
    <w:p w14:paraId="2661A401" w14:textId="1194807B" w:rsidR="00815091" w:rsidRPr="00501597" w:rsidRDefault="00815091" w:rsidP="00815091">
      <w:pPr>
        <w:pStyle w:val="NoSpacing"/>
        <w:jc w:val="center"/>
        <w:rPr>
          <w:rFonts w:ascii="Times New Roman" w:hAnsi="Times New Roman" w:cs="Times New Roman"/>
          <w:b/>
          <w:bCs/>
          <w:sz w:val="32"/>
          <w:szCs w:val="32"/>
          <w:lang w:val="en-US"/>
        </w:rPr>
      </w:pPr>
      <w:r w:rsidRPr="00501597">
        <w:rPr>
          <w:rFonts w:ascii="Times New Roman" w:hAnsi="Times New Roman" w:cs="Times New Roman"/>
          <w:b/>
          <w:bCs/>
          <w:sz w:val="32"/>
          <w:szCs w:val="32"/>
        </w:rPr>
        <w:t>ELECTRIC VEHICLE ADOPTION IN INDIA: GROWTH TRENDS, POLICY SUPPORT AND CHALLENGES</w:t>
      </w:r>
    </w:p>
    <w:p w14:paraId="1694B27C" w14:textId="4AE6CCBA" w:rsidR="001D4F15" w:rsidRDefault="001D4F15" w:rsidP="00815091">
      <w:pPr>
        <w:pStyle w:val="NoSpacing"/>
        <w:jc w:val="center"/>
        <w:rPr>
          <w:rFonts w:ascii="Times New Roman" w:hAnsi="Times New Roman" w:cs="Times New Roman"/>
          <w:b/>
          <w:bCs/>
          <w:sz w:val="28"/>
          <w:szCs w:val="28"/>
        </w:rPr>
      </w:pPr>
    </w:p>
    <w:p w14:paraId="1348E945" w14:textId="77777777" w:rsidR="00380B7B" w:rsidRPr="00501597" w:rsidRDefault="00380B7B" w:rsidP="00815091">
      <w:pPr>
        <w:pStyle w:val="NoSpacing"/>
        <w:jc w:val="center"/>
        <w:rPr>
          <w:rFonts w:ascii="Times New Roman" w:hAnsi="Times New Roman" w:cs="Times New Roman"/>
          <w:b/>
          <w:bCs/>
          <w:sz w:val="28"/>
          <w:szCs w:val="28"/>
        </w:rPr>
      </w:pPr>
    </w:p>
    <w:p w14:paraId="5CED3772" w14:textId="77777777" w:rsidR="00D00DD9" w:rsidRPr="00501597" w:rsidRDefault="00D00DD9" w:rsidP="00D00DD9">
      <w:pPr>
        <w:spacing w:line="360" w:lineRule="auto"/>
        <w:jc w:val="both"/>
        <w:rPr>
          <w:rFonts w:ascii="Times New Roman" w:hAnsi="Times New Roman" w:cs="Times New Roman"/>
          <w:b/>
          <w:bCs/>
          <w:sz w:val="24"/>
          <w:szCs w:val="24"/>
        </w:rPr>
      </w:pPr>
      <w:r w:rsidRPr="00501597">
        <w:rPr>
          <w:rFonts w:ascii="Times New Roman" w:hAnsi="Times New Roman" w:cs="Times New Roman"/>
          <w:b/>
          <w:bCs/>
          <w:sz w:val="24"/>
          <w:szCs w:val="24"/>
        </w:rPr>
        <w:t>Abstract</w:t>
      </w:r>
    </w:p>
    <w:p w14:paraId="1374FFFC" w14:textId="77777777" w:rsidR="00D00DD9" w:rsidRPr="00501597" w:rsidRDefault="00D00DD9" w:rsidP="00D00DD9">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shift toward sustainable transportation has attracted considerable global attention, and Electric Vehicles (EVs) have emerged as an effective solution for reducing carbon emissions and reliance on fossil fuels. In India, the adoption of electric vehicles has grown rapidly in recent years due to technological progress, increasing environmental concerns, and supportive government policies. In this context, the present study aims to analyse the growth trends and segment-wise expansion of electric vehicle adoption in India, examine the major government initiatives and policy measures undertaken to promote electric mobility, and identify the key challenges affecting EV adoption. The analysis reveals a notable rise in electric vehicle registrations in India, particularly in the two-wheeler, three-wheeler, and four-wheeler segments, indicating strong growth in the EV market. The study also evaluates major government initiatives such as financial incentives, policy frameworks, and infrastructure development programs that aim to accelerate EV adoption and strengthen domestic manufacturing capabilities. However, despite these efforts, several challenges continue to hinder the widespread adoption of electric vehicles, including high initial costs, inadequate charging infrastructure, limited consumer awareness, and technological constraints. The findings of the study offer valuable insights for policymakers, industry stakeholders, and researchers in understanding the evolving EV ecosystem and formulating strategies to promote sustainable mobility in India.</w:t>
      </w:r>
    </w:p>
    <w:p w14:paraId="0A8D2BC9" w14:textId="77777777" w:rsidR="00D00DD9" w:rsidRPr="00501597" w:rsidRDefault="00D00DD9" w:rsidP="00D00DD9">
      <w:pPr>
        <w:spacing w:line="360" w:lineRule="auto"/>
        <w:jc w:val="both"/>
        <w:rPr>
          <w:rFonts w:ascii="Times New Roman" w:hAnsi="Times New Roman" w:cs="Times New Roman"/>
          <w:i/>
          <w:iCs/>
          <w:sz w:val="24"/>
          <w:szCs w:val="24"/>
        </w:rPr>
      </w:pPr>
      <w:r w:rsidRPr="00501597">
        <w:rPr>
          <w:rFonts w:ascii="Times New Roman" w:hAnsi="Times New Roman" w:cs="Times New Roman"/>
          <w:b/>
          <w:bCs/>
          <w:sz w:val="24"/>
          <w:szCs w:val="24"/>
        </w:rPr>
        <w:t xml:space="preserve">Keywords: </w:t>
      </w:r>
      <w:r w:rsidRPr="00501597">
        <w:rPr>
          <w:rFonts w:ascii="Times New Roman" w:hAnsi="Times New Roman" w:cs="Times New Roman"/>
          <w:i/>
          <w:iCs/>
          <w:sz w:val="24"/>
          <w:szCs w:val="24"/>
        </w:rPr>
        <w:t>Electric Vehicles, Sustainable Transportation, EV Adoption, Government Policies, Electric Mobility, India.</w:t>
      </w:r>
    </w:p>
    <w:p w14:paraId="21085A69" w14:textId="77777777" w:rsidR="00815091" w:rsidRPr="00501597" w:rsidRDefault="00815091" w:rsidP="00815091">
      <w:pPr>
        <w:spacing w:line="360" w:lineRule="auto"/>
        <w:jc w:val="both"/>
        <w:rPr>
          <w:rFonts w:ascii="Times New Roman" w:hAnsi="Times New Roman" w:cs="Times New Roman"/>
          <w:b/>
          <w:bCs/>
          <w:sz w:val="24"/>
          <w:szCs w:val="24"/>
        </w:rPr>
      </w:pPr>
    </w:p>
    <w:p w14:paraId="1B25D6CB" w14:textId="6F29AC8B" w:rsidR="00A61D28" w:rsidRDefault="00A61D28" w:rsidP="00815091">
      <w:pPr>
        <w:spacing w:line="360" w:lineRule="auto"/>
        <w:jc w:val="both"/>
        <w:rPr>
          <w:rFonts w:ascii="Times New Roman" w:hAnsi="Times New Roman" w:cs="Times New Roman"/>
          <w:b/>
          <w:bCs/>
          <w:sz w:val="24"/>
          <w:szCs w:val="24"/>
        </w:rPr>
      </w:pPr>
    </w:p>
    <w:p w14:paraId="2CCD3E58" w14:textId="58DD7488" w:rsidR="00380B7B" w:rsidRDefault="00380B7B" w:rsidP="00815091">
      <w:pPr>
        <w:spacing w:line="360" w:lineRule="auto"/>
        <w:jc w:val="both"/>
        <w:rPr>
          <w:rFonts w:ascii="Times New Roman" w:hAnsi="Times New Roman" w:cs="Times New Roman"/>
          <w:b/>
          <w:bCs/>
          <w:sz w:val="24"/>
          <w:szCs w:val="24"/>
        </w:rPr>
      </w:pPr>
    </w:p>
    <w:p w14:paraId="42CC78F2" w14:textId="3948B933" w:rsidR="00380B7B" w:rsidRDefault="00380B7B" w:rsidP="00815091">
      <w:pPr>
        <w:spacing w:line="360" w:lineRule="auto"/>
        <w:jc w:val="both"/>
        <w:rPr>
          <w:rFonts w:ascii="Times New Roman" w:hAnsi="Times New Roman" w:cs="Times New Roman"/>
          <w:b/>
          <w:bCs/>
          <w:sz w:val="24"/>
          <w:szCs w:val="24"/>
        </w:rPr>
      </w:pPr>
    </w:p>
    <w:p w14:paraId="35F5B8D6" w14:textId="77777777" w:rsidR="00380B7B" w:rsidRPr="00501597" w:rsidRDefault="00380B7B" w:rsidP="00815091">
      <w:pPr>
        <w:spacing w:line="360" w:lineRule="auto"/>
        <w:jc w:val="both"/>
        <w:rPr>
          <w:rFonts w:ascii="Times New Roman" w:hAnsi="Times New Roman" w:cs="Times New Roman"/>
          <w:b/>
          <w:bCs/>
          <w:sz w:val="24"/>
          <w:szCs w:val="24"/>
        </w:rPr>
      </w:pPr>
      <w:bookmarkStart w:id="0" w:name="_GoBack"/>
      <w:bookmarkEnd w:id="0"/>
    </w:p>
    <w:p w14:paraId="54E215B1" w14:textId="77777777" w:rsidR="002C0BBE" w:rsidRPr="00501597" w:rsidRDefault="002C0BBE" w:rsidP="00815091">
      <w:pPr>
        <w:spacing w:line="360" w:lineRule="auto"/>
        <w:jc w:val="both"/>
        <w:rPr>
          <w:rFonts w:ascii="Times New Roman" w:hAnsi="Times New Roman" w:cs="Times New Roman"/>
          <w:b/>
          <w:bCs/>
          <w:sz w:val="24"/>
          <w:szCs w:val="24"/>
        </w:rPr>
      </w:pPr>
    </w:p>
    <w:p w14:paraId="6F3B282E" w14:textId="77777777" w:rsidR="00815091" w:rsidRPr="00501597" w:rsidRDefault="00815091" w:rsidP="00815091">
      <w:pPr>
        <w:pStyle w:val="ListParagraph"/>
        <w:numPr>
          <w:ilvl w:val="0"/>
          <w:numId w:val="2"/>
        </w:numPr>
        <w:spacing w:line="360" w:lineRule="auto"/>
        <w:ind w:left="0" w:firstLine="0"/>
        <w:jc w:val="both"/>
        <w:rPr>
          <w:rFonts w:ascii="Times New Roman" w:hAnsi="Times New Roman" w:cs="Times New Roman"/>
          <w:b/>
          <w:bCs/>
          <w:sz w:val="24"/>
          <w:szCs w:val="24"/>
        </w:rPr>
      </w:pPr>
      <w:r w:rsidRPr="00501597">
        <w:rPr>
          <w:rFonts w:ascii="Times New Roman" w:hAnsi="Times New Roman" w:cs="Times New Roman"/>
          <w:b/>
          <w:bCs/>
          <w:sz w:val="24"/>
          <w:szCs w:val="24"/>
        </w:rPr>
        <w:t>Introduction</w:t>
      </w:r>
    </w:p>
    <w:p w14:paraId="4B814D85"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growing concerns over environmental pollution, climate change, and the depletion of fossil fuel resources have accelerated the global transition toward sustainable transportation systems. In this context, electric vehicles (EVs) have emerged as an important alternative to conventional internal combustion engine vehicles. EVs operate using electric power instead of fossil fuels, thereby reducing greenhouse gas emissions and promoting cleaner mobility. In recent years, India has witnessed a significant rise in the adoption of electric vehicles due to increasing environmental awareness, technological advancements, and supportive policy measures introduced by the government. Initiatives such as the Faster Adoption and Manufacturing of Electric Vehicles (FAME India Scheme) and policy guidance from NITI Aayog have played a crucial role in promoting electric mobility across the country.</w:t>
      </w:r>
    </w:p>
    <w:p w14:paraId="3A87B4DE"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electric vehicle market in India consists of several product segments that cater to different mobility needs. Broadly, the EV market is categorized into four major segments: two-wheelers, three-wheelers, passenger vehicles, and commercial vehicles. The two-wheeler segment includes scooters, mopeds, and motorcycles, which constitute a major share of EV adoption due to their affordability and suitability for urban commuting. The three-wheeler segment mainly consists of passenger carrier autos and goods carriers that are widely used for last-mile transportation. Passenger vehicles include four-wheeler cars, utility vehicles, luxury vehicles, and multi-purpose cabs, while commercial vehicles cover buses, trucks, and other goods transport vehicles. The product segments of the electric vehicle market are illustrated in the figure presented below.</w:t>
      </w:r>
    </w:p>
    <w:p w14:paraId="0332826B" w14:textId="28013F25" w:rsidR="00815091" w:rsidRPr="00501597" w:rsidRDefault="003B04DD" w:rsidP="00815091">
      <w:pPr>
        <w:pStyle w:val="NoSpacing"/>
        <w:jc w:val="center"/>
        <w:rPr>
          <w:rFonts w:ascii="Times New Roman" w:hAnsi="Times New Roman" w:cs="Times New Roman"/>
          <w:b/>
          <w:bCs/>
          <w:sz w:val="24"/>
          <w:szCs w:val="24"/>
        </w:rPr>
      </w:pPr>
      <w:r w:rsidRPr="00501597">
        <w:rPr>
          <w:rFonts w:ascii="Times New Roman" w:hAnsi="Times New Roman" w:cs="Times New Roman"/>
          <w:b/>
          <w:bCs/>
          <w:sz w:val="24"/>
          <w:szCs w:val="24"/>
        </w:rPr>
        <w:t>FIGURE 1:</w:t>
      </w:r>
      <w:r w:rsidRPr="00501597">
        <w:rPr>
          <w:rFonts w:ascii="Times New Roman" w:hAnsi="Times New Roman" w:cs="Times New Roman"/>
          <w:sz w:val="24"/>
          <w:szCs w:val="24"/>
        </w:rPr>
        <w:t xml:space="preserve"> </w:t>
      </w:r>
      <w:r w:rsidR="00815091" w:rsidRPr="00501597">
        <w:rPr>
          <w:rFonts w:ascii="Times New Roman" w:hAnsi="Times New Roman" w:cs="Times New Roman"/>
          <w:b/>
          <w:bCs/>
          <w:sz w:val="24"/>
          <w:szCs w:val="24"/>
        </w:rPr>
        <w:t>Product segments of the Electronic Vehicle Market</w:t>
      </w:r>
    </w:p>
    <w:p w14:paraId="43C1E736" w14:textId="77777777" w:rsidR="00815091" w:rsidRPr="00501597" w:rsidRDefault="00815091" w:rsidP="00815091">
      <w:pPr>
        <w:spacing w:line="360" w:lineRule="auto"/>
        <w:jc w:val="both"/>
        <w:rPr>
          <w:rFonts w:ascii="Times New Roman" w:hAnsi="Times New Roman" w:cs="Times New Roman"/>
          <w:sz w:val="24"/>
          <w:szCs w:val="24"/>
        </w:rPr>
      </w:pPr>
      <w:r w:rsidRPr="00501597">
        <w:rPr>
          <w:noProof/>
        </w:rPr>
        <w:lastRenderedPageBreak/>
        <w:drawing>
          <wp:anchor distT="0" distB="0" distL="114300" distR="114300" simplePos="0" relativeHeight="251659264" behindDoc="0" locked="0" layoutInCell="1" allowOverlap="1" wp14:anchorId="192B7CAE" wp14:editId="345AD0AA">
            <wp:simplePos x="0" y="0"/>
            <wp:positionH relativeFrom="margin">
              <wp:align>right</wp:align>
            </wp:positionH>
            <wp:positionV relativeFrom="page">
              <wp:posOffset>7105015</wp:posOffset>
            </wp:positionV>
            <wp:extent cx="5730240" cy="2567940"/>
            <wp:effectExtent l="0" t="0" r="3810" b="3810"/>
            <wp:wrapSquare wrapText="bothSides"/>
            <wp:docPr id="18859492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3458" t="17382" r="3857" b="31925"/>
                    <a:stretch>
                      <a:fillRect/>
                    </a:stretch>
                  </pic:blipFill>
                  <pic:spPr bwMode="auto">
                    <a:xfrm>
                      <a:off x="0" y="0"/>
                      <a:ext cx="5730240" cy="2567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CFE022" w14:textId="77777777" w:rsidR="00815091" w:rsidRPr="00501597" w:rsidRDefault="00815091" w:rsidP="00815091">
      <w:pPr>
        <w:pStyle w:val="ListParagraph"/>
        <w:numPr>
          <w:ilvl w:val="0"/>
          <w:numId w:val="2"/>
        </w:numPr>
        <w:tabs>
          <w:tab w:val="left" w:pos="142"/>
          <w:tab w:val="left" w:pos="284"/>
          <w:tab w:val="left" w:pos="567"/>
        </w:tabs>
        <w:ind w:hanging="1080"/>
        <w:jc w:val="both"/>
        <w:rPr>
          <w:rFonts w:ascii="Times New Roman" w:hAnsi="Times New Roman" w:cs="Times New Roman"/>
          <w:b/>
          <w:bCs/>
          <w:sz w:val="24"/>
          <w:szCs w:val="24"/>
        </w:rPr>
      </w:pPr>
      <w:r w:rsidRPr="00501597">
        <w:rPr>
          <w:rFonts w:ascii="Times New Roman" w:hAnsi="Times New Roman" w:cs="Times New Roman"/>
          <w:b/>
          <w:bCs/>
          <w:sz w:val="24"/>
          <w:szCs w:val="24"/>
        </w:rPr>
        <w:t>Research Methodology</w:t>
      </w:r>
    </w:p>
    <w:p w14:paraId="41D636D8"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This study is based on secondary data, collected from reliable sources such as government reports, research publications, and official databases including the VAHAN Portal of the Ministry of Road Transport and Highways. The collected data were analysed using descriptive and trend analysis to examine EV growth, segment-wise expansion, government initiatives, and challenges in India.</w:t>
      </w:r>
    </w:p>
    <w:p w14:paraId="5202C2AD" w14:textId="77777777" w:rsidR="00815091" w:rsidRPr="00501597" w:rsidRDefault="00815091" w:rsidP="00815091">
      <w:pPr>
        <w:pStyle w:val="ListParagraph"/>
        <w:numPr>
          <w:ilvl w:val="0"/>
          <w:numId w:val="3"/>
        </w:numPr>
        <w:tabs>
          <w:tab w:val="left" w:pos="284"/>
        </w:tabs>
        <w:spacing w:line="360" w:lineRule="auto"/>
        <w:ind w:hanging="720"/>
        <w:jc w:val="both"/>
        <w:rPr>
          <w:rFonts w:ascii="Times New Roman" w:hAnsi="Times New Roman" w:cs="Times New Roman"/>
          <w:b/>
          <w:bCs/>
          <w:sz w:val="24"/>
          <w:szCs w:val="24"/>
        </w:rPr>
      </w:pPr>
      <w:r w:rsidRPr="00501597">
        <w:rPr>
          <w:rFonts w:ascii="Times New Roman" w:hAnsi="Times New Roman" w:cs="Times New Roman"/>
          <w:b/>
          <w:bCs/>
          <w:sz w:val="24"/>
          <w:szCs w:val="24"/>
        </w:rPr>
        <w:t>Review of Literature</w:t>
      </w:r>
    </w:p>
    <w:p w14:paraId="4EF353B8"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Pathak, A., &amp; Gangal, V. K. (2023)</w:t>
      </w:r>
      <w:r w:rsidRPr="00501597">
        <w:rPr>
          <w:rFonts w:ascii="Times New Roman" w:hAnsi="Times New Roman" w:cs="Times New Roman"/>
          <w:b/>
          <w:bCs/>
          <w:sz w:val="24"/>
          <w:szCs w:val="24"/>
          <w:vertAlign w:val="superscript"/>
        </w:rPr>
        <w:t>1</w:t>
      </w:r>
      <w:r w:rsidRPr="00501597">
        <w:rPr>
          <w:rFonts w:ascii="Times New Roman" w:hAnsi="Times New Roman" w:cs="Times New Roman"/>
          <w:b/>
          <w:bCs/>
          <w:sz w:val="24"/>
          <w:szCs w:val="24"/>
        </w:rPr>
        <w:t>.</w:t>
      </w:r>
      <w:r w:rsidRPr="00501597">
        <w:rPr>
          <w:rFonts w:ascii="Times New Roman" w:hAnsi="Times New Roman" w:cs="Times New Roman"/>
          <w:sz w:val="24"/>
          <w:szCs w:val="24"/>
        </w:rPr>
        <w:t xml:space="preserve"> examined the key factors influencing the adoption of electric vehicles in India with a focus on barriers affecting consumer purchase decisions. The study was conducted in Agra city using a survey of 165 respondents to analyse the socio-economic determinants and challenges associated with electric car adoption. Various statistical techniques such as mean ranking, chi-square test, principal component analysis (PCA), and varimax rotated factor analysis were applied to identify the major barriers. The findings revealed that usability issues, inadequate charging infrastructure, safety and technological concerns, economic uncertainty, and performance limitations significantly affect consumer decisions. The study suggested that policymakers and manufacturers should focus on improving vehicle technology, affordability, and infrastructure to accelerate EV adoption.</w:t>
      </w:r>
    </w:p>
    <w:p w14:paraId="67DF90C2"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Attri, R., &amp; Kushwaha, P. S. (2024)</w:t>
      </w:r>
      <w:r w:rsidRPr="00501597">
        <w:rPr>
          <w:rFonts w:ascii="Times New Roman" w:hAnsi="Times New Roman" w:cs="Times New Roman"/>
          <w:b/>
          <w:bCs/>
          <w:sz w:val="24"/>
          <w:szCs w:val="24"/>
          <w:vertAlign w:val="superscript"/>
        </w:rPr>
        <w:t>2</w:t>
      </w:r>
      <w:r w:rsidRPr="00501597">
        <w:rPr>
          <w:rFonts w:ascii="Times New Roman" w:hAnsi="Times New Roman" w:cs="Times New Roman"/>
          <w:b/>
          <w:bCs/>
          <w:sz w:val="24"/>
          <w:szCs w:val="24"/>
        </w:rPr>
        <w:t>.</w:t>
      </w:r>
      <w:r w:rsidRPr="00501597">
        <w:rPr>
          <w:rFonts w:ascii="Times New Roman" w:hAnsi="Times New Roman" w:cs="Times New Roman"/>
          <w:sz w:val="24"/>
          <w:szCs w:val="24"/>
        </w:rPr>
        <w:t xml:space="preserve"> investigated the factors influencing consumers’ willingness to adopt electric vehicles in India. The study applied the extended Unified Theory of Acceptance and Use of Technology (UTAUT2) model to analyse consumer behaviour toward EV adoption. Data were collected through a quantitative survey of 518 potential buyers </w:t>
      </w:r>
      <w:r w:rsidRPr="00501597">
        <w:rPr>
          <w:rFonts w:ascii="Times New Roman" w:hAnsi="Times New Roman" w:cs="Times New Roman"/>
          <w:sz w:val="24"/>
          <w:szCs w:val="24"/>
        </w:rPr>
        <w:lastRenderedPageBreak/>
        <w:t>of four-wheelers and analysed using SPSS. The findings revealed that factors such as performance expectancy, social influence, facilitating conditions, environmental concern, and risk perception significantly influence consumers’ intention to purchase electric vehicles. However, hedonic motivation and price value were found to have an insignificant effect. The study provides valuable insights for policymakers, manufacturers, and marketers to develop strategies that encourage EV adoption and promote sustainable transportation in India.</w:t>
      </w:r>
    </w:p>
    <w:p w14:paraId="06C1574B"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Das, A., &amp; Sharma, S. K. (2025)</w:t>
      </w:r>
      <w:r w:rsidRPr="00501597">
        <w:rPr>
          <w:rFonts w:ascii="Times New Roman" w:hAnsi="Times New Roman" w:cs="Times New Roman"/>
          <w:b/>
          <w:bCs/>
          <w:sz w:val="24"/>
          <w:szCs w:val="24"/>
          <w:vertAlign w:val="superscript"/>
        </w:rPr>
        <w:t>3</w:t>
      </w:r>
      <w:r w:rsidRPr="00501597">
        <w:rPr>
          <w:rFonts w:ascii="Times New Roman" w:hAnsi="Times New Roman" w:cs="Times New Roman"/>
          <w:sz w:val="24"/>
          <w:szCs w:val="24"/>
        </w:rPr>
        <w:t>. conducted a comprehensive bibliometric analysis to examine the research trends related to electric vehicle adoption in India over the period 2014–2024. The findings indicate a significant increase in research publications after 2020, largely driven by policy initiatives, technological advancements, and growing environmental awareness. The study highlights that recent research increasingly focuses on consumer behaviour, battery technology, total cost of ownership, and sustainable urban mobility. The authors also identified gaps in international collaboration and emphasized the need for consumer-centric strategies and data-driven policy frameworks to accelerate EV adoption in India.</w:t>
      </w:r>
    </w:p>
    <w:p w14:paraId="423E928A"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Kher, A. (2025)</w:t>
      </w:r>
      <w:r w:rsidRPr="00501597">
        <w:rPr>
          <w:rFonts w:ascii="Times New Roman" w:hAnsi="Times New Roman" w:cs="Times New Roman"/>
          <w:b/>
          <w:bCs/>
          <w:sz w:val="24"/>
          <w:szCs w:val="24"/>
          <w:vertAlign w:val="superscript"/>
        </w:rPr>
        <w:t>4</w:t>
      </w:r>
      <w:r w:rsidRPr="00501597">
        <w:rPr>
          <w:rFonts w:ascii="Times New Roman" w:hAnsi="Times New Roman" w:cs="Times New Roman"/>
          <w:b/>
          <w:bCs/>
          <w:sz w:val="24"/>
          <w:szCs w:val="24"/>
        </w:rPr>
        <w:t>.</w:t>
      </w:r>
      <w:r w:rsidRPr="00501597">
        <w:rPr>
          <w:rFonts w:ascii="Times New Roman" w:hAnsi="Times New Roman" w:cs="Times New Roman"/>
          <w:sz w:val="24"/>
          <w:szCs w:val="24"/>
        </w:rPr>
        <w:t xml:space="preserve"> examined the major barriers affecting the widespread adoption of electric vehicles with a particular focus on consumer perception and policy implications. The study highlights that despite technological advancements and growing environmental awareness, several challenges continue to hinder EV adoption. Key barriers identified include range anxiety, limited availability of charging infrastructure, and the high initial cost of electric vehicles. The research also discusses the role of government policies such as subsidies, tax incentives, and emission regulations in promoting EV adoption. However, the study notes that inadequate policy support and lack of comprehensive regulatory frameworks in some regions slow down the growth of the EV market. The author emphasizes the need for stronger policy measures, improved infrastructure, and increased consumer awareness to accelerate the transition toward electric mobility.</w:t>
      </w:r>
    </w:p>
    <w:p w14:paraId="75889E1B"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 xml:space="preserve">Shubham Mapari </w:t>
      </w:r>
      <w:r w:rsidRPr="00501597">
        <w:rPr>
          <w:rFonts w:ascii="Times New Roman" w:hAnsi="Times New Roman" w:cs="Times New Roman"/>
          <w:b/>
          <w:bCs/>
          <w:i/>
          <w:iCs/>
          <w:sz w:val="24"/>
          <w:szCs w:val="24"/>
        </w:rPr>
        <w:t>et al.</w:t>
      </w:r>
      <w:r w:rsidRPr="00501597">
        <w:rPr>
          <w:rFonts w:ascii="Times New Roman" w:hAnsi="Times New Roman" w:cs="Times New Roman"/>
          <w:b/>
          <w:bCs/>
          <w:sz w:val="24"/>
          <w:szCs w:val="24"/>
        </w:rPr>
        <w:t xml:space="preserve"> (2026)</w:t>
      </w:r>
      <w:r w:rsidRPr="00501597">
        <w:rPr>
          <w:rFonts w:ascii="Times New Roman" w:hAnsi="Times New Roman" w:cs="Times New Roman"/>
          <w:b/>
          <w:bCs/>
          <w:sz w:val="24"/>
          <w:szCs w:val="24"/>
          <w:vertAlign w:val="superscript"/>
        </w:rPr>
        <w:t>5</w:t>
      </w:r>
      <w:r w:rsidRPr="00501597">
        <w:rPr>
          <w:rFonts w:ascii="Times New Roman" w:hAnsi="Times New Roman" w:cs="Times New Roman"/>
          <w:b/>
          <w:bCs/>
          <w:sz w:val="24"/>
          <w:szCs w:val="24"/>
        </w:rPr>
        <w:t>.</w:t>
      </w:r>
      <w:r w:rsidRPr="00501597">
        <w:rPr>
          <w:rFonts w:ascii="Times New Roman" w:hAnsi="Times New Roman" w:cs="Times New Roman"/>
          <w:sz w:val="24"/>
          <w:szCs w:val="24"/>
        </w:rPr>
        <w:t xml:space="preserve"> examined the purchase behaviour of consumers toward electric vehicles (EVs) and conventional internal combustion engine vehicles in Pune, India. The study was based on primary data collected from 133 respondents belonging to different demographic groups. The findings revealed that although awareness and interest in electric vehicles are relatively high, the actual ownership of EVs remains limited. The research identified inadequate charging infrastructure as the most significant barrier influencing EV </w:t>
      </w:r>
      <w:r w:rsidRPr="00501597">
        <w:rPr>
          <w:rFonts w:ascii="Times New Roman" w:hAnsi="Times New Roman" w:cs="Times New Roman"/>
          <w:sz w:val="24"/>
          <w:szCs w:val="24"/>
        </w:rPr>
        <w:lastRenderedPageBreak/>
        <w:t>adoption, followed by high purchase costs and uncertainty regarding the total cost of ownership. The study suggests that improvements in charging infrastructure, extended driving range, and faster charging technology could significantly enhance EV adoption and support the transition toward sustainable mobility in India.</w:t>
      </w:r>
    </w:p>
    <w:p w14:paraId="43254FD6" w14:textId="67B394EC" w:rsidR="00453B36" w:rsidRPr="00501597" w:rsidRDefault="001E386C" w:rsidP="00815091">
      <w:pPr>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Simranjit Kaur and Amit Kumar (2026)</w:t>
      </w:r>
      <w:r w:rsidRPr="00501597">
        <w:rPr>
          <w:rFonts w:ascii="Times New Roman" w:hAnsi="Times New Roman" w:cs="Times New Roman"/>
          <w:sz w:val="24"/>
          <w:szCs w:val="24"/>
          <w:vertAlign w:val="superscript"/>
        </w:rPr>
        <w:t>6</w:t>
      </w:r>
      <w:r w:rsidRPr="00501597">
        <w:rPr>
          <w:rFonts w:ascii="Times New Roman" w:hAnsi="Times New Roman" w:cs="Times New Roman"/>
          <w:sz w:val="24"/>
          <w:szCs w:val="24"/>
        </w:rPr>
        <w:t xml:space="preserve"> examined the role of electric vehicles (EVs) in achieving India’s Sustainable Development Goals (SDGs) through a qualitative integrative review based on secondary data. The study highlights that EV adoption significantly contributes to environmental sustainability by reducing greenhouse gas emissions, improving energy efficiency, and promoting green employment. It also identifies a strong linkage between EV adoption and SDGs such as affordable energy, innovation, sustainable cities, and climate action. Furthermore, the study emphasizes the role of leading automobile companies like Mahindra &amp; Mahindra and Tata Motors in advancing sustainable practices. However, challenges such as high initial costs, inadequate charging infrastructure, and policy fragmentation continue to hinder large-scale EV adoption in India.</w:t>
      </w:r>
    </w:p>
    <w:p w14:paraId="581DA78E" w14:textId="2EEC696D" w:rsidR="00670252" w:rsidRPr="00501597" w:rsidRDefault="00670252" w:rsidP="00815091">
      <w:pPr>
        <w:spacing w:line="360" w:lineRule="auto"/>
        <w:jc w:val="both"/>
        <w:rPr>
          <w:rFonts w:ascii="Times New Roman" w:hAnsi="Times New Roman" w:cs="Times New Roman"/>
          <w:sz w:val="24"/>
          <w:szCs w:val="24"/>
        </w:rPr>
      </w:pPr>
      <w:proofErr w:type="spellStart"/>
      <w:r w:rsidRPr="00501597">
        <w:rPr>
          <w:rFonts w:ascii="Times New Roman" w:hAnsi="Times New Roman" w:cs="Times New Roman"/>
          <w:b/>
          <w:bCs/>
          <w:sz w:val="24"/>
          <w:szCs w:val="24"/>
        </w:rPr>
        <w:t>Renne</w:t>
      </w:r>
      <w:proofErr w:type="spellEnd"/>
      <w:r w:rsidRPr="00501597">
        <w:rPr>
          <w:rFonts w:ascii="Times New Roman" w:hAnsi="Times New Roman" w:cs="Times New Roman"/>
          <w:b/>
          <w:bCs/>
          <w:sz w:val="24"/>
          <w:szCs w:val="24"/>
        </w:rPr>
        <w:t xml:space="preserve"> Pramila </w:t>
      </w:r>
      <w:proofErr w:type="spellStart"/>
      <w:r w:rsidRPr="00501597">
        <w:rPr>
          <w:rFonts w:ascii="Times New Roman" w:hAnsi="Times New Roman" w:cs="Times New Roman"/>
          <w:b/>
          <w:bCs/>
          <w:sz w:val="24"/>
          <w:szCs w:val="24"/>
        </w:rPr>
        <w:t>Punadi</w:t>
      </w:r>
      <w:proofErr w:type="spellEnd"/>
      <w:r w:rsidRPr="00501597">
        <w:rPr>
          <w:rFonts w:ascii="Times New Roman" w:hAnsi="Times New Roman" w:cs="Times New Roman"/>
          <w:b/>
          <w:bCs/>
          <w:sz w:val="24"/>
          <w:szCs w:val="24"/>
        </w:rPr>
        <w:t xml:space="preserve"> </w:t>
      </w:r>
      <w:r w:rsidRPr="00501597">
        <w:rPr>
          <w:rFonts w:ascii="Times New Roman" w:hAnsi="Times New Roman" w:cs="Times New Roman"/>
          <w:b/>
          <w:bCs/>
          <w:i/>
          <w:iCs/>
          <w:sz w:val="24"/>
          <w:szCs w:val="24"/>
        </w:rPr>
        <w:t>et al.</w:t>
      </w:r>
      <w:r w:rsidRPr="00501597">
        <w:rPr>
          <w:rFonts w:ascii="Times New Roman" w:hAnsi="Times New Roman" w:cs="Times New Roman"/>
          <w:b/>
          <w:bCs/>
          <w:sz w:val="24"/>
          <w:szCs w:val="24"/>
        </w:rPr>
        <w:t xml:space="preserve"> (2026)</w:t>
      </w:r>
      <w:r w:rsidRPr="00501597">
        <w:rPr>
          <w:rFonts w:ascii="Times New Roman" w:hAnsi="Times New Roman" w:cs="Times New Roman"/>
          <w:sz w:val="24"/>
          <w:szCs w:val="24"/>
        </w:rPr>
        <w:t xml:space="preserve"> examined consumer readiness for electric vehicle (EV) adoption in emerging economies using the Value-Belief-Norm (VBN) theory and Technology Readiness Index (TRI 2.0). The study, based on quantitative survey data, found that technological innovation plays a significant role in enhancing EV adoption readiness, while environmental awareness positively influences eco-conscious behaviour. However, it also revealed that concerns regarding the environmental impact of battery production and energy sources may discourage adoption. The study further identified a weak relationship between eco-friendly attitudes and EV adoption, and an insignificant impact of charging infrastructure. The findings emphasize the need for improved environmental awareness and stronger technological support.</w:t>
      </w:r>
    </w:p>
    <w:p w14:paraId="15267A2E" w14:textId="77777777" w:rsidR="00815091" w:rsidRPr="00501597" w:rsidRDefault="00815091" w:rsidP="00815091">
      <w:pPr>
        <w:pStyle w:val="ListParagraph"/>
        <w:numPr>
          <w:ilvl w:val="0"/>
          <w:numId w:val="3"/>
        </w:numPr>
        <w:tabs>
          <w:tab w:val="left" w:pos="284"/>
        </w:tabs>
        <w:spacing w:line="360" w:lineRule="auto"/>
        <w:ind w:hanging="720"/>
        <w:jc w:val="both"/>
        <w:rPr>
          <w:rFonts w:ascii="Times New Roman" w:hAnsi="Times New Roman" w:cs="Times New Roman"/>
          <w:b/>
          <w:bCs/>
          <w:sz w:val="24"/>
          <w:szCs w:val="24"/>
        </w:rPr>
      </w:pPr>
      <w:r w:rsidRPr="00501597">
        <w:rPr>
          <w:rFonts w:ascii="Times New Roman" w:hAnsi="Times New Roman" w:cs="Times New Roman"/>
          <w:b/>
          <w:bCs/>
          <w:sz w:val="24"/>
          <w:szCs w:val="24"/>
        </w:rPr>
        <w:t>Need for the Study</w:t>
      </w:r>
    </w:p>
    <w:p w14:paraId="002A00AB"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 xml:space="preserve">The adoption of electric vehicles (EVs) has become an important component of sustainable transportation in India due to rising environmental concerns, increasing fuel prices, and the need to reduce dependence on fossil fuels. The Government of India has introduced several initiatives and policies to promote electric mobility and support the development of EV infrastructure. However, despite these efforts, the adoption of electric vehicles still faces various challenges. Therefore, it is essential to analyse the growth trends and segment-wise expansion of EVs in India. This study aims to provide insights into the progress of EV adoption, </w:t>
      </w:r>
      <w:r w:rsidRPr="00501597">
        <w:rPr>
          <w:rFonts w:ascii="Times New Roman" w:hAnsi="Times New Roman" w:cs="Times New Roman"/>
          <w:sz w:val="24"/>
          <w:szCs w:val="24"/>
        </w:rPr>
        <w:lastRenderedPageBreak/>
        <w:t>the role of government initiatives, and the key challenges influencing the development of the EV ecosystem in the country.</w:t>
      </w:r>
    </w:p>
    <w:p w14:paraId="66685E4F" w14:textId="77777777" w:rsidR="00815091" w:rsidRPr="00501597" w:rsidRDefault="00815091" w:rsidP="00815091">
      <w:pPr>
        <w:pStyle w:val="ListParagraph"/>
        <w:numPr>
          <w:ilvl w:val="0"/>
          <w:numId w:val="3"/>
        </w:numPr>
        <w:tabs>
          <w:tab w:val="left" w:pos="284"/>
          <w:tab w:val="left" w:pos="567"/>
        </w:tabs>
        <w:ind w:hanging="720"/>
        <w:rPr>
          <w:rFonts w:ascii="Times New Roman" w:hAnsi="Times New Roman" w:cs="Times New Roman"/>
          <w:b/>
          <w:bCs/>
          <w:sz w:val="24"/>
          <w:szCs w:val="24"/>
        </w:rPr>
      </w:pPr>
      <w:r w:rsidRPr="00501597">
        <w:rPr>
          <w:rFonts w:ascii="Times New Roman" w:hAnsi="Times New Roman" w:cs="Times New Roman"/>
          <w:b/>
          <w:bCs/>
          <w:sz w:val="24"/>
          <w:szCs w:val="24"/>
        </w:rPr>
        <w:t>Objectives of the study</w:t>
      </w:r>
    </w:p>
    <w:p w14:paraId="4CF6F3C3" w14:textId="77777777" w:rsidR="00815091" w:rsidRPr="00501597" w:rsidRDefault="00815091" w:rsidP="00815091">
      <w:pPr>
        <w:rPr>
          <w:rFonts w:ascii="Times New Roman" w:hAnsi="Times New Roman" w:cs="Times New Roman"/>
          <w:sz w:val="24"/>
          <w:szCs w:val="24"/>
        </w:rPr>
      </w:pPr>
      <w:r w:rsidRPr="00501597">
        <w:rPr>
          <w:rFonts w:ascii="Times New Roman" w:hAnsi="Times New Roman" w:cs="Times New Roman"/>
          <w:sz w:val="24"/>
          <w:szCs w:val="24"/>
        </w:rPr>
        <w:t>The specific objectives of the study are as under;</w:t>
      </w:r>
    </w:p>
    <w:p w14:paraId="38F259C1" w14:textId="77777777" w:rsidR="00815091" w:rsidRPr="00501597" w:rsidRDefault="00815091" w:rsidP="00815091">
      <w:pPr>
        <w:pStyle w:val="ListParagraph"/>
        <w:numPr>
          <w:ilvl w:val="0"/>
          <w:numId w:val="1"/>
        </w:numPr>
        <w:rPr>
          <w:rFonts w:ascii="Times New Roman" w:hAnsi="Times New Roman" w:cs="Times New Roman"/>
          <w:sz w:val="24"/>
          <w:szCs w:val="24"/>
        </w:rPr>
      </w:pPr>
      <w:r w:rsidRPr="00501597">
        <w:rPr>
          <w:rFonts w:ascii="Times New Roman" w:hAnsi="Times New Roman" w:cs="Times New Roman"/>
          <w:sz w:val="24"/>
          <w:szCs w:val="24"/>
        </w:rPr>
        <w:t>to analyse the growth trends and segment-wise expansion in electric vehicle adoption in India.</w:t>
      </w:r>
    </w:p>
    <w:p w14:paraId="446A19C1" w14:textId="77777777" w:rsidR="00815091" w:rsidRPr="00501597" w:rsidRDefault="00815091" w:rsidP="00815091">
      <w:pPr>
        <w:pStyle w:val="ListParagraph"/>
        <w:numPr>
          <w:ilvl w:val="0"/>
          <w:numId w:val="1"/>
        </w:numPr>
        <w:jc w:val="both"/>
        <w:rPr>
          <w:rFonts w:ascii="Times New Roman" w:hAnsi="Times New Roman" w:cs="Times New Roman"/>
          <w:sz w:val="24"/>
          <w:szCs w:val="24"/>
        </w:rPr>
      </w:pPr>
      <w:r w:rsidRPr="00501597">
        <w:rPr>
          <w:rFonts w:ascii="Times New Roman" w:hAnsi="Times New Roman" w:cs="Times New Roman"/>
          <w:sz w:val="24"/>
          <w:szCs w:val="24"/>
        </w:rPr>
        <w:t>to examine the major government initiatives and policy measures undertaken for promoting electric vehicles in India. and;</w:t>
      </w:r>
    </w:p>
    <w:p w14:paraId="5EAF3C33" w14:textId="5640D2FC" w:rsidR="00815091" w:rsidRPr="00501597" w:rsidRDefault="00815091" w:rsidP="00BA2E95">
      <w:pPr>
        <w:pStyle w:val="ListParagraph"/>
        <w:numPr>
          <w:ilvl w:val="0"/>
          <w:numId w:val="1"/>
        </w:numPr>
        <w:jc w:val="both"/>
        <w:rPr>
          <w:rFonts w:ascii="Times New Roman" w:hAnsi="Times New Roman" w:cs="Times New Roman"/>
          <w:sz w:val="24"/>
          <w:szCs w:val="24"/>
        </w:rPr>
      </w:pPr>
      <w:r w:rsidRPr="00501597">
        <w:rPr>
          <w:rFonts w:ascii="Times New Roman" w:hAnsi="Times New Roman" w:cs="Times New Roman"/>
          <w:sz w:val="24"/>
          <w:szCs w:val="24"/>
        </w:rPr>
        <w:t>to identify major challenges affecting EV adoption in India.</w:t>
      </w:r>
    </w:p>
    <w:p w14:paraId="03A55F20" w14:textId="77777777" w:rsidR="00815091" w:rsidRPr="00501597" w:rsidRDefault="00815091" w:rsidP="00815091">
      <w:pPr>
        <w:pStyle w:val="NoSpacing"/>
        <w:numPr>
          <w:ilvl w:val="0"/>
          <w:numId w:val="2"/>
        </w:numPr>
        <w:tabs>
          <w:tab w:val="left" w:pos="426"/>
        </w:tabs>
        <w:spacing w:line="360" w:lineRule="auto"/>
        <w:ind w:hanging="1080"/>
        <w:rPr>
          <w:rFonts w:ascii="Times New Roman" w:hAnsi="Times New Roman" w:cs="Times New Roman"/>
          <w:b/>
          <w:bCs/>
          <w:sz w:val="24"/>
          <w:szCs w:val="24"/>
        </w:rPr>
      </w:pPr>
      <w:r w:rsidRPr="00501597">
        <w:rPr>
          <w:rFonts w:ascii="Times New Roman" w:hAnsi="Times New Roman" w:cs="Times New Roman"/>
          <w:b/>
          <w:bCs/>
          <w:sz w:val="24"/>
          <w:szCs w:val="24"/>
        </w:rPr>
        <w:t>Growth trends and segment-wise expansion in electric vehicle adoption in India.</w:t>
      </w:r>
    </w:p>
    <w:p w14:paraId="7A3F05FE" w14:textId="77777777" w:rsidR="00815091" w:rsidRPr="00501597" w:rsidRDefault="00815091" w:rsidP="00815091">
      <w:pPr>
        <w:pStyle w:val="NoSpacing"/>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Electric vehicles are gaining significant importance in India due to increasing environmental concerns, rising fuel prices, and supportive government policies. Analysing the growth trends and segment-wise expansion of electric vehicle adoption helps understand market development, consumer demand, and the progress of sustainable transportation across different vehicle categories in the country. The growth and changes in electric vehicle registrations in India during different years are presented in Table 1.</w:t>
      </w:r>
    </w:p>
    <w:p w14:paraId="5ED5EA64" w14:textId="40DC8DBD" w:rsidR="00815091" w:rsidRPr="00501597" w:rsidRDefault="003B04DD" w:rsidP="00815091">
      <w:pPr>
        <w:pStyle w:val="NoSpacing"/>
        <w:spacing w:line="360" w:lineRule="auto"/>
        <w:jc w:val="center"/>
        <w:rPr>
          <w:rFonts w:ascii="Times New Roman" w:hAnsi="Times New Roman" w:cs="Times New Roman"/>
          <w:b/>
          <w:bCs/>
          <w:sz w:val="24"/>
          <w:szCs w:val="24"/>
        </w:rPr>
      </w:pPr>
      <w:r w:rsidRPr="00501597">
        <w:rPr>
          <w:rFonts w:ascii="Times New Roman" w:hAnsi="Times New Roman" w:cs="Times New Roman"/>
          <w:b/>
          <w:bCs/>
          <w:sz w:val="24"/>
          <w:szCs w:val="24"/>
        </w:rPr>
        <w:t xml:space="preserve">TABLE:1 </w:t>
      </w:r>
      <w:r w:rsidR="00815091" w:rsidRPr="00501597">
        <w:rPr>
          <w:rFonts w:ascii="Times New Roman" w:hAnsi="Times New Roman" w:cs="Times New Roman"/>
          <w:b/>
          <w:bCs/>
          <w:sz w:val="24"/>
          <w:szCs w:val="24"/>
        </w:rPr>
        <w:t xml:space="preserve">Growth of </w:t>
      </w:r>
      <w:r w:rsidRPr="00501597">
        <w:rPr>
          <w:rFonts w:ascii="Times New Roman" w:hAnsi="Times New Roman" w:cs="Times New Roman"/>
          <w:b/>
          <w:bCs/>
          <w:sz w:val="24"/>
          <w:szCs w:val="24"/>
        </w:rPr>
        <w:t>E</w:t>
      </w:r>
      <w:r w:rsidR="00815091" w:rsidRPr="00501597">
        <w:rPr>
          <w:rFonts w:ascii="Times New Roman" w:hAnsi="Times New Roman" w:cs="Times New Roman"/>
          <w:b/>
          <w:bCs/>
          <w:sz w:val="24"/>
          <w:szCs w:val="24"/>
        </w:rPr>
        <w:t xml:space="preserve">lectric </w:t>
      </w:r>
      <w:r w:rsidRPr="00501597">
        <w:rPr>
          <w:rFonts w:ascii="Times New Roman" w:hAnsi="Times New Roman" w:cs="Times New Roman"/>
          <w:b/>
          <w:bCs/>
          <w:sz w:val="24"/>
          <w:szCs w:val="24"/>
        </w:rPr>
        <w:t>V</w:t>
      </w:r>
      <w:r w:rsidR="00815091" w:rsidRPr="00501597">
        <w:rPr>
          <w:rFonts w:ascii="Times New Roman" w:hAnsi="Times New Roman" w:cs="Times New Roman"/>
          <w:b/>
          <w:bCs/>
          <w:sz w:val="24"/>
          <w:szCs w:val="24"/>
        </w:rPr>
        <w:t xml:space="preserve">ehicle </w:t>
      </w:r>
      <w:r w:rsidRPr="00501597">
        <w:rPr>
          <w:rFonts w:ascii="Times New Roman" w:hAnsi="Times New Roman" w:cs="Times New Roman"/>
          <w:b/>
          <w:bCs/>
          <w:sz w:val="24"/>
          <w:szCs w:val="24"/>
        </w:rPr>
        <w:t>R</w:t>
      </w:r>
      <w:r w:rsidR="00815091" w:rsidRPr="00501597">
        <w:rPr>
          <w:rFonts w:ascii="Times New Roman" w:hAnsi="Times New Roman" w:cs="Times New Roman"/>
          <w:b/>
          <w:bCs/>
          <w:sz w:val="24"/>
          <w:szCs w:val="24"/>
        </w:rPr>
        <w:t>egistrations in India</w:t>
      </w:r>
    </w:p>
    <w:tbl>
      <w:tblPr>
        <w:tblStyle w:val="TableGrid"/>
        <w:tblW w:w="5000" w:type="pct"/>
        <w:tblLook w:val="04A0" w:firstRow="1" w:lastRow="0" w:firstColumn="1" w:lastColumn="0" w:noHBand="0" w:noVBand="1"/>
      </w:tblPr>
      <w:tblGrid>
        <w:gridCol w:w="2122"/>
        <w:gridCol w:w="3459"/>
        <w:gridCol w:w="3435"/>
      </w:tblGrid>
      <w:tr w:rsidR="00815091" w:rsidRPr="00501597" w14:paraId="1246369E" w14:textId="77777777" w:rsidTr="00C54CAB">
        <w:tc>
          <w:tcPr>
            <w:tcW w:w="1177" w:type="pct"/>
            <w:vAlign w:val="center"/>
            <w:hideMark/>
          </w:tcPr>
          <w:p w14:paraId="4F8DE7C0" w14:textId="77777777" w:rsidR="00815091" w:rsidRPr="00501597" w:rsidRDefault="00815091" w:rsidP="00C54CAB">
            <w:pPr>
              <w:pStyle w:val="NoSpacing"/>
              <w:rPr>
                <w:rFonts w:ascii="Times New Roman" w:hAnsi="Times New Roman" w:cs="Times New Roman"/>
                <w:b/>
                <w:bCs/>
                <w:sz w:val="24"/>
                <w:szCs w:val="24"/>
              </w:rPr>
            </w:pPr>
            <w:r w:rsidRPr="00501597">
              <w:rPr>
                <w:rFonts w:ascii="Times New Roman" w:hAnsi="Times New Roman" w:cs="Times New Roman"/>
                <w:b/>
                <w:bCs/>
                <w:sz w:val="24"/>
                <w:szCs w:val="24"/>
              </w:rPr>
              <w:t>Year</w:t>
            </w:r>
          </w:p>
        </w:tc>
        <w:tc>
          <w:tcPr>
            <w:tcW w:w="1918" w:type="pct"/>
            <w:vAlign w:val="center"/>
            <w:hideMark/>
          </w:tcPr>
          <w:p w14:paraId="1200A065" w14:textId="77777777" w:rsidR="00815091" w:rsidRPr="00501597" w:rsidRDefault="00815091" w:rsidP="00C54CAB">
            <w:pPr>
              <w:pStyle w:val="NoSpacing"/>
              <w:rPr>
                <w:rFonts w:ascii="Times New Roman" w:hAnsi="Times New Roman" w:cs="Times New Roman"/>
                <w:b/>
                <w:bCs/>
                <w:sz w:val="24"/>
                <w:szCs w:val="24"/>
              </w:rPr>
            </w:pPr>
            <w:r w:rsidRPr="00501597">
              <w:rPr>
                <w:rFonts w:ascii="Times New Roman" w:hAnsi="Times New Roman" w:cs="Times New Roman"/>
                <w:b/>
                <w:bCs/>
                <w:sz w:val="24"/>
                <w:szCs w:val="24"/>
              </w:rPr>
              <w:t>EV Registrations (In Million)</w:t>
            </w:r>
          </w:p>
        </w:tc>
        <w:tc>
          <w:tcPr>
            <w:tcW w:w="1905" w:type="pct"/>
            <w:vAlign w:val="center"/>
            <w:hideMark/>
          </w:tcPr>
          <w:p w14:paraId="3D160EE5" w14:textId="77777777" w:rsidR="00815091" w:rsidRPr="00501597" w:rsidRDefault="00815091" w:rsidP="00C54CAB">
            <w:pPr>
              <w:pStyle w:val="NoSpacing"/>
              <w:rPr>
                <w:rFonts w:ascii="Times New Roman" w:hAnsi="Times New Roman" w:cs="Times New Roman"/>
                <w:b/>
                <w:bCs/>
                <w:sz w:val="24"/>
                <w:szCs w:val="24"/>
              </w:rPr>
            </w:pPr>
            <w:r w:rsidRPr="00501597">
              <w:rPr>
                <w:rFonts w:ascii="Times New Roman" w:hAnsi="Times New Roman" w:cs="Times New Roman"/>
                <w:b/>
                <w:bCs/>
                <w:sz w:val="24"/>
                <w:szCs w:val="24"/>
              </w:rPr>
              <w:t>Growth (%)</w:t>
            </w:r>
          </w:p>
        </w:tc>
      </w:tr>
      <w:tr w:rsidR="00815091" w:rsidRPr="00501597" w14:paraId="1B84ADF1" w14:textId="77777777" w:rsidTr="00C54CAB">
        <w:tc>
          <w:tcPr>
            <w:tcW w:w="1177" w:type="pct"/>
            <w:vAlign w:val="center"/>
            <w:hideMark/>
          </w:tcPr>
          <w:p w14:paraId="2AAA138E"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2017-18</w:t>
            </w:r>
          </w:p>
        </w:tc>
        <w:tc>
          <w:tcPr>
            <w:tcW w:w="1918" w:type="pct"/>
            <w:vAlign w:val="center"/>
            <w:hideMark/>
          </w:tcPr>
          <w:p w14:paraId="59BD055A"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1.30</w:t>
            </w:r>
          </w:p>
        </w:tc>
        <w:tc>
          <w:tcPr>
            <w:tcW w:w="1905" w:type="pct"/>
            <w:vAlign w:val="center"/>
            <w:hideMark/>
          </w:tcPr>
          <w:p w14:paraId="43833492"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w:t>
            </w:r>
          </w:p>
        </w:tc>
      </w:tr>
      <w:tr w:rsidR="00815091" w:rsidRPr="00501597" w14:paraId="0C6FA490" w14:textId="77777777" w:rsidTr="00C54CAB">
        <w:tc>
          <w:tcPr>
            <w:tcW w:w="1177" w:type="pct"/>
            <w:vAlign w:val="center"/>
            <w:hideMark/>
          </w:tcPr>
          <w:p w14:paraId="4C11B56A"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2018-19</w:t>
            </w:r>
          </w:p>
        </w:tc>
        <w:tc>
          <w:tcPr>
            <w:tcW w:w="1918" w:type="pct"/>
            <w:vAlign w:val="center"/>
            <w:hideMark/>
          </w:tcPr>
          <w:p w14:paraId="5E698C8E"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1.66</w:t>
            </w:r>
          </w:p>
        </w:tc>
        <w:tc>
          <w:tcPr>
            <w:tcW w:w="1905" w:type="pct"/>
            <w:vAlign w:val="center"/>
            <w:hideMark/>
          </w:tcPr>
          <w:p w14:paraId="124216C1"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27.69</w:t>
            </w:r>
          </w:p>
        </w:tc>
      </w:tr>
      <w:tr w:rsidR="00815091" w:rsidRPr="00501597" w14:paraId="3EA9F54B" w14:textId="77777777" w:rsidTr="00C54CAB">
        <w:tc>
          <w:tcPr>
            <w:tcW w:w="1177" w:type="pct"/>
            <w:vAlign w:val="center"/>
            <w:hideMark/>
          </w:tcPr>
          <w:p w14:paraId="3208CF80"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2019-20</w:t>
            </w:r>
          </w:p>
        </w:tc>
        <w:tc>
          <w:tcPr>
            <w:tcW w:w="1918" w:type="pct"/>
            <w:vAlign w:val="center"/>
            <w:hideMark/>
          </w:tcPr>
          <w:p w14:paraId="170D3B44"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1.24</w:t>
            </w:r>
          </w:p>
        </w:tc>
        <w:tc>
          <w:tcPr>
            <w:tcW w:w="1905" w:type="pct"/>
            <w:vAlign w:val="center"/>
            <w:hideMark/>
          </w:tcPr>
          <w:p w14:paraId="71A76A67"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-25.30</w:t>
            </w:r>
          </w:p>
        </w:tc>
      </w:tr>
      <w:tr w:rsidR="00815091" w:rsidRPr="00501597" w14:paraId="5972C3A9" w14:textId="77777777" w:rsidTr="00C54CAB">
        <w:tc>
          <w:tcPr>
            <w:tcW w:w="1177" w:type="pct"/>
            <w:vAlign w:val="center"/>
            <w:hideMark/>
          </w:tcPr>
          <w:p w14:paraId="19340C19"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2020–21</w:t>
            </w:r>
          </w:p>
        </w:tc>
        <w:tc>
          <w:tcPr>
            <w:tcW w:w="1918" w:type="pct"/>
            <w:vAlign w:val="center"/>
            <w:hideMark/>
          </w:tcPr>
          <w:p w14:paraId="7CC0EA5A"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3.31</w:t>
            </w:r>
          </w:p>
        </w:tc>
        <w:tc>
          <w:tcPr>
            <w:tcW w:w="1905" w:type="pct"/>
            <w:vAlign w:val="center"/>
            <w:hideMark/>
          </w:tcPr>
          <w:p w14:paraId="0FEB85A5"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166.94</w:t>
            </w:r>
          </w:p>
        </w:tc>
      </w:tr>
      <w:tr w:rsidR="00815091" w:rsidRPr="00501597" w14:paraId="2C79B4E2" w14:textId="77777777" w:rsidTr="00C54CAB">
        <w:tc>
          <w:tcPr>
            <w:tcW w:w="1177" w:type="pct"/>
            <w:vAlign w:val="center"/>
            <w:hideMark/>
          </w:tcPr>
          <w:p w14:paraId="22C9177E"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2021–22</w:t>
            </w:r>
          </w:p>
        </w:tc>
        <w:tc>
          <w:tcPr>
            <w:tcW w:w="1918" w:type="pct"/>
            <w:vAlign w:val="center"/>
            <w:hideMark/>
          </w:tcPr>
          <w:p w14:paraId="1797023C"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10.20</w:t>
            </w:r>
          </w:p>
        </w:tc>
        <w:tc>
          <w:tcPr>
            <w:tcW w:w="1905" w:type="pct"/>
            <w:vAlign w:val="center"/>
            <w:hideMark/>
          </w:tcPr>
          <w:p w14:paraId="173D79E3"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208.16</w:t>
            </w:r>
          </w:p>
        </w:tc>
      </w:tr>
      <w:tr w:rsidR="00815091" w:rsidRPr="00501597" w14:paraId="5178A3B7" w14:textId="77777777" w:rsidTr="00C54CAB">
        <w:tc>
          <w:tcPr>
            <w:tcW w:w="1177" w:type="pct"/>
            <w:vAlign w:val="center"/>
            <w:hideMark/>
          </w:tcPr>
          <w:p w14:paraId="541D1D83"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2022–23</w:t>
            </w:r>
          </w:p>
        </w:tc>
        <w:tc>
          <w:tcPr>
            <w:tcW w:w="1918" w:type="pct"/>
            <w:vAlign w:val="center"/>
            <w:hideMark/>
          </w:tcPr>
          <w:p w14:paraId="7C021B81"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15.29</w:t>
            </w:r>
          </w:p>
        </w:tc>
        <w:tc>
          <w:tcPr>
            <w:tcW w:w="1905" w:type="pct"/>
            <w:vAlign w:val="center"/>
            <w:hideMark/>
          </w:tcPr>
          <w:p w14:paraId="77E619CC"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49.90</w:t>
            </w:r>
          </w:p>
        </w:tc>
      </w:tr>
      <w:tr w:rsidR="00815091" w:rsidRPr="00501597" w14:paraId="064A0581" w14:textId="77777777" w:rsidTr="00C54CAB">
        <w:tc>
          <w:tcPr>
            <w:tcW w:w="1177" w:type="pct"/>
            <w:vAlign w:val="center"/>
            <w:hideMark/>
          </w:tcPr>
          <w:p w14:paraId="1C2D8005"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2023–24</w:t>
            </w:r>
          </w:p>
        </w:tc>
        <w:tc>
          <w:tcPr>
            <w:tcW w:w="1918" w:type="pct"/>
            <w:vAlign w:val="center"/>
            <w:hideMark/>
          </w:tcPr>
          <w:p w14:paraId="1894FFCF"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16.80</w:t>
            </w:r>
          </w:p>
        </w:tc>
        <w:tc>
          <w:tcPr>
            <w:tcW w:w="1905" w:type="pct"/>
            <w:vAlign w:val="center"/>
            <w:hideMark/>
          </w:tcPr>
          <w:p w14:paraId="27266053"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9.88</w:t>
            </w:r>
          </w:p>
        </w:tc>
      </w:tr>
      <w:tr w:rsidR="00815091" w:rsidRPr="00501597" w14:paraId="0C8C145E" w14:textId="77777777" w:rsidTr="00C54CAB">
        <w:tc>
          <w:tcPr>
            <w:tcW w:w="1177" w:type="pct"/>
            <w:vAlign w:val="center"/>
            <w:hideMark/>
          </w:tcPr>
          <w:p w14:paraId="60C1E5ED"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2024–25</w:t>
            </w:r>
          </w:p>
        </w:tc>
        <w:tc>
          <w:tcPr>
            <w:tcW w:w="1918" w:type="pct"/>
            <w:vAlign w:val="center"/>
            <w:hideMark/>
          </w:tcPr>
          <w:p w14:paraId="099E9A8E"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19.70</w:t>
            </w:r>
          </w:p>
        </w:tc>
        <w:tc>
          <w:tcPr>
            <w:tcW w:w="1905" w:type="pct"/>
            <w:vAlign w:val="center"/>
            <w:hideMark/>
          </w:tcPr>
          <w:p w14:paraId="249BEAD1"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17.26</w:t>
            </w:r>
          </w:p>
        </w:tc>
      </w:tr>
      <w:tr w:rsidR="00815091" w:rsidRPr="00501597" w14:paraId="78B8155D" w14:textId="77777777" w:rsidTr="00C54CAB">
        <w:tc>
          <w:tcPr>
            <w:tcW w:w="1177" w:type="pct"/>
            <w:vAlign w:val="bottom"/>
          </w:tcPr>
          <w:p w14:paraId="74F615B7" w14:textId="77777777" w:rsidR="00815091" w:rsidRPr="00501597" w:rsidRDefault="00815091" w:rsidP="00C54CAB">
            <w:pPr>
              <w:pStyle w:val="NoSpacing"/>
              <w:rPr>
                <w:rFonts w:ascii="Times New Roman" w:hAnsi="Times New Roman" w:cs="Times New Roman"/>
                <w:i/>
                <w:iCs/>
                <w:sz w:val="24"/>
                <w:szCs w:val="24"/>
              </w:rPr>
            </w:pPr>
            <w:r w:rsidRPr="00501597">
              <w:rPr>
                <w:rFonts w:ascii="Times New Roman" w:hAnsi="Times New Roman" w:cs="Times New Roman"/>
                <w:i/>
                <w:iCs/>
                <w:sz w:val="24"/>
                <w:szCs w:val="24"/>
              </w:rPr>
              <w:t xml:space="preserve">Total </w:t>
            </w:r>
          </w:p>
        </w:tc>
        <w:tc>
          <w:tcPr>
            <w:tcW w:w="1918" w:type="pct"/>
            <w:vAlign w:val="bottom"/>
          </w:tcPr>
          <w:p w14:paraId="1FABF6D5"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69.5</w:t>
            </w:r>
          </w:p>
        </w:tc>
        <w:tc>
          <w:tcPr>
            <w:tcW w:w="1905" w:type="pct"/>
            <w:vAlign w:val="center"/>
          </w:tcPr>
          <w:p w14:paraId="23290BD8"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w:t>
            </w:r>
          </w:p>
        </w:tc>
      </w:tr>
      <w:tr w:rsidR="00815091" w:rsidRPr="00501597" w14:paraId="7A038EED" w14:textId="77777777" w:rsidTr="00C54CAB">
        <w:tc>
          <w:tcPr>
            <w:tcW w:w="1177" w:type="pct"/>
            <w:vAlign w:val="bottom"/>
          </w:tcPr>
          <w:p w14:paraId="49187DF5" w14:textId="77777777" w:rsidR="00815091" w:rsidRPr="00501597" w:rsidRDefault="00815091" w:rsidP="00C54CAB">
            <w:pPr>
              <w:pStyle w:val="NoSpacing"/>
              <w:rPr>
                <w:rFonts w:ascii="Times New Roman" w:hAnsi="Times New Roman" w:cs="Times New Roman"/>
                <w:i/>
                <w:iCs/>
                <w:sz w:val="24"/>
                <w:szCs w:val="24"/>
              </w:rPr>
            </w:pPr>
            <w:r w:rsidRPr="00501597">
              <w:rPr>
                <w:rFonts w:ascii="Times New Roman" w:hAnsi="Times New Roman" w:cs="Times New Roman"/>
                <w:i/>
                <w:iCs/>
                <w:sz w:val="24"/>
                <w:szCs w:val="24"/>
              </w:rPr>
              <w:t>Mean</w:t>
            </w:r>
          </w:p>
        </w:tc>
        <w:tc>
          <w:tcPr>
            <w:tcW w:w="1918" w:type="pct"/>
            <w:vAlign w:val="bottom"/>
          </w:tcPr>
          <w:p w14:paraId="4BA4EC81"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8.6875</w:t>
            </w:r>
          </w:p>
        </w:tc>
        <w:tc>
          <w:tcPr>
            <w:tcW w:w="1905" w:type="pct"/>
          </w:tcPr>
          <w:p w14:paraId="1111FC2A"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w:t>
            </w:r>
          </w:p>
        </w:tc>
      </w:tr>
      <w:tr w:rsidR="00815091" w:rsidRPr="00501597" w14:paraId="4F49067F" w14:textId="77777777" w:rsidTr="00C54CAB">
        <w:tc>
          <w:tcPr>
            <w:tcW w:w="1177" w:type="pct"/>
            <w:vAlign w:val="bottom"/>
          </w:tcPr>
          <w:p w14:paraId="758F18B9" w14:textId="77777777" w:rsidR="00815091" w:rsidRPr="00501597" w:rsidRDefault="00815091" w:rsidP="00C54CAB">
            <w:pPr>
              <w:pStyle w:val="NoSpacing"/>
              <w:rPr>
                <w:rFonts w:ascii="Times New Roman" w:hAnsi="Times New Roman" w:cs="Times New Roman"/>
                <w:i/>
                <w:iCs/>
                <w:sz w:val="24"/>
                <w:szCs w:val="24"/>
              </w:rPr>
            </w:pPr>
            <w:r w:rsidRPr="00501597">
              <w:rPr>
                <w:rFonts w:ascii="Times New Roman" w:hAnsi="Times New Roman" w:cs="Times New Roman"/>
                <w:i/>
                <w:iCs/>
                <w:sz w:val="24"/>
                <w:szCs w:val="24"/>
              </w:rPr>
              <w:t>Median</w:t>
            </w:r>
          </w:p>
        </w:tc>
        <w:tc>
          <w:tcPr>
            <w:tcW w:w="1918" w:type="pct"/>
            <w:vAlign w:val="bottom"/>
          </w:tcPr>
          <w:p w14:paraId="0DB47083"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6.755</w:t>
            </w:r>
          </w:p>
        </w:tc>
        <w:tc>
          <w:tcPr>
            <w:tcW w:w="1905" w:type="pct"/>
          </w:tcPr>
          <w:p w14:paraId="5E4D1C71"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w:t>
            </w:r>
          </w:p>
        </w:tc>
      </w:tr>
      <w:tr w:rsidR="00815091" w:rsidRPr="00501597" w14:paraId="3991AC8E" w14:textId="77777777" w:rsidTr="00C54CAB">
        <w:tc>
          <w:tcPr>
            <w:tcW w:w="1177" w:type="pct"/>
            <w:vAlign w:val="bottom"/>
          </w:tcPr>
          <w:p w14:paraId="3F8B221C" w14:textId="77777777" w:rsidR="00815091" w:rsidRPr="00501597" w:rsidRDefault="00815091" w:rsidP="00C54CAB">
            <w:pPr>
              <w:pStyle w:val="NoSpacing"/>
              <w:rPr>
                <w:rFonts w:ascii="Times New Roman" w:hAnsi="Times New Roman" w:cs="Times New Roman"/>
                <w:i/>
                <w:iCs/>
                <w:sz w:val="24"/>
                <w:szCs w:val="24"/>
              </w:rPr>
            </w:pPr>
            <w:r w:rsidRPr="00501597">
              <w:rPr>
                <w:rFonts w:ascii="Times New Roman" w:hAnsi="Times New Roman" w:cs="Times New Roman"/>
                <w:i/>
                <w:iCs/>
                <w:sz w:val="24"/>
                <w:szCs w:val="24"/>
              </w:rPr>
              <w:t>SD</w:t>
            </w:r>
          </w:p>
        </w:tc>
        <w:tc>
          <w:tcPr>
            <w:tcW w:w="1918" w:type="pct"/>
            <w:vAlign w:val="bottom"/>
          </w:tcPr>
          <w:p w14:paraId="57A85C32"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7.758057</w:t>
            </w:r>
          </w:p>
        </w:tc>
        <w:tc>
          <w:tcPr>
            <w:tcW w:w="1905" w:type="pct"/>
          </w:tcPr>
          <w:p w14:paraId="70E5C3B3"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w:t>
            </w:r>
          </w:p>
        </w:tc>
      </w:tr>
      <w:tr w:rsidR="00815091" w:rsidRPr="00501597" w14:paraId="7CB0BAB5" w14:textId="77777777" w:rsidTr="00C54CAB">
        <w:tc>
          <w:tcPr>
            <w:tcW w:w="1177" w:type="pct"/>
            <w:vAlign w:val="bottom"/>
          </w:tcPr>
          <w:p w14:paraId="24958740" w14:textId="77777777" w:rsidR="00815091" w:rsidRPr="00501597" w:rsidRDefault="00815091" w:rsidP="00C54CAB">
            <w:pPr>
              <w:pStyle w:val="NoSpacing"/>
              <w:rPr>
                <w:rFonts w:ascii="Times New Roman" w:hAnsi="Times New Roman" w:cs="Times New Roman"/>
                <w:i/>
                <w:iCs/>
                <w:sz w:val="24"/>
                <w:szCs w:val="24"/>
              </w:rPr>
            </w:pPr>
            <w:r w:rsidRPr="00501597">
              <w:rPr>
                <w:rFonts w:ascii="Times New Roman" w:hAnsi="Times New Roman" w:cs="Times New Roman"/>
                <w:i/>
                <w:iCs/>
                <w:sz w:val="24"/>
                <w:szCs w:val="24"/>
              </w:rPr>
              <w:t>Kurtosis</w:t>
            </w:r>
          </w:p>
        </w:tc>
        <w:tc>
          <w:tcPr>
            <w:tcW w:w="1918" w:type="pct"/>
            <w:vAlign w:val="bottom"/>
          </w:tcPr>
          <w:p w14:paraId="1772568E"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-2.03464</w:t>
            </w:r>
          </w:p>
        </w:tc>
        <w:tc>
          <w:tcPr>
            <w:tcW w:w="1905" w:type="pct"/>
          </w:tcPr>
          <w:p w14:paraId="186F30D3"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w:t>
            </w:r>
          </w:p>
        </w:tc>
      </w:tr>
      <w:tr w:rsidR="00815091" w:rsidRPr="00501597" w14:paraId="55713300" w14:textId="77777777" w:rsidTr="00C54CAB">
        <w:tc>
          <w:tcPr>
            <w:tcW w:w="1177" w:type="pct"/>
            <w:vAlign w:val="bottom"/>
          </w:tcPr>
          <w:p w14:paraId="22F7AA77" w14:textId="77777777" w:rsidR="00815091" w:rsidRPr="00501597" w:rsidRDefault="00815091" w:rsidP="00C54CAB">
            <w:pPr>
              <w:pStyle w:val="NoSpacing"/>
              <w:rPr>
                <w:rFonts w:ascii="Times New Roman" w:hAnsi="Times New Roman" w:cs="Times New Roman"/>
                <w:i/>
                <w:iCs/>
                <w:sz w:val="24"/>
                <w:szCs w:val="24"/>
              </w:rPr>
            </w:pPr>
            <w:r w:rsidRPr="00501597">
              <w:rPr>
                <w:rFonts w:ascii="Times New Roman" w:hAnsi="Times New Roman" w:cs="Times New Roman"/>
                <w:i/>
                <w:iCs/>
                <w:sz w:val="24"/>
                <w:szCs w:val="24"/>
              </w:rPr>
              <w:t>Skewness</w:t>
            </w:r>
          </w:p>
        </w:tc>
        <w:tc>
          <w:tcPr>
            <w:tcW w:w="1918" w:type="pct"/>
            <w:vAlign w:val="bottom"/>
          </w:tcPr>
          <w:p w14:paraId="125362B0"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0.34344</w:t>
            </w:r>
          </w:p>
        </w:tc>
        <w:tc>
          <w:tcPr>
            <w:tcW w:w="1905" w:type="pct"/>
          </w:tcPr>
          <w:p w14:paraId="23FDAA0B"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w:t>
            </w:r>
          </w:p>
        </w:tc>
      </w:tr>
    </w:tbl>
    <w:p w14:paraId="72BE5A05" w14:textId="77777777" w:rsidR="00815091" w:rsidRPr="00501597" w:rsidRDefault="00815091" w:rsidP="00815091">
      <w:pPr>
        <w:rPr>
          <w:rFonts w:ascii="Times New Roman" w:hAnsi="Times New Roman" w:cs="Times New Roman"/>
          <w:sz w:val="24"/>
          <w:szCs w:val="24"/>
        </w:rPr>
      </w:pPr>
      <w:r w:rsidRPr="00501597">
        <w:rPr>
          <w:rFonts w:ascii="Times New Roman" w:hAnsi="Times New Roman" w:cs="Times New Roman"/>
          <w:sz w:val="24"/>
          <w:szCs w:val="24"/>
        </w:rPr>
        <w:t>Source: VAHAN Portal, Ministry of Road Transport and Highways, Government of India.</w:t>
      </w:r>
    </w:p>
    <w:p w14:paraId="653C0028" w14:textId="77777777" w:rsidR="00BA2E95" w:rsidRPr="00501597" w:rsidRDefault="00BA2E95" w:rsidP="00BA2E95">
      <w:pPr>
        <w:rPr>
          <w:rFonts w:ascii="Times New Roman" w:hAnsi="Times New Roman" w:cs="Times New Roman"/>
          <w:sz w:val="24"/>
          <w:szCs w:val="24"/>
        </w:rPr>
      </w:pPr>
      <w:r w:rsidRPr="00501597">
        <w:rPr>
          <w:rFonts w:ascii="Times New Roman" w:hAnsi="Times New Roman" w:cs="Times New Roman"/>
          <w:b/>
          <w:bCs/>
          <w:sz w:val="24"/>
          <w:szCs w:val="24"/>
        </w:rPr>
        <w:t>CHART: 1 Growth of electric vehicle registrations in India</w:t>
      </w:r>
      <w:r w:rsidRPr="00501597">
        <w:rPr>
          <w:rFonts w:ascii="Times New Roman" w:hAnsi="Times New Roman" w:cs="Times New Roman"/>
          <w:sz w:val="24"/>
          <w:szCs w:val="24"/>
        </w:rPr>
        <w:t xml:space="preserve"> </w:t>
      </w:r>
    </w:p>
    <w:p w14:paraId="07AC08D5" w14:textId="44C89BA6" w:rsidR="00BA2E95" w:rsidRPr="00501597" w:rsidRDefault="00BA2E95" w:rsidP="00BA2E95">
      <w:pPr>
        <w:rPr>
          <w:rFonts w:ascii="Times New Roman" w:hAnsi="Times New Roman" w:cs="Times New Roman"/>
          <w:sz w:val="24"/>
          <w:szCs w:val="24"/>
        </w:rPr>
      </w:pPr>
      <w:r w:rsidRPr="00501597">
        <w:rPr>
          <w:b/>
          <w:bCs/>
          <w:noProof/>
        </w:rPr>
        <w:lastRenderedPageBreak/>
        <w:drawing>
          <wp:anchor distT="0" distB="0" distL="114300" distR="114300" simplePos="0" relativeHeight="251663360" behindDoc="0" locked="0" layoutInCell="1" allowOverlap="1" wp14:anchorId="5F07F5E3" wp14:editId="24AEC9DF">
            <wp:simplePos x="0" y="0"/>
            <wp:positionH relativeFrom="margin">
              <wp:align>right</wp:align>
            </wp:positionH>
            <wp:positionV relativeFrom="page">
              <wp:posOffset>5836920</wp:posOffset>
            </wp:positionV>
            <wp:extent cx="5730240" cy="2453640"/>
            <wp:effectExtent l="0" t="0" r="3810" b="3810"/>
            <wp:wrapSquare wrapText="bothSides"/>
            <wp:docPr id="84406152" name="Chart 1">
              <a:extLst xmlns:a="http://schemas.openxmlformats.org/drawingml/2006/main">
                <a:ext uri="{FF2B5EF4-FFF2-40B4-BE49-F238E27FC236}">
                  <a16:creationId xmlns:a16="http://schemas.microsoft.com/office/drawing/2014/main" id="{2550C10E-BF6F-8A54-A91A-CBBCF5FC12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08A47539" w14:textId="0EC68883" w:rsidR="00815091" w:rsidRPr="00501597" w:rsidRDefault="00815091" w:rsidP="00815091">
      <w:pPr>
        <w:rPr>
          <w:rFonts w:ascii="Times New Roman" w:hAnsi="Times New Roman" w:cs="Times New Roman"/>
          <w:sz w:val="24"/>
          <w:szCs w:val="24"/>
        </w:rPr>
      </w:pPr>
      <w:r w:rsidRPr="00501597">
        <w:rPr>
          <w:rFonts w:ascii="Times New Roman" w:hAnsi="Times New Roman" w:cs="Times New Roman"/>
          <w:sz w:val="24"/>
          <w:szCs w:val="24"/>
        </w:rPr>
        <w:t>Source: Table 1</w:t>
      </w:r>
    </w:p>
    <w:p w14:paraId="2831BA8A"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Interpretation:</w:t>
      </w:r>
      <w:r w:rsidRPr="00501597">
        <w:rPr>
          <w:rFonts w:ascii="Times New Roman" w:hAnsi="Times New Roman" w:cs="Times New Roman"/>
          <w:sz w:val="24"/>
          <w:szCs w:val="24"/>
        </w:rPr>
        <w:t xml:space="preserve"> The table shows the growth trend of electric vehicle (EV) registrations in India from 2017–18 to 2024–25. EV registrations increased from 1.30 million in 2017–18 to 1.66 million in 2018–19 due to rising environmental awareness and initial government incentives. However, registrations declined in 2019–20 mainly because of economic slowdown and limited charging infrastructure. A sharp increase occurred from 2020–21 to 2021–22 as government policies such as subsidies, the FAME scheme, and rising fuel prices encouraged EV adoption. Growth continued in 2022–23 and 2023–24 with improved technology and infrastructure, though at a slower pace due to market stabilization. In 2024–25, registrations increased again due to growing consumer acceptance and expanding charging networks.</w:t>
      </w:r>
    </w:p>
    <w:p w14:paraId="16CE07C4" w14:textId="1A624B61" w:rsidR="00815091" w:rsidRPr="00501597" w:rsidRDefault="00D8613E" w:rsidP="00815091">
      <w:pPr>
        <w:jc w:val="center"/>
        <w:rPr>
          <w:rFonts w:ascii="Times New Roman" w:hAnsi="Times New Roman" w:cs="Times New Roman"/>
          <w:b/>
          <w:bCs/>
          <w:sz w:val="24"/>
          <w:szCs w:val="24"/>
        </w:rPr>
      </w:pPr>
      <w:r w:rsidRPr="00501597">
        <w:rPr>
          <w:rFonts w:ascii="Times New Roman" w:hAnsi="Times New Roman" w:cs="Times New Roman"/>
          <w:b/>
          <w:bCs/>
          <w:sz w:val="24"/>
          <w:szCs w:val="24"/>
        </w:rPr>
        <w:t xml:space="preserve">TABLE: 2 </w:t>
      </w:r>
      <w:r w:rsidR="00815091" w:rsidRPr="00501597">
        <w:rPr>
          <w:rFonts w:ascii="Times New Roman" w:hAnsi="Times New Roman" w:cs="Times New Roman"/>
          <w:b/>
          <w:bCs/>
          <w:sz w:val="24"/>
          <w:szCs w:val="24"/>
        </w:rPr>
        <w:t xml:space="preserve">Number of </w:t>
      </w:r>
      <w:r w:rsidR="009F1048" w:rsidRPr="00501597">
        <w:rPr>
          <w:rFonts w:ascii="Times New Roman" w:hAnsi="Times New Roman" w:cs="Times New Roman"/>
          <w:b/>
          <w:bCs/>
          <w:sz w:val="24"/>
          <w:szCs w:val="24"/>
        </w:rPr>
        <w:t>E</w:t>
      </w:r>
      <w:r w:rsidR="00815091" w:rsidRPr="00501597">
        <w:rPr>
          <w:rFonts w:ascii="Times New Roman" w:hAnsi="Times New Roman" w:cs="Times New Roman"/>
          <w:b/>
          <w:bCs/>
          <w:sz w:val="24"/>
          <w:szCs w:val="24"/>
        </w:rPr>
        <w:t xml:space="preserve">lectric </w:t>
      </w:r>
      <w:r w:rsidR="009F1048" w:rsidRPr="00501597">
        <w:rPr>
          <w:rFonts w:ascii="Times New Roman" w:hAnsi="Times New Roman" w:cs="Times New Roman"/>
          <w:b/>
          <w:bCs/>
          <w:sz w:val="24"/>
          <w:szCs w:val="24"/>
        </w:rPr>
        <w:t>V</w:t>
      </w:r>
      <w:r w:rsidR="00815091" w:rsidRPr="00501597">
        <w:rPr>
          <w:rFonts w:ascii="Times New Roman" w:hAnsi="Times New Roman" w:cs="Times New Roman"/>
          <w:b/>
          <w:bCs/>
          <w:sz w:val="24"/>
          <w:szCs w:val="24"/>
        </w:rPr>
        <w:t xml:space="preserve">ehicles </w:t>
      </w:r>
      <w:r w:rsidR="009F1048" w:rsidRPr="00501597">
        <w:rPr>
          <w:rFonts w:ascii="Times New Roman" w:hAnsi="Times New Roman" w:cs="Times New Roman"/>
          <w:b/>
          <w:bCs/>
          <w:sz w:val="24"/>
          <w:szCs w:val="24"/>
        </w:rPr>
        <w:t>S</w:t>
      </w:r>
      <w:r w:rsidR="00815091" w:rsidRPr="00501597">
        <w:rPr>
          <w:rFonts w:ascii="Times New Roman" w:hAnsi="Times New Roman" w:cs="Times New Roman"/>
          <w:b/>
          <w:bCs/>
          <w:sz w:val="24"/>
          <w:szCs w:val="24"/>
        </w:rPr>
        <w:t xml:space="preserve">old by </w:t>
      </w:r>
      <w:r w:rsidR="009F1048" w:rsidRPr="00501597">
        <w:rPr>
          <w:rFonts w:ascii="Times New Roman" w:hAnsi="Times New Roman" w:cs="Times New Roman"/>
          <w:b/>
          <w:bCs/>
          <w:sz w:val="24"/>
          <w:szCs w:val="24"/>
        </w:rPr>
        <w:t>C</w:t>
      </w:r>
      <w:r w:rsidR="00815091" w:rsidRPr="00501597">
        <w:rPr>
          <w:rFonts w:ascii="Times New Roman" w:hAnsi="Times New Roman" w:cs="Times New Roman"/>
          <w:b/>
          <w:bCs/>
          <w:sz w:val="24"/>
          <w:szCs w:val="24"/>
        </w:rPr>
        <w:t>ategory in India (in Millions)</w:t>
      </w:r>
    </w:p>
    <w:tbl>
      <w:tblPr>
        <w:tblW w:w="5000" w:type="pct"/>
        <w:tblLook w:val="04A0" w:firstRow="1" w:lastRow="0" w:firstColumn="1" w:lastColumn="0" w:noHBand="0" w:noVBand="1"/>
      </w:tblPr>
      <w:tblGrid>
        <w:gridCol w:w="2902"/>
        <w:gridCol w:w="1529"/>
        <w:gridCol w:w="1529"/>
        <w:gridCol w:w="1529"/>
        <w:gridCol w:w="1527"/>
      </w:tblGrid>
      <w:tr w:rsidR="00815091" w:rsidRPr="00501597" w14:paraId="65978679" w14:textId="77777777" w:rsidTr="00C54CAB">
        <w:trPr>
          <w:trHeight w:val="324"/>
        </w:trPr>
        <w:tc>
          <w:tcPr>
            <w:tcW w:w="1609" w:type="pct"/>
            <w:tcBorders>
              <w:top w:val="single" w:sz="4" w:space="0" w:color="auto"/>
              <w:left w:val="single" w:sz="4" w:space="0" w:color="auto"/>
              <w:bottom w:val="single" w:sz="4" w:space="0" w:color="auto"/>
              <w:right w:val="single" w:sz="4" w:space="0" w:color="auto"/>
            </w:tcBorders>
            <w:vAlign w:val="center"/>
            <w:hideMark/>
          </w:tcPr>
          <w:p w14:paraId="790CB68D" w14:textId="77777777" w:rsidR="00815091" w:rsidRPr="00501597"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501597">
              <w:rPr>
                <w:rFonts w:ascii="Times New Roman" w:eastAsia="Times New Roman" w:hAnsi="Times New Roman" w:cs="Times New Roman"/>
                <w:b/>
                <w:bCs/>
                <w:kern w:val="0"/>
                <w:sz w:val="24"/>
                <w:szCs w:val="24"/>
                <w:lang w:eastAsia="en-IN"/>
                <w14:ligatures w14:val="none"/>
              </w:rPr>
              <w:t>Year</w:t>
            </w:r>
          </w:p>
        </w:tc>
        <w:tc>
          <w:tcPr>
            <w:tcW w:w="848" w:type="pct"/>
            <w:tcBorders>
              <w:top w:val="single" w:sz="4" w:space="0" w:color="auto"/>
              <w:left w:val="nil"/>
              <w:bottom w:val="single" w:sz="4" w:space="0" w:color="auto"/>
              <w:right w:val="single" w:sz="4" w:space="0" w:color="auto"/>
            </w:tcBorders>
            <w:vAlign w:val="center"/>
            <w:hideMark/>
          </w:tcPr>
          <w:p w14:paraId="77C442F2" w14:textId="77777777" w:rsidR="00815091" w:rsidRPr="00501597"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501597">
              <w:rPr>
                <w:rFonts w:ascii="Times New Roman" w:eastAsia="Times New Roman" w:hAnsi="Times New Roman" w:cs="Times New Roman"/>
                <w:b/>
                <w:bCs/>
                <w:kern w:val="0"/>
                <w:sz w:val="24"/>
                <w:szCs w:val="24"/>
                <w:lang w:eastAsia="en-IN"/>
                <w14:ligatures w14:val="none"/>
              </w:rPr>
              <w:t>E2W</w:t>
            </w:r>
          </w:p>
        </w:tc>
        <w:tc>
          <w:tcPr>
            <w:tcW w:w="848" w:type="pct"/>
            <w:tcBorders>
              <w:top w:val="single" w:sz="4" w:space="0" w:color="auto"/>
              <w:left w:val="nil"/>
              <w:bottom w:val="single" w:sz="4" w:space="0" w:color="auto"/>
              <w:right w:val="single" w:sz="4" w:space="0" w:color="auto"/>
            </w:tcBorders>
            <w:vAlign w:val="center"/>
            <w:hideMark/>
          </w:tcPr>
          <w:p w14:paraId="3F492457" w14:textId="77777777" w:rsidR="00815091" w:rsidRPr="00501597"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501597">
              <w:rPr>
                <w:rFonts w:ascii="Times New Roman" w:eastAsia="Times New Roman" w:hAnsi="Times New Roman" w:cs="Times New Roman"/>
                <w:b/>
                <w:bCs/>
                <w:kern w:val="0"/>
                <w:sz w:val="24"/>
                <w:szCs w:val="24"/>
                <w:lang w:eastAsia="en-IN"/>
                <w14:ligatures w14:val="none"/>
              </w:rPr>
              <w:t>E3W</w:t>
            </w:r>
          </w:p>
        </w:tc>
        <w:tc>
          <w:tcPr>
            <w:tcW w:w="848" w:type="pct"/>
            <w:tcBorders>
              <w:top w:val="single" w:sz="4" w:space="0" w:color="auto"/>
              <w:left w:val="nil"/>
              <w:bottom w:val="single" w:sz="4" w:space="0" w:color="auto"/>
              <w:right w:val="single" w:sz="4" w:space="0" w:color="auto"/>
            </w:tcBorders>
            <w:vAlign w:val="center"/>
            <w:hideMark/>
          </w:tcPr>
          <w:p w14:paraId="74040321" w14:textId="77777777" w:rsidR="00815091" w:rsidRPr="00501597"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501597">
              <w:rPr>
                <w:rFonts w:ascii="Times New Roman" w:eastAsia="Times New Roman" w:hAnsi="Times New Roman" w:cs="Times New Roman"/>
                <w:b/>
                <w:bCs/>
                <w:kern w:val="0"/>
                <w:sz w:val="24"/>
                <w:szCs w:val="24"/>
                <w:lang w:eastAsia="en-IN"/>
                <w14:ligatures w14:val="none"/>
              </w:rPr>
              <w:t>E4W</w:t>
            </w:r>
          </w:p>
        </w:tc>
        <w:tc>
          <w:tcPr>
            <w:tcW w:w="847" w:type="pct"/>
            <w:tcBorders>
              <w:top w:val="single" w:sz="4" w:space="0" w:color="auto"/>
              <w:left w:val="nil"/>
              <w:bottom w:val="single" w:sz="4" w:space="0" w:color="auto"/>
              <w:right w:val="single" w:sz="4" w:space="0" w:color="auto"/>
            </w:tcBorders>
            <w:vAlign w:val="center"/>
            <w:hideMark/>
          </w:tcPr>
          <w:p w14:paraId="58F90DE9" w14:textId="77777777" w:rsidR="00815091" w:rsidRPr="00501597" w:rsidRDefault="00815091" w:rsidP="00C54CAB">
            <w:pPr>
              <w:spacing w:after="0" w:line="240" w:lineRule="auto"/>
              <w:rPr>
                <w:rFonts w:ascii="Times New Roman" w:eastAsia="Times New Roman" w:hAnsi="Times New Roman" w:cs="Times New Roman"/>
                <w:b/>
                <w:bCs/>
                <w:kern w:val="0"/>
                <w:sz w:val="24"/>
                <w:szCs w:val="24"/>
                <w:lang w:eastAsia="en-IN"/>
                <w14:ligatures w14:val="none"/>
              </w:rPr>
            </w:pPr>
            <w:r w:rsidRPr="00501597">
              <w:rPr>
                <w:rFonts w:ascii="Times New Roman" w:eastAsia="Times New Roman" w:hAnsi="Times New Roman" w:cs="Times New Roman"/>
                <w:b/>
                <w:bCs/>
                <w:kern w:val="0"/>
                <w:sz w:val="24"/>
                <w:szCs w:val="24"/>
                <w:lang w:eastAsia="en-IN"/>
                <w14:ligatures w14:val="none"/>
              </w:rPr>
              <w:t>E-Buses</w:t>
            </w:r>
          </w:p>
        </w:tc>
      </w:tr>
      <w:tr w:rsidR="00815091" w:rsidRPr="00501597" w14:paraId="7FF5E9E9" w14:textId="77777777" w:rsidTr="00C54CAB">
        <w:trPr>
          <w:trHeight w:val="324"/>
        </w:trPr>
        <w:tc>
          <w:tcPr>
            <w:tcW w:w="1609" w:type="pct"/>
            <w:tcBorders>
              <w:top w:val="nil"/>
              <w:left w:val="single" w:sz="4" w:space="0" w:color="auto"/>
              <w:bottom w:val="single" w:sz="4" w:space="0" w:color="auto"/>
              <w:right w:val="single" w:sz="4" w:space="0" w:color="auto"/>
            </w:tcBorders>
            <w:vAlign w:val="center"/>
            <w:hideMark/>
          </w:tcPr>
          <w:p w14:paraId="010EC034"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2020–21</w:t>
            </w:r>
          </w:p>
        </w:tc>
        <w:tc>
          <w:tcPr>
            <w:tcW w:w="848" w:type="pct"/>
            <w:tcBorders>
              <w:top w:val="nil"/>
              <w:left w:val="nil"/>
              <w:bottom w:val="single" w:sz="4" w:space="0" w:color="auto"/>
              <w:right w:val="single" w:sz="4" w:space="0" w:color="auto"/>
            </w:tcBorders>
            <w:vAlign w:val="center"/>
            <w:hideMark/>
          </w:tcPr>
          <w:p w14:paraId="2DF0421D"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1.433</w:t>
            </w:r>
          </w:p>
        </w:tc>
        <w:tc>
          <w:tcPr>
            <w:tcW w:w="848" w:type="pct"/>
            <w:tcBorders>
              <w:top w:val="nil"/>
              <w:left w:val="nil"/>
              <w:bottom w:val="single" w:sz="4" w:space="0" w:color="auto"/>
              <w:right w:val="single" w:sz="4" w:space="0" w:color="auto"/>
            </w:tcBorders>
            <w:vAlign w:val="center"/>
            <w:hideMark/>
          </w:tcPr>
          <w:p w14:paraId="7525275A"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0.071</w:t>
            </w:r>
          </w:p>
        </w:tc>
        <w:tc>
          <w:tcPr>
            <w:tcW w:w="848" w:type="pct"/>
            <w:tcBorders>
              <w:top w:val="nil"/>
              <w:left w:val="nil"/>
              <w:bottom w:val="single" w:sz="4" w:space="0" w:color="auto"/>
              <w:right w:val="single" w:sz="4" w:space="0" w:color="auto"/>
            </w:tcBorders>
            <w:vAlign w:val="center"/>
            <w:hideMark/>
          </w:tcPr>
          <w:p w14:paraId="2D63A4B7"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0.117</w:t>
            </w:r>
          </w:p>
        </w:tc>
        <w:tc>
          <w:tcPr>
            <w:tcW w:w="847" w:type="pct"/>
            <w:tcBorders>
              <w:top w:val="nil"/>
              <w:left w:val="nil"/>
              <w:bottom w:val="single" w:sz="4" w:space="0" w:color="auto"/>
              <w:right w:val="single" w:sz="4" w:space="0" w:color="auto"/>
            </w:tcBorders>
            <w:vAlign w:val="center"/>
            <w:hideMark/>
          </w:tcPr>
          <w:p w14:paraId="62B2C9D5"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0.012</w:t>
            </w:r>
          </w:p>
        </w:tc>
      </w:tr>
      <w:tr w:rsidR="00815091" w:rsidRPr="00501597" w14:paraId="7423A06B" w14:textId="77777777" w:rsidTr="00C54CAB">
        <w:trPr>
          <w:trHeight w:val="324"/>
        </w:trPr>
        <w:tc>
          <w:tcPr>
            <w:tcW w:w="1609" w:type="pct"/>
            <w:tcBorders>
              <w:top w:val="nil"/>
              <w:left w:val="single" w:sz="4" w:space="0" w:color="auto"/>
              <w:bottom w:val="single" w:sz="4" w:space="0" w:color="auto"/>
              <w:right w:val="single" w:sz="4" w:space="0" w:color="auto"/>
            </w:tcBorders>
            <w:vAlign w:val="center"/>
            <w:hideMark/>
          </w:tcPr>
          <w:p w14:paraId="181B8150"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2021–22</w:t>
            </w:r>
          </w:p>
        </w:tc>
        <w:tc>
          <w:tcPr>
            <w:tcW w:w="848" w:type="pct"/>
            <w:tcBorders>
              <w:top w:val="nil"/>
              <w:left w:val="nil"/>
              <w:bottom w:val="single" w:sz="4" w:space="0" w:color="auto"/>
              <w:right w:val="single" w:sz="4" w:space="0" w:color="auto"/>
            </w:tcBorders>
            <w:vAlign w:val="center"/>
            <w:hideMark/>
          </w:tcPr>
          <w:p w14:paraId="723CA2AA"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6.315</w:t>
            </w:r>
          </w:p>
        </w:tc>
        <w:tc>
          <w:tcPr>
            <w:tcW w:w="848" w:type="pct"/>
            <w:tcBorders>
              <w:top w:val="nil"/>
              <w:left w:val="nil"/>
              <w:bottom w:val="single" w:sz="4" w:space="0" w:color="auto"/>
              <w:right w:val="single" w:sz="4" w:space="0" w:color="auto"/>
            </w:tcBorders>
            <w:vAlign w:val="center"/>
            <w:hideMark/>
          </w:tcPr>
          <w:p w14:paraId="1B395456"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3.527</w:t>
            </w:r>
          </w:p>
        </w:tc>
        <w:tc>
          <w:tcPr>
            <w:tcW w:w="848" w:type="pct"/>
            <w:tcBorders>
              <w:top w:val="nil"/>
              <w:left w:val="nil"/>
              <w:bottom w:val="single" w:sz="4" w:space="0" w:color="auto"/>
              <w:right w:val="single" w:sz="4" w:space="0" w:color="auto"/>
            </w:tcBorders>
            <w:vAlign w:val="center"/>
            <w:hideMark/>
          </w:tcPr>
          <w:p w14:paraId="01653566"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0.382</w:t>
            </w:r>
          </w:p>
        </w:tc>
        <w:tc>
          <w:tcPr>
            <w:tcW w:w="847" w:type="pct"/>
            <w:tcBorders>
              <w:top w:val="nil"/>
              <w:left w:val="nil"/>
              <w:bottom w:val="single" w:sz="4" w:space="0" w:color="auto"/>
              <w:right w:val="single" w:sz="4" w:space="0" w:color="auto"/>
            </w:tcBorders>
            <w:vAlign w:val="center"/>
            <w:hideMark/>
          </w:tcPr>
          <w:p w14:paraId="22BE287A"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0.026</w:t>
            </w:r>
          </w:p>
        </w:tc>
      </w:tr>
      <w:tr w:rsidR="00815091" w:rsidRPr="00501597" w14:paraId="7CF4EBFD" w14:textId="77777777" w:rsidTr="00C54CAB">
        <w:trPr>
          <w:trHeight w:val="324"/>
        </w:trPr>
        <w:tc>
          <w:tcPr>
            <w:tcW w:w="1609" w:type="pct"/>
            <w:tcBorders>
              <w:top w:val="nil"/>
              <w:left w:val="single" w:sz="4" w:space="0" w:color="auto"/>
              <w:bottom w:val="single" w:sz="4" w:space="0" w:color="auto"/>
              <w:right w:val="single" w:sz="4" w:space="0" w:color="auto"/>
            </w:tcBorders>
            <w:vAlign w:val="center"/>
            <w:hideMark/>
          </w:tcPr>
          <w:p w14:paraId="15CE14E2"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2022–23</w:t>
            </w:r>
          </w:p>
        </w:tc>
        <w:tc>
          <w:tcPr>
            <w:tcW w:w="848" w:type="pct"/>
            <w:tcBorders>
              <w:top w:val="nil"/>
              <w:left w:val="nil"/>
              <w:bottom w:val="single" w:sz="4" w:space="0" w:color="auto"/>
              <w:right w:val="single" w:sz="4" w:space="0" w:color="auto"/>
            </w:tcBorders>
            <w:vAlign w:val="center"/>
            <w:hideMark/>
          </w:tcPr>
          <w:p w14:paraId="1E03E278"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8.594</w:t>
            </w:r>
          </w:p>
        </w:tc>
        <w:tc>
          <w:tcPr>
            <w:tcW w:w="848" w:type="pct"/>
            <w:tcBorders>
              <w:top w:val="nil"/>
              <w:left w:val="nil"/>
              <w:bottom w:val="single" w:sz="4" w:space="0" w:color="auto"/>
              <w:right w:val="single" w:sz="4" w:space="0" w:color="auto"/>
            </w:tcBorders>
            <w:vAlign w:val="center"/>
            <w:hideMark/>
          </w:tcPr>
          <w:p w14:paraId="1613CA32"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5.828</w:t>
            </w:r>
          </w:p>
        </w:tc>
        <w:tc>
          <w:tcPr>
            <w:tcW w:w="848" w:type="pct"/>
            <w:tcBorders>
              <w:top w:val="nil"/>
              <w:left w:val="nil"/>
              <w:bottom w:val="single" w:sz="4" w:space="0" w:color="auto"/>
              <w:right w:val="single" w:sz="4" w:space="0" w:color="auto"/>
            </w:tcBorders>
            <w:vAlign w:val="center"/>
            <w:hideMark/>
          </w:tcPr>
          <w:p w14:paraId="1040A746"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0.821</w:t>
            </w:r>
          </w:p>
        </w:tc>
        <w:tc>
          <w:tcPr>
            <w:tcW w:w="847" w:type="pct"/>
            <w:tcBorders>
              <w:top w:val="nil"/>
              <w:left w:val="nil"/>
              <w:bottom w:val="single" w:sz="4" w:space="0" w:color="auto"/>
              <w:right w:val="single" w:sz="4" w:space="0" w:color="auto"/>
            </w:tcBorders>
            <w:vAlign w:val="center"/>
            <w:hideMark/>
          </w:tcPr>
          <w:p w14:paraId="1B5DEA5F"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0.057</w:t>
            </w:r>
          </w:p>
        </w:tc>
      </w:tr>
      <w:tr w:rsidR="00815091" w:rsidRPr="00501597" w14:paraId="4F95BC47" w14:textId="77777777" w:rsidTr="00C54CAB">
        <w:trPr>
          <w:trHeight w:val="324"/>
        </w:trPr>
        <w:tc>
          <w:tcPr>
            <w:tcW w:w="1609" w:type="pct"/>
            <w:tcBorders>
              <w:top w:val="nil"/>
              <w:left w:val="single" w:sz="4" w:space="0" w:color="auto"/>
              <w:bottom w:val="single" w:sz="4" w:space="0" w:color="auto"/>
              <w:right w:val="single" w:sz="4" w:space="0" w:color="auto"/>
            </w:tcBorders>
            <w:vAlign w:val="center"/>
            <w:hideMark/>
          </w:tcPr>
          <w:p w14:paraId="5B0E52ED"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2023–24</w:t>
            </w:r>
          </w:p>
        </w:tc>
        <w:tc>
          <w:tcPr>
            <w:tcW w:w="848" w:type="pct"/>
            <w:tcBorders>
              <w:top w:val="nil"/>
              <w:left w:val="nil"/>
              <w:bottom w:val="single" w:sz="4" w:space="0" w:color="auto"/>
              <w:right w:val="single" w:sz="4" w:space="0" w:color="auto"/>
            </w:tcBorders>
            <w:vAlign w:val="center"/>
            <w:hideMark/>
          </w:tcPr>
          <w:p w14:paraId="4F903E6A"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9.500</w:t>
            </w:r>
          </w:p>
        </w:tc>
        <w:tc>
          <w:tcPr>
            <w:tcW w:w="848" w:type="pct"/>
            <w:tcBorders>
              <w:top w:val="nil"/>
              <w:left w:val="nil"/>
              <w:bottom w:val="single" w:sz="4" w:space="0" w:color="auto"/>
              <w:right w:val="single" w:sz="4" w:space="0" w:color="auto"/>
            </w:tcBorders>
            <w:vAlign w:val="center"/>
            <w:hideMark/>
          </w:tcPr>
          <w:p w14:paraId="6BB74D0F"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6.340</w:t>
            </w:r>
          </w:p>
        </w:tc>
        <w:tc>
          <w:tcPr>
            <w:tcW w:w="848" w:type="pct"/>
            <w:tcBorders>
              <w:top w:val="nil"/>
              <w:left w:val="nil"/>
              <w:bottom w:val="single" w:sz="4" w:space="0" w:color="auto"/>
              <w:right w:val="single" w:sz="4" w:space="0" w:color="auto"/>
            </w:tcBorders>
            <w:vAlign w:val="center"/>
            <w:hideMark/>
          </w:tcPr>
          <w:p w14:paraId="72142F82"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0.846</w:t>
            </w:r>
          </w:p>
        </w:tc>
        <w:tc>
          <w:tcPr>
            <w:tcW w:w="847" w:type="pct"/>
            <w:tcBorders>
              <w:top w:val="nil"/>
              <w:left w:val="nil"/>
              <w:bottom w:val="single" w:sz="4" w:space="0" w:color="auto"/>
              <w:right w:val="single" w:sz="4" w:space="0" w:color="auto"/>
            </w:tcBorders>
            <w:vAlign w:val="center"/>
            <w:hideMark/>
          </w:tcPr>
          <w:p w14:paraId="0B6F8032"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0.021</w:t>
            </w:r>
          </w:p>
        </w:tc>
      </w:tr>
      <w:tr w:rsidR="00815091" w:rsidRPr="00501597" w14:paraId="517D3731" w14:textId="77777777" w:rsidTr="00C54CAB">
        <w:trPr>
          <w:trHeight w:val="324"/>
        </w:trPr>
        <w:tc>
          <w:tcPr>
            <w:tcW w:w="1609" w:type="pct"/>
            <w:tcBorders>
              <w:top w:val="nil"/>
              <w:left w:val="single" w:sz="4" w:space="0" w:color="auto"/>
              <w:bottom w:val="single" w:sz="4" w:space="0" w:color="auto"/>
              <w:right w:val="single" w:sz="4" w:space="0" w:color="auto"/>
            </w:tcBorders>
            <w:vAlign w:val="center"/>
            <w:hideMark/>
          </w:tcPr>
          <w:p w14:paraId="3E64DFE3"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2024–25</w:t>
            </w:r>
          </w:p>
        </w:tc>
        <w:tc>
          <w:tcPr>
            <w:tcW w:w="848" w:type="pct"/>
            <w:tcBorders>
              <w:top w:val="nil"/>
              <w:left w:val="nil"/>
              <w:bottom w:val="single" w:sz="4" w:space="0" w:color="auto"/>
              <w:right w:val="single" w:sz="4" w:space="0" w:color="auto"/>
            </w:tcBorders>
            <w:vAlign w:val="center"/>
            <w:hideMark/>
          </w:tcPr>
          <w:p w14:paraId="3EEDD71D"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11.500</w:t>
            </w:r>
          </w:p>
        </w:tc>
        <w:tc>
          <w:tcPr>
            <w:tcW w:w="848" w:type="pct"/>
            <w:tcBorders>
              <w:top w:val="nil"/>
              <w:left w:val="nil"/>
              <w:bottom w:val="single" w:sz="4" w:space="0" w:color="auto"/>
              <w:right w:val="single" w:sz="4" w:space="0" w:color="auto"/>
            </w:tcBorders>
            <w:vAlign w:val="center"/>
            <w:hideMark/>
          </w:tcPr>
          <w:p w14:paraId="45625099"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7.000</w:t>
            </w:r>
          </w:p>
        </w:tc>
        <w:tc>
          <w:tcPr>
            <w:tcW w:w="848" w:type="pct"/>
            <w:tcBorders>
              <w:top w:val="nil"/>
              <w:left w:val="nil"/>
              <w:bottom w:val="single" w:sz="4" w:space="0" w:color="auto"/>
              <w:right w:val="single" w:sz="4" w:space="0" w:color="auto"/>
            </w:tcBorders>
            <w:vAlign w:val="center"/>
            <w:hideMark/>
          </w:tcPr>
          <w:p w14:paraId="67BAC7FC"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1.000</w:t>
            </w:r>
          </w:p>
        </w:tc>
        <w:tc>
          <w:tcPr>
            <w:tcW w:w="847" w:type="pct"/>
            <w:tcBorders>
              <w:top w:val="nil"/>
              <w:left w:val="nil"/>
              <w:bottom w:val="single" w:sz="4" w:space="0" w:color="auto"/>
              <w:right w:val="single" w:sz="4" w:space="0" w:color="auto"/>
            </w:tcBorders>
            <w:vAlign w:val="center"/>
            <w:hideMark/>
          </w:tcPr>
          <w:p w14:paraId="0396F68D"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0.031</w:t>
            </w:r>
          </w:p>
        </w:tc>
      </w:tr>
      <w:tr w:rsidR="00815091" w:rsidRPr="00501597" w14:paraId="2E1A74FF" w14:textId="77777777" w:rsidTr="00C54CAB">
        <w:trPr>
          <w:trHeight w:val="324"/>
        </w:trPr>
        <w:tc>
          <w:tcPr>
            <w:tcW w:w="1609" w:type="pct"/>
            <w:tcBorders>
              <w:top w:val="nil"/>
              <w:left w:val="single" w:sz="4" w:space="0" w:color="auto"/>
              <w:bottom w:val="single" w:sz="4" w:space="0" w:color="auto"/>
              <w:right w:val="single" w:sz="4" w:space="0" w:color="auto"/>
            </w:tcBorders>
            <w:vAlign w:val="bottom"/>
          </w:tcPr>
          <w:p w14:paraId="4BBB46F0" w14:textId="77777777" w:rsidR="00815091" w:rsidRPr="00501597" w:rsidRDefault="00815091" w:rsidP="00C54CAB">
            <w:pPr>
              <w:spacing w:after="0" w:line="240" w:lineRule="auto"/>
              <w:rPr>
                <w:rFonts w:ascii="Times New Roman" w:eastAsia="Times New Roman" w:hAnsi="Times New Roman" w:cs="Times New Roman"/>
                <w:i/>
                <w:iCs/>
                <w:kern w:val="0"/>
                <w:sz w:val="24"/>
                <w:szCs w:val="24"/>
                <w:lang w:eastAsia="en-IN"/>
                <w14:ligatures w14:val="none"/>
              </w:rPr>
            </w:pPr>
            <w:r w:rsidRPr="00501597">
              <w:rPr>
                <w:rFonts w:ascii="Times New Roman" w:eastAsia="Times New Roman" w:hAnsi="Times New Roman" w:cs="Times New Roman"/>
                <w:i/>
                <w:iCs/>
                <w:kern w:val="0"/>
                <w:sz w:val="24"/>
                <w:szCs w:val="24"/>
                <w:lang w:eastAsia="en-IN"/>
                <w14:ligatures w14:val="none"/>
              </w:rPr>
              <w:lastRenderedPageBreak/>
              <w:t>Total</w:t>
            </w:r>
          </w:p>
        </w:tc>
        <w:tc>
          <w:tcPr>
            <w:tcW w:w="848" w:type="pct"/>
            <w:tcBorders>
              <w:top w:val="nil"/>
              <w:left w:val="nil"/>
              <w:bottom w:val="single" w:sz="4" w:space="0" w:color="auto"/>
              <w:right w:val="single" w:sz="4" w:space="0" w:color="auto"/>
            </w:tcBorders>
            <w:vAlign w:val="center"/>
          </w:tcPr>
          <w:p w14:paraId="6A9D53DB"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37.342</w:t>
            </w:r>
          </w:p>
        </w:tc>
        <w:tc>
          <w:tcPr>
            <w:tcW w:w="848" w:type="pct"/>
            <w:tcBorders>
              <w:top w:val="nil"/>
              <w:left w:val="nil"/>
              <w:bottom w:val="single" w:sz="4" w:space="0" w:color="auto"/>
              <w:right w:val="single" w:sz="4" w:space="0" w:color="auto"/>
            </w:tcBorders>
            <w:vAlign w:val="center"/>
          </w:tcPr>
          <w:p w14:paraId="30A6DD43"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22.766</w:t>
            </w:r>
          </w:p>
        </w:tc>
        <w:tc>
          <w:tcPr>
            <w:tcW w:w="848" w:type="pct"/>
            <w:tcBorders>
              <w:top w:val="nil"/>
              <w:left w:val="nil"/>
              <w:bottom w:val="single" w:sz="4" w:space="0" w:color="auto"/>
              <w:right w:val="single" w:sz="4" w:space="0" w:color="auto"/>
            </w:tcBorders>
            <w:vAlign w:val="center"/>
          </w:tcPr>
          <w:p w14:paraId="0C8331FA"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3.166</w:t>
            </w:r>
          </w:p>
        </w:tc>
        <w:tc>
          <w:tcPr>
            <w:tcW w:w="847" w:type="pct"/>
            <w:tcBorders>
              <w:top w:val="nil"/>
              <w:left w:val="nil"/>
              <w:bottom w:val="single" w:sz="4" w:space="0" w:color="auto"/>
              <w:right w:val="single" w:sz="4" w:space="0" w:color="auto"/>
            </w:tcBorders>
            <w:vAlign w:val="center"/>
          </w:tcPr>
          <w:p w14:paraId="2021071C"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0.147</w:t>
            </w:r>
          </w:p>
        </w:tc>
      </w:tr>
      <w:tr w:rsidR="00815091" w:rsidRPr="00501597" w14:paraId="58E0716A" w14:textId="77777777" w:rsidTr="00C54CAB">
        <w:trPr>
          <w:trHeight w:val="324"/>
        </w:trPr>
        <w:tc>
          <w:tcPr>
            <w:tcW w:w="1609" w:type="pct"/>
            <w:tcBorders>
              <w:top w:val="nil"/>
              <w:left w:val="single" w:sz="4" w:space="0" w:color="auto"/>
              <w:bottom w:val="single" w:sz="4" w:space="0" w:color="auto"/>
              <w:right w:val="single" w:sz="4" w:space="0" w:color="auto"/>
            </w:tcBorders>
            <w:noWrap/>
            <w:vAlign w:val="bottom"/>
            <w:hideMark/>
          </w:tcPr>
          <w:p w14:paraId="48071A7A" w14:textId="77777777" w:rsidR="00815091" w:rsidRPr="00501597" w:rsidRDefault="00815091" w:rsidP="00C54CAB">
            <w:pPr>
              <w:spacing w:after="0" w:line="240" w:lineRule="auto"/>
              <w:rPr>
                <w:rFonts w:ascii="Times New Roman" w:eastAsia="Times New Roman" w:hAnsi="Times New Roman" w:cs="Times New Roman"/>
                <w:i/>
                <w:iCs/>
                <w:kern w:val="0"/>
                <w:sz w:val="24"/>
                <w:szCs w:val="24"/>
                <w:lang w:eastAsia="en-IN"/>
                <w14:ligatures w14:val="none"/>
              </w:rPr>
            </w:pPr>
            <w:r w:rsidRPr="00501597">
              <w:rPr>
                <w:rFonts w:ascii="Times New Roman" w:eastAsia="Times New Roman" w:hAnsi="Times New Roman" w:cs="Times New Roman"/>
                <w:i/>
                <w:iCs/>
                <w:kern w:val="0"/>
                <w:sz w:val="24"/>
                <w:szCs w:val="24"/>
                <w:lang w:eastAsia="en-IN"/>
                <w14:ligatures w14:val="none"/>
              </w:rPr>
              <w:t>Mean</w:t>
            </w:r>
          </w:p>
        </w:tc>
        <w:tc>
          <w:tcPr>
            <w:tcW w:w="848" w:type="pct"/>
            <w:tcBorders>
              <w:top w:val="nil"/>
              <w:left w:val="nil"/>
              <w:bottom w:val="single" w:sz="4" w:space="0" w:color="auto"/>
              <w:right w:val="single" w:sz="4" w:space="0" w:color="auto"/>
            </w:tcBorders>
            <w:noWrap/>
            <w:vAlign w:val="center"/>
            <w:hideMark/>
          </w:tcPr>
          <w:p w14:paraId="538F8ADE"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7.4684</w:t>
            </w:r>
          </w:p>
        </w:tc>
        <w:tc>
          <w:tcPr>
            <w:tcW w:w="848" w:type="pct"/>
            <w:tcBorders>
              <w:top w:val="nil"/>
              <w:left w:val="nil"/>
              <w:bottom w:val="single" w:sz="4" w:space="0" w:color="auto"/>
              <w:right w:val="single" w:sz="4" w:space="0" w:color="auto"/>
            </w:tcBorders>
            <w:noWrap/>
            <w:vAlign w:val="center"/>
            <w:hideMark/>
          </w:tcPr>
          <w:p w14:paraId="44CF4A9A"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4.5532</w:t>
            </w:r>
          </w:p>
        </w:tc>
        <w:tc>
          <w:tcPr>
            <w:tcW w:w="848" w:type="pct"/>
            <w:tcBorders>
              <w:top w:val="nil"/>
              <w:left w:val="nil"/>
              <w:bottom w:val="single" w:sz="4" w:space="0" w:color="auto"/>
              <w:right w:val="single" w:sz="4" w:space="0" w:color="auto"/>
            </w:tcBorders>
            <w:noWrap/>
            <w:vAlign w:val="center"/>
            <w:hideMark/>
          </w:tcPr>
          <w:p w14:paraId="5F6DDB9F"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0.6332</w:t>
            </w:r>
          </w:p>
        </w:tc>
        <w:tc>
          <w:tcPr>
            <w:tcW w:w="847" w:type="pct"/>
            <w:tcBorders>
              <w:top w:val="nil"/>
              <w:left w:val="nil"/>
              <w:bottom w:val="single" w:sz="4" w:space="0" w:color="auto"/>
              <w:right w:val="single" w:sz="4" w:space="0" w:color="auto"/>
            </w:tcBorders>
            <w:noWrap/>
            <w:vAlign w:val="center"/>
            <w:hideMark/>
          </w:tcPr>
          <w:p w14:paraId="148F4F43"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0.0294</w:t>
            </w:r>
          </w:p>
        </w:tc>
      </w:tr>
      <w:tr w:rsidR="00815091" w:rsidRPr="00501597" w14:paraId="36A2DDE4" w14:textId="77777777" w:rsidTr="00C54CAB">
        <w:trPr>
          <w:trHeight w:val="324"/>
        </w:trPr>
        <w:tc>
          <w:tcPr>
            <w:tcW w:w="1609" w:type="pct"/>
            <w:tcBorders>
              <w:top w:val="nil"/>
              <w:left w:val="single" w:sz="4" w:space="0" w:color="auto"/>
              <w:bottom w:val="single" w:sz="4" w:space="0" w:color="auto"/>
              <w:right w:val="single" w:sz="4" w:space="0" w:color="auto"/>
            </w:tcBorders>
            <w:noWrap/>
            <w:vAlign w:val="bottom"/>
            <w:hideMark/>
          </w:tcPr>
          <w:p w14:paraId="356BD290" w14:textId="77777777" w:rsidR="00815091" w:rsidRPr="00501597" w:rsidRDefault="00815091" w:rsidP="00C54CAB">
            <w:pPr>
              <w:spacing w:after="0" w:line="240" w:lineRule="auto"/>
              <w:rPr>
                <w:rFonts w:ascii="Times New Roman" w:eastAsia="Times New Roman" w:hAnsi="Times New Roman" w:cs="Times New Roman"/>
                <w:i/>
                <w:iCs/>
                <w:kern w:val="0"/>
                <w:sz w:val="24"/>
                <w:szCs w:val="24"/>
                <w:lang w:eastAsia="en-IN"/>
                <w14:ligatures w14:val="none"/>
              </w:rPr>
            </w:pPr>
            <w:r w:rsidRPr="00501597">
              <w:rPr>
                <w:rFonts w:ascii="Times New Roman" w:eastAsia="Times New Roman" w:hAnsi="Times New Roman" w:cs="Times New Roman"/>
                <w:i/>
                <w:iCs/>
                <w:kern w:val="0"/>
                <w:sz w:val="24"/>
                <w:szCs w:val="24"/>
                <w:lang w:eastAsia="en-IN"/>
                <w14:ligatures w14:val="none"/>
              </w:rPr>
              <w:t>Median</w:t>
            </w:r>
          </w:p>
        </w:tc>
        <w:tc>
          <w:tcPr>
            <w:tcW w:w="848" w:type="pct"/>
            <w:tcBorders>
              <w:top w:val="nil"/>
              <w:left w:val="nil"/>
              <w:bottom w:val="single" w:sz="4" w:space="0" w:color="auto"/>
              <w:right w:val="single" w:sz="4" w:space="0" w:color="auto"/>
            </w:tcBorders>
            <w:noWrap/>
            <w:vAlign w:val="center"/>
            <w:hideMark/>
          </w:tcPr>
          <w:p w14:paraId="0479BD1A"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8.594</w:t>
            </w:r>
          </w:p>
        </w:tc>
        <w:tc>
          <w:tcPr>
            <w:tcW w:w="848" w:type="pct"/>
            <w:tcBorders>
              <w:top w:val="nil"/>
              <w:left w:val="nil"/>
              <w:bottom w:val="single" w:sz="4" w:space="0" w:color="auto"/>
              <w:right w:val="single" w:sz="4" w:space="0" w:color="auto"/>
            </w:tcBorders>
            <w:noWrap/>
            <w:vAlign w:val="center"/>
            <w:hideMark/>
          </w:tcPr>
          <w:p w14:paraId="4D58394E"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5.828</w:t>
            </w:r>
          </w:p>
        </w:tc>
        <w:tc>
          <w:tcPr>
            <w:tcW w:w="848" w:type="pct"/>
            <w:tcBorders>
              <w:top w:val="nil"/>
              <w:left w:val="nil"/>
              <w:bottom w:val="single" w:sz="4" w:space="0" w:color="auto"/>
              <w:right w:val="single" w:sz="4" w:space="0" w:color="auto"/>
            </w:tcBorders>
            <w:noWrap/>
            <w:vAlign w:val="center"/>
            <w:hideMark/>
          </w:tcPr>
          <w:p w14:paraId="4C9B3B47"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0.821</w:t>
            </w:r>
          </w:p>
        </w:tc>
        <w:tc>
          <w:tcPr>
            <w:tcW w:w="847" w:type="pct"/>
            <w:tcBorders>
              <w:top w:val="nil"/>
              <w:left w:val="nil"/>
              <w:bottom w:val="single" w:sz="4" w:space="0" w:color="auto"/>
              <w:right w:val="single" w:sz="4" w:space="0" w:color="auto"/>
            </w:tcBorders>
            <w:noWrap/>
            <w:vAlign w:val="center"/>
            <w:hideMark/>
          </w:tcPr>
          <w:p w14:paraId="7A3DF9BE"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0.026</w:t>
            </w:r>
          </w:p>
        </w:tc>
      </w:tr>
      <w:tr w:rsidR="00815091" w:rsidRPr="00501597" w14:paraId="466E772F" w14:textId="77777777" w:rsidTr="00C54CAB">
        <w:trPr>
          <w:trHeight w:val="312"/>
        </w:trPr>
        <w:tc>
          <w:tcPr>
            <w:tcW w:w="1609" w:type="pct"/>
            <w:tcBorders>
              <w:top w:val="nil"/>
              <w:left w:val="single" w:sz="4" w:space="0" w:color="auto"/>
              <w:bottom w:val="single" w:sz="4" w:space="0" w:color="auto"/>
              <w:right w:val="single" w:sz="4" w:space="0" w:color="auto"/>
            </w:tcBorders>
            <w:noWrap/>
            <w:vAlign w:val="bottom"/>
            <w:hideMark/>
          </w:tcPr>
          <w:p w14:paraId="21275503" w14:textId="77777777" w:rsidR="00815091" w:rsidRPr="00501597" w:rsidRDefault="00815091" w:rsidP="00C54CAB">
            <w:pPr>
              <w:spacing w:after="0" w:line="240" w:lineRule="auto"/>
              <w:rPr>
                <w:rFonts w:ascii="Times New Roman" w:eastAsia="Times New Roman" w:hAnsi="Times New Roman" w:cs="Times New Roman"/>
                <w:i/>
                <w:iCs/>
                <w:kern w:val="0"/>
                <w:sz w:val="24"/>
                <w:szCs w:val="24"/>
                <w:lang w:eastAsia="en-IN"/>
                <w14:ligatures w14:val="none"/>
              </w:rPr>
            </w:pPr>
            <w:r w:rsidRPr="00501597">
              <w:rPr>
                <w:rFonts w:ascii="Times New Roman" w:eastAsia="Times New Roman" w:hAnsi="Times New Roman" w:cs="Times New Roman"/>
                <w:i/>
                <w:iCs/>
                <w:kern w:val="0"/>
                <w:sz w:val="24"/>
                <w:szCs w:val="24"/>
                <w:lang w:eastAsia="en-IN"/>
                <w14:ligatures w14:val="none"/>
              </w:rPr>
              <w:t>SD</w:t>
            </w:r>
          </w:p>
        </w:tc>
        <w:tc>
          <w:tcPr>
            <w:tcW w:w="848" w:type="pct"/>
            <w:tcBorders>
              <w:top w:val="nil"/>
              <w:left w:val="nil"/>
              <w:bottom w:val="single" w:sz="4" w:space="0" w:color="auto"/>
              <w:right w:val="single" w:sz="4" w:space="0" w:color="auto"/>
            </w:tcBorders>
            <w:noWrap/>
            <w:vAlign w:val="center"/>
            <w:hideMark/>
          </w:tcPr>
          <w:p w14:paraId="7CF51E1E"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3.85372</w:t>
            </w:r>
          </w:p>
        </w:tc>
        <w:tc>
          <w:tcPr>
            <w:tcW w:w="848" w:type="pct"/>
            <w:tcBorders>
              <w:top w:val="nil"/>
              <w:left w:val="nil"/>
              <w:bottom w:val="single" w:sz="4" w:space="0" w:color="auto"/>
              <w:right w:val="single" w:sz="4" w:space="0" w:color="auto"/>
            </w:tcBorders>
            <w:noWrap/>
            <w:vAlign w:val="center"/>
            <w:hideMark/>
          </w:tcPr>
          <w:p w14:paraId="6291506B"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2.82612</w:t>
            </w:r>
          </w:p>
        </w:tc>
        <w:tc>
          <w:tcPr>
            <w:tcW w:w="848" w:type="pct"/>
            <w:tcBorders>
              <w:top w:val="nil"/>
              <w:left w:val="nil"/>
              <w:bottom w:val="single" w:sz="4" w:space="0" w:color="auto"/>
              <w:right w:val="single" w:sz="4" w:space="0" w:color="auto"/>
            </w:tcBorders>
            <w:noWrap/>
            <w:vAlign w:val="center"/>
            <w:hideMark/>
          </w:tcPr>
          <w:p w14:paraId="7BC70BE2"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0.36901</w:t>
            </w:r>
          </w:p>
        </w:tc>
        <w:tc>
          <w:tcPr>
            <w:tcW w:w="847" w:type="pct"/>
            <w:tcBorders>
              <w:top w:val="nil"/>
              <w:left w:val="nil"/>
              <w:bottom w:val="single" w:sz="4" w:space="0" w:color="auto"/>
              <w:right w:val="single" w:sz="4" w:space="0" w:color="auto"/>
            </w:tcBorders>
            <w:noWrap/>
            <w:vAlign w:val="center"/>
            <w:hideMark/>
          </w:tcPr>
          <w:p w14:paraId="1E1FD657"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0.01695</w:t>
            </w:r>
          </w:p>
        </w:tc>
      </w:tr>
      <w:tr w:rsidR="00815091" w:rsidRPr="00501597" w14:paraId="7E501543" w14:textId="77777777" w:rsidTr="00C54CAB">
        <w:trPr>
          <w:trHeight w:val="312"/>
        </w:trPr>
        <w:tc>
          <w:tcPr>
            <w:tcW w:w="1609" w:type="pct"/>
            <w:tcBorders>
              <w:top w:val="nil"/>
              <w:left w:val="single" w:sz="4" w:space="0" w:color="auto"/>
              <w:bottom w:val="single" w:sz="4" w:space="0" w:color="auto"/>
              <w:right w:val="single" w:sz="4" w:space="0" w:color="auto"/>
            </w:tcBorders>
            <w:noWrap/>
            <w:vAlign w:val="bottom"/>
            <w:hideMark/>
          </w:tcPr>
          <w:p w14:paraId="16DF2D07" w14:textId="77777777" w:rsidR="00815091" w:rsidRPr="00501597" w:rsidRDefault="00815091" w:rsidP="00C54CAB">
            <w:pPr>
              <w:spacing w:after="0" w:line="240" w:lineRule="auto"/>
              <w:rPr>
                <w:rFonts w:ascii="Times New Roman" w:eastAsia="Times New Roman" w:hAnsi="Times New Roman" w:cs="Times New Roman"/>
                <w:i/>
                <w:iCs/>
                <w:kern w:val="0"/>
                <w:sz w:val="24"/>
                <w:szCs w:val="24"/>
                <w:lang w:eastAsia="en-IN"/>
                <w14:ligatures w14:val="none"/>
              </w:rPr>
            </w:pPr>
            <w:r w:rsidRPr="00501597">
              <w:rPr>
                <w:rFonts w:ascii="Times New Roman" w:eastAsia="Times New Roman" w:hAnsi="Times New Roman" w:cs="Times New Roman"/>
                <w:i/>
                <w:iCs/>
                <w:kern w:val="0"/>
                <w:sz w:val="24"/>
                <w:szCs w:val="24"/>
                <w:lang w:eastAsia="en-IN"/>
                <w14:ligatures w14:val="none"/>
              </w:rPr>
              <w:t>Kurtosis</w:t>
            </w:r>
          </w:p>
        </w:tc>
        <w:tc>
          <w:tcPr>
            <w:tcW w:w="848" w:type="pct"/>
            <w:tcBorders>
              <w:top w:val="nil"/>
              <w:left w:val="nil"/>
              <w:bottom w:val="single" w:sz="4" w:space="0" w:color="auto"/>
              <w:right w:val="single" w:sz="4" w:space="0" w:color="auto"/>
            </w:tcBorders>
            <w:noWrap/>
            <w:vAlign w:val="center"/>
            <w:hideMark/>
          </w:tcPr>
          <w:p w14:paraId="0ACF2F0D"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1.13289</w:t>
            </w:r>
          </w:p>
        </w:tc>
        <w:tc>
          <w:tcPr>
            <w:tcW w:w="848" w:type="pct"/>
            <w:tcBorders>
              <w:top w:val="nil"/>
              <w:left w:val="nil"/>
              <w:bottom w:val="single" w:sz="4" w:space="0" w:color="auto"/>
              <w:right w:val="single" w:sz="4" w:space="0" w:color="auto"/>
            </w:tcBorders>
            <w:noWrap/>
            <w:vAlign w:val="center"/>
            <w:hideMark/>
          </w:tcPr>
          <w:p w14:paraId="494CC077"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0.88439</w:t>
            </w:r>
          </w:p>
        </w:tc>
        <w:tc>
          <w:tcPr>
            <w:tcW w:w="848" w:type="pct"/>
            <w:tcBorders>
              <w:top w:val="nil"/>
              <w:left w:val="nil"/>
              <w:bottom w:val="single" w:sz="4" w:space="0" w:color="auto"/>
              <w:right w:val="single" w:sz="4" w:space="0" w:color="auto"/>
            </w:tcBorders>
            <w:noWrap/>
            <w:vAlign w:val="center"/>
            <w:hideMark/>
          </w:tcPr>
          <w:p w14:paraId="20807EA8"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-1.5022</w:t>
            </w:r>
          </w:p>
        </w:tc>
        <w:tc>
          <w:tcPr>
            <w:tcW w:w="847" w:type="pct"/>
            <w:tcBorders>
              <w:top w:val="nil"/>
              <w:left w:val="nil"/>
              <w:bottom w:val="single" w:sz="4" w:space="0" w:color="auto"/>
              <w:right w:val="single" w:sz="4" w:space="0" w:color="auto"/>
            </w:tcBorders>
            <w:noWrap/>
            <w:vAlign w:val="center"/>
            <w:hideMark/>
          </w:tcPr>
          <w:p w14:paraId="7C87BC4F"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2.25337</w:t>
            </w:r>
          </w:p>
        </w:tc>
      </w:tr>
      <w:tr w:rsidR="00815091" w:rsidRPr="00501597" w14:paraId="224B9EF8" w14:textId="77777777" w:rsidTr="00C54CAB">
        <w:trPr>
          <w:trHeight w:val="312"/>
        </w:trPr>
        <w:tc>
          <w:tcPr>
            <w:tcW w:w="1609" w:type="pct"/>
            <w:tcBorders>
              <w:top w:val="nil"/>
              <w:left w:val="single" w:sz="4" w:space="0" w:color="auto"/>
              <w:bottom w:val="single" w:sz="4" w:space="0" w:color="auto"/>
              <w:right w:val="single" w:sz="4" w:space="0" w:color="auto"/>
            </w:tcBorders>
            <w:noWrap/>
            <w:vAlign w:val="bottom"/>
            <w:hideMark/>
          </w:tcPr>
          <w:p w14:paraId="614CA133" w14:textId="77777777" w:rsidR="00815091" w:rsidRPr="00501597" w:rsidRDefault="00815091" w:rsidP="00C54CAB">
            <w:pPr>
              <w:spacing w:after="0" w:line="240" w:lineRule="auto"/>
              <w:rPr>
                <w:rFonts w:ascii="Times New Roman" w:eastAsia="Times New Roman" w:hAnsi="Times New Roman" w:cs="Times New Roman"/>
                <w:i/>
                <w:iCs/>
                <w:kern w:val="0"/>
                <w:sz w:val="24"/>
                <w:szCs w:val="24"/>
                <w:lang w:eastAsia="en-IN"/>
                <w14:ligatures w14:val="none"/>
              </w:rPr>
            </w:pPr>
            <w:r w:rsidRPr="00501597">
              <w:rPr>
                <w:rFonts w:ascii="Times New Roman" w:eastAsia="Times New Roman" w:hAnsi="Times New Roman" w:cs="Times New Roman"/>
                <w:i/>
                <w:iCs/>
                <w:kern w:val="0"/>
                <w:sz w:val="24"/>
                <w:szCs w:val="24"/>
                <w:lang w:eastAsia="en-IN"/>
                <w14:ligatures w14:val="none"/>
              </w:rPr>
              <w:t>Skewness</w:t>
            </w:r>
          </w:p>
        </w:tc>
        <w:tc>
          <w:tcPr>
            <w:tcW w:w="848" w:type="pct"/>
            <w:tcBorders>
              <w:top w:val="nil"/>
              <w:left w:val="nil"/>
              <w:bottom w:val="single" w:sz="4" w:space="0" w:color="auto"/>
              <w:right w:val="single" w:sz="4" w:space="0" w:color="auto"/>
            </w:tcBorders>
            <w:noWrap/>
            <w:vAlign w:val="center"/>
            <w:hideMark/>
          </w:tcPr>
          <w:p w14:paraId="53D11717"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-1.0632</w:t>
            </w:r>
          </w:p>
        </w:tc>
        <w:tc>
          <w:tcPr>
            <w:tcW w:w="848" w:type="pct"/>
            <w:tcBorders>
              <w:top w:val="nil"/>
              <w:left w:val="nil"/>
              <w:bottom w:val="single" w:sz="4" w:space="0" w:color="auto"/>
              <w:right w:val="single" w:sz="4" w:space="0" w:color="auto"/>
            </w:tcBorders>
            <w:noWrap/>
            <w:vAlign w:val="center"/>
            <w:hideMark/>
          </w:tcPr>
          <w:p w14:paraId="176FA6F9"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-1.2682</w:t>
            </w:r>
          </w:p>
        </w:tc>
        <w:tc>
          <w:tcPr>
            <w:tcW w:w="848" w:type="pct"/>
            <w:tcBorders>
              <w:top w:val="nil"/>
              <w:left w:val="nil"/>
              <w:bottom w:val="single" w:sz="4" w:space="0" w:color="auto"/>
              <w:right w:val="single" w:sz="4" w:space="0" w:color="auto"/>
            </w:tcBorders>
            <w:noWrap/>
            <w:vAlign w:val="center"/>
            <w:hideMark/>
          </w:tcPr>
          <w:p w14:paraId="31655B3A"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-0.728</w:t>
            </w:r>
          </w:p>
        </w:tc>
        <w:tc>
          <w:tcPr>
            <w:tcW w:w="847" w:type="pct"/>
            <w:tcBorders>
              <w:top w:val="nil"/>
              <w:left w:val="nil"/>
              <w:bottom w:val="single" w:sz="4" w:space="0" w:color="auto"/>
              <w:right w:val="single" w:sz="4" w:space="0" w:color="auto"/>
            </w:tcBorders>
            <w:noWrap/>
            <w:vAlign w:val="center"/>
            <w:hideMark/>
          </w:tcPr>
          <w:p w14:paraId="18697F76" w14:textId="77777777" w:rsidR="00815091" w:rsidRPr="00501597" w:rsidRDefault="00815091" w:rsidP="00C54CAB">
            <w:pPr>
              <w:spacing w:after="0" w:line="240" w:lineRule="auto"/>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1.29445</w:t>
            </w:r>
          </w:p>
        </w:tc>
      </w:tr>
    </w:tbl>
    <w:p w14:paraId="4A1E6669" w14:textId="77777777" w:rsidR="00815091" w:rsidRPr="00501597" w:rsidRDefault="00815091" w:rsidP="00815091">
      <w:pPr>
        <w:rPr>
          <w:rFonts w:ascii="Times New Roman" w:hAnsi="Times New Roman" w:cs="Times New Roman"/>
          <w:sz w:val="24"/>
          <w:szCs w:val="24"/>
        </w:rPr>
      </w:pPr>
      <w:r w:rsidRPr="00501597">
        <w:rPr>
          <w:rFonts w:ascii="Times New Roman" w:hAnsi="Times New Roman" w:cs="Times New Roman"/>
          <w:sz w:val="24"/>
          <w:szCs w:val="24"/>
        </w:rPr>
        <w:t>Source: Compiled from International Energy Agency and VAHAN Portal.</w:t>
      </w:r>
    </w:p>
    <w:p w14:paraId="0B4BAD94" w14:textId="77777777" w:rsidR="00815091" w:rsidRPr="00501597" w:rsidRDefault="00815091" w:rsidP="00815091">
      <w:pPr>
        <w:jc w:val="center"/>
        <w:rPr>
          <w:rFonts w:ascii="Times New Roman" w:hAnsi="Times New Roman" w:cs="Times New Roman"/>
          <w:sz w:val="24"/>
          <w:szCs w:val="24"/>
        </w:rPr>
      </w:pPr>
    </w:p>
    <w:p w14:paraId="1D6B268A" w14:textId="43953398" w:rsidR="00035D18" w:rsidRPr="00501597" w:rsidRDefault="00035D18" w:rsidP="00035D18">
      <w:pPr>
        <w:jc w:val="center"/>
        <w:rPr>
          <w:rFonts w:ascii="Times New Roman" w:hAnsi="Times New Roman" w:cs="Times New Roman"/>
          <w:b/>
          <w:bCs/>
          <w:sz w:val="24"/>
          <w:szCs w:val="24"/>
        </w:rPr>
      </w:pPr>
      <w:r w:rsidRPr="00501597">
        <w:rPr>
          <w:b/>
          <w:bCs/>
          <w:noProof/>
        </w:rPr>
        <w:drawing>
          <wp:anchor distT="0" distB="0" distL="114300" distR="114300" simplePos="0" relativeHeight="251665408" behindDoc="0" locked="0" layoutInCell="1" allowOverlap="1" wp14:anchorId="25761BBC" wp14:editId="611BA35B">
            <wp:simplePos x="0" y="0"/>
            <wp:positionH relativeFrom="margin">
              <wp:align>left</wp:align>
            </wp:positionH>
            <wp:positionV relativeFrom="margin">
              <wp:posOffset>5044440</wp:posOffset>
            </wp:positionV>
            <wp:extent cx="5852160" cy="3124200"/>
            <wp:effectExtent l="0" t="0" r="15240" b="0"/>
            <wp:wrapSquare wrapText="bothSides"/>
            <wp:docPr id="696783357" name="Chart 1">
              <a:extLst xmlns:a="http://schemas.openxmlformats.org/drawingml/2006/main">
                <a:ext uri="{FF2B5EF4-FFF2-40B4-BE49-F238E27FC236}">
                  <a16:creationId xmlns:a16="http://schemas.microsoft.com/office/drawing/2014/main" id="{68A3009E-91DE-2DE0-A4E8-995320AFB6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3E4E75" w:rsidRPr="00501597">
        <w:rPr>
          <w:rFonts w:ascii="Times New Roman" w:hAnsi="Times New Roman" w:cs="Times New Roman"/>
          <w:b/>
          <w:bCs/>
          <w:sz w:val="24"/>
          <w:szCs w:val="24"/>
        </w:rPr>
        <w:t xml:space="preserve">CHART 2: </w:t>
      </w:r>
      <w:r w:rsidR="00815091" w:rsidRPr="00501597">
        <w:rPr>
          <w:rFonts w:ascii="Times New Roman" w:hAnsi="Times New Roman" w:cs="Times New Roman"/>
          <w:b/>
          <w:bCs/>
          <w:sz w:val="24"/>
          <w:szCs w:val="24"/>
        </w:rPr>
        <w:t>Number of electric vehicles sold by category in India (in Millions)</w:t>
      </w:r>
    </w:p>
    <w:p w14:paraId="74824BBC" w14:textId="2F808896" w:rsidR="00815091" w:rsidRPr="00501597" w:rsidRDefault="00815091" w:rsidP="00815091">
      <w:pPr>
        <w:rPr>
          <w:rFonts w:ascii="Times New Roman" w:hAnsi="Times New Roman" w:cs="Times New Roman"/>
          <w:sz w:val="24"/>
          <w:szCs w:val="24"/>
        </w:rPr>
      </w:pPr>
      <w:r w:rsidRPr="00501597">
        <w:rPr>
          <w:rFonts w:ascii="Times New Roman" w:hAnsi="Times New Roman" w:cs="Times New Roman"/>
          <w:sz w:val="24"/>
          <w:szCs w:val="24"/>
        </w:rPr>
        <w:t>Source: Table 2</w:t>
      </w:r>
    </w:p>
    <w:p w14:paraId="45A0698D"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Interpretation:</w:t>
      </w:r>
      <w:r w:rsidRPr="00501597">
        <w:rPr>
          <w:rFonts w:ascii="Times New Roman" w:hAnsi="Times New Roman" w:cs="Times New Roman"/>
          <w:sz w:val="24"/>
          <w:szCs w:val="24"/>
        </w:rPr>
        <w:t xml:space="preserve"> The table shows the category-wise sales of electric vehicles in India from 2020–21 to 2024–25. Electric two-wheelers (E2W) recorded the highest sales and consistent growth due to their affordability, government subsidies, and increasing demand for personal mobility. Electric three-wheelers (E3W) also increased significantly as they are widely used for commercial transport and last-mile connectivity. Electric four-wheelers (E4W) showed gradual growth due to improving technology and rising consumer awareness, though high initial cost limits faster adoption. In contrast, e-bus sales fluctuated because of high investment costs, dependency on government procurement, and infrastructure requirements, which slowed consistent expansion in this segment.</w:t>
      </w:r>
    </w:p>
    <w:p w14:paraId="35FE229C" w14:textId="77777777" w:rsidR="00815091" w:rsidRPr="00501597" w:rsidRDefault="00815091" w:rsidP="00815091">
      <w:pPr>
        <w:pStyle w:val="ListParagraph"/>
        <w:numPr>
          <w:ilvl w:val="0"/>
          <w:numId w:val="2"/>
        </w:numPr>
        <w:tabs>
          <w:tab w:val="left" w:pos="142"/>
          <w:tab w:val="left" w:pos="284"/>
        </w:tabs>
        <w:spacing w:line="360" w:lineRule="auto"/>
        <w:ind w:left="0" w:firstLine="0"/>
        <w:jc w:val="both"/>
        <w:rPr>
          <w:rFonts w:ascii="Times New Roman" w:hAnsi="Times New Roman" w:cs="Times New Roman"/>
          <w:sz w:val="24"/>
          <w:szCs w:val="24"/>
        </w:rPr>
      </w:pPr>
      <w:r w:rsidRPr="00501597">
        <w:rPr>
          <w:rFonts w:ascii="Times New Roman" w:hAnsi="Times New Roman" w:cs="Times New Roman"/>
          <w:b/>
          <w:bCs/>
          <w:sz w:val="24"/>
          <w:szCs w:val="24"/>
        </w:rPr>
        <w:t>Government Initiatives and Policy Measures for Promoting Electric Vehicles in India</w:t>
      </w:r>
    </w:p>
    <w:p w14:paraId="71829316"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lastRenderedPageBreak/>
        <w:t>The Government of India has introduced several initiatives and policy measures to promote the adoption of electric vehicles and support sustainable transportation. These policies aim to reduce carbon emissions, decrease dependence on fossil fuels, and encourage the development of EV infrastructure. Major initiatives include financial incentives, subsidies, and programs such as the Faster Adoption and Manufacturing of Electric Vehicles (FAME) scheme, tax benefits, and state-level EV policies that support the growth of the electric vehicle ecosystem in India.</w:t>
      </w:r>
    </w:p>
    <w:p w14:paraId="395199B8" w14:textId="77777777" w:rsidR="00815091" w:rsidRPr="00501597" w:rsidRDefault="00815091" w:rsidP="00815091">
      <w:pPr>
        <w:rPr>
          <w:rFonts w:ascii="Times New Roman" w:hAnsi="Times New Roman" w:cs="Times New Roman"/>
          <w:sz w:val="24"/>
          <w:szCs w:val="24"/>
        </w:rPr>
      </w:pPr>
      <w:r w:rsidRPr="00501597">
        <w:rPr>
          <w:rFonts w:ascii="Times New Roman" w:hAnsi="Times New Roman" w:cs="Times New Roman"/>
          <w:sz w:val="24"/>
          <w:szCs w:val="24"/>
        </w:rPr>
        <w:br w:type="page"/>
      </w:r>
    </w:p>
    <w:p w14:paraId="0A8302E3" w14:textId="1924CFBE" w:rsidR="00815091" w:rsidRPr="00501597" w:rsidRDefault="00650B06" w:rsidP="00815091">
      <w:pPr>
        <w:jc w:val="center"/>
        <w:rPr>
          <w:rFonts w:ascii="Times New Roman" w:hAnsi="Times New Roman" w:cs="Times New Roman"/>
          <w:b/>
          <w:bCs/>
          <w:sz w:val="24"/>
          <w:szCs w:val="24"/>
        </w:rPr>
      </w:pPr>
      <w:r w:rsidRPr="00501597">
        <w:rPr>
          <w:rFonts w:ascii="Times New Roman" w:hAnsi="Times New Roman" w:cs="Times New Roman"/>
          <w:b/>
          <w:bCs/>
          <w:sz w:val="24"/>
          <w:szCs w:val="24"/>
        </w:rPr>
        <w:lastRenderedPageBreak/>
        <w:t xml:space="preserve">TABLE:3 </w:t>
      </w:r>
      <w:r w:rsidR="00815091" w:rsidRPr="00501597">
        <w:rPr>
          <w:rFonts w:ascii="Times New Roman" w:hAnsi="Times New Roman" w:cs="Times New Roman"/>
          <w:b/>
          <w:bCs/>
          <w:sz w:val="24"/>
          <w:szCs w:val="24"/>
        </w:rPr>
        <w:t>Major Government Initiatives Promoting Electric Vehicles in India</w:t>
      </w:r>
    </w:p>
    <w:tbl>
      <w:tblPr>
        <w:tblStyle w:val="TableGrid"/>
        <w:tblW w:w="5000" w:type="pct"/>
        <w:tblLook w:val="04A0" w:firstRow="1" w:lastRow="0" w:firstColumn="1" w:lastColumn="0" w:noHBand="0" w:noVBand="1"/>
      </w:tblPr>
      <w:tblGrid>
        <w:gridCol w:w="531"/>
        <w:gridCol w:w="2910"/>
        <w:gridCol w:w="716"/>
        <w:gridCol w:w="1987"/>
        <w:gridCol w:w="2872"/>
      </w:tblGrid>
      <w:tr w:rsidR="00815091" w:rsidRPr="00501597" w14:paraId="293364CF" w14:textId="77777777" w:rsidTr="00C54CAB">
        <w:trPr>
          <w:trHeight w:val="454"/>
        </w:trPr>
        <w:tc>
          <w:tcPr>
            <w:tcW w:w="294" w:type="pct"/>
            <w:vAlign w:val="center"/>
            <w:hideMark/>
          </w:tcPr>
          <w:p w14:paraId="5F12662D" w14:textId="77777777" w:rsidR="00815091" w:rsidRPr="00501597" w:rsidRDefault="00815091" w:rsidP="00C54CAB">
            <w:pPr>
              <w:pStyle w:val="NoSpacing"/>
              <w:rPr>
                <w:rFonts w:ascii="Times New Roman" w:hAnsi="Times New Roman" w:cs="Times New Roman"/>
                <w:b/>
                <w:bCs/>
                <w:sz w:val="24"/>
                <w:szCs w:val="24"/>
              </w:rPr>
            </w:pPr>
            <w:r w:rsidRPr="00501597">
              <w:rPr>
                <w:rFonts w:ascii="Times New Roman" w:hAnsi="Times New Roman" w:cs="Times New Roman"/>
                <w:b/>
                <w:bCs/>
                <w:sz w:val="24"/>
                <w:szCs w:val="24"/>
              </w:rPr>
              <w:t>S. No</w:t>
            </w:r>
          </w:p>
        </w:tc>
        <w:tc>
          <w:tcPr>
            <w:tcW w:w="1614" w:type="pct"/>
            <w:vAlign w:val="center"/>
            <w:hideMark/>
          </w:tcPr>
          <w:p w14:paraId="5FE6B086" w14:textId="77777777" w:rsidR="00815091" w:rsidRPr="00501597" w:rsidRDefault="00815091" w:rsidP="00C54CAB">
            <w:pPr>
              <w:pStyle w:val="NoSpacing"/>
              <w:rPr>
                <w:rFonts w:ascii="Times New Roman" w:hAnsi="Times New Roman" w:cs="Times New Roman"/>
                <w:b/>
                <w:bCs/>
                <w:sz w:val="24"/>
                <w:szCs w:val="24"/>
              </w:rPr>
            </w:pPr>
            <w:r w:rsidRPr="00501597">
              <w:rPr>
                <w:rFonts w:ascii="Times New Roman" w:hAnsi="Times New Roman" w:cs="Times New Roman"/>
                <w:b/>
                <w:bCs/>
                <w:sz w:val="24"/>
                <w:szCs w:val="24"/>
              </w:rPr>
              <w:t>Scheme / Initiative</w:t>
            </w:r>
          </w:p>
        </w:tc>
        <w:tc>
          <w:tcPr>
            <w:tcW w:w="397" w:type="pct"/>
            <w:vAlign w:val="center"/>
            <w:hideMark/>
          </w:tcPr>
          <w:p w14:paraId="300EFF43" w14:textId="77777777" w:rsidR="00815091" w:rsidRPr="00501597" w:rsidRDefault="00815091" w:rsidP="00C54CAB">
            <w:pPr>
              <w:pStyle w:val="NoSpacing"/>
              <w:rPr>
                <w:rFonts w:ascii="Times New Roman" w:hAnsi="Times New Roman" w:cs="Times New Roman"/>
                <w:b/>
                <w:bCs/>
                <w:sz w:val="24"/>
                <w:szCs w:val="24"/>
              </w:rPr>
            </w:pPr>
            <w:r w:rsidRPr="00501597">
              <w:rPr>
                <w:rFonts w:ascii="Times New Roman" w:hAnsi="Times New Roman" w:cs="Times New Roman"/>
                <w:b/>
                <w:bCs/>
                <w:sz w:val="24"/>
                <w:szCs w:val="24"/>
              </w:rPr>
              <w:t>Year</w:t>
            </w:r>
          </w:p>
        </w:tc>
        <w:tc>
          <w:tcPr>
            <w:tcW w:w="1102" w:type="pct"/>
            <w:vAlign w:val="center"/>
            <w:hideMark/>
          </w:tcPr>
          <w:p w14:paraId="4A638D79" w14:textId="77777777" w:rsidR="00815091" w:rsidRPr="00501597" w:rsidRDefault="00815091" w:rsidP="00C54CAB">
            <w:pPr>
              <w:pStyle w:val="NoSpacing"/>
              <w:rPr>
                <w:rFonts w:ascii="Times New Roman" w:hAnsi="Times New Roman" w:cs="Times New Roman"/>
                <w:b/>
                <w:bCs/>
                <w:sz w:val="24"/>
                <w:szCs w:val="24"/>
              </w:rPr>
            </w:pPr>
            <w:r w:rsidRPr="00501597">
              <w:rPr>
                <w:rFonts w:ascii="Times New Roman" w:hAnsi="Times New Roman" w:cs="Times New Roman"/>
                <w:b/>
                <w:bCs/>
                <w:sz w:val="24"/>
                <w:szCs w:val="24"/>
              </w:rPr>
              <w:t>Implementing Agency</w:t>
            </w:r>
          </w:p>
        </w:tc>
        <w:tc>
          <w:tcPr>
            <w:tcW w:w="1593" w:type="pct"/>
            <w:vAlign w:val="center"/>
            <w:hideMark/>
          </w:tcPr>
          <w:p w14:paraId="68373684" w14:textId="77777777" w:rsidR="00815091" w:rsidRPr="00501597" w:rsidRDefault="00815091" w:rsidP="00C54CAB">
            <w:pPr>
              <w:pStyle w:val="NoSpacing"/>
              <w:rPr>
                <w:rFonts w:ascii="Times New Roman" w:hAnsi="Times New Roman" w:cs="Times New Roman"/>
                <w:b/>
                <w:bCs/>
                <w:sz w:val="24"/>
                <w:szCs w:val="24"/>
              </w:rPr>
            </w:pPr>
            <w:r w:rsidRPr="00501597">
              <w:rPr>
                <w:rFonts w:ascii="Times New Roman" w:hAnsi="Times New Roman" w:cs="Times New Roman"/>
                <w:b/>
                <w:bCs/>
                <w:sz w:val="24"/>
                <w:szCs w:val="24"/>
              </w:rPr>
              <w:t>Objectives</w:t>
            </w:r>
          </w:p>
        </w:tc>
      </w:tr>
      <w:tr w:rsidR="00815091" w:rsidRPr="00501597" w14:paraId="402AFF5F" w14:textId="77777777" w:rsidTr="00C54CAB">
        <w:trPr>
          <w:trHeight w:val="454"/>
        </w:trPr>
        <w:tc>
          <w:tcPr>
            <w:tcW w:w="294" w:type="pct"/>
            <w:vAlign w:val="center"/>
            <w:hideMark/>
          </w:tcPr>
          <w:p w14:paraId="33AF2088"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1</w:t>
            </w:r>
          </w:p>
        </w:tc>
        <w:tc>
          <w:tcPr>
            <w:tcW w:w="1614" w:type="pct"/>
            <w:vAlign w:val="center"/>
            <w:hideMark/>
          </w:tcPr>
          <w:p w14:paraId="607FD83F"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Faster Adoption and Manufacturing of Electric Vehicles (FAME India Scheme) – Phase I</w:t>
            </w:r>
          </w:p>
        </w:tc>
        <w:tc>
          <w:tcPr>
            <w:tcW w:w="397" w:type="pct"/>
            <w:vAlign w:val="center"/>
            <w:hideMark/>
          </w:tcPr>
          <w:p w14:paraId="2397D6BC"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2015</w:t>
            </w:r>
          </w:p>
        </w:tc>
        <w:tc>
          <w:tcPr>
            <w:tcW w:w="1102" w:type="pct"/>
            <w:vAlign w:val="center"/>
            <w:hideMark/>
          </w:tcPr>
          <w:p w14:paraId="1315A8B7"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Ministry of Heavy Industries</w:t>
            </w:r>
          </w:p>
        </w:tc>
        <w:tc>
          <w:tcPr>
            <w:tcW w:w="1593" w:type="pct"/>
            <w:vAlign w:val="center"/>
            <w:hideMark/>
          </w:tcPr>
          <w:p w14:paraId="40F633B8"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Promote adoption of electric and hybrid vehicles and develop EV ecosystem</w:t>
            </w:r>
          </w:p>
        </w:tc>
      </w:tr>
      <w:tr w:rsidR="00815091" w:rsidRPr="00501597" w14:paraId="64931C6E" w14:textId="77777777" w:rsidTr="00C54CAB">
        <w:trPr>
          <w:trHeight w:val="454"/>
        </w:trPr>
        <w:tc>
          <w:tcPr>
            <w:tcW w:w="294" w:type="pct"/>
            <w:vAlign w:val="center"/>
            <w:hideMark/>
          </w:tcPr>
          <w:p w14:paraId="4C93BE12"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w:t>
            </w:r>
          </w:p>
        </w:tc>
        <w:tc>
          <w:tcPr>
            <w:tcW w:w="1614" w:type="pct"/>
            <w:vAlign w:val="center"/>
            <w:hideMark/>
          </w:tcPr>
          <w:p w14:paraId="5AEF9B38"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Faster Adoption and Manufacturing of Electric Vehicles (FAME India Scheme) – Phase II</w:t>
            </w:r>
          </w:p>
        </w:tc>
        <w:tc>
          <w:tcPr>
            <w:tcW w:w="397" w:type="pct"/>
            <w:vAlign w:val="center"/>
            <w:hideMark/>
          </w:tcPr>
          <w:p w14:paraId="352295A7"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2019</w:t>
            </w:r>
          </w:p>
        </w:tc>
        <w:tc>
          <w:tcPr>
            <w:tcW w:w="1102" w:type="pct"/>
            <w:vAlign w:val="center"/>
            <w:hideMark/>
          </w:tcPr>
          <w:p w14:paraId="0AD3E723"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Ministry of Heavy Industries</w:t>
            </w:r>
          </w:p>
        </w:tc>
        <w:tc>
          <w:tcPr>
            <w:tcW w:w="1593" w:type="pct"/>
            <w:vAlign w:val="center"/>
            <w:hideMark/>
          </w:tcPr>
          <w:p w14:paraId="7E56D76B"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Accelerate adoption of EVs, especially public and shared transport</w:t>
            </w:r>
          </w:p>
        </w:tc>
      </w:tr>
      <w:tr w:rsidR="00815091" w:rsidRPr="00501597" w14:paraId="2B8770FF" w14:textId="77777777" w:rsidTr="00C54CAB">
        <w:trPr>
          <w:trHeight w:val="454"/>
        </w:trPr>
        <w:tc>
          <w:tcPr>
            <w:tcW w:w="294" w:type="pct"/>
            <w:vAlign w:val="center"/>
            <w:hideMark/>
          </w:tcPr>
          <w:p w14:paraId="7AB68BD6"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3</w:t>
            </w:r>
          </w:p>
        </w:tc>
        <w:tc>
          <w:tcPr>
            <w:tcW w:w="1614" w:type="pct"/>
            <w:vAlign w:val="center"/>
            <w:hideMark/>
          </w:tcPr>
          <w:p w14:paraId="481F95D1"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Production Linked Incentive Scheme for Automobile and Auto Components</w:t>
            </w:r>
          </w:p>
        </w:tc>
        <w:tc>
          <w:tcPr>
            <w:tcW w:w="397" w:type="pct"/>
            <w:vAlign w:val="center"/>
            <w:hideMark/>
          </w:tcPr>
          <w:p w14:paraId="7EC33D2D"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2021</w:t>
            </w:r>
          </w:p>
        </w:tc>
        <w:tc>
          <w:tcPr>
            <w:tcW w:w="1102" w:type="pct"/>
            <w:vAlign w:val="center"/>
            <w:hideMark/>
          </w:tcPr>
          <w:p w14:paraId="230EE7C7"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Government of India</w:t>
            </w:r>
          </w:p>
        </w:tc>
        <w:tc>
          <w:tcPr>
            <w:tcW w:w="1593" w:type="pct"/>
            <w:vAlign w:val="center"/>
            <w:hideMark/>
          </w:tcPr>
          <w:p w14:paraId="0DDE7DA9"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Promote domestic manufacturing of advanced automotive technologies including EVs</w:t>
            </w:r>
          </w:p>
        </w:tc>
      </w:tr>
      <w:tr w:rsidR="00815091" w:rsidRPr="00501597" w14:paraId="00046758" w14:textId="77777777" w:rsidTr="00C54CAB">
        <w:trPr>
          <w:trHeight w:val="454"/>
        </w:trPr>
        <w:tc>
          <w:tcPr>
            <w:tcW w:w="294" w:type="pct"/>
            <w:vAlign w:val="center"/>
            <w:hideMark/>
          </w:tcPr>
          <w:p w14:paraId="0606ADBF"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4</w:t>
            </w:r>
          </w:p>
        </w:tc>
        <w:tc>
          <w:tcPr>
            <w:tcW w:w="1614" w:type="pct"/>
            <w:vAlign w:val="center"/>
            <w:hideMark/>
          </w:tcPr>
          <w:p w14:paraId="49443A53"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PLI Scheme for Advanced Chemistry Cell (ACC) Battery Storage</w:t>
            </w:r>
          </w:p>
        </w:tc>
        <w:tc>
          <w:tcPr>
            <w:tcW w:w="397" w:type="pct"/>
            <w:vAlign w:val="center"/>
            <w:hideMark/>
          </w:tcPr>
          <w:p w14:paraId="597E55FF"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2021</w:t>
            </w:r>
          </w:p>
        </w:tc>
        <w:tc>
          <w:tcPr>
            <w:tcW w:w="1102" w:type="pct"/>
            <w:vAlign w:val="center"/>
            <w:hideMark/>
          </w:tcPr>
          <w:p w14:paraId="5EB5FB4A"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Ministry of Heavy Industries</w:t>
            </w:r>
          </w:p>
        </w:tc>
        <w:tc>
          <w:tcPr>
            <w:tcW w:w="1593" w:type="pct"/>
            <w:vAlign w:val="center"/>
            <w:hideMark/>
          </w:tcPr>
          <w:p w14:paraId="0676360E"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Develop domestic battery manufacturing ecosystem</w:t>
            </w:r>
          </w:p>
        </w:tc>
      </w:tr>
      <w:tr w:rsidR="00815091" w:rsidRPr="00501597" w14:paraId="15501F2E" w14:textId="77777777" w:rsidTr="00C54CAB">
        <w:trPr>
          <w:trHeight w:val="454"/>
        </w:trPr>
        <w:tc>
          <w:tcPr>
            <w:tcW w:w="294" w:type="pct"/>
            <w:vAlign w:val="center"/>
            <w:hideMark/>
          </w:tcPr>
          <w:p w14:paraId="43FD4D8C"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5</w:t>
            </w:r>
          </w:p>
        </w:tc>
        <w:tc>
          <w:tcPr>
            <w:tcW w:w="1614" w:type="pct"/>
            <w:vAlign w:val="center"/>
            <w:hideMark/>
          </w:tcPr>
          <w:p w14:paraId="6794BEA3"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Electric Mobility Promotion Scheme (EMPS) 2024</w:t>
            </w:r>
          </w:p>
        </w:tc>
        <w:tc>
          <w:tcPr>
            <w:tcW w:w="397" w:type="pct"/>
            <w:vAlign w:val="center"/>
            <w:hideMark/>
          </w:tcPr>
          <w:p w14:paraId="5062658E"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2024</w:t>
            </w:r>
          </w:p>
        </w:tc>
        <w:tc>
          <w:tcPr>
            <w:tcW w:w="1102" w:type="pct"/>
            <w:vAlign w:val="center"/>
            <w:hideMark/>
          </w:tcPr>
          <w:p w14:paraId="69DED977"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Ministry of Heavy Industries</w:t>
            </w:r>
          </w:p>
        </w:tc>
        <w:tc>
          <w:tcPr>
            <w:tcW w:w="1593" w:type="pct"/>
            <w:vAlign w:val="center"/>
            <w:hideMark/>
          </w:tcPr>
          <w:p w14:paraId="2549A51D"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Provide short-term incentives to accelerate EV adoption</w:t>
            </w:r>
          </w:p>
        </w:tc>
      </w:tr>
      <w:tr w:rsidR="00815091" w:rsidRPr="00501597" w14:paraId="51BA741F" w14:textId="77777777" w:rsidTr="00C54CAB">
        <w:trPr>
          <w:trHeight w:val="454"/>
        </w:trPr>
        <w:tc>
          <w:tcPr>
            <w:tcW w:w="294" w:type="pct"/>
            <w:vAlign w:val="center"/>
            <w:hideMark/>
          </w:tcPr>
          <w:p w14:paraId="3DC8F2CA"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6</w:t>
            </w:r>
          </w:p>
        </w:tc>
        <w:tc>
          <w:tcPr>
            <w:tcW w:w="1614" w:type="pct"/>
            <w:vAlign w:val="center"/>
            <w:hideMark/>
          </w:tcPr>
          <w:p w14:paraId="6117095F"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PM Electric Drive Revolution in Innovative Vehicle Enhancement (PM E-DRIVE) Scheme</w:t>
            </w:r>
          </w:p>
        </w:tc>
        <w:tc>
          <w:tcPr>
            <w:tcW w:w="397" w:type="pct"/>
            <w:vAlign w:val="center"/>
            <w:hideMark/>
          </w:tcPr>
          <w:p w14:paraId="4BCF611F"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2024</w:t>
            </w:r>
          </w:p>
        </w:tc>
        <w:tc>
          <w:tcPr>
            <w:tcW w:w="1102" w:type="pct"/>
            <w:vAlign w:val="center"/>
            <w:hideMark/>
          </w:tcPr>
          <w:p w14:paraId="6DCDB368"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Government of India</w:t>
            </w:r>
          </w:p>
        </w:tc>
        <w:tc>
          <w:tcPr>
            <w:tcW w:w="1593" w:type="pct"/>
            <w:vAlign w:val="center"/>
            <w:hideMark/>
          </w:tcPr>
          <w:p w14:paraId="0768921F"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Strengthen EV ecosystem and accelerate electric mobility</w:t>
            </w:r>
          </w:p>
        </w:tc>
      </w:tr>
      <w:tr w:rsidR="00815091" w:rsidRPr="00501597" w14:paraId="0D8BB0BE" w14:textId="77777777" w:rsidTr="00C54CAB">
        <w:trPr>
          <w:trHeight w:val="454"/>
        </w:trPr>
        <w:tc>
          <w:tcPr>
            <w:tcW w:w="294" w:type="pct"/>
            <w:vAlign w:val="center"/>
            <w:hideMark/>
          </w:tcPr>
          <w:p w14:paraId="7905A053"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7</w:t>
            </w:r>
          </w:p>
        </w:tc>
        <w:tc>
          <w:tcPr>
            <w:tcW w:w="1614" w:type="pct"/>
            <w:vAlign w:val="center"/>
            <w:hideMark/>
          </w:tcPr>
          <w:p w14:paraId="67E492E6"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PM e-Bus Sewa Scheme</w:t>
            </w:r>
          </w:p>
        </w:tc>
        <w:tc>
          <w:tcPr>
            <w:tcW w:w="397" w:type="pct"/>
            <w:vAlign w:val="center"/>
            <w:hideMark/>
          </w:tcPr>
          <w:p w14:paraId="46E48068"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2023</w:t>
            </w:r>
          </w:p>
        </w:tc>
        <w:tc>
          <w:tcPr>
            <w:tcW w:w="1102" w:type="pct"/>
            <w:vAlign w:val="center"/>
            <w:hideMark/>
          </w:tcPr>
          <w:p w14:paraId="471F037A"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Ministry of Housing and Urban Affairs</w:t>
            </w:r>
          </w:p>
        </w:tc>
        <w:tc>
          <w:tcPr>
            <w:tcW w:w="1593" w:type="pct"/>
            <w:vAlign w:val="center"/>
            <w:hideMark/>
          </w:tcPr>
          <w:p w14:paraId="0BD5362A"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Promote clean and sustainable public transportation</w:t>
            </w:r>
          </w:p>
        </w:tc>
      </w:tr>
      <w:tr w:rsidR="00815091" w:rsidRPr="00501597" w14:paraId="0A1E7FD9" w14:textId="77777777" w:rsidTr="00C54CAB">
        <w:trPr>
          <w:trHeight w:val="454"/>
        </w:trPr>
        <w:tc>
          <w:tcPr>
            <w:tcW w:w="294" w:type="pct"/>
            <w:vAlign w:val="center"/>
            <w:hideMark/>
          </w:tcPr>
          <w:p w14:paraId="43082770"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8</w:t>
            </w:r>
          </w:p>
        </w:tc>
        <w:tc>
          <w:tcPr>
            <w:tcW w:w="1614" w:type="pct"/>
            <w:vAlign w:val="center"/>
            <w:hideMark/>
          </w:tcPr>
          <w:p w14:paraId="2ADDD94B"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National Electric Mobility Mission Plan (NEMMP)</w:t>
            </w:r>
          </w:p>
        </w:tc>
        <w:tc>
          <w:tcPr>
            <w:tcW w:w="397" w:type="pct"/>
            <w:vAlign w:val="center"/>
            <w:hideMark/>
          </w:tcPr>
          <w:p w14:paraId="1BE5D16A"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2013</w:t>
            </w:r>
          </w:p>
        </w:tc>
        <w:tc>
          <w:tcPr>
            <w:tcW w:w="1102" w:type="pct"/>
            <w:vAlign w:val="center"/>
            <w:hideMark/>
          </w:tcPr>
          <w:p w14:paraId="5A9F87B4"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Government of India</w:t>
            </w:r>
          </w:p>
        </w:tc>
        <w:tc>
          <w:tcPr>
            <w:tcW w:w="1593" w:type="pct"/>
            <w:vAlign w:val="center"/>
            <w:hideMark/>
          </w:tcPr>
          <w:p w14:paraId="3525E712" w14:textId="77777777" w:rsidR="00815091" w:rsidRPr="00501597" w:rsidRDefault="00815091" w:rsidP="00C54CAB">
            <w:pPr>
              <w:pStyle w:val="NoSpacing"/>
              <w:rPr>
                <w:rFonts w:ascii="Times New Roman" w:hAnsi="Times New Roman" w:cs="Times New Roman"/>
                <w:sz w:val="24"/>
                <w:szCs w:val="24"/>
              </w:rPr>
            </w:pPr>
            <w:r w:rsidRPr="00501597">
              <w:rPr>
                <w:rFonts w:ascii="Times New Roman" w:hAnsi="Times New Roman" w:cs="Times New Roman"/>
                <w:sz w:val="24"/>
                <w:szCs w:val="24"/>
              </w:rPr>
              <w:t>Provide a roadmap for adoption of electric mobility in India</w:t>
            </w:r>
          </w:p>
        </w:tc>
      </w:tr>
    </w:tbl>
    <w:p w14:paraId="4F1B674C" w14:textId="77777777" w:rsidR="00815091" w:rsidRPr="00501597" w:rsidRDefault="00815091" w:rsidP="00815091">
      <w:pPr>
        <w:rPr>
          <w:rFonts w:ascii="Times New Roman" w:hAnsi="Times New Roman" w:cs="Times New Roman"/>
          <w:sz w:val="24"/>
          <w:szCs w:val="24"/>
        </w:rPr>
      </w:pPr>
      <w:r w:rsidRPr="00501597">
        <w:rPr>
          <w:rFonts w:ascii="Times New Roman" w:hAnsi="Times New Roman" w:cs="Times New Roman"/>
          <w:sz w:val="24"/>
          <w:szCs w:val="24"/>
        </w:rPr>
        <w:t>Source: Compiled by the researcher from reports of NITI Aayog and Ministry of Heavy Industries</w:t>
      </w:r>
    </w:p>
    <w:p w14:paraId="6956A2AD" w14:textId="77777777" w:rsidR="00815091" w:rsidRPr="00501597" w:rsidRDefault="00815091" w:rsidP="00815091">
      <w:pPr>
        <w:pStyle w:val="ListParagraph"/>
        <w:numPr>
          <w:ilvl w:val="0"/>
          <w:numId w:val="2"/>
        </w:numPr>
        <w:tabs>
          <w:tab w:val="left" w:pos="567"/>
        </w:tabs>
        <w:spacing w:line="360" w:lineRule="auto"/>
        <w:ind w:hanging="1080"/>
        <w:jc w:val="both"/>
        <w:rPr>
          <w:rFonts w:ascii="Times New Roman" w:hAnsi="Times New Roman" w:cs="Times New Roman"/>
          <w:b/>
          <w:bCs/>
          <w:sz w:val="24"/>
          <w:szCs w:val="24"/>
        </w:rPr>
      </w:pPr>
      <w:r w:rsidRPr="00501597">
        <w:rPr>
          <w:rFonts w:ascii="Times New Roman" w:hAnsi="Times New Roman" w:cs="Times New Roman"/>
          <w:b/>
          <w:bCs/>
          <w:sz w:val="24"/>
          <w:szCs w:val="24"/>
        </w:rPr>
        <w:t>Policies to Boost Electric Vehicle Manufacturing in India</w:t>
      </w:r>
    </w:p>
    <w:p w14:paraId="3BABBF68" w14:textId="77777777" w:rsidR="00815091" w:rsidRPr="00501597" w:rsidRDefault="00815091" w:rsidP="00815091">
      <w:pPr>
        <w:pStyle w:val="ListParagraph"/>
        <w:numPr>
          <w:ilvl w:val="1"/>
          <w:numId w:val="4"/>
        </w:numPr>
        <w:spacing w:line="360" w:lineRule="auto"/>
        <w:jc w:val="both"/>
        <w:rPr>
          <w:rFonts w:ascii="Times New Roman" w:hAnsi="Times New Roman" w:cs="Times New Roman"/>
          <w:b/>
          <w:bCs/>
          <w:sz w:val="24"/>
          <w:szCs w:val="24"/>
        </w:rPr>
      </w:pPr>
      <w:r w:rsidRPr="00501597">
        <w:rPr>
          <w:rFonts w:ascii="Times New Roman" w:hAnsi="Times New Roman" w:cs="Times New Roman"/>
          <w:b/>
          <w:bCs/>
          <w:sz w:val="24"/>
          <w:szCs w:val="24"/>
        </w:rPr>
        <w:t>FAME India Phase–II (Faster Adoption and Manufacturing of Electric Vehicles)</w:t>
      </w:r>
    </w:p>
    <w:p w14:paraId="46DADC96"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Government of India launched FAME India Phase–II in April 2019 with a total budget allocation of ₹11,500 crore (US$ 1.31 billion) to accelerate the adoption of electric vehicles, expand electric bus fleets, and strengthen charging infrastructure across the country. The scheme primarily focuses on promoting public and shared transportation through incentives for electric two-wheelers, three-wheelers, four-wheelers, and buses.</w:t>
      </w:r>
    </w:p>
    <w:p w14:paraId="554D3E3B"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 xml:space="preserve">As of June 30, 2025, the government has supported the deployment of over 16.29 lakh electric vehicles under this scheme. This includes approximately 14.35 lakh electric two-wheelers, 1.65 lakh electric three-wheelers, 22,644 electric four-wheelers, and 5,165 electric buses out of the </w:t>
      </w:r>
      <w:r w:rsidRPr="00501597">
        <w:rPr>
          <w:rFonts w:ascii="Times New Roman" w:hAnsi="Times New Roman" w:cs="Times New Roman"/>
          <w:sz w:val="24"/>
          <w:szCs w:val="24"/>
        </w:rPr>
        <w:lastRenderedPageBreak/>
        <w:t>6,862 buses sanctioned under the program. In addition, substantial progress has been made in developing charging infrastructure, with 8,885 public charging stations installed out of 9,332 sanctioned stations, supported by an allocation of ₹912.5 crore (US$ 103.66 million).</w:t>
      </w:r>
    </w:p>
    <w:p w14:paraId="0F59522D"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Under FAME II, the government also introduced the Phased Manufacturing Programme (PMP) to encourage domestic production of electric vehicles and their components. Incentives under the scheme are provided only to vehicles that comply with PMP localization norms, thereby strengthening the domestic EV manufacturing ecosystem.</w:t>
      </w:r>
    </w:p>
    <w:p w14:paraId="70B23BAC" w14:textId="77777777" w:rsidR="00815091" w:rsidRPr="00501597" w:rsidRDefault="00815091" w:rsidP="00815091">
      <w:pPr>
        <w:pStyle w:val="ListParagraph"/>
        <w:numPr>
          <w:ilvl w:val="1"/>
          <w:numId w:val="4"/>
        </w:numPr>
        <w:spacing w:line="360" w:lineRule="auto"/>
        <w:jc w:val="both"/>
        <w:rPr>
          <w:rFonts w:ascii="Times New Roman" w:hAnsi="Times New Roman" w:cs="Times New Roman"/>
          <w:b/>
          <w:bCs/>
          <w:sz w:val="24"/>
          <w:szCs w:val="24"/>
        </w:rPr>
      </w:pPr>
      <w:r w:rsidRPr="00501597">
        <w:rPr>
          <w:rFonts w:ascii="Times New Roman" w:hAnsi="Times New Roman" w:cs="Times New Roman"/>
          <w:b/>
          <w:bCs/>
          <w:sz w:val="24"/>
          <w:szCs w:val="24"/>
        </w:rPr>
        <w:t>Electric Mobility Promotion Scheme (EMPS) 2024</w:t>
      </w:r>
    </w:p>
    <w:p w14:paraId="00A81F96"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Electric Mobility Promotion Scheme (EMPS) 2024 was introduced with a budget of ₹778 crore (US$ 93.5 million) and implemented for a six-month period from April 1, 2024 to September 30, 2024. The primary objective of this scheme was to provide financial incentives for the purchase of electric two-wheelers (e-2W) and electric three-wheelers (e-3W).</w:t>
      </w:r>
    </w:p>
    <w:p w14:paraId="4CD078C3"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scheme supported the deployment of 3,72,215 electric vehicles, including 3,33,387 electric two-wheelers and 38,828 electric three-wheelers. Among the three-wheelers supported, 13,590 units were electric rickshaws and e-carts, while 25,238 units belonged to the L5 category. Incentives under the scheme were exclusively provided for vehicles equipped with advanced battery technologies. Subsequently, the EMPS 2024 scheme was integrated into the PM E-DRIVE initiative, which continues to offer similar incentives while placing greater emphasis on domestic sourcing and localization through the Phased Manufacturing Programme. The scheme also extends support to startups and MSMEs across various states, including Tripura, to strengthen the EV ecosystem.</w:t>
      </w:r>
    </w:p>
    <w:p w14:paraId="74B59E50" w14:textId="77777777" w:rsidR="00815091" w:rsidRPr="00501597" w:rsidRDefault="00815091" w:rsidP="00815091">
      <w:pPr>
        <w:pStyle w:val="ListParagraph"/>
        <w:numPr>
          <w:ilvl w:val="1"/>
          <w:numId w:val="4"/>
        </w:numPr>
        <w:spacing w:line="360" w:lineRule="auto"/>
        <w:jc w:val="both"/>
        <w:rPr>
          <w:rFonts w:ascii="Times New Roman" w:hAnsi="Times New Roman" w:cs="Times New Roman"/>
          <w:b/>
          <w:bCs/>
          <w:sz w:val="24"/>
          <w:szCs w:val="24"/>
        </w:rPr>
      </w:pPr>
      <w:r w:rsidRPr="00501597">
        <w:rPr>
          <w:rFonts w:ascii="Times New Roman" w:hAnsi="Times New Roman" w:cs="Times New Roman"/>
          <w:b/>
          <w:bCs/>
          <w:sz w:val="24"/>
          <w:szCs w:val="24"/>
        </w:rPr>
        <w:t>National Plan to Replace Diesel Buses with Electric Buses</w:t>
      </w:r>
    </w:p>
    <w:p w14:paraId="768767AF"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Government of India has proposed a large-scale initiative to transition 8,00,000 diesel buses to environmentally sustainable alternatives, primarily electric buses. This initiative aims to replace more than one-third of the diesel buses currently operating on Indian roads within the next seven years. The program is expected to significantly reduce vehicular emissions, promote cleaner public transportation, and encourage large-scale investments in electric vehicle manufacturing, charging infrastructure, and related supply chains. This initiative is also viewed as a potential successor to the FAME scheme, often discussed in the context of a possible FAME III framework.</w:t>
      </w:r>
    </w:p>
    <w:p w14:paraId="43A191E5" w14:textId="77777777" w:rsidR="00815091" w:rsidRPr="00501597" w:rsidRDefault="00815091" w:rsidP="00815091">
      <w:pPr>
        <w:pStyle w:val="ListParagraph"/>
        <w:numPr>
          <w:ilvl w:val="1"/>
          <w:numId w:val="4"/>
        </w:numPr>
        <w:spacing w:line="360" w:lineRule="auto"/>
        <w:jc w:val="both"/>
        <w:rPr>
          <w:rFonts w:ascii="Times New Roman" w:hAnsi="Times New Roman" w:cs="Times New Roman"/>
          <w:b/>
          <w:bCs/>
          <w:sz w:val="24"/>
          <w:szCs w:val="24"/>
        </w:rPr>
      </w:pPr>
      <w:r w:rsidRPr="00501597">
        <w:rPr>
          <w:rFonts w:ascii="Times New Roman" w:hAnsi="Times New Roman" w:cs="Times New Roman"/>
          <w:b/>
          <w:bCs/>
          <w:sz w:val="24"/>
          <w:szCs w:val="24"/>
        </w:rPr>
        <w:t>Bihar Electric Vehicle Policy – 2023</w:t>
      </w:r>
    </w:p>
    <w:p w14:paraId="2866D8A2"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lastRenderedPageBreak/>
        <w:t>The Government of Bihar has approved the Bihar Electric Vehicle Policy 2023, which aims to ensure that 15% of all new vehicle registrations in the state are electric vehicles by 2028. The policy introduces several incentives to accelerate EV adoption and strengthen supporting infrastructure.</w:t>
      </w:r>
    </w:p>
    <w:p w14:paraId="0C917B8C"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Key measures under the policy include subsidies of up to 75% on Motor Vehicle (MV) tax and purchase incentives of up to ₹1.25 lakh (approximately US$ 1,500) for the first 1,000 personal electric four-wheelers. The policy also encourages the use of renewable energy for EV charging stations and has approved a tariff rate of ₹8/kVA for high-tension EV charging stations for FY2024. Furthermore, the Bihar state cabinet has approved a proposal by the transport department to procure 400 electric buses under the “PM e-Bus Sewa” programme, which will be deployed across six districts in the state to promote clean public transportation.</w:t>
      </w:r>
    </w:p>
    <w:p w14:paraId="443D6248" w14:textId="77777777" w:rsidR="00815091" w:rsidRPr="00501597" w:rsidRDefault="00815091" w:rsidP="00815091">
      <w:pPr>
        <w:pStyle w:val="ListParagraph"/>
        <w:numPr>
          <w:ilvl w:val="1"/>
          <w:numId w:val="4"/>
        </w:numPr>
        <w:spacing w:line="360" w:lineRule="auto"/>
        <w:jc w:val="both"/>
        <w:rPr>
          <w:rFonts w:ascii="Times New Roman" w:hAnsi="Times New Roman" w:cs="Times New Roman"/>
          <w:b/>
          <w:bCs/>
          <w:sz w:val="24"/>
          <w:szCs w:val="24"/>
        </w:rPr>
      </w:pPr>
      <w:r w:rsidRPr="00501597">
        <w:rPr>
          <w:rFonts w:ascii="Times New Roman" w:hAnsi="Times New Roman" w:cs="Times New Roman"/>
          <w:b/>
          <w:bCs/>
          <w:sz w:val="24"/>
          <w:szCs w:val="24"/>
        </w:rPr>
        <w:t>Tamil Nadu Battery Manufacturing and EV Innovation Policy</w:t>
      </w:r>
    </w:p>
    <w:p w14:paraId="01F03562"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state of Tamil Nadu is preparing to introduce a dedicated battery manufacturing policy aimed at strengthening its position as a global hub for electric vehicle production. The policy is part of a broader strategy to develop the entire EV value chain, including battery manufacturing, component production, and advanced technology development. Currently, Tamil Nadu accounts for nearly 40% of India’s electric four-wheeler production and around 70% of electric two-wheeler manufacturing, making it one of the most important EV manufacturing hubs in the country.</w:t>
      </w:r>
    </w:p>
    <w:p w14:paraId="773CA02E" w14:textId="77777777" w:rsidR="00815091" w:rsidRPr="00501597" w:rsidRDefault="00815091" w:rsidP="00815091">
      <w:p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In June 2025, the Tamil Nadu State Planning Commission released the roadmap titled “Tamil Nadu’s Automotive Future,” which aims to transform the state into a global EV innovation hub. The roadmap proposes the establishment of mobility innovation funds to support research and development in battery chemistry and advanced EV technologies, along with the creation of dedicated R&amp;D zones in Chennai and Coimbatore.</w:t>
      </w:r>
    </w:p>
    <w:p w14:paraId="6BD9EBAA" w14:textId="77777777" w:rsidR="00815091" w:rsidRPr="00501597" w:rsidRDefault="00815091" w:rsidP="00815091">
      <w:pPr>
        <w:pStyle w:val="ListParagraph"/>
        <w:numPr>
          <w:ilvl w:val="0"/>
          <w:numId w:val="2"/>
        </w:numPr>
        <w:tabs>
          <w:tab w:val="left" w:pos="142"/>
          <w:tab w:val="left" w:pos="284"/>
          <w:tab w:val="left" w:pos="709"/>
        </w:tabs>
        <w:spacing w:line="360" w:lineRule="auto"/>
        <w:ind w:left="284" w:hanging="284"/>
        <w:jc w:val="both"/>
        <w:rPr>
          <w:rFonts w:ascii="Times New Roman" w:hAnsi="Times New Roman" w:cs="Times New Roman"/>
          <w:sz w:val="24"/>
          <w:szCs w:val="24"/>
        </w:rPr>
      </w:pPr>
      <w:r w:rsidRPr="00501597">
        <w:rPr>
          <w:rFonts w:ascii="Times New Roman" w:hAnsi="Times New Roman" w:cs="Times New Roman"/>
          <w:b/>
          <w:bCs/>
          <w:sz w:val="24"/>
          <w:szCs w:val="24"/>
        </w:rPr>
        <w:t>Major Challenges Affecting EV Adoption in India</w:t>
      </w:r>
    </w:p>
    <w:p w14:paraId="2232B958" w14:textId="77777777" w:rsidR="00815091" w:rsidRPr="00501597" w:rsidRDefault="00815091" w:rsidP="00815091">
      <w:p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Electric vehicles (EVs) are considered an important solution for reducing environmental pollution and promoting sustainable transportation. However, several challenges affect their widespread adoption in India. The major challenges are explained below:</w:t>
      </w:r>
    </w:p>
    <w:p w14:paraId="0EFD1DB1" w14:textId="77777777" w:rsidR="00815091" w:rsidRPr="00501597" w:rsidRDefault="00815091" w:rsidP="00815091">
      <w:pPr>
        <w:pStyle w:val="ListParagraph"/>
        <w:numPr>
          <w:ilvl w:val="1"/>
          <w:numId w:val="4"/>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High Initial Cost of Electric Vehicles</w:t>
      </w:r>
      <w:r w:rsidRPr="00501597">
        <w:rPr>
          <w:rFonts w:ascii="Times New Roman" w:hAnsi="Times New Roman" w:cs="Times New Roman"/>
          <w:sz w:val="24"/>
          <w:szCs w:val="24"/>
        </w:rPr>
        <w:br/>
        <w:t xml:space="preserve">The purchase price of electric vehicles is generally higher than conventional fuel </w:t>
      </w:r>
      <w:r w:rsidRPr="00501597">
        <w:rPr>
          <w:rFonts w:ascii="Times New Roman" w:hAnsi="Times New Roman" w:cs="Times New Roman"/>
          <w:sz w:val="24"/>
          <w:szCs w:val="24"/>
        </w:rPr>
        <w:lastRenderedPageBreak/>
        <w:t>vehicles. Even though government subsidies are available, many consumers still find EVs expensive, which reduces their willingness to adopt them.</w:t>
      </w:r>
    </w:p>
    <w:p w14:paraId="1F68D609" w14:textId="77777777" w:rsidR="00815091" w:rsidRPr="00501597" w:rsidRDefault="00815091" w:rsidP="00815091">
      <w:pPr>
        <w:pStyle w:val="ListParagraph"/>
        <w:numPr>
          <w:ilvl w:val="1"/>
          <w:numId w:val="4"/>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Limited Charging Infrastructure</w:t>
      </w:r>
      <w:r w:rsidRPr="00501597">
        <w:rPr>
          <w:rFonts w:ascii="Times New Roman" w:hAnsi="Times New Roman" w:cs="Times New Roman"/>
          <w:sz w:val="24"/>
          <w:szCs w:val="24"/>
        </w:rPr>
        <w:br/>
        <w:t>The availability of public charging stations in many regions of India is still limited. This creates range anxiety among consumers who are worried about running out of battery power during travel.</w:t>
      </w:r>
    </w:p>
    <w:p w14:paraId="13E7DCBB" w14:textId="77777777" w:rsidR="00815091" w:rsidRPr="00501597" w:rsidRDefault="00815091" w:rsidP="00815091">
      <w:pPr>
        <w:pStyle w:val="ListParagraph"/>
        <w:numPr>
          <w:ilvl w:val="1"/>
          <w:numId w:val="4"/>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Battery and Charging Issues</w:t>
      </w:r>
      <w:r w:rsidRPr="00501597">
        <w:rPr>
          <w:rFonts w:ascii="Times New Roman" w:hAnsi="Times New Roman" w:cs="Times New Roman"/>
          <w:sz w:val="24"/>
          <w:szCs w:val="24"/>
        </w:rPr>
        <w:br/>
        <w:t>Battery cost, limited battery life, and long charging time are important challenges. These issues affect the convenience and reliability of electric vehicles for daily use.</w:t>
      </w:r>
    </w:p>
    <w:p w14:paraId="410BB405" w14:textId="77777777" w:rsidR="00815091" w:rsidRPr="00501597" w:rsidRDefault="00815091" w:rsidP="00815091">
      <w:pPr>
        <w:pStyle w:val="ListParagraph"/>
        <w:numPr>
          <w:ilvl w:val="1"/>
          <w:numId w:val="4"/>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Lack of Consumer Awareness</w:t>
      </w:r>
      <w:r w:rsidRPr="00501597">
        <w:rPr>
          <w:rFonts w:ascii="Times New Roman" w:hAnsi="Times New Roman" w:cs="Times New Roman"/>
          <w:sz w:val="24"/>
          <w:szCs w:val="24"/>
        </w:rPr>
        <w:br/>
        <w:t>Many consumers are not fully aware of the long-term economic and environmental benefits of electric vehicles, which slows down their adoption.</w:t>
      </w:r>
    </w:p>
    <w:p w14:paraId="79060598" w14:textId="77777777" w:rsidR="00815091" w:rsidRPr="00501597" w:rsidRDefault="00815091" w:rsidP="00815091">
      <w:pPr>
        <w:pStyle w:val="ListParagraph"/>
        <w:numPr>
          <w:ilvl w:val="1"/>
          <w:numId w:val="4"/>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Limited Service and Maintenance Facilities</w:t>
      </w:r>
      <w:r w:rsidRPr="00501597">
        <w:rPr>
          <w:rFonts w:ascii="Times New Roman" w:hAnsi="Times New Roman" w:cs="Times New Roman"/>
          <w:sz w:val="24"/>
          <w:szCs w:val="24"/>
        </w:rPr>
        <w:br/>
        <w:t>The number of EV service centres and trained technicians is still limited in many areas, making maintenance and repair difficult for EV owners</w:t>
      </w:r>
    </w:p>
    <w:p w14:paraId="771199FE" w14:textId="77777777" w:rsidR="00815091" w:rsidRPr="00501597" w:rsidRDefault="00815091" w:rsidP="00815091">
      <w:p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b/>
          <w:bCs/>
          <w:sz w:val="24"/>
          <w:szCs w:val="24"/>
        </w:rPr>
        <w:t>VII. Results and Discussion</w:t>
      </w:r>
    </w:p>
    <w:p w14:paraId="363CE05A" w14:textId="77777777" w:rsidR="00477DCA" w:rsidRPr="00501597" w:rsidRDefault="00477DCA" w:rsidP="00477DCA">
      <w:p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 analysis of electric vehicle (EV) adoption in India clearly indicates a strong and consistent growth trend in recent years. This growth has been largely driven by increasing environmental awareness, rising fuel prices, and proactive government initiatives aimed at promoting sustainable transportation. The data on EV registrations shows a noticeable surge, particularly after 2020–21, reflecting the impact of policy measures such as subsidies, tax benefits, and flagship schemes like the Faster Adoption and Manufacturing of Electric Vehicles (FAME). These initiatives have played a crucial role in enhancing consumer confidence and encouraging a shift toward electric mobility.</w:t>
      </w:r>
    </w:p>
    <w:p w14:paraId="5877BB1B" w14:textId="77777777" w:rsidR="00477DCA" w:rsidRPr="00501597" w:rsidRDefault="00477DCA" w:rsidP="00477DCA">
      <w:p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A detailed segment-wise analysis reveals that electric two-wheelers and three-wheelers account for the largest share of EV adoption in India. This dominance can be attributed to their relatively lower cost, ease of use, and suitability for both personal commuting and commercial applications such as last-mile connectivity. The affordability and lower operating costs of these segments have made them more accessible to a larger section of the population. In contrast, electric four-wheelers have shown gradual growth but continue to face challenges such as high initial purchase costs and limited charging infrastructure, which restrict their widespread adoption.</w:t>
      </w:r>
    </w:p>
    <w:p w14:paraId="0451CF8E" w14:textId="77777777" w:rsidR="00477DCA" w:rsidRPr="00501597" w:rsidRDefault="00477DCA" w:rsidP="00477DCA">
      <w:p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lastRenderedPageBreak/>
        <w:t>Furthermore, the adoption of electric buses remains relatively low and inconsistent, as it is largely dependent on government procurement policies and requires substantial investment in charging and maintenance infrastructure. Despite the overall positive growth trajectory, several challenges continue to hinder the rapid expansion of the EV market. These include inadequate charging infrastructure, high battery costs, technological limitations, and limited consumer awareness regarding the long-term benefits of EVs.</w:t>
      </w:r>
    </w:p>
    <w:p w14:paraId="794D9630" w14:textId="4AC1CD40" w:rsidR="00815091" w:rsidRPr="00501597" w:rsidRDefault="00477DCA" w:rsidP="00815091">
      <w:p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Therefore, to sustain and accelerate this growth, it is essential to strengthen charging infrastructure, promote technological innovation, reduce costs, and enhance public awareness. A coordinated effort among policymakers, manufacturers, and consumers is crucial for achieving long-term sustainable growth in India’s electric vehicle sector</w:t>
      </w:r>
      <w:r w:rsidR="00815091" w:rsidRPr="00501597">
        <w:rPr>
          <w:rFonts w:ascii="Times New Roman" w:hAnsi="Times New Roman" w:cs="Times New Roman"/>
          <w:sz w:val="24"/>
          <w:szCs w:val="24"/>
        </w:rPr>
        <w:t xml:space="preserve">. </w:t>
      </w:r>
    </w:p>
    <w:p w14:paraId="2876691C" w14:textId="77777777" w:rsidR="00477DCA" w:rsidRPr="00501597" w:rsidRDefault="00477DCA" w:rsidP="00477DCA">
      <w:pPr>
        <w:pStyle w:val="ListParagraph"/>
        <w:numPr>
          <w:ilvl w:val="0"/>
          <w:numId w:val="2"/>
        </w:num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01597">
        <w:rPr>
          <w:rFonts w:ascii="Times New Roman" w:eastAsia="Times New Roman" w:hAnsi="Times New Roman" w:cs="Times New Roman"/>
          <w:b/>
          <w:bCs/>
          <w:kern w:val="0"/>
          <w:sz w:val="27"/>
          <w:szCs w:val="27"/>
          <w:lang w:eastAsia="en-IN"/>
          <w14:ligatures w14:val="none"/>
        </w:rPr>
        <w:t>Conclusion</w:t>
      </w:r>
    </w:p>
    <w:p w14:paraId="61AB1E34" w14:textId="77777777" w:rsidR="00477DCA" w:rsidRPr="00501597" w:rsidRDefault="00477DCA" w:rsidP="00477DC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The study highlights the growing importance of electric vehicles (EVs) as a key component of sustainable transportation in India. The analysis of growth trends clearly indicates that EV adoption has increased significantly in recent years, particularly after 2020–21, driven by rising fuel prices, environmental concerns, and strong government support. The segment-wise analysis reveals that electric two-wheelers and three-wheelers dominate the EV market due to their affordability and suitability for both personal and commercial use. Although electric four-wheelers are gradually gaining popularity, their adoption remains comparatively slower due to higher initial costs and limited charging infrastructure.</w:t>
      </w:r>
    </w:p>
    <w:p w14:paraId="69A06CAC" w14:textId="3713692F" w:rsidR="00477DCA" w:rsidRPr="00501597" w:rsidRDefault="00477DCA" w:rsidP="00477DC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The study also emphasizes the crucial role of government initiatives and policy measures in promoting electric mobility in India. Schemes such as FAME, EMPS, and various state-level policies have provided financial incentives, encouraged domestic manufacturing, and supported the development of charging infrastructure. These efforts have significantly contributed to the expansion of the EV ecosystem and increased consumer acceptance. However, despite the positive growth trends and policy support, several challenges continue to hinder the widespread adoption of electric vehicles. High purchase costs, inadequate charging infrastructure, battery-related issues, limited consumer awareness, and insufficient service facilities remain major barriers. These challenges highlight the need for a more comprehensive and coordinated approach involving government, industry, and other stakeholders.</w:t>
      </w:r>
    </w:p>
    <w:p w14:paraId="4D413869" w14:textId="1CB8B16D" w:rsidR="00A7791D" w:rsidRPr="00501597" w:rsidRDefault="00477DCA" w:rsidP="00477DC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01597">
        <w:rPr>
          <w:rFonts w:ascii="Times New Roman" w:eastAsia="Times New Roman" w:hAnsi="Times New Roman" w:cs="Times New Roman"/>
          <w:kern w:val="0"/>
          <w:sz w:val="24"/>
          <w:szCs w:val="24"/>
          <w:lang w:eastAsia="en-IN"/>
          <w14:ligatures w14:val="none"/>
        </w:rPr>
        <w:t xml:space="preserve">In conclusion, while India has made considerable progress in promoting electric vehicles, sustained efforts are required to overcome existing challenges. Enhancing charging </w:t>
      </w:r>
      <w:r w:rsidRPr="00501597">
        <w:rPr>
          <w:rFonts w:ascii="Times New Roman" w:eastAsia="Times New Roman" w:hAnsi="Times New Roman" w:cs="Times New Roman"/>
          <w:kern w:val="0"/>
          <w:sz w:val="24"/>
          <w:szCs w:val="24"/>
          <w:lang w:eastAsia="en-IN"/>
          <w14:ligatures w14:val="none"/>
        </w:rPr>
        <w:lastRenderedPageBreak/>
        <w:t xml:space="preserve">infrastructure, reducing battery costs, increasing public awareness, and strengthening policy implementation will be essential for accelerating EV adoption. A well-developed EV ecosystem will not only support environmental sustainability but also contribute to economic growth and energy security in the long run. </w:t>
      </w:r>
    </w:p>
    <w:p w14:paraId="3087A573" w14:textId="77777777" w:rsidR="00815091" w:rsidRPr="00501597" w:rsidRDefault="00815091" w:rsidP="00815091">
      <w:pPr>
        <w:pStyle w:val="ListParagraph"/>
        <w:numPr>
          <w:ilvl w:val="0"/>
          <w:numId w:val="2"/>
        </w:numPr>
        <w:tabs>
          <w:tab w:val="left" w:pos="284"/>
          <w:tab w:val="left" w:pos="709"/>
        </w:tabs>
        <w:spacing w:line="360" w:lineRule="auto"/>
        <w:ind w:left="426" w:hanging="426"/>
        <w:jc w:val="both"/>
        <w:rPr>
          <w:rFonts w:ascii="Times New Roman" w:hAnsi="Times New Roman" w:cs="Times New Roman"/>
          <w:b/>
          <w:bCs/>
          <w:sz w:val="24"/>
          <w:szCs w:val="24"/>
        </w:rPr>
      </w:pPr>
      <w:r w:rsidRPr="00501597">
        <w:rPr>
          <w:rFonts w:ascii="Times New Roman" w:hAnsi="Times New Roman" w:cs="Times New Roman"/>
          <w:b/>
          <w:bCs/>
          <w:sz w:val="24"/>
          <w:szCs w:val="24"/>
        </w:rPr>
        <w:t xml:space="preserve"> References</w:t>
      </w:r>
    </w:p>
    <w:p w14:paraId="5EE309E9" w14:textId="77777777" w:rsidR="00815091" w:rsidRPr="00501597" w:rsidRDefault="00815091" w:rsidP="00815091">
      <w:pPr>
        <w:pStyle w:val="ListParagraph"/>
        <w:numPr>
          <w:ilvl w:val="0"/>
          <w:numId w:val="5"/>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https://vahan.parivahan.gov.in/</w:t>
      </w:r>
    </w:p>
    <w:p w14:paraId="47002761" w14:textId="77777777" w:rsidR="00815091" w:rsidRPr="00501597" w:rsidRDefault="00815091" w:rsidP="00815091">
      <w:pPr>
        <w:pStyle w:val="ListParagraph"/>
        <w:numPr>
          <w:ilvl w:val="0"/>
          <w:numId w:val="5"/>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https://www.ibef.org/industry/electric-vehicle-industry-india</w:t>
      </w:r>
    </w:p>
    <w:p w14:paraId="6BF3981E" w14:textId="77777777" w:rsidR="00815091" w:rsidRPr="00501597" w:rsidRDefault="00815091" w:rsidP="00815091">
      <w:pPr>
        <w:pStyle w:val="ListParagraph"/>
        <w:numPr>
          <w:ilvl w:val="0"/>
          <w:numId w:val="5"/>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https://www.niti.gov.in/</w:t>
      </w:r>
    </w:p>
    <w:p w14:paraId="7B1F959B" w14:textId="77777777" w:rsidR="00815091" w:rsidRPr="00501597" w:rsidRDefault="00815091" w:rsidP="00815091">
      <w:pPr>
        <w:pStyle w:val="ListParagraph"/>
        <w:numPr>
          <w:ilvl w:val="0"/>
          <w:numId w:val="5"/>
        </w:numPr>
        <w:tabs>
          <w:tab w:val="left" w:pos="284"/>
          <w:tab w:val="left" w:pos="709"/>
        </w:tabs>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https://heavyindustries.gov.in/</w:t>
      </w:r>
    </w:p>
    <w:p w14:paraId="05BB4BEE" w14:textId="77777777" w:rsidR="00815091" w:rsidRPr="00501597" w:rsidRDefault="00815091" w:rsidP="00815091">
      <w:pPr>
        <w:pStyle w:val="ListParagraph"/>
        <w:numPr>
          <w:ilvl w:val="0"/>
          <w:numId w:val="5"/>
        </w:num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Pathak, A., &amp; Gangal, V. K. (2023). Advancements and challenges in electric vehicle adoption in India. Journal of Science &amp; Technology, 4(4). https://doi.org/10.55662/JST.2023.4402</w:t>
      </w:r>
    </w:p>
    <w:p w14:paraId="7D5C9D3C" w14:textId="77777777" w:rsidR="00815091" w:rsidRPr="00501597" w:rsidRDefault="00815091" w:rsidP="00815091">
      <w:pPr>
        <w:pStyle w:val="ListParagraph"/>
        <w:numPr>
          <w:ilvl w:val="0"/>
          <w:numId w:val="5"/>
        </w:num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Attri, R., &amp; Kushwaha, P. S. (2024). Electric Vehicles in India: Identifying the Adoption Predictors. Prabandhan: Indian Journal of Management, 17(6), 46–62. https://doi.org/10.17010/pijom/2024/v17i6/173560</w:t>
      </w:r>
    </w:p>
    <w:p w14:paraId="6508F457" w14:textId="77777777" w:rsidR="00815091" w:rsidRPr="00501597" w:rsidRDefault="00815091" w:rsidP="00815091">
      <w:pPr>
        <w:pStyle w:val="ListParagraph"/>
        <w:numPr>
          <w:ilvl w:val="0"/>
          <w:numId w:val="5"/>
        </w:numPr>
        <w:spacing w:line="360" w:lineRule="auto"/>
        <w:jc w:val="both"/>
      </w:pPr>
      <w:r w:rsidRPr="00501597">
        <w:rPr>
          <w:rFonts w:ascii="Times New Roman" w:hAnsi="Times New Roman" w:cs="Times New Roman"/>
          <w:sz w:val="24"/>
          <w:szCs w:val="24"/>
        </w:rPr>
        <w:t>Das, A., &amp; Sharma, S. K. (2025). Electric vehicle adoption in India: A decade of research trends and insights through bibliometric analysis. The Journal of Asia Entrepreneurship and Sustainability, 21(3). https://doi.org/10.53555/jaes.v21i3.68</w:t>
      </w:r>
    </w:p>
    <w:p w14:paraId="23929D07" w14:textId="77777777" w:rsidR="00815091" w:rsidRPr="00501597" w:rsidRDefault="00815091" w:rsidP="00815091">
      <w:pPr>
        <w:pStyle w:val="ListParagraph"/>
        <w:numPr>
          <w:ilvl w:val="0"/>
          <w:numId w:val="5"/>
        </w:num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Kher, A. (2025). Barriers to Widespread Electric Vehicle Adoption: Consumer Perception and Policy Implications. Shodh Sagar Journal of Electric Vehicles, 2(2), 7–12. https://doi.org/10.36676/jev.v2.i2.25</w:t>
      </w:r>
    </w:p>
    <w:p w14:paraId="67725B40" w14:textId="6F9F3333" w:rsidR="005E3D6C" w:rsidRPr="00501597" w:rsidRDefault="00815091" w:rsidP="00815091">
      <w:pPr>
        <w:pStyle w:val="ListParagraph"/>
        <w:numPr>
          <w:ilvl w:val="0"/>
          <w:numId w:val="5"/>
        </w:num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Mapari, S., Gawade, S., Satav, D., et al. (2026). Understanding vehicle purchase behaviour: Electric vs. conventional vehicles. International Journal of Creative Research Thoughts (IJCRT), 14(1), b784–b805.</w:t>
      </w:r>
    </w:p>
    <w:p w14:paraId="1089E2C6" w14:textId="183E23DC" w:rsidR="001E386C" w:rsidRPr="00501597" w:rsidRDefault="001E386C" w:rsidP="00815091">
      <w:pPr>
        <w:pStyle w:val="ListParagraph"/>
        <w:numPr>
          <w:ilvl w:val="0"/>
          <w:numId w:val="5"/>
        </w:numPr>
        <w:spacing w:line="360" w:lineRule="auto"/>
        <w:jc w:val="both"/>
        <w:rPr>
          <w:rFonts w:ascii="Times New Roman" w:hAnsi="Times New Roman" w:cs="Times New Roman"/>
          <w:sz w:val="24"/>
          <w:szCs w:val="24"/>
        </w:rPr>
      </w:pPr>
      <w:r w:rsidRPr="00501597">
        <w:rPr>
          <w:rFonts w:ascii="Times New Roman" w:hAnsi="Times New Roman" w:cs="Times New Roman"/>
          <w:sz w:val="24"/>
          <w:szCs w:val="24"/>
        </w:rPr>
        <w:t xml:space="preserve">Kaur, S., &amp; Kumar, A. (2026). Electric vehicles as a pathway to India’s sustainable development goals. </w:t>
      </w:r>
      <w:r w:rsidRPr="00501597">
        <w:rPr>
          <w:rFonts w:ascii="Times New Roman" w:hAnsi="Times New Roman" w:cs="Times New Roman"/>
          <w:i/>
          <w:iCs/>
          <w:sz w:val="24"/>
          <w:szCs w:val="24"/>
        </w:rPr>
        <w:t>Discover Sustainability, 7</w:t>
      </w:r>
      <w:r w:rsidRPr="00501597">
        <w:rPr>
          <w:rFonts w:ascii="Times New Roman" w:hAnsi="Times New Roman" w:cs="Times New Roman"/>
          <w:sz w:val="24"/>
          <w:szCs w:val="24"/>
        </w:rPr>
        <w:t xml:space="preserve">, 362. </w:t>
      </w:r>
      <w:hyperlink r:id="rId10" w:tgtFrame="_new" w:history="1">
        <w:r w:rsidRPr="00501597">
          <w:rPr>
            <w:rStyle w:val="Hyperlink"/>
            <w:rFonts w:ascii="Times New Roman" w:hAnsi="Times New Roman" w:cs="Times New Roman"/>
            <w:sz w:val="24"/>
            <w:szCs w:val="24"/>
          </w:rPr>
          <w:t>https://doi.org/10.1007/s43621-026-02643-w</w:t>
        </w:r>
      </w:hyperlink>
    </w:p>
    <w:p w14:paraId="78D82147" w14:textId="77F86DE3" w:rsidR="00670252" w:rsidRPr="00501597" w:rsidRDefault="00670252" w:rsidP="00815091">
      <w:pPr>
        <w:pStyle w:val="ListParagraph"/>
        <w:numPr>
          <w:ilvl w:val="0"/>
          <w:numId w:val="5"/>
        </w:numPr>
        <w:spacing w:line="360" w:lineRule="auto"/>
        <w:jc w:val="both"/>
        <w:rPr>
          <w:rFonts w:ascii="Times New Roman" w:hAnsi="Times New Roman" w:cs="Times New Roman"/>
          <w:sz w:val="24"/>
          <w:szCs w:val="24"/>
        </w:rPr>
      </w:pPr>
      <w:proofErr w:type="spellStart"/>
      <w:r w:rsidRPr="00501597">
        <w:rPr>
          <w:rFonts w:ascii="Times New Roman" w:hAnsi="Times New Roman" w:cs="Times New Roman"/>
          <w:sz w:val="24"/>
          <w:szCs w:val="24"/>
        </w:rPr>
        <w:t>Punadi</w:t>
      </w:r>
      <w:proofErr w:type="spellEnd"/>
      <w:r w:rsidRPr="00501597">
        <w:rPr>
          <w:rFonts w:ascii="Times New Roman" w:hAnsi="Times New Roman" w:cs="Times New Roman"/>
          <w:sz w:val="24"/>
          <w:szCs w:val="24"/>
        </w:rPr>
        <w:t xml:space="preserve">, R. P., Anthony Samy, C. R., Ram Sing, R. D., </w:t>
      </w:r>
      <w:r w:rsidRPr="00501597">
        <w:rPr>
          <w:rFonts w:ascii="Times New Roman" w:hAnsi="Times New Roman" w:cs="Times New Roman"/>
          <w:i/>
          <w:iCs/>
          <w:sz w:val="24"/>
          <w:szCs w:val="24"/>
        </w:rPr>
        <w:t>et al.</w:t>
      </w:r>
      <w:r w:rsidRPr="00501597">
        <w:rPr>
          <w:rFonts w:ascii="Times New Roman" w:hAnsi="Times New Roman" w:cs="Times New Roman"/>
          <w:sz w:val="24"/>
          <w:szCs w:val="24"/>
        </w:rPr>
        <w:t xml:space="preserve"> (2026). Electric vehicle adoption in emerging economies: The influence of environmental and technological determinants on consumer readiness. </w:t>
      </w:r>
      <w:r w:rsidRPr="00501597">
        <w:rPr>
          <w:rFonts w:ascii="Times New Roman" w:hAnsi="Times New Roman" w:cs="Times New Roman"/>
          <w:i/>
          <w:iCs/>
          <w:sz w:val="24"/>
          <w:szCs w:val="24"/>
        </w:rPr>
        <w:t>Indian Journal of Information Sources and Services, 16</w:t>
      </w:r>
      <w:r w:rsidRPr="00501597">
        <w:rPr>
          <w:rFonts w:ascii="Times New Roman" w:hAnsi="Times New Roman" w:cs="Times New Roman"/>
          <w:sz w:val="24"/>
          <w:szCs w:val="24"/>
        </w:rPr>
        <w:t xml:space="preserve">(1), 1–10. </w:t>
      </w:r>
      <w:hyperlink r:id="rId11" w:history="1">
        <w:r w:rsidR="004955C4" w:rsidRPr="00501597">
          <w:rPr>
            <w:rStyle w:val="Hyperlink"/>
            <w:rFonts w:ascii="Times New Roman" w:hAnsi="Times New Roman" w:cs="Times New Roman"/>
            <w:sz w:val="24"/>
            <w:szCs w:val="24"/>
          </w:rPr>
          <w:t>https://doi.org/10.51983/ijiss-2026.16.1.01</w:t>
        </w:r>
      </w:hyperlink>
    </w:p>
    <w:p w14:paraId="0ADE96B6" w14:textId="3FFCFC86" w:rsidR="004955C4" w:rsidRPr="00501597" w:rsidRDefault="00A51B9D" w:rsidP="00815091">
      <w:pPr>
        <w:pStyle w:val="ListParagraph"/>
        <w:numPr>
          <w:ilvl w:val="0"/>
          <w:numId w:val="5"/>
        </w:numPr>
        <w:spacing w:line="360" w:lineRule="auto"/>
        <w:jc w:val="both"/>
        <w:rPr>
          <w:rFonts w:ascii="Times New Roman" w:hAnsi="Times New Roman" w:cs="Times New Roman"/>
          <w:sz w:val="24"/>
          <w:szCs w:val="24"/>
        </w:rPr>
      </w:pPr>
      <w:hyperlink r:id="rId12" w:history="1">
        <w:r w:rsidR="004955C4" w:rsidRPr="00501597">
          <w:rPr>
            <w:rStyle w:val="Hyperlink"/>
            <w:rFonts w:ascii="Times New Roman" w:hAnsi="Times New Roman" w:cs="Times New Roman"/>
            <w:sz w:val="24"/>
            <w:szCs w:val="24"/>
          </w:rPr>
          <w:t>https://e-amrit.niti.gov.in/home</w:t>
        </w:r>
      </w:hyperlink>
      <w:r w:rsidR="004955C4" w:rsidRPr="00501597">
        <w:rPr>
          <w:rFonts w:ascii="Times New Roman" w:hAnsi="Times New Roman" w:cs="Times New Roman"/>
          <w:sz w:val="24"/>
          <w:szCs w:val="24"/>
        </w:rPr>
        <w:t xml:space="preserve"> </w:t>
      </w:r>
    </w:p>
    <w:sectPr w:rsidR="004955C4" w:rsidRPr="0050159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BB037" w14:textId="77777777" w:rsidR="00A51B9D" w:rsidRDefault="00A51B9D" w:rsidP="00380B7B">
      <w:pPr>
        <w:spacing w:after="0" w:line="240" w:lineRule="auto"/>
      </w:pPr>
      <w:r>
        <w:separator/>
      </w:r>
    </w:p>
  </w:endnote>
  <w:endnote w:type="continuationSeparator" w:id="0">
    <w:p w14:paraId="18CD3C8A" w14:textId="77777777" w:rsidR="00A51B9D" w:rsidRDefault="00A51B9D" w:rsidP="00380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24EB0" w14:textId="77777777" w:rsidR="00380B7B" w:rsidRDefault="00380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88D8A" w14:textId="77777777" w:rsidR="00380B7B" w:rsidRDefault="00380B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3E9B7" w14:textId="77777777" w:rsidR="00380B7B" w:rsidRDefault="00380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32594" w14:textId="77777777" w:rsidR="00A51B9D" w:rsidRDefault="00A51B9D" w:rsidP="00380B7B">
      <w:pPr>
        <w:spacing w:after="0" w:line="240" w:lineRule="auto"/>
      </w:pPr>
      <w:r>
        <w:separator/>
      </w:r>
    </w:p>
  </w:footnote>
  <w:footnote w:type="continuationSeparator" w:id="0">
    <w:p w14:paraId="56A17761" w14:textId="77777777" w:rsidR="00A51B9D" w:rsidRDefault="00A51B9D" w:rsidP="00380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C0357" w14:textId="758BFB8C" w:rsidR="00380B7B" w:rsidRDefault="00380B7B">
    <w:pPr>
      <w:pStyle w:val="Header"/>
    </w:pPr>
    <w:r>
      <w:rPr>
        <w:noProof/>
      </w:rPr>
      <w:pict w14:anchorId="7A6451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521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7D0FF" w14:textId="73D56BF2" w:rsidR="00380B7B" w:rsidRDefault="00380B7B">
    <w:pPr>
      <w:pStyle w:val="Header"/>
    </w:pPr>
    <w:r>
      <w:rPr>
        <w:noProof/>
      </w:rPr>
      <w:pict w14:anchorId="01C16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521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14CEC" w14:textId="1FBEBA60" w:rsidR="00380B7B" w:rsidRDefault="00380B7B">
    <w:pPr>
      <w:pStyle w:val="Header"/>
    </w:pPr>
    <w:r>
      <w:rPr>
        <w:noProof/>
      </w:rPr>
      <w:pict w14:anchorId="42D5D0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521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116AF"/>
    <w:multiLevelType w:val="hybridMultilevel"/>
    <w:tmpl w:val="63320BF4"/>
    <w:lvl w:ilvl="0" w:tplc="4009001B">
      <w:start w:val="1"/>
      <w:numFmt w:val="lowerRoman"/>
      <w:lvlText w:val="%1."/>
      <w:lvlJc w:val="right"/>
      <w:pPr>
        <w:ind w:left="720" w:hanging="360"/>
      </w:pPr>
    </w:lvl>
    <w:lvl w:ilvl="1" w:tplc="DFEE71EA">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F50714"/>
    <w:multiLevelType w:val="hybridMultilevel"/>
    <w:tmpl w:val="EC38C390"/>
    <w:lvl w:ilvl="0" w:tplc="0E80889C">
      <w:start w:val="1"/>
      <w:numFmt w:val="upperRoman"/>
      <w:lvlText w:val="%1."/>
      <w:lvlJc w:val="left"/>
      <w:pPr>
        <w:ind w:left="1080" w:hanging="72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3FF7380"/>
    <w:multiLevelType w:val="hybridMultilevel"/>
    <w:tmpl w:val="7EECAC8E"/>
    <w:lvl w:ilvl="0" w:tplc="40090005">
      <w:start w:val="1"/>
      <w:numFmt w:val="bullet"/>
      <w:lvlText w:val=""/>
      <w:lvlJc w:val="left"/>
      <w:pPr>
        <w:ind w:left="720" w:hanging="360"/>
      </w:pPr>
      <w:rPr>
        <w:rFonts w:ascii="Wingdings" w:hAnsi="Wingdings" w:hint="default"/>
      </w:rPr>
    </w:lvl>
    <w:lvl w:ilvl="1" w:tplc="4009000B">
      <w:start w:val="1"/>
      <w:numFmt w:val="bullet"/>
      <w:lvlText w:val=""/>
      <w:lvlJc w:val="left"/>
      <w:pPr>
        <w:ind w:left="72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7BC6799"/>
    <w:multiLevelType w:val="hybridMultilevel"/>
    <w:tmpl w:val="9954926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C567829"/>
    <w:multiLevelType w:val="hybridMultilevel"/>
    <w:tmpl w:val="03481A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091"/>
    <w:rsid w:val="00035D18"/>
    <w:rsid w:val="0013074A"/>
    <w:rsid w:val="001676D2"/>
    <w:rsid w:val="001D4F15"/>
    <w:rsid w:val="001D712C"/>
    <w:rsid w:val="001E386C"/>
    <w:rsid w:val="002C0BBE"/>
    <w:rsid w:val="0034660D"/>
    <w:rsid w:val="00380B7B"/>
    <w:rsid w:val="003B04DD"/>
    <w:rsid w:val="003D44CA"/>
    <w:rsid w:val="003E4E75"/>
    <w:rsid w:val="00453B36"/>
    <w:rsid w:val="00471719"/>
    <w:rsid w:val="00477DCA"/>
    <w:rsid w:val="004955C4"/>
    <w:rsid w:val="004A048F"/>
    <w:rsid w:val="004C0D2F"/>
    <w:rsid w:val="00501597"/>
    <w:rsid w:val="005E3D6C"/>
    <w:rsid w:val="00622F78"/>
    <w:rsid w:val="00650B06"/>
    <w:rsid w:val="00670252"/>
    <w:rsid w:val="00690934"/>
    <w:rsid w:val="006E7364"/>
    <w:rsid w:val="007C6BB4"/>
    <w:rsid w:val="00815091"/>
    <w:rsid w:val="009C1C73"/>
    <w:rsid w:val="009D4BD8"/>
    <w:rsid w:val="009F1048"/>
    <w:rsid w:val="00A51B9D"/>
    <w:rsid w:val="00A61D28"/>
    <w:rsid w:val="00A7791D"/>
    <w:rsid w:val="00AF19D6"/>
    <w:rsid w:val="00BA2E95"/>
    <w:rsid w:val="00C2023A"/>
    <w:rsid w:val="00D00DD9"/>
    <w:rsid w:val="00D247C1"/>
    <w:rsid w:val="00D8613E"/>
    <w:rsid w:val="00DC40AB"/>
    <w:rsid w:val="00DF3015"/>
    <w:rsid w:val="00EE4F9D"/>
    <w:rsid w:val="00EF7C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9C4D49"/>
  <w15:chartTrackingRefBased/>
  <w15:docId w15:val="{86320520-29A3-4565-8F27-56E8EA94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5091"/>
  </w:style>
  <w:style w:type="paragraph" w:styleId="Heading1">
    <w:name w:val="heading 1"/>
    <w:basedOn w:val="Normal"/>
    <w:next w:val="Normal"/>
    <w:link w:val="Heading1Char"/>
    <w:uiPriority w:val="9"/>
    <w:qFormat/>
    <w:rsid w:val="008150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50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150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50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50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50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0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0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0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0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50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150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50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50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50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0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0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091"/>
    <w:rPr>
      <w:rFonts w:eastAsiaTheme="majorEastAsia" w:cstheme="majorBidi"/>
      <w:color w:val="272727" w:themeColor="text1" w:themeTint="D8"/>
    </w:rPr>
  </w:style>
  <w:style w:type="paragraph" w:styleId="Title">
    <w:name w:val="Title"/>
    <w:basedOn w:val="Normal"/>
    <w:next w:val="Normal"/>
    <w:link w:val="TitleChar"/>
    <w:uiPriority w:val="10"/>
    <w:qFormat/>
    <w:rsid w:val="00815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0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0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0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091"/>
    <w:pPr>
      <w:spacing w:before="160"/>
      <w:jc w:val="center"/>
    </w:pPr>
    <w:rPr>
      <w:i/>
      <w:iCs/>
      <w:color w:val="404040" w:themeColor="text1" w:themeTint="BF"/>
    </w:rPr>
  </w:style>
  <w:style w:type="character" w:customStyle="1" w:styleId="QuoteChar">
    <w:name w:val="Quote Char"/>
    <w:basedOn w:val="DefaultParagraphFont"/>
    <w:link w:val="Quote"/>
    <w:uiPriority w:val="29"/>
    <w:rsid w:val="00815091"/>
    <w:rPr>
      <w:i/>
      <w:iCs/>
      <w:color w:val="404040" w:themeColor="text1" w:themeTint="BF"/>
    </w:rPr>
  </w:style>
  <w:style w:type="paragraph" w:styleId="ListParagraph">
    <w:name w:val="List Paragraph"/>
    <w:basedOn w:val="Normal"/>
    <w:uiPriority w:val="34"/>
    <w:qFormat/>
    <w:rsid w:val="00815091"/>
    <w:pPr>
      <w:ind w:left="720"/>
      <w:contextualSpacing/>
    </w:pPr>
  </w:style>
  <w:style w:type="character" w:styleId="IntenseEmphasis">
    <w:name w:val="Intense Emphasis"/>
    <w:basedOn w:val="DefaultParagraphFont"/>
    <w:uiPriority w:val="21"/>
    <w:qFormat/>
    <w:rsid w:val="00815091"/>
    <w:rPr>
      <w:i/>
      <w:iCs/>
      <w:color w:val="2F5496" w:themeColor="accent1" w:themeShade="BF"/>
    </w:rPr>
  </w:style>
  <w:style w:type="paragraph" w:styleId="IntenseQuote">
    <w:name w:val="Intense Quote"/>
    <w:basedOn w:val="Normal"/>
    <w:next w:val="Normal"/>
    <w:link w:val="IntenseQuoteChar"/>
    <w:uiPriority w:val="30"/>
    <w:qFormat/>
    <w:rsid w:val="008150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5091"/>
    <w:rPr>
      <w:i/>
      <w:iCs/>
      <w:color w:val="2F5496" w:themeColor="accent1" w:themeShade="BF"/>
    </w:rPr>
  </w:style>
  <w:style w:type="character" w:styleId="IntenseReference">
    <w:name w:val="Intense Reference"/>
    <w:basedOn w:val="DefaultParagraphFont"/>
    <w:uiPriority w:val="32"/>
    <w:qFormat/>
    <w:rsid w:val="00815091"/>
    <w:rPr>
      <w:b/>
      <w:bCs/>
      <w:smallCaps/>
      <w:color w:val="2F5496" w:themeColor="accent1" w:themeShade="BF"/>
      <w:spacing w:val="5"/>
    </w:rPr>
  </w:style>
  <w:style w:type="character" w:styleId="Hyperlink">
    <w:name w:val="Hyperlink"/>
    <w:basedOn w:val="DefaultParagraphFont"/>
    <w:uiPriority w:val="99"/>
    <w:unhideWhenUsed/>
    <w:rsid w:val="00815091"/>
    <w:rPr>
      <w:color w:val="0563C1" w:themeColor="hyperlink"/>
      <w:u w:val="single"/>
    </w:rPr>
  </w:style>
  <w:style w:type="paragraph" w:styleId="NoSpacing">
    <w:name w:val="No Spacing"/>
    <w:uiPriority w:val="1"/>
    <w:qFormat/>
    <w:rsid w:val="00815091"/>
    <w:pPr>
      <w:spacing w:after="0" w:line="240" w:lineRule="auto"/>
    </w:pPr>
  </w:style>
  <w:style w:type="table" w:styleId="TableGrid">
    <w:name w:val="Table Grid"/>
    <w:basedOn w:val="TableNormal"/>
    <w:uiPriority w:val="59"/>
    <w:rsid w:val="00815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77DC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UnresolvedMention">
    <w:name w:val="Unresolved Mention"/>
    <w:basedOn w:val="DefaultParagraphFont"/>
    <w:uiPriority w:val="99"/>
    <w:semiHidden/>
    <w:unhideWhenUsed/>
    <w:rsid w:val="001E386C"/>
    <w:rPr>
      <w:color w:val="605E5C"/>
      <w:shd w:val="clear" w:color="auto" w:fill="E1DFDD"/>
    </w:rPr>
  </w:style>
  <w:style w:type="paragraph" w:styleId="Header">
    <w:name w:val="header"/>
    <w:basedOn w:val="Normal"/>
    <w:link w:val="HeaderChar"/>
    <w:uiPriority w:val="99"/>
    <w:unhideWhenUsed/>
    <w:rsid w:val="00380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B7B"/>
  </w:style>
  <w:style w:type="paragraph" w:styleId="Footer">
    <w:name w:val="footer"/>
    <w:basedOn w:val="Normal"/>
    <w:link w:val="FooterChar"/>
    <w:uiPriority w:val="99"/>
    <w:unhideWhenUsed/>
    <w:rsid w:val="00380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amrit.niti.gov.in/hom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1983/ijiss-2026.16.1.0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07/s43621-026-02643-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EV Registrations (In Million)</a:t>
            </a:r>
          </a:p>
        </c:rich>
      </c:tx>
      <c:layout>
        <c:manualLayout>
          <c:xMode val="edge"/>
          <c:yMode val="edge"/>
          <c:x val="0.34064157871223549"/>
          <c:y val="1.061571125265392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'[mvr seminar data analysis.xlsx]Sheet1'!$B$1</c:f>
              <c:strCache>
                <c:ptCount val="1"/>
                <c:pt idx="0">
                  <c:v>EV Registrations (In Million)</c:v>
                </c:pt>
              </c:strCache>
            </c:strRef>
          </c:tx>
          <c:spPr>
            <a:solidFill>
              <a:schemeClr val="accent1"/>
            </a:solidFill>
            <a:ln>
              <a:noFill/>
            </a:ln>
            <a:effectLst/>
            <a:sp3d/>
          </c:spPr>
          <c:invertIfNegative val="0"/>
          <c:cat>
            <c:strRef>
              <c:f>'[mvr seminar data analysis.xlsx]Sheet1'!$A$2:$A$9</c:f>
              <c:strCache>
                <c:ptCount val="8"/>
                <c:pt idx="0">
                  <c:v>2017-18</c:v>
                </c:pt>
                <c:pt idx="1">
                  <c:v>2018-19</c:v>
                </c:pt>
                <c:pt idx="2">
                  <c:v>2019-20</c:v>
                </c:pt>
                <c:pt idx="3">
                  <c:v>2020–21</c:v>
                </c:pt>
                <c:pt idx="4">
                  <c:v>2021–22</c:v>
                </c:pt>
                <c:pt idx="5">
                  <c:v>2022–23</c:v>
                </c:pt>
                <c:pt idx="6">
                  <c:v>2023–24</c:v>
                </c:pt>
                <c:pt idx="7">
                  <c:v>2024–25</c:v>
                </c:pt>
              </c:strCache>
            </c:strRef>
          </c:cat>
          <c:val>
            <c:numRef>
              <c:f>'[mvr seminar data analysis.xlsx]Sheet1'!$B$2:$B$9</c:f>
              <c:numCache>
                <c:formatCode>General</c:formatCode>
                <c:ptCount val="8"/>
                <c:pt idx="0">
                  <c:v>1.3</c:v>
                </c:pt>
                <c:pt idx="1">
                  <c:v>1.66</c:v>
                </c:pt>
                <c:pt idx="2">
                  <c:v>1.24</c:v>
                </c:pt>
                <c:pt idx="3">
                  <c:v>3.31</c:v>
                </c:pt>
                <c:pt idx="4">
                  <c:v>10.199999999999999</c:v>
                </c:pt>
                <c:pt idx="5">
                  <c:v>15.29</c:v>
                </c:pt>
                <c:pt idx="6">
                  <c:v>16.8</c:v>
                </c:pt>
                <c:pt idx="7">
                  <c:v>19.7</c:v>
                </c:pt>
              </c:numCache>
            </c:numRef>
          </c:val>
          <c:extLst>
            <c:ext xmlns:c16="http://schemas.microsoft.com/office/drawing/2014/chart" uri="{C3380CC4-5D6E-409C-BE32-E72D297353CC}">
              <c16:uniqueId val="{00000000-A822-40A1-A39C-F468731C8E7D}"/>
            </c:ext>
          </c:extLst>
        </c:ser>
        <c:dLbls>
          <c:showLegendKey val="0"/>
          <c:showVal val="0"/>
          <c:showCatName val="0"/>
          <c:showSerName val="0"/>
          <c:showPercent val="0"/>
          <c:showBubbleSize val="0"/>
        </c:dLbls>
        <c:gapWidth val="150"/>
        <c:shape val="box"/>
        <c:axId val="1501312656"/>
        <c:axId val="1501313136"/>
        <c:axId val="0"/>
      </c:bar3DChart>
      <c:catAx>
        <c:axId val="15013126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1313136"/>
        <c:crosses val="autoZero"/>
        <c:auto val="1"/>
        <c:lblAlgn val="ctr"/>
        <c:lblOffset val="100"/>
        <c:noMultiLvlLbl val="0"/>
      </c:catAx>
      <c:valAx>
        <c:axId val="1501313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1312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Sheet1!$F$2</c:f>
              <c:strCache>
                <c:ptCount val="1"/>
                <c:pt idx="0">
                  <c:v>E2W</c:v>
                </c:pt>
              </c:strCache>
            </c:strRef>
          </c:tx>
          <c:spPr>
            <a:solidFill>
              <a:schemeClr val="accent1"/>
            </a:solidFill>
            <a:ln>
              <a:noFill/>
            </a:ln>
            <a:effectLst/>
            <a:sp3d/>
          </c:spPr>
          <c:invertIfNegative val="0"/>
          <c:cat>
            <c:strRef>
              <c:f>Sheet1!$E$3:$E$7</c:f>
              <c:strCache>
                <c:ptCount val="5"/>
                <c:pt idx="0">
                  <c:v>2020–21</c:v>
                </c:pt>
                <c:pt idx="1">
                  <c:v>2021–22</c:v>
                </c:pt>
                <c:pt idx="2">
                  <c:v>2022–23</c:v>
                </c:pt>
                <c:pt idx="3">
                  <c:v>2023–24</c:v>
                </c:pt>
                <c:pt idx="4">
                  <c:v>2024–25</c:v>
                </c:pt>
              </c:strCache>
            </c:strRef>
          </c:cat>
          <c:val>
            <c:numRef>
              <c:f>Sheet1!$F$3:$F$7</c:f>
              <c:numCache>
                <c:formatCode>0.000</c:formatCode>
                <c:ptCount val="5"/>
                <c:pt idx="0">
                  <c:v>1.4330000000000001</c:v>
                </c:pt>
                <c:pt idx="1">
                  <c:v>6.3150000000000004</c:v>
                </c:pt>
                <c:pt idx="2">
                  <c:v>8.5939999999999994</c:v>
                </c:pt>
                <c:pt idx="3">
                  <c:v>9.5</c:v>
                </c:pt>
                <c:pt idx="4">
                  <c:v>11.5</c:v>
                </c:pt>
              </c:numCache>
            </c:numRef>
          </c:val>
          <c:extLst>
            <c:ext xmlns:c16="http://schemas.microsoft.com/office/drawing/2014/chart" uri="{C3380CC4-5D6E-409C-BE32-E72D297353CC}">
              <c16:uniqueId val="{00000000-D048-42E0-BF65-8FC2D4820D14}"/>
            </c:ext>
          </c:extLst>
        </c:ser>
        <c:ser>
          <c:idx val="1"/>
          <c:order val="1"/>
          <c:tx>
            <c:strRef>
              <c:f>Sheet1!$G$2</c:f>
              <c:strCache>
                <c:ptCount val="1"/>
                <c:pt idx="0">
                  <c:v>E3W</c:v>
                </c:pt>
              </c:strCache>
            </c:strRef>
          </c:tx>
          <c:spPr>
            <a:solidFill>
              <a:schemeClr val="accent2"/>
            </a:solidFill>
            <a:ln>
              <a:noFill/>
            </a:ln>
            <a:effectLst/>
            <a:sp3d/>
          </c:spPr>
          <c:invertIfNegative val="0"/>
          <c:cat>
            <c:strRef>
              <c:f>Sheet1!$E$3:$E$7</c:f>
              <c:strCache>
                <c:ptCount val="5"/>
                <c:pt idx="0">
                  <c:v>2020–21</c:v>
                </c:pt>
                <c:pt idx="1">
                  <c:v>2021–22</c:v>
                </c:pt>
                <c:pt idx="2">
                  <c:v>2022–23</c:v>
                </c:pt>
                <c:pt idx="3">
                  <c:v>2023–24</c:v>
                </c:pt>
                <c:pt idx="4">
                  <c:v>2024–25</c:v>
                </c:pt>
              </c:strCache>
            </c:strRef>
          </c:cat>
          <c:val>
            <c:numRef>
              <c:f>Sheet1!$G$3:$G$7</c:f>
              <c:numCache>
                <c:formatCode>0.000</c:formatCode>
                <c:ptCount val="5"/>
                <c:pt idx="0">
                  <c:v>7.0999999999999994E-2</c:v>
                </c:pt>
                <c:pt idx="1">
                  <c:v>3.5270000000000001</c:v>
                </c:pt>
                <c:pt idx="2">
                  <c:v>5.8280000000000003</c:v>
                </c:pt>
                <c:pt idx="3">
                  <c:v>6.34</c:v>
                </c:pt>
                <c:pt idx="4">
                  <c:v>7</c:v>
                </c:pt>
              </c:numCache>
            </c:numRef>
          </c:val>
          <c:extLst>
            <c:ext xmlns:c16="http://schemas.microsoft.com/office/drawing/2014/chart" uri="{C3380CC4-5D6E-409C-BE32-E72D297353CC}">
              <c16:uniqueId val="{00000001-D048-42E0-BF65-8FC2D4820D14}"/>
            </c:ext>
          </c:extLst>
        </c:ser>
        <c:ser>
          <c:idx val="2"/>
          <c:order val="2"/>
          <c:tx>
            <c:strRef>
              <c:f>Sheet1!$H$2</c:f>
              <c:strCache>
                <c:ptCount val="1"/>
                <c:pt idx="0">
                  <c:v>E4W</c:v>
                </c:pt>
              </c:strCache>
            </c:strRef>
          </c:tx>
          <c:spPr>
            <a:solidFill>
              <a:schemeClr val="accent3"/>
            </a:solidFill>
            <a:ln>
              <a:noFill/>
            </a:ln>
            <a:effectLst/>
            <a:sp3d/>
          </c:spPr>
          <c:invertIfNegative val="0"/>
          <c:cat>
            <c:strRef>
              <c:f>Sheet1!$E$3:$E$7</c:f>
              <c:strCache>
                <c:ptCount val="5"/>
                <c:pt idx="0">
                  <c:v>2020–21</c:v>
                </c:pt>
                <c:pt idx="1">
                  <c:v>2021–22</c:v>
                </c:pt>
                <c:pt idx="2">
                  <c:v>2022–23</c:v>
                </c:pt>
                <c:pt idx="3">
                  <c:v>2023–24</c:v>
                </c:pt>
                <c:pt idx="4">
                  <c:v>2024–25</c:v>
                </c:pt>
              </c:strCache>
            </c:strRef>
          </c:cat>
          <c:val>
            <c:numRef>
              <c:f>Sheet1!$H$3:$H$7</c:f>
              <c:numCache>
                <c:formatCode>0.000</c:formatCode>
                <c:ptCount val="5"/>
                <c:pt idx="0">
                  <c:v>0.11700000000000001</c:v>
                </c:pt>
                <c:pt idx="1">
                  <c:v>0.38200000000000001</c:v>
                </c:pt>
                <c:pt idx="2">
                  <c:v>0.82099999999999995</c:v>
                </c:pt>
                <c:pt idx="3">
                  <c:v>0.84599999999999997</c:v>
                </c:pt>
                <c:pt idx="4">
                  <c:v>1</c:v>
                </c:pt>
              </c:numCache>
            </c:numRef>
          </c:val>
          <c:extLst>
            <c:ext xmlns:c16="http://schemas.microsoft.com/office/drawing/2014/chart" uri="{C3380CC4-5D6E-409C-BE32-E72D297353CC}">
              <c16:uniqueId val="{00000002-D048-42E0-BF65-8FC2D4820D14}"/>
            </c:ext>
          </c:extLst>
        </c:ser>
        <c:ser>
          <c:idx val="3"/>
          <c:order val="3"/>
          <c:tx>
            <c:strRef>
              <c:f>Sheet1!$I$2</c:f>
              <c:strCache>
                <c:ptCount val="1"/>
                <c:pt idx="0">
                  <c:v>E-Buses</c:v>
                </c:pt>
              </c:strCache>
            </c:strRef>
          </c:tx>
          <c:spPr>
            <a:solidFill>
              <a:schemeClr val="accent4"/>
            </a:solidFill>
            <a:ln>
              <a:noFill/>
            </a:ln>
            <a:effectLst/>
            <a:sp3d/>
          </c:spPr>
          <c:invertIfNegative val="0"/>
          <c:cat>
            <c:strRef>
              <c:f>Sheet1!$E$3:$E$7</c:f>
              <c:strCache>
                <c:ptCount val="5"/>
                <c:pt idx="0">
                  <c:v>2020–21</c:v>
                </c:pt>
                <c:pt idx="1">
                  <c:v>2021–22</c:v>
                </c:pt>
                <c:pt idx="2">
                  <c:v>2022–23</c:v>
                </c:pt>
                <c:pt idx="3">
                  <c:v>2023–24</c:v>
                </c:pt>
                <c:pt idx="4">
                  <c:v>2024–25</c:v>
                </c:pt>
              </c:strCache>
            </c:strRef>
          </c:cat>
          <c:val>
            <c:numRef>
              <c:f>Sheet1!$I$3:$I$7</c:f>
              <c:numCache>
                <c:formatCode>0.000</c:formatCode>
                <c:ptCount val="5"/>
                <c:pt idx="0">
                  <c:v>1.2E-2</c:v>
                </c:pt>
                <c:pt idx="1">
                  <c:v>2.5999999999999999E-2</c:v>
                </c:pt>
                <c:pt idx="2">
                  <c:v>5.7000000000000002E-2</c:v>
                </c:pt>
                <c:pt idx="3">
                  <c:v>2.1000000000000001E-2</c:v>
                </c:pt>
                <c:pt idx="4">
                  <c:v>3.1E-2</c:v>
                </c:pt>
              </c:numCache>
            </c:numRef>
          </c:val>
          <c:extLst>
            <c:ext xmlns:c16="http://schemas.microsoft.com/office/drawing/2014/chart" uri="{C3380CC4-5D6E-409C-BE32-E72D297353CC}">
              <c16:uniqueId val="{00000003-D048-42E0-BF65-8FC2D4820D14}"/>
            </c:ext>
          </c:extLst>
        </c:ser>
        <c:dLbls>
          <c:showLegendKey val="0"/>
          <c:showVal val="0"/>
          <c:showCatName val="0"/>
          <c:showSerName val="0"/>
          <c:showPercent val="0"/>
          <c:showBubbleSize val="0"/>
        </c:dLbls>
        <c:gapWidth val="150"/>
        <c:shape val="box"/>
        <c:axId val="1581042272"/>
        <c:axId val="1581047072"/>
        <c:axId val="0"/>
      </c:bar3DChart>
      <c:catAx>
        <c:axId val="15810422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1047072"/>
        <c:crosses val="autoZero"/>
        <c:auto val="1"/>
        <c:lblAlgn val="ctr"/>
        <c:lblOffset val="100"/>
        <c:noMultiLvlLbl val="0"/>
      </c:catAx>
      <c:valAx>
        <c:axId val="1581047072"/>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1042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15</Pages>
  <Words>4430</Words>
  <Characters>25252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Sreekanth Seelam</dc:creator>
  <cp:keywords/>
  <dc:description/>
  <cp:lastModifiedBy>SDI 1084</cp:lastModifiedBy>
  <cp:revision>45</cp:revision>
  <dcterms:created xsi:type="dcterms:W3CDTF">2026-03-20T05:28:00Z</dcterms:created>
  <dcterms:modified xsi:type="dcterms:W3CDTF">2026-03-21T13:07:00Z</dcterms:modified>
</cp:coreProperties>
</file>