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22908" w14:textId="4855C4EF" w:rsidR="004B206F" w:rsidRPr="006D615E" w:rsidRDefault="004E093C" w:rsidP="006521FB">
      <w:pPr>
        <w:spacing w:line="480" w:lineRule="auto"/>
        <w:jc w:val="both"/>
        <w:rPr>
          <w:rFonts w:ascii="Arial" w:hAnsi="Arial" w:cs="Arial"/>
          <w:i/>
          <w:iCs/>
          <w:sz w:val="32"/>
          <w:szCs w:val="32"/>
        </w:rPr>
      </w:pPr>
      <w:r w:rsidRPr="006D615E">
        <w:rPr>
          <w:rFonts w:ascii="Arial" w:hAnsi="Arial" w:cs="Arial"/>
          <w:sz w:val="32"/>
          <w:szCs w:val="32"/>
        </w:rPr>
        <w:t xml:space="preserve">Development and Quality Evaluation of Functional Biscuits from </w:t>
      </w:r>
      <w:proofErr w:type="spellStart"/>
      <w:r w:rsidRPr="006D615E">
        <w:rPr>
          <w:rFonts w:ascii="Arial" w:hAnsi="Arial" w:cs="Arial"/>
          <w:sz w:val="32"/>
          <w:szCs w:val="32"/>
        </w:rPr>
        <w:t>Tigernut</w:t>
      </w:r>
      <w:proofErr w:type="spellEnd"/>
      <w:r w:rsidRPr="006D615E">
        <w:rPr>
          <w:rFonts w:ascii="Arial" w:hAnsi="Arial" w:cs="Arial"/>
          <w:sz w:val="32"/>
          <w:szCs w:val="32"/>
        </w:rPr>
        <w:t xml:space="preserve"> (</w:t>
      </w:r>
      <w:proofErr w:type="spellStart"/>
      <w:r w:rsidRPr="006D615E">
        <w:rPr>
          <w:rFonts w:ascii="Arial" w:hAnsi="Arial" w:cs="Arial"/>
          <w:i/>
          <w:iCs/>
          <w:sz w:val="32"/>
          <w:szCs w:val="32"/>
        </w:rPr>
        <w:t>Cyperus</w:t>
      </w:r>
      <w:proofErr w:type="spellEnd"/>
      <w:r w:rsidRPr="006D615E">
        <w:rPr>
          <w:rFonts w:ascii="Arial" w:hAnsi="Arial" w:cs="Arial"/>
          <w:i/>
          <w:iCs/>
          <w:sz w:val="32"/>
          <w:szCs w:val="32"/>
        </w:rPr>
        <w:t xml:space="preserve"> </w:t>
      </w:r>
      <w:proofErr w:type="spellStart"/>
      <w:r w:rsidRPr="006D615E">
        <w:rPr>
          <w:rFonts w:ascii="Arial" w:hAnsi="Arial" w:cs="Arial"/>
          <w:i/>
          <w:iCs/>
          <w:sz w:val="32"/>
          <w:szCs w:val="32"/>
        </w:rPr>
        <w:t>esculentus</w:t>
      </w:r>
      <w:proofErr w:type="spellEnd"/>
      <w:r w:rsidRPr="006D615E">
        <w:rPr>
          <w:rFonts w:ascii="Arial" w:hAnsi="Arial" w:cs="Arial"/>
          <w:sz w:val="32"/>
          <w:szCs w:val="32"/>
        </w:rPr>
        <w:t xml:space="preserve">) and </w:t>
      </w:r>
      <w:proofErr w:type="spellStart"/>
      <w:r w:rsidRPr="006D615E">
        <w:rPr>
          <w:rFonts w:ascii="Arial" w:hAnsi="Arial" w:cs="Arial"/>
          <w:i/>
          <w:iCs/>
          <w:sz w:val="32"/>
          <w:szCs w:val="32"/>
        </w:rPr>
        <w:t>Afzelia</w:t>
      </w:r>
      <w:proofErr w:type="spellEnd"/>
      <w:r w:rsidRPr="006D615E">
        <w:rPr>
          <w:rFonts w:ascii="Arial" w:hAnsi="Arial" w:cs="Arial"/>
          <w:i/>
          <w:iCs/>
          <w:sz w:val="32"/>
          <w:szCs w:val="32"/>
        </w:rPr>
        <w:t xml:space="preserve"> </w:t>
      </w:r>
      <w:proofErr w:type="spellStart"/>
      <w:r w:rsidRPr="006D615E">
        <w:rPr>
          <w:rFonts w:ascii="Arial" w:hAnsi="Arial" w:cs="Arial"/>
          <w:i/>
          <w:iCs/>
          <w:sz w:val="32"/>
          <w:szCs w:val="32"/>
        </w:rPr>
        <w:t>africana</w:t>
      </w:r>
      <w:proofErr w:type="spellEnd"/>
      <w:r w:rsidRPr="006D615E">
        <w:rPr>
          <w:rFonts w:ascii="Arial" w:hAnsi="Arial" w:cs="Arial"/>
          <w:i/>
          <w:iCs/>
          <w:sz w:val="32"/>
          <w:szCs w:val="32"/>
        </w:rPr>
        <w:t xml:space="preserve"> </w:t>
      </w:r>
      <w:r w:rsidRPr="006D615E">
        <w:rPr>
          <w:rFonts w:ascii="Arial" w:hAnsi="Arial" w:cs="Arial"/>
          <w:sz w:val="32"/>
          <w:szCs w:val="32"/>
        </w:rPr>
        <w:t>Flour Blends: Nutritional, Phytochemical</w:t>
      </w:r>
      <w:r w:rsidR="004B206F" w:rsidRPr="006D615E">
        <w:rPr>
          <w:rFonts w:ascii="Arial" w:hAnsi="Arial" w:cs="Arial"/>
          <w:sz w:val="32"/>
          <w:szCs w:val="32"/>
        </w:rPr>
        <w:t>,</w:t>
      </w:r>
      <w:r w:rsidRPr="006D615E">
        <w:rPr>
          <w:rFonts w:ascii="Arial" w:hAnsi="Arial" w:cs="Arial"/>
          <w:sz w:val="32"/>
          <w:szCs w:val="32"/>
        </w:rPr>
        <w:t xml:space="preserve"> and Acceptability</w:t>
      </w:r>
      <w:r w:rsidRPr="006D615E">
        <w:rPr>
          <w:rFonts w:ascii="Arial" w:hAnsi="Arial" w:cs="Arial"/>
          <w:i/>
          <w:iCs/>
          <w:sz w:val="32"/>
          <w:szCs w:val="32"/>
        </w:rPr>
        <w:t>.</w:t>
      </w:r>
    </w:p>
    <w:p w14:paraId="73BF8CFA" w14:textId="77777777" w:rsidR="00114E0F" w:rsidRDefault="00114E0F" w:rsidP="006521FB">
      <w:pPr>
        <w:spacing w:before="120" w:after="120" w:line="480" w:lineRule="auto"/>
        <w:jc w:val="both"/>
        <w:rPr>
          <w:rFonts w:ascii="Arial" w:eastAsia="SimSun" w:hAnsi="Arial" w:cs="Arial"/>
          <w:b/>
          <w:bCs/>
          <w:sz w:val="22"/>
          <w:szCs w:val="22"/>
          <w:lang w:eastAsia="zh-CN"/>
        </w:rPr>
      </w:pPr>
    </w:p>
    <w:p w14:paraId="3655A6F7" w14:textId="77777777" w:rsidR="00114E0F" w:rsidRDefault="00114E0F" w:rsidP="006521FB">
      <w:pPr>
        <w:spacing w:before="120" w:after="120" w:line="480" w:lineRule="auto"/>
        <w:jc w:val="both"/>
        <w:rPr>
          <w:rFonts w:ascii="Arial" w:eastAsia="SimSun" w:hAnsi="Arial" w:cs="Arial"/>
          <w:b/>
          <w:bCs/>
          <w:sz w:val="22"/>
          <w:szCs w:val="22"/>
          <w:lang w:eastAsia="zh-CN"/>
        </w:rPr>
      </w:pPr>
    </w:p>
    <w:p w14:paraId="1F3D8FD9" w14:textId="77777777" w:rsidR="00114E0F" w:rsidRDefault="00114E0F" w:rsidP="006521FB">
      <w:pPr>
        <w:spacing w:before="120" w:after="120" w:line="480" w:lineRule="auto"/>
        <w:jc w:val="both"/>
        <w:rPr>
          <w:rFonts w:ascii="Arial" w:eastAsia="SimSun" w:hAnsi="Arial" w:cs="Arial"/>
          <w:b/>
          <w:bCs/>
          <w:sz w:val="22"/>
          <w:szCs w:val="22"/>
          <w:lang w:eastAsia="zh-CN"/>
        </w:rPr>
      </w:pPr>
    </w:p>
    <w:p w14:paraId="07522B1A" w14:textId="0EF31A1D" w:rsidR="00765028" w:rsidRPr="00222D19" w:rsidRDefault="00222D19" w:rsidP="006521FB">
      <w:pPr>
        <w:spacing w:before="120" w:after="120" w:line="480" w:lineRule="auto"/>
        <w:jc w:val="both"/>
        <w:rPr>
          <w:rFonts w:ascii="Arial" w:eastAsia="SimSun" w:hAnsi="Arial" w:cs="Arial"/>
          <w:b/>
          <w:bCs/>
          <w:sz w:val="22"/>
          <w:szCs w:val="22"/>
          <w:lang w:eastAsia="zh-CN"/>
        </w:rPr>
      </w:pPr>
      <w:r w:rsidRPr="00222D19">
        <w:rPr>
          <w:rFonts w:ascii="Arial" w:eastAsia="SimSun" w:hAnsi="Arial" w:cs="Arial"/>
          <w:b/>
          <w:bCs/>
          <w:sz w:val="22"/>
          <w:szCs w:val="22"/>
          <w:lang w:eastAsia="zh-CN"/>
        </w:rPr>
        <w:t>ABSTRACT</w:t>
      </w:r>
    </w:p>
    <w:p w14:paraId="764C409C" w14:textId="77777777" w:rsidR="00765028" w:rsidRPr="006D615E" w:rsidRDefault="00765028" w:rsidP="006521FB">
      <w:pPr>
        <w:spacing w:before="120" w:after="120" w:line="480" w:lineRule="auto"/>
        <w:jc w:val="both"/>
        <w:rPr>
          <w:rFonts w:ascii="Arial" w:hAnsi="Arial" w:cs="Arial"/>
          <w:sz w:val="20"/>
          <w:szCs w:val="20"/>
        </w:rPr>
      </w:pPr>
      <w:r w:rsidRPr="006D615E">
        <w:rPr>
          <w:rFonts w:ascii="Arial" w:hAnsi="Arial" w:cs="Arial"/>
          <w:b/>
          <w:bCs/>
          <w:sz w:val="20"/>
          <w:szCs w:val="20"/>
        </w:rPr>
        <w:t xml:space="preserve">Aims: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w:t>
      </w:r>
      <w:proofErr w:type="spellStart"/>
      <w:r w:rsidRPr="006D615E">
        <w:rPr>
          <w:rFonts w:ascii="Arial" w:hAnsi="Arial" w:cs="Arial"/>
          <w:i/>
          <w:iCs/>
          <w:sz w:val="20"/>
          <w:szCs w:val="20"/>
        </w:rPr>
        <w:t>Cyperus</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esculentus</w:t>
      </w:r>
      <w:proofErr w:type="spellEnd"/>
      <w:r w:rsidRPr="006D615E">
        <w:rPr>
          <w:rFonts w:ascii="Arial" w:hAnsi="Arial" w:cs="Arial"/>
          <w:sz w:val="20"/>
          <w:szCs w:val="20"/>
        </w:rPr>
        <w:t xml:space="preserve"> L.) and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are nutritionally rich, gluten-free indigenous crops.  The unexplored functional food potential in composite biscuit production needs to be studied to address protein-energy malnutrition, micronutrient deficiencies, and rising consumer demand.</w:t>
      </w:r>
    </w:p>
    <w:p w14:paraId="66579B67" w14:textId="77777777" w:rsidR="00765028" w:rsidRPr="006D615E" w:rsidRDefault="00765028" w:rsidP="006521FB">
      <w:pPr>
        <w:spacing w:before="120" w:after="120" w:line="480" w:lineRule="auto"/>
        <w:jc w:val="both"/>
        <w:rPr>
          <w:rFonts w:ascii="Arial" w:hAnsi="Arial" w:cs="Arial"/>
          <w:b/>
          <w:bCs/>
          <w:sz w:val="20"/>
          <w:szCs w:val="20"/>
        </w:rPr>
      </w:pPr>
      <w:r w:rsidRPr="006D615E">
        <w:rPr>
          <w:rFonts w:ascii="Arial" w:hAnsi="Arial" w:cs="Arial"/>
          <w:b/>
          <w:bCs/>
          <w:sz w:val="20"/>
          <w:szCs w:val="20"/>
        </w:rPr>
        <w:t xml:space="preserve">Study Design: </w:t>
      </w:r>
      <w:r w:rsidRPr="006D615E">
        <w:rPr>
          <w:rFonts w:ascii="Arial" w:hAnsi="Arial" w:cs="Arial"/>
          <w:sz w:val="20"/>
          <w:szCs w:val="20"/>
        </w:rPr>
        <w:t xml:space="preserve">The study used a completely randomized design (CRD). Biscuits were produced by substituting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flour with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seed flour in this order:</w:t>
      </w:r>
      <w:r w:rsidRPr="006D615E">
        <w:rPr>
          <w:rFonts w:ascii="Arial" w:eastAsia="SimSun" w:hAnsi="Arial" w:cs="Arial"/>
          <w:sz w:val="20"/>
          <w:szCs w:val="20"/>
          <w:lang w:eastAsia="zh-CN"/>
        </w:rPr>
        <w:t xml:space="preserve"> Control sample = 100%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flour</w:t>
      </w:r>
      <w:r w:rsidRPr="006D615E">
        <w:rPr>
          <w:rFonts w:ascii="Arial" w:hAnsi="Arial" w:cs="Arial"/>
          <w:sz w:val="20"/>
          <w:szCs w:val="20"/>
        </w:rPr>
        <w:t xml:space="preserve">; </w:t>
      </w:r>
      <w:r w:rsidRPr="006D615E">
        <w:rPr>
          <w:rFonts w:ascii="Arial" w:eastAsia="SimSun" w:hAnsi="Arial" w:cs="Arial"/>
          <w:sz w:val="20"/>
          <w:szCs w:val="20"/>
          <w:lang w:eastAsia="zh-CN"/>
        </w:rPr>
        <w:t xml:space="preserve">A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(10%)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(90%) flour;</w:t>
      </w:r>
      <w:r w:rsidRPr="006D615E">
        <w:rPr>
          <w:rFonts w:ascii="Arial" w:hAnsi="Arial" w:cs="Arial"/>
          <w:sz w:val="20"/>
          <w:szCs w:val="20"/>
        </w:rPr>
        <w:t xml:space="preserve"> </w:t>
      </w:r>
      <w:r w:rsidRPr="006D615E">
        <w:rPr>
          <w:rFonts w:ascii="Arial" w:eastAsia="SimSun" w:hAnsi="Arial" w:cs="Arial"/>
          <w:sz w:val="20"/>
          <w:szCs w:val="20"/>
          <w:lang w:eastAsia="zh-CN"/>
        </w:rPr>
        <w:t xml:space="preserve">B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(20%)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(80%) flour.</w:t>
      </w:r>
      <w:r w:rsidRPr="006D615E">
        <w:rPr>
          <w:rFonts w:ascii="Arial" w:hAnsi="Arial" w:cs="Arial"/>
          <w:sz w:val="20"/>
          <w:szCs w:val="20"/>
        </w:rPr>
        <w:t xml:space="preserve">  </w:t>
      </w:r>
      <w:r w:rsidRPr="006D615E">
        <w:rPr>
          <w:rFonts w:ascii="Arial" w:hAnsi="Arial" w:cs="Arial"/>
          <w:b/>
          <w:bCs/>
          <w:sz w:val="20"/>
          <w:szCs w:val="20"/>
        </w:rPr>
        <w:t xml:space="preserve"> </w:t>
      </w:r>
    </w:p>
    <w:p w14:paraId="49F1ACA3" w14:textId="77777777" w:rsidR="00765028" w:rsidRPr="006D615E" w:rsidRDefault="00765028" w:rsidP="006521FB">
      <w:pPr>
        <w:spacing w:before="120" w:after="120" w:line="480" w:lineRule="auto"/>
        <w:jc w:val="both"/>
        <w:rPr>
          <w:rFonts w:ascii="Arial" w:hAnsi="Arial" w:cs="Arial"/>
          <w:sz w:val="20"/>
          <w:szCs w:val="20"/>
        </w:rPr>
      </w:pPr>
      <w:r w:rsidRPr="006D615E">
        <w:rPr>
          <w:rFonts w:ascii="Arial" w:hAnsi="Arial" w:cs="Arial"/>
          <w:b/>
          <w:bCs/>
          <w:sz w:val="20"/>
          <w:szCs w:val="20"/>
        </w:rPr>
        <w:t xml:space="preserve">Place and Duration of Study: </w:t>
      </w:r>
      <w:r w:rsidRPr="006D615E">
        <w:rPr>
          <w:rFonts w:ascii="Arial" w:hAnsi="Arial" w:cs="Arial"/>
          <w:sz w:val="20"/>
          <w:szCs w:val="20"/>
        </w:rPr>
        <w:t xml:space="preserve">The study was carried out in the laboratory of Food Science and Technology department, Chukwuemeka </w:t>
      </w:r>
      <w:proofErr w:type="spellStart"/>
      <w:r w:rsidRPr="006D615E">
        <w:rPr>
          <w:rFonts w:ascii="Arial" w:hAnsi="Arial" w:cs="Arial"/>
          <w:sz w:val="20"/>
          <w:szCs w:val="20"/>
        </w:rPr>
        <w:t>Odumegwu</w:t>
      </w:r>
      <w:proofErr w:type="spellEnd"/>
      <w:r w:rsidRPr="006D615E">
        <w:rPr>
          <w:rFonts w:ascii="Arial" w:hAnsi="Arial" w:cs="Arial"/>
          <w:sz w:val="20"/>
          <w:szCs w:val="20"/>
        </w:rPr>
        <w:t xml:space="preserve"> Ojukwu University, </w:t>
      </w:r>
      <w:proofErr w:type="spellStart"/>
      <w:r w:rsidRPr="006D615E">
        <w:rPr>
          <w:rFonts w:ascii="Arial" w:hAnsi="Arial" w:cs="Arial"/>
          <w:sz w:val="20"/>
          <w:szCs w:val="20"/>
        </w:rPr>
        <w:t>Igbariam</w:t>
      </w:r>
      <w:proofErr w:type="spellEnd"/>
      <w:r w:rsidRPr="006D615E">
        <w:rPr>
          <w:rFonts w:ascii="Arial" w:hAnsi="Arial" w:cs="Arial"/>
          <w:sz w:val="20"/>
          <w:szCs w:val="20"/>
        </w:rPr>
        <w:t xml:space="preserve"> Campus in June, 2024.</w:t>
      </w:r>
    </w:p>
    <w:p w14:paraId="5778CA78" w14:textId="77777777" w:rsidR="00765028" w:rsidRPr="006D615E" w:rsidRDefault="00765028" w:rsidP="006521FB">
      <w:pPr>
        <w:spacing w:before="120" w:after="120" w:line="480" w:lineRule="auto"/>
        <w:jc w:val="both"/>
        <w:rPr>
          <w:rFonts w:ascii="Arial" w:hAnsi="Arial" w:cs="Arial"/>
          <w:b/>
          <w:bCs/>
          <w:sz w:val="20"/>
          <w:szCs w:val="20"/>
        </w:rPr>
      </w:pPr>
      <w:r w:rsidRPr="006D615E">
        <w:rPr>
          <w:rFonts w:ascii="Arial" w:hAnsi="Arial" w:cs="Arial"/>
          <w:b/>
          <w:bCs/>
          <w:sz w:val="20"/>
          <w:szCs w:val="20"/>
        </w:rPr>
        <w:t xml:space="preserve">Methodology: </w:t>
      </w:r>
      <w:r w:rsidRPr="006D615E">
        <w:rPr>
          <w:rFonts w:ascii="Arial" w:hAnsi="Arial" w:cs="Arial"/>
          <w:sz w:val="20"/>
          <w:szCs w:val="20"/>
        </w:rPr>
        <w:t>Flour preparation and baking followed standard methods. Proximate, mineral, vitamins, phytochemicals, DPPH radical scavenging ability and sensory acceptability were studied.</w:t>
      </w:r>
    </w:p>
    <w:p w14:paraId="4FFC54F4" w14:textId="7213CE5A" w:rsidR="00765028" w:rsidRPr="006D615E" w:rsidRDefault="00765028" w:rsidP="006521FB">
      <w:pPr>
        <w:spacing w:before="120" w:after="120" w:line="480" w:lineRule="auto"/>
        <w:jc w:val="both"/>
        <w:rPr>
          <w:rFonts w:ascii="Arial" w:hAnsi="Arial" w:cs="Arial"/>
          <w:i/>
          <w:iCs/>
          <w:sz w:val="20"/>
          <w:szCs w:val="20"/>
        </w:rPr>
      </w:pPr>
      <w:r w:rsidRPr="006D615E">
        <w:rPr>
          <w:rFonts w:ascii="Arial" w:hAnsi="Arial" w:cs="Arial"/>
          <w:b/>
          <w:bCs/>
          <w:sz w:val="20"/>
          <w:szCs w:val="20"/>
        </w:rPr>
        <w:t>Results</w:t>
      </w:r>
      <w:r w:rsidRPr="006D615E">
        <w:rPr>
          <w:rFonts w:ascii="Arial" w:hAnsi="Arial" w:cs="Arial"/>
          <w:sz w:val="20"/>
          <w:szCs w:val="20"/>
        </w:rPr>
        <w:t xml:space="preserve">: Increasing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b/>
          <w:bCs/>
          <w:i/>
          <w:iCs/>
          <w:sz w:val="20"/>
          <w:szCs w:val="20"/>
        </w:rPr>
        <w:t xml:space="preserve"> </w:t>
      </w:r>
      <w:r w:rsidRPr="006D615E">
        <w:rPr>
          <w:rFonts w:ascii="Arial" w:hAnsi="Arial" w:cs="Arial"/>
          <w:sz w:val="20"/>
          <w:szCs w:val="20"/>
        </w:rPr>
        <w:t>substitution was associated with significant dose-dependent increases in crude protein (3.66-5.52 g/100g), crude fiber (0.48-2.29 g/100g), crude ash (1.05-2.78 g/100g), calcium (172.18-273.62 mg/100g), magnesium (34.52-38.70 mg/100g), potassium (290.72-305.76 mg/100g), thiamine (0.51-0.88 mg/100g), riboflavin (0.43-1.08 mg/100g), niacin (0.16-1.17 mg/100g), total phenolic (12.87-16.82 mg GAE/100g) and flavonoid (4.49-6.69 mg/100g) content, alongside a progressive reduction in DPPH IC</w:t>
      </w:r>
      <w:r w:rsidRPr="006D615E">
        <w:rPr>
          <w:rFonts w:ascii="Arial" w:hAnsi="Arial" w:cs="Arial"/>
          <w:sz w:val="20"/>
          <w:szCs w:val="20"/>
          <w:vertAlign w:val="subscript"/>
        </w:rPr>
        <w:t>50</w:t>
      </w:r>
      <w:r w:rsidRPr="006D615E">
        <w:rPr>
          <w:rFonts w:ascii="Arial" w:hAnsi="Arial" w:cs="Arial"/>
          <w:sz w:val="20"/>
          <w:szCs w:val="20"/>
        </w:rPr>
        <w:t xml:space="preserve"> indicating enhanced antioxidant activity. All moisture values (3.49-5.31 g/100g) were within </w:t>
      </w:r>
      <w:r w:rsidRPr="006D615E">
        <w:rPr>
          <w:rFonts w:ascii="Arial" w:hAnsi="Arial" w:cs="Arial"/>
          <w:sz w:val="20"/>
          <w:szCs w:val="20"/>
        </w:rPr>
        <w:lastRenderedPageBreak/>
        <w:t xml:space="preserve">the recommended range for biscuit shelf stability. The control and sample A were not significantly different (p&lt;0.05) in </w:t>
      </w:r>
      <w:r w:rsidR="006521FB" w:rsidRPr="006D615E">
        <w:rPr>
          <w:rFonts w:ascii="Arial" w:hAnsi="Arial" w:cs="Arial"/>
          <w:sz w:val="20"/>
          <w:szCs w:val="20"/>
        </w:rPr>
        <w:t>color</w:t>
      </w:r>
      <w:r w:rsidRPr="006D615E">
        <w:rPr>
          <w:rFonts w:ascii="Arial" w:hAnsi="Arial" w:cs="Arial"/>
          <w:sz w:val="20"/>
          <w:szCs w:val="20"/>
        </w:rPr>
        <w:t>, flavor, aftertaste and overall acceptability.</w:t>
      </w:r>
    </w:p>
    <w:p w14:paraId="1E53FC0B" w14:textId="69DD909E" w:rsidR="00765028" w:rsidRPr="006D615E" w:rsidRDefault="00765028" w:rsidP="006521FB">
      <w:pPr>
        <w:spacing w:before="120" w:after="120" w:line="480" w:lineRule="auto"/>
        <w:jc w:val="both"/>
        <w:rPr>
          <w:rFonts w:ascii="Arial" w:hAnsi="Arial" w:cs="Arial"/>
          <w:sz w:val="20"/>
          <w:szCs w:val="20"/>
        </w:rPr>
      </w:pPr>
      <w:r w:rsidRPr="006D615E">
        <w:rPr>
          <w:rFonts w:ascii="Arial" w:hAnsi="Arial" w:cs="Arial"/>
          <w:b/>
          <w:bCs/>
          <w:sz w:val="20"/>
          <w:szCs w:val="20"/>
        </w:rPr>
        <w:t xml:space="preserve">Conclusion: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 xml:space="preserve">seed flour enhanced the nutritional, antioxidant activity and sensory appeal of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biscuit. A 10% </w:t>
      </w:r>
      <w:r w:rsidR="00222D19">
        <w:rPr>
          <w:rFonts w:ascii="Arial" w:hAnsi="Arial" w:cs="Arial"/>
          <w:i/>
          <w:iCs/>
          <w:sz w:val="20"/>
          <w:szCs w:val="20"/>
        </w:rPr>
        <w:t xml:space="preserve">substitution of </w:t>
      </w:r>
      <w:proofErr w:type="spellStart"/>
      <w:r w:rsidR="00222D19">
        <w:rPr>
          <w:rFonts w:ascii="Arial" w:hAnsi="Arial" w:cs="Arial"/>
          <w:i/>
          <w:iCs/>
          <w:sz w:val="20"/>
          <w:szCs w:val="20"/>
        </w:rPr>
        <w:t>Afzelia</w:t>
      </w:r>
      <w:proofErr w:type="spellEnd"/>
      <w:r w:rsidR="00222D19">
        <w:rPr>
          <w:rFonts w:ascii="Arial" w:hAnsi="Arial" w:cs="Arial"/>
          <w:i/>
          <w:iCs/>
          <w:sz w:val="20"/>
          <w:szCs w:val="20"/>
        </w:rPr>
        <w:t xml:space="preserve"> </w:t>
      </w:r>
      <w:proofErr w:type="spellStart"/>
      <w:r w:rsidR="00222D19">
        <w:rPr>
          <w:rFonts w:ascii="Arial" w:hAnsi="Arial" w:cs="Arial"/>
          <w:i/>
          <w:iCs/>
          <w:sz w:val="20"/>
          <w:szCs w:val="20"/>
        </w:rPr>
        <w:t>africana</w:t>
      </w:r>
      <w:proofErr w:type="spellEnd"/>
      <w:r w:rsidR="00222D19">
        <w:rPr>
          <w:rFonts w:ascii="Arial" w:hAnsi="Arial" w:cs="Arial"/>
          <w:i/>
          <w:iCs/>
          <w:sz w:val="20"/>
          <w:szCs w:val="20"/>
        </w:rPr>
        <w:t xml:space="preserve"> seed flour </w:t>
      </w:r>
      <w:r w:rsidRPr="006D615E">
        <w:rPr>
          <w:rFonts w:ascii="Arial" w:hAnsi="Arial" w:cs="Arial"/>
          <w:sz w:val="20"/>
          <w:szCs w:val="20"/>
        </w:rPr>
        <w:t xml:space="preserve">was identified as the optimal formulation. These findings support the use of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seed flour as a functional food ingredient in biscuit production for protein- and micronutrient-vulnerable population in Nigeria.</w:t>
      </w:r>
    </w:p>
    <w:p w14:paraId="084C8DB1" w14:textId="4149D3F9" w:rsidR="006521FB" w:rsidRPr="006D615E" w:rsidRDefault="00765028" w:rsidP="006521FB">
      <w:pPr>
        <w:spacing w:before="80" w:after="80" w:line="480" w:lineRule="auto"/>
        <w:jc w:val="both"/>
        <w:rPr>
          <w:rFonts w:ascii="Arial" w:hAnsi="Arial" w:cs="Arial"/>
          <w:b/>
          <w:bCs/>
          <w:sz w:val="20"/>
          <w:szCs w:val="20"/>
        </w:rPr>
      </w:pPr>
      <w:r w:rsidRPr="006D615E">
        <w:rPr>
          <w:rFonts w:ascii="Arial" w:hAnsi="Arial" w:cs="Arial"/>
          <w:b/>
          <w:bCs/>
          <w:sz w:val="20"/>
          <w:szCs w:val="20"/>
        </w:rPr>
        <w:t xml:space="preserve">Keywords: </w:t>
      </w:r>
      <w:r w:rsidRPr="006D615E">
        <w:rPr>
          <w:rFonts w:ascii="Arial" w:hAnsi="Arial" w:cs="Arial"/>
          <w:sz w:val="20"/>
          <w:szCs w:val="20"/>
        </w:rPr>
        <w:t xml:space="preserve">Functional biscuits;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flour;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antioxidant activity, phenolic content; underutilized legume; Nigeria.</w:t>
      </w:r>
    </w:p>
    <w:p w14:paraId="4D39D5F3" w14:textId="30511214" w:rsidR="004E093C" w:rsidRPr="00222D19"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1. </w:t>
      </w:r>
      <w:r w:rsidR="004E093C" w:rsidRPr="00222D19">
        <w:rPr>
          <w:rFonts w:ascii="Arial" w:hAnsi="Arial" w:cs="Arial"/>
          <w:b/>
          <w:bCs/>
          <w:sz w:val="22"/>
          <w:szCs w:val="22"/>
        </w:rPr>
        <w:t>INTRODUCTION</w:t>
      </w:r>
    </w:p>
    <w:p w14:paraId="0D0E522F" w14:textId="6E33FD8A" w:rsidR="004E093C" w:rsidRPr="006D615E" w:rsidRDefault="004E093C" w:rsidP="006521FB">
      <w:pPr>
        <w:spacing w:line="480" w:lineRule="auto"/>
        <w:jc w:val="both"/>
        <w:rPr>
          <w:rFonts w:ascii="Arial" w:hAnsi="Arial" w:cs="Arial"/>
          <w:sz w:val="20"/>
          <w:szCs w:val="20"/>
        </w:rPr>
      </w:pPr>
      <w:r w:rsidRPr="006D615E">
        <w:rPr>
          <w:rFonts w:ascii="Arial" w:hAnsi="Arial" w:cs="Arial"/>
          <w:sz w:val="20"/>
          <w:szCs w:val="20"/>
        </w:rPr>
        <w:t>There is increased consumer awareness and demand for wholesome, nutritious foods</w:t>
      </w:r>
      <w:r w:rsidR="003F7518" w:rsidRPr="006D615E">
        <w:rPr>
          <w:rFonts w:ascii="Arial" w:hAnsi="Arial" w:cs="Arial"/>
          <w:sz w:val="20"/>
          <w:szCs w:val="20"/>
        </w:rPr>
        <w:t xml:space="preserve"> otherwise regarded as </w:t>
      </w:r>
      <w:r w:rsidRPr="006D615E">
        <w:rPr>
          <w:rFonts w:ascii="Arial" w:hAnsi="Arial" w:cs="Arial"/>
          <w:sz w:val="20"/>
          <w:szCs w:val="20"/>
        </w:rPr>
        <w:t>functional foods</w:t>
      </w:r>
      <w:r w:rsidR="003F7518" w:rsidRPr="006D615E">
        <w:rPr>
          <w:rFonts w:ascii="Arial" w:hAnsi="Arial" w:cs="Arial"/>
          <w:sz w:val="20"/>
          <w:szCs w:val="20"/>
        </w:rPr>
        <w:t>. Functional foods are foods</w:t>
      </w:r>
      <w:r w:rsidRPr="006D615E">
        <w:rPr>
          <w:rFonts w:ascii="Arial" w:hAnsi="Arial" w:cs="Arial"/>
          <w:sz w:val="20"/>
          <w:szCs w:val="20"/>
        </w:rPr>
        <w:t xml:space="preserve"> that provide nutritional benefits beyond basic </w:t>
      </w:r>
      <w:r w:rsidR="003F7518" w:rsidRPr="006D615E">
        <w:rPr>
          <w:rFonts w:ascii="Arial" w:hAnsi="Arial" w:cs="Arial"/>
          <w:sz w:val="20"/>
          <w:szCs w:val="20"/>
        </w:rPr>
        <w:t xml:space="preserve">energy </w:t>
      </w:r>
      <w:r w:rsidRPr="006D615E">
        <w:rPr>
          <w:rFonts w:ascii="Arial" w:hAnsi="Arial" w:cs="Arial"/>
          <w:sz w:val="20"/>
          <w:szCs w:val="20"/>
        </w:rPr>
        <w:t xml:space="preserve">(Ashad et al., 2025, </w:t>
      </w:r>
      <w:proofErr w:type="spellStart"/>
      <w:r w:rsidRPr="006D615E">
        <w:rPr>
          <w:rFonts w:ascii="Arial" w:hAnsi="Arial" w:cs="Arial"/>
          <w:sz w:val="20"/>
          <w:szCs w:val="20"/>
        </w:rPr>
        <w:t>Rashidinejad</w:t>
      </w:r>
      <w:proofErr w:type="spellEnd"/>
      <w:r w:rsidRPr="006D615E">
        <w:rPr>
          <w:rFonts w:ascii="Arial" w:hAnsi="Arial" w:cs="Arial"/>
          <w:sz w:val="20"/>
          <w:szCs w:val="20"/>
        </w:rPr>
        <w:t xml:space="preserve"> et al., 2024). Biscuits possess great potential as functional food products because they are shelf-stable, widely eaten, and ready-to-eat (</w:t>
      </w:r>
      <w:proofErr w:type="spellStart"/>
      <w:r w:rsidRPr="006D615E">
        <w:rPr>
          <w:rFonts w:ascii="Arial" w:hAnsi="Arial" w:cs="Arial"/>
          <w:sz w:val="20"/>
          <w:szCs w:val="20"/>
        </w:rPr>
        <w:t>Aniemena</w:t>
      </w:r>
      <w:proofErr w:type="spellEnd"/>
      <w:r w:rsidRPr="006D615E">
        <w:rPr>
          <w:rFonts w:ascii="Arial" w:hAnsi="Arial" w:cs="Arial"/>
          <w:sz w:val="20"/>
          <w:szCs w:val="20"/>
        </w:rPr>
        <w:t xml:space="preserve"> et al., 2024). Moreover, they can be crafted into products suitable for all age groups, demographics, and geographic settings. They can also serve as an effective, scalable vehicle for delivering bioactive ingredients, dietary fiber, and essential micronutrients to target population</w:t>
      </w:r>
      <w:r w:rsidR="003F7518" w:rsidRPr="006D615E">
        <w:rPr>
          <w:rFonts w:ascii="Arial" w:hAnsi="Arial" w:cs="Arial"/>
          <w:sz w:val="20"/>
          <w:szCs w:val="20"/>
        </w:rPr>
        <w:t>s</w:t>
      </w:r>
      <w:r w:rsidRPr="006D615E">
        <w:rPr>
          <w:rFonts w:ascii="Arial" w:hAnsi="Arial" w:cs="Arial"/>
          <w:sz w:val="20"/>
          <w:szCs w:val="20"/>
        </w:rPr>
        <w:t xml:space="preserve"> (Lazou et al., 20024; Ranasinghe et al., 2025). Globally, the biscuit market was estimated at about 109 billion USD in 2023, with a projected value of 192 billion USD by 2033. The fortified and functional biscuit segment has annual growth rates of 5.4% and 5.2%, respectively (Lazou et al., 20024). This growth in demand for fortified and functional biscuits is driven by the need to replace conventional biscuits with lower-</w:t>
      </w:r>
      <w:proofErr w:type="spellStart"/>
      <w:r w:rsidRPr="006D615E">
        <w:rPr>
          <w:rFonts w:ascii="Arial" w:hAnsi="Arial" w:cs="Arial"/>
          <w:sz w:val="20"/>
          <w:szCs w:val="20"/>
        </w:rPr>
        <w:t>glycaemic</w:t>
      </w:r>
      <w:proofErr w:type="spellEnd"/>
      <w:r w:rsidRPr="006D615E">
        <w:rPr>
          <w:rFonts w:ascii="Arial" w:hAnsi="Arial" w:cs="Arial"/>
          <w:sz w:val="20"/>
          <w:szCs w:val="20"/>
        </w:rPr>
        <w:t xml:space="preserve">, low-gluten, high-protein, high-fiber, and high-micronutrient options (Ranasinghe et al., 2025). </w:t>
      </w:r>
    </w:p>
    <w:p w14:paraId="7973906A" w14:textId="3624DC0D" w:rsidR="004E093C" w:rsidRPr="006D615E" w:rsidRDefault="004E093C" w:rsidP="006521FB">
      <w:pPr>
        <w:spacing w:line="480" w:lineRule="auto"/>
        <w:jc w:val="both"/>
        <w:rPr>
          <w:rFonts w:ascii="Arial" w:hAnsi="Arial" w:cs="Arial"/>
          <w:sz w:val="20"/>
          <w:szCs w:val="20"/>
        </w:rPr>
      </w:pPr>
      <w:r w:rsidRPr="006D615E">
        <w:rPr>
          <w:rFonts w:ascii="Arial" w:hAnsi="Arial" w:cs="Arial"/>
          <w:sz w:val="20"/>
          <w:szCs w:val="20"/>
        </w:rPr>
        <w:t>The growing dual burden of protein-energy malnutrition, micronutrient deficiency and childhood stunting in Nigeria and sub-Saharan Africa</w:t>
      </w:r>
      <w:r w:rsidR="003F7518" w:rsidRPr="006D615E">
        <w:rPr>
          <w:rFonts w:ascii="Arial" w:hAnsi="Arial" w:cs="Arial"/>
          <w:sz w:val="20"/>
          <w:szCs w:val="20"/>
        </w:rPr>
        <w:t xml:space="preserve"> has become a growing public health concern</w:t>
      </w:r>
      <w:r w:rsidRPr="006D615E">
        <w:rPr>
          <w:rFonts w:ascii="Arial" w:hAnsi="Arial" w:cs="Arial"/>
          <w:sz w:val="20"/>
          <w:szCs w:val="20"/>
        </w:rPr>
        <w:t>. About 11 million and 6 million under-five Nigerian children face severe food poverty and stunting, respectively (UNICEF, 2024).</w:t>
      </w:r>
      <w:r w:rsidR="003F7518" w:rsidRPr="006D615E">
        <w:rPr>
          <w:rFonts w:ascii="Arial" w:hAnsi="Arial" w:cs="Arial"/>
          <w:sz w:val="20"/>
          <w:szCs w:val="20"/>
        </w:rPr>
        <w:t xml:space="preserve"> The</w:t>
      </w:r>
      <w:r w:rsidRPr="006D615E">
        <w:rPr>
          <w:rFonts w:ascii="Arial" w:hAnsi="Arial" w:cs="Arial"/>
          <w:sz w:val="20"/>
          <w:szCs w:val="20"/>
        </w:rPr>
        <w:t xml:space="preserve"> prevalence of diet-related non-communicable diseases such as obesity, type 2 diabetes, and cardiovascular diseases</w:t>
      </w:r>
      <w:r w:rsidR="003F7518" w:rsidRPr="006D615E">
        <w:rPr>
          <w:rFonts w:ascii="Arial" w:hAnsi="Arial" w:cs="Arial"/>
          <w:sz w:val="20"/>
          <w:szCs w:val="20"/>
        </w:rPr>
        <w:t xml:space="preserve"> is equally rising in proportion</w:t>
      </w:r>
      <w:r w:rsidRPr="006D615E">
        <w:rPr>
          <w:rFonts w:ascii="Arial" w:hAnsi="Arial" w:cs="Arial"/>
          <w:sz w:val="20"/>
          <w:szCs w:val="20"/>
        </w:rPr>
        <w:t xml:space="preserve">, especially in urban areas (WHO/FAO, 2022). </w:t>
      </w:r>
      <w:r w:rsidR="003F7518" w:rsidRPr="006D615E">
        <w:rPr>
          <w:rFonts w:ascii="Arial" w:hAnsi="Arial" w:cs="Arial"/>
          <w:sz w:val="20"/>
          <w:szCs w:val="20"/>
        </w:rPr>
        <w:t>T</w:t>
      </w:r>
      <w:r w:rsidRPr="006D615E">
        <w:rPr>
          <w:rFonts w:ascii="Arial" w:hAnsi="Arial" w:cs="Arial"/>
          <w:sz w:val="20"/>
          <w:szCs w:val="20"/>
        </w:rPr>
        <w:t xml:space="preserve">here </w:t>
      </w:r>
      <w:r w:rsidRPr="006D615E">
        <w:rPr>
          <w:rFonts w:ascii="Arial" w:hAnsi="Arial" w:cs="Arial"/>
          <w:sz w:val="20"/>
          <w:szCs w:val="20"/>
        </w:rPr>
        <w:lastRenderedPageBreak/>
        <w:t>is</w:t>
      </w:r>
      <w:r w:rsidR="003F7518" w:rsidRPr="006D615E">
        <w:rPr>
          <w:rFonts w:ascii="Arial" w:hAnsi="Arial" w:cs="Arial"/>
          <w:sz w:val="20"/>
          <w:szCs w:val="20"/>
        </w:rPr>
        <w:t>, therefore,</w:t>
      </w:r>
      <w:r w:rsidRPr="006D615E">
        <w:rPr>
          <w:rFonts w:ascii="Arial" w:hAnsi="Arial" w:cs="Arial"/>
          <w:sz w:val="20"/>
          <w:szCs w:val="20"/>
        </w:rPr>
        <w:t xml:space="preserve"> a great public health </w:t>
      </w:r>
      <w:proofErr w:type="gramStart"/>
      <w:r w:rsidRPr="006D615E">
        <w:rPr>
          <w:rFonts w:ascii="Arial" w:hAnsi="Arial" w:cs="Arial"/>
          <w:sz w:val="20"/>
          <w:szCs w:val="20"/>
        </w:rPr>
        <w:t>need</w:t>
      </w:r>
      <w:proofErr w:type="gramEnd"/>
      <w:r w:rsidRPr="006D615E">
        <w:rPr>
          <w:rFonts w:ascii="Arial" w:hAnsi="Arial" w:cs="Arial"/>
          <w:sz w:val="20"/>
          <w:szCs w:val="20"/>
        </w:rPr>
        <w:t xml:space="preserve"> to develop affordable, nutritionally enhanced functional foods from nutrient-dense, locally available materials (</w:t>
      </w:r>
      <w:proofErr w:type="spellStart"/>
      <w:r w:rsidRPr="006D615E">
        <w:rPr>
          <w:rFonts w:ascii="Arial" w:hAnsi="Arial" w:cs="Arial"/>
          <w:sz w:val="20"/>
          <w:szCs w:val="20"/>
        </w:rPr>
        <w:t>Nkwonta</w:t>
      </w:r>
      <w:proofErr w:type="spellEnd"/>
      <w:r w:rsidRPr="006D615E">
        <w:rPr>
          <w:rFonts w:ascii="Arial" w:hAnsi="Arial" w:cs="Arial"/>
          <w:sz w:val="20"/>
          <w:szCs w:val="20"/>
        </w:rPr>
        <w:t xml:space="preserve"> and </w:t>
      </w:r>
      <w:proofErr w:type="spellStart"/>
      <w:r w:rsidRPr="006D615E">
        <w:rPr>
          <w:rFonts w:ascii="Arial" w:hAnsi="Arial" w:cs="Arial"/>
          <w:sz w:val="20"/>
          <w:szCs w:val="20"/>
        </w:rPr>
        <w:t>Auma</w:t>
      </w:r>
      <w:proofErr w:type="spellEnd"/>
      <w:r w:rsidRPr="006D615E">
        <w:rPr>
          <w:rFonts w:ascii="Arial" w:hAnsi="Arial" w:cs="Arial"/>
          <w:sz w:val="20"/>
          <w:szCs w:val="20"/>
        </w:rPr>
        <w:t xml:space="preserve">, 2023; </w:t>
      </w:r>
      <w:proofErr w:type="spellStart"/>
      <w:r w:rsidRPr="006D615E">
        <w:rPr>
          <w:rFonts w:ascii="Arial" w:hAnsi="Arial" w:cs="Arial"/>
          <w:sz w:val="20"/>
          <w:szCs w:val="20"/>
        </w:rPr>
        <w:t>Nwagbo</w:t>
      </w:r>
      <w:proofErr w:type="spellEnd"/>
      <w:r w:rsidRPr="006D615E">
        <w:rPr>
          <w:rFonts w:ascii="Arial" w:hAnsi="Arial" w:cs="Arial"/>
          <w:sz w:val="20"/>
          <w:szCs w:val="20"/>
        </w:rPr>
        <w:t xml:space="preserve"> et al., 2025).</w:t>
      </w:r>
    </w:p>
    <w:p w14:paraId="61782D50" w14:textId="653A7A8E" w:rsidR="004E093C" w:rsidRPr="006D615E" w:rsidRDefault="004E093C" w:rsidP="006521FB">
      <w:pPr>
        <w:spacing w:line="480" w:lineRule="auto"/>
        <w:jc w:val="both"/>
        <w:rPr>
          <w:rFonts w:ascii="Arial" w:hAnsi="Arial" w:cs="Arial"/>
          <w:sz w:val="20"/>
          <w:szCs w:val="20"/>
        </w:rPr>
      </w:pPr>
      <w:proofErr w:type="spellStart"/>
      <w:r w:rsidRPr="006D615E">
        <w:rPr>
          <w:rFonts w:ascii="Arial" w:hAnsi="Arial" w:cs="Arial"/>
          <w:sz w:val="20"/>
          <w:szCs w:val="20"/>
        </w:rPr>
        <w:t>Tigernut</w:t>
      </w:r>
      <w:proofErr w:type="spellEnd"/>
      <w:r w:rsidRPr="006D615E">
        <w:rPr>
          <w:rFonts w:ascii="Arial" w:hAnsi="Arial" w:cs="Arial"/>
          <w:sz w:val="20"/>
          <w:szCs w:val="20"/>
        </w:rPr>
        <w:t xml:space="preserve"> (</w:t>
      </w:r>
      <w:proofErr w:type="spellStart"/>
      <w:r w:rsidRPr="006D615E">
        <w:rPr>
          <w:rFonts w:ascii="Arial" w:hAnsi="Arial" w:cs="Arial"/>
          <w:i/>
          <w:iCs/>
          <w:sz w:val="20"/>
          <w:szCs w:val="20"/>
        </w:rPr>
        <w:t>Cyperus</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esculentus</w:t>
      </w:r>
      <w:proofErr w:type="spellEnd"/>
      <w:r w:rsidRPr="006D615E">
        <w:rPr>
          <w:rFonts w:ascii="Arial" w:hAnsi="Arial" w:cs="Arial"/>
          <w:i/>
          <w:iCs/>
          <w:sz w:val="20"/>
          <w:szCs w:val="20"/>
        </w:rPr>
        <w:t xml:space="preserve"> </w:t>
      </w:r>
      <w:r w:rsidRPr="006D615E">
        <w:rPr>
          <w:rFonts w:ascii="Arial" w:hAnsi="Arial" w:cs="Arial"/>
          <w:sz w:val="20"/>
          <w:szCs w:val="20"/>
        </w:rPr>
        <w:t>L.) is a perennial sedge of the Cyperaceae family. It has emerged as one of the most scientifically compelling functional food crops globally. This is b</w:t>
      </w:r>
      <w:r w:rsidR="003F7518" w:rsidRPr="006D615E">
        <w:rPr>
          <w:rFonts w:ascii="Arial" w:hAnsi="Arial" w:cs="Arial"/>
          <w:sz w:val="20"/>
          <w:szCs w:val="20"/>
        </w:rPr>
        <w:t>ecause</w:t>
      </w:r>
      <w:r w:rsidRPr="006D615E">
        <w:rPr>
          <w:rFonts w:ascii="Arial" w:hAnsi="Arial" w:cs="Arial"/>
          <w:sz w:val="20"/>
          <w:szCs w:val="20"/>
        </w:rPr>
        <w:t xml:space="preserve"> of its rich composition of dietary fiber (8-9%), lipids</w:t>
      </w:r>
      <w:r w:rsidR="003F7518" w:rsidRPr="006D615E">
        <w:rPr>
          <w:rFonts w:ascii="Arial" w:hAnsi="Arial" w:cs="Arial"/>
          <w:sz w:val="20"/>
          <w:szCs w:val="20"/>
        </w:rPr>
        <w:t>,</w:t>
      </w:r>
      <w:r w:rsidRPr="006D615E">
        <w:rPr>
          <w:rFonts w:ascii="Arial" w:hAnsi="Arial" w:cs="Arial"/>
          <w:sz w:val="20"/>
          <w:szCs w:val="20"/>
        </w:rPr>
        <w:t xml:space="preserve"> especially oleic acid (25-35%), starch (20-30%), protein (10-15%) and essential minerals, such as potassium, magnesium, and iron (He et al., 2025; Wu et al, 2024). It also contains phenolic acids, flavonoids, phytosterols, alkaloids and terpenoids, making it a candidate for functional food development (</w:t>
      </w:r>
      <w:proofErr w:type="spellStart"/>
      <w:r w:rsidRPr="006D615E">
        <w:rPr>
          <w:rFonts w:ascii="Arial" w:hAnsi="Arial" w:cs="Arial"/>
          <w:sz w:val="20"/>
          <w:szCs w:val="20"/>
        </w:rPr>
        <w:t>Nwagbo</w:t>
      </w:r>
      <w:proofErr w:type="spellEnd"/>
      <w:r w:rsidRPr="006D615E">
        <w:rPr>
          <w:rFonts w:ascii="Arial" w:hAnsi="Arial" w:cs="Arial"/>
          <w:sz w:val="20"/>
          <w:szCs w:val="20"/>
        </w:rPr>
        <w:t xml:space="preserve"> et al., 2025). Moreover, it has a broad, agroecological adaptability, as it can grow in tropical, subtropical, and temperate zones across Africa, Europe, Asia, and the Americas. It is consumed in Nigeria as a snack and beverage ingredient (</w:t>
      </w:r>
      <w:proofErr w:type="spellStart"/>
      <w:r w:rsidRPr="006D615E">
        <w:rPr>
          <w:rFonts w:ascii="Arial" w:hAnsi="Arial" w:cs="Arial"/>
          <w:i/>
          <w:iCs/>
          <w:sz w:val="20"/>
          <w:szCs w:val="20"/>
        </w:rPr>
        <w:t>Kunu</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aya</w:t>
      </w:r>
      <w:proofErr w:type="spellEnd"/>
      <w:r w:rsidRPr="006D615E">
        <w:rPr>
          <w:rFonts w:ascii="Arial" w:hAnsi="Arial" w:cs="Arial"/>
          <w:sz w:val="20"/>
          <w:szCs w:val="20"/>
        </w:rPr>
        <w:t>) (</w:t>
      </w:r>
      <w:proofErr w:type="spellStart"/>
      <w:r w:rsidRPr="006D615E">
        <w:rPr>
          <w:rFonts w:ascii="Arial" w:hAnsi="Arial" w:cs="Arial"/>
          <w:sz w:val="20"/>
          <w:szCs w:val="20"/>
        </w:rPr>
        <w:t>Wetters</w:t>
      </w:r>
      <w:proofErr w:type="spellEnd"/>
      <w:r w:rsidRPr="006D615E">
        <w:rPr>
          <w:rFonts w:ascii="Arial" w:hAnsi="Arial" w:cs="Arial"/>
          <w:sz w:val="20"/>
          <w:szCs w:val="20"/>
        </w:rPr>
        <w:t xml:space="preserve"> et al., 2024; H</w:t>
      </w:r>
      <w:r w:rsidR="00273AE6" w:rsidRPr="006D615E">
        <w:rPr>
          <w:rFonts w:ascii="Arial" w:hAnsi="Arial" w:cs="Arial"/>
          <w:sz w:val="20"/>
          <w:szCs w:val="20"/>
        </w:rPr>
        <w:t>e</w:t>
      </w:r>
      <w:r w:rsidRPr="006D615E">
        <w:rPr>
          <w:rFonts w:ascii="Arial" w:hAnsi="Arial" w:cs="Arial"/>
          <w:sz w:val="20"/>
          <w:szCs w:val="20"/>
        </w:rPr>
        <w:t xml:space="preserve"> et al., 2025). Recently,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has been explored as a substitute for wheat flour in gluten-free and nutritionally improved baked products (</w:t>
      </w:r>
      <w:proofErr w:type="spellStart"/>
      <w:r w:rsidRPr="006D615E">
        <w:rPr>
          <w:rFonts w:ascii="Arial" w:hAnsi="Arial" w:cs="Arial"/>
          <w:sz w:val="20"/>
          <w:szCs w:val="20"/>
        </w:rPr>
        <w:t>Nedyiha</w:t>
      </w:r>
      <w:proofErr w:type="spellEnd"/>
      <w:r w:rsidRPr="006D615E">
        <w:rPr>
          <w:rFonts w:ascii="Arial" w:hAnsi="Arial" w:cs="Arial"/>
          <w:sz w:val="20"/>
          <w:szCs w:val="20"/>
        </w:rPr>
        <w:t xml:space="preserve"> and </w:t>
      </w:r>
      <w:proofErr w:type="spellStart"/>
      <w:r w:rsidRPr="006D615E">
        <w:rPr>
          <w:rFonts w:ascii="Arial" w:hAnsi="Arial" w:cs="Arial"/>
          <w:sz w:val="20"/>
          <w:szCs w:val="20"/>
        </w:rPr>
        <w:t>Harasym</w:t>
      </w:r>
      <w:proofErr w:type="spellEnd"/>
      <w:r w:rsidRPr="006D615E">
        <w:rPr>
          <w:rFonts w:ascii="Arial" w:hAnsi="Arial" w:cs="Arial"/>
          <w:sz w:val="20"/>
          <w:szCs w:val="20"/>
        </w:rPr>
        <w:t xml:space="preserve">, 2024). Research has consistently demonstrated that the partial or complete substitution of wheat flour is not only possible, but can yield products with enhanced dietary fiber, fats, phytochemicals and mineral profiles (Agu et al., 2023; Chima et al., 2011). Acceptable biscuits with enhanced protein, fat, crude fiber, ash and antioxidant activity were developed from </w:t>
      </w:r>
      <w:proofErr w:type="spellStart"/>
      <w:r w:rsidRPr="006D615E">
        <w:rPr>
          <w:rFonts w:ascii="Arial" w:hAnsi="Arial" w:cs="Arial"/>
          <w:sz w:val="20"/>
          <w:szCs w:val="20"/>
        </w:rPr>
        <w:t>tigernut</w:t>
      </w:r>
      <w:proofErr w:type="spellEnd"/>
      <w:r w:rsidRPr="006D615E">
        <w:rPr>
          <w:rFonts w:ascii="Arial" w:hAnsi="Arial" w:cs="Arial"/>
          <w:sz w:val="20"/>
          <w:szCs w:val="20"/>
        </w:rPr>
        <w:t>-African yam bean flour blends by Agu et al., (2023). Th</w:t>
      </w:r>
      <w:r w:rsidR="009A78B7" w:rsidRPr="006D615E">
        <w:rPr>
          <w:rFonts w:ascii="Arial" w:hAnsi="Arial" w:cs="Arial"/>
          <w:sz w:val="20"/>
          <w:szCs w:val="20"/>
        </w:rPr>
        <w:t>e</w:t>
      </w:r>
      <w:r w:rsidRPr="006D615E">
        <w:rPr>
          <w:rFonts w:ascii="Arial" w:hAnsi="Arial" w:cs="Arial"/>
          <w:sz w:val="20"/>
          <w:szCs w:val="20"/>
        </w:rPr>
        <w:t xml:space="preserve"> growing body of literature on </w:t>
      </w:r>
      <w:proofErr w:type="spellStart"/>
      <w:r w:rsidRPr="006D615E">
        <w:rPr>
          <w:rFonts w:ascii="Arial" w:hAnsi="Arial" w:cs="Arial"/>
          <w:sz w:val="20"/>
          <w:szCs w:val="20"/>
        </w:rPr>
        <w:t>tigernut</w:t>
      </w:r>
      <w:proofErr w:type="spellEnd"/>
      <w:r w:rsidRPr="006D615E">
        <w:rPr>
          <w:rFonts w:ascii="Arial" w:hAnsi="Arial" w:cs="Arial"/>
          <w:sz w:val="20"/>
          <w:szCs w:val="20"/>
        </w:rPr>
        <w:t>-based bakery products reflects a growing trend to diversified food products from nutrient-dense, locally available indigenous raw materials which aligns with the United Nations Sustainable Goal 2 (Zero Hunger) and Goal 3 (Good Health and Well-being) (</w:t>
      </w:r>
      <w:proofErr w:type="spellStart"/>
      <w:r w:rsidRPr="006D615E">
        <w:rPr>
          <w:rFonts w:ascii="Arial" w:hAnsi="Arial" w:cs="Arial"/>
          <w:sz w:val="20"/>
          <w:szCs w:val="20"/>
        </w:rPr>
        <w:t>Ogunnowo</w:t>
      </w:r>
      <w:proofErr w:type="spellEnd"/>
      <w:r w:rsidRPr="006D615E">
        <w:rPr>
          <w:rFonts w:ascii="Arial" w:hAnsi="Arial" w:cs="Arial"/>
          <w:sz w:val="20"/>
          <w:szCs w:val="20"/>
        </w:rPr>
        <w:t xml:space="preserve"> et al., 2024).</w:t>
      </w:r>
    </w:p>
    <w:p w14:paraId="5A6F4B2D" w14:textId="450816F2" w:rsidR="004E093C" w:rsidRPr="006D615E" w:rsidRDefault="004E093C" w:rsidP="006521FB">
      <w:pPr>
        <w:spacing w:line="480" w:lineRule="auto"/>
        <w:jc w:val="both"/>
        <w:rPr>
          <w:rFonts w:ascii="Arial" w:hAnsi="Arial" w:cs="Arial"/>
          <w:sz w:val="20"/>
          <w:szCs w:val="20"/>
        </w:rPr>
      </w:pP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proofErr w:type="spellStart"/>
      <w:r w:rsidRPr="006D615E">
        <w:rPr>
          <w:rFonts w:ascii="Arial" w:hAnsi="Arial" w:cs="Arial"/>
          <w:sz w:val="20"/>
          <w:szCs w:val="20"/>
        </w:rPr>
        <w:t>Sm</w:t>
      </w:r>
      <w:proofErr w:type="spellEnd"/>
      <w:r w:rsidRPr="006D615E">
        <w:rPr>
          <w:rFonts w:ascii="Arial" w:hAnsi="Arial" w:cs="Arial"/>
          <w:sz w:val="20"/>
          <w:szCs w:val="20"/>
        </w:rPr>
        <w:t xml:space="preserve"> from the family, Fabaceae, commonly known as African mahogany bean or “</w:t>
      </w:r>
      <w:proofErr w:type="spellStart"/>
      <w:r w:rsidRPr="006D615E">
        <w:rPr>
          <w:rFonts w:ascii="Arial" w:hAnsi="Arial" w:cs="Arial"/>
          <w:sz w:val="20"/>
          <w:szCs w:val="20"/>
        </w:rPr>
        <w:t>akpalata</w:t>
      </w:r>
      <w:proofErr w:type="spellEnd"/>
      <w:r w:rsidRPr="006D615E">
        <w:rPr>
          <w:rFonts w:ascii="Arial" w:hAnsi="Arial" w:cs="Arial"/>
          <w:sz w:val="20"/>
          <w:szCs w:val="20"/>
        </w:rPr>
        <w:t>” is an underutilized tropical leguminous tree. The seeds are phytochemically rich and nutrient-dense, making them of considerable importance as functional foods. The seed flour contains protein (15-38%)</w:t>
      </w:r>
      <w:r w:rsidR="009A78B7" w:rsidRPr="006D615E">
        <w:rPr>
          <w:rFonts w:ascii="Arial" w:hAnsi="Arial" w:cs="Arial"/>
          <w:sz w:val="20"/>
          <w:szCs w:val="20"/>
        </w:rPr>
        <w:t>, c</w:t>
      </w:r>
      <w:r w:rsidRPr="006D615E">
        <w:rPr>
          <w:rFonts w:ascii="Arial" w:hAnsi="Arial" w:cs="Arial"/>
          <w:sz w:val="20"/>
          <w:szCs w:val="20"/>
        </w:rPr>
        <w:t xml:space="preserve">rude fat (23-32%), crude fiber (7-20%) and ash (4-6%) with comparable energy as cowpea and soybeans (Bolanle, 2010; </w:t>
      </w:r>
      <w:proofErr w:type="spellStart"/>
      <w:r w:rsidRPr="006D615E">
        <w:rPr>
          <w:rFonts w:ascii="Arial" w:hAnsi="Arial" w:cs="Arial"/>
          <w:sz w:val="20"/>
          <w:szCs w:val="20"/>
        </w:rPr>
        <w:t>Igbabul</w:t>
      </w:r>
      <w:proofErr w:type="spellEnd"/>
      <w:r w:rsidRPr="006D615E">
        <w:rPr>
          <w:rFonts w:ascii="Arial" w:hAnsi="Arial" w:cs="Arial"/>
          <w:sz w:val="20"/>
          <w:szCs w:val="20"/>
        </w:rPr>
        <w:t xml:space="preserve"> et al., 2014; Okeke et al., 2022). The seeds are traditional soup thickeners in South-Eastern Nigerian cuisine. It has been documented as an excellent source of dietary fiber with beneficial effects on blood glucose and lipid regulation. This can be important in the management of cardiovascular diseases and in the prevention and management of diabetes (</w:t>
      </w:r>
      <w:proofErr w:type="spellStart"/>
      <w:r w:rsidRPr="006D615E">
        <w:rPr>
          <w:rFonts w:ascii="Arial" w:hAnsi="Arial" w:cs="Arial"/>
          <w:sz w:val="20"/>
          <w:szCs w:val="20"/>
        </w:rPr>
        <w:t>Igbabul</w:t>
      </w:r>
      <w:proofErr w:type="spellEnd"/>
      <w:r w:rsidRPr="006D615E">
        <w:rPr>
          <w:rFonts w:ascii="Arial" w:hAnsi="Arial" w:cs="Arial"/>
          <w:sz w:val="20"/>
          <w:szCs w:val="20"/>
        </w:rPr>
        <w:t xml:space="preserve"> et al., 2014). It is exceptionally rich in flavonoids, phenolics, terpenoids, steroids and glycosides (</w:t>
      </w:r>
      <w:proofErr w:type="spellStart"/>
      <w:r w:rsidRPr="006D615E">
        <w:rPr>
          <w:rFonts w:ascii="Arial" w:hAnsi="Arial" w:cs="Arial"/>
          <w:sz w:val="20"/>
          <w:szCs w:val="20"/>
        </w:rPr>
        <w:t>Irondi</w:t>
      </w:r>
      <w:proofErr w:type="spellEnd"/>
      <w:r w:rsidRPr="006D615E">
        <w:rPr>
          <w:rFonts w:ascii="Arial" w:hAnsi="Arial" w:cs="Arial"/>
          <w:sz w:val="20"/>
          <w:szCs w:val="20"/>
        </w:rPr>
        <w:t xml:space="preserve"> et al., 2015). The fractions demonstrated </w:t>
      </w:r>
      <w:r w:rsidRPr="006D615E">
        <w:rPr>
          <w:rFonts w:ascii="Arial" w:hAnsi="Arial" w:cs="Arial"/>
          <w:sz w:val="20"/>
          <w:szCs w:val="20"/>
        </w:rPr>
        <w:lastRenderedPageBreak/>
        <w:t xml:space="preserve">dose-dependent antioxidant and antimicrobial activities (Acheampong et al., 2023). Interestingly, the fermentation of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proofErr w:type="spellStart"/>
      <w:r w:rsidRPr="006D615E">
        <w:rPr>
          <w:rFonts w:ascii="Arial" w:hAnsi="Arial" w:cs="Arial"/>
          <w:sz w:val="20"/>
          <w:szCs w:val="20"/>
        </w:rPr>
        <w:t>Sm</w:t>
      </w:r>
      <w:proofErr w:type="spellEnd"/>
      <w:r w:rsidRPr="006D615E">
        <w:rPr>
          <w:rFonts w:ascii="Arial" w:hAnsi="Arial" w:cs="Arial"/>
          <w:sz w:val="20"/>
          <w:szCs w:val="20"/>
        </w:rPr>
        <w:t xml:space="preserve"> seeds enhanced protein content, increased water absorption and reduced anti-nutritional factors. </w:t>
      </w:r>
      <w:r w:rsidR="0032213E" w:rsidRPr="006D615E">
        <w:rPr>
          <w:rFonts w:ascii="Arial" w:hAnsi="Arial" w:cs="Arial"/>
          <w:sz w:val="20"/>
          <w:szCs w:val="20"/>
        </w:rPr>
        <w:t>Fermentation</w:t>
      </w:r>
      <w:r w:rsidRPr="006D615E">
        <w:rPr>
          <w:rFonts w:ascii="Arial" w:hAnsi="Arial" w:cs="Arial"/>
          <w:sz w:val="20"/>
          <w:szCs w:val="20"/>
        </w:rPr>
        <w:t xml:space="preserve"> enhance</w:t>
      </w:r>
      <w:r w:rsidR="0032213E" w:rsidRPr="006D615E">
        <w:rPr>
          <w:rFonts w:ascii="Arial" w:hAnsi="Arial" w:cs="Arial"/>
          <w:sz w:val="20"/>
          <w:szCs w:val="20"/>
        </w:rPr>
        <w:t>s</w:t>
      </w:r>
      <w:r w:rsidRPr="006D615E">
        <w:rPr>
          <w:rFonts w:ascii="Arial" w:hAnsi="Arial" w:cs="Arial"/>
          <w:sz w:val="20"/>
          <w:szCs w:val="20"/>
        </w:rPr>
        <w:t xml:space="preserve"> the food applications</w:t>
      </w:r>
      <w:r w:rsidR="0032213E" w:rsidRPr="006D615E">
        <w:rPr>
          <w:rFonts w:ascii="Arial" w:hAnsi="Arial" w:cs="Arial"/>
          <w:sz w:val="20"/>
          <w:szCs w:val="20"/>
        </w:rPr>
        <w:t xml:space="preserve"> and digestibility and reduces antinutritional factors</w:t>
      </w:r>
      <w:r w:rsidRPr="006D615E">
        <w:rPr>
          <w:rFonts w:ascii="Arial" w:hAnsi="Arial" w:cs="Arial"/>
          <w:sz w:val="20"/>
          <w:szCs w:val="20"/>
        </w:rPr>
        <w:t xml:space="preserve"> of seed flours (</w:t>
      </w:r>
      <w:proofErr w:type="spellStart"/>
      <w:r w:rsidR="0032213E" w:rsidRPr="006D615E">
        <w:rPr>
          <w:rFonts w:ascii="Arial" w:hAnsi="Arial" w:cs="Arial"/>
          <w:sz w:val="20"/>
          <w:szCs w:val="20"/>
        </w:rPr>
        <w:t>Chude</w:t>
      </w:r>
      <w:proofErr w:type="spellEnd"/>
      <w:r w:rsidR="0032213E" w:rsidRPr="006D615E">
        <w:rPr>
          <w:rFonts w:ascii="Arial" w:hAnsi="Arial" w:cs="Arial"/>
          <w:sz w:val="20"/>
          <w:szCs w:val="20"/>
        </w:rPr>
        <w:t xml:space="preserve"> et al., 2021; </w:t>
      </w:r>
      <w:proofErr w:type="spellStart"/>
      <w:r w:rsidR="0032213E" w:rsidRPr="006D615E">
        <w:rPr>
          <w:rFonts w:ascii="Arial" w:hAnsi="Arial" w:cs="Arial"/>
          <w:sz w:val="20"/>
          <w:szCs w:val="20"/>
        </w:rPr>
        <w:t>Chude</w:t>
      </w:r>
      <w:proofErr w:type="spellEnd"/>
      <w:r w:rsidR="0032213E" w:rsidRPr="006D615E">
        <w:rPr>
          <w:rFonts w:ascii="Arial" w:hAnsi="Arial" w:cs="Arial"/>
          <w:sz w:val="20"/>
          <w:szCs w:val="20"/>
        </w:rPr>
        <w:t xml:space="preserve"> et al., 2023</w:t>
      </w:r>
      <w:r w:rsidRPr="006D615E">
        <w:rPr>
          <w:rFonts w:ascii="Arial" w:hAnsi="Arial" w:cs="Arial"/>
          <w:sz w:val="20"/>
          <w:szCs w:val="20"/>
        </w:rPr>
        <w:t>).</w:t>
      </w:r>
    </w:p>
    <w:p w14:paraId="63B7C59F" w14:textId="34DA5EF8" w:rsidR="004C2496" w:rsidRPr="006D615E" w:rsidRDefault="004E093C" w:rsidP="006521FB">
      <w:pPr>
        <w:spacing w:line="480" w:lineRule="auto"/>
        <w:jc w:val="both"/>
        <w:rPr>
          <w:rFonts w:ascii="Arial" w:hAnsi="Arial" w:cs="Arial"/>
          <w:sz w:val="20"/>
          <w:szCs w:val="20"/>
        </w:rPr>
      </w:pPr>
      <w:r w:rsidRPr="006D615E">
        <w:rPr>
          <w:rFonts w:ascii="Arial" w:hAnsi="Arial" w:cs="Arial"/>
          <w:sz w:val="20"/>
          <w:szCs w:val="20"/>
        </w:rPr>
        <w:t xml:space="preserve">Despite these nutritional assets, the </w:t>
      </w:r>
      <w:r w:rsidR="009A78B7" w:rsidRPr="006D615E">
        <w:rPr>
          <w:rFonts w:ascii="Arial" w:hAnsi="Arial" w:cs="Arial"/>
          <w:sz w:val="20"/>
          <w:szCs w:val="20"/>
        </w:rPr>
        <w:t xml:space="preserve">production and evaluation of the nutritional, antioxidant and acceptability of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and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sz w:val="20"/>
          <w:szCs w:val="20"/>
        </w:rPr>
        <w:t xml:space="preserve"> </w:t>
      </w:r>
      <w:proofErr w:type="spellStart"/>
      <w:r w:rsidRPr="006D615E">
        <w:rPr>
          <w:rFonts w:ascii="Arial" w:hAnsi="Arial" w:cs="Arial"/>
          <w:sz w:val="20"/>
          <w:szCs w:val="20"/>
        </w:rPr>
        <w:t>Sm</w:t>
      </w:r>
      <w:proofErr w:type="spellEnd"/>
      <w:r w:rsidRPr="006D615E">
        <w:rPr>
          <w:rFonts w:ascii="Arial" w:hAnsi="Arial" w:cs="Arial"/>
          <w:sz w:val="20"/>
          <w:szCs w:val="20"/>
        </w:rPr>
        <w:t xml:space="preserve"> composite functional biscuits </w:t>
      </w:r>
      <w:r w:rsidR="006521FB" w:rsidRPr="006D615E">
        <w:rPr>
          <w:rFonts w:ascii="Arial" w:hAnsi="Arial" w:cs="Arial"/>
          <w:sz w:val="20"/>
          <w:szCs w:val="20"/>
        </w:rPr>
        <w:t>have</w:t>
      </w:r>
      <w:r w:rsidRPr="006D615E">
        <w:rPr>
          <w:rFonts w:ascii="Arial" w:hAnsi="Arial" w:cs="Arial"/>
          <w:sz w:val="20"/>
          <w:szCs w:val="20"/>
        </w:rPr>
        <w:t xml:space="preserve"> not been reported in peer-reviewed literature. </w:t>
      </w:r>
      <w:r w:rsidR="009A78B7" w:rsidRPr="006D615E">
        <w:rPr>
          <w:rFonts w:ascii="Arial" w:hAnsi="Arial" w:cs="Arial"/>
          <w:sz w:val="20"/>
          <w:szCs w:val="20"/>
        </w:rPr>
        <w:t>The sensory appeal of f</w:t>
      </w:r>
      <w:r w:rsidRPr="006D615E">
        <w:rPr>
          <w:rFonts w:ascii="Arial" w:hAnsi="Arial" w:cs="Arial"/>
          <w:sz w:val="20"/>
          <w:szCs w:val="20"/>
        </w:rPr>
        <w:t xml:space="preserve">unctional foods </w:t>
      </w:r>
      <w:r w:rsidR="009A78B7" w:rsidRPr="006D615E">
        <w:rPr>
          <w:rFonts w:ascii="Arial" w:hAnsi="Arial" w:cs="Arial"/>
          <w:sz w:val="20"/>
          <w:szCs w:val="20"/>
        </w:rPr>
        <w:t xml:space="preserve">is important in </w:t>
      </w:r>
      <w:r w:rsidRPr="006D615E">
        <w:rPr>
          <w:rFonts w:ascii="Arial" w:hAnsi="Arial" w:cs="Arial"/>
          <w:sz w:val="20"/>
          <w:szCs w:val="20"/>
        </w:rPr>
        <w:t xml:space="preserve">food innovation, commercialization </w:t>
      </w:r>
      <w:r w:rsidR="009A78B7" w:rsidRPr="006D615E">
        <w:rPr>
          <w:rFonts w:ascii="Arial" w:hAnsi="Arial" w:cs="Arial"/>
          <w:sz w:val="20"/>
          <w:szCs w:val="20"/>
        </w:rPr>
        <w:t xml:space="preserve">and </w:t>
      </w:r>
      <w:r w:rsidRPr="006D615E">
        <w:rPr>
          <w:rFonts w:ascii="Arial" w:hAnsi="Arial" w:cs="Arial"/>
          <w:sz w:val="20"/>
          <w:szCs w:val="20"/>
        </w:rPr>
        <w:t>evidence-informed nutrition policy in Nigeria</w:t>
      </w:r>
      <w:r w:rsidR="009A78B7" w:rsidRPr="006D615E">
        <w:rPr>
          <w:rFonts w:ascii="Arial" w:hAnsi="Arial" w:cs="Arial"/>
          <w:sz w:val="20"/>
          <w:szCs w:val="20"/>
        </w:rPr>
        <w:t xml:space="preserve"> (</w:t>
      </w:r>
      <w:proofErr w:type="spellStart"/>
      <w:r w:rsidR="009A78B7" w:rsidRPr="006D615E">
        <w:rPr>
          <w:rFonts w:ascii="Arial" w:hAnsi="Arial" w:cs="Arial"/>
          <w:sz w:val="20"/>
          <w:szCs w:val="20"/>
        </w:rPr>
        <w:t>Rashidinejad</w:t>
      </w:r>
      <w:proofErr w:type="spellEnd"/>
      <w:r w:rsidR="009A78B7" w:rsidRPr="006D615E">
        <w:rPr>
          <w:rFonts w:ascii="Arial" w:hAnsi="Arial" w:cs="Arial"/>
          <w:sz w:val="20"/>
          <w:szCs w:val="20"/>
        </w:rPr>
        <w:t xml:space="preserve"> et al., 2024)</w:t>
      </w:r>
      <w:r w:rsidRPr="006D615E">
        <w:rPr>
          <w:rFonts w:ascii="Arial" w:hAnsi="Arial" w:cs="Arial"/>
          <w:sz w:val="20"/>
          <w:szCs w:val="20"/>
        </w:rPr>
        <w:t>.</w:t>
      </w:r>
      <w:r w:rsidR="009A78B7" w:rsidRPr="006D615E">
        <w:rPr>
          <w:rFonts w:ascii="Arial" w:hAnsi="Arial" w:cs="Arial"/>
          <w:sz w:val="20"/>
          <w:szCs w:val="20"/>
        </w:rPr>
        <w:t xml:space="preserve"> </w:t>
      </w:r>
      <w:r w:rsidRPr="006D615E">
        <w:rPr>
          <w:rFonts w:ascii="Arial" w:hAnsi="Arial" w:cs="Arial"/>
          <w:sz w:val="20"/>
          <w:szCs w:val="20"/>
        </w:rPr>
        <w:t xml:space="preserve">This study aimed to develop functional biscuits from composite flour blends of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w:t>
      </w:r>
      <w:proofErr w:type="spellStart"/>
      <w:r w:rsidRPr="006D615E">
        <w:rPr>
          <w:rFonts w:ascii="Arial" w:hAnsi="Arial" w:cs="Arial"/>
          <w:i/>
          <w:iCs/>
          <w:sz w:val="20"/>
          <w:szCs w:val="20"/>
        </w:rPr>
        <w:t>Cyperus</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esculentus</w:t>
      </w:r>
      <w:proofErr w:type="spellEnd"/>
      <w:r w:rsidRPr="006D615E">
        <w:rPr>
          <w:rFonts w:ascii="Arial" w:hAnsi="Arial" w:cs="Arial"/>
          <w:sz w:val="20"/>
          <w:szCs w:val="20"/>
        </w:rPr>
        <w:t xml:space="preserve">) and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proofErr w:type="spellStart"/>
      <w:r w:rsidRPr="006D615E">
        <w:rPr>
          <w:rFonts w:ascii="Arial" w:hAnsi="Arial" w:cs="Arial"/>
          <w:sz w:val="20"/>
          <w:szCs w:val="20"/>
        </w:rPr>
        <w:t>Sm</w:t>
      </w:r>
      <w:proofErr w:type="spellEnd"/>
      <w:r w:rsidRPr="006D615E">
        <w:rPr>
          <w:rFonts w:ascii="Arial" w:hAnsi="Arial" w:cs="Arial"/>
          <w:sz w:val="20"/>
          <w:szCs w:val="20"/>
        </w:rPr>
        <w:t xml:space="preserve"> at substitution levels of 0% (control), 10% and 20% (w/w) and evaluate the proximate, mineral, vitamin and bioactive composition, antioxidant activity and sensory acceptability of the products.</w:t>
      </w:r>
    </w:p>
    <w:p w14:paraId="5EDEE916" w14:textId="185590A2" w:rsidR="004C2496" w:rsidRPr="006D615E" w:rsidRDefault="00222D19" w:rsidP="006521FB">
      <w:pPr>
        <w:spacing w:line="480" w:lineRule="auto"/>
        <w:jc w:val="both"/>
        <w:rPr>
          <w:rFonts w:ascii="Arial" w:hAnsi="Arial" w:cs="Arial"/>
          <w:b/>
          <w:bCs/>
        </w:rPr>
      </w:pPr>
      <w:r>
        <w:rPr>
          <w:rFonts w:ascii="Arial" w:hAnsi="Arial" w:cs="Arial"/>
          <w:b/>
          <w:bCs/>
        </w:rPr>
        <w:t xml:space="preserve">2. </w:t>
      </w:r>
      <w:r w:rsidR="004C2496" w:rsidRPr="006D615E">
        <w:rPr>
          <w:rFonts w:ascii="Arial" w:hAnsi="Arial" w:cs="Arial"/>
          <w:b/>
          <w:bCs/>
        </w:rPr>
        <w:t>MATERIAL AND METHODS</w:t>
      </w:r>
    </w:p>
    <w:p w14:paraId="32B737E3" w14:textId="588A2CA6" w:rsidR="005B3955" w:rsidRPr="00222D19"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2.1 </w:t>
      </w:r>
      <w:r w:rsidR="005B3955" w:rsidRPr="00222D19">
        <w:rPr>
          <w:rFonts w:ascii="Arial" w:hAnsi="Arial" w:cs="Arial"/>
          <w:b/>
          <w:bCs/>
          <w:sz w:val="22"/>
          <w:szCs w:val="22"/>
        </w:rPr>
        <w:t>Sourcing of Raw Materials</w:t>
      </w:r>
    </w:p>
    <w:p w14:paraId="0E857724" w14:textId="3E5B5CAC"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Mature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w:t>
      </w:r>
      <w:proofErr w:type="spellStart"/>
      <w:r w:rsidRPr="006D615E">
        <w:rPr>
          <w:rFonts w:ascii="Arial" w:hAnsi="Arial" w:cs="Arial"/>
          <w:i/>
          <w:iCs/>
          <w:sz w:val="20"/>
          <w:szCs w:val="20"/>
        </w:rPr>
        <w:t>Cyperus</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esculentus</w:t>
      </w:r>
      <w:proofErr w:type="spellEnd"/>
      <w:r w:rsidRPr="006D615E">
        <w:rPr>
          <w:rFonts w:ascii="Arial" w:hAnsi="Arial" w:cs="Arial"/>
          <w:sz w:val="20"/>
          <w:szCs w:val="20"/>
        </w:rPr>
        <w:t xml:space="preserve"> L.) tubers and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Africana </w:t>
      </w:r>
      <w:r w:rsidRPr="006D615E">
        <w:rPr>
          <w:rFonts w:ascii="Arial" w:hAnsi="Arial" w:cs="Arial"/>
          <w:sz w:val="20"/>
          <w:szCs w:val="20"/>
        </w:rPr>
        <w:t xml:space="preserve">SM seeds were bought from Eke </w:t>
      </w:r>
      <w:proofErr w:type="spellStart"/>
      <w:r w:rsidRPr="006D615E">
        <w:rPr>
          <w:rFonts w:ascii="Arial" w:hAnsi="Arial" w:cs="Arial"/>
          <w:sz w:val="20"/>
          <w:szCs w:val="20"/>
        </w:rPr>
        <w:t>Awka</w:t>
      </w:r>
      <w:proofErr w:type="spellEnd"/>
      <w:r w:rsidRPr="006D615E">
        <w:rPr>
          <w:rFonts w:ascii="Arial" w:hAnsi="Arial" w:cs="Arial"/>
          <w:sz w:val="20"/>
          <w:szCs w:val="20"/>
        </w:rPr>
        <w:t xml:space="preserve"> market, Anambra State, Nigeria. All other baking ingredients</w:t>
      </w:r>
      <w:r w:rsidR="009A78B7" w:rsidRPr="006D615E">
        <w:rPr>
          <w:rFonts w:ascii="Arial" w:hAnsi="Arial" w:cs="Arial"/>
          <w:sz w:val="20"/>
          <w:szCs w:val="20"/>
        </w:rPr>
        <w:t xml:space="preserve"> used </w:t>
      </w:r>
      <w:r w:rsidRPr="006D615E">
        <w:rPr>
          <w:rFonts w:ascii="Arial" w:hAnsi="Arial" w:cs="Arial"/>
          <w:sz w:val="20"/>
          <w:szCs w:val="20"/>
        </w:rPr>
        <w:t xml:space="preserve">were also bought at the market. All the water used for processing was potable. Botanical authentication of the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w:t>
      </w:r>
      <w:proofErr w:type="spellStart"/>
      <w:r w:rsidRPr="006D615E">
        <w:rPr>
          <w:rFonts w:ascii="Arial" w:hAnsi="Arial" w:cs="Arial"/>
          <w:i/>
          <w:iCs/>
          <w:sz w:val="20"/>
          <w:szCs w:val="20"/>
        </w:rPr>
        <w:t>Cyperus</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esculentus</w:t>
      </w:r>
      <w:proofErr w:type="spellEnd"/>
      <w:r w:rsidRPr="006D615E">
        <w:rPr>
          <w:rFonts w:ascii="Arial" w:hAnsi="Arial" w:cs="Arial"/>
          <w:sz w:val="20"/>
          <w:szCs w:val="20"/>
        </w:rPr>
        <w:t xml:space="preserve"> L.) tubers and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Africana </w:t>
      </w:r>
      <w:r w:rsidRPr="006D615E">
        <w:rPr>
          <w:rFonts w:ascii="Arial" w:hAnsi="Arial" w:cs="Arial"/>
          <w:sz w:val="20"/>
          <w:szCs w:val="20"/>
        </w:rPr>
        <w:t xml:space="preserve">SM seeds was done at the Crop Science Department, Chukwuemeka </w:t>
      </w:r>
      <w:proofErr w:type="spellStart"/>
      <w:r w:rsidRPr="006D615E">
        <w:rPr>
          <w:rFonts w:ascii="Arial" w:hAnsi="Arial" w:cs="Arial"/>
          <w:sz w:val="20"/>
          <w:szCs w:val="20"/>
        </w:rPr>
        <w:t>Odumegwu</w:t>
      </w:r>
      <w:proofErr w:type="spellEnd"/>
      <w:r w:rsidRPr="006D615E">
        <w:rPr>
          <w:rFonts w:ascii="Arial" w:hAnsi="Arial" w:cs="Arial"/>
          <w:sz w:val="20"/>
          <w:szCs w:val="20"/>
        </w:rPr>
        <w:t xml:space="preserve"> Ojukwu University, </w:t>
      </w:r>
      <w:proofErr w:type="spellStart"/>
      <w:r w:rsidRPr="006D615E">
        <w:rPr>
          <w:rFonts w:ascii="Arial" w:hAnsi="Arial" w:cs="Arial"/>
          <w:sz w:val="20"/>
          <w:szCs w:val="20"/>
        </w:rPr>
        <w:t>Igbariam</w:t>
      </w:r>
      <w:proofErr w:type="spellEnd"/>
      <w:r w:rsidRPr="006D615E">
        <w:rPr>
          <w:rFonts w:ascii="Arial" w:hAnsi="Arial" w:cs="Arial"/>
          <w:sz w:val="20"/>
          <w:szCs w:val="20"/>
        </w:rPr>
        <w:t xml:space="preserve"> Campus, Anambra, Nigeria. All chemical reagents used in the laboratory analysis were of analytical grade and were sourced from Sigma-Aldrich (St. Louis, MO, USA) unless otherwise stated.</w:t>
      </w:r>
    </w:p>
    <w:p w14:paraId="3138573A" w14:textId="1BD72F32"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2.2 </w:t>
      </w:r>
      <w:r w:rsidR="005B3955" w:rsidRPr="00222D19">
        <w:rPr>
          <w:rFonts w:ascii="Arial" w:hAnsi="Arial" w:cs="Arial"/>
          <w:b/>
          <w:bCs/>
          <w:sz w:val="22"/>
          <w:szCs w:val="22"/>
        </w:rPr>
        <w:t>Preparation of Flour Samples</w:t>
      </w:r>
    </w:p>
    <w:p w14:paraId="597719EB" w14:textId="375E5A84" w:rsidR="005B3955" w:rsidRPr="006D615E" w:rsidRDefault="005B3955" w:rsidP="006521FB">
      <w:pPr>
        <w:spacing w:line="480" w:lineRule="auto"/>
        <w:jc w:val="both"/>
        <w:rPr>
          <w:rFonts w:ascii="Arial" w:hAnsi="Arial" w:cs="Arial"/>
          <w:sz w:val="20"/>
          <w:szCs w:val="20"/>
        </w:rPr>
      </w:pPr>
      <w:proofErr w:type="spellStart"/>
      <w:r w:rsidRPr="006D615E">
        <w:rPr>
          <w:rFonts w:ascii="Arial" w:hAnsi="Arial" w:cs="Arial"/>
          <w:sz w:val="20"/>
          <w:szCs w:val="20"/>
        </w:rPr>
        <w:t>Tigernut</w:t>
      </w:r>
      <w:proofErr w:type="spellEnd"/>
      <w:r w:rsidRPr="006D615E">
        <w:rPr>
          <w:rFonts w:ascii="Arial" w:hAnsi="Arial" w:cs="Arial"/>
          <w:sz w:val="20"/>
          <w:szCs w:val="20"/>
        </w:rPr>
        <w:t xml:space="preserve"> flour was prepared </w:t>
      </w:r>
      <w:r w:rsidR="009A78B7" w:rsidRPr="006D615E">
        <w:rPr>
          <w:rFonts w:ascii="Arial" w:hAnsi="Arial" w:cs="Arial"/>
          <w:sz w:val="20"/>
          <w:szCs w:val="20"/>
        </w:rPr>
        <w:t>(</w:t>
      </w:r>
      <w:r w:rsidRPr="006D615E">
        <w:rPr>
          <w:rFonts w:ascii="Arial" w:hAnsi="Arial" w:cs="Arial"/>
          <w:sz w:val="20"/>
          <w:szCs w:val="20"/>
        </w:rPr>
        <w:t>Agu et al</w:t>
      </w:r>
      <w:r w:rsidR="009A78B7" w:rsidRPr="006D615E">
        <w:rPr>
          <w:rFonts w:ascii="Arial" w:hAnsi="Arial" w:cs="Arial"/>
          <w:sz w:val="20"/>
          <w:szCs w:val="20"/>
        </w:rPr>
        <w:t xml:space="preserve">, </w:t>
      </w:r>
      <w:r w:rsidRPr="006D615E">
        <w:rPr>
          <w:rFonts w:ascii="Arial" w:hAnsi="Arial" w:cs="Arial"/>
          <w:sz w:val="20"/>
          <w:szCs w:val="20"/>
        </w:rPr>
        <w:t>2023). The</w:t>
      </w:r>
      <w:r w:rsidR="009A78B7" w:rsidRPr="006D615E">
        <w:rPr>
          <w:rFonts w:ascii="Arial" w:hAnsi="Arial" w:cs="Arial"/>
          <w:sz w:val="20"/>
          <w:szCs w:val="20"/>
        </w:rPr>
        <w:t xml:space="preserve"> tubers were by sorted,</w:t>
      </w:r>
      <w:r w:rsidRPr="006D615E">
        <w:rPr>
          <w:rFonts w:ascii="Arial" w:hAnsi="Arial" w:cs="Arial"/>
          <w:sz w:val="20"/>
          <w:szCs w:val="20"/>
        </w:rPr>
        <w:t xml:space="preserve"> washed under clean running water, drained, soaked for 12 hours and dried in the oven (DHG-9240, Shanghai Yiheng Scientific Instrument Co. Ltd.) to a constant weight at 60</w:t>
      </w:r>
      <w:r w:rsidRPr="006D615E">
        <w:rPr>
          <w:rFonts w:ascii="Arial" w:hAnsi="Arial" w:cs="Arial"/>
          <w:sz w:val="20"/>
          <w:szCs w:val="20"/>
          <w:vertAlign w:val="superscript"/>
        </w:rPr>
        <w:t>0</w:t>
      </w:r>
      <w:r w:rsidRPr="006D615E">
        <w:rPr>
          <w:rFonts w:ascii="Arial" w:hAnsi="Arial" w:cs="Arial"/>
          <w:sz w:val="20"/>
          <w:szCs w:val="20"/>
        </w:rPr>
        <w:t>C for 12 hours. The</w:t>
      </w:r>
      <w:r w:rsidR="0023199E" w:rsidRPr="006D615E">
        <w:rPr>
          <w:rFonts w:ascii="Arial" w:hAnsi="Arial" w:cs="Arial"/>
          <w:sz w:val="20"/>
          <w:szCs w:val="20"/>
        </w:rPr>
        <w:t xml:space="preserve">n, </w:t>
      </w:r>
      <w:r w:rsidRPr="006D615E">
        <w:rPr>
          <w:rFonts w:ascii="Arial" w:hAnsi="Arial" w:cs="Arial"/>
          <w:sz w:val="20"/>
          <w:szCs w:val="20"/>
        </w:rPr>
        <w:t>milled with an attrition mill (Thomas Scientific, USA)</w:t>
      </w:r>
      <w:r w:rsidR="0023199E" w:rsidRPr="006D615E">
        <w:rPr>
          <w:rFonts w:ascii="Arial" w:hAnsi="Arial" w:cs="Arial"/>
          <w:sz w:val="20"/>
          <w:szCs w:val="20"/>
        </w:rPr>
        <w:t xml:space="preserve"> and</w:t>
      </w:r>
      <w:r w:rsidRPr="006D615E">
        <w:rPr>
          <w:rFonts w:ascii="Arial" w:hAnsi="Arial" w:cs="Arial"/>
          <w:sz w:val="20"/>
          <w:szCs w:val="20"/>
        </w:rPr>
        <w:t xml:space="preserve"> sieved (45 µm). The flour was packed in an air-tight high-density polyethylene (HDPE) bag and stored in a cool, dry place until use</w:t>
      </w:r>
      <w:r w:rsidR="0023199E" w:rsidRPr="006D615E">
        <w:rPr>
          <w:rFonts w:ascii="Arial" w:hAnsi="Arial" w:cs="Arial"/>
          <w:sz w:val="20"/>
          <w:szCs w:val="20"/>
        </w:rPr>
        <w:t>d</w:t>
      </w:r>
      <w:r w:rsidRPr="006D615E">
        <w:rPr>
          <w:rFonts w:ascii="Arial" w:hAnsi="Arial" w:cs="Arial"/>
          <w:sz w:val="20"/>
          <w:szCs w:val="20"/>
        </w:rPr>
        <w:t xml:space="preserve">. </w:t>
      </w:r>
    </w:p>
    <w:p w14:paraId="7533274E" w14:textId="0FC114F0" w:rsidR="005B3955" w:rsidRPr="006D615E" w:rsidRDefault="005B3955" w:rsidP="006521FB">
      <w:pPr>
        <w:spacing w:line="480" w:lineRule="auto"/>
        <w:jc w:val="both"/>
        <w:rPr>
          <w:rFonts w:ascii="Arial" w:hAnsi="Arial" w:cs="Arial"/>
          <w:sz w:val="20"/>
          <w:szCs w:val="20"/>
        </w:rPr>
      </w:pP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Africana </w:t>
      </w:r>
      <w:r w:rsidRPr="006D615E">
        <w:rPr>
          <w:rFonts w:ascii="Arial" w:hAnsi="Arial" w:cs="Arial"/>
          <w:sz w:val="20"/>
          <w:szCs w:val="20"/>
        </w:rPr>
        <w:t xml:space="preserve">SM seed flour was prepared using the methods of </w:t>
      </w:r>
      <w:proofErr w:type="spellStart"/>
      <w:r w:rsidRPr="006D615E">
        <w:rPr>
          <w:rFonts w:ascii="Arial" w:hAnsi="Arial" w:cs="Arial"/>
          <w:sz w:val="20"/>
          <w:szCs w:val="20"/>
        </w:rPr>
        <w:t>Igbabul</w:t>
      </w:r>
      <w:proofErr w:type="spellEnd"/>
      <w:r w:rsidRPr="006D615E">
        <w:rPr>
          <w:rFonts w:ascii="Arial" w:hAnsi="Arial" w:cs="Arial"/>
          <w:sz w:val="20"/>
          <w:szCs w:val="20"/>
        </w:rPr>
        <w:t xml:space="preserve"> et al. (2014) and Okeke et al., (2022). Mature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Africana </w:t>
      </w:r>
      <w:r w:rsidRPr="006D615E">
        <w:rPr>
          <w:rFonts w:ascii="Arial" w:hAnsi="Arial" w:cs="Arial"/>
          <w:sz w:val="20"/>
          <w:szCs w:val="20"/>
        </w:rPr>
        <w:t>seeds were sorted</w:t>
      </w:r>
      <w:r w:rsidR="00D50F44" w:rsidRPr="006D615E">
        <w:rPr>
          <w:rFonts w:ascii="Arial" w:hAnsi="Arial" w:cs="Arial"/>
          <w:sz w:val="20"/>
          <w:szCs w:val="20"/>
        </w:rPr>
        <w:t xml:space="preserve">, </w:t>
      </w:r>
      <w:r w:rsidRPr="006D615E">
        <w:rPr>
          <w:rFonts w:ascii="Arial" w:hAnsi="Arial" w:cs="Arial"/>
          <w:sz w:val="20"/>
          <w:szCs w:val="20"/>
        </w:rPr>
        <w:t xml:space="preserve">washed and soaked in 1:5 (w/v) seed-to-water ratio for </w:t>
      </w:r>
      <w:r w:rsidRPr="006D615E">
        <w:rPr>
          <w:rFonts w:ascii="Arial" w:hAnsi="Arial" w:cs="Arial"/>
          <w:sz w:val="20"/>
          <w:szCs w:val="20"/>
        </w:rPr>
        <w:lastRenderedPageBreak/>
        <w:t>24 hours, drained, and oven-dried at 60</w:t>
      </w:r>
      <w:r w:rsidRPr="006D615E">
        <w:rPr>
          <w:rFonts w:ascii="Arial" w:hAnsi="Arial" w:cs="Arial"/>
          <w:sz w:val="20"/>
          <w:szCs w:val="20"/>
          <w:vertAlign w:val="superscript"/>
        </w:rPr>
        <w:t>0</w:t>
      </w:r>
      <w:r w:rsidRPr="006D615E">
        <w:rPr>
          <w:rFonts w:ascii="Arial" w:hAnsi="Arial" w:cs="Arial"/>
          <w:sz w:val="20"/>
          <w:szCs w:val="20"/>
        </w:rPr>
        <w:t>C for 48 hrs. The seeds were</w:t>
      </w:r>
      <w:r w:rsidR="00D50F44" w:rsidRPr="006D615E">
        <w:rPr>
          <w:rFonts w:ascii="Arial" w:hAnsi="Arial" w:cs="Arial"/>
          <w:sz w:val="20"/>
          <w:szCs w:val="20"/>
        </w:rPr>
        <w:t xml:space="preserve"> </w:t>
      </w:r>
      <w:r w:rsidRPr="006D615E">
        <w:rPr>
          <w:rFonts w:ascii="Arial" w:hAnsi="Arial" w:cs="Arial"/>
          <w:sz w:val="20"/>
          <w:szCs w:val="20"/>
        </w:rPr>
        <w:t xml:space="preserve">dry-toasted in a pan for 15 minutes and then dehulled. The lightly browned, toasted seeds were </w:t>
      </w:r>
      <w:proofErr w:type="spellStart"/>
      <w:r w:rsidRPr="006D615E">
        <w:rPr>
          <w:rFonts w:ascii="Arial" w:hAnsi="Arial" w:cs="Arial"/>
          <w:sz w:val="20"/>
          <w:szCs w:val="20"/>
        </w:rPr>
        <w:t>milled</w:t>
      </w:r>
      <w:proofErr w:type="spellEnd"/>
      <w:r w:rsidRPr="006D615E">
        <w:rPr>
          <w:rFonts w:ascii="Arial" w:hAnsi="Arial" w:cs="Arial"/>
          <w:sz w:val="20"/>
          <w:szCs w:val="20"/>
        </w:rPr>
        <w:t xml:space="preserve"> in an attrition mill (Thomas Scientific, USA) and sieved (45 µm). The flour was packed in an air-tight high-density polyethylene (HDPE) bag and stored in a cool, dry place until use. </w:t>
      </w:r>
    </w:p>
    <w:p w14:paraId="4677E0B5" w14:textId="32FE9F74"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2.3 </w:t>
      </w:r>
      <w:r w:rsidR="005B3955" w:rsidRPr="00222D19">
        <w:rPr>
          <w:rFonts w:ascii="Arial" w:hAnsi="Arial" w:cs="Arial"/>
          <w:b/>
          <w:bCs/>
          <w:sz w:val="22"/>
          <w:szCs w:val="22"/>
        </w:rPr>
        <w:t>Formulation of Composite Flour Blends</w:t>
      </w:r>
    </w:p>
    <w:p w14:paraId="7FF465E1"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sz w:val="20"/>
          <w:szCs w:val="20"/>
        </w:rPr>
        <w:t xml:space="preserve">Three composite flour blends were formulated by blending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flour (TNF) and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Africana </w:t>
      </w:r>
      <w:r w:rsidRPr="006D615E">
        <w:rPr>
          <w:rFonts w:ascii="Arial" w:hAnsi="Arial" w:cs="Arial"/>
          <w:sz w:val="20"/>
          <w:szCs w:val="20"/>
        </w:rPr>
        <w:t>seed flour (AAF) in the following ratios: Control (TNF 100%: AAF 0%), Sample A (TNF 90%: AAF 10%), and sample</w:t>
      </w:r>
      <w:r w:rsidRPr="006D615E">
        <w:rPr>
          <w:rFonts w:ascii="Arial" w:hAnsi="Arial" w:cs="Arial"/>
          <w:b/>
          <w:bCs/>
          <w:sz w:val="20"/>
          <w:szCs w:val="20"/>
        </w:rPr>
        <w:t xml:space="preserve"> </w:t>
      </w:r>
      <w:r w:rsidRPr="006D615E">
        <w:rPr>
          <w:rFonts w:ascii="Arial" w:hAnsi="Arial" w:cs="Arial"/>
          <w:sz w:val="20"/>
          <w:szCs w:val="20"/>
        </w:rPr>
        <w:t>B</w:t>
      </w:r>
      <w:r w:rsidRPr="006D615E">
        <w:rPr>
          <w:rFonts w:ascii="Arial" w:hAnsi="Arial" w:cs="Arial"/>
          <w:b/>
          <w:bCs/>
          <w:sz w:val="20"/>
          <w:szCs w:val="20"/>
        </w:rPr>
        <w:t xml:space="preserve"> </w:t>
      </w:r>
      <w:r w:rsidRPr="006D615E">
        <w:rPr>
          <w:rFonts w:ascii="Arial" w:hAnsi="Arial" w:cs="Arial"/>
          <w:sz w:val="20"/>
          <w:szCs w:val="20"/>
        </w:rPr>
        <w:t>(TNF 80%: AAF 20%) as shown in Table 1. Each flour blend was thoroughly mixed by hand in a clean stainless-steel bowl for 5 minutes to ensure homogeneity and stored in labelled airtight containers until used.</w:t>
      </w:r>
    </w:p>
    <w:p w14:paraId="2857F370" w14:textId="305EF68B"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 xml:space="preserve">Table 1: Ingredients formulation of </w:t>
      </w:r>
      <w:proofErr w:type="spellStart"/>
      <w:r w:rsidRPr="006D615E">
        <w:rPr>
          <w:rFonts w:ascii="Arial" w:hAnsi="Arial" w:cs="Arial"/>
          <w:b/>
          <w:bCs/>
          <w:sz w:val="20"/>
          <w:szCs w:val="20"/>
        </w:rPr>
        <w:t>tigernut-</w:t>
      </w:r>
      <w:r w:rsidRPr="006D615E">
        <w:rPr>
          <w:rFonts w:ascii="Arial" w:hAnsi="Arial" w:cs="Arial"/>
          <w:b/>
          <w:bCs/>
          <w:i/>
          <w:iCs/>
          <w:sz w:val="20"/>
          <w:szCs w:val="20"/>
        </w:rPr>
        <w:t>Afzelia</w:t>
      </w:r>
      <w:proofErr w:type="spellEnd"/>
      <w:r w:rsidRPr="006D615E">
        <w:rPr>
          <w:rFonts w:ascii="Arial" w:hAnsi="Arial" w:cs="Arial"/>
          <w:b/>
          <w:bCs/>
          <w:i/>
          <w:iCs/>
          <w:sz w:val="20"/>
          <w:szCs w:val="20"/>
        </w:rPr>
        <w:t xml:space="preserve"> </w:t>
      </w:r>
      <w:proofErr w:type="spellStart"/>
      <w:r w:rsidRPr="006D615E">
        <w:rPr>
          <w:rFonts w:ascii="Arial" w:hAnsi="Arial" w:cs="Arial"/>
          <w:b/>
          <w:bCs/>
          <w:i/>
          <w:iCs/>
          <w:sz w:val="20"/>
          <w:szCs w:val="20"/>
        </w:rPr>
        <w:t>africana</w:t>
      </w:r>
      <w:proofErr w:type="spellEnd"/>
      <w:r w:rsidRPr="006D615E">
        <w:rPr>
          <w:rFonts w:ascii="Arial" w:hAnsi="Arial" w:cs="Arial"/>
          <w:b/>
          <w:bCs/>
          <w:i/>
          <w:iCs/>
          <w:sz w:val="20"/>
          <w:szCs w:val="20"/>
        </w:rPr>
        <w:t xml:space="preserve"> </w:t>
      </w:r>
      <w:r w:rsidRPr="006D615E">
        <w:rPr>
          <w:rFonts w:ascii="Arial" w:hAnsi="Arial" w:cs="Arial"/>
          <w:b/>
          <w:bCs/>
          <w:sz w:val="20"/>
          <w:szCs w:val="20"/>
        </w:rPr>
        <w:t>composite biscuits (per 100g composite flour basis)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250"/>
        <w:gridCol w:w="1710"/>
        <w:gridCol w:w="1700"/>
      </w:tblGrid>
      <w:tr w:rsidR="005B3955" w:rsidRPr="006D615E" w14:paraId="3016ABB6" w14:textId="77777777" w:rsidTr="00564F0B">
        <w:tc>
          <w:tcPr>
            <w:tcW w:w="3690" w:type="dxa"/>
            <w:tcBorders>
              <w:top w:val="single" w:sz="4" w:space="0" w:color="auto"/>
              <w:bottom w:val="single" w:sz="4" w:space="0" w:color="auto"/>
            </w:tcBorders>
          </w:tcPr>
          <w:p w14:paraId="5122DC90"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Ingredient</w:t>
            </w:r>
          </w:p>
        </w:tc>
        <w:tc>
          <w:tcPr>
            <w:tcW w:w="2250" w:type="dxa"/>
            <w:tcBorders>
              <w:top w:val="single" w:sz="4" w:space="0" w:color="auto"/>
              <w:bottom w:val="single" w:sz="4" w:space="0" w:color="auto"/>
            </w:tcBorders>
          </w:tcPr>
          <w:p w14:paraId="41746817"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Control (100:0) (g/100g)</w:t>
            </w:r>
          </w:p>
        </w:tc>
        <w:tc>
          <w:tcPr>
            <w:tcW w:w="1710" w:type="dxa"/>
            <w:tcBorders>
              <w:top w:val="single" w:sz="4" w:space="0" w:color="auto"/>
              <w:bottom w:val="single" w:sz="4" w:space="0" w:color="auto"/>
            </w:tcBorders>
          </w:tcPr>
          <w:p w14:paraId="29CA03C9"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Sample A (90:10)</w:t>
            </w:r>
          </w:p>
          <w:p w14:paraId="46001029"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(g/100g)</w:t>
            </w:r>
          </w:p>
        </w:tc>
        <w:tc>
          <w:tcPr>
            <w:tcW w:w="1700" w:type="dxa"/>
            <w:tcBorders>
              <w:top w:val="single" w:sz="4" w:space="0" w:color="auto"/>
              <w:bottom w:val="single" w:sz="4" w:space="0" w:color="auto"/>
            </w:tcBorders>
          </w:tcPr>
          <w:p w14:paraId="0B78BC14"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Sample B (80:20)</w:t>
            </w:r>
          </w:p>
          <w:p w14:paraId="31D4142C"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(g/100g)</w:t>
            </w:r>
          </w:p>
        </w:tc>
      </w:tr>
      <w:tr w:rsidR="005B3955" w:rsidRPr="006D615E" w14:paraId="66F5A8A0" w14:textId="77777777" w:rsidTr="00564F0B">
        <w:tc>
          <w:tcPr>
            <w:tcW w:w="3690" w:type="dxa"/>
            <w:tcBorders>
              <w:top w:val="single" w:sz="4" w:space="0" w:color="auto"/>
            </w:tcBorders>
          </w:tcPr>
          <w:p w14:paraId="70C622C8" w14:textId="77777777" w:rsidR="005B3955" w:rsidRPr="006D615E" w:rsidRDefault="005B3955" w:rsidP="006521FB">
            <w:pPr>
              <w:spacing w:line="480" w:lineRule="auto"/>
              <w:jc w:val="both"/>
              <w:rPr>
                <w:rFonts w:ascii="Arial" w:hAnsi="Arial" w:cs="Arial"/>
                <w:sz w:val="20"/>
                <w:szCs w:val="20"/>
              </w:rPr>
            </w:pPr>
            <w:proofErr w:type="spellStart"/>
            <w:r w:rsidRPr="006D615E">
              <w:rPr>
                <w:rFonts w:ascii="Arial" w:hAnsi="Arial" w:cs="Arial"/>
                <w:sz w:val="20"/>
                <w:szCs w:val="20"/>
              </w:rPr>
              <w:t>Tigernut</w:t>
            </w:r>
            <w:proofErr w:type="spellEnd"/>
            <w:r w:rsidRPr="006D615E">
              <w:rPr>
                <w:rFonts w:ascii="Arial" w:hAnsi="Arial" w:cs="Arial"/>
                <w:sz w:val="20"/>
                <w:szCs w:val="20"/>
              </w:rPr>
              <w:t xml:space="preserve"> (</w:t>
            </w:r>
            <w:proofErr w:type="spellStart"/>
            <w:r w:rsidRPr="006D615E">
              <w:rPr>
                <w:rFonts w:ascii="Arial" w:hAnsi="Arial" w:cs="Arial"/>
                <w:i/>
                <w:iCs/>
                <w:sz w:val="20"/>
                <w:szCs w:val="20"/>
              </w:rPr>
              <w:t>Cyperus</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esculentus</w:t>
            </w:r>
            <w:proofErr w:type="spellEnd"/>
            <w:r w:rsidRPr="006D615E">
              <w:rPr>
                <w:rFonts w:ascii="Arial" w:hAnsi="Arial" w:cs="Arial"/>
                <w:sz w:val="20"/>
                <w:szCs w:val="20"/>
              </w:rPr>
              <w:t>) flour</w:t>
            </w:r>
          </w:p>
        </w:tc>
        <w:tc>
          <w:tcPr>
            <w:tcW w:w="2250" w:type="dxa"/>
            <w:tcBorders>
              <w:top w:val="single" w:sz="4" w:space="0" w:color="auto"/>
            </w:tcBorders>
          </w:tcPr>
          <w:p w14:paraId="7C313F4D"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100:0</w:t>
            </w:r>
          </w:p>
        </w:tc>
        <w:tc>
          <w:tcPr>
            <w:tcW w:w="1710" w:type="dxa"/>
            <w:tcBorders>
              <w:top w:val="single" w:sz="4" w:space="0" w:color="auto"/>
            </w:tcBorders>
          </w:tcPr>
          <w:p w14:paraId="08565580"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90:0</w:t>
            </w:r>
          </w:p>
        </w:tc>
        <w:tc>
          <w:tcPr>
            <w:tcW w:w="1700" w:type="dxa"/>
            <w:tcBorders>
              <w:top w:val="single" w:sz="4" w:space="0" w:color="auto"/>
            </w:tcBorders>
          </w:tcPr>
          <w:p w14:paraId="731AD1F5"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80:0</w:t>
            </w:r>
          </w:p>
        </w:tc>
      </w:tr>
      <w:tr w:rsidR="005B3955" w:rsidRPr="006D615E" w14:paraId="3DC4B3F1" w14:textId="77777777" w:rsidTr="00564F0B">
        <w:tc>
          <w:tcPr>
            <w:tcW w:w="3690" w:type="dxa"/>
          </w:tcPr>
          <w:p w14:paraId="7952EF71" w14:textId="77777777" w:rsidR="005B3955" w:rsidRPr="006D615E" w:rsidRDefault="005B3955" w:rsidP="006521FB">
            <w:pPr>
              <w:spacing w:line="480" w:lineRule="auto"/>
              <w:jc w:val="both"/>
              <w:rPr>
                <w:rFonts w:ascii="Arial" w:hAnsi="Arial" w:cs="Arial"/>
                <w:sz w:val="20"/>
                <w:szCs w:val="20"/>
              </w:rPr>
            </w:pP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p>
        </w:tc>
        <w:tc>
          <w:tcPr>
            <w:tcW w:w="2250" w:type="dxa"/>
          </w:tcPr>
          <w:p w14:paraId="7DB8C2C6"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0:0</w:t>
            </w:r>
          </w:p>
        </w:tc>
        <w:tc>
          <w:tcPr>
            <w:tcW w:w="1710" w:type="dxa"/>
          </w:tcPr>
          <w:p w14:paraId="34152888"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10:0</w:t>
            </w:r>
          </w:p>
        </w:tc>
        <w:tc>
          <w:tcPr>
            <w:tcW w:w="1700" w:type="dxa"/>
          </w:tcPr>
          <w:p w14:paraId="2AC0B3F6"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20:0</w:t>
            </w:r>
          </w:p>
        </w:tc>
      </w:tr>
      <w:tr w:rsidR="005B3955" w:rsidRPr="006D615E" w14:paraId="067B29E4" w14:textId="77777777" w:rsidTr="00564F0B">
        <w:tc>
          <w:tcPr>
            <w:tcW w:w="3690" w:type="dxa"/>
          </w:tcPr>
          <w:p w14:paraId="3E37FAA5" w14:textId="77777777" w:rsidR="005B3955" w:rsidRPr="006D615E" w:rsidRDefault="005B3955" w:rsidP="006521FB">
            <w:pPr>
              <w:spacing w:line="480" w:lineRule="auto"/>
              <w:jc w:val="both"/>
              <w:rPr>
                <w:rFonts w:ascii="Arial" w:hAnsi="Arial" w:cs="Arial"/>
                <w:i/>
                <w:iCs/>
                <w:sz w:val="20"/>
                <w:szCs w:val="20"/>
              </w:rPr>
            </w:pPr>
          </w:p>
        </w:tc>
        <w:tc>
          <w:tcPr>
            <w:tcW w:w="2250" w:type="dxa"/>
          </w:tcPr>
          <w:p w14:paraId="04975A78" w14:textId="77777777" w:rsidR="005B3955" w:rsidRPr="006D615E" w:rsidRDefault="005B3955" w:rsidP="006521FB">
            <w:pPr>
              <w:spacing w:line="480" w:lineRule="auto"/>
              <w:jc w:val="both"/>
              <w:rPr>
                <w:rFonts w:ascii="Arial" w:hAnsi="Arial" w:cs="Arial"/>
                <w:sz w:val="20"/>
                <w:szCs w:val="20"/>
              </w:rPr>
            </w:pPr>
          </w:p>
        </w:tc>
        <w:tc>
          <w:tcPr>
            <w:tcW w:w="1710" w:type="dxa"/>
          </w:tcPr>
          <w:p w14:paraId="3D766EDB" w14:textId="77777777" w:rsidR="005B3955" w:rsidRPr="006D615E" w:rsidRDefault="005B3955" w:rsidP="006521FB">
            <w:pPr>
              <w:spacing w:line="480" w:lineRule="auto"/>
              <w:jc w:val="both"/>
              <w:rPr>
                <w:rFonts w:ascii="Arial" w:hAnsi="Arial" w:cs="Arial"/>
                <w:sz w:val="20"/>
                <w:szCs w:val="20"/>
              </w:rPr>
            </w:pPr>
          </w:p>
        </w:tc>
        <w:tc>
          <w:tcPr>
            <w:tcW w:w="1700" w:type="dxa"/>
          </w:tcPr>
          <w:p w14:paraId="0387A96B" w14:textId="77777777" w:rsidR="005B3955" w:rsidRPr="006D615E" w:rsidRDefault="005B3955" w:rsidP="006521FB">
            <w:pPr>
              <w:spacing w:line="480" w:lineRule="auto"/>
              <w:jc w:val="both"/>
              <w:rPr>
                <w:rFonts w:ascii="Arial" w:hAnsi="Arial" w:cs="Arial"/>
                <w:sz w:val="20"/>
                <w:szCs w:val="20"/>
              </w:rPr>
            </w:pPr>
          </w:p>
        </w:tc>
      </w:tr>
      <w:tr w:rsidR="00AA0C5E" w:rsidRPr="006D615E" w14:paraId="4ADEFBBC" w14:textId="77777777" w:rsidTr="00564F0B">
        <w:tc>
          <w:tcPr>
            <w:tcW w:w="3690" w:type="dxa"/>
          </w:tcPr>
          <w:p w14:paraId="3E02D643"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Flour/Composite flour blend</w:t>
            </w:r>
          </w:p>
        </w:tc>
        <w:tc>
          <w:tcPr>
            <w:tcW w:w="2250" w:type="dxa"/>
          </w:tcPr>
          <w:p w14:paraId="0DE2984B" w14:textId="7B56A10C"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45.5%</w:t>
            </w:r>
          </w:p>
        </w:tc>
        <w:tc>
          <w:tcPr>
            <w:tcW w:w="1710" w:type="dxa"/>
          </w:tcPr>
          <w:p w14:paraId="48F92174" w14:textId="02A74C42"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45.5%</w:t>
            </w:r>
          </w:p>
        </w:tc>
        <w:tc>
          <w:tcPr>
            <w:tcW w:w="1700" w:type="dxa"/>
          </w:tcPr>
          <w:p w14:paraId="18853F6D" w14:textId="095984E9"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45.5%</w:t>
            </w:r>
          </w:p>
        </w:tc>
      </w:tr>
      <w:tr w:rsidR="00AA0C5E" w:rsidRPr="006D615E" w14:paraId="4681160A" w14:textId="77777777" w:rsidTr="00564F0B">
        <w:tc>
          <w:tcPr>
            <w:tcW w:w="3690" w:type="dxa"/>
          </w:tcPr>
          <w:p w14:paraId="676C2B8B"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Margarine</w:t>
            </w:r>
          </w:p>
        </w:tc>
        <w:tc>
          <w:tcPr>
            <w:tcW w:w="2250" w:type="dxa"/>
          </w:tcPr>
          <w:p w14:paraId="3BCF61F1" w14:textId="6BC19922"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c>
          <w:tcPr>
            <w:tcW w:w="1710" w:type="dxa"/>
          </w:tcPr>
          <w:p w14:paraId="1DED2A5A" w14:textId="67251F85"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c>
          <w:tcPr>
            <w:tcW w:w="1700" w:type="dxa"/>
          </w:tcPr>
          <w:p w14:paraId="2E7E8355" w14:textId="4A4C9185"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r>
      <w:tr w:rsidR="00AA0C5E" w:rsidRPr="006D615E" w14:paraId="6D5BD1E9" w14:textId="77777777" w:rsidTr="00564F0B">
        <w:tc>
          <w:tcPr>
            <w:tcW w:w="3690" w:type="dxa"/>
          </w:tcPr>
          <w:p w14:paraId="61376662"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Granulated sugar</w:t>
            </w:r>
          </w:p>
        </w:tc>
        <w:tc>
          <w:tcPr>
            <w:tcW w:w="2250" w:type="dxa"/>
          </w:tcPr>
          <w:p w14:paraId="255F94E5" w14:textId="6E8D713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c>
          <w:tcPr>
            <w:tcW w:w="1710" w:type="dxa"/>
          </w:tcPr>
          <w:p w14:paraId="5EDFE01E" w14:textId="16371D3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c>
          <w:tcPr>
            <w:tcW w:w="1700" w:type="dxa"/>
          </w:tcPr>
          <w:p w14:paraId="4DA5D150" w14:textId="767781F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r>
      <w:tr w:rsidR="00AA0C5E" w:rsidRPr="006D615E" w14:paraId="21758F76" w14:textId="77777777" w:rsidTr="00564F0B">
        <w:tc>
          <w:tcPr>
            <w:tcW w:w="3690" w:type="dxa"/>
          </w:tcPr>
          <w:p w14:paraId="7690CE67"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Whole egg</w:t>
            </w:r>
          </w:p>
        </w:tc>
        <w:tc>
          <w:tcPr>
            <w:tcW w:w="2250" w:type="dxa"/>
          </w:tcPr>
          <w:p w14:paraId="2C4B41E0" w14:textId="433D7152"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8%</w:t>
            </w:r>
          </w:p>
        </w:tc>
        <w:tc>
          <w:tcPr>
            <w:tcW w:w="1710" w:type="dxa"/>
          </w:tcPr>
          <w:p w14:paraId="5E2AFCF9" w14:textId="5B68A70A"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8%</w:t>
            </w:r>
          </w:p>
        </w:tc>
        <w:tc>
          <w:tcPr>
            <w:tcW w:w="1700" w:type="dxa"/>
          </w:tcPr>
          <w:p w14:paraId="3237CB0D" w14:textId="61C1DB16"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8%</w:t>
            </w:r>
          </w:p>
        </w:tc>
      </w:tr>
      <w:tr w:rsidR="00AA0C5E" w:rsidRPr="006D615E" w14:paraId="4A518074" w14:textId="77777777" w:rsidTr="00564F0B">
        <w:tc>
          <w:tcPr>
            <w:tcW w:w="3690" w:type="dxa"/>
          </w:tcPr>
          <w:p w14:paraId="360D5E43" w14:textId="6D079B2E"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 xml:space="preserve">Skim milk powder </w:t>
            </w:r>
          </w:p>
        </w:tc>
        <w:tc>
          <w:tcPr>
            <w:tcW w:w="2250" w:type="dxa"/>
          </w:tcPr>
          <w:p w14:paraId="39E5F340" w14:textId="273139EC"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5%</w:t>
            </w:r>
          </w:p>
        </w:tc>
        <w:tc>
          <w:tcPr>
            <w:tcW w:w="1710" w:type="dxa"/>
          </w:tcPr>
          <w:p w14:paraId="45B1BFF5" w14:textId="58DCFF3A"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5%</w:t>
            </w:r>
          </w:p>
        </w:tc>
        <w:tc>
          <w:tcPr>
            <w:tcW w:w="1700" w:type="dxa"/>
          </w:tcPr>
          <w:p w14:paraId="4F1DEE73" w14:textId="64FECCA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5%</w:t>
            </w:r>
          </w:p>
        </w:tc>
      </w:tr>
      <w:tr w:rsidR="00AA0C5E" w:rsidRPr="006D615E" w14:paraId="6D442D16" w14:textId="77777777" w:rsidTr="00564F0B">
        <w:tc>
          <w:tcPr>
            <w:tcW w:w="3690" w:type="dxa"/>
          </w:tcPr>
          <w:p w14:paraId="33B9B157"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Baking powder</w:t>
            </w:r>
          </w:p>
        </w:tc>
        <w:tc>
          <w:tcPr>
            <w:tcW w:w="2250" w:type="dxa"/>
          </w:tcPr>
          <w:p w14:paraId="75D53037" w14:textId="2687D220"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0.7%</w:t>
            </w:r>
          </w:p>
        </w:tc>
        <w:tc>
          <w:tcPr>
            <w:tcW w:w="1710" w:type="dxa"/>
          </w:tcPr>
          <w:p w14:paraId="0EA7B77A" w14:textId="313830AF"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0.7%</w:t>
            </w:r>
          </w:p>
        </w:tc>
        <w:tc>
          <w:tcPr>
            <w:tcW w:w="1700" w:type="dxa"/>
          </w:tcPr>
          <w:p w14:paraId="533682C9" w14:textId="1DFE37ED"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0.7%</w:t>
            </w:r>
          </w:p>
        </w:tc>
      </w:tr>
      <w:tr w:rsidR="00AA0C5E" w:rsidRPr="006D615E" w14:paraId="333134FA" w14:textId="77777777" w:rsidTr="00564F0B">
        <w:tc>
          <w:tcPr>
            <w:tcW w:w="3690" w:type="dxa"/>
          </w:tcPr>
          <w:p w14:paraId="6B829D8D"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Vanilla</w:t>
            </w:r>
          </w:p>
        </w:tc>
        <w:tc>
          <w:tcPr>
            <w:tcW w:w="2250" w:type="dxa"/>
          </w:tcPr>
          <w:p w14:paraId="0CE30E1B" w14:textId="4394E2BA"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c>
          <w:tcPr>
            <w:tcW w:w="1710" w:type="dxa"/>
          </w:tcPr>
          <w:p w14:paraId="7DA0DA3A" w14:textId="53B0708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c>
          <w:tcPr>
            <w:tcW w:w="1700" w:type="dxa"/>
          </w:tcPr>
          <w:p w14:paraId="1EE0DAA9" w14:textId="3CB4525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r>
      <w:tr w:rsidR="00AA0C5E" w:rsidRPr="006D615E" w14:paraId="7CF040C3" w14:textId="77777777" w:rsidTr="00564F0B">
        <w:tc>
          <w:tcPr>
            <w:tcW w:w="3690" w:type="dxa"/>
          </w:tcPr>
          <w:p w14:paraId="01CA1B6A" w14:textId="1D40F4A3"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Iodized salt</w:t>
            </w:r>
          </w:p>
        </w:tc>
        <w:tc>
          <w:tcPr>
            <w:tcW w:w="2250" w:type="dxa"/>
          </w:tcPr>
          <w:p w14:paraId="418A54A6" w14:textId="41CACFE3"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c>
          <w:tcPr>
            <w:tcW w:w="1710" w:type="dxa"/>
          </w:tcPr>
          <w:p w14:paraId="72DE4569" w14:textId="32D9EBC5"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c>
          <w:tcPr>
            <w:tcW w:w="1700" w:type="dxa"/>
          </w:tcPr>
          <w:p w14:paraId="5419CD92" w14:textId="6CC7CC3D"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r>
      <w:tr w:rsidR="00AA0C5E" w:rsidRPr="006D615E" w14:paraId="7D168C6E" w14:textId="77777777" w:rsidTr="00564F0B">
        <w:tc>
          <w:tcPr>
            <w:tcW w:w="3690" w:type="dxa"/>
          </w:tcPr>
          <w:p w14:paraId="27F17A2B"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Water</w:t>
            </w:r>
          </w:p>
        </w:tc>
        <w:tc>
          <w:tcPr>
            <w:tcW w:w="2250" w:type="dxa"/>
          </w:tcPr>
          <w:p w14:paraId="75E88AE0" w14:textId="1C961AE6"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6%</w:t>
            </w:r>
          </w:p>
        </w:tc>
        <w:tc>
          <w:tcPr>
            <w:tcW w:w="1710" w:type="dxa"/>
          </w:tcPr>
          <w:p w14:paraId="7524A99C" w14:textId="6D36C0A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6%</w:t>
            </w:r>
          </w:p>
        </w:tc>
        <w:tc>
          <w:tcPr>
            <w:tcW w:w="1700" w:type="dxa"/>
          </w:tcPr>
          <w:p w14:paraId="1A8BB7CA" w14:textId="47F32AEF"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6%</w:t>
            </w:r>
          </w:p>
        </w:tc>
      </w:tr>
      <w:tr w:rsidR="00AA0C5E" w:rsidRPr="006D615E" w14:paraId="4B138E45" w14:textId="77777777" w:rsidTr="00564F0B">
        <w:tc>
          <w:tcPr>
            <w:tcW w:w="3690" w:type="dxa"/>
          </w:tcPr>
          <w:p w14:paraId="149E1C79" w14:textId="245BA934"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Corn starch</w:t>
            </w:r>
          </w:p>
        </w:tc>
        <w:tc>
          <w:tcPr>
            <w:tcW w:w="2250" w:type="dxa"/>
          </w:tcPr>
          <w:p w14:paraId="10B71478" w14:textId="45929E74"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w:t>
            </w:r>
          </w:p>
        </w:tc>
        <w:tc>
          <w:tcPr>
            <w:tcW w:w="1710" w:type="dxa"/>
          </w:tcPr>
          <w:p w14:paraId="5A98F025" w14:textId="6889A992"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w:t>
            </w:r>
          </w:p>
        </w:tc>
        <w:tc>
          <w:tcPr>
            <w:tcW w:w="1700" w:type="dxa"/>
          </w:tcPr>
          <w:p w14:paraId="3841B041" w14:textId="56C2E685"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w:t>
            </w:r>
          </w:p>
        </w:tc>
      </w:tr>
    </w:tbl>
    <w:p w14:paraId="275A9CE6" w14:textId="6C81A2FD" w:rsidR="005B3955" w:rsidRPr="006D615E" w:rsidRDefault="005B3955" w:rsidP="006521FB">
      <w:pPr>
        <w:spacing w:line="480" w:lineRule="auto"/>
        <w:jc w:val="both"/>
        <w:rPr>
          <w:rFonts w:ascii="Arial" w:hAnsi="Arial" w:cs="Arial"/>
          <w:i/>
          <w:iCs/>
          <w:sz w:val="20"/>
          <w:szCs w:val="20"/>
        </w:rPr>
      </w:pPr>
      <w:r w:rsidRPr="006D615E">
        <w:rPr>
          <w:rFonts w:ascii="Arial" w:hAnsi="Arial" w:cs="Arial"/>
          <w:sz w:val="20"/>
          <w:szCs w:val="20"/>
        </w:rPr>
        <w:lastRenderedPageBreak/>
        <w:t xml:space="preserve">Note: TNF =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flour (</w:t>
      </w:r>
      <w:proofErr w:type="spellStart"/>
      <w:r w:rsidRPr="006D615E">
        <w:rPr>
          <w:rFonts w:ascii="Arial" w:hAnsi="Arial" w:cs="Arial"/>
          <w:i/>
          <w:iCs/>
          <w:sz w:val="20"/>
          <w:szCs w:val="20"/>
        </w:rPr>
        <w:t>Cyperus</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esculentus</w:t>
      </w:r>
      <w:proofErr w:type="spellEnd"/>
      <w:r w:rsidRPr="006D615E">
        <w:rPr>
          <w:rFonts w:ascii="Arial" w:hAnsi="Arial" w:cs="Arial"/>
          <w:sz w:val="20"/>
          <w:szCs w:val="20"/>
        </w:rPr>
        <w:t xml:space="preserve">); AAF =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Africana seed flour. Control = 100% TNF:0% AAF; Sample A = 90% TNF: 10%AAF; Sample B = 80%TNF:20%AAF. </w:t>
      </w:r>
    </w:p>
    <w:p w14:paraId="5A41E125" w14:textId="263C781E"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2.4 </w:t>
      </w:r>
      <w:r w:rsidR="005B3955" w:rsidRPr="00222D19">
        <w:rPr>
          <w:rFonts w:ascii="Arial" w:hAnsi="Arial" w:cs="Arial"/>
          <w:b/>
          <w:bCs/>
          <w:sz w:val="22"/>
          <w:szCs w:val="22"/>
        </w:rPr>
        <w:t>Production of Composite Biscuit</w:t>
      </w:r>
    </w:p>
    <w:p w14:paraId="0D612166" w14:textId="0CE8F074"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The</w:t>
      </w:r>
      <w:r w:rsidR="00D50F44" w:rsidRPr="006D615E">
        <w:rPr>
          <w:rFonts w:ascii="Arial" w:hAnsi="Arial" w:cs="Arial"/>
          <w:sz w:val="20"/>
          <w:szCs w:val="20"/>
        </w:rPr>
        <w:t xml:space="preserve"> biscuits were produced by the method of </w:t>
      </w:r>
      <w:r w:rsidRPr="006D615E">
        <w:rPr>
          <w:rFonts w:ascii="Arial" w:hAnsi="Arial" w:cs="Arial"/>
          <w:sz w:val="20"/>
          <w:szCs w:val="20"/>
        </w:rPr>
        <w:t xml:space="preserve">Agu et al., (2023). The margarine and sugar were creamed in a clean stainless bowl using a hand-held mixed at medium speed for 5-7 minutes until pale, light and fluffy. The eggs were beaten and added with vanilla </w:t>
      </w:r>
      <w:proofErr w:type="spellStart"/>
      <w:r w:rsidRPr="006D615E">
        <w:rPr>
          <w:rFonts w:ascii="Arial" w:hAnsi="Arial" w:cs="Arial"/>
          <w:sz w:val="20"/>
          <w:szCs w:val="20"/>
        </w:rPr>
        <w:t>flavour</w:t>
      </w:r>
      <w:proofErr w:type="spellEnd"/>
      <w:r w:rsidRPr="006D615E">
        <w:rPr>
          <w:rFonts w:ascii="Arial" w:hAnsi="Arial" w:cs="Arial"/>
          <w:sz w:val="20"/>
          <w:szCs w:val="20"/>
        </w:rPr>
        <w:t xml:space="preserve"> until incorporated. The flour/flour blend was combined with the skim milk, corn starch, baking powder and fine iodized salt, sifted once and added to the creamed mixture using a wooden spoon. </w:t>
      </w:r>
      <w:r w:rsidR="00D50F44" w:rsidRPr="006D615E">
        <w:rPr>
          <w:rFonts w:ascii="Arial" w:hAnsi="Arial" w:cs="Arial"/>
          <w:sz w:val="20"/>
          <w:szCs w:val="20"/>
        </w:rPr>
        <w:t>W</w:t>
      </w:r>
      <w:r w:rsidRPr="006D615E">
        <w:rPr>
          <w:rFonts w:ascii="Arial" w:hAnsi="Arial" w:cs="Arial"/>
          <w:sz w:val="20"/>
          <w:szCs w:val="20"/>
        </w:rPr>
        <w:t>ater was added sparingly to form a non-stick, pliable dough. The dough was allowed to rest at room temperature for 10 minutes</w:t>
      </w:r>
      <w:r w:rsidR="00D50F44" w:rsidRPr="006D615E">
        <w:rPr>
          <w:rFonts w:ascii="Arial" w:hAnsi="Arial" w:cs="Arial"/>
          <w:sz w:val="20"/>
          <w:szCs w:val="20"/>
        </w:rPr>
        <w:t xml:space="preserve">, </w:t>
      </w:r>
      <w:r w:rsidRPr="006D615E">
        <w:rPr>
          <w:rFonts w:ascii="Arial" w:hAnsi="Arial" w:cs="Arial"/>
          <w:sz w:val="20"/>
          <w:szCs w:val="20"/>
        </w:rPr>
        <w:t xml:space="preserve">rolled on a lightly floured </w:t>
      </w:r>
      <w:r w:rsidR="00D50F44" w:rsidRPr="006D615E">
        <w:rPr>
          <w:rFonts w:ascii="Arial" w:hAnsi="Arial" w:cs="Arial"/>
          <w:sz w:val="20"/>
          <w:szCs w:val="20"/>
        </w:rPr>
        <w:t>(</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flour) to a uniform thickness of 4-5 mm using a wooden rolling pin and cut with a biscuit cutter to achieve a uniform shape and size. The dough pieces were arranged on a greased tray, bake</w:t>
      </w:r>
      <w:r w:rsidR="00D50F44" w:rsidRPr="006D615E">
        <w:rPr>
          <w:rFonts w:ascii="Arial" w:hAnsi="Arial" w:cs="Arial"/>
          <w:sz w:val="20"/>
          <w:szCs w:val="20"/>
        </w:rPr>
        <w:t>d (</w:t>
      </w:r>
      <w:r w:rsidRPr="006D615E">
        <w:rPr>
          <w:rFonts w:ascii="Arial" w:hAnsi="Arial" w:cs="Arial"/>
          <w:sz w:val="20"/>
          <w:szCs w:val="20"/>
        </w:rPr>
        <w:t>180</w:t>
      </w:r>
      <w:r w:rsidRPr="006D615E">
        <w:rPr>
          <w:rFonts w:ascii="Arial" w:hAnsi="Arial" w:cs="Arial"/>
          <w:sz w:val="20"/>
          <w:szCs w:val="20"/>
          <w:vertAlign w:val="superscript"/>
        </w:rPr>
        <w:t>0</w:t>
      </w:r>
      <w:r w:rsidRPr="006D615E">
        <w:rPr>
          <w:rFonts w:ascii="Arial" w:hAnsi="Arial" w:cs="Arial"/>
          <w:sz w:val="20"/>
          <w:szCs w:val="20"/>
        </w:rPr>
        <w:t>C</w:t>
      </w:r>
      <w:r w:rsidR="00D50F44" w:rsidRPr="006D615E">
        <w:rPr>
          <w:rFonts w:ascii="Arial" w:hAnsi="Arial" w:cs="Arial"/>
          <w:sz w:val="20"/>
          <w:szCs w:val="20"/>
        </w:rPr>
        <w:t xml:space="preserve">, </w:t>
      </w:r>
      <w:r w:rsidRPr="006D615E">
        <w:rPr>
          <w:rFonts w:ascii="Arial" w:hAnsi="Arial" w:cs="Arial"/>
          <w:sz w:val="20"/>
          <w:szCs w:val="20"/>
        </w:rPr>
        <w:t>15-18 minutes</w:t>
      </w:r>
      <w:r w:rsidR="00D50F44" w:rsidRPr="006D615E">
        <w:rPr>
          <w:rFonts w:ascii="Arial" w:hAnsi="Arial" w:cs="Arial"/>
          <w:sz w:val="20"/>
          <w:szCs w:val="20"/>
        </w:rPr>
        <w:t>)</w:t>
      </w:r>
      <w:r w:rsidRPr="006D615E">
        <w:rPr>
          <w:rFonts w:ascii="Arial" w:hAnsi="Arial" w:cs="Arial"/>
          <w:sz w:val="20"/>
          <w:szCs w:val="20"/>
        </w:rPr>
        <w:t>,</w:t>
      </w:r>
      <w:r w:rsidR="00D50F44" w:rsidRPr="006D615E">
        <w:rPr>
          <w:rFonts w:ascii="Arial" w:hAnsi="Arial" w:cs="Arial"/>
          <w:sz w:val="20"/>
          <w:szCs w:val="20"/>
        </w:rPr>
        <w:t xml:space="preserve"> </w:t>
      </w:r>
      <w:r w:rsidRPr="006D615E">
        <w:rPr>
          <w:rFonts w:ascii="Arial" w:hAnsi="Arial" w:cs="Arial"/>
          <w:sz w:val="20"/>
          <w:szCs w:val="20"/>
        </w:rPr>
        <w:t xml:space="preserve">allowed to cool </w:t>
      </w:r>
      <w:r w:rsidR="00D50F44" w:rsidRPr="006D615E">
        <w:rPr>
          <w:rFonts w:ascii="Arial" w:hAnsi="Arial" w:cs="Arial"/>
          <w:sz w:val="20"/>
          <w:szCs w:val="20"/>
        </w:rPr>
        <w:t>(</w:t>
      </w:r>
      <w:r w:rsidRPr="006D615E">
        <w:rPr>
          <w:rFonts w:ascii="Arial" w:hAnsi="Arial" w:cs="Arial"/>
          <w:sz w:val="20"/>
          <w:szCs w:val="20"/>
        </w:rPr>
        <w:t>30 minutes</w:t>
      </w:r>
      <w:r w:rsidR="00D50F44" w:rsidRPr="006D615E">
        <w:rPr>
          <w:rFonts w:ascii="Arial" w:hAnsi="Arial" w:cs="Arial"/>
          <w:sz w:val="20"/>
          <w:szCs w:val="20"/>
        </w:rPr>
        <w:t xml:space="preserve">), </w:t>
      </w:r>
      <w:r w:rsidRPr="006D615E">
        <w:rPr>
          <w:rFonts w:ascii="Arial" w:hAnsi="Arial" w:cs="Arial"/>
          <w:sz w:val="20"/>
          <w:szCs w:val="20"/>
        </w:rPr>
        <w:t>packag</w:t>
      </w:r>
      <w:r w:rsidR="00D50F44" w:rsidRPr="006D615E">
        <w:rPr>
          <w:rFonts w:ascii="Arial" w:hAnsi="Arial" w:cs="Arial"/>
          <w:sz w:val="20"/>
          <w:szCs w:val="20"/>
        </w:rPr>
        <w:t>ed</w:t>
      </w:r>
      <w:r w:rsidRPr="006D615E">
        <w:rPr>
          <w:rFonts w:ascii="Arial" w:hAnsi="Arial" w:cs="Arial"/>
          <w:sz w:val="20"/>
          <w:szCs w:val="20"/>
        </w:rPr>
        <w:t>, label</w:t>
      </w:r>
      <w:r w:rsidR="00D50F44" w:rsidRPr="006D615E">
        <w:rPr>
          <w:rFonts w:ascii="Arial" w:hAnsi="Arial" w:cs="Arial"/>
          <w:sz w:val="20"/>
          <w:szCs w:val="20"/>
        </w:rPr>
        <w:t>ed</w:t>
      </w:r>
      <w:r w:rsidRPr="006D615E">
        <w:rPr>
          <w:rFonts w:ascii="Arial" w:hAnsi="Arial" w:cs="Arial"/>
          <w:sz w:val="20"/>
          <w:szCs w:val="20"/>
        </w:rPr>
        <w:t>, and stor</w:t>
      </w:r>
      <w:r w:rsidR="00D50F44" w:rsidRPr="006D615E">
        <w:rPr>
          <w:rFonts w:ascii="Arial" w:hAnsi="Arial" w:cs="Arial"/>
          <w:sz w:val="20"/>
          <w:szCs w:val="20"/>
        </w:rPr>
        <w:t>ed</w:t>
      </w:r>
      <w:r w:rsidRPr="006D615E">
        <w:rPr>
          <w:rFonts w:ascii="Arial" w:hAnsi="Arial" w:cs="Arial"/>
          <w:sz w:val="20"/>
          <w:szCs w:val="20"/>
        </w:rPr>
        <w:t xml:space="preserve"> in air-tight containers at room </w:t>
      </w:r>
      <w:r w:rsidR="00D50F44" w:rsidRPr="006D615E">
        <w:rPr>
          <w:rFonts w:ascii="Arial" w:hAnsi="Arial" w:cs="Arial"/>
          <w:sz w:val="20"/>
          <w:szCs w:val="20"/>
        </w:rPr>
        <w:t xml:space="preserve">till </w:t>
      </w:r>
      <w:r w:rsidRPr="006D615E">
        <w:rPr>
          <w:rFonts w:ascii="Arial" w:hAnsi="Arial" w:cs="Arial"/>
          <w:sz w:val="20"/>
          <w:szCs w:val="20"/>
        </w:rPr>
        <w:t>analy</w:t>
      </w:r>
      <w:r w:rsidR="00D50F44" w:rsidRPr="006D615E">
        <w:rPr>
          <w:rFonts w:ascii="Arial" w:hAnsi="Arial" w:cs="Arial"/>
          <w:sz w:val="20"/>
          <w:szCs w:val="20"/>
        </w:rPr>
        <w:t>zed</w:t>
      </w:r>
      <w:r w:rsidRPr="006D615E">
        <w:rPr>
          <w:rFonts w:ascii="Arial" w:hAnsi="Arial" w:cs="Arial"/>
          <w:sz w:val="20"/>
          <w:szCs w:val="20"/>
        </w:rPr>
        <w:t>.</w:t>
      </w:r>
    </w:p>
    <w:p w14:paraId="624AFA21" w14:textId="524F9F79"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2.5 </w:t>
      </w:r>
      <w:r w:rsidR="005B3955" w:rsidRPr="00222D19">
        <w:rPr>
          <w:rFonts w:ascii="Arial" w:hAnsi="Arial" w:cs="Arial"/>
          <w:b/>
          <w:bCs/>
          <w:sz w:val="22"/>
          <w:szCs w:val="22"/>
        </w:rPr>
        <w:t>Proximate Analysis</w:t>
      </w:r>
    </w:p>
    <w:p w14:paraId="23972FC8" w14:textId="75CFD02C"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The proximate composition of the biscuit samples was determined in triplicate using the AOAC (2019) method. The biscuits were crushed before analysis. Moisture content was </w:t>
      </w:r>
      <w:r w:rsidR="00141700" w:rsidRPr="006D615E">
        <w:rPr>
          <w:rFonts w:ascii="Arial" w:hAnsi="Arial" w:cs="Arial"/>
          <w:sz w:val="20"/>
          <w:szCs w:val="20"/>
        </w:rPr>
        <w:t>analyzed</w:t>
      </w:r>
      <w:r w:rsidRPr="006D615E">
        <w:rPr>
          <w:rFonts w:ascii="Arial" w:hAnsi="Arial" w:cs="Arial"/>
          <w:sz w:val="20"/>
          <w:szCs w:val="20"/>
        </w:rPr>
        <w:t xml:space="preserve"> using the oven-drying method (105</w:t>
      </w:r>
      <w:r w:rsidRPr="006D615E">
        <w:rPr>
          <w:rFonts w:ascii="Arial" w:hAnsi="Arial" w:cs="Arial"/>
          <w:sz w:val="20"/>
          <w:szCs w:val="20"/>
          <w:vertAlign w:val="superscript"/>
        </w:rPr>
        <w:t>0</w:t>
      </w:r>
      <w:r w:rsidRPr="006D615E">
        <w:rPr>
          <w:rFonts w:ascii="Arial" w:hAnsi="Arial" w:cs="Arial"/>
          <w:sz w:val="20"/>
          <w:szCs w:val="20"/>
        </w:rPr>
        <w:t>C) to constant weight (AOAC, 2019; Method 925.10). Crude protein was determined by the Kjeldahl method using a nitrogen-to-protein conversion factor of 6.25 (AOAC, 2019; Method 981.10). Crude fat was extracted using petroleum ether in a Soxhlet extraction apparatus for six hours at 40-60</w:t>
      </w:r>
      <w:r w:rsidRPr="006D615E">
        <w:rPr>
          <w:rFonts w:ascii="Arial" w:hAnsi="Arial" w:cs="Arial"/>
          <w:sz w:val="20"/>
          <w:szCs w:val="20"/>
          <w:vertAlign w:val="superscript"/>
        </w:rPr>
        <w:t>0</w:t>
      </w:r>
      <w:r w:rsidRPr="006D615E">
        <w:rPr>
          <w:rFonts w:ascii="Arial" w:hAnsi="Arial" w:cs="Arial"/>
          <w:sz w:val="20"/>
          <w:szCs w:val="20"/>
        </w:rPr>
        <w:t>C (AOAC, 2019; Method 920:39). Crude fiber was determined by sequential acid (1.25% H</w:t>
      </w:r>
      <w:r w:rsidRPr="006D615E">
        <w:rPr>
          <w:rFonts w:ascii="Arial" w:hAnsi="Arial" w:cs="Arial"/>
          <w:sz w:val="20"/>
          <w:szCs w:val="20"/>
          <w:vertAlign w:val="subscript"/>
        </w:rPr>
        <w:t>2</w:t>
      </w:r>
      <w:r w:rsidRPr="006D615E">
        <w:rPr>
          <w:rFonts w:ascii="Arial" w:hAnsi="Arial" w:cs="Arial"/>
          <w:sz w:val="20"/>
          <w:szCs w:val="20"/>
        </w:rPr>
        <w:t>SO</w:t>
      </w:r>
      <w:r w:rsidRPr="006D615E">
        <w:rPr>
          <w:rFonts w:ascii="Arial" w:hAnsi="Arial" w:cs="Arial"/>
          <w:sz w:val="20"/>
          <w:szCs w:val="20"/>
          <w:vertAlign w:val="subscript"/>
        </w:rPr>
        <w:t>4</w:t>
      </w:r>
      <w:r w:rsidRPr="006D615E">
        <w:rPr>
          <w:rFonts w:ascii="Arial" w:hAnsi="Arial" w:cs="Arial"/>
          <w:sz w:val="20"/>
          <w:szCs w:val="20"/>
        </w:rPr>
        <w:t xml:space="preserve">) and alkaline (1.25% NaOH) digestion </w:t>
      </w:r>
      <w:r w:rsidR="00141700" w:rsidRPr="006D615E">
        <w:rPr>
          <w:rFonts w:ascii="Arial" w:hAnsi="Arial" w:cs="Arial"/>
          <w:sz w:val="20"/>
          <w:szCs w:val="20"/>
        </w:rPr>
        <w:t xml:space="preserve">and </w:t>
      </w:r>
      <w:r w:rsidRPr="006D615E">
        <w:rPr>
          <w:rFonts w:ascii="Arial" w:hAnsi="Arial" w:cs="Arial"/>
          <w:sz w:val="20"/>
          <w:szCs w:val="20"/>
        </w:rPr>
        <w:t xml:space="preserve">ignition of the residue (AOAC, 2019; Method 962:09). Crude ash was determined by dry </w:t>
      </w:r>
      <w:proofErr w:type="spellStart"/>
      <w:r w:rsidRPr="006D615E">
        <w:rPr>
          <w:rFonts w:ascii="Arial" w:hAnsi="Arial" w:cs="Arial"/>
          <w:sz w:val="20"/>
          <w:szCs w:val="20"/>
        </w:rPr>
        <w:t>ashing</w:t>
      </w:r>
      <w:proofErr w:type="spellEnd"/>
      <w:r w:rsidRPr="006D615E">
        <w:rPr>
          <w:rFonts w:ascii="Arial" w:hAnsi="Arial" w:cs="Arial"/>
          <w:sz w:val="20"/>
          <w:szCs w:val="20"/>
        </w:rPr>
        <w:t xml:space="preserve"> in a muffle furnace at 550</w:t>
      </w:r>
      <w:r w:rsidRPr="006D615E">
        <w:rPr>
          <w:rFonts w:ascii="Arial" w:hAnsi="Arial" w:cs="Arial"/>
          <w:sz w:val="20"/>
          <w:szCs w:val="20"/>
          <w:vertAlign w:val="superscript"/>
        </w:rPr>
        <w:t>0</w:t>
      </w:r>
      <w:r w:rsidRPr="006D615E">
        <w:rPr>
          <w:rFonts w:ascii="Arial" w:hAnsi="Arial" w:cs="Arial"/>
          <w:sz w:val="20"/>
          <w:szCs w:val="20"/>
        </w:rPr>
        <w:t xml:space="preserve">C for 6 hours (AOAC, 2019; Method 923:03). The total carbohydrate content was calculated by difference as Carbohydrate (%) = 100 </w:t>
      </w:r>
      <w:proofErr w:type="gramStart"/>
      <w:r w:rsidRPr="006D615E">
        <w:rPr>
          <w:rFonts w:ascii="Arial" w:hAnsi="Arial" w:cs="Arial"/>
          <w:sz w:val="20"/>
          <w:szCs w:val="20"/>
        </w:rPr>
        <w:t>–(</w:t>
      </w:r>
      <w:proofErr w:type="gramEnd"/>
      <w:r w:rsidRPr="006D615E">
        <w:rPr>
          <w:rFonts w:ascii="Arial" w:hAnsi="Arial" w:cs="Arial"/>
          <w:sz w:val="20"/>
          <w:szCs w:val="20"/>
        </w:rPr>
        <w:t>moisture + crude protein + crude fat + crude fiber + ash).</w:t>
      </w:r>
    </w:p>
    <w:p w14:paraId="7A10DCF3" w14:textId="6F0AFF76"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2.6 </w:t>
      </w:r>
      <w:r w:rsidR="005B3955" w:rsidRPr="00222D19">
        <w:rPr>
          <w:rFonts w:ascii="Arial" w:hAnsi="Arial" w:cs="Arial"/>
          <w:b/>
          <w:bCs/>
          <w:sz w:val="22"/>
          <w:szCs w:val="22"/>
        </w:rPr>
        <w:t>Mineral Composition</w:t>
      </w:r>
      <w:r w:rsidR="004B206F" w:rsidRPr="00222D19">
        <w:rPr>
          <w:rFonts w:ascii="Arial" w:hAnsi="Arial" w:cs="Arial"/>
          <w:b/>
          <w:bCs/>
          <w:sz w:val="22"/>
          <w:szCs w:val="22"/>
        </w:rPr>
        <w:t xml:space="preserve"> Analysis</w:t>
      </w:r>
    </w:p>
    <w:p w14:paraId="3FED590E" w14:textId="649F4B8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The mineral composition of the biscuit samples was determined by the wet </w:t>
      </w:r>
      <w:proofErr w:type="spellStart"/>
      <w:r w:rsidRPr="006D615E">
        <w:rPr>
          <w:rFonts w:ascii="Arial" w:hAnsi="Arial" w:cs="Arial"/>
          <w:sz w:val="20"/>
          <w:szCs w:val="20"/>
        </w:rPr>
        <w:t>ashing</w:t>
      </w:r>
      <w:proofErr w:type="spellEnd"/>
      <w:r w:rsidRPr="006D615E">
        <w:rPr>
          <w:rFonts w:ascii="Arial" w:hAnsi="Arial" w:cs="Arial"/>
          <w:sz w:val="20"/>
          <w:szCs w:val="20"/>
        </w:rPr>
        <w:t xml:space="preserve"> procedure (Pearson, 1976). The crushed biscuit samples were each weighed (0.5 g) into a 100 mL digestion flask and digested with a mixture of concentrated nitric acid (HNO</w:t>
      </w:r>
      <w:r w:rsidRPr="006D615E">
        <w:rPr>
          <w:rFonts w:ascii="Arial" w:hAnsi="Arial" w:cs="Arial"/>
          <w:sz w:val="20"/>
          <w:szCs w:val="20"/>
          <w:vertAlign w:val="subscript"/>
        </w:rPr>
        <w:t>3</w:t>
      </w:r>
      <w:r w:rsidRPr="006D615E">
        <w:rPr>
          <w:rFonts w:ascii="Arial" w:hAnsi="Arial" w:cs="Arial"/>
          <w:sz w:val="20"/>
          <w:szCs w:val="20"/>
        </w:rPr>
        <w:t>) and perchloric acid (HClO</w:t>
      </w:r>
      <w:r w:rsidRPr="006D615E">
        <w:rPr>
          <w:rFonts w:ascii="Arial" w:hAnsi="Arial" w:cs="Arial"/>
          <w:sz w:val="20"/>
          <w:szCs w:val="20"/>
          <w:vertAlign w:val="subscript"/>
        </w:rPr>
        <w:t>4</w:t>
      </w:r>
      <w:r w:rsidRPr="006D615E">
        <w:rPr>
          <w:rFonts w:ascii="Arial" w:hAnsi="Arial" w:cs="Arial"/>
          <w:sz w:val="20"/>
          <w:szCs w:val="20"/>
        </w:rPr>
        <w:t>) at a ratio of 3:1 (v/v) at 120</w:t>
      </w:r>
      <w:r w:rsidRPr="006D615E">
        <w:rPr>
          <w:rFonts w:ascii="Arial" w:hAnsi="Arial" w:cs="Arial"/>
          <w:sz w:val="20"/>
          <w:szCs w:val="20"/>
          <w:vertAlign w:val="superscript"/>
        </w:rPr>
        <w:t>0</w:t>
      </w:r>
      <w:r w:rsidRPr="006D615E">
        <w:rPr>
          <w:rFonts w:ascii="Arial" w:hAnsi="Arial" w:cs="Arial"/>
          <w:sz w:val="20"/>
          <w:szCs w:val="20"/>
        </w:rPr>
        <w:t xml:space="preserve">C to a clear, </w:t>
      </w:r>
      <w:proofErr w:type="spellStart"/>
      <w:r w:rsidRPr="006D615E">
        <w:rPr>
          <w:rFonts w:ascii="Arial" w:hAnsi="Arial" w:cs="Arial"/>
          <w:sz w:val="20"/>
          <w:szCs w:val="20"/>
        </w:rPr>
        <w:t>colourless</w:t>
      </w:r>
      <w:proofErr w:type="spellEnd"/>
      <w:r w:rsidRPr="006D615E">
        <w:rPr>
          <w:rFonts w:ascii="Arial" w:hAnsi="Arial" w:cs="Arial"/>
          <w:sz w:val="20"/>
          <w:szCs w:val="20"/>
        </w:rPr>
        <w:t xml:space="preserve"> digest. The digest was cooled, transferred to a 100 mL volumetric flask, and made up </w:t>
      </w:r>
      <w:r w:rsidRPr="006D615E">
        <w:rPr>
          <w:rFonts w:ascii="Arial" w:hAnsi="Arial" w:cs="Arial"/>
          <w:sz w:val="20"/>
          <w:szCs w:val="20"/>
        </w:rPr>
        <w:lastRenderedPageBreak/>
        <w:t>to volume with deionized distilled water. Calcium and magnesium concentrations were determined by an atomic absorption spectrophotometer (AAS) (Shimadzu Corporation, Kyoto, Japan). Sodium and potassium concentrations were determined by flame photometry (model 405, Corning, UK) using sodium chloride NaCl and potassium chloride (KCl) standards solutions prepared in the laboratory. All mineral concentrations are expressed as mg per 100 g of sample on a fresh-weight basis.</w:t>
      </w:r>
    </w:p>
    <w:p w14:paraId="0F7E380B" w14:textId="0FACCBF7"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2.7 </w:t>
      </w:r>
      <w:r w:rsidR="005B3955" w:rsidRPr="00222D19">
        <w:rPr>
          <w:rFonts w:ascii="Arial" w:hAnsi="Arial" w:cs="Arial"/>
          <w:b/>
          <w:bCs/>
          <w:sz w:val="22"/>
          <w:szCs w:val="22"/>
        </w:rPr>
        <w:t>Vitamin Composition</w:t>
      </w:r>
      <w:r w:rsidR="004B206F" w:rsidRPr="00222D19">
        <w:rPr>
          <w:rFonts w:ascii="Arial" w:hAnsi="Arial" w:cs="Arial"/>
          <w:b/>
          <w:bCs/>
          <w:sz w:val="22"/>
          <w:szCs w:val="22"/>
        </w:rPr>
        <w:t xml:space="preserve"> Analysis</w:t>
      </w:r>
    </w:p>
    <w:p w14:paraId="33984E23" w14:textId="1CBCD85F"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The B-vitamin (B1, B2 and B3) of the biscuit samples were determined by the AOAC (2019; Method 942:23). Thiamine (B1) was determined by </w:t>
      </w:r>
      <w:proofErr w:type="spellStart"/>
      <w:r w:rsidRPr="006D615E">
        <w:rPr>
          <w:rFonts w:ascii="Arial" w:hAnsi="Arial" w:cs="Arial"/>
          <w:sz w:val="20"/>
          <w:szCs w:val="20"/>
        </w:rPr>
        <w:t>thiochrome</w:t>
      </w:r>
      <w:proofErr w:type="spellEnd"/>
      <w:r w:rsidRPr="006D615E">
        <w:rPr>
          <w:rFonts w:ascii="Arial" w:hAnsi="Arial" w:cs="Arial"/>
          <w:sz w:val="20"/>
          <w:szCs w:val="20"/>
        </w:rPr>
        <w:t xml:space="preserve"> fluorometric method (AOAC, 2019; Method 942: 23). In this method, thiamin was oxidized to </w:t>
      </w:r>
      <w:proofErr w:type="spellStart"/>
      <w:r w:rsidRPr="006D615E">
        <w:rPr>
          <w:rFonts w:ascii="Arial" w:hAnsi="Arial" w:cs="Arial"/>
          <w:sz w:val="20"/>
          <w:szCs w:val="20"/>
        </w:rPr>
        <w:t>thiochrome</w:t>
      </w:r>
      <w:proofErr w:type="spellEnd"/>
      <w:r w:rsidRPr="006D615E">
        <w:rPr>
          <w:rFonts w:ascii="Arial" w:hAnsi="Arial" w:cs="Arial"/>
          <w:sz w:val="20"/>
          <w:szCs w:val="20"/>
        </w:rPr>
        <w:t xml:space="preserve"> in alkaline solution and measured fluorometrically at excitation wavelength of 365 nm and emission wavelength of 435 nm using a fluorometric method (AOAC, 2019; Method 970:65), based on the natural fluorescence of riboflavin measured at 530 nm after clarification of the extract. Niacin (Vitamin B3) was determined by the Konig colorimetric reaction method (AOAC, 2019; Method 944:13), in which niacin reacts with cyanogen bromide and </w:t>
      </w:r>
      <w:proofErr w:type="spellStart"/>
      <w:r w:rsidRPr="006D615E">
        <w:rPr>
          <w:rFonts w:ascii="Arial" w:hAnsi="Arial" w:cs="Arial"/>
          <w:sz w:val="20"/>
          <w:szCs w:val="20"/>
        </w:rPr>
        <w:t>sulphanilic</w:t>
      </w:r>
      <w:proofErr w:type="spellEnd"/>
      <w:r w:rsidRPr="006D615E">
        <w:rPr>
          <w:rFonts w:ascii="Arial" w:hAnsi="Arial" w:cs="Arial"/>
          <w:sz w:val="20"/>
          <w:szCs w:val="20"/>
        </w:rPr>
        <w:t xml:space="preserve"> acid to produce a yellow chromogen measured spectrophotometrically at 470 nm using a UV-Vis spectrophotometer (Shimadzu UV-1900, Japan). All vitamin values are expressed in mg per 100g sample.</w:t>
      </w:r>
    </w:p>
    <w:p w14:paraId="74FA6051" w14:textId="4D027463"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2.8 </w:t>
      </w:r>
      <w:r w:rsidR="005B3955" w:rsidRPr="00222D19">
        <w:rPr>
          <w:rFonts w:ascii="Arial" w:hAnsi="Arial" w:cs="Arial"/>
          <w:b/>
          <w:bCs/>
          <w:sz w:val="22"/>
          <w:szCs w:val="22"/>
        </w:rPr>
        <w:t>Phytochemical Composition</w:t>
      </w:r>
      <w:r w:rsidR="004B206F" w:rsidRPr="00222D19">
        <w:rPr>
          <w:rFonts w:ascii="Arial" w:hAnsi="Arial" w:cs="Arial"/>
          <w:b/>
          <w:bCs/>
          <w:sz w:val="22"/>
          <w:szCs w:val="22"/>
        </w:rPr>
        <w:t xml:space="preserve"> Analysis</w:t>
      </w:r>
    </w:p>
    <w:p w14:paraId="444DE7D4"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Ethanol extract of the biscuit samples was prepared for phytochemical analysis by weighing 2 g of each ground biscuit into a 50 mL conical flask, adding 20 mL of 80% (v/v) ethanol, and shaking on a horizontal shaker for 2 hours at 25</w:t>
      </w:r>
      <w:r w:rsidRPr="006D615E">
        <w:rPr>
          <w:rFonts w:ascii="Arial" w:hAnsi="Arial" w:cs="Arial"/>
          <w:sz w:val="20"/>
          <w:szCs w:val="20"/>
          <w:vertAlign w:val="superscript"/>
        </w:rPr>
        <w:t>0</w:t>
      </w:r>
      <w:r w:rsidRPr="006D615E">
        <w:rPr>
          <w:rFonts w:ascii="Arial" w:hAnsi="Arial" w:cs="Arial"/>
          <w:sz w:val="20"/>
          <w:szCs w:val="20"/>
        </w:rPr>
        <w:t>C. The mixture was filtered through Whatman No. 1 filter paper and the filtrate was retained for analysis.</w:t>
      </w:r>
    </w:p>
    <w:p w14:paraId="7BC39923"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Total phenolic content (TPC) was determined using the </w:t>
      </w:r>
      <w:proofErr w:type="spellStart"/>
      <w:r w:rsidRPr="006D615E">
        <w:rPr>
          <w:rFonts w:ascii="Arial" w:hAnsi="Arial" w:cs="Arial"/>
          <w:sz w:val="20"/>
          <w:szCs w:val="20"/>
        </w:rPr>
        <w:t>Folin-Ciocalteu</w:t>
      </w:r>
      <w:proofErr w:type="spellEnd"/>
      <w:r w:rsidRPr="006D615E">
        <w:rPr>
          <w:rFonts w:ascii="Arial" w:hAnsi="Arial" w:cs="Arial"/>
          <w:sz w:val="20"/>
          <w:szCs w:val="20"/>
        </w:rPr>
        <w:t xml:space="preserve"> reagent method as described by Singleton et al. (1999). Briefly, 0.1 mL of the sample extract was added to 2.0 mL of 2% sodium carbonate (Na</w:t>
      </w:r>
      <w:r w:rsidRPr="006D615E">
        <w:rPr>
          <w:rFonts w:ascii="Arial" w:hAnsi="Arial" w:cs="Arial"/>
          <w:sz w:val="20"/>
          <w:szCs w:val="20"/>
          <w:vertAlign w:val="subscript"/>
        </w:rPr>
        <w:t>2</w:t>
      </w:r>
      <w:r w:rsidRPr="006D615E">
        <w:rPr>
          <w:rFonts w:ascii="Arial" w:hAnsi="Arial" w:cs="Arial"/>
          <w:sz w:val="20"/>
          <w:szCs w:val="20"/>
        </w:rPr>
        <w:t>CO</w:t>
      </w:r>
      <w:r w:rsidRPr="006D615E">
        <w:rPr>
          <w:rFonts w:ascii="Arial" w:hAnsi="Arial" w:cs="Arial"/>
          <w:sz w:val="20"/>
          <w:szCs w:val="20"/>
          <w:vertAlign w:val="subscript"/>
        </w:rPr>
        <w:t>3</w:t>
      </w:r>
      <w:r w:rsidRPr="006D615E">
        <w:rPr>
          <w:rFonts w:ascii="Arial" w:hAnsi="Arial" w:cs="Arial"/>
          <w:sz w:val="20"/>
          <w:szCs w:val="20"/>
        </w:rPr>
        <w:t xml:space="preserve">) solution. After 2 minutes, 0.1 mL of 50% </w:t>
      </w:r>
      <w:proofErr w:type="spellStart"/>
      <w:r w:rsidRPr="006D615E">
        <w:rPr>
          <w:rFonts w:ascii="Arial" w:hAnsi="Arial" w:cs="Arial"/>
          <w:sz w:val="20"/>
          <w:szCs w:val="20"/>
        </w:rPr>
        <w:t>Folin-Ciocalteu</w:t>
      </w:r>
      <w:proofErr w:type="spellEnd"/>
      <w:r w:rsidRPr="006D615E">
        <w:rPr>
          <w:rFonts w:ascii="Arial" w:hAnsi="Arial" w:cs="Arial"/>
          <w:sz w:val="20"/>
          <w:szCs w:val="20"/>
        </w:rPr>
        <w:t xml:space="preserve"> reagent was added and the mixture was incubated in the dark for 30 minutes at 25</w:t>
      </w:r>
      <w:r w:rsidRPr="006D615E">
        <w:rPr>
          <w:rFonts w:ascii="Arial" w:hAnsi="Arial" w:cs="Arial"/>
          <w:sz w:val="20"/>
          <w:szCs w:val="20"/>
          <w:vertAlign w:val="superscript"/>
        </w:rPr>
        <w:t>0</w:t>
      </w:r>
      <w:r w:rsidRPr="006D615E">
        <w:rPr>
          <w:rFonts w:ascii="Arial" w:hAnsi="Arial" w:cs="Arial"/>
          <w:sz w:val="20"/>
          <w:szCs w:val="20"/>
        </w:rPr>
        <w:t>C. Absorbance was measured at 725 nm using a UV-Vis spectrophotometer. TPC was expressed as milligrams of gallic acid equivalents per 100 g of sample (mg GAE/100 g), calculated from a gallic acid standard curve (0-500 µg/mL).</w:t>
      </w:r>
    </w:p>
    <w:p w14:paraId="60A3DAAB" w14:textId="1EC0EBC1"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Total flavonoid content (TFC) was determined by the aluminum chloride (AlCl</w:t>
      </w:r>
      <w:r w:rsidRPr="006D615E">
        <w:rPr>
          <w:rFonts w:ascii="Arial" w:hAnsi="Arial" w:cs="Arial"/>
          <w:sz w:val="20"/>
          <w:szCs w:val="20"/>
          <w:vertAlign w:val="subscript"/>
        </w:rPr>
        <w:t>3</w:t>
      </w:r>
      <w:r w:rsidRPr="006D615E">
        <w:rPr>
          <w:rFonts w:ascii="Arial" w:hAnsi="Arial" w:cs="Arial"/>
          <w:sz w:val="20"/>
          <w:szCs w:val="20"/>
        </w:rPr>
        <w:t>) colorimetric method as described by Meda et al., (2005). A volume of 1.0 mL of sample extract was mixed with 1.0 mL od 2% AlCl</w:t>
      </w:r>
      <w:r w:rsidRPr="006D615E">
        <w:rPr>
          <w:rFonts w:ascii="Arial" w:hAnsi="Arial" w:cs="Arial"/>
          <w:sz w:val="20"/>
          <w:szCs w:val="20"/>
          <w:vertAlign w:val="subscript"/>
        </w:rPr>
        <w:t xml:space="preserve">3 </w:t>
      </w:r>
      <w:r w:rsidRPr="006D615E">
        <w:rPr>
          <w:rFonts w:ascii="Arial" w:hAnsi="Arial" w:cs="Arial"/>
          <w:sz w:val="20"/>
          <w:szCs w:val="20"/>
        </w:rPr>
        <w:lastRenderedPageBreak/>
        <w:t>in ethanol. After 15 minutes of incubation at 250C, absorbance was read at 430 nm against a blank. TFC was expressed as milligrams of quercetin equivalents per 100 g of sample (mg QE/100g), using a quercetin standard curve (0-200 µg/mL).</w:t>
      </w:r>
    </w:p>
    <w:p w14:paraId="0908ADFD" w14:textId="577A41A0"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2.9 </w:t>
      </w:r>
      <w:r w:rsidR="005B3955" w:rsidRPr="00222D19">
        <w:rPr>
          <w:rFonts w:ascii="Arial" w:hAnsi="Arial" w:cs="Arial"/>
          <w:b/>
          <w:bCs/>
          <w:sz w:val="22"/>
          <w:szCs w:val="22"/>
        </w:rPr>
        <w:t>Antioxidant Activity (DPPH Radical Scavenging Assay)</w:t>
      </w:r>
    </w:p>
    <w:p w14:paraId="2D076A8C"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The antioxidant activity of the biscuit samples was evaluated using the 1,1-iphenyl-2-picrylhydrazyl (DPPH) free radical scavenging method as described by Brand-Williams et al. (1995). A stock solution of DPPH (Sigma-Aldrich, Germany) was prepared by dissolving 3.94 mg of DPPH in 100 mL of methanol to obtain a 0.1 mM working solution. Serial dilutions of biscuit ethanolic extracts (concentration ranging from 100 to 1500 µg/mL) were prepared in 80% ethanol. A volume of 11.0 mL of each sample dilution was added to 2.0 mL of 0.1 mM DPPH solution in methanol, mixed thoroughly, and incubated in the dark for 30 minutes at 25</w:t>
      </w:r>
      <w:r w:rsidRPr="006D615E">
        <w:rPr>
          <w:rFonts w:ascii="Arial" w:hAnsi="Arial" w:cs="Arial"/>
          <w:sz w:val="20"/>
          <w:szCs w:val="20"/>
          <w:vertAlign w:val="superscript"/>
        </w:rPr>
        <w:t>o</w:t>
      </w:r>
      <w:r w:rsidRPr="006D615E">
        <w:rPr>
          <w:rFonts w:ascii="Arial" w:hAnsi="Arial" w:cs="Arial"/>
          <w:sz w:val="20"/>
          <w:szCs w:val="20"/>
        </w:rPr>
        <w:t>C. Absorbance was measured at 517 nm against a methanol blank using a UV-Vis spectrophotometer. Ascorbic acid (L-ascorbic acid, Sigma-Aldrich) served as the positive reference standard at equivalent concentration ranges.</w:t>
      </w:r>
    </w:p>
    <w:p w14:paraId="108F5A13"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The percentage of DPPH radical scavenging activity (%RSA) was calculated using the formula:</w:t>
      </w:r>
    </w:p>
    <w:p w14:paraId="667F3CE1"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%RSA = </w:t>
      </w:r>
      <m:oMath>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A control-A sample</m:t>
            </m:r>
          </m:num>
          <m:den>
            <m:r>
              <w:rPr>
                <w:rFonts w:ascii="Cambria Math" w:hAnsi="Cambria Math" w:cs="Arial"/>
                <w:sz w:val="20"/>
                <w:szCs w:val="20"/>
              </w:rPr>
              <m:t>A control</m:t>
            </m:r>
          </m:den>
        </m:f>
        <m:r>
          <m:rPr>
            <m:sty m:val="p"/>
          </m:rPr>
          <w:rPr>
            <w:rFonts w:ascii="Cambria Math" w:hAnsi="Cambria Math" w:cs="Arial"/>
            <w:sz w:val="20"/>
            <w:szCs w:val="20"/>
          </w:rPr>
          <m:t>x</m:t>
        </m:r>
        <m:r>
          <w:rPr>
            <w:rFonts w:ascii="Cambria Math" w:hAnsi="Cambria Math" w:cs="Arial"/>
            <w:sz w:val="20"/>
            <w:szCs w:val="20"/>
          </w:rPr>
          <m:t xml:space="preserve"> 100</m:t>
        </m:r>
      </m:oMath>
    </w:p>
    <w:p w14:paraId="3A4F637F"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Where </w:t>
      </w:r>
      <w:proofErr w:type="spellStart"/>
      <w:r w:rsidRPr="006D615E">
        <w:rPr>
          <w:rFonts w:ascii="Arial" w:hAnsi="Arial" w:cs="Arial"/>
          <w:sz w:val="20"/>
          <w:szCs w:val="20"/>
        </w:rPr>
        <w:t>Acontrol</w:t>
      </w:r>
      <w:proofErr w:type="spellEnd"/>
      <w:r w:rsidRPr="006D615E">
        <w:rPr>
          <w:rFonts w:ascii="Arial" w:hAnsi="Arial" w:cs="Arial"/>
          <w:sz w:val="20"/>
          <w:szCs w:val="20"/>
        </w:rPr>
        <w:t xml:space="preserve"> is the absorbance of the DPPH solution (without sample) and </w:t>
      </w:r>
      <w:proofErr w:type="spellStart"/>
      <w:r w:rsidRPr="006D615E">
        <w:rPr>
          <w:rFonts w:ascii="Arial" w:hAnsi="Arial" w:cs="Arial"/>
          <w:sz w:val="20"/>
          <w:szCs w:val="20"/>
        </w:rPr>
        <w:t>Asample</w:t>
      </w:r>
      <w:proofErr w:type="spellEnd"/>
      <w:r w:rsidRPr="006D615E">
        <w:rPr>
          <w:rFonts w:ascii="Arial" w:hAnsi="Arial" w:cs="Arial"/>
          <w:sz w:val="20"/>
          <w:szCs w:val="20"/>
        </w:rPr>
        <w:t xml:space="preserve"> is the absorbance of the reaction mixture. The IC</w:t>
      </w:r>
      <w:r w:rsidRPr="006D615E">
        <w:rPr>
          <w:rFonts w:ascii="Arial" w:hAnsi="Arial" w:cs="Arial"/>
          <w:sz w:val="20"/>
          <w:szCs w:val="20"/>
          <w:vertAlign w:val="subscript"/>
        </w:rPr>
        <w:t xml:space="preserve">50 </w:t>
      </w:r>
      <w:r w:rsidRPr="006D615E">
        <w:rPr>
          <w:rFonts w:ascii="Arial" w:hAnsi="Arial" w:cs="Arial"/>
          <w:sz w:val="20"/>
          <w:szCs w:val="20"/>
        </w:rPr>
        <w:t>value, defined as the concentration of the extract (µg/mL) required to inhibit 50% of the initial DPPH radical scavenging activity, was determined by linear regression analysis from the dose-response curve for each sample. A lower IC50 value indicates greater antioxidant potency.</w:t>
      </w:r>
    </w:p>
    <w:p w14:paraId="12A8DE39" w14:textId="37F4C18A"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2.10 </w:t>
      </w:r>
      <w:r w:rsidR="005B3955" w:rsidRPr="00222D19">
        <w:rPr>
          <w:rFonts w:ascii="Arial" w:hAnsi="Arial" w:cs="Arial"/>
          <w:b/>
          <w:bCs/>
          <w:sz w:val="22"/>
          <w:szCs w:val="22"/>
        </w:rPr>
        <w:t>Sensory Evaluation</w:t>
      </w:r>
    </w:p>
    <w:p w14:paraId="105E6F83" w14:textId="561688F5"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Sensory evaluation of the biscuit samples was carried out </w:t>
      </w:r>
      <w:r w:rsidR="006F7CF4" w:rsidRPr="006D615E">
        <w:rPr>
          <w:rFonts w:ascii="Arial" w:hAnsi="Arial" w:cs="Arial"/>
          <w:sz w:val="20"/>
          <w:szCs w:val="20"/>
        </w:rPr>
        <w:t>using the protocol described by Meilgaard et al., (2016). Twenty</w:t>
      </w:r>
      <w:r w:rsidRPr="006D615E">
        <w:rPr>
          <w:rFonts w:ascii="Arial" w:hAnsi="Arial" w:cs="Arial"/>
          <w:sz w:val="20"/>
          <w:szCs w:val="20"/>
        </w:rPr>
        <w:t xml:space="preserve"> (</w:t>
      </w:r>
      <w:r w:rsidR="006F7CF4" w:rsidRPr="006D615E">
        <w:rPr>
          <w:rFonts w:ascii="Arial" w:hAnsi="Arial" w:cs="Arial"/>
          <w:sz w:val="20"/>
          <w:szCs w:val="20"/>
        </w:rPr>
        <w:t>2</w:t>
      </w:r>
      <w:r w:rsidRPr="006D615E">
        <w:rPr>
          <w:rFonts w:ascii="Arial" w:hAnsi="Arial" w:cs="Arial"/>
          <w:sz w:val="20"/>
          <w:szCs w:val="20"/>
        </w:rPr>
        <w:t>0) semi-trained panelists</w:t>
      </w:r>
      <w:r w:rsidR="006F7CF4" w:rsidRPr="006D615E">
        <w:rPr>
          <w:rFonts w:ascii="Arial" w:hAnsi="Arial" w:cs="Arial"/>
          <w:sz w:val="20"/>
          <w:szCs w:val="20"/>
        </w:rPr>
        <w:t xml:space="preserve"> of </w:t>
      </w:r>
      <w:r w:rsidRPr="006D615E">
        <w:rPr>
          <w:rFonts w:ascii="Arial" w:hAnsi="Arial" w:cs="Arial"/>
          <w:sz w:val="20"/>
          <w:szCs w:val="20"/>
        </w:rPr>
        <w:t xml:space="preserve">staff and students of Food Science and Technology, Chukwuemeka </w:t>
      </w:r>
      <w:proofErr w:type="spellStart"/>
      <w:r w:rsidRPr="006D615E">
        <w:rPr>
          <w:rFonts w:ascii="Arial" w:hAnsi="Arial" w:cs="Arial"/>
          <w:sz w:val="20"/>
          <w:szCs w:val="20"/>
        </w:rPr>
        <w:t>Odumegwu</w:t>
      </w:r>
      <w:proofErr w:type="spellEnd"/>
      <w:r w:rsidRPr="006D615E">
        <w:rPr>
          <w:rFonts w:ascii="Arial" w:hAnsi="Arial" w:cs="Arial"/>
          <w:sz w:val="20"/>
          <w:szCs w:val="20"/>
        </w:rPr>
        <w:t xml:space="preserve"> Ojukwu University, </w:t>
      </w:r>
      <w:proofErr w:type="spellStart"/>
      <w:r w:rsidRPr="006D615E">
        <w:rPr>
          <w:rFonts w:ascii="Arial" w:hAnsi="Arial" w:cs="Arial"/>
          <w:sz w:val="20"/>
          <w:szCs w:val="20"/>
        </w:rPr>
        <w:t>Igbariam</w:t>
      </w:r>
      <w:proofErr w:type="spellEnd"/>
      <w:r w:rsidRPr="006D615E">
        <w:rPr>
          <w:rFonts w:ascii="Arial" w:hAnsi="Arial" w:cs="Arial"/>
          <w:sz w:val="20"/>
          <w:szCs w:val="20"/>
        </w:rPr>
        <w:t xml:space="preserve"> Campus, Anambra, Nigeria. The selection criteria included regular consumption of biscuits, absence of food allergies and familiarization session with the evaluation methodology. Written informed consent was obtained from all panelists prior to participation. Biscuit samples were evaluated immediately after cooling to room temperature. The panelists evaluated the biscuit samples for: </w:t>
      </w:r>
      <w:r w:rsidR="00222D19">
        <w:rPr>
          <w:rFonts w:ascii="Arial" w:hAnsi="Arial" w:cs="Arial"/>
          <w:sz w:val="20"/>
          <w:szCs w:val="20"/>
        </w:rPr>
        <w:t>color, flavor, aroma, mouthfeel, taste, aftertaste, and overall acceptability, using a structured 9-point hedonic scale where 9 = Like extremely and 1 = Dislike</w:t>
      </w:r>
      <w:r w:rsidRPr="006D615E">
        <w:rPr>
          <w:rFonts w:ascii="Arial" w:hAnsi="Arial" w:cs="Arial"/>
          <w:sz w:val="20"/>
          <w:szCs w:val="20"/>
        </w:rPr>
        <w:t xml:space="preserve"> extremely</w:t>
      </w:r>
      <w:r w:rsidR="006F7CF4" w:rsidRPr="006D615E">
        <w:rPr>
          <w:rFonts w:ascii="Arial" w:hAnsi="Arial" w:cs="Arial"/>
          <w:sz w:val="20"/>
          <w:szCs w:val="20"/>
        </w:rPr>
        <w:t xml:space="preserve">. </w:t>
      </w:r>
    </w:p>
    <w:p w14:paraId="11E8B6C1" w14:textId="45759B3B"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lastRenderedPageBreak/>
        <w:t xml:space="preserve">2.11 </w:t>
      </w:r>
      <w:r w:rsidR="005B3955" w:rsidRPr="00222D19">
        <w:rPr>
          <w:rFonts w:ascii="Arial" w:hAnsi="Arial" w:cs="Arial"/>
          <w:b/>
          <w:bCs/>
          <w:sz w:val="22"/>
          <w:szCs w:val="22"/>
        </w:rPr>
        <w:t>Experimental Design and Statistical Analysis</w:t>
      </w:r>
    </w:p>
    <w:p w14:paraId="397501E6" w14:textId="2D622320" w:rsidR="005C2CC6"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This study used a Completely </w:t>
      </w:r>
      <w:r w:rsidR="00222D19">
        <w:rPr>
          <w:rFonts w:ascii="Arial" w:hAnsi="Arial" w:cs="Arial"/>
          <w:sz w:val="20"/>
          <w:szCs w:val="20"/>
        </w:rPr>
        <w:t>Randomized</w:t>
      </w:r>
      <w:r w:rsidRPr="006D615E">
        <w:rPr>
          <w:rFonts w:ascii="Arial" w:hAnsi="Arial" w:cs="Arial"/>
          <w:sz w:val="20"/>
          <w:szCs w:val="20"/>
        </w:rPr>
        <w:t xml:space="preserve"> Design (CRD) with three treatment groups</w:t>
      </w:r>
      <w:r w:rsidR="00204CAC" w:rsidRPr="006D615E">
        <w:rPr>
          <w:rFonts w:ascii="Arial" w:hAnsi="Arial" w:cs="Arial"/>
          <w:sz w:val="20"/>
          <w:szCs w:val="20"/>
        </w:rPr>
        <w:t xml:space="preserve"> as described in Table 1</w:t>
      </w:r>
      <w:r w:rsidRPr="006D615E">
        <w:rPr>
          <w:rFonts w:ascii="Arial" w:hAnsi="Arial" w:cs="Arial"/>
          <w:sz w:val="20"/>
          <w:szCs w:val="20"/>
        </w:rPr>
        <w:t>. All non-flour ingredients were held constant across treatments. Data were analyzed using one-way analysis of variance (ANOVA)</w:t>
      </w:r>
      <w:r w:rsidR="00222D19">
        <w:rPr>
          <w:rFonts w:ascii="Arial" w:hAnsi="Arial" w:cs="Arial"/>
          <w:sz w:val="20"/>
          <w:szCs w:val="20"/>
        </w:rPr>
        <w:t>,</w:t>
      </w:r>
      <w:r w:rsidRPr="006D615E">
        <w:rPr>
          <w:rFonts w:ascii="Arial" w:hAnsi="Arial" w:cs="Arial"/>
          <w:sz w:val="20"/>
          <w:szCs w:val="20"/>
        </w:rPr>
        <w:t xml:space="preserve"> and significant differences were separated using LSD (Least Significant Differences) at p &lt; 0.05. All analyses were performed in triplicate, and the results were expressed as means ± standard deviation. </w:t>
      </w:r>
    </w:p>
    <w:p w14:paraId="6EBAFECD" w14:textId="7EFB93EC" w:rsidR="005C2CC6" w:rsidRPr="006D615E"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3. </w:t>
      </w:r>
      <w:r w:rsidR="005C2CC6" w:rsidRPr="006D615E">
        <w:rPr>
          <w:rFonts w:ascii="Arial" w:hAnsi="Arial" w:cs="Arial"/>
          <w:b/>
          <w:bCs/>
          <w:sz w:val="22"/>
          <w:szCs w:val="22"/>
        </w:rPr>
        <w:t>RESULT AND DISCUSSION</w:t>
      </w:r>
    </w:p>
    <w:p w14:paraId="3D2A2653" w14:textId="6FAB04AA" w:rsidR="00E10434" w:rsidRPr="00222D19"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3.1 </w:t>
      </w:r>
      <w:r w:rsidR="00E10434" w:rsidRPr="00222D19">
        <w:rPr>
          <w:rFonts w:ascii="Arial" w:hAnsi="Arial" w:cs="Arial"/>
          <w:b/>
          <w:bCs/>
          <w:sz w:val="22"/>
          <w:szCs w:val="22"/>
        </w:rPr>
        <w:t>Proximate Composition</w:t>
      </w:r>
    </w:p>
    <w:p w14:paraId="150D1D2A" w14:textId="18E16E2C" w:rsidR="00E10434" w:rsidRPr="006D615E" w:rsidRDefault="00E10434" w:rsidP="006521FB">
      <w:pPr>
        <w:spacing w:line="480" w:lineRule="auto"/>
        <w:jc w:val="both"/>
        <w:rPr>
          <w:rFonts w:ascii="Arial" w:hAnsi="Arial" w:cs="Arial"/>
          <w:sz w:val="20"/>
          <w:szCs w:val="20"/>
        </w:rPr>
      </w:pPr>
      <w:r w:rsidRPr="006D615E">
        <w:rPr>
          <w:rFonts w:ascii="Arial" w:hAnsi="Arial" w:cs="Arial"/>
          <w:sz w:val="20"/>
          <w:szCs w:val="20"/>
        </w:rPr>
        <w:t>The proximate composition of the biscuit samples is presented in Table 2. The moisture content of the biscuit samples ranged from 3.49</w:t>
      </w:r>
      <w:r w:rsidR="00204CAC" w:rsidRPr="006D615E">
        <w:rPr>
          <w:rFonts w:ascii="Arial" w:hAnsi="Arial" w:cs="Arial"/>
          <w:sz w:val="20"/>
          <w:szCs w:val="20"/>
        </w:rPr>
        <w:t xml:space="preserve"> to 5.31 g/100g from </w:t>
      </w:r>
      <w:r w:rsidRPr="006D615E">
        <w:rPr>
          <w:rFonts w:ascii="Arial" w:hAnsi="Arial" w:cs="Arial"/>
          <w:sz w:val="20"/>
          <w:szCs w:val="20"/>
        </w:rPr>
        <w:t xml:space="preserve">the control </w:t>
      </w:r>
      <w:r w:rsidR="00204CAC" w:rsidRPr="006D615E">
        <w:rPr>
          <w:rFonts w:ascii="Arial" w:hAnsi="Arial" w:cs="Arial"/>
          <w:sz w:val="20"/>
          <w:szCs w:val="20"/>
        </w:rPr>
        <w:t>to</w:t>
      </w:r>
      <w:r w:rsidRPr="006D615E">
        <w:rPr>
          <w:rFonts w:ascii="Arial" w:hAnsi="Arial" w:cs="Arial"/>
          <w:sz w:val="20"/>
          <w:szCs w:val="20"/>
        </w:rPr>
        <w:t xml:space="preserve"> Sample B. There was no significant difference (p &lt; 0.05) in moisture content between the control and sample A (3.85 g/100g).</w:t>
      </w:r>
      <w:r w:rsidR="003F0BED" w:rsidRPr="006D615E">
        <w:rPr>
          <w:rFonts w:ascii="Arial" w:hAnsi="Arial" w:cs="Arial"/>
          <w:sz w:val="20"/>
          <w:szCs w:val="20"/>
        </w:rPr>
        <w:t xml:space="preserve"> </w:t>
      </w:r>
      <w:r w:rsidR="003F0BED" w:rsidRPr="006D615E">
        <w:rPr>
          <w:rFonts w:ascii="Arial" w:eastAsia="SimSun" w:hAnsi="Arial" w:cs="Arial"/>
          <w:sz w:val="20"/>
          <w:szCs w:val="20"/>
          <w:lang w:eastAsia="zh-CN"/>
        </w:rPr>
        <w:t>The moisture content of the biscuit samples was within an acceptable range for biscuits (1-5%) (</w:t>
      </w:r>
      <w:proofErr w:type="spellStart"/>
      <w:r w:rsidR="003F0BED" w:rsidRPr="006D615E">
        <w:rPr>
          <w:rFonts w:ascii="Arial" w:eastAsia="SimSun" w:hAnsi="Arial" w:cs="Arial"/>
          <w:sz w:val="20"/>
          <w:szCs w:val="20"/>
          <w:lang w:eastAsia="zh-CN"/>
        </w:rPr>
        <w:t>Akajiaku</w:t>
      </w:r>
      <w:proofErr w:type="spellEnd"/>
      <w:r w:rsidR="003F0BED" w:rsidRPr="006D615E">
        <w:rPr>
          <w:rFonts w:ascii="Arial" w:eastAsia="SimSun" w:hAnsi="Arial" w:cs="Arial"/>
          <w:sz w:val="20"/>
          <w:szCs w:val="20"/>
          <w:lang w:eastAsia="zh-CN"/>
        </w:rPr>
        <w:t xml:space="preserve"> et al., 2018). The progressively higher moisture content with increasingly higher </w:t>
      </w:r>
      <w:proofErr w:type="spellStart"/>
      <w:r w:rsidR="003F0BED" w:rsidRPr="006D615E">
        <w:rPr>
          <w:rFonts w:ascii="Arial" w:eastAsia="SimSun" w:hAnsi="Arial" w:cs="Arial"/>
          <w:i/>
          <w:iCs/>
          <w:sz w:val="20"/>
          <w:szCs w:val="20"/>
          <w:lang w:eastAsia="zh-CN"/>
        </w:rPr>
        <w:t>Afzelia</w:t>
      </w:r>
      <w:proofErr w:type="spellEnd"/>
      <w:r w:rsidR="003F0BED" w:rsidRPr="006D615E">
        <w:rPr>
          <w:rFonts w:ascii="Arial" w:eastAsia="SimSun" w:hAnsi="Arial" w:cs="Arial"/>
          <w:i/>
          <w:iCs/>
          <w:sz w:val="20"/>
          <w:szCs w:val="20"/>
          <w:lang w:eastAsia="zh-CN"/>
        </w:rPr>
        <w:t xml:space="preserve"> </w:t>
      </w:r>
      <w:proofErr w:type="spellStart"/>
      <w:r w:rsidR="003F0BED" w:rsidRPr="006D615E">
        <w:rPr>
          <w:rFonts w:ascii="Arial" w:eastAsia="SimSun" w:hAnsi="Arial" w:cs="Arial"/>
          <w:i/>
          <w:iCs/>
          <w:sz w:val="20"/>
          <w:szCs w:val="20"/>
          <w:lang w:eastAsia="zh-CN"/>
        </w:rPr>
        <w:t>africana</w:t>
      </w:r>
      <w:proofErr w:type="spellEnd"/>
      <w:r w:rsidR="003F0BED" w:rsidRPr="006D615E">
        <w:rPr>
          <w:rFonts w:ascii="Arial" w:eastAsia="SimSun" w:hAnsi="Arial" w:cs="Arial"/>
          <w:i/>
          <w:iCs/>
          <w:sz w:val="20"/>
          <w:szCs w:val="20"/>
          <w:lang w:eastAsia="zh-CN"/>
        </w:rPr>
        <w:t xml:space="preserve"> </w:t>
      </w:r>
      <w:r w:rsidR="003F0BED" w:rsidRPr="006D615E">
        <w:rPr>
          <w:rFonts w:ascii="Arial" w:eastAsia="SimSun" w:hAnsi="Arial" w:cs="Arial"/>
          <w:sz w:val="20"/>
          <w:szCs w:val="20"/>
          <w:lang w:eastAsia="zh-CN"/>
        </w:rPr>
        <w:t>flour substitution could be attributed to the characteristic moisture-retaining capacity of legume flours (</w:t>
      </w:r>
      <w:proofErr w:type="spellStart"/>
      <w:r w:rsidR="003F0BED" w:rsidRPr="006D615E">
        <w:rPr>
          <w:rFonts w:ascii="Arial" w:eastAsia="SimSun" w:hAnsi="Arial" w:cs="Arial"/>
          <w:sz w:val="20"/>
          <w:szCs w:val="20"/>
          <w:lang w:eastAsia="zh-CN"/>
        </w:rPr>
        <w:t>Igbabul</w:t>
      </w:r>
      <w:proofErr w:type="spellEnd"/>
      <w:r w:rsidR="003F0BED" w:rsidRPr="006D615E">
        <w:rPr>
          <w:rFonts w:ascii="Arial" w:eastAsia="SimSun" w:hAnsi="Arial" w:cs="Arial"/>
          <w:sz w:val="20"/>
          <w:szCs w:val="20"/>
          <w:lang w:eastAsia="zh-CN"/>
        </w:rPr>
        <w:t xml:space="preserve"> et al., 2014). Low moisture content inhibits microbial growth.</w:t>
      </w:r>
      <w:r w:rsidRPr="006D615E">
        <w:rPr>
          <w:rFonts w:ascii="Arial" w:hAnsi="Arial" w:cs="Arial"/>
          <w:sz w:val="20"/>
          <w:szCs w:val="20"/>
        </w:rPr>
        <w:t xml:space="preserve"> Crude protein content increased progressively with increasing levels of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 xml:space="preserve">flour, with the control having the least protein (3.66 g/100g), followed by sample A (4.58 g/100g) and the highest protein recorded in sample B (5.52 g/100g). All three samples were significantly different (p &lt;0.05). The trend showed a consistent, dose-dependent increase in crude protein with increasing substitution of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sz w:val="20"/>
          <w:szCs w:val="20"/>
        </w:rPr>
        <w:t xml:space="preserve"> flour.</w:t>
      </w:r>
      <w:r w:rsidR="003F0BED" w:rsidRPr="006D615E">
        <w:rPr>
          <w:rFonts w:ascii="Arial" w:hAnsi="Arial" w:cs="Arial"/>
          <w:sz w:val="20"/>
          <w:szCs w:val="20"/>
        </w:rPr>
        <w:t xml:space="preserve"> </w:t>
      </w:r>
      <w:r w:rsidR="003F0BED" w:rsidRPr="006D615E">
        <w:rPr>
          <w:rFonts w:ascii="Arial" w:eastAsia="SimSun" w:hAnsi="Arial" w:cs="Arial"/>
          <w:sz w:val="20"/>
          <w:szCs w:val="20"/>
          <w:lang w:eastAsia="zh-CN"/>
        </w:rPr>
        <w:t xml:space="preserve">The increase in protein content directly reflects the protein contribution of </w:t>
      </w:r>
      <w:proofErr w:type="spellStart"/>
      <w:r w:rsidR="003F0BED" w:rsidRPr="006D615E">
        <w:rPr>
          <w:rFonts w:ascii="Arial" w:eastAsia="SimSun" w:hAnsi="Arial" w:cs="Arial"/>
          <w:i/>
          <w:iCs/>
          <w:sz w:val="20"/>
          <w:szCs w:val="20"/>
          <w:lang w:eastAsia="zh-CN"/>
        </w:rPr>
        <w:t>Afzelia</w:t>
      </w:r>
      <w:proofErr w:type="spellEnd"/>
      <w:r w:rsidR="003F0BED" w:rsidRPr="006D615E">
        <w:rPr>
          <w:rFonts w:ascii="Arial" w:eastAsia="SimSun" w:hAnsi="Arial" w:cs="Arial"/>
          <w:i/>
          <w:iCs/>
          <w:sz w:val="20"/>
          <w:szCs w:val="20"/>
          <w:lang w:eastAsia="zh-CN"/>
        </w:rPr>
        <w:t xml:space="preserve"> </w:t>
      </w:r>
      <w:proofErr w:type="spellStart"/>
      <w:r w:rsidR="003F0BED" w:rsidRPr="006D615E">
        <w:rPr>
          <w:rFonts w:ascii="Arial" w:eastAsia="SimSun" w:hAnsi="Arial" w:cs="Arial"/>
          <w:i/>
          <w:iCs/>
          <w:sz w:val="20"/>
          <w:szCs w:val="20"/>
          <w:lang w:eastAsia="zh-CN"/>
        </w:rPr>
        <w:t>africana</w:t>
      </w:r>
      <w:proofErr w:type="spellEnd"/>
      <w:r w:rsidR="003F0BED" w:rsidRPr="006D615E">
        <w:rPr>
          <w:rFonts w:ascii="Arial" w:eastAsia="SimSun" w:hAnsi="Arial" w:cs="Arial"/>
          <w:i/>
          <w:iCs/>
          <w:sz w:val="20"/>
          <w:szCs w:val="20"/>
          <w:lang w:eastAsia="zh-CN"/>
        </w:rPr>
        <w:t xml:space="preserve"> </w:t>
      </w:r>
      <w:r w:rsidR="003F0BED" w:rsidRPr="006D615E">
        <w:rPr>
          <w:rFonts w:ascii="Arial" w:eastAsia="SimSun" w:hAnsi="Arial" w:cs="Arial"/>
          <w:sz w:val="20"/>
          <w:szCs w:val="20"/>
          <w:lang w:eastAsia="zh-CN"/>
        </w:rPr>
        <w:t>seed flour which is documented to contain as much as 15 to 38% crude protein depending on the processing method (</w:t>
      </w:r>
      <w:proofErr w:type="spellStart"/>
      <w:r w:rsidR="003F0BED" w:rsidRPr="006D615E">
        <w:rPr>
          <w:rFonts w:ascii="Arial" w:eastAsia="SimSun" w:hAnsi="Arial" w:cs="Arial"/>
          <w:sz w:val="20"/>
          <w:szCs w:val="20"/>
          <w:lang w:eastAsia="zh-CN"/>
        </w:rPr>
        <w:t>Igbabul</w:t>
      </w:r>
      <w:proofErr w:type="spellEnd"/>
      <w:r w:rsidR="003F0BED" w:rsidRPr="006D615E">
        <w:rPr>
          <w:rFonts w:ascii="Arial" w:eastAsia="SimSun" w:hAnsi="Arial" w:cs="Arial"/>
          <w:sz w:val="20"/>
          <w:szCs w:val="20"/>
          <w:lang w:eastAsia="zh-CN"/>
        </w:rPr>
        <w:t xml:space="preserve"> et al., 2014). This is consistent with the widely established principle that adding legume flour to baked products improves the protein quality of cereal- and tuber-based baked goods (Agu et al., 2023). The protein augmentation is of particular nutritional interest to protein-vulnerable populations such as under-five children, the elderly, and individuals with elevated physiological protein requirements (Popoola et al., 2023).</w:t>
      </w:r>
    </w:p>
    <w:p w14:paraId="30E2F80E" w14:textId="77777777" w:rsidR="003F0BED"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 xml:space="preserve">Crude fat content increased with higher </w:t>
      </w:r>
      <w:r w:rsidRPr="006D615E">
        <w:rPr>
          <w:rFonts w:ascii="Arial" w:hAnsi="Arial" w:cs="Arial"/>
          <w:i/>
          <w:iCs/>
          <w:sz w:val="20"/>
          <w:szCs w:val="20"/>
        </w:rPr>
        <w:t xml:space="preserve">levels of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flour substitution</w:t>
      </w:r>
      <w:r w:rsidRPr="006D615E">
        <w:rPr>
          <w:rFonts w:ascii="Arial" w:hAnsi="Arial" w:cs="Arial"/>
          <w:sz w:val="20"/>
          <w:szCs w:val="20"/>
        </w:rPr>
        <w:t xml:space="preserve">. The control recorded the lowest fat content (27.63 g/100g), while sample B showed the highest (29.48 g/100g). However, there was no significant difference (p &lt; 0.05) between sample A and the control. </w:t>
      </w:r>
      <w:r w:rsidR="003F0BED" w:rsidRPr="006D615E">
        <w:rPr>
          <w:rFonts w:ascii="Arial" w:eastAsia="SimSun" w:hAnsi="Arial" w:cs="Arial"/>
          <w:sz w:val="20"/>
          <w:szCs w:val="20"/>
          <w:lang w:eastAsia="zh-CN"/>
        </w:rPr>
        <w:t xml:space="preserve">The increase in crude fat content </w:t>
      </w:r>
      <w:r w:rsidR="003F0BED" w:rsidRPr="006D615E">
        <w:rPr>
          <w:rFonts w:ascii="Arial" w:eastAsia="SimSun" w:hAnsi="Arial" w:cs="Arial"/>
          <w:sz w:val="20"/>
          <w:szCs w:val="20"/>
          <w:lang w:eastAsia="zh-CN"/>
        </w:rPr>
        <w:lastRenderedPageBreak/>
        <w:t>from 27.63 g/100g to 29.48 g/100g with increasing substitution of</w:t>
      </w:r>
      <w:r w:rsidR="003F0BED" w:rsidRPr="006D615E">
        <w:rPr>
          <w:rFonts w:ascii="Arial" w:eastAsia="SimSun" w:hAnsi="Arial" w:cs="Arial"/>
          <w:i/>
          <w:iCs/>
          <w:sz w:val="20"/>
          <w:szCs w:val="20"/>
          <w:lang w:eastAsia="zh-CN"/>
        </w:rPr>
        <w:t xml:space="preserve"> </w:t>
      </w:r>
      <w:proofErr w:type="spellStart"/>
      <w:r w:rsidR="003F0BED" w:rsidRPr="006D615E">
        <w:rPr>
          <w:rFonts w:ascii="Arial" w:eastAsia="SimSun" w:hAnsi="Arial" w:cs="Arial"/>
          <w:i/>
          <w:iCs/>
          <w:sz w:val="20"/>
          <w:szCs w:val="20"/>
          <w:lang w:eastAsia="zh-CN"/>
        </w:rPr>
        <w:t>Afzelia</w:t>
      </w:r>
      <w:proofErr w:type="spellEnd"/>
      <w:r w:rsidR="003F0BED" w:rsidRPr="006D615E">
        <w:rPr>
          <w:rFonts w:ascii="Arial" w:eastAsia="SimSun" w:hAnsi="Arial" w:cs="Arial"/>
          <w:i/>
          <w:iCs/>
          <w:sz w:val="20"/>
          <w:szCs w:val="20"/>
          <w:lang w:eastAsia="zh-CN"/>
        </w:rPr>
        <w:t xml:space="preserve"> </w:t>
      </w:r>
      <w:proofErr w:type="spellStart"/>
      <w:r w:rsidR="003F0BED" w:rsidRPr="006D615E">
        <w:rPr>
          <w:rFonts w:ascii="Arial" w:eastAsia="SimSun" w:hAnsi="Arial" w:cs="Arial"/>
          <w:sz w:val="20"/>
          <w:szCs w:val="20"/>
          <w:lang w:eastAsia="zh-CN"/>
        </w:rPr>
        <w:t>africana</w:t>
      </w:r>
      <w:proofErr w:type="spellEnd"/>
      <w:r w:rsidR="003F0BED" w:rsidRPr="006D615E">
        <w:rPr>
          <w:rFonts w:ascii="Arial" w:eastAsia="SimSun" w:hAnsi="Arial" w:cs="Arial"/>
          <w:sz w:val="20"/>
          <w:szCs w:val="20"/>
          <w:lang w:eastAsia="zh-CN"/>
        </w:rPr>
        <w:t xml:space="preserve"> seed flour could be attributed to the legume seed's high lipid content, reported at 30% on a dry weight basis (Bolanle, 2010). The comparably high fat content of </w:t>
      </w:r>
      <w:proofErr w:type="spellStart"/>
      <w:r w:rsidR="003F0BED" w:rsidRPr="006D615E">
        <w:rPr>
          <w:rFonts w:ascii="Arial" w:eastAsia="SimSun" w:hAnsi="Arial" w:cs="Arial"/>
          <w:sz w:val="20"/>
          <w:szCs w:val="20"/>
          <w:lang w:eastAsia="zh-CN"/>
        </w:rPr>
        <w:t>tigernut</w:t>
      </w:r>
      <w:proofErr w:type="spellEnd"/>
      <w:r w:rsidR="003F0BED" w:rsidRPr="006D615E">
        <w:rPr>
          <w:rFonts w:ascii="Arial" w:eastAsia="SimSun" w:hAnsi="Arial" w:cs="Arial"/>
          <w:sz w:val="20"/>
          <w:szCs w:val="20"/>
          <w:lang w:eastAsia="zh-CN"/>
        </w:rPr>
        <w:t xml:space="preserve"> flour itself, chiefly composed of oleic acid, a cardioprotective monounsaturated fatty acid, represents a beneficial lipid fraction (He et al., 2025).</w:t>
      </w:r>
    </w:p>
    <w:p w14:paraId="1D4F73C3" w14:textId="54C69273"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Crude fiber content ranged from 0.48 in the control to 2.29 g/100g in sample B. There was no significant difference (p &lt; 0.05) in crude fiber between the control and sample A. Crude ash content showed a similar progressive pattern, ranging from 1.05 g/100g in the control to 2.78 g/100g in sample B. There were significant differences between all the samples.</w:t>
      </w:r>
      <w:r w:rsidR="003F0BED" w:rsidRPr="006D615E">
        <w:rPr>
          <w:rFonts w:ascii="Arial" w:hAnsi="Arial" w:cs="Arial"/>
          <w:sz w:val="20"/>
          <w:szCs w:val="20"/>
        </w:rPr>
        <w:t xml:space="preserve"> </w:t>
      </w:r>
      <w:r w:rsidR="003F0BED" w:rsidRPr="006D615E">
        <w:rPr>
          <w:rFonts w:ascii="Arial" w:eastAsia="SimSun" w:hAnsi="Arial" w:cs="Arial"/>
          <w:sz w:val="20"/>
          <w:szCs w:val="20"/>
          <w:lang w:eastAsia="zh-CN"/>
        </w:rPr>
        <w:t xml:space="preserve">The significant increase in crude fiber and ash content with higher </w:t>
      </w:r>
      <w:proofErr w:type="spellStart"/>
      <w:r w:rsidR="003F0BED" w:rsidRPr="006D615E">
        <w:rPr>
          <w:rFonts w:ascii="Arial" w:eastAsia="SimSun" w:hAnsi="Arial" w:cs="Arial"/>
          <w:i/>
          <w:iCs/>
          <w:sz w:val="20"/>
          <w:szCs w:val="20"/>
          <w:lang w:eastAsia="zh-CN"/>
        </w:rPr>
        <w:t>Afzelia</w:t>
      </w:r>
      <w:proofErr w:type="spellEnd"/>
      <w:r w:rsidR="003F0BED" w:rsidRPr="006D615E">
        <w:rPr>
          <w:rFonts w:ascii="Arial" w:eastAsia="SimSun" w:hAnsi="Arial" w:cs="Arial"/>
          <w:i/>
          <w:iCs/>
          <w:sz w:val="20"/>
          <w:szCs w:val="20"/>
          <w:lang w:eastAsia="zh-CN"/>
        </w:rPr>
        <w:t xml:space="preserve"> </w:t>
      </w:r>
      <w:proofErr w:type="spellStart"/>
      <w:r w:rsidR="003F0BED" w:rsidRPr="006D615E">
        <w:rPr>
          <w:rFonts w:ascii="Arial" w:eastAsia="SimSun" w:hAnsi="Arial" w:cs="Arial"/>
          <w:i/>
          <w:iCs/>
          <w:sz w:val="20"/>
          <w:szCs w:val="20"/>
          <w:lang w:eastAsia="zh-CN"/>
        </w:rPr>
        <w:t>africana</w:t>
      </w:r>
      <w:proofErr w:type="spellEnd"/>
      <w:r w:rsidR="003F0BED" w:rsidRPr="006D615E">
        <w:rPr>
          <w:rFonts w:ascii="Arial" w:eastAsia="SimSun" w:hAnsi="Arial" w:cs="Arial"/>
          <w:i/>
          <w:iCs/>
          <w:sz w:val="20"/>
          <w:szCs w:val="20"/>
          <w:lang w:eastAsia="zh-CN"/>
        </w:rPr>
        <w:t xml:space="preserve"> </w:t>
      </w:r>
      <w:r w:rsidR="003F0BED" w:rsidRPr="006D615E">
        <w:rPr>
          <w:rFonts w:ascii="Arial" w:eastAsia="SimSun" w:hAnsi="Arial" w:cs="Arial"/>
          <w:sz w:val="20"/>
          <w:szCs w:val="20"/>
          <w:lang w:eastAsia="zh-CN"/>
        </w:rPr>
        <w:t xml:space="preserve">substitution level further supports the higher nutritional potential of composite flours. Dietary fiber is important in gut health, </w:t>
      </w:r>
      <w:proofErr w:type="spellStart"/>
      <w:r w:rsidR="003F0BED" w:rsidRPr="006D615E">
        <w:rPr>
          <w:rFonts w:ascii="Arial" w:eastAsia="SimSun" w:hAnsi="Arial" w:cs="Arial"/>
          <w:sz w:val="20"/>
          <w:szCs w:val="20"/>
          <w:lang w:eastAsia="zh-CN"/>
        </w:rPr>
        <w:t>glycaemic</w:t>
      </w:r>
      <w:proofErr w:type="spellEnd"/>
      <w:r w:rsidR="003F0BED" w:rsidRPr="006D615E">
        <w:rPr>
          <w:rFonts w:ascii="Arial" w:eastAsia="SimSun" w:hAnsi="Arial" w:cs="Arial"/>
          <w:sz w:val="20"/>
          <w:szCs w:val="20"/>
          <w:lang w:eastAsia="zh-CN"/>
        </w:rPr>
        <w:t xml:space="preserve"> regulation, and satiety (Ranasinghe et al., 2025). </w:t>
      </w:r>
      <w:r w:rsidRPr="006D615E">
        <w:rPr>
          <w:rFonts w:ascii="Arial" w:hAnsi="Arial" w:cs="Arial"/>
          <w:sz w:val="20"/>
          <w:szCs w:val="20"/>
        </w:rPr>
        <w:t xml:space="preserve"> Total carbohydrate content, as determined by differences, showed an inverse relationship with other proximate parameters. The control recorded the highest carbohydrate content (63.71 g/100g), followed by sample A (60.32 g/100g), and sample B (54.63 g/100g).</w:t>
      </w:r>
      <w:r w:rsidR="003F0BED" w:rsidRPr="006D615E">
        <w:rPr>
          <w:rFonts w:ascii="Arial" w:hAnsi="Arial" w:cs="Arial"/>
          <w:sz w:val="20"/>
          <w:szCs w:val="20"/>
        </w:rPr>
        <w:t xml:space="preserve"> </w:t>
      </w:r>
      <w:r w:rsidR="003F0BED" w:rsidRPr="006D615E">
        <w:rPr>
          <w:rFonts w:ascii="Arial" w:eastAsia="SimSun" w:hAnsi="Arial" w:cs="Arial"/>
          <w:sz w:val="20"/>
          <w:szCs w:val="20"/>
          <w:lang w:eastAsia="zh-CN"/>
        </w:rPr>
        <w:t xml:space="preserve">The inverse reduction in carbohydrate is a mathematical consequence of the increase in the proximate fractions and is consistent with the substitution of a carbohydrate-dominant tuber flour with a protein- and fat-rich legume flour.  </w:t>
      </w:r>
    </w:p>
    <w:p w14:paraId="0C18C18E"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Table 2: Proximate Composition of </w:t>
      </w:r>
      <w:proofErr w:type="spellStart"/>
      <w:r w:rsidRPr="006D615E">
        <w:rPr>
          <w:rFonts w:ascii="Arial" w:eastAsia="SimSun" w:hAnsi="Arial" w:cs="Arial"/>
          <w:b/>
          <w:bCs/>
          <w:sz w:val="20"/>
          <w:szCs w:val="20"/>
          <w:lang w:eastAsia="zh-CN"/>
        </w:rPr>
        <w:t>Tigernut</w:t>
      </w:r>
      <w:proofErr w:type="spellEnd"/>
      <w:r w:rsidRPr="006D615E">
        <w:rPr>
          <w:rFonts w:ascii="Arial" w:eastAsia="SimSun" w:hAnsi="Arial" w:cs="Arial"/>
          <w:b/>
          <w:bCs/>
          <w:sz w:val="20"/>
          <w:szCs w:val="20"/>
          <w:lang w:eastAsia="zh-CN"/>
        </w:rPr>
        <w:t xml:space="preserve"> and </w:t>
      </w:r>
      <w:proofErr w:type="spellStart"/>
      <w:r w:rsidRPr="006D615E">
        <w:rPr>
          <w:rFonts w:ascii="Arial" w:eastAsia="SimSun" w:hAnsi="Arial" w:cs="Arial"/>
          <w:b/>
          <w:bCs/>
          <w:sz w:val="20"/>
          <w:szCs w:val="20"/>
          <w:lang w:eastAsia="zh-CN"/>
        </w:rPr>
        <w:t>Tigernut-</w:t>
      </w:r>
      <w:r w:rsidRPr="006D615E">
        <w:rPr>
          <w:rFonts w:ascii="Arial" w:eastAsia="SimSun" w:hAnsi="Arial" w:cs="Arial"/>
          <w:b/>
          <w:bCs/>
          <w:i/>
          <w:iCs/>
          <w:sz w:val="20"/>
          <w:szCs w:val="20"/>
          <w:lang w:eastAsia="zh-CN"/>
        </w:rPr>
        <w:t>Afzelia</w:t>
      </w:r>
      <w:proofErr w:type="spellEnd"/>
      <w:r w:rsidRPr="006D615E">
        <w:rPr>
          <w:rFonts w:ascii="Arial" w:eastAsia="SimSun" w:hAnsi="Arial" w:cs="Arial"/>
          <w:b/>
          <w:bCs/>
          <w:i/>
          <w:iCs/>
          <w:sz w:val="20"/>
          <w:szCs w:val="20"/>
          <w:lang w:eastAsia="zh-CN"/>
        </w:rPr>
        <w:t xml:space="preserve"> </w:t>
      </w:r>
      <w:proofErr w:type="spellStart"/>
      <w:r w:rsidRPr="006D615E">
        <w:rPr>
          <w:rFonts w:ascii="Arial" w:eastAsia="SimSun" w:hAnsi="Arial" w:cs="Arial"/>
          <w:b/>
          <w:bCs/>
          <w:i/>
          <w:iCs/>
          <w:sz w:val="20"/>
          <w:szCs w:val="20"/>
          <w:lang w:eastAsia="zh-CN"/>
        </w:rPr>
        <w:t>africana</w:t>
      </w:r>
      <w:proofErr w:type="spellEnd"/>
      <w:r w:rsidRPr="006D615E">
        <w:rPr>
          <w:rFonts w:ascii="Arial" w:eastAsia="SimSun" w:hAnsi="Arial" w:cs="Arial"/>
          <w:b/>
          <w:bCs/>
          <w:sz w:val="20"/>
          <w:szCs w:val="20"/>
          <w:lang w:eastAsia="zh-CN"/>
        </w:rPr>
        <w:t xml:space="preserve"> Biscuits</w:t>
      </w:r>
    </w:p>
    <w:tbl>
      <w:tblPr>
        <w:tblW w:w="9180" w:type="dxa"/>
        <w:tblBorders>
          <w:top w:val="single" w:sz="4" w:space="0" w:color="auto"/>
          <w:bottom w:val="single" w:sz="4" w:space="0" w:color="auto"/>
        </w:tblBorders>
        <w:tblLayout w:type="fixed"/>
        <w:tblLook w:val="04A0" w:firstRow="1" w:lastRow="0" w:firstColumn="1" w:lastColumn="0" w:noHBand="0" w:noVBand="1"/>
      </w:tblPr>
      <w:tblGrid>
        <w:gridCol w:w="2880"/>
        <w:gridCol w:w="1980"/>
        <w:gridCol w:w="2250"/>
        <w:gridCol w:w="2070"/>
      </w:tblGrid>
      <w:tr w:rsidR="00E10434" w:rsidRPr="006D615E" w14:paraId="61DD1B37" w14:textId="77777777" w:rsidTr="00564F0B">
        <w:tc>
          <w:tcPr>
            <w:tcW w:w="2880" w:type="dxa"/>
            <w:tcBorders>
              <w:top w:val="single" w:sz="4" w:space="0" w:color="auto"/>
              <w:bottom w:val="single" w:sz="4" w:space="0" w:color="auto"/>
            </w:tcBorders>
            <w:tcMar>
              <w:top w:w="0" w:type="dxa"/>
              <w:left w:w="108" w:type="dxa"/>
              <w:bottom w:w="0" w:type="dxa"/>
              <w:right w:w="108" w:type="dxa"/>
            </w:tcMar>
          </w:tcPr>
          <w:p w14:paraId="2CC6238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Proximate Values</w:t>
            </w:r>
          </w:p>
        </w:tc>
        <w:tc>
          <w:tcPr>
            <w:tcW w:w="1980" w:type="dxa"/>
            <w:tcBorders>
              <w:top w:val="single" w:sz="4" w:space="0" w:color="auto"/>
              <w:bottom w:val="single" w:sz="4" w:space="0" w:color="auto"/>
            </w:tcBorders>
            <w:tcMar>
              <w:top w:w="0" w:type="dxa"/>
              <w:left w:w="108" w:type="dxa"/>
              <w:bottom w:w="0" w:type="dxa"/>
              <w:right w:w="108" w:type="dxa"/>
            </w:tcMar>
          </w:tcPr>
          <w:p w14:paraId="484DBBB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250" w:type="dxa"/>
            <w:tcBorders>
              <w:top w:val="single" w:sz="4" w:space="0" w:color="auto"/>
              <w:bottom w:val="single" w:sz="4" w:space="0" w:color="auto"/>
            </w:tcBorders>
            <w:tcMar>
              <w:top w:w="0" w:type="dxa"/>
              <w:left w:w="108" w:type="dxa"/>
              <w:bottom w:w="0" w:type="dxa"/>
              <w:right w:w="108" w:type="dxa"/>
            </w:tcMar>
          </w:tcPr>
          <w:p w14:paraId="69268AB5"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2070" w:type="dxa"/>
            <w:tcBorders>
              <w:top w:val="single" w:sz="4" w:space="0" w:color="auto"/>
              <w:bottom w:val="single" w:sz="4" w:space="0" w:color="auto"/>
            </w:tcBorders>
            <w:tcMar>
              <w:top w:w="0" w:type="dxa"/>
              <w:left w:w="108" w:type="dxa"/>
              <w:bottom w:w="0" w:type="dxa"/>
              <w:right w:w="108" w:type="dxa"/>
            </w:tcMar>
          </w:tcPr>
          <w:p w14:paraId="06A422F1"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18BB9D03" w14:textId="77777777" w:rsidTr="00564F0B">
        <w:tc>
          <w:tcPr>
            <w:tcW w:w="2880" w:type="dxa"/>
            <w:tcBorders>
              <w:top w:val="single" w:sz="4" w:space="0" w:color="auto"/>
            </w:tcBorders>
            <w:tcMar>
              <w:top w:w="0" w:type="dxa"/>
              <w:left w:w="108" w:type="dxa"/>
              <w:bottom w:w="0" w:type="dxa"/>
              <w:right w:w="108" w:type="dxa"/>
            </w:tcMar>
          </w:tcPr>
          <w:p w14:paraId="7A69F880"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Moisture (mg/100g)</w:t>
            </w:r>
          </w:p>
        </w:tc>
        <w:tc>
          <w:tcPr>
            <w:tcW w:w="1980" w:type="dxa"/>
            <w:tcBorders>
              <w:top w:val="single" w:sz="4" w:space="0" w:color="auto"/>
            </w:tcBorders>
            <w:tcMar>
              <w:top w:w="0" w:type="dxa"/>
              <w:left w:w="108" w:type="dxa"/>
              <w:bottom w:w="0" w:type="dxa"/>
              <w:right w:w="108" w:type="dxa"/>
            </w:tcMar>
          </w:tcPr>
          <w:p w14:paraId="4E6F3971" w14:textId="49D16133"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3.49</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±0.28</w:t>
            </w:r>
          </w:p>
        </w:tc>
        <w:tc>
          <w:tcPr>
            <w:tcW w:w="2250" w:type="dxa"/>
            <w:tcBorders>
              <w:top w:val="single" w:sz="4" w:space="0" w:color="auto"/>
            </w:tcBorders>
            <w:tcMar>
              <w:top w:w="0" w:type="dxa"/>
              <w:left w:w="108" w:type="dxa"/>
              <w:bottom w:w="0" w:type="dxa"/>
              <w:right w:w="108" w:type="dxa"/>
            </w:tcMar>
          </w:tcPr>
          <w:p w14:paraId="1BFB701B" w14:textId="6DD2291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3.85</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±0.35</w:t>
            </w:r>
          </w:p>
        </w:tc>
        <w:tc>
          <w:tcPr>
            <w:tcW w:w="2070" w:type="dxa"/>
            <w:tcBorders>
              <w:top w:val="single" w:sz="4" w:space="0" w:color="auto"/>
            </w:tcBorders>
            <w:tcMar>
              <w:top w:w="0" w:type="dxa"/>
              <w:left w:w="108" w:type="dxa"/>
              <w:bottom w:w="0" w:type="dxa"/>
              <w:right w:w="108" w:type="dxa"/>
            </w:tcMar>
          </w:tcPr>
          <w:p w14:paraId="18087D4C" w14:textId="1B5043F1"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5.31</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±0.21</w:t>
            </w:r>
          </w:p>
        </w:tc>
      </w:tr>
      <w:tr w:rsidR="00E10434" w:rsidRPr="006D615E" w14:paraId="326FDD05" w14:textId="77777777" w:rsidTr="00564F0B">
        <w:tc>
          <w:tcPr>
            <w:tcW w:w="2880" w:type="dxa"/>
            <w:tcMar>
              <w:top w:w="0" w:type="dxa"/>
              <w:left w:w="108" w:type="dxa"/>
              <w:bottom w:w="0" w:type="dxa"/>
              <w:right w:w="108" w:type="dxa"/>
            </w:tcMar>
          </w:tcPr>
          <w:p w14:paraId="70832BBE"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Crude Protein (mg/100g)</w:t>
            </w:r>
          </w:p>
        </w:tc>
        <w:tc>
          <w:tcPr>
            <w:tcW w:w="1980" w:type="dxa"/>
            <w:tcMar>
              <w:top w:w="0" w:type="dxa"/>
              <w:left w:w="108" w:type="dxa"/>
              <w:bottom w:w="0" w:type="dxa"/>
              <w:right w:w="108" w:type="dxa"/>
            </w:tcMar>
          </w:tcPr>
          <w:p w14:paraId="733205F1" w14:textId="0F3D8046"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3.66</w:t>
            </w:r>
            <w:r w:rsidR="006F1FA2">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±0.11</w:t>
            </w:r>
          </w:p>
        </w:tc>
        <w:tc>
          <w:tcPr>
            <w:tcW w:w="2250" w:type="dxa"/>
            <w:tcMar>
              <w:top w:w="0" w:type="dxa"/>
              <w:left w:w="108" w:type="dxa"/>
              <w:bottom w:w="0" w:type="dxa"/>
              <w:right w:w="108" w:type="dxa"/>
            </w:tcMar>
          </w:tcPr>
          <w:p w14:paraId="611ADA5F"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4.58</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±0.21</w:t>
            </w:r>
          </w:p>
        </w:tc>
        <w:tc>
          <w:tcPr>
            <w:tcW w:w="2070" w:type="dxa"/>
            <w:tcMar>
              <w:top w:w="0" w:type="dxa"/>
              <w:left w:w="108" w:type="dxa"/>
              <w:bottom w:w="0" w:type="dxa"/>
              <w:right w:w="108" w:type="dxa"/>
            </w:tcMar>
          </w:tcPr>
          <w:p w14:paraId="5E385709" w14:textId="63826AFE"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5.52</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±0.10</w:t>
            </w:r>
          </w:p>
        </w:tc>
      </w:tr>
      <w:tr w:rsidR="00E10434" w:rsidRPr="006D615E" w14:paraId="24C05776" w14:textId="77777777" w:rsidTr="00564F0B">
        <w:tc>
          <w:tcPr>
            <w:tcW w:w="2880" w:type="dxa"/>
            <w:tcMar>
              <w:top w:w="0" w:type="dxa"/>
              <w:left w:w="108" w:type="dxa"/>
              <w:bottom w:w="0" w:type="dxa"/>
              <w:right w:w="108" w:type="dxa"/>
            </w:tcMar>
          </w:tcPr>
          <w:p w14:paraId="087EE01D"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Crude Fat (mg/100g)</w:t>
            </w:r>
          </w:p>
        </w:tc>
        <w:tc>
          <w:tcPr>
            <w:tcW w:w="1980" w:type="dxa"/>
            <w:tcMar>
              <w:top w:w="0" w:type="dxa"/>
              <w:left w:w="108" w:type="dxa"/>
              <w:bottom w:w="0" w:type="dxa"/>
              <w:right w:w="108" w:type="dxa"/>
            </w:tcMar>
          </w:tcPr>
          <w:p w14:paraId="06685D1B" w14:textId="2AB6E59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27.63</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±0.15</w:t>
            </w:r>
          </w:p>
        </w:tc>
        <w:tc>
          <w:tcPr>
            <w:tcW w:w="2250" w:type="dxa"/>
            <w:tcMar>
              <w:top w:w="0" w:type="dxa"/>
              <w:left w:w="108" w:type="dxa"/>
              <w:bottom w:w="0" w:type="dxa"/>
              <w:right w:w="108" w:type="dxa"/>
            </w:tcMar>
          </w:tcPr>
          <w:p w14:paraId="6CC87A7F"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28.31</w:t>
            </w:r>
            <w:r w:rsidRPr="006D615E">
              <w:rPr>
                <w:rFonts w:ascii="Arial" w:eastAsia="SimSun" w:hAnsi="Arial" w:cs="Arial"/>
                <w:sz w:val="20"/>
                <w:szCs w:val="20"/>
                <w:vertAlign w:val="superscript"/>
                <w:lang w:eastAsia="zh-CN"/>
              </w:rPr>
              <w:t>ab</w:t>
            </w:r>
            <w:r w:rsidRPr="006D615E">
              <w:rPr>
                <w:rFonts w:ascii="Arial" w:eastAsia="SimSun" w:hAnsi="Arial" w:cs="Arial"/>
                <w:sz w:val="20"/>
                <w:szCs w:val="20"/>
                <w:lang w:eastAsia="zh-CN"/>
              </w:rPr>
              <w:t>±0.35</w:t>
            </w:r>
          </w:p>
        </w:tc>
        <w:tc>
          <w:tcPr>
            <w:tcW w:w="2070" w:type="dxa"/>
            <w:tcMar>
              <w:top w:w="0" w:type="dxa"/>
              <w:left w:w="108" w:type="dxa"/>
              <w:bottom w:w="0" w:type="dxa"/>
              <w:right w:w="108" w:type="dxa"/>
            </w:tcMar>
          </w:tcPr>
          <w:p w14:paraId="621041FC" w14:textId="410CF6E5"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29.48</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±0.55</w:t>
            </w:r>
          </w:p>
        </w:tc>
      </w:tr>
      <w:tr w:rsidR="00E10434" w:rsidRPr="006D615E" w14:paraId="1EEC96CE" w14:textId="77777777" w:rsidTr="00564F0B">
        <w:tc>
          <w:tcPr>
            <w:tcW w:w="2880" w:type="dxa"/>
            <w:tcMar>
              <w:top w:w="0" w:type="dxa"/>
              <w:left w:w="108" w:type="dxa"/>
              <w:bottom w:w="0" w:type="dxa"/>
              <w:right w:w="108" w:type="dxa"/>
            </w:tcMar>
          </w:tcPr>
          <w:p w14:paraId="01E8077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Crude fiber (mg/100g)</w:t>
            </w:r>
          </w:p>
        </w:tc>
        <w:tc>
          <w:tcPr>
            <w:tcW w:w="1980" w:type="dxa"/>
            <w:tcMar>
              <w:top w:w="0" w:type="dxa"/>
              <w:left w:w="108" w:type="dxa"/>
              <w:bottom w:w="0" w:type="dxa"/>
              <w:right w:w="108" w:type="dxa"/>
            </w:tcMar>
          </w:tcPr>
          <w:p w14:paraId="3D72F92F" w14:textId="64B2D3A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0.48</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±0.52</w:t>
            </w:r>
          </w:p>
        </w:tc>
        <w:tc>
          <w:tcPr>
            <w:tcW w:w="2250" w:type="dxa"/>
            <w:tcMar>
              <w:top w:w="0" w:type="dxa"/>
              <w:left w:w="108" w:type="dxa"/>
              <w:bottom w:w="0" w:type="dxa"/>
              <w:right w:w="108" w:type="dxa"/>
            </w:tcMar>
          </w:tcPr>
          <w:p w14:paraId="7ECE4635" w14:textId="6796CB8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1.07</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±0.03</w:t>
            </w:r>
          </w:p>
        </w:tc>
        <w:tc>
          <w:tcPr>
            <w:tcW w:w="2070" w:type="dxa"/>
            <w:tcMar>
              <w:top w:w="0" w:type="dxa"/>
              <w:left w:w="108" w:type="dxa"/>
              <w:bottom w:w="0" w:type="dxa"/>
              <w:right w:w="108" w:type="dxa"/>
            </w:tcMar>
          </w:tcPr>
          <w:p w14:paraId="4A6850B2" w14:textId="081BDF0C"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2.29</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±0.23</w:t>
            </w:r>
          </w:p>
        </w:tc>
      </w:tr>
      <w:tr w:rsidR="00E10434" w:rsidRPr="006D615E" w14:paraId="59777BF2" w14:textId="77777777" w:rsidTr="00564F0B">
        <w:tc>
          <w:tcPr>
            <w:tcW w:w="2880" w:type="dxa"/>
            <w:tcMar>
              <w:top w:w="0" w:type="dxa"/>
              <w:left w:w="108" w:type="dxa"/>
              <w:bottom w:w="0" w:type="dxa"/>
              <w:right w:w="108" w:type="dxa"/>
            </w:tcMar>
          </w:tcPr>
          <w:p w14:paraId="75622404"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Crude ash (mg/100g)</w:t>
            </w:r>
          </w:p>
        </w:tc>
        <w:tc>
          <w:tcPr>
            <w:tcW w:w="1980" w:type="dxa"/>
            <w:tcMar>
              <w:top w:w="0" w:type="dxa"/>
              <w:left w:w="108" w:type="dxa"/>
              <w:bottom w:w="0" w:type="dxa"/>
              <w:right w:w="108" w:type="dxa"/>
            </w:tcMar>
          </w:tcPr>
          <w:p w14:paraId="510C9CB9" w14:textId="6B96525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1.05</w:t>
            </w:r>
            <w:r w:rsidR="006F1FA2">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±0.04</w:t>
            </w:r>
          </w:p>
        </w:tc>
        <w:tc>
          <w:tcPr>
            <w:tcW w:w="2250" w:type="dxa"/>
            <w:tcMar>
              <w:top w:w="0" w:type="dxa"/>
              <w:left w:w="108" w:type="dxa"/>
              <w:bottom w:w="0" w:type="dxa"/>
              <w:right w:w="108" w:type="dxa"/>
            </w:tcMar>
          </w:tcPr>
          <w:p w14:paraId="6BE53501"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1.88</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±0.14</w:t>
            </w:r>
          </w:p>
        </w:tc>
        <w:tc>
          <w:tcPr>
            <w:tcW w:w="2070" w:type="dxa"/>
            <w:tcMar>
              <w:top w:w="0" w:type="dxa"/>
              <w:left w:w="108" w:type="dxa"/>
              <w:bottom w:w="0" w:type="dxa"/>
              <w:right w:w="108" w:type="dxa"/>
            </w:tcMar>
          </w:tcPr>
          <w:p w14:paraId="532F525C" w14:textId="407BC05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2.78</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±0.16</w:t>
            </w:r>
          </w:p>
        </w:tc>
      </w:tr>
      <w:tr w:rsidR="00E10434" w:rsidRPr="006D615E" w14:paraId="19FEA0B3" w14:textId="77777777" w:rsidTr="00564F0B">
        <w:tc>
          <w:tcPr>
            <w:tcW w:w="2880" w:type="dxa"/>
            <w:tcMar>
              <w:top w:w="0" w:type="dxa"/>
              <w:left w:w="108" w:type="dxa"/>
              <w:bottom w:w="0" w:type="dxa"/>
              <w:right w:w="108" w:type="dxa"/>
            </w:tcMar>
          </w:tcPr>
          <w:p w14:paraId="57DADBAA"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Carbohydrate (mg/100g)</w:t>
            </w:r>
          </w:p>
        </w:tc>
        <w:tc>
          <w:tcPr>
            <w:tcW w:w="1980" w:type="dxa"/>
            <w:tcMar>
              <w:top w:w="0" w:type="dxa"/>
              <w:left w:w="108" w:type="dxa"/>
              <w:bottom w:w="0" w:type="dxa"/>
              <w:right w:w="108" w:type="dxa"/>
            </w:tcMar>
          </w:tcPr>
          <w:p w14:paraId="0229E00E" w14:textId="62803E04"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63.71</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±0.47</w:t>
            </w:r>
          </w:p>
        </w:tc>
        <w:tc>
          <w:tcPr>
            <w:tcW w:w="2250" w:type="dxa"/>
            <w:tcMar>
              <w:top w:w="0" w:type="dxa"/>
              <w:left w:w="108" w:type="dxa"/>
              <w:bottom w:w="0" w:type="dxa"/>
              <w:right w:w="108" w:type="dxa"/>
            </w:tcMar>
          </w:tcPr>
          <w:p w14:paraId="1B851DA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60.32</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±0.03</w:t>
            </w:r>
          </w:p>
        </w:tc>
        <w:tc>
          <w:tcPr>
            <w:tcW w:w="2070" w:type="dxa"/>
            <w:tcMar>
              <w:top w:w="0" w:type="dxa"/>
              <w:left w:w="108" w:type="dxa"/>
              <w:bottom w:w="0" w:type="dxa"/>
              <w:right w:w="108" w:type="dxa"/>
            </w:tcMar>
          </w:tcPr>
          <w:p w14:paraId="5CCF5BB9" w14:textId="7051377F"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54.63</w:t>
            </w:r>
            <w:r w:rsidR="006F1FA2">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±0.73</w:t>
            </w:r>
          </w:p>
        </w:tc>
      </w:tr>
    </w:tbl>
    <w:p w14:paraId="1E653244" w14:textId="66D8E46A"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t>Means ± SD of triplicate replications. Values within the same row with the same superscript are not significantly different (p &lt; 0.05).</w:t>
      </w:r>
      <w:r w:rsidRPr="006D615E">
        <w:rPr>
          <w:rFonts w:ascii="Arial" w:hAnsi="Arial" w:cs="Arial"/>
          <w:sz w:val="20"/>
          <w:szCs w:val="20"/>
        </w:rPr>
        <w:t xml:space="preserve"> </w:t>
      </w:r>
      <w:r w:rsidRPr="006D615E">
        <w:rPr>
          <w:rFonts w:ascii="Arial" w:eastAsia="SimSun" w:hAnsi="Arial" w:cs="Arial"/>
          <w:sz w:val="20"/>
          <w:szCs w:val="20"/>
          <w:lang w:eastAsia="zh-CN"/>
        </w:rPr>
        <w:t xml:space="preserve">Keys: Control sample = 100%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A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(10%)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(90%)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B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(20%)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(80%) biscuits.</w:t>
      </w:r>
    </w:p>
    <w:p w14:paraId="2B462230" w14:textId="022EC2CB" w:rsidR="00E10434"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3.2 </w:t>
      </w:r>
      <w:r w:rsidR="00E10434" w:rsidRPr="00222D19">
        <w:rPr>
          <w:rFonts w:ascii="Arial" w:hAnsi="Arial" w:cs="Arial"/>
          <w:b/>
          <w:bCs/>
          <w:sz w:val="22"/>
          <w:szCs w:val="22"/>
        </w:rPr>
        <w:t>Mineral Composition</w:t>
      </w:r>
    </w:p>
    <w:p w14:paraId="7CF39165" w14:textId="77777777" w:rsidR="004316AC"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lastRenderedPageBreak/>
        <w:t xml:space="preserve">Mineral composition of the biscuit samples is presented in Table 2. Calcium content increased progressively across all formulations, ranging from 172.18 mg/100g in the control to 258.40 mg/100g in sample A and </w:t>
      </w:r>
      <w:r w:rsidRPr="006D615E">
        <w:rPr>
          <w:rFonts w:ascii="Arial" w:eastAsia="SimSun" w:hAnsi="Arial" w:cs="Arial"/>
          <w:sz w:val="20"/>
          <w:szCs w:val="20"/>
          <w:lang w:eastAsia="zh-CN"/>
        </w:rPr>
        <w:t>273.62</w:t>
      </w:r>
      <w:r w:rsidRPr="006D615E">
        <w:rPr>
          <w:rFonts w:ascii="Arial" w:eastAsia="SimSun" w:hAnsi="Arial" w:cs="Arial"/>
          <w:sz w:val="20"/>
          <w:szCs w:val="20"/>
          <w:vertAlign w:val="superscript"/>
          <w:lang w:eastAsia="zh-CN"/>
        </w:rPr>
        <w:t xml:space="preserve"> </w:t>
      </w:r>
      <w:r w:rsidRPr="006D615E">
        <w:rPr>
          <w:rFonts w:ascii="Arial" w:hAnsi="Arial" w:cs="Arial"/>
          <w:sz w:val="20"/>
          <w:szCs w:val="20"/>
        </w:rPr>
        <w:t xml:space="preserve">mg/100g. All three calcium values were significantly different from each other (p &lt; 0.05). </w:t>
      </w:r>
      <w:r w:rsidR="004316AC" w:rsidRPr="006D615E">
        <w:rPr>
          <w:rFonts w:ascii="Arial" w:eastAsia="SimSun" w:hAnsi="Arial" w:cs="Arial"/>
          <w:sz w:val="20"/>
          <w:szCs w:val="20"/>
          <w:lang w:eastAsia="zh-CN"/>
        </w:rPr>
        <w:t xml:space="preserve">The progressive and significant increases in calcium, magnesium, and potassium observed in the three biscuit formulations are consistent with the documented mineral-rich profile of </w:t>
      </w:r>
      <w:proofErr w:type="spellStart"/>
      <w:r w:rsidR="004316AC" w:rsidRPr="006D615E">
        <w:rPr>
          <w:rFonts w:ascii="Arial" w:eastAsia="SimSun" w:hAnsi="Arial" w:cs="Arial"/>
          <w:i/>
          <w:iCs/>
          <w:sz w:val="20"/>
          <w:szCs w:val="20"/>
          <w:lang w:eastAsia="zh-CN"/>
        </w:rPr>
        <w:t>Afzelia</w:t>
      </w:r>
      <w:proofErr w:type="spellEnd"/>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africana</w:t>
      </w:r>
      <w:proofErr w:type="spellEnd"/>
      <w:r w:rsidR="004316AC" w:rsidRPr="006D615E">
        <w:rPr>
          <w:rFonts w:ascii="Arial" w:eastAsia="SimSun" w:hAnsi="Arial" w:cs="Arial"/>
          <w:i/>
          <w:iCs/>
          <w:sz w:val="20"/>
          <w:szCs w:val="20"/>
          <w:lang w:eastAsia="zh-CN"/>
        </w:rPr>
        <w:t xml:space="preserve"> </w:t>
      </w:r>
      <w:r w:rsidR="004316AC" w:rsidRPr="006D615E">
        <w:rPr>
          <w:rFonts w:ascii="Arial" w:eastAsia="SimSun" w:hAnsi="Arial" w:cs="Arial"/>
          <w:sz w:val="20"/>
          <w:szCs w:val="20"/>
          <w:lang w:eastAsia="zh-CN"/>
        </w:rPr>
        <w:t xml:space="preserve">seed flour. Bolanle (2010) reported potassium as the most abundant mineral in </w:t>
      </w:r>
      <w:proofErr w:type="spellStart"/>
      <w:r w:rsidR="004316AC" w:rsidRPr="006D615E">
        <w:rPr>
          <w:rFonts w:ascii="Arial" w:eastAsia="SimSun" w:hAnsi="Arial" w:cs="Arial"/>
          <w:i/>
          <w:iCs/>
          <w:sz w:val="20"/>
          <w:szCs w:val="20"/>
          <w:lang w:eastAsia="zh-CN"/>
        </w:rPr>
        <w:t>Afzelia</w:t>
      </w:r>
      <w:proofErr w:type="spellEnd"/>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africana</w:t>
      </w:r>
      <w:proofErr w:type="spellEnd"/>
      <w:r w:rsidR="004316AC" w:rsidRPr="006D615E">
        <w:rPr>
          <w:rFonts w:ascii="Arial" w:eastAsia="SimSun" w:hAnsi="Arial" w:cs="Arial"/>
          <w:i/>
          <w:iCs/>
          <w:sz w:val="20"/>
          <w:szCs w:val="20"/>
          <w:lang w:eastAsia="zh-CN"/>
        </w:rPr>
        <w:t xml:space="preserve"> </w:t>
      </w:r>
      <w:r w:rsidR="004316AC" w:rsidRPr="006D615E">
        <w:rPr>
          <w:rFonts w:ascii="Arial" w:eastAsia="SimSun" w:hAnsi="Arial" w:cs="Arial"/>
          <w:sz w:val="20"/>
          <w:szCs w:val="20"/>
          <w:lang w:eastAsia="zh-CN"/>
        </w:rPr>
        <w:t xml:space="preserve">seed at approximately 624 mg/100g, a value substantially higher than that observed for </w:t>
      </w:r>
      <w:proofErr w:type="spellStart"/>
      <w:r w:rsidR="004316AC" w:rsidRPr="006D615E">
        <w:rPr>
          <w:rFonts w:ascii="Arial" w:eastAsia="SimSun" w:hAnsi="Arial" w:cs="Arial"/>
          <w:sz w:val="20"/>
          <w:szCs w:val="20"/>
          <w:lang w:eastAsia="zh-CN"/>
        </w:rPr>
        <w:t>tigernut</w:t>
      </w:r>
      <w:proofErr w:type="spellEnd"/>
      <w:r w:rsidR="004316AC" w:rsidRPr="006D615E">
        <w:rPr>
          <w:rFonts w:ascii="Arial" w:eastAsia="SimSun" w:hAnsi="Arial" w:cs="Arial"/>
          <w:sz w:val="20"/>
          <w:szCs w:val="20"/>
          <w:lang w:eastAsia="zh-CN"/>
        </w:rPr>
        <w:t xml:space="preserve"> flour. The calcium content of sample B represents approximately 27% of the daily calcium reference intake for adults as established by the WHO/FAO (2004). This suggests that regular consumption of these enriched biscuits could make a meaningful contribution to dietary calcium adequacy. </w:t>
      </w:r>
    </w:p>
    <w:p w14:paraId="061015CD" w14:textId="336B4A10"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 xml:space="preserve">Magnesium content increased with higher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 xml:space="preserve">flour inclusion, ranging from 34.52 </w:t>
      </w:r>
      <w:r w:rsidRPr="006D615E">
        <w:rPr>
          <w:rFonts w:ascii="Arial" w:hAnsi="Arial" w:cs="Arial"/>
          <w:sz w:val="20"/>
          <w:szCs w:val="20"/>
        </w:rPr>
        <w:t>mg/100g</w:t>
      </w:r>
      <w:r w:rsidRPr="006D615E">
        <w:rPr>
          <w:rFonts w:ascii="Arial" w:eastAsia="SimSun" w:hAnsi="Arial" w:cs="Arial"/>
          <w:sz w:val="20"/>
          <w:szCs w:val="20"/>
          <w:lang w:eastAsia="zh-CN"/>
        </w:rPr>
        <w:t xml:space="preserve"> in the control to 36.92 and 38.70 </w:t>
      </w:r>
      <w:r w:rsidRPr="006D615E">
        <w:rPr>
          <w:rFonts w:ascii="Arial" w:hAnsi="Arial" w:cs="Arial"/>
          <w:sz w:val="20"/>
          <w:szCs w:val="20"/>
        </w:rPr>
        <w:t>mg/100g</w:t>
      </w:r>
      <w:r w:rsidRPr="006D615E">
        <w:rPr>
          <w:rFonts w:ascii="Arial" w:eastAsia="SimSun" w:hAnsi="Arial" w:cs="Arial"/>
          <w:sz w:val="20"/>
          <w:szCs w:val="20"/>
          <w:lang w:eastAsia="zh-CN"/>
        </w:rPr>
        <w:t xml:space="preserve"> in samples A and B, respectively. All three values were significantly different (p &lt; 0.05). Potassium content ranged from 290.72 </w:t>
      </w:r>
      <w:r w:rsidRPr="006D615E">
        <w:rPr>
          <w:rFonts w:ascii="Arial" w:hAnsi="Arial" w:cs="Arial"/>
          <w:sz w:val="20"/>
          <w:szCs w:val="20"/>
        </w:rPr>
        <w:t xml:space="preserve">mg/100g in the control to </w:t>
      </w:r>
      <w:r w:rsidRPr="006D615E">
        <w:rPr>
          <w:rFonts w:ascii="Arial" w:eastAsia="SimSun" w:hAnsi="Arial" w:cs="Arial"/>
          <w:sz w:val="20"/>
          <w:szCs w:val="20"/>
          <w:lang w:eastAsia="zh-CN"/>
        </w:rPr>
        <w:t xml:space="preserve">301.90 and 305.76 </w:t>
      </w:r>
      <w:r w:rsidRPr="006D615E">
        <w:rPr>
          <w:rFonts w:ascii="Arial" w:hAnsi="Arial" w:cs="Arial"/>
          <w:sz w:val="20"/>
          <w:szCs w:val="20"/>
        </w:rPr>
        <w:t xml:space="preserve">mg/100g in samples A and B. There was a significant difference in potassium levels across all samples. Sodium content ranged from </w:t>
      </w:r>
      <w:r w:rsidRPr="006D615E">
        <w:rPr>
          <w:rFonts w:ascii="Arial" w:eastAsia="SimSun" w:hAnsi="Arial" w:cs="Arial"/>
          <w:sz w:val="20"/>
          <w:szCs w:val="20"/>
          <w:lang w:eastAsia="zh-CN"/>
        </w:rPr>
        <w:t xml:space="preserve">186.65 </w:t>
      </w:r>
      <w:r w:rsidRPr="006D615E">
        <w:rPr>
          <w:rFonts w:ascii="Arial" w:hAnsi="Arial" w:cs="Arial"/>
          <w:sz w:val="20"/>
          <w:szCs w:val="20"/>
        </w:rPr>
        <w:t>mg/100g in the control to</w:t>
      </w:r>
      <w:r w:rsidRPr="006D615E">
        <w:rPr>
          <w:rFonts w:ascii="Arial" w:eastAsia="SimSun" w:hAnsi="Arial" w:cs="Arial"/>
          <w:sz w:val="20"/>
          <w:szCs w:val="20"/>
          <w:lang w:eastAsia="zh-CN"/>
        </w:rPr>
        <w:t xml:space="preserve"> 190.99 and 192.13 </w:t>
      </w:r>
      <w:r w:rsidRPr="006D615E">
        <w:rPr>
          <w:rFonts w:ascii="Arial" w:hAnsi="Arial" w:cs="Arial"/>
          <w:sz w:val="20"/>
          <w:szCs w:val="20"/>
        </w:rPr>
        <w:t xml:space="preserve">mg/100g </w:t>
      </w:r>
      <w:r w:rsidRPr="006D615E">
        <w:rPr>
          <w:rFonts w:ascii="Arial" w:eastAsia="SimSun" w:hAnsi="Arial" w:cs="Arial"/>
          <w:sz w:val="20"/>
          <w:szCs w:val="20"/>
          <w:lang w:eastAsia="zh-CN"/>
        </w:rPr>
        <w:t>in samples A and B, respectively.</w:t>
      </w:r>
      <w:r w:rsidR="004316AC" w:rsidRPr="006D615E">
        <w:rPr>
          <w:rFonts w:ascii="Arial" w:eastAsia="SimSun" w:hAnsi="Arial" w:cs="Arial"/>
          <w:sz w:val="20"/>
          <w:szCs w:val="20"/>
          <w:lang w:eastAsia="zh-CN"/>
        </w:rPr>
        <w:t xml:space="preserve"> The high potassium-to-sodium ratio observed in the enriched samples is a particularly noteworthy finding from a public health perspective. A favorable potassium-sodium ratio in foods is associated with blood pressure regulation and reduced cardiovascular disease risk (Balogun and </w:t>
      </w:r>
      <w:proofErr w:type="spellStart"/>
      <w:r w:rsidR="004316AC" w:rsidRPr="006D615E">
        <w:rPr>
          <w:rFonts w:ascii="Arial" w:eastAsia="SimSun" w:hAnsi="Arial" w:cs="Arial"/>
          <w:sz w:val="20"/>
          <w:szCs w:val="20"/>
          <w:lang w:eastAsia="zh-CN"/>
        </w:rPr>
        <w:t>Olatidoye</w:t>
      </w:r>
      <w:proofErr w:type="spellEnd"/>
      <w:r w:rsidR="004316AC" w:rsidRPr="006D615E">
        <w:rPr>
          <w:rFonts w:ascii="Arial" w:eastAsia="SimSun" w:hAnsi="Arial" w:cs="Arial"/>
          <w:sz w:val="20"/>
          <w:szCs w:val="20"/>
          <w:lang w:eastAsia="zh-CN"/>
        </w:rPr>
        <w:t xml:space="preserve">, 2012). Sample A and B were higher than the control in sodium but without a significant difference (p &lt; 0.05) which suggests that a higher substitution with </w:t>
      </w:r>
      <w:proofErr w:type="spellStart"/>
      <w:r w:rsidR="004316AC" w:rsidRPr="006D615E">
        <w:rPr>
          <w:rFonts w:ascii="Arial" w:eastAsia="SimSun" w:hAnsi="Arial" w:cs="Arial"/>
          <w:i/>
          <w:iCs/>
          <w:sz w:val="20"/>
          <w:szCs w:val="20"/>
          <w:lang w:eastAsia="zh-CN"/>
        </w:rPr>
        <w:t>Afzelia</w:t>
      </w:r>
      <w:proofErr w:type="spellEnd"/>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africana</w:t>
      </w:r>
      <w:proofErr w:type="spellEnd"/>
      <w:r w:rsidR="004316AC" w:rsidRPr="006D615E">
        <w:rPr>
          <w:rFonts w:ascii="Arial" w:eastAsia="SimSun" w:hAnsi="Arial" w:cs="Arial"/>
          <w:i/>
          <w:iCs/>
          <w:sz w:val="20"/>
          <w:szCs w:val="20"/>
          <w:lang w:eastAsia="zh-CN"/>
        </w:rPr>
        <w:t xml:space="preserve"> </w:t>
      </w:r>
      <w:r w:rsidR="004316AC" w:rsidRPr="006D615E">
        <w:rPr>
          <w:rFonts w:ascii="Arial" w:eastAsia="SimSun" w:hAnsi="Arial" w:cs="Arial"/>
          <w:sz w:val="20"/>
          <w:szCs w:val="20"/>
          <w:lang w:eastAsia="zh-CN"/>
        </w:rPr>
        <w:t>will not rapidly cause an increase in sodium level in the biscuit product.</w:t>
      </w:r>
    </w:p>
    <w:p w14:paraId="322118A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Table 3: Mineral Composition of </w:t>
      </w:r>
      <w:proofErr w:type="spellStart"/>
      <w:r w:rsidRPr="006D615E">
        <w:rPr>
          <w:rFonts w:ascii="Arial" w:eastAsia="SimSun" w:hAnsi="Arial" w:cs="Arial"/>
          <w:b/>
          <w:bCs/>
          <w:sz w:val="20"/>
          <w:szCs w:val="20"/>
          <w:lang w:eastAsia="zh-CN"/>
        </w:rPr>
        <w:t>Tigernut</w:t>
      </w:r>
      <w:proofErr w:type="spellEnd"/>
      <w:r w:rsidRPr="006D615E">
        <w:rPr>
          <w:rFonts w:ascii="Arial" w:eastAsia="SimSun" w:hAnsi="Arial" w:cs="Arial"/>
          <w:b/>
          <w:bCs/>
          <w:sz w:val="20"/>
          <w:szCs w:val="20"/>
          <w:lang w:eastAsia="zh-CN"/>
        </w:rPr>
        <w:t xml:space="preserve"> and </w:t>
      </w:r>
      <w:proofErr w:type="spellStart"/>
      <w:r w:rsidRPr="006D615E">
        <w:rPr>
          <w:rFonts w:ascii="Arial" w:eastAsia="SimSun" w:hAnsi="Arial" w:cs="Arial"/>
          <w:b/>
          <w:bCs/>
          <w:sz w:val="20"/>
          <w:szCs w:val="20"/>
          <w:lang w:eastAsia="zh-CN"/>
        </w:rPr>
        <w:t>Tigernut-</w:t>
      </w:r>
      <w:r w:rsidRPr="006D615E">
        <w:rPr>
          <w:rFonts w:ascii="Arial" w:eastAsia="SimSun" w:hAnsi="Arial" w:cs="Arial"/>
          <w:b/>
          <w:bCs/>
          <w:i/>
          <w:iCs/>
          <w:sz w:val="20"/>
          <w:szCs w:val="20"/>
          <w:lang w:eastAsia="zh-CN"/>
        </w:rPr>
        <w:t>Afzelia</w:t>
      </w:r>
      <w:proofErr w:type="spellEnd"/>
      <w:r w:rsidRPr="006D615E">
        <w:rPr>
          <w:rFonts w:ascii="Arial" w:eastAsia="SimSun" w:hAnsi="Arial" w:cs="Arial"/>
          <w:b/>
          <w:bCs/>
          <w:i/>
          <w:iCs/>
          <w:sz w:val="20"/>
          <w:szCs w:val="20"/>
          <w:lang w:eastAsia="zh-CN"/>
        </w:rPr>
        <w:t xml:space="preserve"> </w:t>
      </w:r>
      <w:proofErr w:type="spellStart"/>
      <w:r w:rsidRPr="006D615E">
        <w:rPr>
          <w:rFonts w:ascii="Arial" w:eastAsia="SimSun" w:hAnsi="Arial" w:cs="Arial"/>
          <w:b/>
          <w:bCs/>
          <w:i/>
          <w:iCs/>
          <w:sz w:val="20"/>
          <w:szCs w:val="20"/>
          <w:lang w:eastAsia="zh-CN"/>
        </w:rPr>
        <w:t>africana</w:t>
      </w:r>
      <w:proofErr w:type="spellEnd"/>
      <w:r w:rsidRPr="006D615E">
        <w:rPr>
          <w:rFonts w:ascii="Arial" w:eastAsia="SimSun" w:hAnsi="Arial" w:cs="Arial"/>
          <w:b/>
          <w:bCs/>
          <w:sz w:val="20"/>
          <w:szCs w:val="20"/>
          <w:lang w:eastAsia="zh-CN"/>
        </w:rPr>
        <w:t xml:space="preserve"> Biscuits</w:t>
      </w:r>
    </w:p>
    <w:tbl>
      <w:tblPr>
        <w:tblW w:w="9180" w:type="dxa"/>
        <w:tblBorders>
          <w:top w:val="single" w:sz="4" w:space="0" w:color="auto"/>
          <w:bottom w:val="single" w:sz="4" w:space="0" w:color="auto"/>
        </w:tblBorders>
        <w:tblLayout w:type="fixed"/>
        <w:tblLook w:val="04A0" w:firstRow="1" w:lastRow="0" w:firstColumn="1" w:lastColumn="0" w:noHBand="0" w:noVBand="1"/>
      </w:tblPr>
      <w:tblGrid>
        <w:gridCol w:w="2880"/>
        <w:gridCol w:w="1980"/>
        <w:gridCol w:w="2250"/>
        <w:gridCol w:w="2070"/>
      </w:tblGrid>
      <w:tr w:rsidR="00E10434" w:rsidRPr="006D615E" w14:paraId="29F22B60" w14:textId="77777777" w:rsidTr="00564F0B">
        <w:tc>
          <w:tcPr>
            <w:tcW w:w="2880" w:type="dxa"/>
            <w:tcBorders>
              <w:top w:val="single" w:sz="4" w:space="0" w:color="auto"/>
              <w:bottom w:val="single" w:sz="4" w:space="0" w:color="auto"/>
            </w:tcBorders>
            <w:tcMar>
              <w:top w:w="0" w:type="dxa"/>
              <w:left w:w="108" w:type="dxa"/>
              <w:bottom w:w="0" w:type="dxa"/>
              <w:right w:w="108" w:type="dxa"/>
            </w:tcMar>
          </w:tcPr>
          <w:p w14:paraId="3ABB03C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Vitamins</w:t>
            </w:r>
          </w:p>
        </w:tc>
        <w:tc>
          <w:tcPr>
            <w:tcW w:w="1980" w:type="dxa"/>
            <w:tcBorders>
              <w:top w:val="single" w:sz="4" w:space="0" w:color="auto"/>
              <w:bottom w:val="single" w:sz="4" w:space="0" w:color="auto"/>
            </w:tcBorders>
            <w:tcMar>
              <w:top w:w="0" w:type="dxa"/>
              <w:left w:w="108" w:type="dxa"/>
              <w:bottom w:w="0" w:type="dxa"/>
              <w:right w:w="108" w:type="dxa"/>
            </w:tcMar>
          </w:tcPr>
          <w:p w14:paraId="338CA59D"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250" w:type="dxa"/>
            <w:tcBorders>
              <w:top w:val="single" w:sz="4" w:space="0" w:color="auto"/>
              <w:bottom w:val="single" w:sz="4" w:space="0" w:color="auto"/>
            </w:tcBorders>
            <w:tcMar>
              <w:top w:w="0" w:type="dxa"/>
              <w:left w:w="108" w:type="dxa"/>
              <w:bottom w:w="0" w:type="dxa"/>
              <w:right w:w="108" w:type="dxa"/>
            </w:tcMar>
          </w:tcPr>
          <w:p w14:paraId="35BA33FB"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2070" w:type="dxa"/>
            <w:tcBorders>
              <w:top w:val="single" w:sz="4" w:space="0" w:color="auto"/>
              <w:bottom w:val="single" w:sz="4" w:space="0" w:color="auto"/>
            </w:tcBorders>
            <w:tcMar>
              <w:top w:w="0" w:type="dxa"/>
              <w:left w:w="108" w:type="dxa"/>
              <w:bottom w:w="0" w:type="dxa"/>
              <w:right w:w="108" w:type="dxa"/>
            </w:tcMar>
          </w:tcPr>
          <w:p w14:paraId="4368E3A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140E8077" w14:textId="77777777" w:rsidTr="00564F0B">
        <w:tc>
          <w:tcPr>
            <w:tcW w:w="2880" w:type="dxa"/>
            <w:tcBorders>
              <w:top w:val="single" w:sz="4" w:space="0" w:color="auto"/>
            </w:tcBorders>
            <w:tcMar>
              <w:top w:w="0" w:type="dxa"/>
              <w:left w:w="108" w:type="dxa"/>
              <w:bottom w:w="0" w:type="dxa"/>
              <w:right w:w="108" w:type="dxa"/>
            </w:tcMar>
          </w:tcPr>
          <w:p w14:paraId="4A76D412"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Calcium (mg/100g)</w:t>
            </w:r>
          </w:p>
        </w:tc>
        <w:tc>
          <w:tcPr>
            <w:tcW w:w="1980" w:type="dxa"/>
            <w:tcBorders>
              <w:top w:val="single" w:sz="4" w:space="0" w:color="auto"/>
            </w:tcBorders>
            <w:tcMar>
              <w:top w:w="0" w:type="dxa"/>
              <w:left w:w="108" w:type="dxa"/>
              <w:bottom w:w="0" w:type="dxa"/>
              <w:right w:w="108" w:type="dxa"/>
            </w:tcMar>
          </w:tcPr>
          <w:p w14:paraId="4BB29A58" w14:textId="2562E6C5"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172.18</w:t>
            </w:r>
            <w:r w:rsidR="001E6CB6">
              <w:rPr>
                <w:rFonts w:ascii="Arial" w:eastAsia="SimSun" w:hAnsi="Arial" w:cs="Arial"/>
                <w:sz w:val="20"/>
                <w:szCs w:val="20"/>
                <w:vertAlign w:val="superscript"/>
                <w:lang w:eastAsia="zh-CN"/>
              </w:rPr>
              <w:t>c</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±0.7</w:t>
            </w:r>
          </w:p>
        </w:tc>
        <w:tc>
          <w:tcPr>
            <w:tcW w:w="2250" w:type="dxa"/>
            <w:tcBorders>
              <w:top w:val="single" w:sz="4" w:space="0" w:color="auto"/>
            </w:tcBorders>
            <w:tcMar>
              <w:top w:w="0" w:type="dxa"/>
              <w:left w:w="108" w:type="dxa"/>
              <w:bottom w:w="0" w:type="dxa"/>
              <w:right w:w="108" w:type="dxa"/>
            </w:tcMar>
          </w:tcPr>
          <w:p w14:paraId="1DD7F9B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258.40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±0.71</w:t>
            </w:r>
          </w:p>
        </w:tc>
        <w:tc>
          <w:tcPr>
            <w:tcW w:w="2070" w:type="dxa"/>
            <w:tcBorders>
              <w:top w:val="single" w:sz="4" w:space="0" w:color="auto"/>
            </w:tcBorders>
            <w:tcMar>
              <w:top w:w="0" w:type="dxa"/>
              <w:left w:w="108" w:type="dxa"/>
              <w:bottom w:w="0" w:type="dxa"/>
              <w:right w:w="108" w:type="dxa"/>
            </w:tcMar>
          </w:tcPr>
          <w:p w14:paraId="0193897F" w14:textId="0386D23C"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273.62</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±0.08</w:t>
            </w:r>
          </w:p>
        </w:tc>
      </w:tr>
      <w:tr w:rsidR="00E10434" w:rsidRPr="006D615E" w14:paraId="0669539A" w14:textId="77777777" w:rsidTr="00564F0B">
        <w:tc>
          <w:tcPr>
            <w:tcW w:w="2880" w:type="dxa"/>
            <w:tcMar>
              <w:top w:w="0" w:type="dxa"/>
              <w:left w:w="108" w:type="dxa"/>
              <w:bottom w:w="0" w:type="dxa"/>
              <w:right w:w="108" w:type="dxa"/>
            </w:tcMar>
          </w:tcPr>
          <w:p w14:paraId="0B6318F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Magnesium (mg/100g)</w:t>
            </w:r>
          </w:p>
        </w:tc>
        <w:tc>
          <w:tcPr>
            <w:tcW w:w="1980" w:type="dxa"/>
            <w:tcMar>
              <w:top w:w="0" w:type="dxa"/>
              <w:left w:w="108" w:type="dxa"/>
              <w:bottom w:w="0" w:type="dxa"/>
              <w:right w:w="108" w:type="dxa"/>
            </w:tcMar>
          </w:tcPr>
          <w:p w14:paraId="73C1A8DC" w14:textId="2C3B7A14"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34.52</w:t>
            </w:r>
            <w:r w:rsidR="001E6CB6">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±0.65</w:t>
            </w:r>
          </w:p>
        </w:tc>
        <w:tc>
          <w:tcPr>
            <w:tcW w:w="2250" w:type="dxa"/>
            <w:tcMar>
              <w:top w:w="0" w:type="dxa"/>
              <w:left w:w="108" w:type="dxa"/>
              <w:bottom w:w="0" w:type="dxa"/>
              <w:right w:w="108" w:type="dxa"/>
            </w:tcMar>
          </w:tcPr>
          <w:p w14:paraId="6778026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36.92</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±0.07</w:t>
            </w:r>
          </w:p>
        </w:tc>
        <w:tc>
          <w:tcPr>
            <w:tcW w:w="2070" w:type="dxa"/>
            <w:tcMar>
              <w:top w:w="0" w:type="dxa"/>
              <w:left w:w="108" w:type="dxa"/>
              <w:bottom w:w="0" w:type="dxa"/>
              <w:right w:w="108" w:type="dxa"/>
            </w:tcMar>
          </w:tcPr>
          <w:p w14:paraId="02014965" w14:textId="3760D66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38.70</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±0.40</w:t>
            </w:r>
          </w:p>
        </w:tc>
      </w:tr>
      <w:tr w:rsidR="00E10434" w:rsidRPr="006D615E" w14:paraId="2F9E073A" w14:textId="77777777" w:rsidTr="00564F0B">
        <w:tc>
          <w:tcPr>
            <w:tcW w:w="2880" w:type="dxa"/>
            <w:tcMar>
              <w:top w:w="0" w:type="dxa"/>
              <w:left w:w="108" w:type="dxa"/>
              <w:bottom w:w="0" w:type="dxa"/>
              <w:right w:w="108" w:type="dxa"/>
            </w:tcMar>
          </w:tcPr>
          <w:p w14:paraId="11B8FF5C"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Potassium (mg/100g)</w:t>
            </w:r>
          </w:p>
        </w:tc>
        <w:tc>
          <w:tcPr>
            <w:tcW w:w="1980" w:type="dxa"/>
            <w:tcMar>
              <w:top w:w="0" w:type="dxa"/>
              <w:left w:w="108" w:type="dxa"/>
              <w:bottom w:w="0" w:type="dxa"/>
              <w:right w:w="108" w:type="dxa"/>
            </w:tcMar>
          </w:tcPr>
          <w:p w14:paraId="012930AD" w14:textId="2A951D8B"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290.72</w:t>
            </w:r>
            <w:r w:rsidR="001E6CB6">
              <w:rPr>
                <w:rFonts w:ascii="Arial" w:eastAsia="SimSun" w:hAnsi="Arial" w:cs="Arial"/>
                <w:sz w:val="20"/>
                <w:szCs w:val="20"/>
                <w:vertAlign w:val="superscript"/>
                <w:lang w:eastAsia="zh-CN"/>
              </w:rPr>
              <w:t>c</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±0.51</w:t>
            </w:r>
          </w:p>
        </w:tc>
        <w:tc>
          <w:tcPr>
            <w:tcW w:w="2250" w:type="dxa"/>
            <w:tcMar>
              <w:top w:w="0" w:type="dxa"/>
              <w:left w:w="108" w:type="dxa"/>
              <w:bottom w:w="0" w:type="dxa"/>
              <w:right w:w="108" w:type="dxa"/>
            </w:tcMar>
          </w:tcPr>
          <w:p w14:paraId="243D1349"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301.90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±1.10</w:t>
            </w:r>
          </w:p>
        </w:tc>
        <w:tc>
          <w:tcPr>
            <w:tcW w:w="2070" w:type="dxa"/>
            <w:tcMar>
              <w:top w:w="0" w:type="dxa"/>
              <w:left w:w="108" w:type="dxa"/>
              <w:bottom w:w="0" w:type="dxa"/>
              <w:right w:w="108" w:type="dxa"/>
            </w:tcMar>
          </w:tcPr>
          <w:p w14:paraId="56199CB7" w14:textId="734C224C"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305.76</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±0.13</w:t>
            </w:r>
          </w:p>
        </w:tc>
      </w:tr>
      <w:tr w:rsidR="00E10434" w:rsidRPr="006D615E" w14:paraId="5DB86DD0" w14:textId="77777777" w:rsidTr="00564F0B">
        <w:tc>
          <w:tcPr>
            <w:tcW w:w="2880" w:type="dxa"/>
            <w:tcMar>
              <w:top w:w="0" w:type="dxa"/>
              <w:left w:w="108" w:type="dxa"/>
              <w:bottom w:w="0" w:type="dxa"/>
              <w:right w:w="108" w:type="dxa"/>
            </w:tcMar>
          </w:tcPr>
          <w:p w14:paraId="5C880161"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Sodium (mg/100g)</w:t>
            </w:r>
          </w:p>
        </w:tc>
        <w:tc>
          <w:tcPr>
            <w:tcW w:w="1980" w:type="dxa"/>
            <w:tcMar>
              <w:top w:w="0" w:type="dxa"/>
              <w:left w:w="108" w:type="dxa"/>
              <w:bottom w:w="0" w:type="dxa"/>
              <w:right w:w="108" w:type="dxa"/>
            </w:tcMar>
          </w:tcPr>
          <w:p w14:paraId="68A9C0C0" w14:textId="3F380F41"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186.65</w:t>
            </w:r>
            <w:r w:rsidR="001E6CB6">
              <w:rPr>
                <w:rFonts w:ascii="Arial" w:eastAsia="SimSun" w:hAnsi="Arial" w:cs="Arial"/>
                <w:sz w:val="20"/>
                <w:szCs w:val="20"/>
                <w:vertAlign w:val="superscript"/>
                <w:lang w:eastAsia="zh-CN"/>
              </w:rPr>
              <w:t>b</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±1.45</w:t>
            </w:r>
          </w:p>
        </w:tc>
        <w:tc>
          <w:tcPr>
            <w:tcW w:w="2250" w:type="dxa"/>
            <w:tcMar>
              <w:top w:w="0" w:type="dxa"/>
              <w:left w:w="108" w:type="dxa"/>
              <w:bottom w:w="0" w:type="dxa"/>
              <w:right w:w="108" w:type="dxa"/>
            </w:tcMar>
          </w:tcPr>
          <w:p w14:paraId="53546FC6" w14:textId="0C1434E9"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190.99</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±0.14</w:t>
            </w:r>
          </w:p>
        </w:tc>
        <w:tc>
          <w:tcPr>
            <w:tcW w:w="2070" w:type="dxa"/>
            <w:tcMar>
              <w:top w:w="0" w:type="dxa"/>
              <w:left w:w="108" w:type="dxa"/>
              <w:bottom w:w="0" w:type="dxa"/>
              <w:right w:w="108" w:type="dxa"/>
            </w:tcMar>
          </w:tcPr>
          <w:p w14:paraId="6950D997" w14:textId="1D22A160"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192.13</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±0.01</w:t>
            </w:r>
          </w:p>
        </w:tc>
      </w:tr>
    </w:tbl>
    <w:p w14:paraId="18C1D1AE" w14:textId="29894A10"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lastRenderedPageBreak/>
        <w:t>Means ± SD of triplicate replications. Values within the same row with the same superscript are not significantly different (p &lt; 0.05).</w:t>
      </w:r>
      <w:r w:rsidRPr="006D615E">
        <w:rPr>
          <w:rFonts w:ascii="Arial" w:hAnsi="Arial" w:cs="Arial"/>
          <w:sz w:val="20"/>
          <w:szCs w:val="20"/>
        </w:rPr>
        <w:t xml:space="preserve"> </w:t>
      </w:r>
      <w:r w:rsidRPr="006D615E">
        <w:rPr>
          <w:rFonts w:ascii="Arial" w:eastAsia="SimSun" w:hAnsi="Arial" w:cs="Arial"/>
          <w:sz w:val="20"/>
          <w:szCs w:val="20"/>
          <w:lang w:eastAsia="zh-CN"/>
        </w:rPr>
        <w:t xml:space="preserve">Keys: Control sample = 100%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A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(10%)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(90%)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B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(20%)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(80%) biscuits.</w:t>
      </w:r>
    </w:p>
    <w:p w14:paraId="5E95CB96" w14:textId="329E9486" w:rsidR="00E10434" w:rsidRPr="001E6CB6"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3.3 </w:t>
      </w:r>
      <w:r w:rsidR="00E10434" w:rsidRPr="001E6CB6">
        <w:rPr>
          <w:rFonts w:ascii="Arial" w:hAnsi="Arial" w:cs="Arial"/>
          <w:b/>
          <w:bCs/>
          <w:sz w:val="22"/>
          <w:szCs w:val="22"/>
        </w:rPr>
        <w:t>Vitamin Composition</w:t>
      </w:r>
    </w:p>
    <w:p w14:paraId="09158530" w14:textId="0C8949F7"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 xml:space="preserve">The B-vitamin profile of the biscuit samples is presented in Table 4. Thiamine (vitamin B1) content showed a consistent, dose-dependent increase with higher levels of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flour substitution, ranging from 0.51 mg/100g to 0.69 and 0.88 mg/100g in samples A and B, respectively. There were significant differences (p &lt; 0.05) across all values. Riboflavin (vitamin B2) content followed a similar trend, increasing from 0.43 mg/100g to 0.78 and 1.08 mg/100g in samples A and B, respectively. Niacin (vitamin B3) content demonstrated a markedly different significance pattern. The control had the lowest value of 0.16 mg/100g followed by 0.29 and 1.17 mg/100g in samples A and B. The control and sample A were not significantly different (p &lt; 0.05). This indicated that the flour substitution increased niacin content, becoming evident only at the 20% substitution level.</w:t>
      </w:r>
      <w:r w:rsidR="004316AC" w:rsidRPr="006D615E">
        <w:rPr>
          <w:rFonts w:ascii="Arial" w:eastAsia="SimSun" w:hAnsi="Arial" w:cs="Arial"/>
          <w:sz w:val="20"/>
          <w:szCs w:val="20"/>
          <w:lang w:eastAsia="zh-CN"/>
        </w:rPr>
        <w:t xml:space="preserve"> </w:t>
      </w:r>
      <w:proofErr w:type="spellStart"/>
      <w:r w:rsidR="004316AC" w:rsidRPr="006D615E">
        <w:rPr>
          <w:rFonts w:ascii="Arial" w:eastAsia="SimSun" w:hAnsi="Arial" w:cs="Arial"/>
          <w:i/>
          <w:iCs/>
          <w:sz w:val="20"/>
          <w:szCs w:val="20"/>
          <w:lang w:eastAsia="zh-CN"/>
        </w:rPr>
        <w:t>Afzelia</w:t>
      </w:r>
      <w:proofErr w:type="spellEnd"/>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africana</w:t>
      </w:r>
      <w:proofErr w:type="spellEnd"/>
      <w:r w:rsidR="004316AC" w:rsidRPr="006D615E">
        <w:rPr>
          <w:rFonts w:ascii="Arial" w:eastAsia="SimSun" w:hAnsi="Arial" w:cs="Arial"/>
          <w:i/>
          <w:iCs/>
          <w:sz w:val="20"/>
          <w:szCs w:val="20"/>
          <w:lang w:eastAsia="zh-CN"/>
        </w:rPr>
        <w:t xml:space="preserve"> </w:t>
      </w:r>
      <w:r w:rsidR="006D615E" w:rsidRPr="006D615E">
        <w:rPr>
          <w:rFonts w:ascii="Arial" w:eastAsia="SimSun" w:hAnsi="Arial" w:cs="Arial"/>
          <w:sz w:val="20"/>
          <w:szCs w:val="20"/>
          <w:lang w:eastAsia="zh-CN"/>
        </w:rPr>
        <w:t>has</w:t>
      </w:r>
      <w:r w:rsidR="004316AC" w:rsidRPr="006D615E">
        <w:rPr>
          <w:rFonts w:ascii="Arial" w:eastAsia="SimSun" w:hAnsi="Arial" w:cs="Arial"/>
          <w:sz w:val="20"/>
          <w:szCs w:val="20"/>
          <w:lang w:eastAsia="zh-CN"/>
        </w:rPr>
        <w:t xml:space="preserve"> been shown as a rich source of B-vitamins (Bolanle, 2010). The </w:t>
      </w:r>
      <w:r w:rsidR="006D615E" w:rsidRPr="006D615E">
        <w:rPr>
          <w:rFonts w:ascii="Arial" w:eastAsia="SimSun" w:hAnsi="Arial" w:cs="Arial"/>
          <w:sz w:val="20"/>
          <w:szCs w:val="20"/>
          <w:lang w:eastAsia="zh-CN"/>
        </w:rPr>
        <w:t>B vitamins</w:t>
      </w:r>
      <w:r w:rsidR="004316AC" w:rsidRPr="006D615E">
        <w:rPr>
          <w:rFonts w:ascii="Arial" w:eastAsia="SimSun" w:hAnsi="Arial" w:cs="Arial"/>
          <w:sz w:val="20"/>
          <w:szCs w:val="20"/>
          <w:lang w:eastAsia="zh-CN"/>
        </w:rPr>
        <w:t xml:space="preserve"> are </w:t>
      </w:r>
      <w:r w:rsidR="006D615E" w:rsidRPr="006D615E">
        <w:rPr>
          <w:rFonts w:ascii="Arial" w:eastAsia="SimSun" w:hAnsi="Arial" w:cs="Arial"/>
          <w:sz w:val="20"/>
          <w:szCs w:val="20"/>
          <w:lang w:eastAsia="zh-CN"/>
        </w:rPr>
        <w:t>coenzymes in energy metabolism and are</w:t>
      </w:r>
      <w:r w:rsidR="004316AC" w:rsidRPr="006D615E">
        <w:rPr>
          <w:rFonts w:ascii="Arial" w:eastAsia="SimSun" w:hAnsi="Arial" w:cs="Arial"/>
          <w:sz w:val="20"/>
          <w:szCs w:val="20"/>
          <w:lang w:eastAsia="zh-CN"/>
        </w:rPr>
        <w:t xml:space="preserve"> important in the electron transport chain (Ball, 2006). </w:t>
      </w:r>
      <w:r w:rsidR="006D615E" w:rsidRPr="006D615E">
        <w:rPr>
          <w:rFonts w:ascii="Arial" w:eastAsia="SimSun" w:hAnsi="Arial" w:cs="Arial"/>
          <w:sz w:val="20"/>
          <w:szCs w:val="20"/>
          <w:lang w:eastAsia="zh-CN"/>
        </w:rPr>
        <w:t xml:space="preserve">Enhancing baked foods with B vitamins from </w:t>
      </w:r>
      <w:proofErr w:type="spellStart"/>
      <w:r w:rsidR="006D615E" w:rsidRPr="006D615E">
        <w:rPr>
          <w:rFonts w:ascii="Arial" w:eastAsia="SimSun" w:hAnsi="Arial" w:cs="Arial"/>
          <w:sz w:val="20"/>
          <w:szCs w:val="20"/>
          <w:lang w:eastAsia="zh-CN"/>
        </w:rPr>
        <w:t>Afzelia</w:t>
      </w:r>
      <w:proofErr w:type="spellEnd"/>
      <w:r w:rsidR="006D615E" w:rsidRPr="006D615E">
        <w:rPr>
          <w:rFonts w:ascii="Arial" w:eastAsia="SimSun" w:hAnsi="Arial" w:cs="Arial"/>
          <w:sz w:val="20"/>
          <w:szCs w:val="20"/>
          <w:lang w:eastAsia="zh-CN"/>
        </w:rPr>
        <w:t xml:space="preserve"> </w:t>
      </w:r>
      <w:proofErr w:type="spellStart"/>
      <w:r w:rsidR="006D615E" w:rsidRPr="006D615E">
        <w:rPr>
          <w:rFonts w:ascii="Arial" w:eastAsia="SimSun" w:hAnsi="Arial" w:cs="Arial"/>
          <w:sz w:val="20"/>
          <w:szCs w:val="20"/>
          <w:lang w:eastAsia="zh-CN"/>
        </w:rPr>
        <w:t>africana</w:t>
      </w:r>
      <w:proofErr w:type="spellEnd"/>
      <w:r w:rsidR="006D615E" w:rsidRPr="006D615E">
        <w:rPr>
          <w:rFonts w:ascii="Arial" w:eastAsia="SimSun" w:hAnsi="Arial" w:cs="Arial"/>
          <w:sz w:val="20"/>
          <w:szCs w:val="20"/>
          <w:lang w:eastAsia="zh-CN"/>
        </w:rPr>
        <w:t xml:space="preserve"> is important for preventing</w:t>
      </w:r>
      <w:r w:rsidR="004316AC" w:rsidRPr="006D615E">
        <w:rPr>
          <w:rFonts w:ascii="Arial" w:eastAsia="SimSun" w:hAnsi="Arial" w:cs="Arial"/>
          <w:sz w:val="20"/>
          <w:szCs w:val="20"/>
          <w:lang w:eastAsia="zh-CN"/>
        </w:rPr>
        <w:t xml:space="preserve"> B-vitamin deficiencies such as </w:t>
      </w:r>
      <w:proofErr w:type="spellStart"/>
      <w:r w:rsidR="004316AC" w:rsidRPr="006D615E">
        <w:rPr>
          <w:rFonts w:ascii="Arial" w:eastAsia="SimSun" w:hAnsi="Arial" w:cs="Arial"/>
          <w:sz w:val="20"/>
          <w:szCs w:val="20"/>
          <w:lang w:eastAsia="zh-CN"/>
        </w:rPr>
        <w:t>beri-beri</w:t>
      </w:r>
      <w:proofErr w:type="spellEnd"/>
      <w:r w:rsidR="004316AC" w:rsidRPr="006D615E">
        <w:rPr>
          <w:rFonts w:ascii="Arial" w:eastAsia="SimSun" w:hAnsi="Arial" w:cs="Arial"/>
          <w:sz w:val="20"/>
          <w:szCs w:val="20"/>
          <w:lang w:eastAsia="zh-CN"/>
        </w:rPr>
        <w:t xml:space="preserve"> and pellagra. Niacin (vitamin B3) was only significant at the 20% substitution. This is consistent with dose-dependent substitution where higher level is experienced at higher substitutions (</w:t>
      </w:r>
      <w:proofErr w:type="spellStart"/>
      <w:r w:rsidR="004316AC" w:rsidRPr="006D615E">
        <w:rPr>
          <w:rFonts w:ascii="Arial" w:eastAsia="SimSun" w:hAnsi="Arial" w:cs="Arial"/>
          <w:sz w:val="20"/>
          <w:szCs w:val="20"/>
          <w:lang w:eastAsia="zh-CN"/>
        </w:rPr>
        <w:t>Ogunnowo</w:t>
      </w:r>
      <w:proofErr w:type="spellEnd"/>
      <w:r w:rsidR="004316AC" w:rsidRPr="006D615E">
        <w:rPr>
          <w:rFonts w:ascii="Arial" w:eastAsia="SimSun" w:hAnsi="Arial" w:cs="Arial"/>
          <w:sz w:val="20"/>
          <w:szCs w:val="20"/>
          <w:lang w:eastAsia="zh-CN"/>
        </w:rPr>
        <w:t xml:space="preserve"> et al., 2024).</w:t>
      </w:r>
    </w:p>
    <w:p w14:paraId="19A32EB9"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Table 4: Vitamin Composition of </w:t>
      </w:r>
      <w:proofErr w:type="spellStart"/>
      <w:r w:rsidRPr="006D615E">
        <w:rPr>
          <w:rFonts w:ascii="Arial" w:eastAsia="SimSun" w:hAnsi="Arial" w:cs="Arial"/>
          <w:b/>
          <w:bCs/>
          <w:sz w:val="20"/>
          <w:szCs w:val="20"/>
          <w:lang w:eastAsia="zh-CN"/>
        </w:rPr>
        <w:t>Tigernut</w:t>
      </w:r>
      <w:proofErr w:type="spellEnd"/>
      <w:r w:rsidRPr="006D615E">
        <w:rPr>
          <w:rFonts w:ascii="Arial" w:eastAsia="SimSun" w:hAnsi="Arial" w:cs="Arial"/>
          <w:b/>
          <w:bCs/>
          <w:sz w:val="20"/>
          <w:szCs w:val="20"/>
          <w:lang w:eastAsia="zh-CN"/>
        </w:rPr>
        <w:t xml:space="preserve"> and </w:t>
      </w:r>
      <w:proofErr w:type="spellStart"/>
      <w:r w:rsidRPr="006D615E">
        <w:rPr>
          <w:rFonts w:ascii="Arial" w:eastAsia="SimSun" w:hAnsi="Arial" w:cs="Arial"/>
          <w:b/>
          <w:bCs/>
          <w:sz w:val="20"/>
          <w:szCs w:val="20"/>
          <w:lang w:eastAsia="zh-CN"/>
        </w:rPr>
        <w:t>Tigernut-</w:t>
      </w:r>
      <w:r w:rsidRPr="006D615E">
        <w:rPr>
          <w:rFonts w:ascii="Arial" w:eastAsia="SimSun" w:hAnsi="Arial" w:cs="Arial"/>
          <w:b/>
          <w:bCs/>
          <w:i/>
          <w:iCs/>
          <w:sz w:val="20"/>
          <w:szCs w:val="20"/>
          <w:lang w:eastAsia="zh-CN"/>
        </w:rPr>
        <w:t>Afzelia</w:t>
      </w:r>
      <w:proofErr w:type="spellEnd"/>
      <w:r w:rsidRPr="006D615E">
        <w:rPr>
          <w:rFonts w:ascii="Arial" w:eastAsia="SimSun" w:hAnsi="Arial" w:cs="Arial"/>
          <w:b/>
          <w:bCs/>
          <w:i/>
          <w:iCs/>
          <w:sz w:val="20"/>
          <w:szCs w:val="20"/>
          <w:lang w:eastAsia="zh-CN"/>
        </w:rPr>
        <w:t xml:space="preserve"> </w:t>
      </w:r>
      <w:proofErr w:type="spellStart"/>
      <w:r w:rsidRPr="006D615E">
        <w:rPr>
          <w:rFonts w:ascii="Arial" w:eastAsia="SimSun" w:hAnsi="Arial" w:cs="Arial"/>
          <w:b/>
          <w:bCs/>
          <w:i/>
          <w:iCs/>
          <w:sz w:val="20"/>
          <w:szCs w:val="20"/>
          <w:lang w:eastAsia="zh-CN"/>
        </w:rPr>
        <w:t>africana</w:t>
      </w:r>
      <w:proofErr w:type="spellEnd"/>
      <w:r w:rsidRPr="006D615E">
        <w:rPr>
          <w:rFonts w:ascii="Arial" w:eastAsia="SimSun" w:hAnsi="Arial" w:cs="Arial"/>
          <w:b/>
          <w:bCs/>
          <w:sz w:val="20"/>
          <w:szCs w:val="20"/>
          <w:lang w:eastAsia="zh-CN"/>
        </w:rPr>
        <w:t xml:space="preserve"> biscuits</w:t>
      </w:r>
    </w:p>
    <w:tbl>
      <w:tblPr>
        <w:tblW w:w="9180" w:type="dxa"/>
        <w:tblBorders>
          <w:top w:val="single" w:sz="4" w:space="0" w:color="auto"/>
          <w:bottom w:val="single" w:sz="4" w:space="0" w:color="auto"/>
        </w:tblBorders>
        <w:tblLayout w:type="fixed"/>
        <w:tblLook w:val="04A0" w:firstRow="1" w:lastRow="0" w:firstColumn="1" w:lastColumn="0" w:noHBand="0" w:noVBand="1"/>
      </w:tblPr>
      <w:tblGrid>
        <w:gridCol w:w="2880"/>
        <w:gridCol w:w="1980"/>
        <w:gridCol w:w="2250"/>
        <w:gridCol w:w="2070"/>
      </w:tblGrid>
      <w:tr w:rsidR="00E10434" w:rsidRPr="006D615E" w14:paraId="5DBF9F9E" w14:textId="77777777" w:rsidTr="00564F0B">
        <w:tc>
          <w:tcPr>
            <w:tcW w:w="2880" w:type="dxa"/>
            <w:tcBorders>
              <w:top w:val="single" w:sz="4" w:space="0" w:color="auto"/>
              <w:bottom w:val="single" w:sz="4" w:space="0" w:color="auto"/>
            </w:tcBorders>
            <w:tcMar>
              <w:top w:w="0" w:type="dxa"/>
              <w:left w:w="108" w:type="dxa"/>
              <w:bottom w:w="0" w:type="dxa"/>
              <w:right w:w="108" w:type="dxa"/>
            </w:tcMar>
          </w:tcPr>
          <w:p w14:paraId="24443019"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Vitamins</w:t>
            </w:r>
          </w:p>
        </w:tc>
        <w:tc>
          <w:tcPr>
            <w:tcW w:w="1980" w:type="dxa"/>
            <w:tcBorders>
              <w:top w:val="single" w:sz="4" w:space="0" w:color="auto"/>
              <w:bottom w:val="single" w:sz="4" w:space="0" w:color="auto"/>
            </w:tcBorders>
            <w:tcMar>
              <w:top w:w="0" w:type="dxa"/>
              <w:left w:w="108" w:type="dxa"/>
              <w:bottom w:w="0" w:type="dxa"/>
              <w:right w:w="108" w:type="dxa"/>
            </w:tcMar>
          </w:tcPr>
          <w:p w14:paraId="66F5EE1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250" w:type="dxa"/>
            <w:tcBorders>
              <w:top w:val="single" w:sz="4" w:space="0" w:color="auto"/>
              <w:bottom w:val="single" w:sz="4" w:space="0" w:color="auto"/>
            </w:tcBorders>
            <w:tcMar>
              <w:top w:w="0" w:type="dxa"/>
              <w:left w:w="108" w:type="dxa"/>
              <w:bottom w:w="0" w:type="dxa"/>
              <w:right w:w="108" w:type="dxa"/>
            </w:tcMar>
          </w:tcPr>
          <w:p w14:paraId="03BC05B5"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2070" w:type="dxa"/>
            <w:tcBorders>
              <w:top w:val="single" w:sz="4" w:space="0" w:color="auto"/>
              <w:bottom w:val="single" w:sz="4" w:space="0" w:color="auto"/>
            </w:tcBorders>
            <w:tcMar>
              <w:top w:w="0" w:type="dxa"/>
              <w:left w:w="108" w:type="dxa"/>
              <w:bottom w:w="0" w:type="dxa"/>
              <w:right w:w="108" w:type="dxa"/>
            </w:tcMar>
          </w:tcPr>
          <w:p w14:paraId="5F33B550"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62702539" w14:textId="77777777" w:rsidTr="00564F0B">
        <w:tc>
          <w:tcPr>
            <w:tcW w:w="2880" w:type="dxa"/>
            <w:tcBorders>
              <w:top w:val="single" w:sz="4" w:space="0" w:color="auto"/>
            </w:tcBorders>
            <w:tcMar>
              <w:top w:w="0" w:type="dxa"/>
              <w:left w:w="108" w:type="dxa"/>
              <w:bottom w:w="0" w:type="dxa"/>
              <w:right w:w="108" w:type="dxa"/>
            </w:tcMar>
          </w:tcPr>
          <w:p w14:paraId="1B5B5D4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Vitamin B1 (mg/100g)</w:t>
            </w:r>
          </w:p>
        </w:tc>
        <w:tc>
          <w:tcPr>
            <w:tcW w:w="1980" w:type="dxa"/>
            <w:tcBorders>
              <w:top w:val="single" w:sz="4" w:space="0" w:color="auto"/>
            </w:tcBorders>
            <w:tcMar>
              <w:top w:w="0" w:type="dxa"/>
              <w:left w:w="108" w:type="dxa"/>
              <w:bottom w:w="0" w:type="dxa"/>
              <w:right w:w="108" w:type="dxa"/>
            </w:tcMar>
          </w:tcPr>
          <w:p w14:paraId="1B15F6FC" w14:textId="6ED5B5B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0.51</w:t>
            </w:r>
            <w:r w:rsidR="001E6CB6">
              <w:rPr>
                <w:rFonts w:ascii="Arial" w:eastAsia="SimSun" w:hAnsi="Arial" w:cs="Arial"/>
                <w:sz w:val="20"/>
                <w:szCs w:val="20"/>
                <w:vertAlign w:val="superscript"/>
                <w:lang w:eastAsia="zh-CN"/>
              </w:rPr>
              <w:t>c</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±0.01</w:t>
            </w:r>
          </w:p>
        </w:tc>
        <w:tc>
          <w:tcPr>
            <w:tcW w:w="2250" w:type="dxa"/>
            <w:tcBorders>
              <w:top w:val="single" w:sz="4" w:space="0" w:color="auto"/>
            </w:tcBorders>
            <w:tcMar>
              <w:top w:w="0" w:type="dxa"/>
              <w:left w:w="108" w:type="dxa"/>
              <w:bottom w:w="0" w:type="dxa"/>
              <w:right w:w="108" w:type="dxa"/>
            </w:tcMar>
          </w:tcPr>
          <w:p w14:paraId="34B0EFFF"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0.69</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±0.01</w:t>
            </w:r>
          </w:p>
        </w:tc>
        <w:tc>
          <w:tcPr>
            <w:tcW w:w="2070" w:type="dxa"/>
            <w:tcBorders>
              <w:top w:val="single" w:sz="4" w:space="0" w:color="auto"/>
            </w:tcBorders>
            <w:tcMar>
              <w:top w:w="0" w:type="dxa"/>
              <w:left w:w="108" w:type="dxa"/>
              <w:bottom w:w="0" w:type="dxa"/>
              <w:right w:w="108" w:type="dxa"/>
            </w:tcMar>
          </w:tcPr>
          <w:p w14:paraId="02F3EA4C" w14:textId="1D3AC59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0.88</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±0.00</w:t>
            </w:r>
          </w:p>
        </w:tc>
      </w:tr>
      <w:tr w:rsidR="00E10434" w:rsidRPr="006D615E" w14:paraId="3D3053C3" w14:textId="77777777" w:rsidTr="00564F0B">
        <w:tc>
          <w:tcPr>
            <w:tcW w:w="2880" w:type="dxa"/>
            <w:tcMar>
              <w:top w:w="0" w:type="dxa"/>
              <w:left w:w="108" w:type="dxa"/>
              <w:bottom w:w="0" w:type="dxa"/>
              <w:right w:w="108" w:type="dxa"/>
            </w:tcMar>
          </w:tcPr>
          <w:p w14:paraId="0350DDB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Vitamin B2 (mg/100g)</w:t>
            </w:r>
          </w:p>
        </w:tc>
        <w:tc>
          <w:tcPr>
            <w:tcW w:w="1980" w:type="dxa"/>
            <w:tcMar>
              <w:top w:w="0" w:type="dxa"/>
              <w:left w:w="108" w:type="dxa"/>
              <w:bottom w:w="0" w:type="dxa"/>
              <w:right w:w="108" w:type="dxa"/>
            </w:tcMar>
          </w:tcPr>
          <w:p w14:paraId="50569670" w14:textId="61DA1A0E"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0.43</w:t>
            </w:r>
            <w:r w:rsidR="001E6CB6">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±0.03</w:t>
            </w:r>
          </w:p>
        </w:tc>
        <w:tc>
          <w:tcPr>
            <w:tcW w:w="2250" w:type="dxa"/>
            <w:tcMar>
              <w:top w:w="0" w:type="dxa"/>
              <w:left w:w="108" w:type="dxa"/>
              <w:bottom w:w="0" w:type="dxa"/>
              <w:right w:w="108" w:type="dxa"/>
            </w:tcMar>
          </w:tcPr>
          <w:p w14:paraId="24D6222E"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0.78</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±0.14</w:t>
            </w:r>
          </w:p>
        </w:tc>
        <w:tc>
          <w:tcPr>
            <w:tcW w:w="2070" w:type="dxa"/>
            <w:tcMar>
              <w:top w:w="0" w:type="dxa"/>
              <w:left w:w="108" w:type="dxa"/>
              <w:bottom w:w="0" w:type="dxa"/>
              <w:right w:w="108" w:type="dxa"/>
            </w:tcMar>
          </w:tcPr>
          <w:p w14:paraId="45EA00DF" w14:textId="67E93F09"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1.08</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±0.01</w:t>
            </w:r>
          </w:p>
        </w:tc>
      </w:tr>
      <w:tr w:rsidR="00E10434" w:rsidRPr="006D615E" w14:paraId="66B84580" w14:textId="77777777" w:rsidTr="00564F0B">
        <w:tc>
          <w:tcPr>
            <w:tcW w:w="2880" w:type="dxa"/>
            <w:tcMar>
              <w:top w:w="0" w:type="dxa"/>
              <w:left w:w="108" w:type="dxa"/>
              <w:bottom w:w="0" w:type="dxa"/>
              <w:right w:w="108" w:type="dxa"/>
            </w:tcMar>
          </w:tcPr>
          <w:p w14:paraId="020A372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Vitamin B3 (mg/100g)</w:t>
            </w:r>
          </w:p>
        </w:tc>
        <w:tc>
          <w:tcPr>
            <w:tcW w:w="1980" w:type="dxa"/>
            <w:tcMar>
              <w:top w:w="0" w:type="dxa"/>
              <w:left w:w="108" w:type="dxa"/>
              <w:bottom w:w="0" w:type="dxa"/>
              <w:right w:w="108" w:type="dxa"/>
            </w:tcMar>
          </w:tcPr>
          <w:p w14:paraId="5CF1DE47" w14:textId="0E1CF8BF"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0.16</w:t>
            </w:r>
            <w:r w:rsidR="001E6CB6">
              <w:rPr>
                <w:rFonts w:ascii="Arial" w:eastAsia="SimSun" w:hAnsi="Arial" w:cs="Arial"/>
                <w:sz w:val="20"/>
                <w:szCs w:val="20"/>
                <w:vertAlign w:val="superscript"/>
                <w:lang w:eastAsia="zh-CN"/>
              </w:rPr>
              <w:t>b</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±0.01</w:t>
            </w:r>
          </w:p>
        </w:tc>
        <w:tc>
          <w:tcPr>
            <w:tcW w:w="2250" w:type="dxa"/>
            <w:tcMar>
              <w:top w:w="0" w:type="dxa"/>
              <w:left w:w="108" w:type="dxa"/>
              <w:bottom w:w="0" w:type="dxa"/>
              <w:right w:w="108" w:type="dxa"/>
            </w:tcMar>
          </w:tcPr>
          <w:p w14:paraId="45E93C36" w14:textId="6D460185"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0.29</w:t>
            </w:r>
            <w:r w:rsidR="001E6CB6">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±0.01</w:t>
            </w:r>
          </w:p>
        </w:tc>
        <w:tc>
          <w:tcPr>
            <w:tcW w:w="2070" w:type="dxa"/>
            <w:tcMar>
              <w:top w:w="0" w:type="dxa"/>
              <w:left w:w="108" w:type="dxa"/>
              <w:bottom w:w="0" w:type="dxa"/>
              <w:right w:w="108" w:type="dxa"/>
            </w:tcMar>
          </w:tcPr>
          <w:p w14:paraId="1FB7BC1C" w14:textId="55DB5D0F"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1.17</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±0.08</w:t>
            </w:r>
          </w:p>
        </w:tc>
      </w:tr>
    </w:tbl>
    <w:p w14:paraId="68D8B33C" w14:textId="196E66EC"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t>Means ± SD of triplicate replications. Values within the same row with the same superscript are not significantly different (p &lt; 0.05).</w:t>
      </w:r>
      <w:r w:rsidRPr="006D615E">
        <w:rPr>
          <w:rFonts w:ascii="Arial" w:hAnsi="Arial" w:cs="Arial"/>
          <w:sz w:val="20"/>
          <w:szCs w:val="20"/>
        </w:rPr>
        <w:t xml:space="preserve"> </w:t>
      </w:r>
      <w:r w:rsidRPr="006D615E">
        <w:rPr>
          <w:rFonts w:ascii="Arial" w:eastAsia="SimSun" w:hAnsi="Arial" w:cs="Arial"/>
          <w:sz w:val="20"/>
          <w:szCs w:val="20"/>
          <w:lang w:eastAsia="zh-CN"/>
        </w:rPr>
        <w:t xml:space="preserve">Keys: Control sample = 100%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A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(10%)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(90%)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B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(20%)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(80%) biscuits.</w:t>
      </w:r>
    </w:p>
    <w:p w14:paraId="5C60E993" w14:textId="7C7947D8" w:rsidR="00E10434" w:rsidRPr="006D615E" w:rsidRDefault="00222D19" w:rsidP="006521FB">
      <w:pPr>
        <w:spacing w:before="80" w:after="80" w:line="480" w:lineRule="auto"/>
        <w:jc w:val="both"/>
        <w:rPr>
          <w:rFonts w:ascii="Arial" w:hAnsi="Arial" w:cs="Arial"/>
          <w:b/>
          <w:bCs/>
          <w:sz w:val="22"/>
          <w:szCs w:val="22"/>
        </w:rPr>
      </w:pPr>
      <w:r>
        <w:rPr>
          <w:rFonts w:ascii="Arial" w:hAnsi="Arial" w:cs="Arial"/>
          <w:b/>
          <w:bCs/>
          <w:sz w:val="22"/>
          <w:szCs w:val="22"/>
        </w:rPr>
        <w:t xml:space="preserve">3.4 </w:t>
      </w:r>
      <w:r w:rsidR="00E10434" w:rsidRPr="006D615E">
        <w:rPr>
          <w:rFonts w:ascii="Arial" w:hAnsi="Arial" w:cs="Arial"/>
          <w:b/>
          <w:bCs/>
          <w:sz w:val="22"/>
          <w:szCs w:val="22"/>
        </w:rPr>
        <w:t>Phytochemical Composition</w:t>
      </w:r>
    </w:p>
    <w:p w14:paraId="0CED9202" w14:textId="163ED8CD" w:rsidR="00E10434" w:rsidRPr="006D615E" w:rsidRDefault="00E10434" w:rsidP="006521FB">
      <w:pPr>
        <w:spacing w:before="80" w:after="80" w:line="480" w:lineRule="auto"/>
        <w:jc w:val="both"/>
        <w:rPr>
          <w:rFonts w:ascii="Arial" w:hAnsi="Arial" w:cs="Arial"/>
          <w:sz w:val="20"/>
          <w:szCs w:val="20"/>
        </w:rPr>
      </w:pPr>
      <w:r w:rsidRPr="006D615E">
        <w:rPr>
          <w:rFonts w:ascii="Arial" w:hAnsi="Arial" w:cs="Arial"/>
          <w:sz w:val="20"/>
          <w:szCs w:val="20"/>
        </w:rPr>
        <w:lastRenderedPageBreak/>
        <w:t xml:space="preserve">The phytochemical composition of the biscuit samples, specifically total flavonoid content (TFC), is presented in Table 5. Total phenolic content increased progressively and significantly (p&lt; 0.05) across all levels. The control recorded a TPC of 12.87 mg GAE/100g, while sample A and sample B recorded 14.50 and 16.82 mg GAE/100g, respectively. The total flavonoid content (TFC) exhibited a different pattern of statistical significance. The control and sample A recorded values of 4.49 and 4.95 mg QE/100g, respectively, without any significant difference (p &lt; 0.05). Sample B showed the highest TFC of 6.69 mg QE/100g.  This indicated that the notable difference was observed only at 20% substitution with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sz w:val="20"/>
          <w:szCs w:val="20"/>
        </w:rPr>
        <w:t>.</w:t>
      </w:r>
      <w:r w:rsidR="004316AC" w:rsidRPr="006D615E">
        <w:rPr>
          <w:rFonts w:ascii="Arial" w:hAnsi="Arial" w:cs="Arial"/>
          <w:sz w:val="20"/>
          <w:szCs w:val="20"/>
        </w:rPr>
        <w:t xml:space="preserve"> </w:t>
      </w:r>
      <w:r w:rsidR="004316AC" w:rsidRPr="006D615E">
        <w:rPr>
          <w:rFonts w:ascii="Arial" w:eastAsia="SimSun" w:hAnsi="Arial" w:cs="Arial"/>
          <w:sz w:val="20"/>
          <w:szCs w:val="20"/>
          <w:lang w:eastAsia="zh-CN"/>
        </w:rPr>
        <w:t xml:space="preserve">The progressive increase in total phenolic content across all formulations confirms that the addition of </w:t>
      </w:r>
      <w:proofErr w:type="spellStart"/>
      <w:r w:rsidR="004316AC" w:rsidRPr="006D615E">
        <w:rPr>
          <w:rFonts w:ascii="Arial" w:eastAsia="SimSun" w:hAnsi="Arial" w:cs="Arial"/>
          <w:i/>
          <w:iCs/>
          <w:sz w:val="20"/>
          <w:szCs w:val="20"/>
          <w:lang w:eastAsia="zh-CN"/>
        </w:rPr>
        <w:t>Afzelia</w:t>
      </w:r>
      <w:proofErr w:type="spellEnd"/>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africana</w:t>
      </w:r>
      <w:proofErr w:type="spellEnd"/>
      <w:r w:rsidR="004316AC" w:rsidRPr="006D615E">
        <w:rPr>
          <w:rFonts w:ascii="Arial" w:eastAsia="SimSun" w:hAnsi="Arial" w:cs="Arial"/>
          <w:i/>
          <w:iCs/>
          <w:sz w:val="20"/>
          <w:szCs w:val="20"/>
          <w:lang w:eastAsia="zh-CN"/>
        </w:rPr>
        <w:t xml:space="preserve"> </w:t>
      </w:r>
      <w:r w:rsidR="004316AC" w:rsidRPr="006D615E">
        <w:rPr>
          <w:rFonts w:ascii="Arial" w:eastAsia="SimSun" w:hAnsi="Arial" w:cs="Arial"/>
          <w:sz w:val="20"/>
          <w:szCs w:val="20"/>
          <w:lang w:eastAsia="zh-CN"/>
        </w:rPr>
        <w:t xml:space="preserve">is a viable strategy to improve the polyphenol density of </w:t>
      </w:r>
      <w:proofErr w:type="spellStart"/>
      <w:r w:rsidR="004316AC" w:rsidRPr="006D615E">
        <w:rPr>
          <w:rFonts w:ascii="Arial" w:eastAsia="SimSun" w:hAnsi="Arial" w:cs="Arial"/>
          <w:sz w:val="20"/>
          <w:szCs w:val="20"/>
          <w:lang w:eastAsia="zh-CN"/>
        </w:rPr>
        <w:t>tigernut</w:t>
      </w:r>
      <w:proofErr w:type="spellEnd"/>
      <w:r w:rsidR="004316AC" w:rsidRPr="006D615E">
        <w:rPr>
          <w:rFonts w:ascii="Arial" w:eastAsia="SimSun" w:hAnsi="Arial" w:cs="Arial"/>
          <w:sz w:val="20"/>
          <w:szCs w:val="20"/>
          <w:lang w:eastAsia="zh-CN"/>
        </w:rPr>
        <w:t>-based biscuits.</w:t>
      </w:r>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Afzelia</w:t>
      </w:r>
      <w:proofErr w:type="spellEnd"/>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africana</w:t>
      </w:r>
      <w:proofErr w:type="spellEnd"/>
      <w:r w:rsidR="004316AC" w:rsidRPr="006D615E">
        <w:rPr>
          <w:rFonts w:ascii="Arial" w:eastAsia="SimSun" w:hAnsi="Arial" w:cs="Arial"/>
          <w:i/>
          <w:iCs/>
          <w:sz w:val="20"/>
          <w:szCs w:val="20"/>
          <w:lang w:eastAsia="zh-CN"/>
        </w:rPr>
        <w:t xml:space="preserve"> </w:t>
      </w:r>
      <w:r w:rsidR="004316AC" w:rsidRPr="006D615E">
        <w:rPr>
          <w:rFonts w:ascii="Arial" w:eastAsia="SimSun" w:hAnsi="Arial" w:cs="Arial"/>
          <w:sz w:val="20"/>
          <w:szCs w:val="20"/>
          <w:lang w:eastAsia="zh-CN"/>
        </w:rPr>
        <w:t>possessed the highest flavonoid content among other edible wild seeds evaluated in a report by (</w:t>
      </w:r>
      <w:proofErr w:type="spellStart"/>
      <w:r w:rsidR="004316AC" w:rsidRPr="006D615E">
        <w:rPr>
          <w:rFonts w:ascii="Arial" w:eastAsia="SimSun" w:hAnsi="Arial" w:cs="Arial"/>
          <w:sz w:val="20"/>
          <w:szCs w:val="20"/>
          <w:lang w:eastAsia="zh-CN"/>
        </w:rPr>
        <w:t>Irondi</w:t>
      </w:r>
      <w:proofErr w:type="spellEnd"/>
      <w:r w:rsidR="004316AC" w:rsidRPr="006D615E">
        <w:rPr>
          <w:rFonts w:ascii="Arial" w:eastAsia="SimSun" w:hAnsi="Arial" w:cs="Arial"/>
          <w:sz w:val="20"/>
          <w:szCs w:val="20"/>
          <w:lang w:eastAsia="zh-CN"/>
        </w:rPr>
        <w:t xml:space="preserve"> et al., 2011). Phenolics are of considerable importance in functional food development because of their established roles as dietary antioxidants, anti-inflammatory agents and modulators of cardiometabolic risk (Arshad et al., 2025). The observed significant difference (p &lt; 0.05) in flavonoid only at 20% substitution levels, just as seen in niacin composition, suggests this level as the minimum threshold for meaningful functional enhancement.</w:t>
      </w:r>
    </w:p>
    <w:p w14:paraId="110715E5"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Table 5: Phytochemical Composition of </w:t>
      </w:r>
      <w:proofErr w:type="spellStart"/>
      <w:r w:rsidRPr="006D615E">
        <w:rPr>
          <w:rFonts w:ascii="Arial" w:eastAsia="SimSun" w:hAnsi="Arial" w:cs="Arial"/>
          <w:b/>
          <w:bCs/>
          <w:sz w:val="20"/>
          <w:szCs w:val="20"/>
          <w:lang w:eastAsia="zh-CN"/>
        </w:rPr>
        <w:t>Tigernut</w:t>
      </w:r>
      <w:proofErr w:type="spellEnd"/>
      <w:r w:rsidRPr="006D615E">
        <w:rPr>
          <w:rFonts w:ascii="Arial" w:eastAsia="SimSun" w:hAnsi="Arial" w:cs="Arial"/>
          <w:b/>
          <w:bCs/>
          <w:sz w:val="20"/>
          <w:szCs w:val="20"/>
          <w:lang w:eastAsia="zh-CN"/>
        </w:rPr>
        <w:t xml:space="preserve"> and </w:t>
      </w:r>
      <w:proofErr w:type="spellStart"/>
      <w:r w:rsidRPr="006D615E">
        <w:rPr>
          <w:rFonts w:ascii="Arial" w:eastAsia="SimSun" w:hAnsi="Arial" w:cs="Arial"/>
          <w:b/>
          <w:bCs/>
          <w:sz w:val="20"/>
          <w:szCs w:val="20"/>
          <w:lang w:eastAsia="zh-CN"/>
        </w:rPr>
        <w:t>Tigernut-</w:t>
      </w:r>
      <w:r w:rsidRPr="006D615E">
        <w:rPr>
          <w:rFonts w:ascii="Arial" w:eastAsia="SimSun" w:hAnsi="Arial" w:cs="Arial"/>
          <w:b/>
          <w:bCs/>
          <w:i/>
          <w:iCs/>
          <w:sz w:val="20"/>
          <w:szCs w:val="20"/>
          <w:lang w:eastAsia="zh-CN"/>
        </w:rPr>
        <w:t>Afzelia</w:t>
      </w:r>
      <w:proofErr w:type="spellEnd"/>
      <w:r w:rsidRPr="006D615E">
        <w:rPr>
          <w:rFonts w:ascii="Arial" w:eastAsia="SimSun" w:hAnsi="Arial" w:cs="Arial"/>
          <w:b/>
          <w:bCs/>
          <w:i/>
          <w:iCs/>
          <w:sz w:val="20"/>
          <w:szCs w:val="20"/>
          <w:lang w:eastAsia="zh-CN"/>
        </w:rPr>
        <w:t xml:space="preserve"> </w:t>
      </w:r>
      <w:proofErr w:type="spellStart"/>
      <w:r w:rsidRPr="006D615E">
        <w:rPr>
          <w:rFonts w:ascii="Arial" w:eastAsia="SimSun" w:hAnsi="Arial" w:cs="Arial"/>
          <w:b/>
          <w:bCs/>
          <w:i/>
          <w:iCs/>
          <w:sz w:val="20"/>
          <w:szCs w:val="20"/>
          <w:lang w:eastAsia="zh-CN"/>
        </w:rPr>
        <w:t>africana</w:t>
      </w:r>
      <w:proofErr w:type="spellEnd"/>
      <w:r w:rsidRPr="006D615E">
        <w:rPr>
          <w:rFonts w:ascii="Arial" w:eastAsia="SimSun" w:hAnsi="Arial" w:cs="Arial"/>
          <w:b/>
          <w:bCs/>
          <w:sz w:val="20"/>
          <w:szCs w:val="20"/>
          <w:lang w:eastAsia="zh-CN"/>
        </w:rPr>
        <w:t xml:space="preserve"> Biscuits</w:t>
      </w:r>
    </w:p>
    <w:tbl>
      <w:tblPr>
        <w:tblW w:w="9180" w:type="dxa"/>
        <w:tblBorders>
          <w:top w:val="single" w:sz="4" w:space="0" w:color="auto"/>
          <w:bottom w:val="single" w:sz="4" w:space="0" w:color="auto"/>
        </w:tblBorders>
        <w:tblLayout w:type="fixed"/>
        <w:tblLook w:val="04A0" w:firstRow="1" w:lastRow="0" w:firstColumn="1" w:lastColumn="0" w:noHBand="0" w:noVBand="1"/>
      </w:tblPr>
      <w:tblGrid>
        <w:gridCol w:w="2880"/>
        <w:gridCol w:w="1980"/>
        <w:gridCol w:w="2250"/>
        <w:gridCol w:w="2070"/>
      </w:tblGrid>
      <w:tr w:rsidR="00E10434" w:rsidRPr="006D615E" w14:paraId="0E075C8E" w14:textId="77777777" w:rsidTr="00564F0B">
        <w:tc>
          <w:tcPr>
            <w:tcW w:w="2880" w:type="dxa"/>
            <w:tcBorders>
              <w:top w:val="single" w:sz="4" w:space="0" w:color="auto"/>
              <w:bottom w:val="single" w:sz="4" w:space="0" w:color="auto"/>
            </w:tcBorders>
            <w:tcMar>
              <w:top w:w="0" w:type="dxa"/>
              <w:left w:w="108" w:type="dxa"/>
              <w:bottom w:w="0" w:type="dxa"/>
              <w:right w:w="108" w:type="dxa"/>
            </w:tcMar>
          </w:tcPr>
          <w:p w14:paraId="57DFAA6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Phytochemicals</w:t>
            </w:r>
          </w:p>
        </w:tc>
        <w:tc>
          <w:tcPr>
            <w:tcW w:w="1980" w:type="dxa"/>
            <w:tcBorders>
              <w:top w:val="single" w:sz="4" w:space="0" w:color="auto"/>
              <w:bottom w:val="single" w:sz="4" w:space="0" w:color="auto"/>
            </w:tcBorders>
            <w:tcMar>
              <w:top w:w="0" w:type="dxa"/>
              <w:left w:w="108" w:type="dxa"/>
              <w:bottom w:w="0" w:type="dxa"/>
              <w:right w:w="108" w:type="dxa"/>
            </w:tcMar>
          </w:tcPr>
          <w:p w14:paraId="3A987AA5"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250" w:type="dxa"/>
            <w:tcBorders>
              <w:top w:val="single" w:sz="4" w:space="0" w:color="auto"/>
              <w:bottom w:val="single" w:sz="4" w:space="0" w:color="auto"/>
            </w:tcBorders>
            <w:tcMar>
              <w:top w:w="0" w:type="dxa"/>
              <w:left w:w="108" w:type="dxa"/>
              <w:bottom w:w="0" w:type="dxa"/>
              <w:right w:w="108" w:type="dxa"/>
            </w:tcMar>
          </w:tcPr>
          <w:p w14:paraId="06A5EE40"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2070" w:type="dxa"/>
            <w:tcBorders>
              <w:top w:val="single" w:sz="4" w:space="0" w:color="auto"/>
              <w:bottom w:val="single" w:sz="4" w:space="0" w:color="auto"/>
            </w:tcBorders>
            <w:tcMar>
              <w:top w:w="0" w:type="dxa"/>
              <w:left w:w="108" w:type="dxa"/>
              <w:bottom w:w="0" w:type="dxa"/>
              <w:right w:w="108" w:type="dxa"/>
            </w:tcMar>
          </w:tcPr>
          <w:p w14:paraId="26B1CCB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25601320" w14:textId="77777777" w:rsidTr="00564F0B">
        <w:tc>
          <w:tcPr>
            <w:tcW w:w="2880" w:type="dxa"/>
            <w:tcBorders>
              <w:top w:val="single" w:sz="4" w:space="0" w:color="auto"/>
            </w:tcBorders>
            <w:tcMar>
              <w:top w:w="0" w:type="dxa"/>
              <w:left w:w="108" w:type="dxa"/>
              <w:bottom w:w="0" w:type="dxa"/>
              <w:right w:w="108" w:type="dxa"/>
            </w:tcMar>
          </w:tcPr>
          <w:p w14:paraId="4B765F6B"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Flavonoids (mg/100g)</w:t>
            </w:r>
          </w:p>
        </w:tc>
        <w:tc>
          <w:tcPr>
            <w:tcW w:w="1980" w:type="dxa"/>
            <w:tcBorders>
              <w:top w:val="single" w:sz="4" w:space="0" w:color="auto"/>
            </w:tcBorders>
            <w:tcMar>
              <w:top w:w="0" w:type="dxa"/>
              <w:left w:w="108" w:type="dxa"/>
              <w:bottom w:w="0" w:type="dxa"/>
              <w:right w:w="108" w:type="dxa"/>
            </w:tcMar>
          </w:tcPr>
          <w:p w14:paraId="17376FAE" w14:textId="420D87A5"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4.49</w:t>
            </w:r>
            <w:r w:rsidR="006D615E">
              <w:rPr>
                <w:rFonts w:ascii="Arial" w:eastAsia="SimSun" w:hAnsi="Arial" w:cs="Arial"/>
                <w:sz w:val="20"/>
                <w:szCs w:val="20"/>
                <w:vertAlign w:val="superscript"/>
                <w:lang w:eastAsia="zh-CN"/>
              </w:rPr>
              <w:t>b</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±0.39</w:t>
            </w:r>
          </w:p>
        </w:tc>
        <w:tc>
          <w:tcPr>
            <w:tcW w:w="2250" w:type="dxa"/>
            <w:tcBorders>
              <w:top w:val="single" w:sz="4" w:space="0" w:color="auto"/>
            </w:tcBorders>
            <w:tcMar>
              <w:top w:w="0" w:type="dxa"/>
              <w:left w:w="108" w:type="dxa"/>
              <w:bottom w:w="0" w:type="dxa"/>
              <w:right w:w="108" w:type="dxa"/>
            </w:tcMar>
          </w:tcPr>
          <w:p w14:paraId="44C41797" w14:textId="18D6D84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4.95</w:t>
            </w:r>
            <w:r w:rsid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±0.26</w:t>
            </w:r>
          </w:p>
        </w:tc>
        <w:tc>
          <w:tcPr>
            <w:tcW w:w="2070" w:type="dxa"/>
            <w:tcBorders>
              <w:top w:val="single" w:sz="4" w:space="0" w:color="auto"/>
            </w:tcBorders>
            <w:tcMar>
              <w:top w:w="0" w:type="dxa"/>
              <w:left w:w="108" w:type="dxa"/>
              <w:bottom w:w="0" w:type="dxa"/>
              <w:right w:w="108" w:type="dxa"/>
            </w:tcMar>
          </w:tcPr>
          <w:p w14:paraId="31C9CA3B" w14:textId="3DFC8F40"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6.69</w:t>
            </w:r>
            <w:r w:rsid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±0.14</w:t>
            </w:r>
          </w:p>
        </w:tc>
      </w:tr>
      <w:tr w:rsidR="00E10434" w:rsidRPr="006D615E" w14:paraId="4285F8C2" w14:textId="77777777" w:rsidTr="00564F0B">
        <w:tc>
          <w:tcPr>
            <w:tcW w:w="2880" w:type="dxa"/>
            <w:tcMar>
              <w:top w:w="0" w:type="dxa"/>
              <w:left w:w="108" w:type="dxa"/>
              <w:bottom w:w="0" w:type="dxa"/>
              <w:right w:w="108" w:type="dxa"/>
            </w:tcMar>
          </w:tcPr>
          <w:p w14:paraId="71CA765C"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Phenols (mg/100g)</w:t>
            </w:r>
          </w:p>
        </w:tc>
        <w:tc>
          <w:tcPr>
            <w:tcW w:w="1980" w:type="dxa"/>
            <w:tcMar>
              <w:top w:w="0" w:type="dxa"/>
              <w:left w:w="108" w:type="dxa"/>
              <w:bottom w:w="0" w:type="dxa"/>
              <w:right w:w="108" w:type="dxa"/>
            </w:tcMar>
          </w:tcPr>
          <w:p w14:paraId="7F2B890D" w14:textId="6F8C227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12.87</w:t>
            </w:r>
            <w:r w:rsid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±0.32</w:t>
            </w:r>
          </w:p>
        </w:tc>
        <w:tc>
          <w:tcPr>
            <w:tcW w:w="2250" w:type="dxa"/>
            <w:tcMar>
              <w:top w:w="0" w:type="dxa"/>
              <w:left w:w="108" w:type="dxa"/>
              <w:bottom w:w="0" w:type="dxa"/>
              <w:right w:w="108" w:type="dxa"/>
            </w:tcMar>
          </w:tcPr>
          <w:p w14:paraId="4435ABA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14.50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±0.33</w:t>
            </w:r>
          </w:p>
        </w:tc>
        <w:tc>
          <w:tcPr>
            <w:tcW w:w="2070" w:type="dxa"/>
            <w:tcMar>
              <w:top w:w="0" w:type="dxa"/>
              <w:left w:w="108" w:type="dxa"/>
              <w:bottom w:w="0" w:type="dxa"/>
              <w:right w:w="108" w:type="dxa"/>
            </w:tcMar>
          </w:tcPr>
          <w:p w14:paraId="5A06660D" w14:textId="1CDEFC7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16.82</w:t>
            </w:r>
            <w:r w:rsid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±0.25</w:t>
            </w:r>
          </w:p>
        </w:tc>
      </w:tr>
    </w:tbl>
    <w:p w14:paraId="28A503DE" w14:textId="77777777"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t>Means ± SD of triplicate replications. Values within the same row with the same superscript are not significantly different (p &lt; 0.05).</w:t>
      </w:r>
      <w:r w:rsidRPr="006D615E">
        <w:rPr>
          <w:rFonts w:ascii="Arial" w:hAnsi="Arial" w:cs="Arial"/>
          <w:sz w:val="20"/>
          <w:szCs w:val="20"/>
        </w:rPr>
        <w:t xml:space="preserve"> </w:t>
      </w:r>
      <w:r w:rsidRPr="006D615E">
        <w:rPr>
          <w:rFonts w:ascii="Arial" w:eastAsia="SimSun" w:hAnsi="Arial" w:cs="Arial"/>
          <w:sz w:val="20"/>
          <w:szCs w:val="20"/>
          <w:lang w:eastAsia="zh-CN"/>
        </w:rPr>
        <w:t xml:space="preserve">Keys: Control sample = 100%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A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(10%)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(90%)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B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(20%)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(80%) biscuits.</w:t>
      </w:r>
    </w:p>
    <w:p w14:paraId="5D9229DF" w14:textId="0A2A71C6" w:rsidR="00E10434" w:rsidRPr="006D615E" w:rsidRDefault="00222D19" w:rsidP="006521FB">
      <w:pPr>
        <w:spacing w:before="80" w:after="80" w:line="480" w:lineRule="auto"/>
        <w:jc w:val="both"/>
        <w:rPr>
          <w:rFonts w:ascii="Arial" w:hAnsi="Arial" w:cs="Arial"/>
          <w:b/>
          <w:bCs/>
          <w:sz w:val="22"/>
          <w:szCs w:val="22"/>
        </w:rPr>
      </w:pPr>
      <w:r>
        <w:rPr>
          <w:rFonts w:ascii="Arial" w:hAnsi="Arial" w:cs="Arial"/>
          <w:b/>
          <w:bCs/>
          <w:sz w:val="22"/>
          <w:szCs w:val="22"/>
        </w:rPr>
        <w:t xml:space="preserve">3.5 </w:t>
      </w:r>
      <w:r w:rsidR="00E10434" w:rsidRPr="006D615E">
        <w:rPr>
          <w:rFonts w:ascii="Arial" w:hAnsi="Arial" w:cs="Arial"/>
          <w:b/>
          <w:bCs/>
          <w:sz w:val="22"/>
          <w:szCs w:val="22"/>
        </w:rPr>
        <w:t>Antioxidant activity</w:t>
      </w:r>
    </w:p>
    <w:p w14:paraId="53BEB7F7" w14:textId="37CB339C"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The DPPH radical scavenging activity of the biscuit sample and the ascorbic acid reference standard is presented in Fig 1. A lower IC</w:t>
      </w:r>
      <w:r w:rsidRPr="006D615E">
        <w:rPr>
          <w:rFonts w:ascii="Arial" w:hAnsi="Arial" w:cs="Arial"/>
          <w:sz w:val="20"/>
          <w:szCs w:val="20"/>
          <w:vertAlign w:val="subscript"/>
        </w:rPr>
        <w:t xml:space="preserve">50 </w:t>
      </w:r>
      <w:r w:rsidRPr="006D615E">
        <w:rPr>
          <w:rFonts w:ascii="Arial" w:hAnsi="Arial" w:cs="Arial"/>
          <w:sz w:val="20"/>
          <w:szCs w:val="20"/>
        </w:rPr>
        <w:t xml:space="preserve">value indicates greater antioxidant potency, as it represents the concentration of the extract required to scavenge 50% of the DPPH radical. The control (100%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+ 0%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seed flour biscuit) had the highest IC50 of 1370.33 µg/ml, indicating the lowest IC</w:t>
      </w:r>
      <w:r w:rsidRPr="006D615E">
        <w:rPr>
          <w:rFonts w:ascii="Arial" w:hAnsi="Arial" w:cs="Arial"/>
          <w:sz w:val="20"/>
          <w:szCs w:val="20"/>
          <w:vertAlign w:val="subscript"/>
        </w:rPr>
        <w:t>50</w:t>
      </w:r>
      <w:r w:rsidRPr="006D615E">
        <w:rPr>
          <w:rFonts w:ascii="Arial" w:hAnsi="Arial" w:cs="Arial"/>
          <w:sz w:val="20"/>
          <w:szCs w:val="20"/>
        </w:rPr>
        <w:t xml:space="preserve"> </w:t>
      </w:r>
      <w:r w:rsidRPr="006D615E">
        <w:rPr>
          <w:rFonts w:ascii="Arial" w:hAnsi="Arial" w:cs="Arial"/>
          <w:sz w:val="20"/>
          <w:szCs w:val="20"/>
        </w:rPr>
        <w:lastRenderedPageBreak/>
        <w:t xml:space="preserve">among the biscuit samples. Sample A (90%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+ 10%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sz w:val="20"/>
          <w:szCs w:val="20"/>
        </w:rPr>
        <w:t>) recorded an IC</w:t>
      </w:r>
      <w:r w:rsidRPr="006D615E">
        <w:rPr>
          <w:rFonts w:ascii="Arial" w:hAnsi="Arial" w:cs="Arial"/>
          <w:sz w:val="20"/>
          <w:szCs w:val="20"/>
          <w:vertAlign w:val="subscript"/>
        </w:rPr>
        <w:t xml:space="preserve">50 </w:t>
      </w:r>
      <w:r w:rsidRPr="006D615E">
        <w:rPr>
          <w:rFonts w:ascii="Arial" w:hAnsi="Arial" w:cs="Arial"/>
          <w:sz w:val="20"/>
          <w:szCs w:val="20"/>
        </w:rPr>
        <w:t>of 1262.86 µg/mL, indicating a lower IC</w:t>
      </w:r>
      <w:r w:rsidRPr="006D615E">
        <w:rPr>
          <w:rFonts w:ascii="Arial" w:hAnsi="Arial" w:cs="Arial"/>
          <w:sz w:val="20"/>
          <w:szCs w:val="20"/>
          <w:vertAlign w:val="subscript"/>
        </w:rPr>
        <w:t xml:space="preserve">50 </w:t>
      </w:r>
      <w:r w:rsidRPr="006D615E">
        <w:rPr>
          <w:rFonts w:ascii="Arial" w:hAnsi="Arial" w:cs="Arial"/>
          <w:sz w:val="20"/>
          <w:szCs w:val="20"/>
        </w:rPr>
        <w:t xml:space="preserve">and higher radical scavenging capacity relative to the control. Sample B (80%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+ 20%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sz w:val="20"/>
          <w:szCs w:val="20"/>
        </w:rPr>
        <w:t>) recorded a further reduction in IC</w:t>
      </w:r>
      <w:r w:rsidRPr="006D615E">
        <w:rPr>
          <w:rFonts w:ascii="Arial" w:hAnsi="Arial" w:cs="Arial"/>
          <w:sz w:val="20"/>
          <w:szCs w:val="20"/>
          <w:vertAlign w:val="subscript"/>
        </w:rPr>
        <w:t>50</w:t>
      </w:r>
      <w:r w:rsidRPr="006D615E">
        <w:rPr>
          <w:rFonts w:ascii="Arial" w:hAnsi="Arial" w:cs="Arial"/>
          <w:sz w:val="20"/>
          <w:szCs w:val="20"/>
        </w:rPr>
        <w:t>, indicating the highest antioxidant activity among the 3 biscuit samples. Across all three samples, IC</w:t>
      </w:r>
      <w:r w:rsidRPr="006D615E">
        <w:rPr>
          <w:rFonts w:ascii="Arial" w:hAnsi="Arial" w:cs="Arial"/>
          <w:sz w:val="20"/>
          <w:szCs w:val="20"/>
          <w:vertAlign w:val="subscript"/>
        </w:rPr>
        <w:t xml:space="preserve">50 </w:t>
      </w:r>
      <w:r w:rsidRPr="006D615E">
        <w:rPr>
          <w:rFonts w:ascii="Arial" w:hAnsi="Arial" w:cs="Arial"/>
          <w:sz w:val="20"/>
          <w:szCs w:val="20"/>
        </w:rPr>
        <w:t xml:space="preserve">values decreased in a directionally consistent pattern with increasing levels of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flour substitution. The ascorbic acid reference standard demonstrated substantially greater antioxidant activity than all the biscuit formulations, as shown in the markedly lower IC</w:t>
      </w:r>
      <w:r w:rsidRPr="006D615E">
        <w:rPr>
          <w:rFonts w:ascii="Arial" w:hAnsi="Arial" w:cs="Arial"/>
          <w:sz w:val="20"/>
          <w:szCs w:val="20"/>
          <w:vertAlign w:val="subscript"/>
        </w:rPr>
        <w:t>50</w:t>
      </w:r>
      <w:r w:rsidRPr="006D615E">
        <w:rPr>
          <w:rFonts w:ascii="Arial" w:hAnsi="Arial" w:cs="Arial"/>
          <w:sz w:val="20"/>
          <w:szCs w:val="20"/>
        </w:rPr>
        <w:t xml:space="preserve"> value, which served as the positive control in the assay.</w:t>
      </w:r>
      <w:r w:rsidR="00B17B8B" w:rsidRPr="006D615E">
        <w:rPr>
          <w:rFonts w:ascii="Arial" w:hAnsi="Arial" w:cs="Arial"/>
          <w:sz w:val="20"/>
          <w:szCs w:val="20"/>
        </w:rPr>
        <w:t xml:space="preserve"> </w:t>
      </w:r>
      <w:r w:rsidR="00B17B8B" w:rsidRPr="006D615E">
        <w:rPr>
          <w:rFonts w:ascii="Arial" w:eastAsia="SimSun" w:hAnsi="Arial" w:cs="Arial"/>
          <w:sz w:val="20"/>
          <w:szCs w:val="20"/>
          <w:lang w:eastAsia="zh-CN"/>
        </w:rPr>
        <w:t>The directional decrease in DPPH IC</w:t>
      </w:r>
      <w:r w:rsidR="00B17B8B" w:rsidRPr="006D615E">
        <w:rPr>
          <w:rFonts w:ascii="Arial" w:eastAsia="SimSun" w:hAnsi="Arial" w:cs="Arial"/>
          <w:sz w:val="20"/>
          <w:szCs w:val="20"/>
          <w:vertAlign w:val="subscript"/>
          <w:lang w:eastAsia="zh-CN"/>
        </w:rPr>
        <w:t xml:space="preserve">50 </w:t>
      </w:r>
      <w:r w:rsidR="00B17B8B" w:rsidRPr="006D615E">
        <w:rPr>
          <w:rFonts w:ascii="Arial" w:eastAsia="SimSun" w:hAnsi="Arial" w:cs="Arial"/>
          <w:sz w:val="20"/>
          <w:szCs w:val="20"/>
          <w:lang w:eastAsia="zh-CN"/>
        </w:rPr>
        <w:t xml:space="preserve">from the control through sample A, sample B and ascorbic acid corroborates the phytochemical enrichment data and confirms that the antioxidant activity of the biscuit is enhanced by </w:t>
      </w:r>
      <w:proofErr w:type="spellStart"/>
      <w:r w:rsidR="00B17B8B" w:rsidRPr="006D615E">
        <w:rPr>
          <w:rFonts w:ascii="Arial" w:eastAsia="SimSun" w:hAnsi="Arial" w:cs="Arial"/>
          <w:i/>
          <w:iCs/>
          <w:sz w:val="20"/>
          <w:szCs w:val="20"/>
          <w:lang w:eastAsia="zh-CN"/>
        </w:rPr>
        <w:t>Afzelia</w:t>
      </w:r>
      <w:proofErr w:type="spellEnd"/>
      <w:r w:rsidR="00B17B8B" w:rsidRPr="006D615E">
        <w:rPr>
          <w:rFonts w:ascii="Arial" w:eastAsia="SimSun" w:hAnsi="Arial" w:cs="Arial"/>
          <w:i/>
          <w:iCs/>
          <w:sz w:val="20"/>
          <w:szCs w:val="20"/>
          <w:lang w:eastAsia="zh-CN"/>
        </w:rPr>
        <w:t xml:space="preserve"> </w:t>
      </w:r>
      <w:proofErr w:type="spellStart"/>
      <w:r w:rsidR="00B17B8B" w:rsidRPr="006D615E">
        <w:rPr>
          <w:rFonts w:ascii="Arial" w:eastAsia="SimSun" w:hAnsi="Arial" w:cs="Arial"/>
          <w:i/>
          <w:iCs/>
          <w:sz w:val="20"/>
          <w:szCs w:val="20"/>
          <w:lang w:eastAsia="zh-CN"/>
        </w:rPr>
        <w:t>africana</w:t>
      </w:r>
      <w:proofErr w:type="spellEnd"/>
      <w:r w:rsidR="00B17B8B" w:rsidRPr="006D615E">
        <w:rPr>
          <w:rFonts w:ascii="Arial" w:eastAsia="SimSun" w:hAnsi="Arial" w:cs="Arial"/>
          <w:i/>
          <w:iCs/>
          <w:sz w:val="20"/>
          <w:szCs w:val="20"/>
          <w:lang w:eastAsia="zh-CN"/>
        </w:rPr>
        <w:t xml:space="preserve"> </w:t>
      </w:r>
      <w:r w:rsidR="00B17B8B" w:rsidRPr="006D615E">
        <w:rPr>
          <w:rFonts w:ascii="Arial" w:eastAsia="SimSun" w:hAnsi="Arial" w:cs="Arial"/>
          <w:sz w:val="20"/>
          <w:szCs w:val="20"/>
          <w:lang w:eastAsia="zh-CN"/>
        </w:rPr>
        <w:t xml:space="preserve">flour incorporation. Acheampong et al. (2023) demonstrated dose-dependent antioxidant activity in </w:t>
      </w:r>
      <w:proofErr w:type="spellStart"/>
      <w:r w:rsidR="00B17B8B" w:rsidRPr="006D615E">
        <w:rPr>
          <w:rFonts w:ascii="Arial" w:eastAsia="SimSun" w:hAnsi="Arial" w:cs="Arial"/>
          <w:i/>
          <w:iCs/>
          <w:sz w:val="20"/>
          <w:szCs w:val="20"/>
          <w:lang w:eastAsia="zh-CN"/>
        </w:rPr>
        <w:t>Afzelia</w:t>
      </w:r>
      <w:proofErr w:type="spellEnd"/>
      <w:r w:rsidR="00B17B8B" w:rsidRPr="006D615E">
        <w:rPr>
          <w:rFonts w:ascii="Arial" w:eastAsia="SimSun" w:hAnsi="Arial" w:cs="Arial"/>
          <w:i/>
          <w:iCs/>
          <w:sz w:val="20"/>
          <w:szCs w:val="20"/>
          <w:lang w:eastAsia="zh-CN"/>
        </w:rPr>
        <w:t xml:space="preserve"> </w:t>
      </w:r>
      <w:proofErr w:type="spellStart"/>
      <w:r w:rsidR="00B17B8B" w:rsidRPr="006D615E">
        <w:rPr>
          <w:rFonts w:ascii="Arial" w:eastAsia="SimSun" w:hAnsi="Arial" w:cs="Arial"/>
          <w:i/>
          <w:iCs/>
          <w:sz w:val="20"/>
          <w:szCs w:val="20"/>
          <w:lang w:eastAsia="zh-CN"/>
        </w:rPr>
        <w:t>africana</w:t>
      </w:r>
      <w:proofErr w:type="spellEnd"/>
      <w:r w:rsidR="00B17B8B" w:rsidRPr="006D615E">
        <w:rPr>
          <w:rFonts w:ascii="Arial" w:eastAsia="SimSun" w:hAnsi="Arial" w:cs="Arial"/>
          <w:i/>
          <w:iCs/>
          <w:sz w:val="20"/>
          <w:szCs w:val="20"/>
          <w:lang w:eastAsia="zh-CN"/>
        </w:rPr>
        <w:t xml:space="preserve"> </w:t>
      </w:r>
      <w:r w:rsidR="00B17B8B" w:rsidRPr="006D615E">
        <w:rPr>
          <w:rFonts w:ascii="Arial" w:eastAsia="SimSun" w:hAnsi="Arial" w:cs="Arial"/>
          <w:sz w:val="20"/>
          <w:szCs w:val="20"/>
          <w:lang w:eastAsia="zh-CN"/>
        </w:rPr>
        <w:t xml:space="preserve">bark fractions, while </w:t>
      </w:r>
      <w:proofErr w:type="spellStart"/>
      <w:r w:rsidR="00B17B8B" w:rsidRPr="006D615E">
        <w:rPr>
          <w:rFonts w:ascii="Arial" w:eastAsia="SimSun" w:hAnsi="Arial" w:cs="Arial"/>
          <w:sz w:val="20"/>
          <w:szCs w:val="20"/>
          <w:lang w:eastAsia="zh-CN"/>
        </w:rPr>
        <w:t>Irondi</w:t>
      </w:r>
      <w:proofErr w:type="spellEnd"/>
      <w:r w:rsidR="00B17B8B" w:rsidRPr="006D615E">
        <w:rPr>
          <w:rFonts w:ascii="Arial" w:eastAsia="SimSun" w:hAnsi="Arial" w:cs="Arial"/>
          <w:sz w:val="20"/>
          <w:szCs w:val="20"/>
          <w:lang w:eastAsia="zh-CN"/>
        </w:rPr>
        <w:t xml:space="preserve"> et al. (2015) confirmed DPPH scavenging activity in aqueous </w:t>
      </w:r>
      <w:proofErr w:type="spellStart"/>
      <w:r w:rsidR="00B17B8B" w:rsidRPr="006D615E">
        <w:rPr>
          <w:rFonts w:ascii="Arial" w:eastAsia="SimSun" w:hAnsi="Arial" w:cs="Arial"/>
          <w:i/>
          <w:iCs/>
          <w:sz w:val="20"/>
          <w:szCs w:val="20"/>
          <w:lang w:eastAsia="zh-CN"/>
        </w:rPr>
        <w:t>Afzelia</w:t>
      </w:r>
      <w:proofErr w:type="spellEnd"/>
      <w:r w:rsidR="00B17B8B" w:rsidRPr="006D615E">
        <w:rPr>
          <w:rFonts w:ascii="Arial" w:eastAsia="SimSun" w:hAnsi="Arial" w:cs="Arial"/>
          <w:i/>
          <w:iCs/>
          <w:sz w:val="20"/>
          <w:szCs w:val="20"/>
          <w:lang w:eastAsia="zh-CN"/>
        </w:rPr>
        <w:t xml:space="preserve"> </w:t>
      </w:r>
      <w:proofErr w:type="spellStart"/>
      <w:r w:rsidR="00B17B8B" w:rsidRPr="006D615E">
        <w:rPr>
          <w:rFonts w:ascii="Arial" w:eastAsia="SimSun" w:hAnsi="Arial" w:cs="Arial"/>
          <w:i/>
          <w:iCs/>
          <w:sz w:val="20"/>
          <w:szCs w:val="20"/>
          <w:lang w:eastAsia="zh-CN"/>
        </w:rPr>
        <w:t>africana</w:t>
      </w:r>
      <w:proofErr w:type="spellEnd"/>
      <w:r w:rsidR="00B17B8B" w:rsidRPr="006D615E">
        <w:rPr>
          <w:rFonts w:ascii="Arial" w:eastAsia="SimSun" w:hAnsi="Arial" w:cs="Arial"/>
          <w:i/>
          <w:iCs/>
          <w:sz w:val="20"/>
          <w:szCs w:val="20"/>
          <w:lang w:eastAsia="zh-CN"/>
        </w:rPr>
        <w:t xml:space="preserve"> </w:t>
      </w:r>
      <w:r w:rsidR="00B17B8B" w:rsidRPr="006D615E">
        <w:rPr>
          <w:rFonts w:ascii="Arial" w:eastAsia="SimSun" w:hAnsi="Arial" w:cs="Arial"/>
          <w:sz w:val="20"/>
          <w:szCs w:val="20"/>
          <w:lang w:eastAsia="zh-CN"/>
        </w:rPr>
        <w:t>seeds extracts. The observed enhancement in radical scavenging capacity can be linked to the increased TPC and TFC in the enriched samples (Brand-Williams et al., 1995).</w:t>
      </w:r>
    </w:p>
    <w:p w14:paraId="56A45F9D" w14:textId="77777777" w:rsidR="00E10434" w:rsidRPr="006D615E" w:rsidRDefault="00E10434" w:rsidP="006521FB">
      <w:pPr>
        <w:spacing w:line="480" w:lineRule="auto"/>
        <w:jc w:val="both"/>
        <w:rPr>
          <w:rFonts w:ascii="Arial" w:hAnsi="Arial" w:cs="Arial"/>
          <w:sz w:val="20"/>
          <w:szCs w:val="20"/>
        </w:rPr>
      </w:pPr>
      <w:r w:rsidRPr="006D615E">
        <w:rPr>
          <w:rFonts w:ascii="Arial" w:hAnsi="Arial" w:cs="Arial"/>
          <w:noProof/>
          <w:sz w:val="20"/>
          <w:szCs w:val="20"/>
        </w:rPr>
        <w:drawing>
          <wp:inline distT="0" distB="0" distL="0" distR="0" wp14:anchorId="49212D03" wp14:editId="18C8B12C">
            <wp:extent cx="6029325" cy="27432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AF4DE8D" w14:textId="77777777" w:rsidR="00E10434" w:rsidRPr="006D615E" w:rsidRDefault="00E10434" w:rsidP="006521FB">
      <w:pPr>
        <w:spacing w:line="480" w:lineRule="auto"/>
        <w:jc w:val="both"/>
        <w:rPr>
          <w:rFonts w:ascii="Arial" w:hAnsi="Arial" w:cs="Arial"/>
          <w:b/>
          <w:sz w:val="20"/>
          <w:szCs w:val="20"/>
        </w:rPr>
      </w:pPr>
      <w:r w:rsidRPr="006D615E">
        <w:rPr>
          <w:rFonts w:ascii="Arial" w:hAnsi="Arial" w:cs="Arial"/>
          <w:b/>
          <w:sz w:val="20"/>
          <w:szCs w:val="20"/>
        </w:rPr>
        <w:t xml:space="preserve">Fig 1: DPPH Radical Scavenging abilities of </w:t>
      </w:r>
      <w:proofErr w:type="spellStart"/>
      <w:r w:rsidRPr="006D615E">
        <w:rPr>
          <w:rFonts w:ascii="Arial" w:hAnsi="Arial" w:cs="Arial"/>
          <w:b/>
          <w:sz w:val="20"/>
          <w:szCs w:val="20"/>
        </w:rPr>
        <w:t>Tigernut</w:t>
      </w:r>
      <w:proofErr w:type="spellEnd"/>
      <w:r w:rsidRPr="006D615E">
        <w:rPr>
          <w:rFonts w:ascii="Arial" w:hAnsi="Arial" w:cs="Arial"/>
          <w:b/>
          <w:sz w:val="20"/>
          <w:szCs w:val="20"/>
        </w:rPr>
        <w:t xml:space="preserve"> and </w:t>
      </w:r>
      <w:proofErr w:type="spellStart"/>
      <w:r w:rsidRPr="006D615E">
        <w:rPr>
          <w:rFonts w:ascii="Arial" w:hAnsi="Arial" w:cs="Arial"/>
          <w:b/>
          <w:sz w:val="20"/>
          <w:szCs w:val="20"/>
        </w:rPr>
        <w:t>Tigernut-</w:t>
      </w:r>
      <w:r w:rsidRPr="006D615E">
        <w:rPr>
          <w:rFonts w:ascii="Arial" w:hAnsi="Arial" w:cs="Arial"/>
          <w:b/>
          <w:i/>
          <w:sz w:val="20"/>
          <w:szCs w:val="20"/>
        </w:rPr>
        <w:t>Afzelia</w:t>
      </w:r>
      <w:proofErr w:type="spellEnd"/>
      <w:r w:rsidRPr="006D615E">
        <w:rPr>
          <w:rFonts w:ascii="Arial" w:hAnsi="Arial" w:cs="Arial"/>
          <w:b/>
          <w:i/>
          <w:sz w:val="20"/>
          <w:szCs w:val="20"/>
        </w:rPr>
        <w:t xml:space="preserve"> </w:t>
      </w:r>
      <w:proofErr w:type="spellStart"/>
      <w:r w:rsidRPr="006D615E">
        <w:rPr>
          <w:rFonts w:ascii="Arial" w:hAnsi="Arial" w:cs="Arial"/>
          <w:b/>
          <w:i/>
          <w:sz w:val="20"/>
          <w:szCs w:val="20"/>
        </w:rPr>
        <w:t>africana</w:t>
      </w:r>
      <w:proofErr w:type="spellEnd"/>
      <w:r w:rsidRPr="006D615E">
        <w:rPr>
          <w:rFonts w:ascii="Arial" w:hAnsi="Arial" w:cs="Arial"/>
          <w:b/>
          <w:sz w:val="20"/>
          <w:szCs w:val="20"/>
        </w:rPr>
        <w:t xml:space="preserve"> biscuits</w:t>
      </w:r>
    </w:p>
    <w:p w14:paraId="7AF07995" w14:textId="0987B8E6"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t>Means ± SD of triplicate replications. Values within the same row with the same superscript are not significantly different (p &lt; 0.05).</w:t>
      </w:r>
      <w:r w:rsidRPr="006D615E">
        <w:rPr>
          <w:rFonts w:ascii="Arial" w:hAnsi="Arial" w:cs="Arial"/>
          <w:sz w:val="20"/>
          <w:szCs w:val="20"/>
        </w:rPr>
        <w:t xml:space="preserve"> </w:t>
      </w:r>
      <w:r w:rsidRPr="006D615E">
        <w:rPr>
          <w:rFonts w:ascii="Arial" w:eastAsia="SimSun" w:hAnsi="Arial" w:cs="Arial"/>
          <w:sz w:val="20"/>
          <w:szCs w:val="20"/>
          <w:lang w:eastAsia="zh-CN"/>
        </w:rPr>
        <w:t xml:space="preserve">Keys: Control sample = 100%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A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(10%)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(90%)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B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(20%)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(80%) biscuits.</w:t>
      </w:r>
    </w:p>
    <w:p w14:paraId="76755072" w14:textId="5B2FE82C" w:rsidR="00E10434" w:rsidRPr="006D615E" w:rsidRDefault="00222D19" w:rsidP="006D615E">
      <w:pPr>
        <w:spacing w:before="80" w:after="80" w:line="480" w:lineRule="auto"/>
        <w:rPr>
          <w:rFonts w:ascii="Arial" w:hAnsi="Arial" w:cs="Arial"/>
          <w:b/>
          <w:bCs/>
          <w:sz w:val="22"/>
          <w:szCs w:val="22"/>
        </w:rPr>
      </w:pPr>
      <w:r>
        <w:rPr>
          <w:rFonts w:ascii="Arial" w:hAnsi="Arial" w:cs="Arial"/>
          <w:b/>
          <w:bCs/>
          <w:sz w:val="22"/>
          <w:szCs w:val="22"/>
        </w:rPr>
        <w:t xml:space="preserve">3.6 </w:t>
      </w:r>
      <w:r w:rsidR="00E10434" w:rsidRPr="006D615E">
        <w:rPr>
          <w:rFonts w:ascii="Arial" w:hAnsi="Arial" w:cs="Arial"/>
          <w:b/>
          <w:bCs/>
          <w:sz w:val="22"/>
          <w:szCs w:val="22"/>
        </w:rPr>
        <w:t>Sensory Evaluation</w:t>
      </w:r>
    </w:p>
    <w:p w14:paraId="0D9C276B" w14:textId="7164A24D" w:rsidR="00E10434" w:rsidRPr="006D615E" w:rsidRDefault="00E10434" w:rsidP="006521FB">
      <w:pPr>
        <w:spacing w:before="80" w:after="80" w:line="480" w:lineRule="auto"/>
        <w:jc w:val="both"/>
        <w:rPr>
          <w:rFonts w:ascii="Arial" w:hAnsi="Arial" w:cs="Arial"/>
          <w:sz w:val="20"/>
          <w:szCs w:val="20"/>
        </w:rPr>
      </w:pPr>
      <w:r w:rsidRPr="006D615E">
        <w:rPr>
          <w:rFonts w:ascii="Arial" w:hAnsi="Arial" w:cs="Arial"/>
          <w:sz w:val="20"/>
          <w:szCs w:val="20"/>
        </w:rPr>
        <w:lastRenderedPageBreak/>
        <w:t>The sensory acceptability scores of the three biscuit formulations evaluated by ten semi-trained panelists using a 9-point hedonic scale (9 = like extremely; 1 = Dislike extremely) are represented in Table 5. In color, the control and sample A showed scores of 7.78 and 7.</w:t>
      </w:r>
      <w:r w:rsidR="009E1F61" w:rsidRPr="006D615E">
        <w:rPr>
          <w:rFonts w:ascii="Arial" w:hAnsi="Arial" w:cs="Arial"/>
          <w:sz w:val="20"/>
          <w:szCs w:val="20"/>
        </w:rPr>
        <w:t>9</w:t>
      </w:r>
      <w:r w:rsidRPr="006D615E">
        <w:rPr>
          <w:rFonts w:ascii="Arial" w:hAnsi="Arial" w:cs="Arial"/>
          <w:sz w:val="20"/>
          <w:szCs w:val="20"/>
        </w:rPr>
        <w:t>0, respectively, with no significant difference. Sample B showed a significantly higher color score of 8.</w:t>
      </w:r>
      <w:r w:rsidR="009E1F61" w:rsidRPr="006D615E">
        <w:rPr>
          <w:rFonts w:ascii="Arial" w:hAnsi="Arial" w:cs="Arial"/>
          <w:sz w:val="20"/>
          <w:szCs w:val="20"/>
        </w:rPr>
        <w:t>3</w:t>
      </w:r>
      <w:r w:rsidRPr="006D615E">
        <w:rPr>
          <w:rFonts w:ascii="Arial" w:hAnsi="Arial" w:cs="Arial"/>
          <w:sz w:val="20"/>
          <w:szCs w:val="20"/>
        </w:rPr>
        <w:t>0. A similar pattern was observed in flavor. The control and sample A (7.30 and 7.60) were not significantly different, while sample B showed a higher flavor preference</w:t>
      </w:r>
      <w:r w:rsidR="009E1F61" w:rsidRPr="006D615E">
        <w:rPr>
          <w:rFonts w:ascii="Arial" w:hAnsi="Arial" w:cs="Arial"/>
          <w:sz w:val="20"/>
          <w:szCs w:val="20"/>
        </w:rPr>
        <w:t xml:space="preserve"> (8.0)</w:t>
      </w:r>
      <w:r w:rsidRPr="006D615E">
        <w:rPr>
          <w:rFonts w:ascii="Arial" w:hAnsi="Arial" w:cs="Arial"/>
          <w:sz w:val="20"/>
          <w:szCs w:val="20"/>
        </w:rPr>
        <w:t>. The control recorded the lowest aroma score (7.40), which was not significantly different from sample A (7.60), while sample B had the highest aroma score (8.0) with significant differences (p&lt; 0.05) across all levels. In mouthfeel, the control scored 7.30, while samples A and B scored 7.8 and 8.3, respectively. The taste scores were significantly different (p &lt; 0.05) across all formulations, with the control having the most preferred taste (8.0), followed by sample A (7.6) and sample B (7.20). In aftertaste, the control was 7.50, not different (p &lt; 0.05) from sample A (7.30), while sample B was significantly different (6.90). Overall acceptability scores were highest in the control (8.20), followed by sample A (8.00), and least in sample B (7.60).</w:t>
      </w:r>
    </w:p>
    <w:p w14:paraId="3CB353D7" w14:textId="4C965C8C" w:rsidR="00B17B8B" w:rsidRPr="006D615E" w:rsidRDefault="00B17B8B" w:rsidP="006521FB">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t xml:space="preserve">The sensory evaluation data revealed significant differences (p &lt; 0.05) across most attributes. This signified that substitution levels influenced sensory appeal. Color scores and visual appeal increased with the inclusion of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 xml:space="preserve">seed flour. Similarly, flavor and aroma followed a similar trend, with B recording a higher score, suggesting that moderate substitution of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flour with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sz w:val="20"/>
          <w:szCs w:val="20"/>
          <w:lang w:eastAsia="zh-CN"/>
        </w:rPr>
        <w:t xml:space="preserve"> seed flour improved the sensory profile, likely due to the nutty flavor and caramel color developed during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sz w:val="20"/>
          <w:szCs w:val="20"/>
          <w:lang w:eastAsia="zh-CN"/>
        </w:rPr>
        <w:t xml:space="preserve"> seed roasting</w:t>
      </w:r>
      <w:r w:rsidR="00940828" w:rsidRPr="006D615E">
        <w:rPr>
          <w:rFonts w:ascii="Arial" w:eastAsia="SimSun" w:hAnsi="Arial" w:cs="Arial"/>
          <w:sz w:val="20"/>
          <w:szCs w:val="20"/>
          <w:lang w:eastAsia="zh-CN"/>
        </w:rPr>
        <w:t xml:space="preserve"> (</w:t>
      </w:r>
      <w:proofErr w:type="spellStart"/>
      <w:r w:rsidR="00940828" w:rsidRPr="006D615E">
        <w:rPr>
          <w:rFonts w:ascii="Arial" w:eastAsia="SimSun" w:hAnsi="Arial" w:cs="Arial"/>
          <w:sz w:val="20"/>
          <w:szCs w:val="20"/>
          <w:lang w:eastAsia="zh-CN"/>
        </w:rPr>
        <w:t>Igbabul</w:t>
      </w:r>
      <w:proofErr w:type="spellEnd"/>
      <w:r w:rsidR="00940828" w:rsidRPr="006D615E">
        <w:rPr>
          <w:rFonts w:ascii="Arial" w:eastAsia="SimSun" w:hAnsi="Arial" w:cs="Arial"/>
          <w:sz w:val="20"/>
          <w:szCs w:val="20"/>
          <w:lang w:eastAsia="zh-CN"/>
        </w:rPr>
        <w:t xml:space="preserve"> et al., 2014)</w:t>
      </w:r>
      <w:r w:rsidRPr="006D615E">
        <w:rPr>
          <w:rFonts w:ascii="Arial" w:eastAsia="SimSun" w:hAnsi="Arial" w:cs="Arial"/>
          <w:sz w:val="20"/>
          <w:szCs w:val="20"/>
          <w:lang w:eastAsia="zh-CN"/>
        </w:rPr>
        <w:t xml:space="preserve">. Mouthfeel improvement could be linked to the fat and protein composition of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seed flour, which may enhance textural properties and perceived smoothness</w:t>
      </w:r>
      <w:r w:rsidR="00940828" w:rsidRPr="006D615E">
        <w:rPr>
          <w:rFonts w:ascii="Arial" w:eastAsia="SimSun" w:hAnsi="Arial" w:cs="Arial"/>
          <w:sz w:val="20"/>
          <w:szCs w:val="20"/>
          <w:lang w:eastAsia="zh-CN"/>
        </w:rPr>
        <w:t xml:space="preserve"> (Agu et al., 2023)</w:t>
      </w:r>
      <w:r w:rsidRPr="006D615E">
        <w:rPr>
          <w:rFonts w:ascii="Arial" w:eastAsia="SimSun" w:hAnsi="Arial" w:cs="Arial"/>
          <w:sz w:val="20"/>
          <w:szCs w:val="20"/>
          <w:lang w:eastAsia="zh-CN"/>
        </w:rPr>
        <w:t xml:space="preserve">. However, taste, aftertaste, and overall acceptability declined as substitution increased. This suggests that higher inclusion levels may introduce slight bitterness or unfamiliar flavor notes, thereby reducing sensory </w:t>
      </w:r>
      <w:r w:rsidR="00940828" w:rsidRPr="006D615E">
        <w:rPr>
          <w:rFonts w:ascii="Arial" w:eastAsia="SimSun" w:hAnsi="Arial" w:cs="Arial"/>
          <w:sz w:val="20"/>
          <w:szCs w:val="20"/>
          <w:lang w:eastAsia="zh-CN"/>
        </w:rPr>
        <w:t>acceptability</w:t>
      </w:r>
      <w:r w:rsidRPr="006D615E">
        <w:rPr>
          <w:rFonts w:ascii="Arial" w:eastAsia="SimSun" w:hAnsi="Arial" w:cs="Arial"/>
          <w:sz w:val="20"/>
          <w:szCs w:val="20"/>
          <w:lang w:eastAsia="zh-CN"/>
        </w:rPr>
        <w:t>.</w:t>
      </w:r>
    </w:p>
    <w:p w14:paraId="3AA0ED0B"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Table 6: Sensory attributes of </w:t>
      </w:r>
      <w:proofErr w:type="spellStart"/>
      <w:r w:rsidRPr="006D615E">
        <w:rPr>
          <w:rFonts w:ascii="Arial" w:eastAsia="SimSun" w:hAnsi="Arial" w:cs="Arial"/>
          <w:b/>
          <w:bCs/>
          <w:sz w:val="20"/>
          <w:szCs w:val="20"/>
          <w:lang w:eastAsia="zh-CN"/>
        </w:rPr>
        <w:t>Tigernut</w:t>
      </w:r>
      <w:proofErr w:type="spellEnd"/>
      <w:r w:rsidRPr="006D615E">
        <w:rPr>
          <w:rFonts w:ascii="Arial" w:eastAsia="SimSun" w:hAnsi="Arial" w:cs="Arial"/>
          <w:b/>
          <w:bCs/>
          <w:sz w:val="20"/>
          <w:szCs w:val="20"/>
          <w:lang w:eastAsia="zh-CN"/>
        </w:rPr>
        <w:t xml:space="preserve"> and </w:t>
      </w:r>
      <w:proofErr w:type="spellStart"/>
      <w:r w:rsidRPr="006D615E">
        <w:rPr>
          <w:rFonts w:ascii="Arial" w:eastAsia="SimSun" w:hAnsi="Arial" w:cs="Arial"/>
          <w:b/>
          <w:bCs/>
          <w:sz w:val="20"/>
          <w:szCs w:val="20"/>
          <w:lang w:eastAsia="zh-CN"/>
        </w:rPr>
        <w:t>Tigernut-</w:t>
      </w:r>
      <w:r w:rsidRPr="006D615E">
        <w:rPr>
          <w:rFonts w:ascii="Arial" w:eastAsia="SimSun" w:hAnsi="Arial" w:cs="Arial"/>
          <w:b/>
          <w:bCs/>
          <w:i/>
          <w:iCs/>
          <w:sz w:val="20"/>
          <w:szCs w:val="20"/>
          <w:lang w:eastAsia="zh-CN"/>
        </w:rPr>
        <w:t>Afzelia</w:t>
      </w:r>
      <w:proofErr w:type="spellEnd"/>
      <w:r w:rsidRPr="006D615E">
        <w:rPr>
          <w:rFonts w:ascii="Arial" w:eastAsia="SimSun" w:hAnsi="Arial" w:cs="Arial"/>
          <w:b/>
          <w:bCs/>
          <w:i/>
          <w:iCs/>
          <w:sz w:val="20"/>
          <w:szCs w:val="20"/>
          <w:lang w:eastAsia="zh-CN"/>
        </w:rPr>
        <w:t xml:space="preserve"> </w:t>
      </w:r>
      <w:proofErr w:type="spellStart"/>
      <w:r w:rsidRPr="006D615E">
        <w:rPr>
          <w:rFonts w:ascii="Arial" w:eastAsia="SimSun" w:hAnsi="Arial" w:cs="Arial"/>
          <w:b/>
          <w:bCs/>
          <w:i/>
          <w:iCs/>
          <w:sz w:val="20"/>
          <w:szCs w:val="20"/>
          <w:lang w:eastAsia="zh-CN"/>
        </w:rPr>
        <w:t>africana</w:t>
      </w:r>
      <w:proofErr w:type="spellEnd"/>
      <w:r w:rsidRPr="006D615E">
        <w:rPr>
          <w:rFonts w:ascii="Arial" w:eastAsia="SimSun" w:hAnsi="Arial" w:cs="Arial"/>
          <w:b/>
          <w:bCs/>
          <w:sz w:val="20"/>
          <w:szCs w:val="20"/>
          <w:lang w:eastAsia="zh-CN"/>
        </w:rPr>
        <w:t xml:space="preserve"> biscuits</w:t>
      </w:r>
    </w:p>
    <w:tbl>
      <w:tblPr>
        <w:tblW w:w="9000" w:type="dxa"/>
        <w:tblBorders>
          <w:top w:val="single" w:sz="4" w:space="0" w:color="auto"/>
          <w:bottom w:val="single" w:sz="4" w:space="0" w:color="auto"/>
        </w:tblBorders>
        <w:tblLook w:val="04A0" w:firstRow="1" w:lastRow="0" w:firstColumn="1" w:lastColumn="0" w:noHBand="0" w:noVBand="1"/>
      </w:tblPr>
      <w:tblGrid>
        <w:gridCol w:w="2520"/>
        <w:gridCol w:w="1980"/>
        <w:gridCol w:w="2520"/>
        <w:gridCol w:w="1980"/>
      </w:tblGrid>
      <w:tr w:rsidR="00E10434" w:rsidRPr="006D615E" w14:paraId="00F49409" w14:textId="77777777" w:rsidTr="00564F0B">
        <w:tc>
          <w:tcPr>
            <w:tcW w:w="2520" w:type="dxa"/>
            <w:tcBorders>
              <w:top w:val="single" w:sz="4" w:space="0" w:color="auto"/>
              <w:bottom w:val="single" w:sz="4" w:space="0" w:color="auto"/>
            </w:tcBorders>
            <w:tcMar>
              <w:top w:w="0" w:type="dxa"/>
              <w:left w:w="108" w:type="dxa"/>
              <w:bottom w:w="0" w:type="dxa"/>
              <w:right w:w="108" w:type="dxa"/>
            </w:tcMar>
          </w:tcPr>
          <w:p w14:paraId="4AB2892D"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Sensory attribute</w:t>
            </w:r>
          </w:p>
        </w:tc>
        <w:tc>
          <w:tcPr>
            <w:tcW w:w="1980" w:type="dxa"/>
            <w:tcBorders>
              <w:top w:val="single" w:sz="4" w:space="0" w:color="auto"/>
              <w:bottom w:val="single" w:sz="4" w:space="0" w:color="auto"/>
            </w:tcBorders>
            <w:tcMar>
              <w:top w:w="0" w:type="dxa"/>
              <w:left w:w="108" w:type="dxa"/>
              <w:bottom w:w="0" w:type="dxa"/>
              <w:right w:w="108" w:type="dxa"/>
            </w:tcMar>
          </w:tcPr>
          <w:p w14:paraId="051217C1" w14:textId="40EA7300"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520" w:type="dxa"/>
            <w:tcBorders>
              <w:top w:val="single" w:sz="4" w:space="0" w:color="auto"/>
              <w:bottom w:val="single" w:sz="4" w:space="0" w:color="auto"/>
            </w:tcBorders>
            <w:tcMar>
              <w:top w:w="0" w:type="dxa"/>
              <w:left w:w="108" w:type="dxa"/>
              <w:bottom w:w="0" w:type="dxa"/>
              <w:right w:w="108" w:type="dxa"/>
            </w:tcMar>
          </w:tcPr>
          <w:p w14:paraId="24115B4A" w14:textId="7D4AA10F"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1980" w:type="dxa"/>
            <w:tcBorders>
              <w:top w:val="single" w:sz="4" w:space="0" w:color="auto"/>
              <w:bottom w:val="single" w:sz="4" w:space="0" w:color="auto"/>
            </w:tcBorders>
            <w:tcMar>
              <w:top w:w="0" w:type="dxa"/>
              <w:left w:w="108" w:type="dxa"/>
              <w:bottom w:w="0" w:type="dxa"/>
              <w:right w:w="108" w:type="dxa"/>
            </w:tcMar>
          </w:tcPr>
          <w:p w14:paraId="06AEF4DE" w14:textId="3311C964"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7D290E01" w14:textId="77777777" w:rsidTr="00564F0B">
        <w:tc>
          <w:tcPr>
            <w:tcW w:w="2520" w:type="dxa"/>
            <w:tcBorders>
              <w:top w:val="single" w:sz="4" w:space="0" w:color="auto"/>
            </w:tcBorders>
            <w:tcMar>
              <w:top w:w="0" w:type="dxa"/>
              <w:left w:w="108" w:type="dxa"/>
              <w:bottom w:w="0" w:type="dxa"/>
              <w:right w:w="108" w:type="dxa"/>
            </w:tcMar>
          </w:tcPr>
          <w:p w14:paraId="41DFD744" w14:textId="77777777" w:rsidR="00E10434" w:rsidRPr="006D615E" w:rsidRDefault="00E10434" w:rsidP="006521FB">
            <w:pPr>
              <w:spacing w:line="480" w:lineRule="auto"/>
              <w:jc w:val="both"/>
              <w:rPr>
                <w:rFonts w:ascii="Arial" w:hAnsi="Arial" w:cs="Arial"/>
                <w:sz w:val="20"/>
                <w:szCs w:val="20"/>
              </w:rPr>
            </w:pPr>
            <w:proofErr w:type="spellStart"/>
            <w:r w:rsidRPr="006D615E">
              <w:rPr>
                <w:rFonts w:ascii="Arial" w:eastAsia="SimSun" w:hAnsi="Arial" w:cs="Arial"/>
                <w:sz w:val="20"/>
                <w:szCs w:val="20"/>
                <w:lang w:eastAsia="zh-CN"/>
              </w:rPr>
              <w:t>Colour</w:t>
            </w:r>
            <w:proofErr w:type="spellEnd"/>
          </w:p>
        </w:tc>
        <w:tc>
          <w:tcPr>
            <w:tcW w:w="1980" w:type="dxa"/>
            <w:tcBorders>
              <w:top w:val="single" w:sz="4" w:space="0" w:color="auto"/>
            </w:tcBorders>
            <w:tcMar>
              <w:top w:w="0" w:type="dxa"/>
              <w:left w:w="108" w:type="dxa"/>
              <w:bottom w:w="0" w:type="dxa"/>
              <w:right w:w="108" w:type="dxa"/>
            </w:tcMar>
          </w:tcPr>
          <w:p w14:paraId="435215CF" w14:textId="68B4374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70</w:t>
            </w:r>
            <w:r w:rsidR="009E1F61"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±0.83</w:t>
            </w:r>
          </w:p>
        </w:tc>
        <w:tc>
          <w:tcPr>
            <w:tcW w:w="2520" w:type="dxa"/>
            <w:tcBorders>
              <w:top w:val="single" w:sz="4" w:space="0" w:color="auto"/>
            </w:tcBorders>
            <w:tcMar>
              <w:top w:w="0" w:type="dxa"/>
              <w:left w:w="108" w:type="dxa"/>
              <w:bottom w:w="0" w:type="dxa"/>
              <w:right w:w="108" w:type="dxa"/>
            </w:tcMar>
          </w:tcPr>
          <w:p w14:paraId="3F1B7DCA" w14:textId="388073F8"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9</w:t>
            </w:r>
            <w:r w:rsidRPr="006D615E">
              <w:rPr>
                <w:rFonts w:ascii="Arial" w:eastAsia="SimSun" w:hAnsi="Arial" w:cs="Arial"/>
                <w:sz w:val="20"/>
                <w:szCs w:val="20"/>
                <w:lang w:eastAsia="zh-CN"/>
              </w:rPr>
              <w:t>0</w:t>
            </w:r>
            <w:r w:rsidR="009E1F61"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±0.48</w:t>
            </w:r>
          </w:p>
        </w:tc>
        <w:tc>
          <w:tcPr>
            <w:tcW w:w="1980" w:type="dxa"/>
            <w:tcBorders>
              <w:top w:val="single" w:sz="4" w:space="0" w:color="auto"/>
            </w:tcBorders>
            <w:tcMar>
              <w:top w:w="0" w:type="dxa"/>
              <w:left w:w="108" w:type="dxa"/>
              <w:bottom w:w="0" w:type="dxa"/>
              <w:right w:w="108" w:type="dxa"/>
            </w:tcMar>
          </w:tcPr>
          <w:p w14:paraId="1CB59530" w14:textId="2047D095"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3</w:t>
            </w:r>
            <w:r w:rsidR="00E10434" w:rsidRPr="006D615E">
              <w:rPr>
                <w:rFonts w:ascii="Arial" w:eastAsia="SimSun" w:hAnsi="Arial" w:cs="Arial"/>
                <w:sz w:val="20"/>
                <w:szCs w:val="20"/>
                <w:lang w:eastAsia="zh-CN"/>
              </w:rPr>
              <w:t>0</w:t>
            </w:r>
            <w:r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±0.67</w:t>
            </w:r>
          </w:p>
        </w:tc>
      </w:tr>
      <w:tr w:rsidR="00E10434" w:rsidRPr="006D615E" w14:paraId="5D7720F0" w14:textId="77777777" w:rsidTr="00564F0B">
        <w:tc>
          <w:tcPr>
            <w:tcW w:w="2520" w:type="dxa"/>
            <w:tcMar>
              <w:top w:w="0" w:type="dxa"/>
              <w:left w:w="108" w:type="dxa"/>
              <w:bottom w:w="0" w:type="dxa"/>
              <w:right w:w="108" w:type="dxa"/>
            </w:tcMar>
          </w:tcPr>
          <w:p w14:paraId="2B0B25B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Flavor</w:t>
            </w:r>
          </w:p>
        </w:tc>
        <w:tc>
          <w:tcPr>
            <w:tcW w:w="1980" w:type="dxa"/>
            <w:tcMar>
              <w:top w:w="0" w:type="dxa"/>
              <w:left w:w="108" w:type="dxa"/>
              <w:bottom w:w="0" w:type="dxa"/>
              <w:right w:w="108" w:type="dxa"/>
            </w:tcMar>
          </w:tcPr>
          <w:p w14:paraId="65B29FF1" w14:textId="62C1DEF3"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3</w:t>
            </w:r>
            <w:r w:rsidRPr="006D615E">
              <w:rPr>
                <w:rFonts w:ascii="Arial" w:eastAsia="SimSun" w:hAnsi="Arial" w:cs="Arial"/>
                <w:sz w:val="20"/>
                <w:szCs w:val="20"/>
                <w:lang w:eastAsia="zh-CN"/>
              </w:rPr>
              <w:t>0</w:t>
            </w:r>
            <w:r w:rsidR="009E1F61"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±0.52</w:t>
            </w:r>
          </w:p>
        </w:tc>
        <w:tc>
          <w:tcPr>
            <w:tcW w:w="2520" w:type="dxa"/>
            <w:tcMar>
              <w:top w:w="0" w:type="dxa"/>
              <w:left w:w="108" w:type="dxa"/>
              <w:bottom w:w="0" w:type="dxa"/>
              <w:right w:w="108" w:type="dxa"/>
            </w:tcMar>
          </w:tcPr>
          <w:p w14:paraId="10AEBED0" w14:textId="1823D76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6</w:t>
            </w:r>
            <w:r w:rsidRPr="006D615E">
              <w:rPr>
                <w:rFonts w:ascii="Arial" w:eastAsia="SimSun" w:hAnsi="Arial" w:cs="Arial"/>
                <w:sz w:val="20"/>
                <w:szCs w:val="20"/>
                <w:lang w:eastAsia="zh-CN"/>
              </w:rPr>
              <w:t>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±0.67</w:t>
            </w:r>
          </w:p>
        </w:tc>
        <w:tc>
          <w:tcPr>
            <w:tcW w:w="1980" w:type="dxa"/>
            <w:tcMar>
              <w:top w:w="0" w:type="dxa"/>
              <w:left w:w="108" w:type="dxa"/>
              <w:bottom w:w="0" w:type="dxa"/>
              <w:right w:w="108" w:type="dxa"/>
            </w:tcMar>
          </w:tcPr>
          <w:p w14:paraId="1ADAF85F" w14:textId="26FF33B7"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0</w:t>
            </w:r>
            <w:r w:rsidR="00E10434" w:rsidRPr="006D615E">
              <w:rPr>
                <w:rFonts w:ascii="Arial" w:eastAsia="SimSun" w:hAnsi="Arial" w:cs="Arial"/>
                <w:sz w:val="20"/>
                <w:szCs w:val="20"/>
                <w:lang w:eastAsia="zh-CN"/>
              </w:rPr>
              <w:t>0</w:t>
            </w:r>
            <w:r w:rsidR="00E10434"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±0.74</w:t>
            </w:r>
          </w:p>
        </w:tc>
      </w:tr>
      <w:tr w:rsidR="00E10434" w:rsidRPr="006D615E" w14:paraId="266A0DF2" w14:textId="77777777" w:rsidTr="00564F0B">
        <w:tc>
          <w:tcPr>
            <w:tcW w:w="2520" w:type="dxa"/>
            <w:tcMar>
              <w:top w:w="0" w:type="dxa"/>
              <w:left w:w="108" w:type="dxa"/>
              <w:bottom w:w="0" w:type="dxa"/>
              <w:right w:w="108" w:type="dxa"/>
            </w:tcMar>
          </w:tcPr>
          <w:p w14:paraId="3E377B84"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lastRenderedPageBreak/>
              <w:t>Aroma</w:t>
            </w:r>
          </w:p>
        </w:tc>
        <w:tc>
          <w:tcPr>
            <w:tcW w:w="1980" w:type="dxa"/>
            <w:tcMar>
              <w:top w:w="0" w:type="dxa"/>
              <w:left w:w="108" w:type="dxa"/>
              <w:bottom w:w="0" w:type="dxa"/>
              <w:right w:w="108" w:type="dxa"/>
            </w:tcMar>
          </w:tcPr>
          <w:p w14:paraId="718A591B" w14:textId="1AB900B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4</w:t>
            </w:r>
            <w:r w:rsidRPr="006D615E">
              <w:rPr>
                <w:rFonts w:ascii="Arial" w:eastAsia="SimSun" w:hAnsi="Arial" w:cs="Arial"/>
                <w:sz w:val="20"/>
                <w:szCs w:val="20"/>
                <w:lang w:eastAsia="zh-CN"/>
              </w:rPr>
              <w:t>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±0.67</w:t>
            </w:r>
          </w:p>
        </w:tc>
        <w:tc>
          <w:tcPr>
            <w:tcW w:w="2520" w:type="dxa"/>
            <w:tcMar>
              <w:top w:w="0" w:type="dxa"/>
              <w:left w:w="108" w:type="dxa"/>
              <w:bottom w:w="0" w:type="dxa"/>
              <w:right w:w="108" w:type="dxa"/>
            </w:tcMar>
          </w:tcPr>
          <w:p w14:paraId="63895F10" w14:textId="4394FBA4"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6</w:t>
            </w:r>
            <w:r w:rsidRPr="006D615E">
              <w:rPr>
                <w:rFonts w:ascii="Arial" w:eastAsia="SimSun" w:hAnsi="Arial" w:cs="Arial"/>
                <w:sz w:val="20"/>
                <w:szCs w:val="20"/>
                <w:lang w:eastAsia="zh-CN"/>
              </w:rPr>
              <w:t>0</w:t>
            </w:r>
            <w:r w:rsidR="005A6477"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±0.99</w:t>
            </w:r>
          </w:p>
        </w:tc>
        <w:tc>
          <w:tcPr>
            <w:tcW w:w="1980" w:type="dxa"/>
            <w:tcMar>
              <w:top w:w="0" w:type="dxa"/>
              <w:left w:w="108" w:type="dxa"/>
              <w:bottom w:w="0" w:type="dxa"/>
              <w:right w:w="108" w:type="dxa"/>
            </w:tcMar>
          </w:tcPr>
          <w:p w14:paraId="2810C533" w14:textId="79AFDB40"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0</w:t>
            </w:r>
            <w:r w:rsidR="00E10434" w:rsidRPr="006D615E">
              <w:rPr>
                <w:rFonts w:ascii="Arial" w:eastAsia="SimSun" w:hAnsi="Arial" w:cs="Arial"/>
                <w:sz w:val="20"/>
                <w:szCs w:val="20"/>
                <w:lang w:eastAsia="zh-CN"/>
              </w:rPr>
              <w:t>0</w:t>
            </w:r>
            <w:r w:rsidR="00E10434"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±0.57</w:t>
            </w:r>
          </w:p>
        </w:tc>
      </w:tr>
      <w:tr w:rsidR="00E10434" w:rsidRPr="006D615E" w14:paraId="41223FCE" w14:textId="77777777" w:rsidTr="00564F0B">
        <w:tc>
          <w:tcPr>
            <w:tcW w:w="2520" w:type="dxa"/>
            <w:tcMar>
              <w:top w:w="0" w:type="dxa"/>
              <w:left w:w="108" w:type="dxa"/>
              <w:bottom w:w="0" w:type="dxa"/>
              <w:right w:w="108" w:type="dxa"/>
            </w:tcMar>
          </w:tcPr>
          <w:p w14:paraId="4DA5BD4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Mouthfeel</w:t>
            </w:r>
          </w:p>
        </w:tc>
        <w:tc>
          <w:tcPr>
            <w:tcW w:w="1980" w:type="dxa"/>
            <w:tcMar>
              <w:top w:w="0" w:type="dxa"/>
              <w:left w:w="108" w:type="dxa"/>
              <w:bottom w:w="0" w:type="dxa"/>
              <w:right w:w="108" w:type="dxa"/>
            </w:tcMar>
          </w:tcPr>
          <w:p w14:paraId="6A5B27C1" w14:textId="7A4557A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7.30</w:t>
            </w:r>
            <w:r w:rsidR="008E517C" w:rsidRPr="006D615E">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±0.82</w:t>
            </w:r>
          </w:p>
        </w:tc>
        <w:tc>
          <w:tcPr>
            <w:tcW w:w="2520" w:type="dxa"/>
            <w:tcMar>
              <w:top w:w="0" w:type="dxa"/>
              <w:left w:w="108" w:type="dxa"/>
              <w:bottom w:w="0" w:type="dxa"/>
              <w:right w:w="108" w:type="dxa"/>
            </w:tcMar>
          </w:tcPr>
          <w:p w14:paraId="46110495" w14:textId="3DB699FF"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E10434" w:rsidRPr="006D615E">
              <w:rPr>
                <w:rFonts w:ascii="Arial" w:eastAsia="SimSun" w:hAnsi="Arial" w:cs="Arial"/>
                <w:sz w:val="20"/>
                <w:szCs w:val="20"/>
                <w:lang w:eastAsia="zh-CN"/>
              </w:rPr>
              <w:t>.80</w:t>
            </w:r>
            <w:r w:rsidR="00E10434" w:rsidRPr="006D615E">
              <w:rPr>
                <w:rFonts w:ascii="Arial" w:eastAsia="SimSun" w:hAnsi="Arial" w:cs="Arial"/>
                <w:sz w:val="20"/>
                <w:szCs w:val="20"/>
                <w:vertAlign w:val="superscript"/>
                <w:lang w:eastAsia="zh-CN"/>
              </w:rPr>
              <w:t>b</w:t>
            </w:r>
            <w:r w:rsidR="00E10434" w:rsidRPr="006D615E">
              <w:rPr>
                <w:rFonts w:ascii="Arial" w:eastAsia="SimSun" w:hAnsi="Arial" w:cs="Arial"/>
                <w:sz w:val="20"/>
                <w:szCs w:val="20"/>
                <w:lang w:eastAsia="zh-CN"/>
              </w:rPr>
              <w:t>±0.79</w:t>
            </w:r>
          </w:p>
        </w:tc>
        <w:tc>
          <w:tcPr>
            <w:tcW w:w="1980" w:type="dxa"/>
            <w:tcMar>
              <w:top w:w="0" w:type="dxa"/>
              <w:left w:w="108" w:type="dxa"/>
              <w:bottom w:w="0" w:type="dxa"/>
              <w:right w:w="108" w:type="dxa"/>
            </w:tcMar>
          </w:tcPr>
          <w:p w14:paraId="15E9B06F" w14:textId="5A3343EB"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3</w:t>
            </w:r>
            <w:r w:rsidR="00E10434" w:rsidRPr="006D615E">
              <w:rPr>
                <w:rFonts w:ascii="Arial" w:eastAsia="SimSun" w:hAnsi="Arial" w:cs="Arial"/>
                <w:sz w:val="20"/>
                <w:szCs w:val="20"/>
                <w:lang w:eastAsia="zh-CN"/>
              </w:rPr>
              <w:t>0</w:t>
            </w:r>
            <w:r w:rsidR="00E10434"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±0.92</w:t>
            </w:r>
          </w:p>
        </w:tc>
      </w:tr>
      <w:tr w:rsidR="00E10434" w:rsidRPr="006D615E" w14:paraId="33BA375A" w14:textId="77777777" w:rsidTr="00564F0B">
        <w:tc>
          <w:tcPr>
            <w:tcW w:w="2520" w:type="dxa"/>
            <w:tcMar>
              <w:top w:w="0" w:type="dxa"/>
              <w:left w:w="108" w:type="dxa"/>
              <w:bottom w:w="0" w:type="dxa"/>
              <w:right w:w="108" w:type="dxa"/>
            </w:tcMar>
          </w:tcPr>
          <w:p w14:paraId="59F6A57D"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Taste</w:t>
            </w:r>
          </w:p>
        </w:tc>
        <w:tc>
          <w:tcPr>
            <w:tcW w:w="1980" w:type="dxa"/>
            <w:tcMar>
              <w:top w:w="0" w:type="dxa"/>
              <w:left w:w="108" w:type="dxa"/>
              <w:bottom w:w="0" w:type="dxa"/>
              <w:right w:w="108" w:type="dxa"/>
            </w:tcMar>
          </w:tcPr>
          <w:p w14:paraId="66379C93" w14:textId="46051330"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8.00</w:t>
            </w:r>
            <w:r w:rsidR="008E517C" w:rsidRP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±0.47</w:t>
            </w:r>
          </w:p>
        </w:tc>
        <w:tc>
          <w:tcPr>
            <w:tcW w:w="2520" w:type="dxa"/>
            <w:tcMar>
              <w:top w:w="0" w:type="dxa"/>
              <w:left w:w="108" w:type="dxa"/>
              <w:bottom w:w="0" w:type="dxa"/>
              <w:right w:w="108" w:type="dxa"/>
            </w:tcMar>
          </w:tcPr>
          <w:p w14:paraId="7E7EB061" w14:textId="450CD9B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6</w:t>
            </w:r>
            <w:r w:rsidRPr="006D615E">
              <w:rPr>
                <w:rFonts w:ascii="Arial" w:eastAsia="SimSun" w:hAnsi="Arial" w:cs="Arial"/>
                <w:sz w:val="20"/>
                <w:szCs w:val="20"/>
                <w:lang w:eastAsia="zh-CN"/>
              </w:rPr>
              <w:t>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±0.52</w:t>
            </w:r>
          </w:p>
        </w:tc>
        <w:tc>
          <w:tcPr>
            <w:tcW w:w="1980" w:type="dxa"/>
            <w:tcMar>
              <w:top w:w="0" w:type="dxa"/>
              <w:left w:w="108" w:type="dxa"/>
              <w:bottom w:w="0" w:type="dxa"/>
              <w:right w:w="108" w:type="dxa"/>
            </w:tcMar>
          </w:tcPr>
          <w:p w14:paraId="5D41788A" w14:textId="4FED8C02"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2</w:t>
            </w:r>
            <w:r w:rsidR="00E10434" w:rsidRPr="006D615E">
              <w:rPr>
                <w:rFonts w:ascii="Arial" w:eastAsia="SimSun" w:hAnsi="Arial" w:cs="Arial"/>
                <w:sz w:val="20"/>
                <w:szCs w:val="20"/>
                <w:lang w:eastAsia="zh-CN"/>
              </w:rPr>
              <w:t>0</w:t>
            </w:r>
            <w:r w:rsidR="008E517C" w:rsidRPr="006D615E">
              <w:rPr>
                <w:rFonts w:ascii="Arial" w:eastAsia="SimSun" w:hAnsi="Arial" w:cs="Arial"/>
                <w:sz w:val="20"/>
                <w:szCs w:val="20"/>
                <w:vertAlign w:val="superscript"/>
                <w:lang w:eastAsia="zh-CN"/>
              </w:rPr>
              <w:t>c</w:t>
            </w:r>
            <w:r w:rsidR="00E10434" w:rsidRPr="006D615E">
              <w:rPr>
                <w:rFonts w:ascii="Arial" w:eastAsia="SimSun" w:hAnsi="Arial" w:cs="Arial"/>
                <w:sz w:val="20"/>
                <w:szCs w:val="20"/>
                <w:lang w:eastAsia="zh-CN"/>
              </w:rPr>
              <w:t>±0.67</w:t>
            </w:r>
          </w:p>
        </w:tc>
      </w:tr>
      <w:tr w:rsidR="00E10434" w:rsidRPr="006D615E" w14:paraId="2105F556" w14:textId="77777777" w:rsidTr="00564F0B">
        <w:tc>
          <w:tcPr>
            <w:tcW w:w="2520" w:type="dxa"/>
            <w:tcMar>
              <w:top w:w="0" w:type="dxa"/>
              <w:left w:w="108" w:type="dxa"/>
              <w:bottom w:w="0" w:type="dxa"/>
              <w:right w:w="108" w:type="dxa"/>
            </w:tcMar>
          </w:tcPr>
          <w:p w14:paraId="09EA3CC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Aftertaste</w:t>
            </w:r>
          </w:p>
        </w:tc>
        <w:tc>
          <w:tcPr>
            <w:tcW w:w="1980" w:type="dxa"/>
            <w:tcMar>
              <w:top w:w="0" w:type="dxa"/>
              <w:left w:w="108" w:type="dxa"/>
              <w:bottom w:w="0" w:type="dxa"/>
              <w:right w:w="108" w:type="dxa"/>
            </w:tcMar>
          </w:tcPr>
          <w:p w14:paraId="7A2A8A43" w14:textId="7AC50B51"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7.5</w:t>
            </w:r>
            <w:r w:rsidR="009E1F61" w:rsidRPr="006D615E">
              <w:rPr>
                <w:rFonts w:ascii="Arial" w:eastAsia="SimSun" w:hAnsi="Arial" w:cs="Arial"/>
                <w:sz w:val="20"/>
                <w:szCs w:val="20"/>
                <w:lang w:eastAsia="zh-CN"/>
              </w:rPr>
              <w:t>0</w:t>
            </w:r>
            <w:r w:rsidR="008E517C" w:rsidRP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±0.71</w:t>
            </w:r>
          </w:p>
        </w:tc>
        <w:tc>
          <w:tcPr>
            <w:tcW w:w="2520" w:type="dxa"/>
            <w:tcMar>
              <w:top w:w="0" w:type="dxa"/>
              <w:left w:w="108" w:type="dxa"/>
              <w:bottom w:w="0" w:type="dxa"/>
              <w:right w:w="108" w:type="dxa"/>
            </w:tcMar>
          </w:tcPr>
          <w:p w14:paraId="4D0722BA" w14:textId="7FF0AFEB"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3</w:t>
            </w:r>
            <w:r w:rsidRPr="006D615E">
              <w:rPr>
                <w:rFonts w:ascii="Arial" w:eastAsia="SimSun" w:hAnsi="Arial" w:cs="Arial"/>
                <w:sz w:val="20"/>
                <w:szCs w:val="20"/>
                <w:lang w:eastAsia="zh-CN"/>
              </w:rPr>
              <w:t>0</w:t>
            </w:r>
            <w:r w:rsidR="00D425C6" w:rsidRP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±0.57</w:t>
            </w:r>
          </w:p>
        </w:tc>
        <w:tc>
          <w:tcPr>
            <w:tcW w:w="1980" w:type="dxa"/>
            <w:tcMar>
              <w:top w:w="0" w:type="dxa"/>
              <w:left w:w="108" w:type="dxa"/>
              <w:bottom w:w="0" w:type="dxa"/>
              <w:right w:w="108" w:type="dxa"/>
            </w:tcMar>
          </w:tcPr>
          <w:p w14:paraId="25CC131D" w14:textId="5A4517D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6.</w:t>
            </w:r>
            <w:r w:rsidR="009E1F61" w:rsidRPr="006D615E">
              <w:rPr>
                <w:rFonts w:ascii="Arial" w:eastAsia="SimSun" w:hAnsi="Arial" w:cs="Arial"/>
                <w:sz w:val="20"/>
                <w:szCs w:val="20"/>
                <w:lang w:eastAsia="zh-CN"/>
              </w:rPr>
              <w:t>9</w:t>
            </w:r>
            <w:r w:rsidRPr="006D615E">
              <w:rPr>
                <w:rFonts w:ascii="Arial" w:eastAsia="SimSun" w:hAnsi="Arial" w:cs="Arial"/>
                <w:sz w:val="20"/>
                <w:szCs w:val="20"/>
                <w:lang w:eastAsia="zh-CN"/>
              </w:rPr>
              <w:t>0</w:t>
            </w:r>
            <w:r w:rsidR="00D425C6"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±0.74</w:t>
            </w:r>
          </w:p>
        </w:tc>
      </w:tr>
      <w:tr w:rsidR="00E10434" w:rsidRPr="006D615E" w14:paraId="01C03D09" w14:textId="77777777" w:rsidTr="00564F0B">
        <w:tc>
          <w:tcPr>
            <w:tcW w:w="2520" w:type="dxa"/>
            <w:tcMar>
              <w:top w:w="0" w:type="dxa"/>
              <w:left w:w="108" w:type="dxa"/>
              <w:bottom w:w="0" w:type="dxa"/>
              <w:right w:w="108" w:type="dxa"/>
            </w:tcMar>
          </w:tcPr>
          <w:p w14:paraId="7CA1A7C0"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Overall acceptability</w:t>
            </w:r>
          </w:p>
        </w:tc>
        <w:tc>
          <w:tcPr>
            <w:tcW w:w="1980" w:type="dxa"/>
            <w:tcMar>
              <w:top w:w="0" w:type="dxa"/>
              <w:left w:w="108" w:type="dxa"/>
              <w:bottom w:w="0" w:type="dxa"/>
              <w:right w:w="108" w:type="dxa"/>
            </w:tcMar>
          </w:tcPr>
          <w:p w14:paraId="60AD63D7" w14:textId="380DDD8B"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8.20</w:t>
            </w:r>
            <w:r w:rsidR="00D425C6" w:rsidRP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±0.67</w:t>
            </w:r>
          </w:p>
        </w:tc>
        <w:tc>
          <w:tcPr>
            <w:tcW w:w="2520" w:type="dxa"/>
            <w:tcMar>
              <w:top w:w="0" w:type="dxa"/>
              <w:left w:w="108" w:type="dxa"/>
              <w:bottom w:w="0" w:type="dxa"/>
              <w:right w:w="108" w:type="dxa"/>
            </w:tcMar>
          </w:tcPr>
          <w:p w14:paraId="76DC08F1" w14:textId="1466FBC2"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0</w:t>
            </w:r>
            <w:r w:rsidR="00E10434" w:rsidRPr="006D615E">
              <w:rPr>
                <w:rFonts w:ascii="Arial" w:eastAsia="SimSun" w:hAnsi="Arial" w:cs="Arial"/>
                <w:sz w:val="20"/>
                <w:szCs w:val="20"/>
                <w:lang w:eastAsia="zh-CN"/>
              </w:rPr>
              <w:t>0</w:t>
            </w:r>
            <w:r w:rsidR="00D425C6"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±0.97</w:t>
            </w:r>
          </w:p>
        </w:tc>
        <w:tc>
          <w:tcPr>
            <w:tcW w:w="1980" w:type="dxa"/>
            <w:tcMar>
              <w:top w:w="0" w:type="dxa"/>
              <w:left w:w="108" w:type="dxa"/>
              <w:bottom w:w="0" w:type="dxa"/>
              <w:right w:w="108" w:type="dxa"/>
            </w:tcMar>
          </w:tcPr>
          <w:p w14:paraId="724FFD95" w14:textId="00190B8C"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6</w:t>
            </w:r>
            <w:r w:rsidR="00E10434" w:rsidRPr="006D615E">
              <w:rPr>
                <w:rFonts w:ascii="Arial" w:eastAsia="SimSun" w:hAnsi="Arial" w:cs="Arial"/>
                <w:sz w:val="20"/>
                <w:szCs w:val="20"/>
                <w:lang w:eastAsia="zh-CN"/>
              </w:rPr>
              <w:t>0</w:t>
            </w:r>
            <w:r w:rsidR="00D425C6" w:rsidRPr="006D615E">
              <w:rPr>
                <w:rFonts w:ascii="Arial" w:eastAsia="SimSun" w:hAnsi="Arial" w:cs="Arial"/>
                <w:sz w:val="20"/>
                <w:szCs w:val="20"/>
                <w:vertAlign w:val="superscript"/>
                <w:lang w:eastAsia="zh-CN"/>
              </w:rPr>
              <w:t>b</w:t>
            </w:r>
            <w:r w:rsidR="00E10434" w:rsidRPr="006D615E">
              <w:rPr>
                <w:rFonts w:ascii="Arial" w:eastAsia="SimSun" w:hAnsi="Arial" w:cs="Arial"/>
                <w:sz w:val="20"/>
                <w:szCs w:val="20"/>
                <w:lang w:eastAsia="zh-CN"/>
              </w:rPr>
              <w:t>±0.67</w:t>
            </w:r>
          </w:p>
        </w:tc>
      </w:tr>
    </w:tbl>
    <w:p w14:paraId="2A03FF0C" w14:textId="7619495D" w:rsidR="004C2496" w:rsidRPr="006D615E" w:rsidRDefault="00E10434" w:rsidP="006521FB">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t>Means ± SD of triplicate replications. Values within the same row with the same superscript are not significantly different (p &lt; 0.05).</w:t>
      </w:r>
      <w:r w:rsidRPr="006D615E">
        <w:rPr>
          <w:rFonts w:ascii="Arial" w:hAnsi="Arial" w:cs="Arial"/>
          <w:sz w:val="20"/>
          <w:szCs w:val="20"/>
        </w:rPr>
        <w:t xml:space="preserve"> </w:t>
      </w:r>
      <w:r w:rsidRPr="006D615E">
        <w:rPr>
          <w:rFonts w:ascii="Arial" w:eastAsia="SimSun" w:hAnsi="Arial" w:cs="Arial"/>
          <w:sz w:val="20"/>
          <w:szCs w:val="20"/>
          <w:lang w:eastAsia="zh-CN"/>
        </w:rPr>
        <w:t xml:space="preserve">Keys: Control sample = 100%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A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(10%)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(90%)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B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(20%)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(80%) biscuits.</w:t>
      </w:r>
    </w:p>
    <w:p w14:paraId="4EB94524" w14:textId="4B7D44EB" w:rsidR="00B17B8B" w:rsidRPr="006D615E" w:rsidRDefault="00222D19" w:rsidP="006521FB">
      <w:pPr>
        <w:spacing w:line="480" w:lineRule="auto"/>
        <w:jc w:val="both"/>
        <w:rPr>
          <w:rFonts w:ascii="Arial" w:eastAsia="SimSun" w:hAnsi="Arial" w:cs="Arial"/>
          <w:b/>
          <w:bCs/>
          <w:sz w:val="22"/>
          <w:szCs w:val="22"/>
          <w:lang w:eastAsia="zh-CN"/>
        </w:rPr>
      </w:pPr>
      <w:r>
        <w:rPr>
          <w:rFonts w:ascii="Arial" w:eastAsia="SimSun" w:hAnsi="Arial" w:cs="Arial"/>
          <w:b/>
          <w:bCs/>
          <w:sz w:val="22"/>
          <w:szCs w:val="22"/>
          <w:lang w:eastAsia="zh-CN"/>
        </w:rPr>
        <w:t xml:space="preserve">4. </w:t>
      </w:r>
      <w:r w:rsidR="006D615E" w:rsidRPr="006D615E">
        <w:rPr>
          <w:rFonts w:ascii="Arial" w:eastAsia="SimSun" w:hAnsi="Arial" w:cs="Arial"/>
          <w:b/>
          <w:bCs/>
          <w:sz w:val="22"/>
          <w:szCs w:val="22"/>
          <w:lang w:eastAsia="zh-CN"/>
        </w:rPr>
        <w:t>CONCLUSION</w:t>
      </w:r>
    </w:p>
    <w:p w14:paraId="349E6739" w14:textId="77777777" w:rsidR="00B17B8B" w:rsidRPr="006D615E" w:rsidRDefault="00B17B8B" w:rsidP="006521FB">
      <w:pPr>
        <w:spacing w:line="480" w:lineRule="auto"/>
        <w:jc w:val="both"/>
        <w:rPr>
          <w:rFonts w:ascii="Arial" w:eastAsia="SimSun" w:hAnsi="Arial" w:cs="Arial"/>
          <w:b/>
          <w:bCs/>
          <w:sz w:val="20"/>
          <w:szCs w:val="20"/>
          <w:lang w:eastAsia="zh-CN"/>
        </w:rPr>
      </w:pPr>
      <w:r w:rsidRPr="006D615E">
        <w:rPr>
          <w:rFonts w:ascii="Arial" w:eastAsia="SimSun" w:hAnsi="Arial" w:cs="Arial"/>
          <w:sz w:val="20"/>
          <w:szCs w:val="20"/>
          <w:lang w:eastAsia="zh-CN"/>
        </w:rPr>
        <w:t xml:space="preserve">The findings of this study support the classification of </w:t>
      </w:r>
      <w:proofErr w:type="spellStart"/>
      <w:r w:rsidRPr="006D615E">
        <w:rPr>
          <w:rFonts w:ascii="Arial" w:eastAsia="SimSun" w:hAnsi="Arial" w:cs="Arial"/>
          <w:sz w:val="20"/>
          <w:szCs w:val="20"/>
          <w:lang w:eastAsia="zh-CN"/>
        </w:rPr>
        <w:t>tigernut-</w:t>
      </w:r>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 xml:space="preserve">composite biscuits, particularly at 10% and 20% </w:t>
      </w:r>
      <w:r w:rsidRPr="006D615E">
        <w:rPr>
          <w:rFonts w:ascii="Arial" w:eastAsia="SimSun" w:hAnsi="Arial" w:cs="Arial"/>
          <w:i/>
          <w:iCs/>
          <w:sz w:val="20"/>
          <w:szCs w:val="20"/>
          <w:lang w:eastAsia="zh-CN"/>
        </w:rPr>
        <w:t xml:space="preserve">substitution levels, </w:t>
      </w:r>
      <w:r w:rsidRPr="006D615E">
        <w:rPr>
          <w:rFonts w:ascii="Arial" w:eastAsia="SimSun" w:hAnsi="Arial" w:cs="Arial"/>
          <w:sz w:val="20"/>
          <w:szCs w:val="20"/>
          <w:lang w:eastAsia="zh-CN"/>
        </w:rPr>
        <w:t xml:space="preserve">as a functional food (Arshad et al., 2025). Functional foods are foods with higher health benefits due to higher presence of dietary fiber, micronutrients and phytochemicals, which were all satisfied in this context. The study demonstrated that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an underutilized </w:t>
      </w:r>
      <w:r w:rsidRPr="006D615E">
        <w:rPr>
          <w:rFonts w:ascii="Arial" w:eastAsia="SimSun" w:hAnsi="Arial" w:cs="Arial"/>
          <w:sz w:val="20"/>
          <w:szCs w:val="20"/>
          <w:lang w:eastAsia="zh-CN"/>
        </w:rPr>
        <w:t xml:space="preserve">Nigerian legume, constitutes a viable, affordable, and culturally grounded enrichment ingredient capable of improving protein, fiber, mineral, B-vitamin, phenolic, flavonoid, and antioxidant profile of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-based biscuits. From a public health nutrition standpoint, the elevated calcium (273.62 mg/100g), potassium (305.76 mg/100g), and riboflavin (1.08 mg/100g) values of sample B, combined with its enhanced antioxidant capacity, position it as a nutritionally superior product with relevance to populations at risk of micronutrient deficiency, cardiovascular diseases and oxidative stress-related non-communicable diseases. These are all priority health challenges in Nigeria (Popoola et al., 2023; Odeku et al., 2024). The sensory data suggest that a 10% substitution level of </w:t>
      </w:r>
      <w:proofErr w:type="spellStart"/>
      <w:r w:rsidRPr="006D615E">
        <w:rPr>
          <w:rFonts w:ascii="Arial" w:eastAsia="SimSun" w:hAnsi="Arial" w:cs="Arial"/>
          <w:sz w:val="20"/>
          <w:szCs w:val="20"/>
          <w:lang w:eastAsia="zh-CN"/>
        </w:rPr>
        <w:t>Afzelia</w:t>
      </w:r>
      <w:proofErr w:type="spellEnd"/>
      <w:r w:rsidRPr="006D615E">
        <w:rPr>
          <w:rFonts w:ascii="Arial" w:eastAsia="SimSun" w:hAnsi="Arial" w:cs="Arial"/>
          <w:sz w:val="20"/>
          <w:szCs w:val="20"/>
          <w:lang w:eastAsia="zh-CN"/>
        </w:rPr>
        <w:t xml:space="preserve"> </w:t>
      </w:r>
      <w:proofErr w:type="spellStart"/>
      <w:r w:rsidRPr="006D615E">
        <w:rPr>
          <w:rFonts w:ascii="Arial" w:eastAsia="SimSun" w:hAnsi="Arial" w:cs="Arial"/>
          <w:sz w:val="20"/>
          <w:szCs w:val="20"/>
          <w:lang w:eastAsia="zh-CN"/>
        </w:rPr>
        <w:t>africana</w:t>
      </w:r>
      <w:proofErr w:type="spellEnd"/>
      <w:r w:rsidRPr="006D615E">
        <w:rPr>
          <w:rFonts w:ascii="Arial" w:eastAsia="SimSun" w:hAnsi="Arial" w:cs="Arial"/>
          <w:sz w:val="20"/>
          <w:szCs w:val="20"/>
          <w:lang w:eastAsia="zh-CN"/>
        </w:rPr>
        <w:t xml:space="preserve"> (sample A) represents an optimal balance between functional enrichment and sensory appeal. This is important for food product developers and food processors.</w:t>
      </w:r>
    </w:p>
    <w:p w14:paraId="432071C4" w14:textId="23CCFC41" w:rsidR="00B17B8B" w:rsidRPr="006D615E" w:rsidRDefault="00B17B8B" w:rsidP="006521FB">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t xml:space="preserve">The substitution of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biscuit with 10% and 20%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significantly enhanced proximate, mineral,</w:t>
      </w:r>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 xml:space="preserve">vitamin, phytochemical, and antioxidant profiles relative to the pure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control. Crude protein, crude fat, crude fiber, ash, calcium, magnesium, potassium, </w:t>
      </w:r>
      <w:proofErr w:type="spellStart"/>
      <w:r w:rsidRPr="006D615E">
        <w:rPr>
          <w:rFonts w:ascii="Arial" w:eastAsia="SimSun" w:hAnsi="Arial" w:cs="Arial"/>
          <w:sz w:val="20"/>
          <w:szCs w:val="20"/>
          <w:lang w:eastAsia="zh-CN"/>
        </w:rPr>
        <w:t>tiamine</w:t>
      </w:r>
      <w:proofErr w:type="spellEnd"/>
      <w:r w:rsidRPr="006D615E">
        <w:rPr>
          <w:rFonts w:ascii="Arial" w:eastAsia="SimSun" w:hAnsi="Arial" w:cs="Arial"/>
          <w:sz w:val="20"/>
          <w:szCs w:val="20"/>
          <w:lang w:eastAsia="zh-CN"/>
        </w:rPr>
        <w:t xml:space="preserve">, riboflavin, niacin, total phenolic content and DPPH radical scavenging activity increased with increased substitution with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 xml:space="preserve">seed flour. The study provides the first published multi-parameter quality characterization of this composite biscuit </w:t>
      </w:r>
      <w:r w:rsidRPr="006D615E">
        <w:rPr>
          <w:rFonts w:ascii="Arial" w:eastAsia="SimSun" w:hAnsi="Arial" w:cs="Arial"/>
          <w:sz w:val="20"/>
          <w:szCs w:val="20"/>
          <w:lang w:eastAsia="zh-CN"/>
        </w:rPr>
        <w:lastRenderedPageBreak/>
        <w:t xml:space="preserve">system. This provides novel data to the literature on functional foods and the utilization of indigenous crops. Future research should investigate the in vitro and in vivo digestibility, </w:t>
      </w:r>
      <w:proofErr w:type="spellStart"/>
      <w:r w:rsidRPr="006D615E">
        <w:rPr>
          <w:rFonts w:ascii="Arial" w:eastAsia="SimSun" w:hAnsi="Arial" w:cs="Arial"/>
          <w:sz w:val="20"/>
          <w:szCs w:val="20"/>
          <w:lang w:eastAsia="zh-CN"/>
        </w:rPr>
        <w:t>glycaemic</w:t>
      </w:r>
      <w:proofErr w:type="spellEnd"/>
      <w:r w:rsidRPr="006D615E">
        <w:rPr>
          <w:rFonts w:ascii="Arial" w:eastAsia="SimSun" w:hAnsi="Arial" w:cs="Arial"/>
          <w:sz w:val="20"/>
          <w:szCs w:val="20"/>
          <w:lang w:eastAsia="zh-CN"/>
        </w:rPr>
        <w:t xml:space="preserve"> index, amino acid profile, and storage stability of the optimized formulation. The effect of fermentation pretreatment of </w:t>
      </w:r>
      <w:proofErr w:type="spellStart"/>
      <w:r w:rsidRPr="006D615E">
        <w:rPr>
          <w:rFonts w:ascii="Arial" w:eastAsia="SimSun" w:hAnsi="Arial" w:cs="Arial"/>
          <w:sz w:val="20"/>
          <w:szCs w:val="20"/>
          <w:lang w:eastAsia="zh-CN"/>
        </w:rPr>
        <w:t>Afzelia</w:t>
      </w:r>
      <w:proofErr w:type="spellEnd"/>
      <w:r w:rsidRPr="006D615E">
        <w:rPr>
          <w:rFonts w:ascii="Arial" w:eastAsia="SimSun" w:hAnsi="Arial" w:cs="Arial"/>
          <w:sz w:val="20"/>
          <w:szCs w:val="20"/>
          <w:lang w:eastAsia="zh-CN"/>
        </w:rPr>
        <w:t xml:space="preserve"> </w:t>
      </w:r>
      <w:proofErr w:type="spellStart"/>
      <w:r w:rsidRPr="006D615E">
        <w:rPr>
          <w:rFonts w:ascii="Arial" w:eastAsia="SimSun" w:hAnsi="Arial" w:cs="Arial"/>
          <w:sz w:val="20"/>
          <w:szCs w:val="20"/>
          <w:lang w:eastAsia="zh-CN"/>
        </w:rPr>
        <w:t>africana</w:t>
      </w:r>
      <w:proofErr w:type="spellEnd"/>
      <w:r w:rsidRPr="006D615E">
        <w:rPr>
          <w:rFonts w:ascii="Arial" w:eastAsia="SimSun" w:hAnsi="Arial" w:cs="Arial"/>
          <w:sz w:val="20"/>
          <w:szCs w:val="20"/>
          <w:lang w:eastAsia="zh-CN"/>
        </w:rPr>
        <w:t xml:space="preserve"> seeds on their anti-nutritional factors and protein digestibility should be evaluated.  Scale-up trials for broader consumer populations under pilot-plant conditions should be conducted to support the commercialization of these findings.</w:t>
      </w:r>
    </w:p>
    <w:p w14:paraId="412E616A" w14:textId="77777777" w:rsidR="000A2FB9" w:rsidRPr="006D615E" w:rsidRDefault="000A2FB9" w:rsidP="000A2FB9">
      <w:pPr>
        <w:pStyle w:val="ReferHead"/>
        <w:spacing w:after="0"/>
        <w:jc w:val="both"/>
        <w:rPr>
          <w:rFonts w:ascii="Arial" w:hAnsi="Arial" w:cs="Arial"/>
          <w:b w:val="0"/>
          <w:caps w:val="0"/>
          <w:sz w:val="20"/>
        </w:rPr>
      </w:pPr>
    </w:p>
    <w:p w14:paraId="4BC746B1" w14:textId="17C42BFC" w:rsidR="00292FFB" w:rsidRDefault="00292FFB" w:rsidP="006521FB">
      <w:pPr>
        <w:spacing w:line="480" w:lineRule="auto"/>
        <w:jc w:val="both"/>
        <w:rPr>
          <w:rFonts w:ascii="Arial" w:eastAsia="SimSun" w:hAnsi="Arial" w:cs="Arial"/>
          <w:sz w:val="20"/>
          <w:szCs w:val="20"/>
          <w:lang w:eastAsia="zh-CN"/>
        </w:rPr>
      </w:pPr>
      <w:bookmarkStart w:id="0" w:name="_GoBack"/>
      <w:bookmarkEnd w:id="0"/>
      <w:r w:rsidRPr="006D615E">
        <w:rPr>
          <w:rFonts w:ascii="Arial" w:eastAsia="SimSun" w:hAnsi="Arial" w:cs="Arial"/>
          <w:sz w:val="20"/>
          <w:szCs w:val="20"/>
          <w:lang w:eastAsia="zh-CN"/>
        </w:rPr>
        <w:t xml:space="preserve">. </w:t>
      </w:r>
    </w:p>
    <w:p w14:paraId="62293BAC" w14:textId="77777777" w:rsidR="00A72928" w:rsidRPr="003A29C6" w:rsidRDefault="00A72928" w:rsidP="00A72928">
      <w:pPr>
        <w:jc w:val="both"/>
        <w:outlineLvl w:val="0"/>
        <w:rPr>
          <w:rFonts w:ascii="Arial" w:hAnsi="Arial" w:cs="Arial"/>
        </w:rPr>
      </w:pPr>
      <w:r w:rsidRPr="003A29C6">
        <w:rPr>
          <w:rFonts w:ascii="Arial" w:hAnsi="Arial" w:cs="Arial"/>
          <w:b/>
          <w:bCs/>
        </w:rPr>
        <w:t>COMPETING INTERESTS DISCLAIMER:</w:t>
      </w:r>
    </w:p>
    <w:p w14:paraId="62E315C4" w14:textId="77777777" w:rsidR="00A72928" w:rsidRDefault="00A72928" w:rsidP="00A72928">
      <w:r w:rsidRPr="00A10EDE">
        <w:t>Authors have declared that they have no known competing financial interests OR non-financial interests OR personal relationships that could have appeared to influence the work reported in this paper.</w:t>
      </w:r>
    </w:p>
    <w:p w14:paraId="62C607E1" w14:textId="77777777" w:rsidR="00A72928" w:rsidRPr="006D615E" w:rsidRDefault="00A72928" w:rsidP="006521FB">
      <w:pPr>
        <w:spacing w:line="480" w:lineRule="auto"/>
        <w:jc w:val="both"/>
        <w:rPr>
          <w:rFonts w:ascii="Arial" w:eastAsia="SimSun" w:hAnsi="Arial" w:cs="Arial"/>
          <w:sz w:val="20"/>
          <w:szCs w:val="20"/>
          <w:lang w:eastAsia="zh-CN"/>
        </w:rPr>
      </w:pPr>
    </w:p>
    <w:p w14:paraId="48693523" w14:textId="09C3CB64" w:rsidR="004C2496" w:rsidRPr="006D615E" w:rsidRDefault="00E43F80" w:rsidP="006521FB">
      <w:pPr>
        <w:spacing w:line="480" w:lineRule="auto"/>
        <w:rPr>
          <w:rFonts w:ascii="Arial" w:hAnsi="Arial" w:cs="Arial"/>
          <w:b/>
          <w:bCs/>
          <w:sz w:val="22"/>
          <w:szCs w:val="22"/>
        </w:rPr>
      </w:pPr>
      <w:r w:rsidRPr="006D615E">
        <w:rPr>
          <w:rFonts w:ascii="Arial" w:hAnsi="Arial" w:cs="Arial"/>
          <w:b/>
          <w:bCs/>
          <w:sz w:val="22"/>
          <w:szCs w:val="22"/>
        </w:rPr>
        <w:t>REFERENCES</w:t>
      </w:r>
    </w:p>
    <w:p w14:paraId="18F16867" w14:textId="77777777" w:rsidR="00283F1D" w:rsidRPr="006D615E" w:rsidRDefault="00283F1D" w:rsidP="00283F1D">
      <w:pPr>
        <w:spacing w:before="100" w:after="100" w:line="320" w:lineRule="auto"/>
        <w:ind w:left="720" w:hanging="720"/>
        <w:jc w:val="both"/>
        <w:rPr>
          <w:rFonts w:ascii="Arial" w:hAnsi="Arial" w:cs="Arial"/>
          <w:sz w:val="20"/>
          <w:szCs w:val="20"/>
        </w:rPr>
      </w:pPr>
      <w:r w:rsidRPr="006D615E">
        <w:rPr>
          <w:rFonts w:ascii="Arial" w:hAnsi="Arial" w:cs="Arial"/>
          <w:sz w:val="20"/>
          <w:szCs w:val="20"/>
        </w:rPr>
        <w:t>Acheampong, A., Osei-Bonsu, I., Asante-</w:t>
      </w:r>
      <w:proofErr w:type="spellStart"/>
      <w:r w:rsidRPr="006D615E">
        <w:rPr>
          <w:rFonts w:ascii="Arial" w:hAnsi="Arial" w:cs="Arial"/>
          <w:sz w:val="20"/>
          <w:szCs w:val="20"/>
        </w:rPr>
        <w:t>Kwatia</w:t>
      </w:r>
      <w:proofErr w:type="spellEnd"/>
      <w:r w:rsidRPr="006D615E">
        <w:rPr>
          <w:rFonts w:ascii="Arial" w:hAnsi="Arial" w:cs="Arial"/>
          <w:sz w:val="20"/>
          <w:szCs w:val="20"/>
        </w:rPr>
        <w:t xml:space="preserve">, E., and </w:t>
      </w:r>
      <w:proofErr w:type="spellStart"/>
      <w:r w:rsidRPr="006D615E">
        <w:rPr>
          <w:rFonts w:ascii="Arial" w:hAnsi="Arial" w:cs="Arial"/>
          <w:sz w:val="20"/>
          <w:szCs w:val="20"/>
        </w:rPr>
        <w:t>Antwi-Boasiako</w:t>
      </w:r>
      <w:proofErr w:type="spellEnd"/>
      <w:r w:rsidRPr="006D615E">
        <w:rPr>
          <w:rFonts w:ascii="Arial" w:hAnsi="Arial" w:cs="Arial"/>
          <w:sz w:val="20"/>
          <w:szCs w:val="20"/>
        </w:rPr>
        <w:t xml:space="preserve">, C. (2023). Antioxidant, antibacterial, antifungal activities and gas chromatographic fingerprint of fractions from the root bark of </w:t>
      </w:r>
      <w:proofErr w:type="spellStart"/>
      <w:r w:rsidRPr="006D615E">
        <w:rPr>
          <w:rFonts w:ascii="Arial" w:hAnsi="Arial" w:cs="Arial"/>
          <w:sz w:val="20"/>
          <w:szCs w:val="20"/>
        </w:rPr>
        <w:t>Afzelia</w:t>
      </w:r>
      <w:proofErr w:type="spellEnd"/>
      <w:r w:rsidRPr="006D615E">
        <w:rPr>
          <w:rFonts w:ascii="Arial" w:hAnsi="Arial" w:cs="Arial"/>
          <w:sz w:val="20"/>
          <w:szCs w:val="20"/>
        </w:rPr>
        <w:t xml:space="preserve"> </w:t>
      </w:r>
      <w:proofErr w:type="spellStart"/>
      <w:r w:rsidRPr="006D615E">
        <w:rPr>
          <w:rFonts w:ascii="Arial" w:hAnsi="Arial" w:cs="Arial"/>
          <w:sz w:val="20"/>
          <w:szCs w:val="20"/>
        </w:rPr>
        <w:t>africana</w:t>
      </w:r>
      <w:proofErr w:type="spellEnd"/>
      <w:r w:rsidRPr="006D615E">
        <w:rPr>
          <w:rFonts w:ascii="Arial" w:hAnsi="Arial" w:cs="Arial"/>
          <w:sz w:val="20"/>
          <w:szCs w:val="20"/>
        </w:rPr>
        <w:t xml:space="preserve">. </w:t>
      </w:r>
      <w:proofErr w:type="spellStart"/>
      <w:r w:rsidRPr="006D615E">
        <w:rPr>
          <w:rFonts w:ascii="Arial" w:hAnsi="Arial" w:cs="Arial"/>
          <w:sz w:val="20"/>
          <w:szCs w:val="20"/>
        </w:rPr>
        <w:t>Heliyon</w:t>
      </w:r>
      <w:proofErr w:type="spellEnd"/>
      <w:r w:rsidRPr="006D615E">
        <w:rPr>
          <w:rFonts w:ascii="Arial" w:hAnsi="Arial" w:cs="Arial"/>
          <w:sz w:val="20"/>
          <w:szCs w:val="20"/>
        </w:rPr>
        <w:t>, 9(1), e12967. https://doi.org/10.1016/j.heliyon.2022.e12967</w:t>
      </w:r>
    </w:p>
    <w:p w14:paraId="003EEDD2" w14:textId="77777777" w:rsidR="00283F1D" w:rsidRPr="006D615E" w:rsidRDefault="00283F1D" w:rsidP="00283F1D">
      <w:pPr>
        <w:spacing w:before="100" w:after="100" w:line="320" w:lineRule="auto"/>
        <w:ind w:left="720" w:hanging="720"/>
        <w:jc w:val="both"/>
        <w:rPr>
          <w:rFonts w:ascii="Arial" w:hAnsi="Arial" w:cs="Arial"/>
          <w:sz w:val="20"/>
          <w:szCs w:val="20"/>
        </w:rPr>
      </w:pPr>
      <w:proofErr w:type="spellStart"/>
      <w:r w:rsidRPr="006D615E">
        <w:rPr>
          <w:rFonts w:ascii="Arial" w:hAnsi="Arial" w:cs="Arial"/>
          <w:sz w:val="20"/>
          <w:szCs w:val="20"/>
        </w:rPr>
        <w:t>Agu</w:t>
      </w:r>
      <w:proofErr w:type="spellEnd"/>
      <w:r w:rsidRPr="006D615E">
        <w:rPr>
          <w:rFonts w:ascii="Arial" w:hAnsi="Arial" w:cs="Arial"/>
          <w:sz w:val="20"/>
          <w:szCs w:val="20"/>
        </w:rPr>
        <w:t xml:space="preserve">, H.O., </w:t>
      </w:r>
      <w:proofErr w:type="spellStart"/>
      <w:r w:rsidRPr="006D615E">
        <w:rPr>
          <w:rFonts w:ascii="Arial" w:hAnsi="Arial" w:cs="Arial"/>
          <w:sz w:val="20"/>
          <w:szCs w:val="20"/>
        </w:rPr>
        <w:t>Ihionu</w:t>
      </w:r>
      <w:proofErr w:type="spellEnd"/>
      <w:r w:rsidRPr="006D615E">
        <w:rPr>
          <w:rFonts w:ascii="Arial" w:hAnsi="Arial" w:cs="Arial"/>
          <w:sz w:val="20"/>
          <w:szCs w:val="20"/>
        </w:rPr>
        <w:t xml:space="preserve">, J.C., and </w:t>
      </w:r>
      <w:proofErr w:type="spellStart"/>
      <w:r w:rsidRPr="006D615E">
        <w:rPr>
          <w:rFonts w:ascii="Arial" w:hAnsi="Arial" w:cs="Arial"/>
          <w:sz w:val="20"/>
          <w:szCs w:val="20"/>
        </w:rPr>
        <w:t>Mba</w:t>
      </w:r>
      <w:proofErr w:type="spellEnd"/>
      <w:r w:rsidRPr="006D615E">
        <w:rPr>
          <w:rFonts w:ascii="Arial" w:hAnsi="Arial" w:cs="Arial"/>
          <w:sz w:val="20"/>
          <w:szCs w:val="20"/>
        </w:rPr>
        <w:t xml:space="preserve">, J.C. (2023). Sensory and physicochemical properties of biscuit produced from blends of whole wheat, soy </w:t>
      </w:r>
      <w:proofErr w:type="spellStart"/>
      <w:r w:rsidRPr="006D615E">
        <w:rPr>
          <w:rFonts w:ascii="Arial" w:hAnsi="Arial" w:cs="Arial"/>
          <w:sz w:val="20"/>
          <w:szCs w:val="20"/>
        </w:rPr>
        <w:t>okara</w:t>
      </w:r>
      <w:proofErr w:type="spellEnd"/>
      <w:r w:rsidRPr="006D615E">
        <w:rPr>
          <w:rFonts w:ascii="Arial" w:hAnsi="Arial" w:cs="Arial"/>
          <w:sz w:val="20"/>
          <w:szCs w:val="20"/>
        </w:rPr>
        <w:t xml:space="preserve"> and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residue flours. </w:t>
      </w:r>
      <w:proofErr w:type="spellStart"/>
      <w:r w:rsidRPr="006D615E">
        <w:rPr>
          <w:rFonts w:ascii="Arial" w:hAnsi="Arial" w:cs="Arial"/>
          <w:sz w:val="20"/>
          <w:szCs w:val="20"/>
        </w:rPr>
        <w:t>Heliyon</w:t>
      </w:r>
      <w:proofErr w:type="spellEnd"/>
      <w:r w:rsidRPr="006D615E">
        <w:rPr>
          <w:rFonts w:ascii="Arial" w:hAnsi="Arial" w:cs="Arial"/>
          <w:sz w:val="20"/>
          <w:szCs w:val="20"/>
        </w:rPr>
        <w:t>, 9(4), e15318. https://doi.org/10.1016/j.heliyon.2023.e15318</w:t>
      </w:r>
    </w:p>
    <w:p w14:paraId="09363FD3" w14:textId="77777777" w:rsidR="00283F1D" w:rsidRPr="006D615E" w:rsidRDefault="00283F1D" w:rsidP="00283F1D">
      <w:pPr>
        <w:spacing w:before="80" w:after="80" w:line="280" w:lineRule="auto"/>
        <w:ind w:left="720" w:hanging="720"/>
        <w:jc w:val="both"/>
        <w:rPr>
          <w:rFonts w:ascii="Arial" w:hAnsi="Arial" w:cs="Arial"/>
          <w:sz w:val="20"/>
          <w:szCs w:val="20"/>
        </w:rPr>
      </w:pPr>
      <w:proofErr w:type="spellStart"/>
      <w:r w:rsidRPr="006D615E">
        <w:rPr>
          <w:rFonts w:ascii="Arial" w:hAnsi="Arial" w:cs="Arial"/>
          <w:sz w:val="20"/>
          <w:szCs w:val="20"/>
        </w:rPr>
        <w:t>Akajiaku</w:t>
      </w:r>
      <w:proofErr w:type="spellEnd"/>
      <w:r w:rsidRPr="006D615E">
        <w:rPr>
          <w:rFonts w:ascii="Arial" w:hAnsi="Arial" w:cs="Arial"/>
          <w:sz w:val="20"/>
          <w:szCs w:val="20"/>
        </w:rPr>
        <w:t xml:space="preserve">, L.O., Nwosu, J.N., </w:t>
      </w:r>
      <w:proofErr w:type="spellStart"/>
      <w:r w:rsidRPr="006D615E">
        <w:rPr>
          <w:rFonts w:ascii="Arial" w:hAnsi="Arial" w:cs="Arial"/>
          <w:sz w:val="20"/>
          <w:szCs w:val="20"/>
        </w:rPr>
        <w:t>Onuegbu</w:t>
      </w:r>
      <w:proofErr w:type="spellEnd"/>
      <w:r w:rsidRPr="006D615E">
        <w:rPr>
          <w:rFonts w:ascii="Arial" w:hAnsi="Arial" w:cs="Arial"/>
          <w:sz w:val="20"/>
          <w:szCs w:val="20"/>
        </w:rPr>
        <w:t xml:space="preserve">, N.C., Njoku, N.E., and </w:t>
      </w:r>
      <w:proofErr w:type="spellStart"/>
      <w:r w:rsidRPr="006D615E">
        <w:rPr>
          <w:rFonts w:ascii="Arial" w:hAnsi="Arial" w:cs="Arial"/>
          <w:sz w:val="20"/>
          <w:szCs w:val="20"/>
        </w:rPr>
        <w:t>Odimegwu</w:t>
      </w:r>
      <w:proofErr w:type="spellEnd"/>
      <w:r w:rsidRPr="006D615E">
        <w:rPr>
          <w:rFonts w:ascii="Arial" w:hAnsi="Arial" w:cs="Arial"/>
          <w:sz w:val="20"/>
          <w:szCs w:val="20"/>
        </w:rPr>
        <w:t>, E.N. (2018). Effect of substituting wheat flour with watermelon seed flour on the quality characteristics of biscuits. Asian Food Science Journal, 1(3), 1-12.</w:t>
      </w:r>
    </w:p>
    <w:p w14:paraId="013B2D6B" w14:textId="77777777" w:rsidR="00283F1D" w:rsidRPr="006D615E" w:rsidRDefault="00283F1D" w:rsidP="00283F1D">
      <w:pPr>
        <w:spacing w:before="100" w:after="100" w:line="320" w:lineRule="auto"/>
        <w:ind w:left="720" w:hanging="720"/>
        <w:jc w:val="both"/>
        <w:rPr>
          <w:rFonts w:ascii="Arial" w:hAnsi="Arial" w:cs="Arial"/>
          <w:sz w:val="20"/>
          <w:szCs w:val="20"/>
        </w:rPr>
      </w:pPr>
      <w:proofErr w:type="spellStart"/>
      <w:r w:rsidRPr="006D615E">
        <w:rPr>
          <w:rFonts w:ascii="Arial" w:hAnsi="Arial" w:cs="Arial"/>
          <w:sz w:val="20"/>
          <w:szCs w:val="20"/>
        </w:rPr>
        <w:t>Aniemena</w:t>
      </w:r>
      <w:proofErr w:type="spellEnd"/>
      <w:r w:rsidRPr="006D615E">
        <w:rPr>
          <w:rFonts w:ascii="Arial" w:hAnsi="Arial" w:cs="Arial"/>
          <w:sz w:val="20"/>
          <w:szCs w:val="20"/>
        </w:rPr>
        <w:t xml:space="preserve">, C.C., </w:t>
      </w:r>
      <w:proofErr w:type="spellStart"/>
      <w:r w:rsidRPr="006D615E">
        <w:rPr>
          <w:rFonts w:ascii="Arial" w:hAnsi="Arial" w:cs="Arial"/>
          <w:sz w:val="20"/>
          <w:szCs w:val="20"/>
        </w:rPr>
        <w:t>Emojorho</w:t>
      </w:r>
      <w:proofErr w:type="spellEnd"/>
      <w:r w:rsidRPr="006D615E">
        <w:rPr>
          <w:rFonts w:ascii="Arial" w:hAnsi="Arial" w:cs="Arial"/>
          <w:sz w:val="20"/>
          <w:szCs w:val="20"/>
        </w:rPr>
        <w:t xml:space="preserve">, E.E., Onuoha, L.N., </w:t>
      </w:r>
      <w:proofErr w:type="spellStart"/>
      <w:r w:rsidRPr="006D615E">
        <w:rPr>
          <w:rFonts w:ascii="Arial" w:hAnsi="Arial" w:cs="Arial"/>
          <w:sz w:val="20"/>
          <w:szCs w:val="20"/>
        </w:rPr>
        <w:t>Okoronkwo</w:t>
      </w:r>
      <w:proofErr w:type="spellEnd"/>
      <w:r w:rsidRPr="006D615E">
        <w:rPr>
          <w:rFonts w:ascii="Arial" w:hAnsi="Arial" w:cs="Arial"/>
          <w:sz w:val="20"/>
          <w:szCs w:val="20"/>
        </w:rPr>
        <w:t xml:space="preserve"> C.N., </w:t>
      </w:r>
      <w:proofErr w:type="spellStart"/>
      <w:r w:rsidRPr="006D615E">
        <w:rPr>
          <w:rFonts w:ascii="Arial" w:hAnsi="Arial" w:cs="Arial"/>
          <w:bCs/>
          <w:sz w:val="20"/>
          <w:szCs w:val="20"/>
        </w:rPr>
        <w:t>Nwagbo</w:t>
      </w:r>
      <w:proofErr w:type="spellEnd"/>
      <w:r w:rsidRPr="006D615E">
        <w:rPr>
          <w:rFonts w:ascii="Arial" w:hAnsi="Arial" w:cs="Arial"/>
          <w:bCs/>
          <w:sz w:val="20"/>
          <w:szCs w:val="20"/>
        </w:rPr>
        <w:t xml:space="preserve">, C.C. </w:t>
      </w:r>
      <w:r w:rsidRPr="006D615E">
        <w:rPr>
          <w:rFonts w:ascii="Arial" w:hAnsi="Arial" w:cs="Arial"/>
          <w:sz w:val="20"/>
          <w:szCs w:val="20"/>
        </w:rPr>
        <w:t xml:space="preserve">and </w:t>
      </w:r>
      <w:proofErr w:type="spellStart"/>
      <w:r w:rsidRPr="006D615E">
        <w:rPr>
          <w:rFonts w:ascii="Arial" w:hAnsi="Arial" w:cs="Arial"/>
          <w:sz w:val="20"/>
          <w:szCs w:val="20"/>
        </w:rPr>
        <w:t>Ugwu</w:t>
      </w:r>
      <w:proofErr w:type="spellEnd"/>
      <w:r w:rsidRPr="006D615E">
        <w:rPr>
          <w:rFonts w:ascii="Arial" w:hAnsi="Arial" w:cs="Arial"/>
          <w:sz w:val="20"/>
          <w:szCs w:val="20"/>
        </w:rPr>
        <w:t>, I.O. Quality Assessment of Cupcake produced from Wheat-Garri Flour Blends, Asian Journal of Advanced Research and Reports, 18(7): 159-166.</w:t>
      </w:r>
    </w:p>
    <w:p w14:paraId="564A005B" w14:textId="77777777" w:rsidR="00283F1D" w:rsidRPr="006D615E" w:rsidRDefault="00283F1D" w:rsidP="00283F1D">
      <w:pPr>
        <w:spacing w:before="80" w:after="80" w:line="280" w:lineRule="auto"/>
        <w:ind w:left="720" w:hanging="720"/>
        <w:jc w:val="both"/>
        <w:rPr>
          <w:rFonts w:ascii="Arial" w:hAnsi="Arial" w:cs="Arial"/>
          <w:sz w:val="20"/>
          <w:szCs w:val="20"/>
        </w:rPr>
      </w:pPr>
      <w:r w:rsidRPr="006D615E">
        <w:rPr>
          <w:rFonts w:ascii="Arial" w:hAnsi="Arial" w:cs="Arial"/>
          <w:sz w:val="20"/>
          <w:szCs w:val="20"/>
        </w:rPr>
        <w:t>AOAC (2019). Official Methods of Analysis of AOAC International (21st ed.). Gaithersburg, MD: AOAC International.</w:t>
      </w:r>
    </w:p>
    <w:p w14:paraId="6FFC913B" w14:textId="77777777" w:rsidR="00283F1D" w:rsidRPr="006D615E" w:rsidRDefault="00283F1D" w:rsidP="00283F1D">
      <w:pPr>
        <w:spacing w:before="100" w:after="100" w:line="320" w:lineRule="auto"/>
        <w:ind w:left="720" w:hanging="720"/>
        <w:jc w:val="both"/>
        <w:rPr>
          <w:rFonts w:ascii="Arial" w:hAnsi="Arial" w:cs="Arial"/>
          <w:sz w:val="20"/>
          <w:szCs w:val="20"/>
        </w:rPr>
      </w:pPr>
      <w:r w:rsidRPr="006D615E">
        <w:rPr>
          <w:rFonts w:ascii="Arial" w:hAnsi="Arial" w:cs="Arial"/>
          <w:sz w:val="20"/>
          <w:szCs w:val="20"/>
        </w:rPr>
        <w:t>Arshad, M.S., et al. (2025). Functional foods enriched with bioactive compounds: Therapeutic potential and technological innovations. Food Science and Nutrition, 13, e71024. https://doi.org/10.1002/fsn3.71024</w:t>
      </w:r>
    </w:p>
    <w:p w14:paraId="475C719B" w14:textId="77777777" w:rsidR="00283F1D" w:rsidRPr="006D615E" w:rsidRDefault="00283F1D" w:rsidP="00283F1D">
      <w:pPr>
        <w:spacing w:before="80" w:after="80" w:line="280" w:lineRule="auto"/>
        <w:ind w:left="720" w:hanging="720"/>
        <w:jc w:val="both"/>
        <w:rPr>
          <w:rFonts w:ascii="Arial" w:hAnsi="Arial" w:cs="Arial"/>
        </w:rPr>
      </w:pPr>
      <w:r w:rsidRPr="006D615E">
        <w:rPr>
          <w:rFonts w:ascii="Arial" w:hAnsi="Arial" w:cs="Arial"/>
          <w:sz w:val="22"/>
          <w:szCs w:val="22"/>
        </w:rPr>
        <w:t>Ball, G.F.M. (2006). Vitamins in Foods: Analysis, Bioavailability, and Stability. CRC Press, Boca Raton, FL, USA.</w:t>
      </w:r>
    </w:p>
    <w:p w14:paraId="407F13D0" w14:textId="77777777" w:rsidR="00283F1D" w:rsidRPr="006D615E" w:rsidRDefault="00283F1D" w:rsidP="00283F1D">
      <w:pPr>
        <w:spacing w:before="80" w:after="80" w:line="280" w:lineRule="auto"/>
        <w:ind w:left="720" w:hanging="720"/>
        <w:jc w:val="both"/>
        <w:rPr>
          <w:rFonts w:ascii="Arial" w:hAnsi="Arial" w:cs="Arial"/>
        </w:rPr>
      </w:pPr>
      <w:r w:rsidRPr="006D615E">
        <w:rPr>
          <w:rFonts w:ascii="Arial" w:hAnsi="Arial" w:cs="Arial"/>
          <w:sz w:val="22"/>
          <w:szCs w:val="22"/>
        </w:rPr>
        <w:t xml:space="preserve">Balogun, M.A., and </w:t>
      </w:r>
      <w:proofErr w:type="spellStart"/>
      <w:r w:rsidRPr="006D615E">
        <w:rPr>
          <w:rFonts w:ascii="Arial" w:hAnsi="Arial" w:cs="Arial"/>
          <w:sz w:val="22"/>
          <w:szCs w:val="22"/>
        </w:rPr>
        <w:t>Olatidoye</w:t>
      </w:r>
      <w:proofErr w:type="spellEnd"/>
      <w:r w:rsidRPr="006D615E">
        <w:rPr>
          <w:rFonts w:ascii="Arial" w:hAnsi="Arial" w:cs="Arial"/>
          <w:sz w:val="22"/>
          <w:szCs w:val="22"/>
        </w:rPr>
        <w:t xml:space="preserve">, O.P. (2012). Evaluation of chemical and </w:t>
      </w:r>
      <w:proofErr w:type="spellStart"/>
      <w:r w:rsidRPr="006D615E">
        <w:rPr>
          <w:rFonts w:ascii="Arial" w:hAnsi="Arial" w:cs="Arial"/>
          <w:sz w:val="22"/>
          <w:szCs w:val="22"/>
        </w:rPr>
        <w:t>physico</w:t>
      </w:r>
      <w:proofErr w:type="spellEnd"/>
      <w:r w:rsidRPr="006D615E">
        <w:rPr>
          <w:rFonts w:ascii="Arial" w:hAnsi="Arial" w:cs="Arial"/>
          <w:sz w:val="22"/>
          <w:szCs w:val="22"/>
        </w:rPr>
        <w:t>-functional properties of complementary food formulated from soybean and cooking banana flour blends for weaning infants. Journal of Applied Sciences Research, 8, 1679-1685.</w:t>
      </w:r>
    </w:p>
    <w:p w14:paraId="6627D77F" w14:textId="77777777" w:rsidR="00283F1D" w:rsidRPr="006D615E" w:rsidRDefault="00283F1D" w:rsidP="00283F1D">
      <w:pPr>
        <w:spacing w:before="100" w:after="100" w:line="320" w:lineRule="auto"/>
        <w:ind w:left="720" w:hanging="720"/>
        <w:jc w:val="both"/>
        <w:rPr>
          <w:rFonts w:ascii="Arial" w:hAnsi="Arial" w:cs="Arial"/>
          <w:sz w:val="20"/>
          <w:szCs w:val="20"/>
        </w:rPr>
      </w:pPr>
      <w:r w:rsidRPr="006D615E">
        <w:rPr>
          <w:rFonts w:ascii="Arial" w:hAnsi="Arial" w:cs="Arial"/>
          <w:sz w:val="20"/>
          <w:szCs w:val="20"/>
        </w:rPr>
        <w:lastRenderedPageBreak/>
        <w:t xml:space="preserve">Bolanle, A.O. (2010). Nutritional composition of </w:t>
      </w:r>
      <w:proofErr w:type="spellStart"/>
      <w:r w:rsidRPr="006D615E">
        <w:rPr>
          <w:rFonts w:ascii="Arial" w:hAnsi="Arial" w:cs="Arial"/>
          <w:sz w:val="20"/>
          <w:szCs w:val="20"/>
        </w:rPr>
        <w:t>Afzelia</w:t>
      </w:r>
      <w:proofErr w:type="spellEnd"/>
      <w:r w:rsidRPr="006D615E">
        <w:rPr>
          <w:rFonts w:ascii="Arial" w:hAnsi="Arial" w:cs="Arial"/>
          <w:sz w:val="20"/>
          <w:szCs w:val="20"/>
        </w:rPr>
        <w:t xml:space="preserve"> </w:t>
      </w:r>
      <w:proofErr w:type="spellStart"/>
      <w:r w:rsidRPr="006D615E">
        <w:rPr>
          <w:rFonts w:ascii="Arial" w:hAnsi="Arial" w:cs="Arial"/>
          <w:sz w:val="20"/>
          <w:szCs w:val="20"/>
        </w:rPr>
        <w:t>africana</w:t>
      </w:r>
      <w:proofErr w:type="spellEnd"/>
      <w:r w:rsidRPr="006D615E">
        <w:rPr>
          <w:rFonts w:ascii="Arial" w:hAnsi="Arial" w:cs="Arial"/>
          <w:sz w:val="20"/>
          <w:szCs w:val="20"/>
        </w:rPr>
        <w:t>. Biosciences Biotechnology Research Asia, 7(1), 481–484.</w:t>
      </w:r>
    </w:p>
    <w:p w14:paraId="2183012D" w14:textId="77777777" w:rsidR="00283F1D" w:rsidRPr="006D615E" w:rsidRDefault="00283F1D" w:rsidP="00283F1D">
      <w:pPr>
        <w:spacing w:before="80" w:after="80" w:line="280" w:lineRule="auto"/>
        <w:ind w:left="720" w:hanging="720"/>
        <w:jc w:val="both"/>
        <w:rPr>
          <w:rFonts w:ascii="Arial" w:hAnsi="Arial" w:cs="Arial"/>
          <w:sz w:val="20"/>
          <w:szCs w:val="20"/>
        </w:rPr>
      </w:pPr>
      <w:r w:rsidRPr="006D615E">
        <w:rPr>
          <w:rFonts w:ascii="Arial" w:hAnsi="Arial" w:cs="Arial"/>
          <w:sz w:val="20"/>
          <w:szCs w:val="20"/>
        </w:rPr>
        <w:t>Brand-Williams, W., Cuvelier, M.E., and Berset, C. (1995). Use of a free radical method to evaluate antioxidant activity. LWT - Food Science and Technology, 28(1), 25-30. https://doi.org/10.1016/S0023-6438(95)80008-5</w:t>
      </w:r>
    </w:p>
    <w:p w14:paraId="39D0CD40" w14:textId="77777777" w:rsidR="00283F1D" w:rsidRPr="006D615E" w:rsidRDefault="00283F1D" w:rsidP="00283F1D">
      <w:pPr>
        <w:spacing w:before="100" w:after="100" w:line="320" w:lineRule="auto"/>
        <w:ind w:left="720" w:hanging="720"/>
        <w:jc w:val="both"/>
        <w:rPr>
          <w:rFonts w:ascii="Arial" w:hAnsi="Arial" w:cs="Arial"/>
          <w:sz w:val="20"/>
          <w:szCs w:val="20"/>
        </w:rPr>
      </w:pPr>
      <w:proofErr w:type="spellStart"/>
      <w:r w:rsidRPr="006D615E">
        <w:rPr>
          <w:rFonts w:ascii="Arial" w:hAnsi="Arial" w:cs="Arial"/>
          <w:sz w:val="20"/>
          <w:szCs w:val="20"/>
        </w:rPr>
        <w:t>Chinma</w:t>
      </w:r>
      <w:proofErr w:type="spellEnd"/>
      <w:r w:rsidRPr="006D615E">
        <w:rPr>
          <w:rFonts w:ascii="Arial" w:hAnsi="Arial" w:cs="Arial"/>
          <w:sz w:val="20"/>
          <w:szCs w:val="20"/>
        </w:rPr>
        <w:t xml:space="preserve">, C.E., James, S., Imam, H., </w:t>
      </w:r>
      <w:proofErr w:type="spellStart"/>
      <w:r w:rsidRPr="006D615E">
        <w:rPr>
          <w:rFonts w:ascii="Arial" w:hAnsi="Arial" w:cs="Arial"/>
          <w:sz w:val="20"/>
          <w:szCs w:val="20"/>
        </w:rPr>
        <w:t>Ocheme</w:t>
      </w:r>
      <w:proofErr w:type="spellEnd"/>
      <w:r w:rsidRPr="006D615E">
        <w:rPr>
          <w:rFonts w:ascii="Arial" w:hAnsi="Arial" w:cs="Arial"/>
          <w:sz w:val="20"/>
          <w:szCs w:val="20"/>
        </w:rPr>
        <w:t xml:space="preserve">, O., Anuonye, J., and Yakubu, C. (2011). Physicochemical and sensory properties, and in-vitro digestibility of biscuits made from blends of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w:t>
      </w:r>
      <w:proofErr w:type="spellStart"/>
      <w:r w:rsidRPr="006D615E">
        <w:rPr>
          <w:rFonts w:ascii="Arial" w:hAnsi="Arial" w:cs="Arial"/>
          <w:sz w:val="20"/>
          <w:szCs w:val="20"/>
        </w:rPr>
        <w:t>Cyperus</w:t>
      </w:r>
      <w:proofErr w:type="spellEnd"/>
      <w:r w:rsidRPr="006D615E">
        <w:rPr>
          <w:rFonts w:ascii="Arial" w:hAnsi="Arial" w:cs="Arial"/>
          <w:sz w:val="20"/>
          <w:szCs w:val="20"/>
        </w:rPr>
        <w:t xml:space="preserve"> </w:t>
      </w:r>
      <w:proofErr w:type="spellStart"/>
      <w:r w:rsidRPr="006D615E">
        <w:rPr>
          <w:rFonts w:ascii="Arial" w:hAnsi="Arial" w:cs="Arial"/>
          <w:sz w:val="20"/>
          <w:szCs w:val="20"/>
        </w:rPr>
        <w:t>esculentus</w:t>
      </w:r>
      <w:proofErr w:type="spellEnd"/>
      <w:r w:rsidRPr="006D615E">
        <w:rPr>
          <w:rFonts w:ascii="Arial" w:hAnsi="Arial" w:cs="Arial"/>
          <w:sz w:val="20"/>
          <w:szCs w:val="20"/>
        </w:rPr>
        <w:t>) and pigeon pea (</w:t>
      </w:r>
      <w:proofErr w:type="spellStart"/>
      <w:r w:rsidRPr="006D615E">
        <w:rPr>
          <w:rFonts w:ascii="Arial" w:hAnsi="Arial" w:cs="Arial"/>
          <w:sz w:val="20"/>
          <w:szCs w:val="20"/>
        </w:rPr>
        <w:t>Cajanus</w:t>
      </w:r>
      <w:proofErr w:type="spellEnd"/>
      <w:r w:rsidRPr="006D615E">
        <w:rPr>
          <w:rFonts w:ascii="Arial" w:hAnsi="Arial" w:cs="Arial"/>
          <w:sz w:val="20"/>
          <w:szCs w:val="20"/>
        </w:rPr>
        <w:t xml:space="preserve"> </w:t>
      </w:r>
      <w:proofErr w:type="spellStart"/>
      <w:r w:rsidRPr="006D615E">
        <w:rPr>
          <w:rFonts w:ascii="Arial" w:hAnsi="Arial" w:cs="Arial"/>
          <w:sz w:val="20"/>
          <w:szCs w:val="20"/>
        </w:rPr>
        <w:t>cajan</w:t>
      </w:r>
      <w:proofErr w:type="spellEnd"/>
      <w:r w:rsidRPr="006D615E">
        <w:rPr>
          <w:rFonts w:ascii="Arial" w:hAnsi="Arial" w:cs="Arial"/>
          <w:sz w:val="20"/>
          <w:szCs w:val="20"/>
        </w:rPr>
        <w:t xml:space="preserve">). Nigerian Journal of Nutritional Sciences, 32(1). </w:t>
      </w:r>
      <w:hyperlink r:id="rId7" w:history="1">
        <w:r w:rsidRPr="006D615E">
          <w:rPr>
            <w:rStyle w:val="Hyperlink"/>
            <w:rFonts w:ascii="Arial" w:hAnsi="Arial" w:cs="Arial"/>
            <w:sz w:val="20"/>
            <w:szCs w:val="20"/>
          </w:rPr>
          <w:t>https://doi.org/10.4314/njns.v32i1.67816</w:t>
        </w:r>
      </w:hyperlink>
    </w:p>
    <w:p w14:paraId="1A5EE90B" w14:textId="77777777" w:rsidR="00283F1D" w:rsidRPr="006D615E" w:rsidRDefault="00283F1D" w:rsidP="00283F1D">
      <w:pPr>
        <w:spacing w:before="100" w:after="100" w:line="320" w:lineRule="auto"/>
        <w:ind w:left="720" w:hanging="720"/>
        <w:jc w:val="both"/>
        <w:rPr>
          <w:rFonts w:ascii="Arial" w:hAnsi="Arial" w:cs="Arial"/>
          <w:sz w:val="20"/>
          <w:szCs w:val="20"/>
        </w:rPr>
      </w:pPr>
      <w:proofErr w:type="spellStart"/>
      <w:r w:rsidRPr="006D615E">
        <w:rPr>
          <w:rFonts w:ascii="Arial" w:hAnsi="Arial" w:cs="Arial"/>
          <w:sz w:val="20"/>
          <w:szCs w:val="20"/>
        </w:rPr>
        <w:t>Chude</w:t>
      </w:r>
      <w:proofErr w:type="spellEnd"/>
      <w:r w:rsidRPr="006D615E">
        <w:rPr>
          <w:rFonts w:ascii="Arial" w:hAnsi="Arial" w:cs="Arial"/>
          <w:sz w:val="20"/>
          <w:szCs w:val="20"/>
        </w:rPr>
        <w:t xml:space="preserve">, C.O., </w:t>
      </w:r>
      <w:proofErr w:type="spellStart"/>
      <w:r w:rsidRPr="006D615E">
        <w:rPr>
          <w:rFonts w:ascii="Arial" w:hAnsi="Arial" w:cs="Arial"/>
          <w:bCs/>
          <w:sz w:val="20"/>
          <w:szCs w:val="20"/>
        </w:rPr>
        <w:t>Nwagbo</w:t>
      </w:r>
      <w:proofErr w:type="spellEnd"/>
      <w:r w:rsidRPr="006D615E">
        <w:rPr>
          <w:rFonts w:ascii="Arial" w:hAnsi="Arial" w:cs="Arial"/>
          <w:bCs/>
          <w:sz w:val="20"/>
          <w:szCs w:val="20"/>
        </w:rPr>
        <w:t>, C.C</w:t>
      </w:r>
      <w:r w:rsidRPr="006D615E">
        <w:rPr>
          <w:rFonts w:ascii="Arial" w:hAnsi="Arial" w:cs="Arial"/>
          <w:sz w:val="20"/>
          <w:szCs w:val="20"/>
        </w:rPr>
        <w:t xml:space="preserve">., </w:t>
      </w:r>
      <w:proofErr w:type="spellStart"/>
      <w:r w:rsidRPr="006D615E">
        <w:rPr>
          <w:rFonts w:ascii="Arial" w:hAnsi="Arial" w:cs="Arial"/>
          <w:sz w:val="20"/>
          <w:szCs w:val="20"/>
        </w:rPr>
        <w:t>Dibua</w:t>
      </w:r>
      <w:proofErr w:type="spellEnd"/>
      <w:r w:rsidRPr="006D615E">
        <w:rPr>
          <w:rFonts w:ascii="Arial" w:hAnsi="Arial" w:cs="Arial"/>
          <w:sz w:val="20"/>
          <w:szCs w:val="20"/>
        </w:rPr>
        <w:t xml:space="preserve">, N.A, Okoye, E.C.S., </w:t>
      </w:r>
      <w:proofErr w:type="spellStart"/>
      <w:r w:rsidRPr="006D615E">
        <w:rPr>
          <w:rFonts w:ascii="Arial" w:hAnsi="Arial" w:cs="Arial"/>
          <w:sz w:val="20"/>
          <w:szCs w:val="20"/>
        </w:rPr>
        <w:t>Okpalanma</w:t>
      </w:r>
      <w:proofErr w:type="spellEnd"/>
      <w:r w:rsidRPr="006D615E">
        <w:rPr>
          <w:rFonts w:ascii="Arial" w:hAnsi="Arial" w:cs="Arial"/>
          <w:sz w:val="20"/>
          <w:szCs w:val="20"/>
        </w:rPr>
        <w:t xml:space="preserve">, E.F. and </w:t>
      </w:r>
      <w:proofErr w:type="spellStart"/>
      <w:r w:rsidRPr="006D615E">
        <w:rPr>
          <w:rFonts w:ascii="Arial" w:hAnsi="Arial" w:cs="Arial"/>
          <w:sz w:val="20"/>
          <w:szCs w:val="20"/>
        </w:rPr>
        <w:t>Okoyeuzu</w:t>
      </w:r>
      <w:proofErr w:type="spellEnd"/>
      <w:r w:rsidRPr="006D615E">
        <w:rPr>
          <w:rFonts w:ascii="Arial" w:hAnsi="Arial" w:cs="Arial"/>
          <w:sz w:val="20"/>
          <w:szCs w:val="20"/>
        </w:rPr>
        <w:t xml:space="preserve">, C.F. (2023). Microbial Lactic Acid Fermentation improves Nutritional and Organoleptic Profile of Non-Diary Milk made from Bambara Groundnut. </w:t>
      </w:r>
      <w:r w:rsidRPr="006D615E">
        <w:rPr>
          <w:rFonts w:ascii="Arial" w:hAnsi="Arial" w:cs="Arial"/>
          <w:i/>
          <w:sz w:val="20"/>
          <w:szCs w:val="20"/>
        </w:rPr>
        <w:t>American Journal of Food Science and Technology</w:t>
      </w:r>
      <w:r w:rsidRPr="006D615E">
        <w:rPr>
          <w:rFonts w:ascii="Arial" w:hAnsi="Arial" w:cs="Arial"/>
          <w:sz w:val="20"/>
          <w:szCs w:val="20"/>
        </w:rPr>
        <w:t>, 2(1): 5-15.</w:t>
      </w:r>
    </w:p>
    <w:p w14:paraId="461F07D6" w14:textId="77777777" w:rsidR="00283F1D" w:rsidRPr="006D615E" w:rsidRDefault="00283F1D" w:rsidP="00283F1D">
      <w:pPr>
        <w:ind w:left="1440" w:hanging="1440"/>
        <w:jc w:val="both"/>
        <w:rPr>
          <w:rFonts w:ascii="Arial" w:hAnsi="Arial" w:cs="Arial"/>
          <w:b/>
          <w:sz w:val="20"/>
          <w:szCs w:val="20"/>
        </w:rPr>
      </w:pPr>
      <w:proofErr w:type="spellStart"/>
      <w:r w:rsidRPr="006D615E">
        <w:rPr>
          <w:rFonts w:ascii="Arial" w:hAnsi="Arial" w:cs="Arial"/>
          <w:sz w:val="20"/>
          <w:szCs w:val="20"/>
        </w:rPr>
        <w:t>Chude</w:t>
      </w:r>
      <w:proofErr w:type="spellEnd"/>
      <w:r w:rsidRPr="006D615E">
        <w:rPr>
          <w:rFonts w:ascii="Arial" w:hAnsi="Arial" w:cs="Arial"/>
          <w:sz w:val="20"/>
          <w:szCs w:val="20"/>
        </w:rPr>
        <w:t xml:space="preserve">, C.O., </w:t>
      </w:r>
      <w:proofErr w:type="spellStart"/>
      <w:r w:rsidRPr="006D615E">
        <w:rPr>
          <w:rFonts w:ascii="Arial" w:hAnsi="Arial" w:cs="Arial"/>
          <w:bCs/>
          <w:sz w:val="20"/>
          <w:szCs w:val="20"/>
        </w:rPr>
        <w:t>Nwagbo</w:t>
      </w:r>
      <w:proofErr w:type="spellEnd"/>
      <w:r w:rsidRPr="006D615E">
        <w:rPr>
          <w:rFonts w:ascii="Arial" w:hAnsi="Arial" w:cs="Arial"/>
          <w:bCs/>
          <w:sz w:val="20"/>
          <w:szCs w:val="20"/>
        </w:rPr>
        <w:t>, C.C</w:t>
      </w:r>
      <w:r w:rsidRPr="006D615E">
        <w:rPr>
          <w:rFonts w:ascii="Arial" w:hAnsi="Arial" w:cs="Arial"/>
          <w:sz w:val="20"/>
          <w:szCs w:val="20"/>
        </w:rPr>
        <w:t xml:space="preserve">., </w:t>
      </w:r>
      <w:proofErr w:type="spellStart"/>
      <w:r w:rsidRPr="006D615E">
        <w:rPr>
          <w:rFonts w:ascii="Arial" w:hAnsi="Arial" w:cs="Arial"/>
          <w:sz w:val="20"/>
          <w:szCs w:val="20"/>
        </w:rPr>
        <w:t>Okpalanma</w:t>
      </w:r>
      <w:proofErr w:type="spellEnd"/>
      <w:r w:rsidRPr="006D615E">
        <w:rPr>
          <w:rFonts w:ascii="Arial" w:hAnsi="Arial" w:cs="Arial"/>
          <w:sz w:val="20"/>
          <w:szCs w:val="20"/>
        </w:rPr>
        <w:t xml:space="preserve">, E.F. and </w:t>
      </w:r>
      <w:proofErr w:type="spellStart"/>
      <w:r w:rsidRPr="006D615E">
        <w:rPr>
          <w:rFonts w:ascii="Arial" w:hAnsi="Arial" w:cs="Arial"/>
          <w:sz w:val="20"/>
          <w:szCs w:val="20"/>
        </w:rPr>
        <w:t>Uba</w:t>
      </w:r>
      <w:proofErr w:type="spellEnd"/>
      <w:r w:rsidRPr="006D615E">
        <w:rPr>
          <w:rFonts w:ascii="Arial" w:hAnsi="Arial" w:cs="Arial"/>
          <w:sz w:val="20"/>
          <w:szCs w:val="20"/>
        </w:rPr>
        <w:t xml:space="preserve">, B.O. (2021). Functional and Rheological Profile of LAB-fermented Bambara Groundnut (Vigna subterranean (L)) Flour. </w:t>
      </w:r>
      <w:r w:rsidRPr="006D615E">
        <w:rPr>
          <w:rFonts w:ascii="Arial" w:hAnsi="Arial" w:cs="Arial"/>
          <w:i/>
          <w:sz w:val="20"/>
          <w:szCs w:val="20"/>
        </w:rPr>
        <w:t>Journal of Advances in Microbiology</w:t>
      </w:r>
      <w:r w:rsidRPr="006D615E">
        <w:rPr>
          <w:rFonts w:ascii="Arial" w:hAnsi="Arial" w:cs="Arial"/>
          <w:sz w:val="20"/>
          <w:szCs w:val="20"/>
        </w:rPr>
        <w:t>, 10: 1-9.</w:t>
      </w:r>
    </w:p>
    <w:p w14:paraId="2F7C8977" w14:textId="77777777" w:rsidR="00283F1D" w:rsidRPr="006D615E" w:rsidRDefault="00283F1D" w:rsidP="00283F1D">
      <w:pPr>
        <w:spacing w:before="100" w:after="100" w:line="320" w:lineRule="auto"/>
        <w:ind w:left="720" w:hanging="720"/>
        <w:jc w:val="both"/>
        <w:rPr>
          <w:rFonts w:ascii="Arial" w:hAnsi="Arial" w:cs="Arial"/>
          <w:sz w:val="20"/>
          <w:szCs w:val="20"/>
        </w:rPr>
      </w:pPr>
      <w:r w:rsidRPr="006D615E">
        <w:rPr>
          <w:rFonts w:ascii="Arial" w:hAnsi="Arial" w:cs="Arial"/>
          <w:sz w:val="20"/>
          <w:szCs w:val="20"/>
        </w:rPr>
        <w:t>He, Z., et al. (2025). Tiger nut (Cyperus esculentus L.): A systematic review of metabolic regulation, functional bioactivities, and sustainable food applications. Journal of Food Science, 90, e70705. https://doi.org/10.1111/1750-3841.70705</w:t>
      </w:r>
    </w:p>
    <w:p w14:paraId="57B26336" w14:textId="77777777" w:rsidR="00283F1D" w:rsidRPr="006D615E" w:rsidRDefault="00283F1D" w:rsidP="00283F1D">
      <w:pPr>
        <w:spacing w:before="100" w:after="100" w:line="320" w:lineRule="auto"/>
        <w:ind w:left="720" w:hanging="720"/>
        <w:jc w:val="both"/>
        <w:rPr>
          <w:rFonts w:ascii="Arial" w:hAnsi="Arial" w:cs="Arial"/>
          <w:sz w:val="20"/>
          <w:szCs w:val="20"/>
        </w:rPr>
      </w:pPr>
      <w:proofErr w:type="spellStart"/>
      <w:r w:rsidRPr="006D615E">
        <w:rPr>
          <w:rFonts w:ascii="Arial" w:hAnsi="Arial" w:cs="Arial"/>
          <w:sz w:val="20"/>
          <w:szCs w:val="20"/>
        </w:rPr>
        <w:t>Igbabul</w:t>
      </w:r>
      <w:proofErr w:type="spellEnd"/>
      <w:r w:rsidRPr="006D615E">
        <w:rPr>
          <w:rFonts w:ascii="Arial" w:hAnsi="Arial" w:cs="Arial"/>
          <w:sz w:val="20"/>
          <w:szCs w:val="20"/>
        </w:rPr>
        <w:t xml:space="preserve">, B.D., </w:t>
      </w:r>
      <w:proofErr w:type="spellStart"/>
      <w:r w:rsidRPr="006D615E">
        <w:rPr>
          <w:rFonts w:ascii="Arial" w:hAnsi="Arial" w:cs="Arial"/>
          <w:sz w:val="20"/>
          <w:szCs w:val="20"/>
        </w:rPr>
        <w:t>Shember</w:t>
      </w:r>
      <w:proofErr w:type="spellEnd"/>
      <w:r w:rsidRPr="006D615E">
        <w:rPr>
          <w:rFonts w:ascii="Arial" w:hAnsi="Arial" w:cs="Arial"/>
          <w:sz w:val="20"/>
          <w:szCs w:val="20"/>
        </w:rPr>
        <w:t xml:space="preserve">, J., and </w:t>
      </w:r>
      <w:proofErr w:type="spellStart"/>
      <w:r w:rsidRPr="006D615E">
        <w:rPr>
          <w:rFonts w:ascii="Arial" w:hAnsi="Arial" w:cs="Arial"/>
          <w:sz w:val="20"/>
          <w:szCs w:val="20"/>
        </w:rPr>
        <w:t>Amove</w:t>
      </w:r>
      <w:proofErr w:type="spellEnd"/>
      <w:r w:rsidRPr="006D615E">
        <w:rPr>
          <w:rFonts w:ascii="Arial" w:hAnsi="Arial" w:cs="Arial"/>
          <w:sz w:val="20"/>
          <w:szCs w:val="20"/>
        </w:rPr>
        <w:t>, J. (2014). Effect of fermentation on the proximate composition and functional properties of mahogany bean (</w:t>
      </w:r>
      <w:proofErr w:type="spellStart"/>
      <w:r w:rsidRPr="006D615E">
        <w:rPr>
          <w:rFonts w:ascii="Arial" w:hAnsi="Arial" w:cs="Arial"/>
          <w:sz w:val="20"/>
          <w:szCs w:val="20"/>
        </w:rPr>
        <w:t>Afzelia</w:t>
      </w:r>
      <w:proofErr w:type="spellEnd"/>
      <w:r w:rsidRPr="006D615E">
        <w:rPr>
          <w:rFonts w:ascii="Arial" w:hAnsi="Arial" w:cs="Arial"/>
          <w:sz w:val="20"/>
          <w:szCs w:val="20"/>
        </w:rPr>
        <w:t xml:space="preserve"> </w:t>
      </w:r>
      <w:proofErr w:type="spellStart"/>
      <w:r w:rsidRPr="006D615E">
        <w:rPr>
          <w:rFonts w:ascii="Arial" w:hAnsi="Arial" w:cs="Arial"/>
          <w:sz w:val="20"/>
          <w:szCs w:val="20"/>
        </w:rPr>
        <w:t>africana</w:t>
      </w:r>
      <w:proofErr w:type="spellEnd"/>
      <w:r w:rsidRPr="006D615E">
        <w:rPr>
          <w:rFonts w:ascii="Arial" w:hAnsi="Arial" w:cs="Arial"/>
          <w:sz w:val="20"/>
          <w:szCs w:val="20"/>
        </w:rPr>
        <w:t>) flour. Current Research in Nutrition and Food Science Journal, 2(1). https://doi.org/10.12944/CRNFSJ.2.1.09</w:t>
      </w:r>
    </w:p>
    <w:p w14:paraId="7194E54E" w14:textId="77777777" w:rsidR="00283F1D" w:rsidRPr="006D615E" w:rsidRDefault="00283F1D" w:rsidP="00283F1D">
      <w:pPr>
        <w:spacing w:before="100" w:after="100" w:line="320" w:lineRule="auto"/>
        <w:ind w:left="720" w:hanging="720"/>
        <w:jc w:val="both"/>
        <w:rPr>
          <w:rFonts w:ascii="Arial" w:hAnsi="Arial" w:cs="Arial"/>
          <w:sz w:val="20"/>
          <w:szCs w:val="20"/>
        </w:rPr>
      </w:pPr>
      <w:proofErr w:type="spellStart"/>
      <w:r w:rsidRPr="006D615E">
        <w:rPr>
          <w:rFonts w:ascii="Arial" w:hAnsi="Arial" w:cs="Arial"/>
          <w:sz w:val="20"/>
          <w:szCs w:val="20"/>
        </w:rPr>
        <w:t>Irondi</w:t>
      </w:r>
      <w:proofErr w:type="spellEnd"/>
      <w:r w:rsidRPr="006D615E">
        <w:rPr>
          <w:rFonts w:ascii="Arial" w:hAnsi="Arial" w:cs="Arial"/>
          <w:sz w:val="20"/>
          <w:szCs w:val="20"/>
        </w:rPr>
        <w:t xml:space="preserve">, E.A., </w:t>
      </w:r>
      <w:proofErr w:type="spellStart"/>
      <w:r w:rsidRPr="006D615E">
        <w:rPr>
          <w:rFonts w:ascii="Arial" w:hAnsi="Arial" w:cs="Arial"/>
          <w:sz w:val="20"/>
          <w:szCs w:val="20"/>
        </w:rPr>
        <w:t>Oboh</w:t>
      </w:r>
      <w:proofErr w:type="spellEnd"/>
      <w:r w:rsidRPr="006D615E">
        <w:rPr>
          <w:rFonts w:ascii="Arial" w:hAnsi="Arial" w:cs="Arial"/>
          <w:sz w:val="20"/>
          <w:szCs w:val="20"/>
        </w:rPr>
        <w:t>, G., Akindahunsi, A.A., Boligon, A.A., and Athayde, M.L. (2015). Inhibition of carbohydrate hydrolyzing enzymes associated with type 2 diabetes and antioxidative properties of some edible seeds in vitro. International Journal of Diabetes in Developing Countries, 35(3), 270–278. https://doi.org/10.1007/s13410-015-0339-7</w:t>
      </w:r>
    </w:p>
    <w:p w14:paraId="782DE79B" w14:textId="77777777" w:rsidR="00283F1D" w:rsidRPr="006D615E" w:rsidRDefault="00283F1D" w:rsidP="00283F1D">
      <w:pPr>
        <w:spacing w:before="100" w:after="100" w:line="320" w:lineRule="auto"/>
        <w:ind w:left="720" w:hanging="720"/>
        <w:jc w:val="both"/>
        <w:rPr>
          <w:rFonts w:ascii="Arial" w:hAnsi="Arial" w:cs="Arial"/>
          <w:sz w:val="20"/>
          <w:szCs w:val="20"/>
        </w:rPr>
      </w:pPr>
      <w:r w:rsidRPr="006D615E">
        <w:rPr>
          <w:rFonts w:ascii="Arial" w:hAnsi="Arial" w:cs="Arial"/>
          <w:sz w:val="20"/>
          <w:szCs w:val="20"/>
        </w:rPr>
        <w:t>Lazou, A., et al. (2024). Properties, structure, and acceptability of innovative legume-based biscuits with alternative sweeteners. International Journal of Food Science, 2024, 8216796. https://doi.org/10.1155/2024/8216796</w:t>
      </w:r>
    </w:p>
    <w:p w14:paraId="141B1255" w14:textId="77777777" w:rsidR="00283F1D" w:rsidRPr="006D615E" w:rsidRDefault="00283F1D" w:rsidP="00283F1D">
      <w:pPr>
        <w:spacing w:before="80" w:after="80" w:line="280" w:lineRule="auto"/>
        <w:ind w:left="720" w:hanging="720"/>
        <w:jc w:val="both"/>
        <w:rPr>
          <w:rFonts w:ascii="Arial" w:hAnsi="Arial" w:cs="Arial"/>
          <w:sz w:val="20"/>
          <w:szCs w:val="20"/>
        </w:rPr>
      </w:pPr>
      <w:r w:rsidRPr="006D615E">
        <w:rPr>
          <w:rFonts w:ascii="Arial" w:hAnsi="Arial" w:cs="Arial"/>
          <w:sz w:val="20"/>
          <w:szCs w:val="20"/>
        </w:rPr>
        <w:t>Meda, A., Lamien, C.E., Romito, M., Millogo, J., and Nacoulma, O.G. (2005). Determination of the total phenolic, flavonoid and proline contents in Burkina Faso honey, as well as their radical scavenging activity. Food Chemistry, 91(3), 571-577. https://doi.org/10.1016/j.foodchem.2004.10.006</w:t>
      </w:r>
    </w:p>
    <w:p w14:paraId="6D9B0571" w14:textId="77777777" w:rsidR="00283F1D" w:rsidRPr="006D615E" w:rsidRDefault="00283F1D" w:rsidP="00283F1D">
      <w:pPr>
        <w:spacing w:before="80" w:after="80" w:line="280" w:lineRule="auto"/>
        <w:ind w:left="720" w:hanging="720"/>
        <w:jc w:val="both"/>
        <w:rPr>
          <w:rFonts w:ascii="Arial" w:hAnsi="Arial" w:cs="Arial"/>
          <w:sz w:val="20"/>
          <w:szCs w:val="20"/>
        </w:rPr>
      </w:pPr>
      <w:r w:rsidRPr="006D615E">
        <w:rPr>
          <w:rFonts w:ascii="Arial" w:hAnsi="Arial" w:cs="Arial"/>
          <w:sz w:val="20"/>
          <w:szCs w:val="20"/>
        </w:rPr>
        <w:t>Meilgaard, M.C., Civille, G.V., and Carr, B.T. (2016). Sensory Evaluation Techniques (5th ed.). CRC Press, Boca Raton, FL, USA.</w:t>
      </w:r>
    </w:p>
    <w:p w14:paraId="6F2CB396" w14:textId="77777777" w:rsidR="00283F1D" w:rsidRPr="006D615E" w:rsidRDefault="00283F1D" w:rsidP="00283F1D">
      <w:pPr>
        <w:spacing w:before="100" w:after="100" w:line="320" w:lineRule="auto"/>
        <w:ind w:left="720" w:hanging="720"/>
        <w:jc w:val="both"/>
        <w:rPr>
          <w:rFonts w:ascii="Arial" w:hAnsi="Arial" w:cs="Arial"/>
          <w:sz w:val="20"/>
          <w:szCs w:val="20"/>
        </w:rPr>
      </w:pPr>
      <w:proofErr w:type="spellStart"/>
      <w:r w:rsidRPr="006D615E">
        <w:rPr>
          <w:rFonts w:ascii="Arial" w:hAnsi="Arial" w:cs="Arial"/>
          <w:sz w:val="20"/>
          <w:szCs w:val="20"/>
        </w:rPr>
        <w:t>Nedviha</w:t>
      </w:r>
      <w:proofErr w:type="spellEnd"/>
      <w:r w:rsidRPr="006D615E">
        <w:rPr>
          <w:rFonts w:ascii="Arial" w:hAnsi="Arial" w:cs="Arial"/>
          <w:sz w:val="20"/>
          <w:szCs w:val="20"/>
        </w:rPr>
        <w:t xml:space="preserve">, S., and </w:t>
      </w:r>
      <w:proofErr w:type="spellStart"/>
      <w:r w:rsidRPr="006D615E">
        <w:rPr>
          <w:rFonts w:ascii="Arial" w:hAnsi="Arial" w:cs="Arial"/>
          <w:sz w:val="20"/>
          <w:szCs w:val="20"/>
        </w:rPr>
        <w:t>Harasym</w:t>
      </w:r>
      <w:proofErr w:type="spellEnd"/>
      <w:r w:rsidRPr="006D615E">
        <w:rPr>
          <w:rFonts w:ascii="Arial" w:hAnsi="Arial" w:cs="Arial"/>
          <w:sz w:val="20"/>
          <w:szCs w:val="20"/>
        </w:rPr>
        <w:t xml:space="preserve">, J. (2024). Functional and antioxidative characteristics of soft wheat and tiger nut (Cyperus esculentus) flour binary blends. Foods, 13(4), 596. </w:t>
      </w:r>
      <w:hyperlink r:id="rId8" w:history="1">
        <w:r w:rsidRPr="006D615E">
          <w:rPr>
            <w:rStyle w:val="Hyperlink"/>
            <w:rFonts w:ascii="Arial" w:hAnsi="Arial" w:cs="Arial"/>
            <w:sz w:val="20"/>
            <w:szCs w:val="20"/>
          </w:rPr>
          <w:t>https://doi.org/10.3390/foods13040596</w:t>
        </w:r>
      </w:hyperlink>
    </w:p>
    <w:p w14:paraId="20F2854B" w14:textId="77777777" w:rsidR="00283F1D" w:rsidRPr="006D615E" w:rsidRDefault="00283F1D" w:rsidP="00283F1D">
      <w:pPr>
        <w:spacing w:before="100" w:after="100" w:line="320" w:lineRule="auto"/>
        <w:ind w:left="720" w:hanging="720"/>
        <w:jc w:val="both"/>
        <w:rPr>
          <w:rFonts w:ascii="Arial" w:hAnsi="Arial" w:cs="Arial"/>
          <w:sz w:val="20"/>
          <w:szCs w:val="20"/>
        </w:rPr>
      </w:pPr>
      <w:proofErr w:type="spellStart"/>
      <w:r w:rsidRPr="006D615E">
        <w:rPr>
          <w:rFonts w:ascii="Arial" w:hAnsi="Arial" w:cs="Arial"/>
          <w:sz w:val="20"/>
          <w:szCs w:val="20"/>
        </w:rPr>
        <w:t>Nkwonta</w:t>
      </w:r>
      <w:proofErr w:type="spellEnd"/>
      <w:r w:rsidRPr="006D615E">
        <w:rPr>
          <w:rFonts w:ascii="Arial" w:hAnsi="Arial" w:cs="Arial"/>
          <w:sz w:val="20"/>
          <w:szCs w:val="20"/>
        </w:rPr>
        <w:t xml:space="preserve">, C.G., and </w:t>
      </w:r>
      <w:proofErr w:type="spellStart"/>
      <w:r w:rsidRPr="006D615E">
        <w:rPr>
          <w:rFonts w:ascii="Arial" w:hAnsi="Arial" w:cs="Arial"/>
          <w:sz w:val="20"/>
          <w:szCs w:val="20"/>
        </w:rPr>
        <w:t>Auma</w:t>
      </w:r>
      <w:proofErr w:type="spellEnd"/>
      <w:r w:rsidRPr="006D615E">
        <w:rPr>
          <w:rFonts w:ascii="Arial" w:hAnsi="Arial" w:cs="Arial"/>
          <w:sz w:val="20"/>
          <w:szCs w:val="20"/>
        </w:rPr>
        <w:t xml:space="preserve">, C.I. (2023). </w:t>
      </w:r>
      <w:proofErr w:type="spellStart"/>
      <w:r w:rsidRPr="006D615E">
        <w:rPr>
          <w:rFonts w:ascii="Arial" w:hAnsi="Arial" w:cs="Arial"/>
          <w:sz w:val="20"/>
          <w:szCs w:val="20"/>
        </w:rPr>
        <w:t>Underutilised</w:t>
      </w:r>
      <w:proofErr w:type="spellEnd"/>
      <w:r w:rsidRPr="006D615E">
        <w:rPr>
          <w:rFonts w:ascii="Arial" w:hAnsi="Arial" w:cs="Arial"/>
          <w:sz w:val="20"/>
          <w:szCs w:val="20"/>
        </w:rPr>
        <w:t xml:space="preserve"> food crops for improving food and nutrition security in Nigeria and Uganda — a review. Frontiers in Sustainable Food Systems, 7, 1126020. https://doi.org/10.3389/fsufs.2023.1126020</w:t>
      </w:r>
    </w:p>
    <w:p w14:paraId="12F05535" w14:textId="77777777" w:rsidR="00283F1D" w:rsidRPr="006D615E" w:rsidRDefault="00283F1D" w:rsidP="00283F1D">
      <w:pPr>
        <w:spacing w:before="100" w:after="100" w:line="320" w:lineRule="auto"/>
        <w:ind w:left="720" w:hanging="720"/>
        <w:jc w:val="both"/>
        <w:rPr>
          <w:rFonts w:ascii="Arial" w:hAnsi="Arial" w:cs="Arial"/>
          <w:sz w:val="20"/>
          <w:szCs w:val="20"/>
        </w:rPr>
      </w:pPr>
      <w:proofErr w:type="spellStart"/>
      <w:r w:rsidRPr="006D615E">
        <w:rPr>
          <w:rFonts w:ascii="Arial" w:hAnsi="Arial" w:cs="Arial"/>
          <w:bCs/>
          <w:sz w:val="20"/>
          <w:szCs w:val="20"/>
        </w:rPr>
        <w:lastRenderedPageBreak/>
        <w:t>Nwagbo</w:t>
      </w:r>
      <w:proofErr w:type="spellEnd"/>
      <w:r w:rsidRPr="006D615E">
        <w:rPr>
          <w:rFonts w:ascii="Arial" w:hAnsi="Arial" w:cs="Arial"/>
          <w:bCs/>
          <w:sz w:val="20"/>
          <w:szCs w:val="20"/>
        </w:rPr>
        <w:t>, C.C.,</w:t>
      </w:r>
      <w:r w:rsidRPr="006D615E">
        <w:rPr>
          <w:rFonts w:ascii="Arial" w:hAnsi="Arial" w:cs="Arial"/>
          <w:b/>
          <w:sz w:val="20"/>
          <w:szCs w:val="20"/>
        </w:rPr>
        <w:t xml:space="preserve"> </w:t>
      </w:r>
      <w:proofErr w:type="spellStart"/>
      <w:r w:rsidRPr="006D615E">
        <w:rPr>
          <w:rFonts w:ascii="Arial" w:hAnsi="Arial" w:cs="Arial"/>
          <w:sz w:val="20"/>
          <w:szCs w:val="20"/>
        </w:rPr>
        <w:t>Ugwu</w:t>
      </w:r>
      <w:proofErr w:type="spellEnd"/>
      <w:r w:rsidRPr="006D615E">
        <w:rPr>
          <w:rFonts w:ascii="Arial" w:hAnsi="Arial" w:cs="Arial"/>
          <w:sz w:val="20"/>
          <w:szCs w:val="20"/>
        </w:rPr>
        <w:t xml:space="preserve">, I.A., </w:t>
      </w:r>
      <w:proofErr w:type="spellStart"/>
      <w:r w:rsidRPr="006D615E">
        <w:rPr>
          <w:rFonts w:ascii="Arial" w:hAnsi="Arial" w:cs="Arial"/>
          <w:sz w:val="20"/>
          <w:szCs w:val="20"/>
        </w:rPr>
        <w:t>Anyadioha</w:t>
      </w:r>
      <w:proofErr w:type="spellEnd"/>
      <w:r w:rsidRPr="006D615E">
        <w:rPr>
          <w:rFonts w:ascii="Arial" w:hAnsi="Arial" w:cs="Arial"/>
          <w:sz w:val="20"/>
          <w:szCs w:val="20"/>
        </w:rPr>
        <w:t>, J.I., Okeke, M.N., and Nwafor, P.M. (2025). Cultivating and Promoting Functional Foods to Address Micro-Nutrient Deficiencies in Nigeria: A Review of Agricultural and Dietary Strategies.  African Journal of Education, Science and Technology (AJEST), 8 (2): 1-10.</w:t>
      </w:r>
    </w:p>
    <w:p w14:paraId="29018642" w14:textId="77777777" w:rsidR="00283F1D" w:rsidRPr="006D615E" w:rsidRDefault="00283F1D" w:rsidP="00283F1D">
      <w:pPr>
        <w:spacing w:before="100" w:after="100" w:line="320" w:lineRule="auto"/>
        <w:ind w:left="720" w:hanging="720"/>
        <w:jc w:val="both"/>
        <w:rPr>
          <w:rFonts w:ascii="Arial" w:hAnsi="Arial" w:cs="Arial"/>
          <w:sz w:val="20"/>
          <w:szCs w:val="20"/>
        </w:rPr>
      </w:pPr>
      <w:proofErr w:type="spellStart"/>
      <w:r w:rsidRPr="006D615E">
        <w:rPr>
          <w:rFonts w:ascii="Arial" w:hAnsi="Arial" w:cs="Arial"/>
          <w:sz w:val="20"/>
          <w:szCs w:val="20"/>
        </w:rPr>
        <w:t>Ogunnowo</w:t>
      </w:r>
      <w:proofErr w:type="spellEnd"/>
      <w:r w:rsidRPr="006D615E">
        <w:rPr>
          <w:rFonts w:ascii="Arial" w:hAnsi="Arial" w:cs="Arial"/>
          <w:sz w:val="20"/>
          <w:szCs w:val="20"/>
        </w:rPr>
        <w:t xml:space="preserve">, O.C., </w:t>
      </w:r>
      <w:proofErr w:type="spellStart"/>
      <w:r w:rsidRPr="006D615E">
        <w:rPr>
          <w:rFonts w:ascii="Arial" w:hAnsi="Arial" w:cs="Arial"/>
          <w:sz w:val="20"/>
          <w:szCs w:val="20"/>
        </w:rPr>
        <w:t>Omoba</w:t>
      </w:r>
      <w:proofErr w:type="spellEnd"/>
      <w:r w:rsidRPr="006D615E">
        <w:rPr>
          <w:rFonts w:ascii="Arial" w:hAnsi="Arial" w:cs="Arial"/>
          <w:sz w:val="20"/>
          <w:szCs w:val="20"/>
        </w:rPr>
        <w:t xml:space="preserve">, O.S., Olagunju, A.I., Godwin, S.A., and Ishola, D.T. (2024). Nutritional, phytochemical, functional and antioxidant properties of </w:t>
      </w:r>
      <w:proofErr w:type="spellStart"/>
      <w:r w:rsidRPr="006D615E">
        <w:rPr>
          <w:rFonts w:ascii="Arial" w:hAnsi="Arial" w:cs="Arial"/>
          <w:sz w:val="20"/>
          <w:szCs w:val="20"/>
        </w:rPr>
        <w:t>Acha</w:t>
      </w:r>
      <w:proofErr w:type="spellEnd"/>
      <w:r w:rsidRPr="006D615E">
        <w:rPr>
          <w:rFonts w:ascii="Arial" w:hAnsi="Arial" w:cs="Arial"/>
          <w:sz w:val="20"/>
          <w:szCs w:val="20"/>
        </w:rPr>
        <w:t xml:space="preserve">, Chia and </w:t>
      </w:r>
      <w:proofErr w:type="spellStart"/>
      <w:r w:rsidRPr="006D615E">
        <w:rPr>
          <w:rFonts w:ascii="Arial" w:hAnsi="Arial" w:cs="Arial"/>
          <w:sz w:val="20"/>
          <w:szCs w:val="20"/>
        </w:rPr>
        <w:t>Soycake</w:t>
      </w:r>
      <w:proofErr w:type="spellEnd"/>
      <w:r w:rsidRPr="006D615E">
        <w:rPr>
          <w:rFonts w:ascii="Arial" w:hAnsi="Arial" w:cs="Arial"/>
          <w:sz w:val="20"/>
          <w:szCs w:val="20"/>
        </w:rPr>
        <w:t xml:space="preserve"> flour blends. Journal of Biochemistry International, 11(1), 13–25. https://doi.org/10.56557/jobi/2024/v11i18826</w:t>
      </w:r>
    </w:p>
    <w:p w14:paraId="3A8847B3" w14:textId="77777777" w:rsidR="00283F1D" w:rsidRPr="006D615E" w:rsidRDefault="00283F1D" w:rsidP="00283F1D">
      <w:pPr>
        <w:spacing w:before="100" w:after="100" w:line="320" w:lineRule="auto"/>
        <w:ind w:left="720" w:hanging="720"/>
        <w:jc w:val="both"/>
        <w:rPr>
          <w:rFonts w:ascii="Arial" w:hAnsi="Arial" w:cs="Arial"/>
          <w:sz w:val="20"/>
          <w:szCs w:val="20"/>
        </w:rPr>
      </w:pPr>
      <w:r w:rsidRPr="006D615E">
        <w:rPr>
          <w:rFonts w:ascii="Arial" w:hAnsi="Arial" w:cs="Arial"/>
          <w:sz w:val="20"/>
          <w:szCs w:val="20"/>
        </w:rPr>
        <w:t xml:space="preserve">Okeke, E.C., et al. (2022). Effects of different processing methods of </w:t>
      </w:r>
      <w:proofErr w:type="spellStart"/>
      <w:r w:rsidRPr="006D615E">
        <w:rPr>
          <w:rFonts w:ascii="Arial" w:hAnsi="Arial" w:cs="Arial"/>
          <w:sz w:val="20"/>
          <w:szCs w:val="20"/>
        </w:rPr>
        <w:t>Afzelia</w:t>
      </w:r>
      <w:proofErr w:type="spellEnd"/>
      <w:r w:rsidRPr="006D615E">
        <w:rPr>
          <w:rFonts w:ascii="Arial" w:hAnsi="Arial" w:cs="Arial"/>
          <w:sz w:val="20"/>
          <w:szCs w:val="20"/>
        </w:rPr>
        <w:t xml:space="preserve"> </w:t>
      </w:r>
      <w:proofErr w:type="spellStart"/>
      <w:r w:rsidRPr="006D615E">
        <w:rPr>
          <w:rFonts w:ascii="Arial" w:hAnsi="Arial" w:cs="Arial"/>
          <w:sz w:val="20"/>
          <w:szCs w:val="20"/>
        </w:rPr>
        <w:t>africana</w:t>
      </w:r>
      <w:proofErr w:type="spellEnd"/>
      <w:r w:rsidRPr="006D615E">
        <w:rPr>
          <w:rFonts w:ascii="Arial" w:hAnsi="Arial" w:cs="Arial"/>
          <w:sz w:val="20"/>
          <w:szCs w:val="20"/>
        </w:rPr>
        <w:t xml:space="preserve"> (</w:t>
      </w:r>
      <w:proofErr w:type="spellStart"/>
      <w:r w:rsidRPr="006D615E">
        <w:rPr>
          <w:rFonts w:ascii="Arial" w:hAnsi="Arial" w:cs="Arial"/>
          <w:sz w:val="20"/>
          <w:szCs w:val="20"/>
        </w:rPr>
        <w:t>Akpalata</w:t>
      </w:r>
      <w:proofErr w:type="spellEnd"/>
      <w:r w:rsidRPr="006D615E">
        <w:rPr>
          <w:rFonts w:ascii="Arial" w:hAnsi="Arial" w:cs="Arial"/>
          <w:sz w:val="20"/>
          <w:szCs w:val="20"/>
        </w:rPr>
        <w:t>) seed flour as a soup thickener. Nigerian Journal of Nutritional Sciences, 43(1), 12–19.</w:t>
      </w:r>
    </w:p>
    <w:p w14:paraId="193380EF" w14:textId="77777777" w:rsidR="00283F1D" w:rsidRPr="006D615E" w:rsidRDefault="00283F1D" w:rsidP="00283F1D">
      <w:pPr>
        <w:spacing w:before="80" w:after="80" w:line="280" w:lineRule="auto"/>
        <w:ind w:left="720" w:hanging="720"/>
        <w:jc w:val="both"/>
        <w:rPr>
          <w:rFonts w:ascii="Arial" w:hAnsi="Arial" w:cs="Arial"/>
          <w:sz w:val="20"/>
          <w:szCs w:val="20"/>
        </w:rPr>
      </w:pPr>
      <w:r w:rsidRPr="006D615E">
        <w:rPr>
          <w:rFonts w:ascii="Arial" w:hAnsi="Arial" w:cs="Arial"/>
          <w:sz w:val="20"/>
          <w:szCs w:val="20"/>
        </w:rPr>
        <w:t>Pearson, D. (1976). The Chemical Analysis of Foods (7th ed.). Churchill Livingstone, Edinburgh, UK.</w:t>
      </w:r>
    </w:p>
    <w:p w14:paraId="67E621AB" w14:textId="77777777" w:rsidR="00283F1D" w:rsidRPr="006D615E" w:rsidRDefault="00283F1D" w:rsidP="00283F1D">
      <w:pPr>
        <w:spacing w:before="100" w:after="100" w:line="320" w:lineRule="auto"/>
        <w:ind w:left="720" w:hanging="720"/>
        <w:jc w:val="both"/>
        <w:rPr>
          <w:rFonts w:ascii="Arial" w:hAnsi="Arial" w:cs="Arial"/>
          <w:sz w:val="20"/>
          <w:szCs w:val="20"/>
        </w:rPr>
      </w:pPr>
      <w:r w:rsidRPr="006D615E">
        <w:rPr>
          <w:rFonts w:ascii="Arial" w:hAnsi="Arial" w:cs="Arial"/>
          <w:sz w:val="20"/>
          <w:szCs w:val="20"/>
        </w:rPr>
        <w:t>Popoola, J.O., et al. (2023). The place of neglected and underutilized legumes in human nutrition and protein security in Nigeria. Frontiers in Plant Science, 14, 1105364. https://doi.org/10.3389/fpls.2023.1105364</w:t>
      </w:r>
    </w:p>
    <w:p w14:paraId="02A69CF4" w14:textId="77777777" w:rsidR="00283F1D" w:rsidRPr="006D615E" w:rsidRDefault="00283F1D" w:rsidP="00283F1D">
      <w:pPr>
        <w:spacing w:before="100" w:after="100" w:line="320" w:lineRule="auto"/>
        <w:ind w:left="720" w:hanging="720"/>
        <w:jc w:val="both"/>
        <w:rPr>
          <w:rFonts w:ascii="Arial" w:hAnsi="Arial" w:cs="Arial"/>
          <w:sz w:val="20"/>
          <w:szCs w:val="20"/>
        </w:rPr>
      </w:pPr>
      <w:r w:rsidRPr="006D615E">
        <w:rPr>
          <w:rFonts w:ascii="Arial" w:hAnsi="Arial" w:cs="Arial"/>
          <w:sz w:val="20"/>
          <w:szCs w:val="20"/>
        </w:rPr>
        <w:t>Ranasinghe, R., et al. (2025). Fiber and polyphenol enriched biscuits using date palm byproduct: Physicochemical characteristics, sensory properties, in vitro digestion, and storage stability. Journal of Food Science, 90, e17667. https://doi.org/10.1111/1750-3841.17667</w:t>
      </w:r>
    </w:p>
    <w:p w14:paraId="4CDFEB78" w14:textId="77777777" w:rsidR="00283F1D" w:rsidRPr="006D615E" w:rsidRDefault="00283F1D" w:rsidP="00283F1D">
      <w:pPr>
        <w:spacing w:before="100" w:after="100" w:line="320" w:lineRule="auto"/>
        <w:ind w:left="720" w:hanging="720"/>
        <w:jc w:val="both"/>
        <w:rPr>
          <w:rFonts w:ascii="Arial" w:hAnsi="Arial" w:cs="Arial"/>
          <w:sz w:val="20"/>
          <w:szCs w:val="20"/>
        </w:rPr>
      </w:pPr>
      <w:proofErr w:type="spellStart"/>
      <w:r w:rsidRPr="006D615E">
        <w:rPr>
          <w:rFonts w:ascii="Arial" w:hAnsi="Arial" w:cs="Arial"/>
          <w:sz w:val="20"/>
          <w:szCs w:val="20"/>
        </w:rPr>
        <w:t>Rashidinejad</w:t>
      </w:r>
      <w:proofErr w:type="spellEnd"/>
      <w:r w:rsidRPr="006D615E">
        <w:rPr>
          <w:rFonts w:ascii="Arial" w:hAnsi="Arial" w:cs="Arial"/>
          <w:sz w:val="20"/>
          <w:szCs w:val="20"/>
        </w:rPr>
        <w:t xml:space="preserve">, A., et al. (2024). The road ahead for functional foods: Promising opportunities amidst industry challenges. Future Postharvest and Food, 2(1), e12022. </w:t>
      </w:r>
      <w:hyperlink r:id="rId9" w:history="1">
        <w:r w:rsidRPr="006D615E">
          <w:rPr>
            <w:rStyle w:val="Hyperlink"/>
            <w:rFonts w:ascii="Arial" w:hAnsi="Arial" w:cs="Arial"/>
            <w:sz w:val="20"/>
            <w:szCs w:val="20"/>
          </w:rPr>
          <w:t>https://doi.org/10.1002/fpf2.12022</w:t>
        </w:r>
      </w:hyperlink>
    </w:p>
    <w:p w14:paraId="45594897" w14:textId="77777777" w:rsidR="00283F1D" w:rsidRPr="006D615E" w:rsidRDefault="00283F1D" w:rsidP="00283F1D">
      <w:pPr>
        <w:spacing w:before="80" w:after="80" w:line="280" w:lineRule="auto"/>
        <w:ind w:left="720" w:hanging="720"/>
        <w:jc w:val="both"/>
        <w:rPr>
          <w:rFonts w:ascii="Arial" w:hAnsi="Arial" w:cs="Arial"/>
          <w:sz w:val="20"/>
          <w:szCs w:val="20"/>
        </w:rPr>
      </w:pPr>
      <w:r w:rsidRPr="006D615E">
        <w:rPr>
          <w:rFonts w:ascii="Arial" w:hAnsi="Arial" w:cs="Arial"/>
          <w:sz w:val="20"/>
          <w:szCs w:val="20"/>
        </w:rPr>
        <w:t xml:space="preserve">Singleton, V.L., Orthofer, R., and </w:t>
      </w:r>
      <w:proofErr w:type="spellStart"/>
      <w:r w:rsidRPr="006D615E">
        <w:rPr>
          <w:rFonts w:ascii="Arial" w:hAnsi="Arial" w:cs="Arial"/>
          <w:sz w:val="20"/>
          <w:szCs w:val="20"/>
        </w:rPr>
        <w:t>Lamuela-Raventos</w:t>
      </w:r>
      <w:proofErr w:type="spellEnd"/>
      <w:r w:rsidRPr="006D615E">
        <w:rPr>
          <w:rFonts w:ascii="Arial" w:hAnsi="Arial" w:cs="Arial"/>
          <w:sz w:val="20"/>
          <w:szCs w:val="20"/>
        </w:rPr>
        <w:t xml:space="preserve">, R.M. (1999). Analysis of total phenols and other oxidation substrates and antioxidants by means of </w:t>
      </w:r>
      <w:proofErr w:type="spellStart"/>
      <w:r w:rsidRPr="006D615E">
        <w:rPr>
          <w:rFonts w:ascii="Arial" w:hAnsi="Arial" w:cs="Arial"/>
          <w:sz w:val="20"/>
          <w:szCs w:val="20"/>
        </w:rPr>
        <w:t>Folin-Ciocalteu</w:t>
      </w:r>
      <w:proofErr w:type="spellEnd"/>
      <w:r w:rsidRPr="006D615E">
        <w:rPr>
          <w:rFonts w:ascii="Arial" w:hAnsi="Arial" w:cs="Arial"/>
          <w:sz w:val="20"/>
          <w:szCs w:val="20"/>
        </w:rPr>
        <w:t xml:space="preserve"> reagent. Methods in Enzymology, 299, 152-178. https://doi.org/10.1016/S0076-6879(99)99017-1</w:t>
      </w:r>
    </w:p>
    <w:p w14:paraId="0D42AC37" w14:textId="77777777" w:rsidR="00283F1D" w:rsidRPr="006D615E" w:rsidRDefault="00283F1D" w:rsidP="00283F1D">
      <w:pPr>
        <w:spacing w:before="100" w:after="100" w:line="320" w:lineRule="auto"/>
        <w:ind w:left="720" w:hanging="720"/>
        <w:jc w:val="both"/>
        <w:rPr>
          <w:rFonts w:ascii="Arial" w:hAnsi="Arial" w:cs="Arial"/>
          <w:sz w:val="20"/>
          <w:szCs w:val="20"/>
        </w:rPr>
      </w:pPr>
      <w:r w:rsidRPr="006D615E">
        <w:rPr>
          <w:rFonts w:ascii="Arial" w:hAnsi="Arial" w:cs="Arial"/>
          <w:sz w:val="20"/>
          <w:szCs w:val="20"/>
        </w:rPr>
        <w:t>WHO/FAO (2022). The State of Food Security and Nutrition in the World 2022. Food and Agriculture Organization of the United Nations, Rome.</w:t>
      </w:r>
    </w:p>
    <w:p w14:paraId="51D567E9" w14:textId="77777777" w:rsidR="00283F1D" w:rsidRPr="006D615E" w:rsidRDefault="00283F1D" w:rsidP="00283F1D">
      <w:pPr>
        <w:spacing w:before="100" w:after="100" w:line="320" w:lineRule="auto"/>
        <w:ind w:left="720" w:hanging="720"/>
        <w:jc w:val="both"/>
        <w:rPr>
          <w:rFonts w:ascii="Arial" w:hAnsi="Arial" w:cs="Arial"/>
          <w:sz w:val="20"/>
          <w:szCs w:val="20"/>
        </w:rPr>
      </w:pPr>
      <w:proofErr w:type="spellStart"/>
      <w:r w:rsidRPr="006D615E">
        <w:rPr>
          <w:rFonts w:ascii="Arial" w:hAnsi="Arial" w:cs="Arial"/>
          <w:sz w:val="20"/>
          <w:szCs w:val="20"/>
        </w:rPr>
        <w:t>Wetters</w:t>
      </w:r>
      <w:proofErr w:type="spellEnd"/>
      <w:r w:rsidRPr="006D615E">
        <w:rPr>
          <w:rFonts w:ascii="Arial" w:hAnsi="Arial" w:cs="Arial"/>
          <w:sz w:val="20"/>
          <w:szCs w:val="20"/>
        </w:rPr>
        <w:t xml:space="preserve">, S., </w:t>
      </w:r>
      <w:proofErr w:type="spellStart"/>
      <w:r w:rsidRPr="006D615E">
        <w:rPr>
          <w:rFonts w:ascii="Arial" w:hAnsi="Arial" w:cs="Arial"/>
          <w:sz w:val="20"/>
          <w:szCs w:val="20"/>
        </w:rPr>
        <w:t>Häser</w:t>
      </w:r>
      <w:proofErr w:type="spellEnd"/>
      <w:r w:rsidRPr="006D615E">
        <w:rPr>
          <w:rFonts w:ascii="Arial" w:hAnsi="Arial" w:cs="Arial"/>
          <w:sz w:val="20"/>
          <w:szCs w:val="20"/>
        </w:rPr>
        <w:t>, A., Ehrlich, T., et al. (2024). Tracing tiger nut (C. esculentus L.): Functional food from the colossal Cyperus genus. European Food Research and Technology, 250, 225–238. https://doi.org/10.1007/s00217-023-04382-y</w:t>
      </w:r>
    </w:p>
    <w:p w14:paraId="03003CC0" w14:textId="77777777" w:rsidR="00283F1D" w:rsidRPr="006D615E" w:rsidRDefault="00283F1D" w:rsidP="00283F1D">
      <w:pPr>
        <w:spacing w:before="100" w:after="100" w:line="320" w:lineRule="auto"/>
        <w:ind w:left="720" w:hanging="720"/>
        <w:jc w:val="both"/>
        <w:rPr>
          <w:rFonts w:ascii="Arial" w:hAnsi="Arial" w:cs="Arial"/>
          <w:sz w:val="20"/>
          <w:szCs w:val="20"/>
        </w:rPr>
      </w:pPr>
      <w:r w:rsidRPr="006D615E">
        <w:rPr>
          <w:rFonts w:ascii="Arial" w:hAnsi="Arial" w:cs="Arial"/>
          <w:sz w:val="20"/>
          <w:szCs w:val="20"/>
        </w:rPr>
        <w:t>Wu, Y., Mao, Q., Zhao, G., and Ye, F. (2024). Tiger nut (Cyperus esculentus) starch: Extraction, composition, structure, properties, modification and uses. Sustainable Food Technology, 2, 635–660. https://doi.org/10.1039/D3FB00246B</w:t>
      </w:r>
    </w:p>
    <w:p w14:paraId="47BC2C04" w14:textId="77777777" w:rsidR="00283F1D" w:rsidRPr="006D615E" w:rsidRDefault="00283F1D" w:rsidP="006521FB">
      <w:pPr>
        <w:spacing w:line="480" w:lineRule="auto"/>
        <w:rPr>
          <w:rFonts w:ascii="Arial" w:hAnsi="Arial" w:cs="Arial"/>
          <w:b/>
          <w:bCs/>
        </w:rPr>
      </w:pPr>
    </w:p>
    <w:p w14:paraId="0CFC7910" w14:textId="77777777" w:rsidR="005B3955" w:rsidRPr="006D615E" w:rsidRDefault="005B3955" w:rsidP="006521FB">
      <w:pPr>
        <w:spacing w:before="100" w:after="100" w:line="480" w:lineRule="auto"/>
        <w:ind w:left="720" w:hanging="720"/>
        <w:jc w:val="both"/>
        <w:rPr>
          <w:rFonts w:ascii="Arial" w:hAnsi="Arial" w:cs="Arial"/>
          <w:sz w:val="20"/>
          <w:szCs w:val="20"/>
        </w:rPr>
      </w:pPr>
    </w:p>
    <w:p w14:paraId="32ACE680" w14:textId="77777777" w:rsidR="004C2496" w:rsidRPr="006D615E" w:rsidRDefault="004C2496" w:rsidP="006521FB">
      <w:pPr>
        <w:spacing w:line="480" w:lineRule="auto"/>
        <w:rPr>
          <w:rFonts w:ascii="Arial" w:hAnsi="Arial" w:cs="Arial"/>
          <w:sz w:val="20"/>
          <w:szCs w:val="20"/>
        </w:rPr>
      </w:pPr>
    </w:p>
    <w:sectPr w:rsidR="004C2496" w:rsidRPr="006D61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072AE" w14:textId="77777777" w:rsidR="00FD10B3" w:rsidRDefault="00FD10B3" w:rsidP="00114E0F">
      <w:r>
        <w:separator/>
      </w:r>
    </w:p>
  </w:endnote>
  <w:endnote w:type="continuationSeparator" w:id="0">
    <w:p w14:paraId="516D36D1" w14:textId="77777777" w:rsidR="00FD10B3" w:rsidRDefault="00FD10B3" w:rsidP="0011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EDBD1" w14:textId="77777777" w:rsidR="00114E0F" w:rsidRDefault="00114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F5AF" w14:textId="77777777" w:rsidR="00114E0F" w:rsidRDefault="00114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3BE30" w14:textId="77777777" w:rsidR="00114E0F" w:rsidRDefault="00114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A1238" w14:textId="77777777" w:rsidR="00FD10B3" w:rsidRDefault="00FD10B3" w:rsidP="00114E0F">
      <w:r>
        <w:separator/>
      </w:r>
    </w:p>
  </w:footnote>
  <w:footnote w:type="continuationSeparator" w:id="0">
    <w:p w14:paraId="6A0AA0BC" w14:textId="77777777" w:rsidR="00FD10B3" w:rsidRDefault="00FD10B3" w:rsidP="0011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C1D4" w14:textId="2713CC19" w:rsidR="00114E0F" w:rsidRDefault="00114E0F">
    <w:pPr>
      <w:pStyle w:val="Header"/>
    </w:pPr>
    <w:r>
      <w:rPr>
        <w:noProof/>
      </w:rPr>
      <w:pict w14:anchorId="1A361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82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07F9C" w14:textId="18F119FE" w:rsidR="00114E0F" w:rsidRDefault="00114E0F">
    <w:pPr>
      <w:pStyle w:val="Header"/>
    </w:pPr>
    <w:r>
      <w:rPr>
        <w:noProof/>
      </w:rPr>
      <w:pict w14:anchorId="6DD4D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82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0193" w14:textId="44334BB0" w:rsidR="00114E0F" w:rsidRDefault="00114E0F">
    <w:pPr>
      <w:pStyle w:val="Header"/>
    </w:pPr>
    <w:r>
      <w:rPr>
        <w:noProof/>
      </w:rPr>
      <w:pict w14:anchorId="35060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82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3C"/>
    <w:rsid w:val="000A2FB9"/>
    <w:rsid w:val="00114E0F"/>
    <w:rsid w:val="0013305A"/>
    <w:rsid w:val="00141700"/>
    <w:rsid w:val="001E6CB6"/>
    <w:rsid w:val="00204CAC"/>
    <w:rsid w:val="00222D19"/>
    <w:rsid w:val="0023199E"/>
    <w:rsid w:val="00273AE6"/>
    <w:rsid w:val="00283F1D"/>
    <w:rsid w:val="00292FFB"/>
    <w:rsid w:val="0032213E"/>
    <w:rsid w:val="003F0BED"/>
    <w:rsid w:val="003F7518"/>
    <w:rsid w:val="004316AC"/>
    <w:rsid w:val="004B206F"/>
    <w:rsid w:val="004C2496"/>
    <w:rsid w:val="004E093C"/>
    <w:rsid w:val="005A6477"/>
    <w:rsid w:val="005B3955"/>
    <w:rsid w:val="005C2CC6"/>
    <w:rsid w:val="006521FB"/>
    <w:rsid w:val="006D615E"/>
    <w:rsid w:val="006F1FA2"/>
    <w:rsid w:val="006F7CF4"/>
    <w:rsid w:val="00765028"/>
    <w:rsid w:val="008459AD"/>
    <w:rsid w:val="008E517C"/>
    <w:rsid w:val="00940828"/>
    <w:rsid w:val="009A78B7"/>
    <w:rsid w:val="009E1F61"/>
    <w:rsid w:val="00A72928"/>
    <w:rsid w:val="00AA0C5E"/>
    <w:rsid w:val="00B17B8B"/>
    <w:rsid w:val="00C76DB8"/>
    <w:rsid w:val="00D425C6"/>
    <w:rsid w:val="00D50F44"/>
    <w:rsid w:val="00DD3768"/>
    <w:rsid w:val="00DE028E"/>
    <w:rsid w:val="00E10434"/>
    <w:rsid w:val="00E43F80"/>
    <w:rsid w:val="00E84940"/>
    <w:rsid w:val="00F45582"/>
    <w:rsid w:val="00FD10B3"/>
    <w:rsid w:val="00FD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45F99"/>
  <w15:chartTrackingRefBased/>
  <w15:docId w15:val="{5727F858-E234-4B48-9D54-9B77EE46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F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93C"/>
    <w:rPr>
      <w:color w:val="0000FF"/>
      <w:u w:val="single"/>
    </w:rPr>
  </w:style>
  <w:style w:type="character" w:styleId="UnresolvedMention">
    <w:name w:val="Unresolved Mention"/>
    <w:basedOn w:val="DefaultParagraphFont"/>
    <w:uiPriority w:val="99"/>
    <w:semiHidden/>
    <w:unhideWhenUsed/>
    <w:rsid w:val="004E093C"/>
    <w:rPr>
      <w:color w:val="605E5C"/>
      <w:shd w:val="clear" w:color="auto" w:fill="E1DFDD"/>
    </w:rPr>
  </w:style>
  <w:style w:type="table" w:styleId="TableGrid">
    <w:name w:val="Table Grid"/>
    <w:basedOn w:val="TableNormal"/>
    <w:uiPriority w:val="39"/>
    <w:rsid w:val="005B3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0A2FB9"/>
    <w:pPr>
      <w:keepNext/>
      <w:spacing w:after="240"/>
    </w:pPr>
    <w:rPr>
      <w:rFonts w:ascii="Helvetica" w:hAnsi="Helvetica"/>
      <w:b/>
      <w:caps/>
      <w:sz w:val="22"/>
      <w:szCs w:val="20"/>
    </w:rPr>
  </w:style>
  <w:style w:type="paragraph" w:styleId="ListParagraph">
    <w:name w:val="List Paragraph"/>
    <w:basedOn w:val="Normal"/>
    <w:uiPriority w:val="34"/>
    <w:qFormat/>
    <w:rsid w:val="00222D19"/>
    <w:pPr>
      <w:ind w:left="720"/>
      <w:contextualSpacing/>
    </w:pPr>
  </w:style>
  <w:style w:type="paragraph" w:styleId="Header">
    <w:name w:val="header"/>
    <w:basedOn w:val="Normal"/>
    <w:link w:val="HeaderChar"/>
    <w:uiPriority w:val="99"/>
    <w:unhideWhenUsed/>
    <w:rsid w:val="00114E0F"/>
    <w:pPr>
      <w:tabs>
        <w:tab w:val="center" w:pos="4513"/>
        <w:tab w:val="right" w:pos="9026"/>
      </w:tabs>
    </w:pPr>
  </w:style>
  <w:style w:type="character" w:customStyle="1" w:styleId="HeaderChar">
    <w:name w:val="Header Char"/>
    <w:basedOn w:val="DefaultParagraphFont"/>
    <w:link w:val="Header"/>
    <w:uiPriority w:val="99"/>
    <w:rsid w:val="00114E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4E0F"/>
    <w:pPr>
      <w:tabs>
        <w:tab w:val="center" w:pos="4513"/>
        <w:tab w:val="right" w:pos="9026"/>
      </w:tabs>
    </w:pPr>
  </w:style>
  <w:style w:type="character" w:customStyle="1" w:styleId="FooterChar">
    <w:name w:val="Footer Char"/>
    <w:basedOn w:val="DefaultParagraphFont"/>
    <w:link w:val="Footer"/>
    <w:uiPriority w:val="99"/>
    <w:rsid w:val="00114E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oods13040596"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4314/njns.v32i1.6781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02/fpf2.12022"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Sheet1!$A$1:$D$1</c:f>
              <c:strCache>
                <c:ptCount val="4"/>
                <c:pt idx="0">
                  <c:v>Vitamin C</c:v>
                </c:pt>
                <c:pt idx="1">
                  <c:v>Control</c:v>
                </c:pt>
                <c:pt idx="2">
                  <c:v>A</c:v>
                </c:pt>
                <c:pt idx="3">
                  <c:v>B</c:v>
                </c:pt>
              </c:strCache>
            </c:strRef>
          </c:cat>
          <c:val>
            <c:numRef>
              <c:f>Sheet1!$A$2:$D$2</c:f>
              <c:numCache>
                <c:formatCode>General</c:formatCode>
                <c:ptCount val="4"/>
                <c:pt idx="0">
                  <c:v>6.0570000000000004</c:v>
                </c:pt>
                <c:pt idx="1">
                  <c:v>1370</c:v>
                </c:pt>
                <c:pt idx="2">
                  <c:v>1262</c:v>
                </c:pt>
                <c:pt idx="3">
                  <c:v>1094</c:v>
                </c:pt>
              </c:numCache>
            </c:numRef>
          </c:val>
          <c:extLst>
            <c:ext xmlns:c16="http://schemas.microsoft.com/office/drawing/2014/chart" uri="{C3380CC4-5D6E-409C-BE32-E72D297353CC}">
              <c16:uniqueId val="{00000000-F193-4CD0-BD12-62F506BB2530}"/>
            </c:ext>
          </c:extLst>
        </c:ser>
        <c:dLbls>
          <c:showLegendKey val="0"/>
          <c:showVal val="0"/>
          <c:showCatName val="0"/>
          <c:showSerName val="0"/>
          <c:showPercent val="0"/>
          <c:showBubbleSize val="0"/>
        </c:dLbls>
        <c:gapWidth val="219"/>
        <c:overlap val="-27"/>
        <c:axId val="300969408"/>
        <c:axId val="354822592"/>
      </c:barChart>
      <c:catAx>
        <c:axId val="30096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822592"/>
        <c:crosses val="autoZero"/>
        <c:auto val="1"/>
        <c:lblAlgn val="ctr"/>
        <c:lblOffset val="100"/>
        <c:noMultiLvlLbl val="0"/>
      </c:catAx>
      <c:valAx>
        <c:axId val="354822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DPPH</a:t>
                </a:r>
                <a:r>
                  <a:rPr lang="en-US" baseline="0"/>
                  <a:t> Radical Scavenging ability (IC50)</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969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6825</Words>
  <Characters>38903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SDI 1166</cp:lastModifiedBy>
  <cp:revision>7</cp:revision>
  <dcterms:created xsi:type="dcterms:W3CDTF">2026-04-06T22:01:00Z</dcterms:created>
  <dcterms:modified xsi:type="dcterms:W3CDTF">2026-04-08T07:54:00Z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3fffae2d-3480-4726-82a5-882545e21c43</vt:lpwstr>
  </property>
</Properties>
</file>