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6295E" w14:textId="77777777" w:rsidR="00F13A94" w:rsidRDefault="00F13A94" w:rsidP="009464BB">
      <w:pPr>
        <w:jc w:val="center"/>
        <w:rPr>
          <w:rFonts w:asciiTheme="majorBidi" w:hAnsiTheme="majorBidi" w:cstheme="majorBidi"/>
          <w:b/>
          <w:bCs/>
          <w:sz w:val="28"/>
          <w:szCs w:val="28"/>
          <w:rtl/>
        </w:rPr>
      </w:pPr>
      <w:r w:rsidRPr="00F13A94">
        <w:rPr>
          <w:rFonts w:asciiTheme="majorBidi" w:hAnsiTheme="majorBidi" w:cstheme="majorBidi"/>
          <w:b/>
          <w:bCs/>
          <w:sz w:val="28"/>
          <w:szCs w:val="28"/>
        </w:rPr>
        <w:t xml:space="preserve">The biological effect of β-1,3-Glucanase enzyme isolated from the yeast </w:t>
      </w:r>
      <w:r w:rsidRPr="00F13A94">
        <w:rPr>
          <w:rFonts w:asciiTheme="majorBidi" w:hAnsiTheme="majorBidi" w:cstheme="majorBidi"/>
          <w:b/>
          <w:bCs/>
          <w:i/>
          <w:iCs/>
          <w:sz w:val="28"/>
          <w:szCs w:val="28"/>
        </w:rPr>
        <w:t>Pichia</w:t>
      </w:r>
      <w:r w:rsidRPr="00F13A94">
        <w:rPr>
          <w:rFonts w:asciiTheme="majorBidi" w:hAnsiTheme="majorBidi" w:cstheme="majorBidi"/>
          <w:b/>
          <w:bCs/>
          <w:sz w:val="28"/>
          <w:szCs w:val="28"/>
        </w:rPr>
        <w:t xml:space="preserve"> </w:t>
      </w:r>
      <w:proofErr w:type="spellStart"/>
      <w:r w:rsidRPr="00F13A94">
        <w:rPr>
          <w:rFonts w:asciiTheme="majorBidi" w:hAnsiTheme="majorBidi" w:cstheme="majorBidi"/>
          <w:b/>
          <w:bCs/>
          <w:i/>
          <w:iCs/>
          <w:sz w:val="28"/>
          <w:szCs w:val="28"/>
        </w:rPr>
        <w:t>fermentans</w:t>
      </w:r>
      <w:proofErr w:type="spellEnd"/>
      <w:r w:rsidRPr="00F13A94">
        <w:rPr>
          <w:rFonts w:asciiTheme="majorBidi" w:hAnsiTheme="majorBidi" w:cstheme="majorBidi"/>
          <w:b/>
          <w:bCs/>
          <w:sz w:val="28"/>
          <w:szCs w:val="28"/>
        </w:rPr>
        <w:t xml:space="preserve"> on the germination and growth of Nigella sativa seedlings</w:t>
      </w:r>
    </w:p>
    <w:p w14:paraId="7E18113B" w14:textId="1A243D76" w:rsidR="00F13A94" w:rsidRDefault="00F13A94" w:rsidP="00EB4DC9">
      <w:pPr>
        <w:jc w:val="both"/>
        <w:rPr>
          <w:rFonts w:asciiTheme="majorBidi" w:hAnsiTheme="majorBidi" w:cstheme="majorBidi"/>
          <w:b/>
          <w:bCs/>
          <w:sz w:val="28"/>
          <w:szCs w:val="28"/>
        </w:rPr>
      </w:pPr>
    </w:p>
    <w:p w14:paraId="7B569155" w14:textId="77777777" w:rsidR="00230E2F" w:rsidRDefault="00230E2F" w:rsidP="00EB4DC9">
      <w:pPr>
        <w:jc w:val="both"/>
        <w:rPr>
          <w:rFonts w:asciiTheme="majorBidi" w:hAnsiTheme="majorBidi" w:cstheme="majorBidi"/>
          <w:b/>
          <w:bCs/>
          <w:sz w:val="28"/>
          <w:szCs w:val="28"/>
          <w:rtl/>
        </w:rPr>
      </w:pPr>
    </w:p>
    <w:p w14:paraId="7C5A0A07" w14:textId="77777777" w:rsidR="00F750B9" w:rsidRPr="00F750B9" w:rsidRDefault="00F750B9" w:rsidP="00EB4DC9">
      <w:pPr>
        <w:jc w:val="both"/>
        <w:rPr>
          <w:rFonts w:asciiTheme="majorBidi" w:hAnsiTheme="majorBidi" w:cstheme="majorBidi"/>
          <w:b/>
          <w:bCs/>
          <w:sz w:val="28"/>
          <w:szCs w:val="28"/>
        </w:rPr>
      </w:pPr>
      <w:r w:rsidRPr="00F750B9">
        <w:rPr>
          <w:rFonts w:asciiTheme="majorBidi" w:hAnsiTheme="majorBidi" w:cstheme="majorBidi"/>
          <w:b/>
          <w:bCs/>
          <w:sz w:val="28"/>
          <w:szCs w:val="28"/>
        </w:rPr>
        <w:t>Abstract</w:t>
      </w:r>
      <w:bookmarkStart w:id="0" w:name="_GoBack"/>
      <w:bookmarkEnd w:id="0"/>
    </w:p>
    <w:p w14:paraId="253FA9A7" w14:textId="77777777" w:rsidR="00F750B9" w:rsidRDefault="00F750B9" w:rsidP="00EB4DC9">
      <w:pPr>
        <w:jc w:val="both"/>
        <w:rPr>
          <w:rFonts w:asciiTheme="majorBidi" w:hAnsiTheme="majorBidi" w:cstheme="majorBidi"/>
          <w:sz w:val="24"/>
          <w:szCs w:val="24"/>
        </w:rPr>
      </w:pPr>
      <w:r w:rsidRPr="00F750B9">
        <w:rPr>
          <w:rFonts w:asciiTheme="majorBidi" w:hAnsiTheme="majorBidi" w:cstheme="majorBidi"/>
          <w:sz w:val="24"/>
          <w:szCs w:val="24"/>
        </w:rPr>
        <w:t>The study results showed that moderate concentrations of beta-1,3-glucanase enzyme significantly affected the growth of black cumin seedlings in terms of germination percentage, germination rate, and plant height, and enhanced root system development compared to the control group. The enzyme was also observed to contribute to the activation of plant defenses and increase the accumulation of secondary compounds such as thymoquinone, indicating its role in improving plant health and enhancing its biochemical properties. This suggests the enzyme's potential as a growth promoter in agriculture and plant breeding. Moderate concentrations of the enzyme stimulate plant defense pathways and activate genes involved in the biosynthesis of secondary compounds, thus increasing thymoquinone accumulation. Conversely, high and low concentrations of the enzyme showed an inhibitory effect on compound accumulation. This is attributed to excessive cell wall degradation and impaired cell integrity, which reduces the ability to mount a defense response and activate biosynthetic pathways. Consequently, the genes responsible for producing secondary compounds were not activated.</w:t>
      </w:r>
    </w:p>
    <w:p w14:paraId="165C2FEE" w14:textId="77777777" w:rsidR="00EB4DC9" w:rsidRPr="00EB4DC9" w:rsidRDefault="00EB4DC9" w:rsidP="00EB4DC9">
      <w:pPr>
        <w:jc w:val="both"/>
        <w:rPr>
          <w:rFonts w:asciiTheme="majorBidi" w:hAnsiTheme="majorBidi" w:cstheme="majorBidi"/>
          <w:bCs/>
          <w:sz w:val="24"/>
          <w:szCs w:val="24"/>
          <w:rtl/>
          <w:lang w:bidi="ar-IQ"/>
        </w:rPr>
      </w:pPr>
      <w:r w:rsidRPr="00EB4DC9">
        <w:rPr>
          <w:rFonts w:asciiTheme="majorBidi" w:hAnsiTheme="majorBidi" w:cstheme="majorBidi"/>
          <w:b/>
          <w:sz w:val="24"/>
          <w:szCs w:val="24"/>
        </w:rPr>
        <w:t>Keywords:</w:t>
      </w:r>
      <w:r>
        <w:rPr>
          <w:rFonts w:asciiTheme="majorBidi" w:hAnsiTheme="majorBidi" w:cstheme="majorBidi"/>
          <w:b/>
          <w:sz w:val="24"/>
          <w:szCs w:val="24"/>
        </w:rPr>
        <w:t xml:space="preserve"> </w:t>
      </w:r>
      <w:r w:rsidRPr="00EB4DC9">
        <w:rPr>
          <w:rFonts w:asciiTheme="majorBidi" w:hAnsiTheme="majorBidi" w:cstheme="majorBidi"/>
          <w:bCs/>
          <w:sz w:val="24"/>
          <w:szCs w:val="24"/>
        </w:rPr>
        <w:t xml:space="preserve">beta-1,3-glucanase </w:t>
      </w:r>
      <w:proofErr w:type="spellStart"/>
      <w:proofErr w:type="gramStart"/>
      <w:r w:rsidRPr="00EB4DC9">
        <w:rPr>
          <w:rFonts w:asciiTheme="majorBidi" w:hAnsiTheme="majorBidi" w:cstheme="majorBidi"/>
          <w:bCs/>
          <w:sz w:val="24"/>
          <w:szCs w:val="24"/>
        </w:rPr>
        <w:t>enzyme,Thymoquinone</w:t>
      </w:r>
      <w:proofErr w:type="spellEnd"/>
      <w:proofErr w:type="gramEnd"/>
      <w:r w:rsidRPr="00EB4DC9">
        <w:rPr>
          <w:rFonts w:asciiTheme="majorBidi" w:hAnsiTheme="majorBidi" w:cstheme="majorBidi"/>
          <w:bCs/>
          <w:sz w:val="24"/>
          <w:szCs w:val="24"/>
        </w:rPr>
        <w:t xml:space="preserve"> </w:t>
      </w:r>
      <w:proofErr w:type="spellStart"/>
      <w:r w:rsidRPr="00EB4DC9">
        <w:rPr>
          <w:rFonts w:asciiTheme="majorBidi" w:hAnsiTheme="majorBidi" w:cstheme="majorBidi"/>
          <w:bCs/>
          <w:sz w:val="24"/>
          <w:szCs w:val="24"/>
        </w:rPr>
        <w:t>accumulation,</w:t>
      </w:r>
      <w:r w:rsidRPr="00EB4DC9">
        <w:rPr>
          <w:rFonts w:asciiTheme="majorBidi" w:hAnsiTheme="majorBidi" w:cstheme="majorBidi"/>
          <w:bCs/>
          <w:sz w:val="24"/>
          <w:szCs w:val="24"/>
          <w:lang w:bidi="ar-IQ"/>
        </w:rPr>
        <w:t>Nigella</w:t>
      </w:r>
      <w:proofErr w:type="spellEnd"/>
      <w:r w:rsidRPr="00EB4DC9">
        <w:rPr>
          <w:rFonts w:asciiTheme="majorBidi" w:hAnsiTheme="majorBidi" w:cstheme="majorBidi"/>
          <w:bCs/>
          <w:sz w:val="24"/>
          <w:szCs w:val="24"/>
          <w:lang w:bidi="ar-IQ"/>
        </w:rPr>
        <w:t xml:space="preserve"> sativa </w:t>
      </w:r>
    </w:p>
    <w:p w14:paraId="69A78324" w14:textId="2CD61A6D" w:rsidR="00EB4DC9" w:rsidRDefault="00F750B9" w:rsidP="00EB4DC9">
      <w:pPr>
        <w:jc w:val="both"/>
        <w:rPr>
          <w:rFonts w:asciiTheme="majorBidi" w:hAnsiTheme="majorBidi" w:cstheme="majorBidi"/>
          <w:b/>
          <w:bCs/>
          <w:sz w:val="28"/>
          <w:szCs w:val="28"/>
          <w:rtl/>
          <w:lang w:bidi="ar-IQ"/>
        </w:rPr>
      </w:pPr>
      <w:r w:rsidRPr="00F750B9">
        <w:rPr>
          <w:rFonts w:asciiTheme="majorBidi" w:hAnsiTheme="majorBidi" w:cstheme="majorBidi"/>
          <w:b/>
          <w:bCs/>
          <w:sz w:val="28"/>
          <w:szCs w:val="28"/>
        </w:rPr>
        <w:t>Introduction</w:t>
      </w:r>
    </w:p>
    <w:p w14:paraId="5A5EF96F" w14:textId="77777777" w:rsidR="00F750B9" w:rsidRPr="00EB4DC9" w:rsidRDefault="00F750B9" w:rsidP="00EB4DC9">
      <w:pPr>
        <w:jc w:val="both"/>
        <w:rPr>
          <w:rFonts w:asciiTheme="majorBidi" w:hAnsiTheme="majorBidi" w:cstheme="majorBidi"/>
          <w:b/>
          <w:bCs/>
          <w:sz w:val="28"/>
          <w:szCs w:val="28"/>
        </w:rPr>
      </w:pPr>
      <w:r w:rsidRPr="00F750B9">
        <w:rPr>
          <w:rFonts w:asciiTheme="majorBidi" w:hAnsiTheme="majorBidi" w:cstheme="majorBidi"/>
          <w:sz w:val="24"/>
          <w:szCs w:val="24"/>
        </w:rPr>
        <w:t>The black cumin plant (</w:t>
      </w:r>
      <w:r w:rsidRPr="00EB4DC9">
        <w:rPr>
          <w:rFonts w:asciiTheme="majorBidi" w:hAnsiTheme="majorBidi" w:cstheme="majorBidi"/>
          <w:i/>
          <w:iCs/>
          <w:sz w:val="24"/>
          <w:szCs w:val="24"/>
        </w:rPr>
        <w:t>Nigella sativa</w:t>
      </w:r>
      <w:r w:rsidR="00EB4DC9">
        <w:rPr>
          <w:rFonts w:asciiTheme="majorBidi" w:hAnsiTheme="majorBidi" w:cstheme="majorBidi"/>
          <w:sz w:val="24"/>
          <w:szCs w:val="24"/>
        </w:rPr>
        <w:t xml:space="preserve"> </w:t>
      </w:r>
      <w:proofErr w:type="gramStart"/>
      <w:r w:rsidR="00EB4DC9">
        <w:rPr>
          <w:rFonts w:asciiTheme="majorBidi" w:hAnsiTheme="majorBidi" w:cstheme="majorBidi"/>
          <w:sz w:val="24"/>
          <w:szCs w:val="24"/>
        </w:rPr>
        <w:t>L.</w:t>
      </w:r>
      <w:r w:rsidR="00EB4DC9">
        <w:rPr>
          <w:rFonts w:asciiTheme="majorBidi" w:hAnsiTheme="majorBidi" w:cstheme="majorBidi" w:hint="cs"/>
          <w:sz w:val="24"/>
          <w:szCs w:val="24"/>
          <w:rtl/>
        </w:rPr>
        <w:t xml:space="preserve"> </w:t>
      </w:r>
      <w:r w:rsidRPr="00F750B9">
        <w:rPr>
          <w:rFonts w:asciiTheme="majorBidi" w:hAnsiTheme="majorBidi" w:cstheme="majorBidi"/>
          <w:sz w:val="24"/>
          <w:szCs w:val="24"/>
        </w:rPr>
        <w:t>)</w:t>
      </w:r>
      <w:proofErr w:type="gramEnd"/>
      <w:r w:rsidRPr="00F750B9">
        <w:rPr>
          <w:rFonts w:asciiTheme="majorBidi" w:hAnsiTheme="majorBidi" w:cstheme="majorBidi"/>
          <w:sz w:val="24"/>
          <w:szCs w:val="24"/>
        </w:rPr>
        <w:t xml:space="preserve"> is considered a plant of medicinal and economic importance, as it produces important secondary compounds such as thymoquinone, known for its antioxidant, antimicrobial, and anticancer properties (Isah, 2019). These compounds play a key role in protecting the plant from environmental stress and enhancing its medicinal value. Seedling growth depends on cell wall flexibility and the cells' ability to elongate and divide. Cell wall enzymes, such as beta-1,3-glucanase, play a pivotal role in modifying cell wall components, thus facilitating cell elongation and division and regulating cell growth (Taiz </w:t>
      </w:r>
      <w:r w:rsidRPr="00212286">
        <w:rPr>
          <w:rFonts w:asciiTheme="majorBidi" w:hAnsiTheme="majorBidi" w:cstheme="majorBidi"/>
          <w:i/>
          <w:iCs/>
          <w:sz w:val="24"/>
          <w:szCs w:val="24"/>
        </w:rPr>
        <w:t>et al</w:t>
      </w:r>
      <w:r w:rsidRPr="00F750B9">
        <w:rPr>
          <w:rFonts w:asciiTheme="majorBidi" w:hAnsiTheme="majorBidi" w:cstheme="majorBidi"/>
          <w:sz w:val="24"/>
          <w:szCs w:val="24"/>
        </w:rPr>
        <w:t xml:space="preserve">., 2015). Beta-1-3 </w:t>
      </w:r>
      <w:proofErr w:type="spellStart"/>
      <w:r w:rsidRPr="00F750B9">
        <w:rPr>
          <w:rFonts w:asciiTheme="majorBidi" w:hAnsiTheme="majorBidi" w:cstheme="majorBidi"/>
          <w:sz w:val="24"/>
          <w:szCs w:val="24"/>
        </w:rPr>
        <w:t>glucanase</w:t>
      </w:r>
      <w:proofErr w:type="spellEnd"/>
      <w:r w:rsidRPr="00F750B9">
        <w:rPr>
          <w:rFonts w:asciiTheme="majorBidi" w:hAnsiTheme="majorBidi" w:cstheme="majorBidi"/>
          <w:sz w:val="24"/>
          <w:szCs w:val="24"/>
        </w:rPr>
        <w:t xml:space="preserve"> is an important enzyme that breaks down beta-glucan bonds in the cell wall (Hamann, 2012). In addition, the enzyme can act as an internal stimulator to activate plant defense pathways, which increases the accumulation of secondary compounds such as thymoquinone. The current study aims to investigate the effect of beta-1-3 </w:t>
      </w:r>
      <w:proofErr w:type="spellStart"/>
      <w:r w:rsidRPr="00F750B9">
        <w:rPr>
          <w:rFonts w:asciiTheme="majorBidi" w:hAnsiTheme="majorBidi" w:cstheme="majorBidi"/>
          <w:sz w:val="24"/>
          <w:szCs w:val="24"/>
        </w:rPr>
        <w:t>glucanase</w:t>
      </w:r>
      <w:proofErr w:type="spellEnd"/>
      <w:r w:rsidRPr="00F750B9">
        <w:rPr>
          <w:rFonts w:asciiTheme="majorBidi" w:hAnsiTheme="majorBidi" w:cstheme="majorBidi"/>
          <w:sz w:val="24"/>
          <w:szCs w:val="24"/>
        </w:rPr>
        <w:t xml:space="preserve"> on germination percentage and vegetative growth indicators of black cumin seedlings, in addition to its role in promoting the accumulation of secondary compounds such as thymoquinone.</w:t>
      </w:r>
    </w:p>
    <w:p w14:paraId="0893ECBF" w14:textId="77777777" w:rsidR="00F750B9" w:rsidRDefault="00F750B9" w:rsidP="00EB4DC9">
      <w:pPr>
        <w:jc w:val="both"/>
        <w:rPr>
          <w:rFonts w:asciiTheme="majorBidi" w:hAnsiTheme="majorBidi" w:cstheme="majorBidi"/>
          <w:sz w:val="24"/>
          <w:szCs w:val="24"/>
        </w:rPr>
      </w:pPr>
    </w:p>
    <w:p w14:paraId="2DEE1190" w14:textId="77777777" w:rsidR="00F750B9" w:rsidRPr="00F750B9" w:rsidRDefault="00F750B9" w:rsidP="00EB4DC9">
      <w:pPr>
        <w:jc w:val="both"/>
        <w:rPr>
          <w:rFonts w:asciiTheme="majorBidi" w:hAnsiTheme="majorBidi" w:cstheme="majorBidi"/>
          <w:b/>
          <w:bCs/>
          <w:sz w:val="28"/>
          <w:szCs w:val="28"/>
        </w:rPr>
      </w:pPr>
      <w:r w:rsidRPr="00F750B9">
        <w:rPr>
          <w:rFonts w:asciiTheme="majorBidi" w:hAnsiTheme="majorBidi" w:cstheme="majorBidi"/>
          <w:b/>
          <w:bCs/>
          <w:sz w:val="28"/>
          <w:szCs w:val="28"/>
        </w:rPr>
        <w:t>Materials and Methods</w:t>
      </w:r>
    </w:p>
    <w:p w14:paraId="2124814E" w14:textId="77777777" w:rsidR="00F750B9" w:rsidRDefault="00F750B9" w:rsidP="00EB4DC9">
      <w:pPr>
        <w:jc w:val="both"/>
        <w:rPr>
          <w:rFonts w:asciiTheme="majorBidi" w:hAnsiTheme="majorBidi" w:cstheme="majorBidi"/>
          <w:sz w:val="24"/>
          <w:szCs w:val="24"/>
        </w:rPr>
      </w:pPr>
      <w:r w:rsidRPr="00F750B9">
        <w:rPr>
          <w:rFonts w:asciiTheme="majorBidi" w:hAnsiTheme="majorBidi" w:cstheme="majorBidi"/>
          <w:sz w:val="24"/>
          <w:szCs w:val="24"/>
        </w:rPr>
        <w:t xml:space="preserve">The plant tissue culture experiments were conducted in the Plant Tissue Culture Laboratory, Department of Life Sciences, College of Science, University of Mosul. Surface sterilization of seeds and production of sterile seedlings were carried out inside a laminar air flow cabinet. The cabinet's floor and walls were wiped with a sterile cotton swab moistened with 70% ethyl alcohol and the cabinet was run for half an hour before the start of the experiment. The culture media, glassware, and all instruments, as well as the distilled water, were sterilized using a sterilizer at 121°C and a pressure of 1.02 kg/cm² for 20 minutes. The exception was the beta-1,3-glucanase enzyme, which was sterilized by filtration using a 0.22 </w:t>
      </w:r>
      <w:proofErr w:type="spellStart"/>
      <w:r w:rsidRPr="00F750B9">
        <w:rPr>
          <w:rFonts w:asciiTheme="majorBidi" w:hAnsiTheme="majorBidi" w:cstheme="majorBidi"/>
          <w:sz w:val="24"/>
          <w:szCs w:val="24"/>
        </w:rPr>
        <w:t>μm</w:t>
      </w:r>
      <w:proofErr w:type="spellEnd"/>
      <w:r w:rsidRPr="00F750B9">
        <w:rPr>
          <w:rFonts w:asciiTheme="majorBidi" w:hAnsiTheme="majorBidi" w:cstheme="majorBidi"/>
          <w:sz w:val="24"/>
          <w:szCs w:val="24"/>
        </w:rPr>
        <w:t xml:space="preserve"> membrane filter and then added to the sterile medium after steam sterilization (</w:t>
      </w:r>
      <w:proofErr w:type="spellStart"/>
      <w:r w:rsidRPr="00F750B9">
        <w:rPr>
          <w:rFonts w:asciiTheme="majorBidi" w:hAnsiTheme="majorBidi" w:cstheme="majorBidi"/>
          <w:sz w:val="24"/>
          <w:szCs w:val="24"/>
        </w:rPr>
        <w:t>Agale</w:t>
      </w:r>
      <w:proofErr w:type="spellEnd"/>
      <w:r w:rsidRPr="00F750B9">
        <w:rPr>
          <w:rFonts w:asciiTheme="majorBidi" w:hAnsiTheme="majorBidi" w:cstheme="majorBidi"/>
          <w:sz w:val="24"/>
          <w:szCs w:val="24"/>
        </w:rPr>
        <w:t xml:space="preserve"> </w:t>
      </w:r>
      <w:r w:rsidRPr="00212286">
        <w:rPr>
          <w:rFonts w:asciiTheme="majorBidi" w:hAnsiTheme="majorBidi" w:cstheme="majorBidi"/>
          <w:i/>
          <w:iCs/>
          <w:sz w:val="24"/>
          <w:szCs w:val="24"/>
        </w:rPr>
        <w:t>et al</w:t>
      </w:r>
      <w:r w:rsidRPr="00F750B9">
        <w:rPr>
          <w:rFonts w:asciiTheme="majorBidi" w:hAnsiTheme="majorBidi" w:cstheme="majorBidi"/>
          <w:sz w:val="24"/>
          <w:szCs w:val="24"/>
        </w:rPr>
        <w:t>., 2022).</w:t>
      </w:r>
    </w:p>
    <w:p w14:paraId="10814576" w14:textId="1D982DCC" w:rsidR="00F750B9" w:rsidRPr="00F06D80" w:rsidRDefault="00F06D80" w:rsidP="00EB4DC9">
      <w:pPr>
        <w:jc w:val="both"/>
        <w:rPr>
          <w:rFonts w:asciiTheme="majorBidi" w:hAnsiTheme="majorBidi" w:cstheme="majorBidi"/>
          <w:b/>
          <w:bCs/>
          <w:sz w:val="24"/>
          <w:szCs w:val="24"/>
        </w:rPr>
      </w:pPr>
      <w:r w:rsidRPr="00F06D80">
        <w:rPr>
          <w:rFonts w:asciiTheme="majorBidi" w:hAnsiTheme="majorBidi" w:cstheme="majorBidi"/>
          <w:b/>
          <w:bCs/>
          <w:sz w:val="24"/>
          <w:szCs w:val="24"/>
        </w:rPr>
        <w:t>RESULTS &amp; DISCUSSION</w:t>
      </w:r>
    </w:p>
    <w:p w14:paraId="4A527537" w14:textId="77777777" w:rsidR="00F750B9" w:rsidRPr="00F750B9" w:rsidRDefault="00F750B9" w:rsidP="00EB4DC9">
      <w:pPr>
        <w:jc w:val="both"/>
        <w:rPr>
          <w:rFonts w:asciiTheme="majorBidi" w:hAnsiTheme="majorBidi" w:cstheme="majorBidi"/>
          <w:b/>
          <w:bCs/>
          <w:sz w:val="24"/>
          <w:szCs w:val="24"/>
        </w:rPr>
      </w:pPr>
      <w:r w:rsidRPr="00F750B9">
        <w:rPr>
          <w:rFonts w:asciiTheme="majorBidi" w:hAnsiTheme="majorBidi" w:cstheme="majorBidi"/>
          <w:b/>
          <w:bCs/>
          <w:sz w:val="24"/>
          <w:szCs w:val="24"/>
        </w:rPr>
        <w:t>Preparation of Enzyme Concentrations</w:t>
      </w:r>
    </w:p>
    <w:p w14:paraId="5867A568" w14:textId="77777777" w:rsidR="00F750B9" w:rsidRDefault="00F750B9" w:rsidP="00EB4DC9">
      <w:pPr>
        <w:jc w:val="both"/>
        <w:rPr>
          <w:rFonts w:asciiTheme="majorBidi" w:hAnsiTheme="majorBidi" w:cstheme="majorBidi"/>
          <w:sz w:val="24"/>
          <w:szCs w:val="24"/>
        </w:rPr>
      </w:pPr>
      <w:r w:rsidRPr="00F750B9">
        <w:rPr>
          <w:rFonts w:asciiTheme="majorBidi" w:hAnsiTheme="majorBidi" w:cstheme="majorBidi"/>
          <w:sz w:val="24"/>
          <w:szCs w:val="24"/>
        </w:rPr>
        <w:t>The storage solution of the beta-1,3-glucanase enzyme was prepared by dissolving 10 mg of its powder in 100 mL of distilled water to obtain a concentration of 100 mg/L. It was sterilized by passing it through a 0.22 µm membrane filter and added at concentrations of (0.2, 0.4, 0.6) mg/L to sterile MS medium.</w:t>
      </w:r>
    </w:p>
    <w:p w14:paraId="1B416C3D" w14:textId="77777777" w:rsidR="00D7662F" w:rsidRDefault="00D7662F" w:rsidP="00EB4DC9">
      <w:pPr>
        <w:jc w:val="both"/>
        <w:rPr>
          <w:rFonts w:asciiTheme="majorBidi" w:hAnsiTheme="majorBidi" w:cstheme="majorBidi"/>
          <w:sz w:val="24"/>
          <w:szCs w:val="24"/>
        </w:rPr>
      </w:pPr>
    </w:p>
    <w:p w14:paraId="37E21164" w14:textId="77777777" w:rsidR="00D7662F" w:rsidRPr="00D7662F" w:rsidRDefault="00D7662F" w:rsidP="00EB4DC9">
      <w:pPr>
        <w:jc w:val="both"/>
        <w:rPr>
          <w:rFonts w:asciiTheme="majorBidi" w:hAnsiTheme="majorBidi" w:cstheme="majorBidi"/>
          <w:b/>
          <w:bCs/>
          <w:sz w:val="24"/>
          <w:szCs w:val="24"/>
        </w:rPr>
      </w:pPr>
      <w:r w:rsidRPr="00D7662F">
        <w:rPr>
          <w:rFonts w:asciiTheme="majorBidi" w:hAnsiTheme="majorBidi" w:cstheme="majorBidi"/>
          <w:b/>
          <w:bCs/>
          <w:sz w:val="24"/>
          <w:szCs w:val="24"/>
        </w:rPr>
        <w:t>Source and Sterilization of Nigella sativa Seeds</w:t>
      </w:r>
    </w:p>
    <w:p w14:paraId="76C1E9C3" w14:textId="77777777" w:rsidR="00D7662F" w:rsidRDefault="00D7662F" w:rsidP="00EB4DC9">
      <w:pPr>
        <w:jc w:val="both"/>
        <w:rPr>
          <w:rFonts w:asciiTheme="majorBidi" w:hAnsiTheme="majorBidi" w:cstheme="majorBidi"/>
          <w:sz w:val="24"/>
          <w:szCs w:val="24"/>
        </w:rPr>
      </w:pPr>
      <w:r w:rsidRPr="00D7662F">
        <w:rPr>
          <w:rFonts w:asciiTheme="majorBidi" w:hAnsiTheme="majorBidi" w:cstheme="majorBidi"/>
          <w:sz w:val="24"/>
          <w:szCs w:val="24"/>
        </w:rPr>
        <w:t xml:space="preserve">Nigella sativa seeds were obtained from the local market of Mosul/Iraq and surface sterilized by immersing them in a 2% sodium hypochlorite (commercial bleach) solution for 10 minutes, then washed thoroughly with sterile distilled water three times/minute (Abed and Taha, 2024). Then the sterilized seeds were planted at a rate of 10 on the surface of solid MS medium (Murashige and Skoog, 1962) in 9 cm diameter dishes containing different concentrations of the enzyme beta 1-3 </w:t>
      </w:r>
      <w:proofErr w:type="spellStart"/>
      <w:r w:rsidRPr="00D7662F">
        <w:rPr>
          <w:rFonts w:asciiTheme="majorBidi" w:hAnsiTheme="majorBidi" w:cstheme="majorBidi"/>
          <w:sz w:val="24"/>
          <w:szCs w:val="24"/>
        </w:rPr>
        <w:t>glucanase</w:t>
      </w:r>
      <w:proofErr w:type="spellEnd"/>
      <w:r w:rsidRPr="00D7662F">
        <w:rPr>
          <w:rFonts w:asciiTheme="majorBidi" w:hAnsiTheme="majorBidi" w:cstheme="majorBidi"/>
          <w:sz w:val="24"/>
          <w:szCs w:val="24"/>
        </w:rPr>
        <w:t xml:space="preserve"> (0.0, 0.2, 0.4, 0.6) mg/L. The samples were then kept in the Culture room under dark conditions at a temperature of 24 ± 2 Celsius. After the germination of the seeds (the emergence of the radicle and plumule), which took 5 days, they were transferred to photoperiod conditions of 16 hours of light at an intensity of 2000 lux and 8 hours of darkness.</w:t>
      </w:r>
    </w:p>
    <w:p w14:paraId="0831E623" w14:textId="77777777" w:rsidR="00D7662F" w:rsidRPr="00D7662F" w:rsidRDefault="00D7662F" w:rsidP="00EB4DC9">
      <w:pPr>
        <w:jc w:val="both"/>
        <w:rPr>
          <w:rFonts w:asciiTheme="majorBidi" w:hAnsiTheme="majorBidi" w:cstheme="majorBidi"/>
          <w:b/>
          <w:bCs/>
          <w:sz w:val="24"/>
          <w:szCs w:val="24"/>
        </w:rPr>
      </w:pPr>
      <w:r w:rsidRPr="00D7662F">
        <w:rPr>
          <w:rFonts w:asciiTheme="majorBidi" w:hAnsiTheme="majorBidi" w:cstheme="majorBidi"/>
          <w:b/>
          <w:bCs/>
          <w:sz w:val="24"/>
          <w:szCs w:val="24"/>
        </w:rPr>
        <w:t>Measuring the germination rate and indicators of vegetative growth of black cumin seedlings (Nigella sativa L.).</w:t>
      </w:r>
    </w:p>
    <w:p w14:paraId="7D568FC6" w14:textId="77777777" w:rsidR="00D7662F" w:rsidRDefault="00D7662F" w:rsidP="00EB4DC9">
      <w:pPr>
        <w:jc w:val="both"/>
        <w:rPr>
          <w:rFonts w:asciiTheme="majorBidi" w:hAnsiTheme="majorBidi" w:cstheme="majorBidi"/>
          <w:sz w:val="24"/>
          <w:szCs w:val="24"/>
        </w:rPr>
      </w:pPr>
      <w:r w:rsidRPr="00D7662F">
        <w:rPr>
          <w:rFonts w:asciiTheme="majorBidi" w:hAnsiTheme="majorBidi" w:cstheme="majorBidi"/>
          <w:sz w:val="24"/>
          <w:szCs w:val="24"/>
        </w:rPr>
        <w:t xml:space="preserve"> were measured. The percentage of germination and vegetative growth indicators of the resulting seedlings were estimated after 15 days of planting for all treatments as follows:</w:t>
      </w:r>
    </w:p>
    <w:p w14:paraId="7CD68E92" w14:textId="77777777" w:rsidR="00F55C77" w:rsidRPr="00F55C77" w:rsidRDefault="00F55C77" w:rsidP="00EB4DC9">
      <w:pPr>
        <w:jc w:val="both"/>
        <w:rPr>
          <w:rFonts w:asciiTheme="majorBidi" w:hAnsiTheme="majorBidi" w:cstheme="majorBidi"/>
          <w:b/>
          <w:bCs/>
          <w:sz w:val="24"/>
          <w:szCs w:val="24"/>
        </w:rPr>
      </w:pPr>
      <w:r w:rsidRPr="00F55C77">
        <w:rPr>
          <w:rFonts w:asciiTheme="majorBidi" w:hAnsiTheme="majorBidi" w:cstheme="majorBidi"/>
          <w:b/>
          <w:bCs/>
          <w:sz w:val="24"/>
          <w:szCs w:val="24"/>
        </w:rPr>
        <w:t xml:space="preserve">Seed germination percentage </w:t>
      </w:r>
    </w:p>
    <w:p w14:paraId="4E2869C1" w14:textId="77777777" w:rsidR="00D7662F"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lastRenderedPageBreak/>
        <w:t xml:space="preserve">This was determined by monitoring seed germination daily during the incubation period to calculate the germination percentage (%) and the mean germination time (MGT) using the equation below: (Number of germinated seeds) / (Total number of seeds) = 100% (Shanmugaratnam </w:t>
      </w:r>
      <w:r w:rsidRPr="00212286">
        <w:rPr>
          <w:rFonts w:asciiTheme="majorBidi" w:hAnsiTheme="majorBidi" w:cstheme="majorBidi"/>
          <w:i/>
          <w:iCs/>
          <w:sz w:val="24"/>
          <w:szCs w:val="24"/>
        </w:rPr>
        <w:t>et al</w:t>
      </w:r>
      <w:r w:rsidRPr="00F55C77">
        <w:rPr>
          <w:rFonts w:asciiTheme="majorBidi" w:hAnsiTheme="majorBidi" w:cstheme="majorBidi"/>
          <w:sz w:val="24"/>
          <w:szCs w:val="24"/>
        </w:rPr>
        <w:t>., 2013)</w:t>
      </w:r>
    </w:p>
    <w:p w14:paraId="7F6DEE8C" w14:textId="77777777" w:rsidR="00F55C77" w:rsidRDefault="00F55C77" w:rsidP="00EB4DC9">
      <w:pPr>
        <w:jc w:val="both"/>
        <w:rPr>
          <w:rFonts w:asciiTheme="majorBidi" w:hAnsiTheme="majorBidi" w:cstheme="majorBidi"/>
          <w:sz w:val="24"/>
          <w:szCs w:val="24"/>
        </w:rPr>
      </w:pPr>
    </w:p>
    <w:p w14:paraId="37655E1B" w14:textId="77777777" w:rsidR="00F55C77" w:rsidRDefault="00F55C77" w:rsidP="00EB4DC9">
      <w:pPr>
        <w:jc w:val="both"/>
        <w:rPr>
          <w:rFonts w:asciiTheme="majorBidi" w:hAnsiTheme="majorBidi" w:cstheme="majorBidi"/>
          <w:sz w:val="24"/>
          <w:szCs w:val="24"/>
        </w:rPr>
      </w:pPr>
    </w:p>
    <w:p w14:paraId="46D8055B" w14:textId="77777777" w:rsidR="00F55C77" w:rsidRPr="00F55C77" w:rsidRDefault="00F55C77" w:rsidP="00EB4DC9">
      <w:pPr>
        <w:jc w:val="both"/>
        <w:rPr>
          <w:rFonts w:asciiTheme="majorBidi" w:hAnsiTheme="majorBidi" w:cstheme="majorBidi"/>
          <w:b/>
          <w:bCs/>
          <w:sz w:val="24"/>
          <w:szCs w:val="24"/>
        </w:rPr>
      </w:pPr>
      <w:r w:rsidRPr="00F55C77">
        <w:rPr>
          <w:rFonts w:asciiTheme="majorBidi" w:hAnsiTheme="majorBidi" w:cstheme="majorBidi"/>
          <w:b/>
          <w:bCs/>
          <w:sz w:val="24"/>
          <w:szCs w:val="24"/>
        </w:rPr>
        <w:t>Average Total Plant Height</w:t>
      </w:r>
    </w:p>
    <w:p w14:paraId="68523BD6" w14:textId="77777777" w:rsidR="00F55C77" w:rsidRP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The total height was estimated using a graduated ruler. The length was measured from the base of the seedling at the surface of the nutrient medium to the tip of the longest leaf, and the values ​​were recorded for each seedling individually.</w:t>
      </w:r>
    </w:p>
    <w:p w14:paraId="35CE8165" w14:textId="77777777" w:rsidR="00F55C77" w:rsidRPr="00F55C77" w:rsidRDefault="00F55C77" w:rsidP="00EB4DC9">
      <w:pPr>
        <w:jc w:val="both"/>
        <w:rPr>
          <w:rFonts w:asciiTheme="majorBidi" w:hAnsiTheme="majorBidi" w:cstheme="majorBidi"/>
          <w:b/>
          <w:bCs/>
          <w:sz w:val="24"/>
          <w:szCs w:val="24"/>
        </w:rPr>
      </w:pPr>
      <w:r w:rsidRPr="00F55C77">
        <w:rPr>
          <w:rFonts w:asciiTheme="majorBidi" w:hAnsiTheme="majorBidi" w:cstheme="majorBidi"/>
          <w:b/>
          <w:bCs/>
          <w:sz w:val="24"/>
          <w:szCs w:val="24"/>
        </w:rPr>
        <w:t>Average Root Length</w:t>
      </w:r>
    </w:p>
    <w:p w14:paraId="4E46D4CF" w14:textId="77777777" w:rsidR="00F55C77" w:rsidRP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The root length of the seedlings was measured by measuring the longest root using a graduated ruler.</w:t>
      </w:r>
    </w:p>
    <w:p w14:paraId="0E5EF03B" w14:textId="77777777" w:rsidR="00F55C77" w:rsidRPr="00F55C77" w:rsidRDefault="00F55C77" w:rsidP="00EB4DC9">
      <w:pPr>
        <w:jc w:val="both"/>
        <w:rPr>
          <w:rFonts w:asciiTheme="majorBidi" w:hAnsiTheme="majorBidi" w:cstheme="majorBidi"/>
          <w:b/>
          <w:bCs/>
          <w:sz w:val="24"/>
          <w:szCs w:val="24"/>
        </w:rPr>
      </w:pPr>
      <w:r w:rsidRPr="00F55C77">
        <w:rPr>
          <w:rFonts w:asciiTheme="majorBidi" w:hAnsiTheme="majorBidi" w:cstheme="majorBidi"/>
          <w:b/>
          <w:bCs/>
          <w:sz w:val="24"/>
          <w:szCs w:val="24"/>
        </w:rPr>
        <w:t>Average Shoot Length</w:t>
      </w:r>
    </w:p>
    <w:p w14:paraId="6B32B18A" w14:textId="77777777" w:rsidR="00F55C77" w:rsidRP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The shoot length was measured from the base of the stem to the tip of the growing tip using a graduated ruler, and the length was recorded in centimeters.</w:t>
      </w:r>
    </w:p>
    <w:p w14:paraId="12D1FE7C" w14:textId="77777777" w:rsidR="00F55C77" w:rsidRPr="00F55C77" w:rsidRDefault="00F55C77" w:rsidP="00EB4DC9">
      <w:pPr>
        <w:jc w:val="both"/>
        <w:rPr>
          <w:rFonts w:asciiTheme="majorBidi" w:hAnsiTheme="majorBidi" w:cstheme="majorBidi"/>
          <w:b/>
          <w:bCs/>
          <w:sz w:val="24"/>
          <w:szCs w:val="24"/>
        </w:rPr>
      </w:pPr>
      <w:r w:rsidRPr="00F55C77">
        <w:rPr>
          <w:rFonts w:asciiTheme="majorBidi" w:hAnsiTheme="majorBidi" w:cstheme="majorBidi"/>
          <w:b/>
          <w:bCs/>
          <w:sz w:val="24"/>
          <w:szCs w:val="24"/>
        </w:rPr>
        <w:t>Total Fresh Weight</w:t>
      </w:r>
    </w:p>
    <w:p w14:paraId="1D1C9E8F" w14:textId="77777777" w:rsid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The total fresh weight of the seedlings was estimated. The plants were carefully removed from the nutrient medium, washed with distilled water to remove any residue, and then surface-dried using filter paper. The weight was recorded using a sensitive balance.</w:t>
      </w:r>
    </w:p>
    <w:p w14:paraId="6DFBA0AC" w14:textId="77777777" w:rsidR="00F55C77" w:rsidRPr="00F55C77" w:rsidRDefault="00F55C77" w:rsidP="00EB4DC9">
      <w:pPr>
        <w:jc w:val="both"/>
        <w:rPr>
          <w:rFonts w:asciiTheme="majorBidi" w:hAnsiTheme="majorBidi" w:cstheme="majorBidi"/>
          <w:b/>
          <w:bCs/>
          <w:sz w:val="24"/>
          <w:szCs w:val="24"/>
        </w:rPr>
      </w:pPr>
      <w:r w:rsidRPr="00F55C77">
        <w:rPr>
          <w:rFonts w:asciiTheme="majorBidi" w:hAnsiTheme="majorBidi" w:cstheme="majorBidi"/>
          <w:b/>
          <w:bCs/>
          <w:sz w:val="24"/>
          <w:szCs w:val="24"/>
        </w:rPr>
        <w:t>Chlorophyll Content Estimation</w:t>
      </w:r>
    </w:p>
    <w:p w14:paraId="694FE6AF" w14:textId="77777777" w:rsidR="00F55C77" w:rsidRP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 xml:space="preserve">The chlorophyll content in seedling leaves was determined for all treatments according to the method described by </w:t>
      </w:r>
      <w:proofErr w:type="spellStart"/>
      <w:r w:rsidRPr="00F55C77">
        <w:rPr>
          <w:rFonts w:asciiTheme="majorBidi" w:hAnsiTheme="majorBidi" w:cstheme="majorBidi"/>
          <w:sz w:val="24"/>
          <w:szCs w:val="24"/>
        </w:rPr>
        <w:t>Lichtenthaler</w:t>
      </w:r>
      <w:proofErr w:type="spellEnd"/>
      <w:r w:rsidRPr="00F55C77">
        <w:rPr>
          <w:rFonts w:asciiTheme="majorBidi" w:hAnsiTheme="majorBidi" w:cstheme="majorBidi"/>
          <w:sz w:val="24"/>
          <w:szCs w:val="24"/>
        </w:rPr>
        <w:t xml:space="preserve"> (1987). The light absorption of the filtrate was measured at wavelengths of 664.5 and 647 nm using a spectrophotometer. The following equations were used to calculate the amount of chlorophyll:</w:t>
      </w:r>
    </w:p>
    <w:p w14:paraId="3951BFAF" w14:textId="77777777" w:rsidR="00F55C77" w:rsidRP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Chl. a = [12.7(D 664.5)] – [2.79(D 647)] × v / (w × 1000)</w:t>
      </w:r>
    </w:p>
    <w:p w14:paraId="10337CEF" w14:textId="77777777" w:rsidR="00F55C77" w:rsidRP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Chl. b = [20.7(D 647)] – [4.62(D 664.5)] × v / (w × 1000)</w:t>
      </w:r>
    </w:p>
    <w:p w14:paraId="224CA6EE" w14:textId="77777777" w:rsidR="00F55C77" w:rsidRP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Where:</w:t>
      </w:r>
    </w:p>
    <w:p w14:paraId="71ACC496" w14:textId="77777777" w:rsidR="00F55C77" w:rsidRP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D = Light density reading of chlorophyll at wavelengths of 664.5 and 647 nm, respectively.</w:t>
      </w:r>
    </w:p>
    <w:p w14:paraId="0BFE9D51" w14:textId="77777777" w:rsidR="00F55C77" w:rsidRP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V = Final volume of solution. = Wet weight in grams of the extracted plant tissue</w:t>
      </w:r>
    </w:p>
    <w:p w14:paraId="41E5D26A" w14:textId="77777777" w:rsidR="00F55C77" w:rsidRPr="00F13A94" w:rsidRDefault="00F55C77" w:rsidP="00EB4DC9">
      <w:pPr>
        <w:jc w:val="both"/>
        <w:rPr>
          <w:rFonts w:asciiTheme="majorBidi" w:hAnsiTheme="majorBidi" w:cstheme="majorBidi"/>
          <w:sz w:val="24"/>
          <w:szCs w:val="24"/>
          <w:rtl/>
          <w:lang w:bidi="ar-IQ"/>
        </w:rPr>
      </w:pPr>
      <w:r w:rsidRPr="00F55C77">
        <w:rPr>
          <w:rFonts w:asciiTheme="majorBidi" w:hAnsiTheme="majorBidi" w:cstheme="majorBidi"/>
          <w:sz w:val="24"/>
          <w:szCs w:val="24"/>
        </w:rPr>
        <w:lastRenderedPageBreak/>
        <w:t>Send feedback</w:t>
      </w:r>
      <w:r>
        <w:rPr>
          <w:rFonts w:asciiTheme="majorBidi" w:hAnsiTheme="majorBidi" w:cstheme="majorBidi"/>
          <w:sz w:val="24"/>
          <w:szCs w:val="24"/>
        </w:rPr>
        <w:t>.</w:t>
      </w:r>
    </w:p>
    <w:p w14:paraId="28C609DF" w14:textId="77777777" w:rsidR="00F55C77" w:rsidRDefault="00F55C77" w:rsidP="00EB4DC9">
      <w:pPr>
        <w:jc w:val="both"/>
        <w:rPr>
          <w:rFonts w:asciiTheme="majorBidi" w:hAnsiTheme="majorBidi" w:cstheme="majorBidi"/>
          <w:sz w:val="24"/>
          <w:szCs w:val="24"/>
        </w:rPr>
      </w:pPr>
      <w:r w:rsidRPr="00F55C77">
        <w:rPr>
          <w:rFonts w:asciiTheme="majorBidi" w:hAnsiTheme="majorBidi" w:cstheme="majorBidi"/>
          <w:b/>
          <w:bCs/>
          <w:sz w:val="24"/>
          <w:szCs w:val="24"/>
        </w:rPr>
        <w:t>Extraction of thymoquinone from black cumin seedling leaves and determination of its concentration using High-performance liquid chromatography (HPLC) technology</w:t>
      </w:r>
      <w:r w:rsidRPr="00F55C77">
        <w:rPr>
          <w:rFonts w:asciiTheme="majorBidi" w:hAnsiTheme="majorBidi" w:cstheme="majorBidi"/>
          <w:sz w:val="24"/>
          <w:szCs w:val="24"/>
        </w:rPr>
        <w:t>.</w:t>
      </w:r>
    </w:p>
    <w:p w14:paraId="50756FED" w14:textId="77777777" w:rsid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The thymoquinone compound was extracted and quantified from the leaves of 15-day-old black cumin seedlings grown in MS medium containing different concentrations of the enzyme (0.0, 0.2, 0.4, 0.6) mg/L. The leaves of the seedlings growing on MS medium containing the enzyme concentrations were separated, dried using an electric air oven at a temperature of 40-45°C, ground in a ceramic mortar to obtain a fine powder, placed in a 50 ml flask, and 10 ml of methanol were added. The samples were mixed using a shaker for 24 hours, followed by filtration through 0.45 microliter filter paper. The samples were dried using an electric air oven at a temperature of 40°C to obtain a dry extract, to which 1.0 ml of methanol was added. The extracts were filtered using special 0.22 micrometer filters supplied by Nova, Teach International, Inc., USA, to obtain a sample ready for examination using an HPLC device.</w:t>
      </w:r>
    </w:p>
    <w:p w14:paraId="4453AE9D" w14:textId="77777777" w:rsidR="00F55C77" w:rsidRPr="00F55C77" w:rsidRDefault="00F55C77" w:rsidP="00EB4DC9">
      <w:pPr>
        <w:jc w:val="both"/>
        <w:rPr>
          <w:rFonts w:asciiTheme="majorBidi" w:hAnsiTheme="majorBidi" w:cstheme="majorBidi"/>
          <w:b/>
          <w:bCs/>
          <w:sz w:val="24"/>
          <w:szCs w:val="24"/>
        </w:rPr>
      </w:pPr>
      <w:r w:rsidRPr="00F55C77">
        <w:rPr>
          <w:rFonts w:asciiTheme="majorBidi" w:hAnsiTheme="majorBidi" w:cstheme="majorBidi"/>
          <w:b/>
          <w:bCs/>
          <w:sz w:val="24"/>
          <w:szCs w:val="24"/>
        </w:rPr>
        <w:t>Preparation of the standard solution of Thymoquinone</w:t>
      </w:r>
    </w:p>
    <w:p w14:paraId="595E9CDE" w14:textId="77777777" w:rsid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The standard solution of the Thymoquinone compound was prepared by dissolving 0.5 mg of standard Thymoquinone powder in 100 ml of aqueous formic acid and methanol solution, and its final concentration became 5 micrograms/ml.</w:t>
      </w:r>
    </w:p>
    <w:p w14:paraId="1DB4D6B4" w14:textId="77777777" w:rsidR="00F55C77" w:rsidRDefault="00F55C77" w:rsidP="00EB4DC9">
      <w:pPr>
        <w:jc w:val="both"/>
        <w:rPr>
          <w:rFonts w:asciiTheme="majorBidi" w:hAnsiTheme="majorBidi" w:cstheme="majorBidi"/>
          <w:sz w:val="24"/>
          <w:szCs w:val="24"/>
        </w:rPr>
      </w:pPr>
    </w:p>
    <w:p w14:paraId="3D9D7A01" w14:textId="77777777" w:rsidR="00F55C77" w:rsidRPr="00F55C77" w:rsidRDefault="00F55C77" w:rsidP="00EB4DC9">
      <w:pPr>
        <w:jc w:val="both"/>
        <w:rPr>
          <w:rFonts w:asciiTheme="majorBidi" w:hAnsiTheme="majorBidi" w:cstheme="majorBidi"/>
          <w:b/>
          <w:bCs/>
          <w:sz w:val="24"/>
          <w:szCs w:val="24"/>
        </w:rPr>
      </w:pPr>
      <w:r w:rsidRPr="00F55C77">
        <w:rPr>
          <w:rFonts w:asciiTheme="majorBidi" w:hAnsiTheme="majorBidi" w:cstheme="majorBidi"/>
          <w:b/>
          <w:bCs/>
          <w:sz w:val="24"/>
          <w:szCs w:val="24"/>
        </w:rPr>
        <w:t>Thymoquinone Concentrations by HPLC</w:t>
      </w:r>
    </w:p>
    <w:p w14:paraId="5D5E3E32" w14:textId="77777777" w:rsid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 xml:space="preserve">An HPLC apparatus (SYKAM - German) equipped with a double pump was used to separate the active compounds using a mobile phase consisting of aqueous formic acid and methanol in a 60:40 ratio. A 250 mm long, 4.6 mm internal diameter, C18 ODS metal separating column was used, packed with silica granules with a 5.0 µm diameter. The standard sample was prepared at a concentration of 5 mg/L, and 100 µL of each sample was injected into the apparatus at a flow rate of 1.0 mL/min. The determination was performed at 25 °C and a wavelength of 254 nm. The separation process resulted in plotting a peak curve for each sample along with its retention time. The thymoquinone concentration was calculated by comparing the quantitative determination results of the compound in the studied samples for both the retention time and the unknown band area of ​​the samples with the known retention time and standard curve area according to the following equation (Soliman </w:t>
      </w:r>
      <w:r w:rsidRPr="00212286">
        <w:rPr>
          <w:rFonts w:asciiTheme="majorBidi" w:hAnsiTheme="majorBidi" w:cstheme="majorBidi"/>
          <w:i/>
          <w:iCs/>
          <w:sz w:val="24"/>
          <w:szCs w:val="24"/>
        </w:rPr>
        <w:t>et al</w:t>
      </w:r>
      <w:r w:rsidRPr="00F55C77">
        <w:rPr>
          <w:rFonts w:asciiTheme="majorBidi" w:hAnsiTheme="majorBidi" w:cstheme="majorBidi"/>
          <w:sz w:val="24"/>
          <w:szCs w:val="24"/>
        </w:rPr>
        <w:t>., 2000): Thymoquinone concentration (µg mL⁻¹) = ((Sample curve area × Standard substance concentration) / (Standard substance curve area)) × (Dilution times) / (Sample weight)</w:t>
      </w:r>
    </w:p>
    <w:p w14:paraId="0384E919" w14:textId="77777777" w:rsidR="00D4316E" w:rsidRPr="00D4316E" w:rsidRDefault="00D4316E" w:rsidP="00EB4DC9">
      <w:pPr>
        <w:jc w:val="both"/>
        <w:rPr>
          <w:rFonts w:asciiTheme="majorBidi" w:hAnsiTheme="majorBidi" w:cstheme="majorBidi"/>
          <w:b/>
          <w:bCs/>
          <w:sz w:val="24"/>
          <w:szCs w:val="24"/>
        </w:rPr>
      </w:pPr>
      <w:r w:rsidRPr="00D4316E">
        <w:rPr>
          <w:rFonts w:asciiTheme="majorBidi" w:hAnsiTheme="majorBidi" w:cstheme="majorBidi"/>
          <w:b/>
          <w:bCs/>
          <w:sz w:val="24"/>
          <w:szCs w:val="24"/>
        </w:rPr>
        <w:t xml:space="preserve">Effect of beta-1-3 </w:t>
      </w:r>
      <w:proofErr w:type="spellStart"/>
      <w:r w:rsidRPr="00D4316E">
        <w:rPr>
          <w:rFonts w:asciiTheme="majorBidi" w:hAnsiTheme="majorBidi" w:cstheme="majorBidi"/>
          <w:b/>
          <w:bCs/>
          <w:sz w:val="24"/>
          <w:szCs w:val="24"/>
        </w:rPr>
        <w:t>glucanase</w:t>
      </w:r>
      <w:proofErr w:type="spellEnd"/>
      <w:r w:rsidRPr="00D4316E">
        <w:rPr>
          <w:rFonts w:asciiTheme="majorBidi" w:hAnsiTheme="majorBidi" w:cstheme="majorBidi"/>
          <w:b/>
          <w:bCs/>
          <w:sz w:val="24"/>
          <w:szCs w:val="24"/>
        </w:rPr>
        <w:t xml:space="preserve"> enzyme concentrations on the physiological indicators of black cumin plants</w:t>
      </w:r>
    </w:p>
    <w:p w14:paraId="1CEF0AE6" w14:textId="77777777" w:rsidR="00F55C77" w:rsidRDefault="00D4316E" w:rsidP="00EB4DC9">
      <w:pPr>
        <w:jc w:val="both"/>
        <w:rPr>
          <w:rFonts w:asciiTheme="majorBidi" w:hAnsiTheme="majorBidi" w:cstheme="majorBidi"/>
          <w:sz w:val="24"/>
          <w:szCs w:val="24"/>
        </w:rPr>
      </w:pPr>
      <w:r w:rsidRPr="00D4316E">
        <w:rPr>
          <w:rFonts w:asciiTheme="majorBidi" w:hAnsiTheme="majorBidi" w:cstheme="majorBidi"/>
          <w:sz w:val="24"/>
          <w:szCs w:val="24"/>
        </w:rPr>
        <w:lastRenderedPageBreak/>
        <w:t xml:space="preserve">The results of culturing black cumin seeds on MS medium containing different concentrations of beta-1-3 </w:t>
      </w:r>
      <w:proofErr w:type="spellStart"/>
      <w:r w:rsidRPr="00D4316E">
        <w:rPr>
          <w:rFonts w:asciiTheme="majorBidi" w:hAnsiTheme="majorBidi" w:cstheme="majorBidi"/>
          <w:sz w:val="24"/>
          <w:szCs w:val="24"/>
        </w:rPr>
        <w:t>glucanase</w:t>
      </w:r>
      <w:proofErr w:type="spellEnd"/>
      <w:r w:rsidRPr="00D4316E">
        <w:rPr>
          <w:rFonts w:asciiTheme="majorBidi" w:hAnsiTheme="majorBidi" w:cstheme="majorBidi"/>
          <w:sz w:val="24"/>
          <w:szCs w:val="24"/>
        </w:rPr>
        <w:t xml:space="preserve"> enzyme indicate that a concentration of 0.4 mg/L was superior in stimulating a germination rate of 100% after 3 days, while the control treatment of MS medium alone reached 90% after 5 days, and the remaining percentages varied in stimulating germination (Table 1).</w:t>
      </w:r>
    </w:p>
    <w:p w14:paraId="1981D07B" w14:textId="77777777" w:rsidR="00F55C77" w:rsidRPr="00F82DCD" w:rsidRDefault="00D4316E" w:rsidP="00EB4DC9">
      <w:pPr>
        <w:jc w:val="both"/>
        <w:rPr>
          <w:rFonts w:asciiTheme="majorBidi" w:hAnsiTheme="majorBidi" w:cstheme="majorBidi"/>
          <w:b/>
          <w:bCs/>
          <w:sz w:val="24"/>
          <w:szCs w:val="24"/>
          <w:rtl/>
          <w:lang w:bidi="ar-IQ"/>
        </w:rPr>
      </w:pPr>
      <w:r w:rsidRPr="00F82DCD">
        <w:rPr>
          <w:rFonts w:asciiTheme="majorBidi" w:hAnsiTheme="majorBidi" w:cstheme="majorBidi"/>
          <w:b/>
          <w:bCs/>
          <w:sz w:val="24"/>
          <w:szCs w:val="24"/>
        </w:rPr>
        <w:t xml:space="preserve">Table (1) Effect of different concentrations of beta-1-3 </w:t>
      </w:r>
      <w:proofErr w:type="spellStart"/>
      <w:r w:rsidRPr="00F82DCD">
        <w:rPr>
          <w:rFonts w:asciiTheme="majorBidi" w:hAnsiTheme="majorBidi" w:cstheme="majorBidi"/>
          <w:b/>
          <w:bCs/>
          <w:sz w:val="24"/>
          <w:szCs w:val="24"/>
        </w:rPr>
        <w:t>glucanase</w:t>
      </w:r>
      <w:proofErr w:type="spellEnd"/>
      <w:r w:rsidRPr="00F82DCD">
        <w:rPr>
          <w:rFonts w:asciiTheme="majorBidi" w:hAnsiTheme="majorBidi" w:cstheme="majorBidi"/>
          <w:b/>
          <w:bCs/>
          <w:sz w:val="24"/>
          <w:szCs w:val="24"/>
        </w:rPr>
        <w:t xml:space="preserve"> enzyme on vegetative and root growth indicators and chlorophyll content in black cumin seedlings cultured on MS medium</w:t>
      </w:r>
    </w:p>
    <w:tbl>
      <w:tblPr>
        <w:tblStyle w:val="TableGrid"/>
        <w:tblW w:w="7741" w:type="dxa"/>
        <w:jc w:val="center"/>
        <w:tblLook w:val="04A0" w:firstRow="1" w:lastRow="0" w:firstColumn="1" w:lastColumn="0" w:noHBand="0" w:noVBand="1"/>
      </w:tblPr>
      <w:tblGrid>
        <w:gridCol w:w="1915"/>
        <w:gridCol w:w="1253"/>
        <w:gridCol w:w="1890"/>
        <w:gridCol w:w="1440"/>
        <w:gridCol w:w="1243"/>
      </w:tblGrid>
      <w:tr w:rsidR="00F82DCD" w14:paraId="22F91522" w14:textId="77777777" w:rsidTr="00F82DCD">
        <w:trPr>
          <w:jc w:val="center"/>
        </w:trPr>
        <w:tc>
          <w:tcPr>
            <w:tcW w:w="1915" w:type="dxa"/>
            <w:vAlign w:val="center"/>
          </w:tcPr>
          <w:p w14:paraId="2427B7A2"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Parameters (Traits)</w:t>
            </w:r>
          </w:p>
        </w:tc>
        <w:tc>
          <w:tcPr>
            <w:tcW w:w="1253" w:type="dxa"/>
            <w:vAlign w:val="center"/>
          </w:tcPr>
          <w:p w14:paraId="22BC7721"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Control (0 mg/L)</w:t>
            </w:r>
          </w:p>
        </w:tc>
        <w:tc>
          <w:tcPr>
            <w:tcW w:w="1890" w:type="dxa"/>
            <w:vAlign w:val="center"/>
          </w:tcPr>
          <w:p w14:paraId="3332E616"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0.</w:t>
            </w:r>
            <w:r>
              <w:rPr>
                <w:rFonts w:asciiTheme="majorBidi" w:hAnsiTheme="majorBidi" w:cstheme="majorBidi" w:hint="cs"/>
                <w:b/>
                <w:bCs/>
                <w:sz w:val="24"/>
                <w:szCs w:val="24"/>
                <w:rtl/>
              </w:rPr>
              <w:t>2</w:t>
            </w:r>
            <w:r w:rsidRPr="00F82DCD">
              <w:rPr>
                <w:rFonts w:asciiTheme="majorBidi" w:hAnsiTheme="majorBidi" w:cstheme="majorBidi"/>
                <w:b/>
                <w:bCs/>
                <w:sz w:val="24"/>
                <w:szCs w:val="24"/>
              </w:rPr>
              <w:t xml:space="preserve"> mg/L</w:t>
            </w:r>
          </w:p>
        </w:tc>
        <w:tc>
          <w:tcPr>
            <w:tcW w:w="1440" w:type="dxa"/>
            <w:vAlign w:val="center"/>
          </w:tcPr>
          <w:p w14:paraId="42B19D34"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0.4 mg/L</w:t>
            </w:r>
          </w:p>
        </w:tc>
        <w:tc>
          <w:tcPr>
            <w:tcW w:w="1243" w:type="dxa"/>
            <w:vAlign w:val="center"/>
          </w:tcPr>
          <w:p w14:paraId="32E8AB1C"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0.6 mg/L</w:t>
            </w:r>
          </w:p>
        </w:tc>
      </w:tr>
      <w:tr w:rsidR="00F82DCD" w14:paraId="61FE956E" w14:textId="77777777" w:rsidTr="00F82DCD">
        <w:trPr>
          <w:jc w:val="center"/>
        </w:trPr>
        <w:tc>
          <w:tcPr>
            <w:tcW w:w="1915" w:type="dxa"/>
            <w:vAlign w:val="center"/>
          </w:tcPr>
          <w:p w14:paraId="48AC8986"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Germination Percentage (%)</w:t>
            </w:r>
          </w:p>
        </w:tc>
        <w:tc>
          <w:tcPr>
            <w:tcW w:w="1253" w:type="dxa"/>
            <w:vAlign w:val="center"/>
          </w:tcPr>
          <w:p w14:paraId="1E24C128"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90</w:t>
            </w:r>
          </w:p>
        </w:tc>
        <w:tc>
          <w:tcPr>
            <w:tcW w:w="1890" w:type="dxa"/>
            <w:vAlign w:val="center"/>
          </w:tcPr>
          <w:p w14:paraId="0312EF74" w14:textId="77777777" w:rsidR="00F82DCD" w:rsidRPr="00F82DCD" w:rsidRDefault="00F82DCD" w:rsidP="00EB4DC9">
            <w:pPr>
              <w:spacing w:after="200" w:line="276" w:lineRule="auto"/>
              <w:jc w:val="center"/>
              <w:rPr>
                <w:rFonts w:asciiTheme="majorBidi" w:hAnsiTheme="majorBidi" w:cstheme="majorBidi"/>
                <w:sz w:val="24"/>
                <w:szCs w:val="24"/>
              </w:rPr>
            </w:pPr>
            <w:r>
              <w:rPr>
                <w:rFonts w:asciiTheme="majorBidi" w:hAnsiTheme="majorBidi" w:cstheme="majorBidi" w:hint="cs"/>
                <w:sz w:val="24"/>
                <w:szCs w:val="24"/>
                <w:rtl/>
              </w:rPr>
              <w:t>80</w:t>
            </w:r>
          </w:p>
        </w:tc>
        <w:tc>
          <w:tcPr>
            <w:tcW w:w="1440" w:type="dxa"/>
            <w:vAlign w:val="center"/>
          </w:tcPr>
          <w:p w14:paraId="0878F967"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100</w:t>
            </w:r>
          </w:p>
        </w:tc>
        <w:tc>
          <w:tcPr>
            <w:tcW w:w="1243" w:type="dxa"/>
            <w:vAlign w:val="center"/>
          </w:tcPr>
          <w:p w14:paraId="2404AA1B"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87</w:t>
            </w:r>
          </w:p>
        </w:tc>
      </w:tr>
      <w:tr w:rsidR="00F82DCD" w14:paraId="08CDA696" w14:textId="77777777" w:rsidTr="00F82DCD">
        <w:trPr>
          <w:jc w:val="center"/>
        </w:trPr>
        <w:tc>
          <w:tcPr>
            <w:tcW w:w="1915" w:type="dxa"/>
            <w:vAlign w:val="center"/>
          </w:tcPr>
          <w:p w14:paraId="7EB7806D"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Time to Germination (days)</w:t>
            </w:r>
          </w:p>
        </w:tc>
        <w:tc>
          <w:tcPr>
            <w:tcW w:w="1253" w:type="dxa"/>
            <w:vAlign w:val="center"/>
          </w:tcPr>
          <w:p w14:paraId="60C6C77D"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5</w:t>
            </w:r>
          </w:p>
        </w:tc>
        <w:tc>
          <w:tcPr>
            <w:tcW w:w="1890" w:type="dxa"/>
            <w:vAlign w:val="center"/>
          </w:tcPr>
          <w:p w14:paraId="44DFE3D9" w14:textId="77777777" w:rsidR="00F82DCD" w:rsidRPr="00F82DCD" w:rsidRDefault="00F82DCD" w:rsidP="00EB4DC9">
            <w:pPr>
              <w:spacing w:after="200" w:line="276" w:lineRule="auto"/>
              <w:jc w:val="center"/>
              <w:rPr>
                <w:rFonts w:asciiTheme="majorBidi" w:hAnsiTheme="majorBidi" w:cstheme="majorBidi"/>
                <w:sz w:val="24"/>
                <w:szCs w:val="24"/>
              </w:rPr>
            </w:pPr>
            <w:r>
              <w:rPr>
                <w:rFonts w:asciiTheme="majorBidi" w:hAnsiTheme="majorBidi" w:cstheme="majorBidi" w:hint="cs"/>
                <w:sz w:val="24"/>
                <w:szCs w:val="24"/>
                <w:rtl/>
              </w:rPr>
              <w:t>6</w:t>
            </w:r>
          </w:p>
        </w:tc>
        <w:tc>
          <w:tcPr>
            <w:tcW w:w="1440" w:type="dxa"/>
            <w:vAlign w:val="center"/>
          </w:tcPr>
          <w:p w14:paraId="5C34C2B6"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3</w:t>
            </w:r>
          </w:p>
        </w:tc>
        <w:tc>
          <w:tcPr>
            <w:tcW w:w="1243" w:type="dxa"/>
            <w:vAlign w:val="center"/>
          </w:tcPr>
          <w:p w14:paraId="6F1EB9E0"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4</w:t>
            </w:r>
          </w:p>
        </w:tc>
      </w:tr>
      <w:tr w:rsidR="00F82DCD" w14:paraId="088B2AC0" w14:textId="77777777" w:rsidTr="00F82DCD">
        <w:trPr>
          <w:jc w:val="center"/>
        </w:trPr>
        <w:tc>
          <w:tcPr>
            <w:tcW w:w="1915" w:type="dxa"/>
            <w:vAlign w:val="center"/>
          </w:tcPr>
          <w:p w14:paraId="547C84A9"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Total Plant Length (cm)</w:t>
            </w:r>
          </w:p>
        </w:tc>
        <w:tc>
          <w:tcPr>
            <w:tcW w:w="1253" w:type="dxa"/>
            <w:vAlign w:val="center"/>
          </w:tcPr>
          <w:p w14:paraId="47FA1BC3"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8.4</w:t>
            </w:r>
          </w:p>
        </w:tc>
        <w:tc>
          <w:tcPr>
            <w:tcW w:w="1890" w:type="dxa"/>
            <w:vAlign w:val="center"/>
          </w:tcPr>
          <w:p w14:paraId="6107F5E8" w14:textId="77777777" w:rsidR="00F82DCD" w:rsidRPr="00F82DCD" w:rsidRDefault="00F82DCD" w:rsidP="00EB4DC9">
            <w:pPr>
              <w:spacing w:after="200" w:line="276" w:lineRule="auto"/>
              <w:jc w:val="center"/>
              <w:rPr>
                <w:rFonts w:asciiTheme="majorBidi" w:hAnsiTheme="majorBidi" w:cstheme="majorBidi"/>
                <w:sz w:val="24"/>
                <w:szCs w:val="24"/>
              </w:rPr>
            </w:pPr>
            <w:r>
              <w:rPr>
                <w:rFonts w:asciiTheme="majorBidi" w:hAnsiTheme="majorBidi" w:cstheme="majorBidi"/>
                <w:sz w:val="24"/>
                <w:szCs w:val="24"/>
              </w:rPr>
              <w:t>8.1</w:t>
            </w:r>
          </w:p>
        </w:tc>
        <w:tc>
          <w:tcPr>
            <w:tcW w:w="1440" w:type="dxa"/>
            <w:vAlign w:val="center"/>
          </w:tcPr>
          <w:p w14:paraId="0971BEF8"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10.4</w:t>
            </w:r>
          </w:p>
        </w:tc>
        <w:tc>
          <w:tcPr>
            <w:tcW w:w="1243" w:type="dxa"/>
            <w:vAlign w:val="center"/>
          </w:tcPr>
          <w:p w14:paraId="6BB7E2F8"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10.1</w:t>
            </w:r>
          </w:p>
        </w:tc>
      </w:tr>
      <w:tr w:rsidR="00F82DCD" w14:paraId="528F04CF" w14:textId="77777777" w:rsidTr="00F82DCD">
        <w:trPr>
          <w:jc w:val="center"/>
        </w:trPr>
        <w:tc>
          <w:tcPr>
            <w:tcW w:w="1915" w:type="dxa"/>
            <w:vAlign w:val="center"/>
          </w:tcPr>
          <w:p w14:paraId="5DF3B588"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Shoot Length (cm)</w:t>
            </w:r>
          </w:p>
        </w:tc>
        <w:tc>
          <w:tcPr>
            <w:tcW w:w="1253" w:type="dxa"/>
            <w:vAlign w:val="center"/>
          </w:tcPr>
          <w:p w14:paraId="6987FB92"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5.9</w:t>
            </w:r>
          </w:p>
        </w:tc>
        <w:tc>
          <w:tcPr>
            <w:tcW w:w="1890" w:type="dxa"/>
            <w:vAlign w:val="center"/>
          </w:tcPr>
          <w:p w14:paraId="20CAEFBA" w14:textId="77777777" w:rsidR="00F82DCD" w:rsidRPr="00F82DCD" w:rsidRDefault="00F82DCD" w:rsidP="00EB4DC9">
            <w:pPr>
              <w:spacing w:after="200" w:line="276" w:lineRule="auto"/>
              <w:jc w:val="center"/>
              <w:rPr>
                <w:rFonts w:asciiTheme="majorBidi" w:hAnsiTheme="majorBidi" w:cstheme="majorBidi"/>
                <w:sz w:val="24"/>
                <w:szCs w:val="24"/>
              </w:rPr>
            </w:pPr>
            <w:r>
              <w:rPr>
                <w:rFonts w:asciiTheme="majorBidi" w:hAnsiTheme="majorBidi" w:cstheme="majorBidi"/>
                <w:sz w:val="24"/>
                <w:szCs w:val="24"/>
              </w:rPr>
              <w:t>5.3</w:t>
            </w:r>
          </w:p>
        </w:tc>
        <w:tc>
          <w:tcPr>
            <w:tcW w:w="1440" w:type="dxa"/>
            <w:vAlign w:val="center"/>
          </w:tcPr>
          <w:p w14:paraId="245B6453"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6.6</w:t>
            </w:r>
          </w:p>
        </w:tc>
        <w:tc>
          <w:tcPr>
            <w:tcW w:w="1243" w:type="dxa"/>
            <w:vAlign w:val="center"/>
          </w:tcPr>
          <w:p w14:paraId="61248F01"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5.8</w:t>
            </w:r>
          </w:p>
        </w:tc>
      </w:tr>
      <w:tr w:rsidR="00F82DCD" w14:paraId="27736CA0" w14:textId="77777777" w:rsidTr="00F82DCD">
        <w:trPr>
          <w:jc w:val="center"/>
        </w:trPr>
        <w:tc>
          <w:tcPr>
            <w:tcW w:w="1915" w:type="dxa"/>
            <w:vAlign w:val="center"/>
          </w:tcPr>
          <w:p w14:paraId="53B8652C"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Root Length (cm)</w:t>
            </w:r>
          </w:p>
        </w:tc>
        <w:tc>
          <w:tcPr>
            <w:tcW w:w="1253" w:type="dxa"/>
            <w:vAlign w:val="center"/>
          </w:tcPr>
          <w:p w14:paraId="640E1902"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2.5</w:t>
            </w:r>
          </w:p>
        </w:tc>
        <w:tc>
          <w:tcPr>
            <w:tcW w:w="1890" w:type="dxa"/>
            <w:vAlign w:val="center"/>
          </w:tcPr>
          <w:p w14:paraId="0BE23B45" w14:textId="77777777" w:rsidR="00F82DCD" w:rsidRPr="00F82DCD" w:rsidRDefault="00F82DCD" w:rsidP="00EB4DC9">
            <w:pPr>
              <w:spacing w:after="200" w:line="276" w:lineRule="auto"/>
              <w:jc w:val="center"/>
              <w:rPr>
                <w:rFonts w:asciiTheme="majorBidi" w:hAnsiTheme="majorBidi" w:cstheme="majorBidi"/>
                <w:sz w:val="24"/>
                <w:szCs w:val="24"/>
              </w:rPr>
            </w:pPr>
            <w:r>
              <w:rPr>
                <w:rFonts w:asciiTheme="majorBidi" w:hAnsiTheme="majorBidi" w:cstheme="majorBidi"/>
                <w:sz w:val="24"/>
                <w:szCs w:val="24"/>
              </w:rPr>
              <w:t>2.8</w:t>
            </w:r>
          </w:p>
        </w:tc>
        <w:tc>
          <w:tcPr>
            <w:tcW w:w="1440" w:type="dxa"/>
            <w:vAlign w:val="center"/>
          </w:tcPr>
          <w:p w14:paraId="01087BDE"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4.3</w:t>
            </w:r>
          </w:p>
        </w:tc>
        <w:tc>
          <w:tcPr>
            <w:tcW w:w="1243" w:type="dxa"/>
            <w:vAlign w:val="center"/>
          </w:tcPr>
          <w:p w14:paraId="3D84B729"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3.7</w:t>
            </w:r>
          </w:p>
        </w:tc>
      </w:tr>
      <w:tr w:rsidR="00F82DCD" w14:paraId="099D4D44" w14:textId="77777777" w:rsidTr="00F82DCD">
        <w:trPr>
          <w:jc w:val="center"/>
        </w:trPr>
        <w:tc>
          <w:tcPr>
            <w:tcW w:w="1915" w:type="dxa"/>
            <w:vAlign w:val="center"/>
          </w:tcPr>
          <w:p w14:paraId="121AF511"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Total Fresh Weight (g)</w:t>
            </w:r>
          </w:p>
        </w:tc>
        <w:tc>
          <w:tcPr>
            <w:tcW w:w="1253" w:type="dxa"/>
            <w:vAlign w:val="center"/>
          </w:tcPr>
          <w:p w14:paraId="2F3856D5"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234.8</w:t>
            </w:r>
          </w:p>
        </w:tc>
        <w:tc>
          <w:tcPr>
            <w:tcW w:w="1890" w:type="dxa"/>
            <w:vAlign w:val="center"/>
          </w:tcPr>
          <w:p w14:paraId="1F67F210" w14:textId="77777777" w:rsidR="00F82DCD" w:rsidRPr="00F82DCD" w:rsidRDefault="00F82DCD" w:rsidP="00EB4DC9">
            <w:pPr>
              <w:spacing w:after="200" w:line="276" w:lineRule="auto"/>
              <w:jc w:val="center"/>
              <w:rPr>
                <w:rFonts w:asciiTheme="majorBidi" w:hAnsiTheme="majorBidi" w:cstheme="majorBidi"/>
                <w:sz w:val="24"/>
                <w:szCs w:val="24"/>
              </w:rPr>
            </w:pPr>
            <w:r>
              <w:rPr>
                <w:rFonts w:asciiTheme="majorBidi" w:hAnsiTheme="majorBidi" w:cstheme="majorBidi"/>
                <w:sz w:val="24"/>
                <w:szCs w:val="24"/>
              </w:rPr>
              <w:t>219.8</w:t>
            </w:r>
          </w:p>
        </w:tc>
        <w:tc>
          <w:tcPr>
            <w:tcW w:w="1440" w:type="dxa"/>
            <w:vAlign w:val="center"/>
          </w:tcPr>
          <w:p w14:paraId="71BE0AA1"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334.7</w:t>
            </w:r>
          </w:p>
        </w:tc>
        <w:tc>
          <w:tcPr>
            <w:tcW w:w="1243" w:type="dxa"/>
            <w:vAlign w:val="center"/>
          </w:tcPr>
          <w:p w14:paraId="22AAB2E2"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224.7</w:t>
            </w:r>
          </w:p>
        </w:tc>
      </w:tr>
      <w:tr w:rsidR="00F82DCD" w14:paraId="2930D831" w14:textId="77777777" w:rsidTr="00F82DCD">
        <w:trPr>
          <w:jc w:val="center"/>
        </w:trPr>
        <w:tc>
          <w:tcPr>
            <w:tcW w:w="1915" w:type="dxa"/>
            <w:vAlign w:val="center"/>
          </w:tcPr>
          <w:p w14:paraId="72A9CFEA"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 xml:space="preserve">Chlorophyll </w:t>
            </w:r>
            <w:r w:rsidRPr="00F82DCD">
              <w:rPr>
                <w:rFonts w:asciiTheme="majorBidi" w:hAnsiTheme="majorBidi" w:cstheme="majorBidi"/>
                <w:b/>
                <w:bCs/>
                <w:i/>
                <w:iCs/>
                <w:sz w:val="24"/>
                <w:szCs w:val="24"/>
              </w:rPr>
              <w:t>a</w:t>
            </w:r>
            <w:r w:rsidRPr="00F82DCD">
              <w:rPr>
                <w:rFonts w:asciiTheme="majorBidi" w:hAnsiTheme="majorBidi" w:cstheme="majorBidi"/>
                <w:b/>
                <w:bCs/>
                <w:sz w:val="24"/>
                <w:szCs w:val="24"/>
              </w:rPr>
              <w:t xml:space="preserve"> Content (mg/g)</w:t>
            </w:r>
          </w:p>
        </w:tc>
        <w:tc>
          <w:tcPr>
            <w:tcW w:w="1253" w:type="dxa"/>
            <w:vAlign w:val="center"/>
          </w:tcPr>
          <w:p w14:paraId="779A3645"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0.85</w:t>
            </w:r>
          </w:p>
        </w:tc>
        <w:tc>
          <w:tcPr>
            <w:tcW w:w="1890" w:type="dxa"/>
            <w:vAlign w:val="center"/>
          </w:tcPr>
          <w:p w14:paraId="7220F56A"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1</w:t>
            </w:r>
          </w:p>
        </w:tc>
        <w:tc>
          <w:tcPr>
            <w:tcW w:w="1440" w:type="dxa"/>
            <w:vAlign w:val="center"/>
          </w:tcPr>
          <w:p w14:paraId="7573E98D"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1.30</w:t>
            </w:r>
          </w:p>
        </w:tc>
        <w:tc>
          <w:tcPr>
            <w:tcW w:w="1243" w:type="dxa"/>
            <w:vAlign w:val="center"/>
          </w:tcPr>
          <w:p w14:paraId="7AD3C4C6"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0.75</w:t>
            </w:r>
          </w:p>
        </w:tc>
      </w:tr>
      <w:tr w:rsidR="00F82DCD" w14:paraId="3173A824" w14:textId="77777777" w:rsidTr="00F82DCD">
        <w:trPr>
          <w:jc w:val="center"/>
        </w:trPr>
        <w:tc>
          <w:tcPr>
            <w:tcW w:w="1915" w:type="dxa"/>
            <w:vAlign w:val="center"/>
          </w:tcPr>
          <w:p w14:paraId="51E297CE"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 xml:space="preserve">Chlorophyll </w:t>
            </w:r>
            <w:r w:rsidRPr="00F82DCD">
              <w:rPr>
                <w:rFonts w:asciiTheme="majorBidi" w:hAnsiTheme="majorBidi" w:cstheme="majorBidi"/>
                <w:b/>
                <w:bCs/>
                <w:i/>
                <w:iCs/>
                <w:sz w:val="24"/>
                <w:szCs w:val="24"/>
              </w:rPr>
              <w:t>b</w:t>
            </w:r>
            <w:r w:rsidRPr="00F82DCD">
              <w:rPr>
                <w:rFonts w:asciiTheme="majorBidi" w:hAnsiTheme="majorBidi" w:cstheme="majorBidi"/>
                <w:b/>
                <w:bCs/>
                <w:sz w:val="24"/>
                <w:szCs w:val="24"/>
              </w:rPr>
              <w:t xml:space="preserve"> Content (mg/g)</w:t>
            </w:r>
          </w:p>
        </w:tc>
        <w:tc>
          <w:tcPr>
            <w:tcW w:w="1253" w:type="dxa"/>
            <w:vAlign w:val="center"/>
          </w:tcPr>
          <w:p w14:paraId="7CE6A907"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0.35</w:t>
            </w:r>
          </w:p>
        </w:tc>
        <w:tc>
          <w:tcPr>
            <w:tcW w:w="1890" w:type="dxa"/>
            <w:vAlign w:val="center"/>
          </w:tcPr>
          <w:p w14:paraId="37EF60AA"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0.</w:t>
            </w:r>
            <w:r>
              <w:rPr>
                <w:rFonts w:asciiTheme="majorBidi" w:hAnsiTheme="majorBidi" w:cstheme="majorBidi"/>
                <w:sz w:val="24"/>
                <w:szCs w:val="24"/>
              </w:rPr>
              <w:t>45</w:t>
            </w:r>
          </w:p>
        </w:tc>
        <w:tc>
          <w:tcPr>
            <w:tcW w:w="1440" w:type="dxa"/>
            <w:vAlign w:val="center"/>
          </w:tcPr>
          <w:p w14:paraId="755C1B9E"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0.65</w:t>
            </w:r>
          </w:p>
        </w:tc>
        <w:tc>
          <w:tcPr>
            <w:tcW w:w="1243" w:type="dxa"/>
          </w:tcPr>
          <w:p w14:paraId="699C6FA3" w14:textId="77777777" w:rsidR="00F82DCD" w:rsidRDefault="00F82DCD" w:rsidP="00EB4DC9">
            <w:pPr>
              <w:jc w:val="center"/>
              <w:rPr>
                <w:rFonts w:asciiTheme="majorBidi" w:hAnsiTheme="majorBidi" w:cstheme="majorBidi"/>
                <w:sz w:val="24"/>
                <w:szCs w:val="24"/>
              </w:rPr>
            </w:pPr>
            <w:r>
              <w:rPr>
                <w:rFonts w:asciiTheme="majorBidi" w:hAnsiTheme="majorBidi" w:cstheme="majorBidi"/>
                <w:sz w:val="24"/>
                <w:szCs w:val="24"/>
              </w:rPr>
              <w:t>0.25</w:t>
            </w:r>
          </w:p>
        </w:tc>
      </w:tr>
    </w:tbl>
    <w:p w14:paraId="3D064472" w14:textId="77777777" w:rsidR="00F55C77" w:rsidRDefault="00F82DCD" w:rsidP="00EB4DC9">
      <w:pPr>
        <w:jc w:val="both"/>
        <w:rPr>
          <w:rFonts w:asciiTheme="majorBidi" w:hAnsiTheme="majorBidi" w:cstheme="majorBidi"/>
          <w:b/>
          <w:bCs/>
          <w:sz w:val="24"/>
          <w:szCs w:val="24"/>
        </w:rPr>
      </w:pPr>
      <w:r w:rsidRPr="00F82DCD">
        <w:rPr>
          <w:rFonts w:asciiTheme="majorBidi" w:hAnsiTheme="majorBidi" w:cstheme="majorBidi"/>
          <w:b/>
          <w:bCs/>
          <w:sz w:val="24"/>
          <w:szCs w:val="24"/>
        </w:rPr>
        <w:t>*The values ​​represent the average of 5 replications</w:t>
      </w:r>
    </w:p>
    <w:p w14:paraId="347C9B50" w14:textId="77777777" w:rsidR="00F82DCD" w:rsidRDefault="00F82DCD" w:rsidP="00EB4DC9">
      <w:pPr>
        <w:jc w:val="both"/>
        <w:rPr>
          <w:rFonts w:asciiTheme="majorBidi" w:hAnsiTheme="majorBidi" w:cstheme="majorBidi"/>
          <w:b/>
          <w:bCs/>
          <w:sz w:val="24"/>
          <w:szCs w:val="24"/>
        </w:rPr>
      </w:pPr>
    </w:p>
    <w:p w14:paraId="2B5F13FF" w14:textId="1F0C0F99" w:rsidR="00F82DCD" w:rsidRPr="00F82DCD" w:rsidRDefault="00F82DCD" w:rsidP="00EB4DC9">
      <w:pPr>
        <w:jc w:val="both"/>
        <w:rPr>
          <w:rFonts w:asciiTheme="majorBidi" w:hAnsiTheme="majorBidi" w:cstheme="majorBidi"/>
          <w:sz w:val="24"/>
          <w:szCs w:val="24"/>
        </w:rPr>
      </w:pPr>
      <w:r w:rsidRPr="00F82DCD">
        <w:rPr>
          <w:rFonts w:asciiTheme="majorBidi" w:hAnsiTheme="majorBidi" w:cstheme="majorBidi"/>
          <w:sz w:val="24"/>
          <w:szCs w:val="24"/>
        </w:rPr>
        <w:t xml:space="preserve">Table (1) data also indicates that the 0.4 mg/L concentration of the enzyme, when added to MS medium, was superior in stimulating the physiological vegetative growth indicators of seedlings in terms of the average total plant length, average shoot length, average root length, total fresh </w:t>
      </w:r>
      <w:r w:rsidRPr="00F82DCD">
        <w:rPr>
          <w:rFonts w:asciiTheme="majorBidi" w:hAnsiTheme="majorBidi" w:cstheme="majorBidi"/>
          <w:sz w:val="24"/>
          <w:szCs w:val="24"/>
        </w:rPr>
        <w:lastRenderedPageBreak/>
        <w:t xml:space="preserve">weight, and chlorophyll a and b content, which reached 10.4 cm, 6.6 cm, 4.3 cm, 334.7 g, 1.30, and 0.75 mg/g, while the addition of 0.2 mg/L had a negative effect on the indicators, which reached 8.1 cm, 5.3 cm, 2.8 cm, 219.8 g, 1, and 0.45 mg/g respectively. At specific concentrations, the enzyme modifies the beta-glucan-rich components of the plant cell wall, increasing its flexibility and facilitating cell elongation, division, and cellular expansion. This positively impacts growth characteristics such as height, fresh weight, and leaf count, reflecting increased photosynthetic efficiency of chloroplasts, which in turn leads to increased chlorophyll a and b production (Thomas </w:t>
      </w:r>
      <w:r w:rsidRPr="00212286">
        <w:rPr>
          <w:rFonts w:asciiTheme="majorBidi" w:hAnsiTheme="majorBidi" w:cstheme="majorBidi"/>
          <w:i/>
          <w:iCs/>
          <w:sz w:val="24"/>
          <w:szCs w:val="24"/>
        </w:rPr>
        <w:t>et al</w:t>
      </w:r>
      <w:r w:rsidRPr="00F82DCD">
        <w:rPr>
          <w:rFonts w:asciiTheme="majorBidi" w:hAnsiTheme="majorBidi" w:cstheme="majorBidi"/>
          <w:sz w:val="24"/>
          <w:szCs w:val="24"/>
        </w:rPr>
        <w:t xml:space="preserve">., 2000; Perrot </w:t>
      </w:r>
      <w:r w:rsidRPr="00212286">
        <w:rPr>
          <w:rFonts w:asciiTheme="majorBidi" w:hAnsiTheme="majorBidi" w:cstheme="majorBidi"/>
          <w:i/>
          <w:iCs/>
          <w:sz w:val="24"/>
          <w:szCs w:val="24"/>
        </w:rPr>
        <w:t>et al</w:t>
      </w:r>
      <w:r w:rsidRPr="00F82DCD">
        <w:rPr>
          <w:rFonts w:asciiTheme="majorBidi" w:hAnsiTheme="majorBidi" w:cstheme="majorBidi"/>
          <w:sz w:val="24"/>
          <w:szCs w:val="24"/>
        </w:rPr>
        <w:t xml:space="preserve">., 2022). Furthermore, lower concentrations of the enzyme can stimulate defensive and physiological pathways in the plant, leading to improved absorption and metabolic efficiency (Cosgrove, 2005). </w:t>
      </w:r>
      <w:r w:rsidR="00212286">
        <w:rPr>
          <w:rFonts w:asciiTheme="majorBidi" w:hAnsiTheme="majorBidi" w:cstheme="majorBidi"/>
          <w:sz w:val="24"/>
          <w:szCs w:val="24"/>
        </w:rPr>
        <w:t>(</w:t>
      </w:r>
      <w:r w:rsidRPr="00F82DCD">
        <w:rPr>
          <w:rFonts w:asciiTheme="majorBidi" w:hAnsiTheme="majorBidi" w:cstheme="majorBidi"/>
          <w:sz w:val="24"/>
          <w:szCs w:val="24"/>
        </w:rPr>
        <w:t xml:space="preserve">Taiz </w:t>
      </w:r>
      <w:r w:rsidRPr="00212286">
        <w:rPr>
          <w:rFonts w:asciiTheme="majorBidi" w:hAnsiTheme="majorBidi" w:cstheme="majorBidi"/>
          <w:i/>
          <w:iCs/>
          <w:sz w:val="24"/>
          <w:szCs w:val="24"/>
        </w:rPr>
        <w:t>et al</w:t>
      </w:r>
      <w:r w:rsidRPr="00F82DCD">
        <w:rPr>
          <w:rFonts w:asciiTheme="majorBidi" w:hAnsiTheme="majorBidi" w:cstheme="majorBidi"/>
          <w:sz w:val="24"/>
          <w:szCs w:val="24"/>
        </w:rPr>
        <w:t>., 2017</w:t>
      </w:r>
      <w:r w:rsidR="00212286">
        <w:rPr>
          <w:rFonts w:asciiTheme="majorBidi" w:hAnsiTheme="majorBidi" w:cstheme="majorBidi"/>
          <w:sz w:val="24"/>
          <w:szCs w:val="24"/>
        </w:rPr>
        <w:t>)</w:t>
      </w:r>
      <w:r w:rsidRPr="00F82DCD">
        <w:rPr>
          <w:rFonts w:asciiTheme="majorBidi" w:hAnsiTheme="majorBidi" w:cstheme="majorBidi"/>
          <w:sz w:val="24"/>
          <w:szCs w:val="24"/>
        </w:rPr>
        <w:t xml:space="preserve">, also indicated that cell wall modifications play a crucial role in promoting plant cell growth and its response to biotic regulators and exogenous enzymes. Conversely, the decrease in growth indicators at a concentration of 0.6 mg/L can be explained by the fact that high concentrations of beta-1,3-glucanase lead to excessive cell wall breakdown, causing impaired plant cell integrity and limiting their ability to divide and grow normally (Leubner-Metzger, 2023). Furthermore, the high concentration may cause physiological stress due to an imbalance between cell wall synthesis and breakdown, thus reducing the efficiency of the plant's vital processes. These results are consistent with the phenomenon of low-dose stimulation and high-dose inhibition, which has been noted in many studies on the use of enzymes or </w:t>
      </w:r>
      <w:proofErr w:type="spellStart"/>
      <w:r w:rsidRPr="00F82DCD">
        <w:rPr>
          <w:rFonts w:asciiTheme="majorBidi" w:hAnsiTheme="majorBidi" w:cstheme="majorBidi"/>
          <w:sz w:val="24"/>
          <w:szCs w:val="24"/>
        </w:rPr>
        <w:t>biostimulants</w:t>
      </w:r>
      <w:proofErr w:type="spellEnd"/>
      <w:r w:rsidRPr="00F82DCD">
        <w:rPr>
          <w:rFonts w:asciiTheme="majorBidi" w:hAnsiTheme="majorBidi" w:cstheme="majorBidi"/>
          <w:sz w:val="24"/>
          <w:szCs w:val="24"/>
        </w:rPr>
        <w:t xml:space="preserve"> in plants, where moderate concentrations have a positive effect while high concentrations have an inhibitory effect on growth (Taiz, </w:t>
      </w:r>
      <w:r w:rsidRPr="00212286">
        <w:rPr>
          <w:rFonts w:asciiTheme="majorBidi" w:hAnsiTheme="majorBidi" w:cstheme="majorBidi"/>
          <w:i/>
          <w:iCs/>
          <w:sz w:val="24"/>
          <w:szCs w:val="24"/>
        </w:rPr>
        <w:t>et al</w:t>
      </w:r>
      <w:r w:rsidRPr="00F82DCD">
        <w:rPr>
          <w:rFonts w:asciiTheme="majorBidi" w:hAnsiTheme="majorBidi" w:cstheme="majorBidi"/>
          <w:sz w:val="24"/>
          <w:szCs w:val="24"/>
        </w:rPr>
        <w:t>., 2015).</w:t>
      </w:r>
    </w:p>
    <w:p w14:paraId="798EDF7F" w14:textId="77777777" w:rsidR="00F55C77" w:rsidRDefault="00F55C77" w:rsidP="00EB4DC9">
      <w:pPr>
        <w:jc w:val="both"/>
        <w:rPr>
          <w:rFonts w:asciiTheme="majorBidi" w:hAnsiTheme="majorBidi" w:cstheme="majorBidi"/>
          <w:sz w:val="24"/>
          <w:szCs w:val="24"/>
        </w:rPr>
      </w:pPr>
    </w:p>
    <w:p w14:paraId="7920FE60" w14:textId="77777777" w:rsidR="00F55C77" w:rsidRDefault="00F55C77" w:rsidP="00EB4DC9">
      <w:pPr>
        <w:jc w:val="both"/>
        <w:rPr>
          <w:rFonts w:asciiTheme="majorBidi" w:hAnsiTheme="majorBidi" w:cstheme="majorBidi"/>
          <w:sz w:val="24"/>
          <w:szCs w:val="24"/>
        </w:rPr>
      </w:pPr>
    </w:p>
    <w:p w14:paraId="01CB90CE" w14:textId="77777777" w:rsidR="00F55C77" w:rsidRPr="00F82DCD" w:rsidRDefault="00F82DCD" w:rsidP="00EB4DC9">
      <w:pPr>
        <w:jc w:val="both"/>
        <w:rPr>
          <w:rFonts w:asciiTheme="majorBidi" w:hAnsiTheme="majorBidi" w:cstheme="majorBidi"/>
          <w:b/>
          <w:bCs/>
          <w:sz w:val="24"/>
          <w:szCs w:val="24"/>
        </w:rPr>
      </w:pPr>
      <w:r w:rsidRPr="00F82DCD">
        <w:rPr>
          <w:rFonts w:asciiTheme="majorBidi" w:hAnsiTheme="majorBidi" w:cstheme="majorBidi"/>
          <w:b/>
          <w:bCs/>
          <w:sz w:val="24"/>
          <w:szCs w:val="24"/>
        </w:rPr>
        <w:t>Estimation of thymoquinone concentration in black cumin seedling leaves grown on MS medium supplemented with different concentrations of beta-1,3-glucanase enzyme, as determined by high-performance liquid chromatography (HPLC).</w:t>
      </w:r>
    </w:p>
    <w:p w14:paraId="797EDFE9" w14:textId="77777777" w:rsidR="00F55C77" w:rsidRDefault="0024002A" w:rsidP="00EB4DC9">
      <w:pPr>
        <w:jc w:val="both"/>
        <w:rPr>
          <w:rFonts w:asciiTheme="majorBidi" w:hAnsiTheme="majorBidi" w:cstheme="majorBidi"/>
          <w:sz w:val="24"/>
          <w:szCs w:val="24"/>
        </w:rPr>
      </w:pPr>
      <w:r w:rsidRPr="0024002A">
        <w:rPr>
          <w:rFonts w:asciiTheme="majorBidi" w:hAnsiTheme="majorBidi" w:cstheme="majorBidi"/>
          <w:sz w:val="24"/>
          <w:szCs w:val="24"/>
        </w:rPr>
        <w:t xml:space="preserve">The results of extracting the thymoquinone compound from the leaves of black cumin seedlings growing on MS medium containing different concentrations of beta 1-3 </w:t>
      </w:r>
      <w:proofErr w:type="spellStart"/>
      <w:r w:rsidRPr="0024002A">
        <w:rPr>
          <w:rFonts w:asciiTheme="majorBidi" w:hAnsiTheme="majorBidi" w:cstheme="majorBidi"/>
          <w:sz w:val="24"/>
          <w:szCs w:val="24"/>
        </w:rPr>
        <w:t>glucanase</w:t>
      </w:r>
      <w:proofErr w:type="spellEnd"/>
      <w:r w:rsidRPr="0024002A">
        <w:rPr>
          <w:rFonts w:asciiTheme="majorBidi" w:hAnsiTheme="majorBidi" w:cstheme="majorBidi"/>
          <w:sz w:val="24"/>
          <w:szCs w:val="24"/>
        </w:rPr>
        <w:t xml:space="preserve"> enzyme and estimating its content using HPLC technology indicate the presence of the thymoquinone compound in all samples, Table (2), as indicated by the retention time (RT) for each of them, and a time close to the retention time of the standard thymoquinone compound sample, Table (2).</w:t>
      </w:r>
    </w:p>
    <w:p w14:paraId="1360ECE1" w14:textId="77777777" w:rsidR="00F55C77" w:rsidRDefault="00F55C77" w:rsidP="00EB4DC9">
      <w:pPr>
        <w:jc w:val="both"/>
        <w:rPr>
          <w:rFonts w:asciiTheme="majorBidi" w:hAnsiTheme="majorBidi" w:cstheme="majorBidi"/>
          <w:sz w:val="24"/>
          <w:szCs w:val="24"/>
        </w:rPr>
      </w:pPr>
    </w:p>
    <w:p w14:paraId="086C2844" w14:textId="77777777" w:rsidR="00F55C77" w:rsidRDefault="00F55C77" w:rsidP="00EB4DC9">
      <w:pPr>
        <w:jc w:val="both"/>
        <w:rPr>
          <w:rFonts w:asciiTheme="majorBidi" w:hAnsiTheme="majorBidi" w:cstheme="majorBidi"/>
          <w:sz w:val="24"/>
          <w:szCs w:val="24"/>
        </w:rPr>
      </w:pPr>
    </w:p>
    <w:p w14:paraId="385178D8" w14:textId="77777777" w:rsidR="00785CAC" w:rsidRPr="008D74AE" w:rsidRDefault="0024002A" w:rsidP="00EB4DC9">
      <w:pPr>
        <w:jc w:val="both"/>
        <w:rPr>
          <w:rFonts w:asciiTheme="majorBidi" w:hAnsiTheme="majorBidi" w:cstheme="majorBidi"/>
          <w:b/>
          <w:bCs/>
          <w:sz w:val="24"/>
          <w:szCs w:val="24"/>
          <w:rtl/>
        </w:rPr>
      </w:pPr>
      <w:r w:rsidRPr="0024002A">
        <w:rPr>
          <w:rFonts w:asciiTheme="majorBidi" w:hAnsiTheme="majorBidi" w:cstheme="majorBidi"/>
          <w:b/>
          <w:bCs/>
          <w:sz w:val="24"/>
          <w:szCs w:val="24"/>
        </w:rPr>
        <w:t xml:space="preserve">Table (2) Retention time, curve area, and standard thymoquinone concentration of black cumin seedlings cultured in MS medium supplemented with different concentrations of beta-1-3 </w:t>
      </w:r>
      <w:proofErr w:type="spellStart"/>
      <w:r w:rsidRPr="0024002A">
        <w:rPr>
          <w:rFonts w:asciiTheme="majorBidi" w:hAnsiTheme="majorBidi" w:cstheme="majorBidi"/>
          <w:b/>
          <w:bCs/>
          <w:sz w:val="24"/>
          <w:szCs w:val="24"/>
        </w:rPr>
        <w:t>glucanase</w:t>
      </w:r>
      <w:proofErr w:type="spellEnd"/>
      <w:r w:rsidRPr="0024002A">
        <w:rPr>
          <w:rFonts w:asciiTheme="majorBidi" w:hAnsiTheme="majorBidi" w:cstheme="majorBidi"/>
          <w:b/>
          <w:bCs/>
          <w:sz w:val="24"/>
          <w:szCs w:val="24"/>
        </w:rPr>
        <w:t xml:space="preserve"> enzyme</w:t>
      </w:r>
    </w:p>
    <w:p w14:paraId="2895BC87" w14:textId="77777777" w:rsidR="00785CAC" w:rsidRDefault="00785CAC" w:rsidP="00EB4DC9">
      <w:pPr>
        <w:jc w:val="both"/>
        <w:rPr>
          <w:rFonts w:asciiTheme="majorBidi" w:hAnsiTheme="majorBidi" w:cstheme="majorBidi"/>
          <w:b/>
          <w:bCs/>
          <w:sz w:val="24"/>
          <w:szCs w:val="24"/>
          <w:rtl/>
        </w:rPr>
      </w:pPr>
    </w:p>
    <w:tbl>
      <w:tblPr>
        <w:tblStyle w:val="TableGrid"/>
        <w:tblW w:w="9576" w:type="dxa"/>
        <w:tblLook w:val="04A0" w:firstRow="1" w:lastRow="0" w:firstColumn="1" w:lastColumn="0" w:noHBand="0" w:noVBand="1"/>
      </w:tblPr>
      <w:tblGrid>
        <w:gridCol w:w="2394"/>
        <w:gridCol w:w="2394"/>
        <w:gridCol w:w="2394"/>
        <w:gridCol w:w="2394"/>
      </w:tblGrid>
      <w:tr w:rsidR="00785CAC" w14:paraId="7044D2D7" w14:textId="77777777" w:rsidTr="00785CAC">
        <w:tc>
          <w:tcPr>
            <w:tcW w:w="2394" w:type="dxa"/>
            <w:vAlign w:val="center"/>
          </w:tcPr>
          <w:p w14:paraId="136E5A84" w14:textId="77777777" w:rsidR="00785CAC" w:rsidRPr="00785CAC" w:rsidRDefault="00785CAC" w:rsidP="00EB4DC9">
            <w:pPr>
              <w:spacing w:after="480"/>
              <w:jc w:val="both"/>
              <w:rPr>
                <w:rFonts w:ascii="Times New Roman" w:eastAsia="Times New Roman" w:hAnsi="Times New Roman" w:cs="Times New Roman"/>
                <w:sz w:val="24"/>
                <w:szCs w:val="24"/>
              </w:rPr>
            </w:pPr>
            <w:r w:rsidRPr="00785CAC">
              <w:rPr>
                <w:rFonts w:ascii="Times New Roman" w:eastAsia="Times New Roman" w:hAnsi="Times New Roman" w:cs="Times New Roman"/>
                <w:b/>
                <w:bCs/>
                <w:sz w:val="24"/>
                <w:szCs w:val="24"/>
              </w:rPr>
              <w:t>Samples</w:t>
            </w:r>
          </w:p>
        </w:tc>
        <w:tc>
          <w:tcPr>
            <w:tcW w:w="2394" w:type="dxa"/>
            <w:vAlign w:val="center"/>
          </w:tcPr>
          <w:p w14:paraId="0B933AC5" w14:textId="77777777" w:rsidR="00785CAC" w:rsidRPr="00785CAC" w:rsidRDefault="00785CAC" w:rsidP="00EB4DC9">
            <w:pPr>
              <w:spacing w:after="480"/>
              <w:jc w:val="both"/>
              <w:rPr>
                <w:rFonts w:ascii="Times New Roman" w:eastAsia="Times New Roman" w:hAnsi="Times New Roman" w:cs="Times New Roman"/>
                <w:sz w:val="24"/>
                <w:szCs w:val="24"/>
              </w:rPr>
            </w:pPr>
            <w:r w:rsidRPr="00785CAC">
              <w:rPr>
                <w:rFonts w:ascii="Times New Roman" w:eastAsia="Times New Roman" w:hAnsi="Times New Roman" w:cs="Times New Roman"/>
                <w:b/>
                <w:bCs/>
                <w:sz w:val="24"/>
                <w:szCs w:val="24"/>
              </w:rPr>
              <w:t>Retention Time (min)</w:t>
            </w:r>
          </w:p>
        </w:tc>
        <w:tc>
          <w:tcPr>
            <w:tcW w:w="2394" w:type="dxa"/>
            <w:vAlign w:val="center"/>
          </w:tcPr>
          <w:p w14:paraId="2A424F9D" w14:textId="77777777" w:rsidR="00785CAC" w:rsidRPr="00785CAC" w:rsidRDefault="00785CAC" w:rsidP="00EB4DC9">
            <w:pPr>
              <w:spacing w:after="480"/>
              <w:jc w:val="both"/>
              <w:rPr>
                <w:rFonts w:ascii="Times New Roman" w:eastAsia="Times New Roman" w:hAnsi="Times New Roman" w:cs="Times New Roman"/>
                <w:sz w:val="24"/>
                <w:szCs w:val="24"/>
              </w:rPr>
            </w:pPr>
            <w:r w:rsidRPr="00785CAC">
              <w:rPr>
                <w:rFonts w:ascii="Times New Roman" w:eastAsia="Times New Roman" w:hAnsi="Times New Roman" w:cs="Times New Roman"/>
                <w:b/>
                <w:bCs/>
                <w:sz w:val="24"/>
                <w:szCs w:val="24"/>
              </w:rPr>
              <w:t>Peak Area</w:t>
            </w:r>
          </w:p>
        </w:tc>
        <w:tc>
          <w:tcPr>
            <w:tcW w:w="2394" w:type="dxa"/>
            <w:vAlign w:val="center"/>
          </w:tcPr>
          <w:p w14:paraId="4CF50EC7" w14:textId="77777777" w:rsidR="00785CAC" w:rsidRPr="00785CAC" w:rsidRDefault="00785CAC" w:rsidP="00EB4DC9">
            <w:pPr>
              <w:spacing w:after="480"/>
              <w:jc w:val="both"/>
              <w:rPr>
                <w:rFonts w:ascii="Times New Roman" w:eastAsia="Times New Roman" w:hAnsi="Times New Roman" w:cs="Times New Roman"/>
                <w:sz w:val="24"/>
                <w:szCs w:val="24"/>
              </w:rPr>
            </w:pPr>
            <w:r w:rsidRPr="00785CAC">
              <w:rPr>
                <w:rFonts w:ascii="Times New Roman" w:eastAsia="Times New Roman" w:hAnsi="Times New Roman" w:cs="Times New Roman"/>
                <w:b/>
                <w:bCs/>
                <w:sz w:val="24"/>
                <w:szCs w:val="24"/>
              </w:rPr>
              <w:t>Concentration (µg/mL)</w:t>
            </w:r>
          </w:p>
        </w:tc>
      </w:tr>
      <w:tr w:rsidR="00785CAC" w14:paraId="75113ED1" w14:textId="77777777" w:rsidTr="00785CAC">
        <w:tc>
          <w:tcPr>
            <w:tcW w:w="2394" w:type="dxa"/>
            <w:vAlign w:val="center"/>
          </w:tcPr>
          <w:p w14:paraId="1B596730" w14:textId="77777777" w:rsidR="00785CAC" w:rsidRPr="00785CAC" w:rsidRDefault="00785CAC" w:rsidP="00EB4DC9">
            <w:pPr>
              <w:spacing w:after="480"/>
              <w:jc w:val="both"/>
              <w:rPr>
                <w:rFonts w:ascii="Times New Roman" w:eastAsia="Times New Roman" w:hAnsi="Times New Roman" w:cs="Times New Roman"/>
                <w:sz w:val="24"/>
                <w:szCs w:val="24"/>
              </w:rPr>
            </w:pPr>
            <w:r w:rsidRPr="00785CAC">
              <w:rPr>
                <w:rFonts w:ascii="Times New Roman" w:eastAsia="Times New Roman" w:hAnsi="Times New Roman" w:cs="Times New Roman"/>
                <w:b/>
                <w:bCs/>
                <w:sz w:val="24"/>
                <w:szCs w:val="24"/>
              </w:rPr>
              <w:t>MS Medium (Control)</w:t>
            </w:r>
          </w:p>
        </w:tc>
        <w:tc>
          <w:tcPr>
            <w:tcW w:w="2394" w:type="dxa"/>
            <w:vAlign w:val="center"/>
          </w:tcPr>
          <w:p w14:paraId="4FD85143"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4.23</w:t>
            </w:r>
          </w:p>
        </w:tc>
        <w:tc>
          <w:tcPr>
            <w:tcW w:w="2394" w:type="dxa"/>
            <w:vAlign w:val="center"/>
          </w:tcPr>
          <w:p w14:paraId="38B2535A"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18744.05</w:t>
            </w:r>
          </w:p>
        </w:tc>
        <w:tc>
          <w:tcPr>
            <w:tcW w:w="2394" w:type="dxa"/>
            <w:vAlign w:val="center"/>
          </w:tcPr>
          <w:p w14:paraId="2C347FA2" w14:textId="77777777" w:rsidR="00785CAC" w:rsidRPr="00785CAC" w:rsidRDefault="00212286" w:rsidP="00EB4DC9">
            <w:pPr>
              <w:spacing w:after="4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47.16</w:t>
            </w:r>
          </w:p>
        </w:tc>
      </w:tr>
      <w:tr w:rsidR="00785CAC" w14:paraId="00B0EF28" w14:textId="77777777" w:rsidTr="00785CAC">
        <w:tc>
          <w:tcPr>
            <w:tcW w:w="2394" w:type="dxa"/>
            <w:vAlign w:val="center"/>
          </w:tcPr>
          <w:p w14:paraId="31A3D761" w14:textId="77777777" w:rsidR="00785CAC" w:rsidRPr="00785CAC" w:rsidRDefault="00785CAC" w:rsidP="00EB4DC9">
            <w:pPr>
              <w:spacing w:after="480"/>
              <w:jc w:val="both"/>
              <w:rPr>
                <w:rFonts w:ascii="Times New Roman" w:eastAsia="Times New Roman" w:hAnsi="Times New Roman" w:cs="Times New Roman"/>
                <w:sz w:val="24"/>
                <w:szCs w:val="24"/>
              </w:rPr>
            </w:pPr>
            <w:r w:rsidRPr="00785CAC">
              <w:rPr>
                <w:rFonts w:ascii="Times New Roman" w:eastAsia="Times New Roman" w:hAnsi="Times New Roman" w:cs="Times New Roman"/>
                <w:b/>
                <w:bCs/>
                <w:sz w:val="24"/>
                <w:szCs w:val="24"/>
              </w:rPr>
              <w:t>0.2 mg/L Concentration</w:t>
            </w:r>
          </w:p>
        </w:tc>
        <w:tc>
          <w:tcPr>
            <w:tcW w:w="2394" w:type="dxa"/>
            <w:vAlign w:val="center"/>
          </w:tcPr>
          <w:p w14:paraId="758A7D06"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4.20</w:t>
            </w:r>
          </w:p>
        </w:tc>
        <w:tc>
          <w:tcPr>
            <w:tcW w:w="2394" w:type="dxa"/>
            <w:vAlign w:val="center"/>
          </w:tcPr>
          <w:p w14:paraId="5CEB58BF"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21001.65</w:t>
            </w:r>
          </w:p>
        </w:tc>
        <w:tc>
          <w:tcPr>
            <w:tcW w:w="2394" w:type="dxa"/>
            <w:vAlign w:val="center"/>
          </w:tcPr>
          <w:p w14:paraId="4BB8841B" w14:textId="77777777" w:rsidR="00785CAC" w:rsidRPr="00785CAC" w:rsidRDefault="00212286" w:rsidP="00EB4DC9">
            <w:pPr>
              <w:spacing w:after="4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52.84</w:t>
            </w:r>
          </w:p>
        </w:tc>
      </w:tr>
      <w:tr w:rsidR="00785CAC" w14:paraId="3F9CDC03" w14:textId="77777777" w:rsidTr="00785CAC">
        <w:tc>
          <w:tcPr>
            <w:tcW w:w="2394" w:type="dxa"/>
            <w:vAlign w:val="center"/>
          </w:tcPr>
          <w:p w14:paraId="1ED381DD" w14:textId="77777777" w:rsidR="00785CAC" w:rsidRPr="00785CAC" w:rsidRDefault="00785CAC" w:rsidP="00EB4DC9">
            <w:pPr>
              <w:spacing w:after="480"/>
              <w:jc w:val="both"/>
              <w:rPr>
                <w:rFonts w:ascii="Times New Roman" w:eastAsia="Times New Roman" w:hAnsi="Times New Roman" w:cs="Times New Roman"/>
                <w:sz w:val="24"/>
                <w:szCs w:val="24"/>
              </w:rPr>
            </w:pPr>
            <w:r w:rsidRPr="00785CAC">
              <w:rPr>
                <w:rFonts w:ascii="Times New Roman" w:eastAsia="Times New Roman" w:hAnsi="Times New Roman" w:cs="Times New Roman"/>
                <w:b/>
                <w:bCs/>
                <w:sz w:val="24"/>
                <w:szCs w:val="24"/>
              </w:rPr>
              <w:t>0.4 mg/L Concentration</w:t>
            </w:r>
          </w:p>
        </w:tc>
        <w:tc>
          <w:tcPr>
            <w:tcW w:w="2394" w:type="dxa"/>
            <w:vAlign w:val="center"/>
          </w:tcPr>
          <w:p w14:paraId="3329B4D5"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4.28</w:t>
            </w:r>
          </w:p>
        </w:tc>
        <w:tc>
          <w:tcPr>
            <w:tcW w:w="2394" w:type="dxa"/>
            <w:vAlign w:val="center"/>
          </w:tcPr>
          <w:p w14:paraId="620B2189"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29870.22</w:t>
            </w:r>
          </w:p>
        </w:tc>
        <w:tc>
          <w:tcPr>
            <w:tcW w:w="2394" w:type="dxa"/>
            <w:vAlign w:val="center"/>
          </w:tcPr>
          <w:p w14:paraId="60127845" w14:textId="77777777" w:rsidR="00785CAC" w:rsidRPr="00785CAC" w:rsidRDefault="00212286" w:rsidP="00EB4DC9">
            <w:pPr>
              <w:spacing w:after="4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75.17</w:t>
            </w:r>
          </w:p>
        </w:tc>
      </w:tr>
      <w:tr w:rsidR="00785CAC" w14:paraId="7898F8ED" w14:textId="77777777" w:rsidTr="00785CAC">
        <w:tc>
          <w:tcPr>
            <w:tcW w:w="2394" w:type="dxa"/>
            <w:vAlign w:val="center"/>
          </w:tcPr>
          <w:p w14:paraId="7FB13CF9" w14:textId="77777777" w:rsidR="00785CAC" w:rsidRPr="00785CAC" w:rsidRDefault="00785CAC" w:rsidP="00EB4DC9">
            <w:pPr>
              <w:spacing w:after="480"/>
              <w:jc w:val="both"/>
              <w:rPr>
                <w:rFonts w:ascii="Times New Roman" w:eastAsia="Times New Roman" w:hAnsi="Times New Roman" w:cs="Times New Roman"/>
                <w:sz w:val="24"/>
                <w:szCs w:val="24"/>
              </w:rPr>
            </w:pPr>
            <w:r w:rsidRPr="00785CAC">
              <w:rPr>
                <w:rFonts w:ascii="Times New Roman" w:eastAsia="Times New Roman" w:hAnsi="Times New Roman" w:cs="Times New Roman"/>
                <w:b/>
                <w:bCs/>
                <w:sz w:val="24"/>
                <w:szCs w:val="24"/>
              </w:rPr>
              <w:t>0.6 mg/L Concentration</w:t>
            </w:r>
          </w:p>
        </w:tc>
        <w:tc>
          <w:tcPr>
            <w:tcW w:w="2394" w:type="dxa"/>
            <w:vAlign w:val="center"/>
          </w:tcPr>
          <w:p w14:paraId="4D7D0D26"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4.22</w:t>
            </w:r>
          </w:p>
        </w:tc>
        <w:tc>
          <w:tcPr>
            <w:tcW w:w="2394" w:type="dxa"/>
            <w:vAlign w:val="center"/>
          </w:tcPr>
          <w:p w14:paraId="516E4BD6"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27455.01</w:t>
            </w:r>
          </w:p>
        </w:tc>
        <w:tc>
          <w:tcPr>
            <w:tcW w:w="2394" w:type="dxa"/>
            <w:vAlign w:val="center"/>
          </w:tcPr>
          <w:p w14:paraId="0F603334" w14:textId="77777777" w:rsidR="00785CAC" w:rsidRPr="00785CAC" w:rsidRDefault="00212286" w:rsidP="00EB4DC9">
            <w:pPr>
              <w:spacing w:after="4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69.08</w:t>
            </w:r>
          </w:p>
        </w:tc>
      </w:tr>
      <w:tr w:rsidR="00785CAC" w14:paraId="748B92A2" w14:textId="77777777" w:rsidTr="00785CAC">
        <w:tc>
          <w:tcPr>
            <w:tcW w:w="2394" w:type="dxa"/>
            <w:vAlign w:val="center"/>
          </w:tcPr>
          <w:p w14:paraId="1F928E4A" w14:textId="77777777" w:rsidR="00785CAC" w:rsidRPr="00785CAC" w:rsidRDefault="00785CAC" w:rsidP="00EB4DC9">
            <w:pPr>
              <w:spacing w:after="480"/>
              <w:jc w:val="both"/>
              <w:rPr>
                <w:rFonts w:ascii="Times New Roman" w:eastAsia="Times New Roman" w:hAnsi="Times New Roman" w:cs="Times New Roman"/>
                <w:sz w:val="24"/>
                <w:szCs w:val="24"/>
              </w:rPr>
            </w:pPr>
            <w:r w:rsidRPr="00785CAC">
              <w:rPr>
                <w:rFonts w:ascii="Times New Roman" w:eastAsia="Times New Roman" w:hAnsi="Times New Roman" w:cs="Times New Roman"/>
                <w:b/>
                <w:bCs/>
                <w:sz w:val="24"/>
                <w:szCs w:val="24"/>
              </w:rPr>
              <w:t>Standard Thymoquinone (Black Seed seedling leaves)</w:t>
            </w:r>
          </w:p>
        </w:tc>
        <w:tc>
          <w:tcPr>
            <w:tcW w:w="2394" w:type="dxa"/>
            <w:vAlign w:val="center"/>
          </w:tcPr>
          <w:p w14:paraId="54697FD4"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4.23</w:t>
            </w:r>
          </w:p>
        </w:tc>
        <w:tc>
          <w:tcPr>
            <w:tcW w:w="2394" w:type="dxa"/>
            <w:vAlign w:val="center"/>
          </w:tcPr>
          <w:p w14:paraId="6E59C4C6"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1987.00</w:t>
            </w:r>
          </w:p>
        </w:tc>
        <w:tc>
          <w:tcPr>
            <w:tcW w:w="2394" w:type="dxa"/>
            <w:vAlign w:val="center"/>
          </w:tcPr>
          <w:p w14:paraId="04DEDB31"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5.0</w:t>
            </w:r>
          </w:p>
        </w:tc>
      </w:tr>
    </w:tbl>
    <w:p w14:paraId="298534A8" w14:textId="77777777" w:rsidR="00785CAC" w:rsidRDefault="00785CAC" w:rsidP="00EB4DC9">
      <w:pPr>
        <w:jc w:val="both"/>
        <w:rPr>
          <w:rFonts w:asciiTheme="majorBidi" w:hAnsiTheme="majorBidi" w:cstheme="majorBidi"/>
          <w:b/>
          <w:bCs/>
          <w:sz w:val="24"/>
          <w:szCs w:val="24"/>
          <w:rtl/>
        </w:rPr>
      </w:pPr>
    </w:p>
    <w:p w14:paraId="7641E8C5" w14:textId="77777777" w:rsidR="00785CAC" w:rsidRDefault="00785CAC" w:rsidP="00EB4DC9">
      <w:pPr>
        <w:jc w:val="both"/>
        <w:rPr>
          <w:rFonts w:asciiTheme="majorBidi" w:hAnsiTheme="majorBidi" w:cstheme="majorBidi"/>
          <w:b/>
          <w:bCs/>
          <w:sz w:val="24"/>
          <w:szCs w:val="24"/>
          <w:rtl/>
        </w:rPr>
      </w:pPr>
    </w:p>
    <w:p w14:paraId="598BC24E" w14:textId="77777777" w:rsidR="008D74AE" w:rsidRDefault="008D74AE" w:rsidP="00EB4DC9">
      <w:pPr>
        <w:jc w:val="both"/>
        <w:rPr>
          <w:rFonts w:asciiTheme="majorBidi" w:hAnsiTheme="majorBidi" w:cstheme="majorBidi"/>
          <w:b/>
          <w:bCs/>
          <w:sz w:val="24"/>
          <w:szCs w:val="24"/>
          <w:rtl/>
        </w:rPr>
      </w:pPr>
    </w:p>
    <w:p w14:paraId="61AA042C" w14:textId="77777777" w:rsidR="008D74AE" w:rsidRDefault="008D74AE" w:rsidP="00EB4DC9">
      <w:pPr>
        <w:jc w:val="both"/>
        <w:rPr>
          <w:rFonts w:asciiTheme="majorBidi" w:hAnsiTheme="majorBidi" w:cstheme="majorBidi"/>
          <w:b/>
          <w:bCs/>
          <w:sz w:val="24"/>
          <w:szCs w:val="24"/>
          <w:rtl/>
        </w:rPr>
      </w:pPr>
    </w:p>
    <w:p w14:paraId="526F0405" w14:textId="77777777" w:rsidR="008D74AE" w:rsidRDefault="008D74AE" w:rsidP="00EB4DC9">
      <w:pPr>
        <w:jc w:val="both"/>
        <w:rPr>
          <w:rFonts w:asciiTheme="majorBidi" w:hAnsiTheme="majorBidi" w:cstheme="majorBidi"/>
          <w:b/>
          <w:bCs/>
          <w:sz w:val="24"/>
          <w:szCs w:val="24"/>
          <w:rtl/>
        </w:rPr>
      </w:pPr>
    </w:p>
    <w:p w14:paraId="07FA0D36" w14:textId="77777777" w:rsidR="008D74AE" w:rsidRDefault="008D74AE" w:rsidP="00EB4DC9">
      <w:pPr>
        <w:jc w:val="both"/>
        <w:rPr>
          <w:rFonts w:asciiTheme="majorBidi" w:hAnsiTheme="majorBidi" w:cstheme="majorBidi"/>
          <w:b/>
          <w:bCs/>
          <w:sz w:val="24"/>
          <w:szCs w:val="24"/>
          <w:rtl/>
        </w:rPr>
      </w:pPr>
    </w:p>
    <w:p w14:paraId="1ED9787B" w14:textId="77777777" w:rsidR="008D74AE" w:rsidRDefault="008D74AE" w:rsidP="00EB4DC9">
      <w:pPr>
        <w:jc w:val="both"/>
        <w:rPr>
          <w:rFonts w:asciiTheme="majorBidi" w:hAnsiTheme="majorBidi" w:cstheme="majorBidi"/>
          <w:b/>
          <w:bCs/>
          <w:sz w:val="24"/>
          <w:szCs w:val="24"/>
          <w:rtl/>
        </w:rPr>
      </w:pPr>
    </w:p>
    <w:p w14:paraId="17EFD270" w14:textId="77777777" w:rsidR="008D74AE" w:rsidRDefault="008D74AE" w:rsidP="00EB4DC9">
      <w:pPr>
        <w:jc w:val="both"/>
        <w:rPr>
          <w:rFonts w:asciiTheme="majorBidi" w:hAnsiTheme="majorBidi" w:cstheme="majorBidi"/>
          <w:b/>
          <w:bCs/>
          <w:sz w:val="24"/>
          <w:szCs w:val="24"/>
          <w:rtl/>
        </w:rPr>
      </w:pPr>
    </w:p>
    <w:p w14:paraId="6668DEAA" w14:textId="77777777" w:rsidR="008D74AE" w:rsidRDefault="008D74AE" w:rsidP="00EB4DC9">
      <w:pPr>
        <w:jc w:val="both"/>
        <w:rPr>
          <w:rFonts w:asciiTheme="majorBidi" w:hAnsiTheme="majorBidi" w:cstheme="majorBidi"/>
          <w:b/>
          <w:bCs/>
          <w:sz w:val="24"/>
          <w:szCs w:val="24"/>
          <w:rtl/>
        </w:rPr>
      </w:pPr>
    </w:p>
    <w:p w14:paraId="603300A3" w14:textId="77777777" w:rsidR="008D74AE" w:rsidRDefault="008D74AE" w:rsidP="00EB4DC9">
      <w:pPr>
        <w:jc w:val="both"/>
        <w:rPr>
          <w:rFonts w:asciiTheme="majorBidi" w:hAnsiTheme="majorBidi" w:cstheme="majorBidi"/>
          <w:b/>
          <w:bCs/>
          <w:sz w:val="24"/>
          <w:szCs w:val="24"/>
          <w:rtl/>
        </w:rPr>
      </w:pPr>
    </w:p>
    <w:p w14:paraId="1FAC6819" w14:textId="77777777" w:rsidR="008D74AE" w:rsidRDefault="008D74AE" w:rsidP="00EB4DC9">
      <w:pPr>
        <w:jc w:val="both"/>
        <w:rPr>
          <w:rFonts w:asciiTheme="majorBidi" w:hAnsiTheme="majorBidi" w:cstheme="majorBidi"/>
          <w:b/>
          <w:bCs/>
          <w:sz w:val="24"/>
          <w:szCs w:val="24"/>
          <w:rtl/>
        </w:rPr>
      </w:pPr>
      <w:r>
        <w:rPr>
          <w:rFonts w:ascii="Simplified Arabic" w:hAnsi="Simplified Arabic" w:cs="Simplified Arabic"/>
          <w:noProof/>
          <w:sz w:val="28"/>
          <w:szCs w:val="28"/>
          <w:rtl/>
        </w:rPr>
        <w:lastRenderedPageBreak/>
        <w:drawing>
          <wp:inline distT="0" distB="0" distL="0" distR="0" wp14:anchorId="2A392CB6" wp14:editId="6E751DAD">
            <wp:extent cx="5124450" cy="3115020"/>
            <wp:effectExtent l="0" t="0" r="0" b="9525"/>
            <wp:docPr id="1" name="صورة 1" descr="C:\Users\GHAZA\Desktop\قققق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GHAZA\Desktop\ققققق.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3008" cy="3120222"/>
                    </a:xfrm>
                    <a:prstGeom prst="rect">
                      <a:avLst/>
                    </a:prstGeom>
                    <a:noFill/>
                    <a:ln>
                      <a:noFill/>
                    </a:ln>
                  </pic:spPr>
                </pic:pic>
              </a:graphicData>
            </a:graphic>
          </wp:inline>
        </w:drawing>
      </w:r>
    </w:p>
    <w:p w14:paraId="34225CBA" w14:textId="13A17B1B" w:rsidR="008D74AE" w:rsidRPr="008D74AE" w:rsidRDefault="00C97AFC" w:rsidP="00C97AFC">
      <w:pPr>
        <w:pStyle w:val="ListParagraph"/>
        <w:ind w:left="750"/>
        <w:jc w:val="both"/>
        <w:rPr>
          <w:rFonts w:asciiTheme="majorBidi" w:hAnsiTheme="majorBidi" w:cstheme="majorBidi"/>
          <w:b/>
          <w:bCs/>
          <w:sz w:val="24"/>
          <w:szCs w:val="24"/>
          <w:rtl/>
        </w:rPr>
      </w:pPr>
      <w:r>
        <w:rPr>
          <w:rFonts w:asciiTheme="majorBidi" w:hAnsiTheme="majorBidi" w:cstheme="majorBidi"/>
          <w:b/>
          <w:bCs/>
          <w:sz w:val="24"/>
          <w:szCs w:val="24"/>
        </w:rPr>
        <w:t>Fig 1A</w:t>
      </w:r>
      <w:r w:rsidR="008D74AE" w:rsidRPr="008D74AE">
        <w:rPr>
          <w:rFonts w:asciiTheme="majorBidi" w:hAnsiTheme="majorBidi" w:cstheme="majorBidi"/>
          <w:b/>
          <w:bCs/>
          <w:sz w:val="24"/>
          <w:szCs w:val="24"/>
        </w:rPr>
        <w:t>Standard thymoquinone curve</w:t>
      </w:r>
    </w:p>
    <w:p w14:paraId="254C16A7" w14:textId="51C45FBB" w:rsidR="008D74AE" w:rsidRDefault="008D74AE" w:rsidP="00EB4DC9">
      <w:pPr>
        <w:ind w:left="360"/>
        <w:jc w:val="both"/>
        <w:rPr>
          <w:rFonts w:asciiTheme="majorBidi" w:hAnsiTheme="majorBidi" w:cstheme="majorBidi"/>
          <w:sz w:val="24"/>
          <w:szCs w:val="24"/>
          <w:rtl/>
          <w:lang w:bidi="ar-IQ"/>
        </w:rPr>
      </w:pPr>
      <w:r w:rsidRPr="008D74AE">
        <w:rPr>
          <w:rFonts w:asciiTheme="majorBidi" w:hAnsiTheme="majorBidi" w:cstheme="majorBidi"/>
          <w:sz w:val="24"/>
          <w:szCs w:val="24"/>
          <w:lang w:bidi="ar-IQ"/>
        </w:rPr>
        <w:t xml:space="preserve">The results indicated that the concentration of 0.4 mg/L of beta-1-3 </w:t>
      </w:r>
      <w:proofErr w:type="spellStart"/>
      <w:r w:rsidRPr="008D74AE">
        <w:rPr>
          <w:rFonts w:asciiTheme="majorBidi" w:hAnsiTheme="majorBidi" w:cstheme="majorBidi"/>
          <w:sz w:val="24"/>
          <w:szCs w:val="24"/>
          <w:lang w:bidi="ar-IQ"/>
        </w:rPr>
        <w:t>glucanase</w:t>
      </w:r>
      <w:proofErr w:type="spellEnd"/>
      <w:r w:rsidRPr="008D74AE">
        <w:rPr>
          <w:rFonts w:asciiTheme="majorBidi" w:hAnsiTheme="majorBidi" w:cstheme="majorBidi"/>
          <w:sz w:val="24"/>
          <w:szCs w:val="24"/>
          <w:lang w:bidi="ar-IQ"/>
        </w:rPr>
        <w:t xml:space="preserve"> enzyme added to MS medium had the largest curve area of ​​29870.22 at a retention time (Rt) of 4.28 minutes (Figure </w:t>
      </w:r>
      <w:r w:rsidR="00C97AFC">
        <w:rPr>
          <w:rFonts w:asciiTheme="majorBidi" w:hAnsiTheme="majorBidi" w:cstheme="majorBidi"/>
          <w:sz w:val="24"/>
          <w:szCs w:val="24"/>
          <w:lang w:bidi="ar-IQ"/>
        </w:rPr>
        <w:t>1</w:t>
      </w:r>
      <w:r w:rsidRPr="008D74AE">
        <w:rPr>
          <w:rFonts w:asciiTheme="majorBidi" w:hAnsiTheme="majorBidi" w:cstheme="majorBidi"/>
          <w:sz w:val="24"/>
          <w:szCs w:val="24"/>
          <w:lang w:bidi="ar-IQ"/>
        </w:rPr>
        <w:t xml:space="preserve">D), surpassing the rest of the samples. This was followed by the curve area of ​​a concentration of 0.6 mg/L of 27455.01 with a concentration of 281.4 µg mL-1 (Figure </w:t>
      </w:r>
      <w:r w:rsidR="00C97AFC">
        <w:rPr>
          <w:rFonts w:asciiTheme="majorBidi" w:hAnsiTheme="majorBidi" w:cstheme="majorBidi"/>
          <w:sz w:val="24"/>
          <w:szCs w:val="24"/>
          <w:lang w:bidi="ar-IQ"/>
        </w:rPr>
        <w:t>1</w:t>
      </w:r>
      <w:r w:rsidRPr="008D74AE">
        <w:rPr>
          <w:rFonts w:asciiTheme="majorBidi" w:hAnsiTheme="majorBidi" w:cstheme="majorBidi"/>
          <w:sz w:val="24"/>
          <w:szCs w:val="24"/>
          <w:lang w:bidi="ar-IQ"/>
        </w:rPr>
        <w:t xml:space="preserve">E), compared with the rest of the isolates (Figure </w:t>
      </w:r>
      <w:r w:rsidR="00C97AFC">
        <w:rPr>
          <w:rFonts w:asciiTheme="majorBidi" w:hAnsiTheme="majorBidi" w:cstheme="majorBidi"/>
          <w:sz w:val="24"/>
          <w:szCs w:val="24"/>
          <w:lang w:bidi="ar-IQ"/>
        </w:rPr>
        <w:t>1</w:t>
      </w:r>
      <w:r w:rsidRPr="008D74AE">
        <w:rPr>
          <w:rFonts w:asciiTheme="majorBidi" w:hAnsiTheme="majorBidi" w:cstheme="majorBidi"/>
          <w:sz w:val="24"/>
          <w:szCs w:val="24"/>
          <w:lang w:bidi="ar-IQ"/>
        </w:rPr>
        <w:t xml:space="preserve">C). The comparison sample with a concentration of 241.6 µg mL-1 recorded a small curve area for thymoquinone, which reached 18744.05 at a retention time of 4.23 minutes (Figure </w:t>
      </w:r>
      <w:r w:rsidR="00C97AFC">
        <w:rPr>
          <w:rFonts w:asciiTheme="majorBidi" w:hAnsiTheme="majorBidi" w:cstheme="majorBidi"/>
          <w:sz w:val="24"/>
          <w:szCs w:val="24"/>
          <w:lang w:bidi="ar-IQ"/>
        </w:rPr>
        <w:t>1</w:t>
      </w:r>
      <w:r w:rsidRPr="008D74AE">
        <w:rPr>
          <w:rFonts w:asciiTheme="majorBidi" w:hAnsiTheme="majorBidi" w:cstheme="majorBidi"/>
          <w:sz w:val="24"/>
          <w:szCs w:val="24"/>
          <w:lang w:bidi="ar-IQ"/>
        </w:rPr>
        <w:t>B).</w:t>
      </w:r>
    </w:p>
    <w:p w14:paraId="730DB84A" w14:textId="77777777" w:rsidR="008D74AE" w:rsidRDefault="008D74AE" w:rsidP="00EB4DC9">
      <w:pPr>
        <w:ind w:left="360"/>
        <w:jc w:val="both"/>
        <w:rPr>
          <w:rFonts w:asciiTheme="majorBidi" w:hAnsiTheme="majorBidi" w:cstheme="majorBidi"/>
          <w:sz w:val="24"/>
          <w:szCs w:val="24"/>
          <w:rtl/>
          <w:lang w:bidi="ar-IQ"/>
        </w:rPr>
      </w:pPr>
    </w:p>
    <w:p w14:paraId="7063F4DA" w14:textId="77777777" w:rsidR="008D74AE" w:rsidRDefault="008D74AE" w:rsidP="00EB4DC9">
      <w:pPr>
        <w:ind w:left="360"/>
        <w:jc w:val="center"/>
        <w:rPr>
          <w:rFonts w:asciiTheme="majorBidi" w:hAnsiTheme="majorBidi" w:cstheme="majorBidi"/>
          <w:sz w:val="24"/>
          <w:szCs w:val="24"/>
          <w:rtl/>
          <w:lang w:bidi="ar-IQ"/>
        </w:rPr>
      </w:pPr>
      <w:r>
        <w:rPr>
          <w:rFonts w:ascii="Simplified Arabic" w:hAnsi="Simplified Arabic" w:cs="Simplified Arabic"/>
          <w:b/>
          <w:bCs/>
          <w:noProof/>
          <w:sz w:val="28"/>
          <w:szCs w:val="28"/>
          <w:rtl/>
        </w:rPr>
        <w:lastRenderedPageBreak/>
        <w:drawing>
          <wp:inline distT="0" distB="0" distL="0" distR="0" wp14:anchorId="1E0074B4" wp14:editId="1289E4CD">
            <wp:extent cx="4991100" cy="3083677"/>
            <wp:effectExtent l="0" t="0" r="0" b="2540"/>
            <wp:docPr id="2" name="صورة 2" descr="C:\Users\GHAZA\Desktop\6666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GHAZA\Desktop\66666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8703" cy="3094552"/>
                    </a:xfrm>
                    <a:prstGeom prst="rect">
                      <a:avLst/>
                    </a:prstGeom>
                    <a:noFill/>
                    <a:ln>
                      <a:noFill/>
                    </a:ln>
                  </pic:spPr>
                </pic:pic>
              </a:graphicData>
            </a:graphic>
          </wp:inline>
        </w:drawing>
      </w:r>
    </w:p>
    <w:p w14:paraId="45B546B5" w14:textId="681D84AE" w:rsidR="008D74AE" w:rsidRPr="007C256D" w:rsidRDefault="00C97AFC" w:rsidP="00C97AFC">
      <w:pPr>
        <w:pStyle w:val="ListParagraph"/>
        <w:ind w:left="390"/>
        <w:jc w:val="both"/>
        <w:rPr>
          <w:rFonts w:asciiTheme="majorBidi" w:hAnsiTheme="majorBidi" w:cstheme="majorBidi"/>
          <w:b/>
          <w:bCs/>
          <w:sz w:val="24"/>
          <w:szCs w:val="24"/>
          <w:rtl/>
          <w:lang w:bidi="ar-IQ"/>
        </w:rPr>
      </w:pPr>
      <w:r>
        <w:rPr>
          <w:rFonts w:asciiTheme="majorBidi" w:hAnsiTheme="majorBidi" w:cstheme="majorBidi"/>
          <w:b/>
          <w:bCs/>
          <w:sz w:val="24"/>
          <w:szCs w:val="24"/>
          <w:lang w:bidi="ar-IQ"/>
        </w:rPr>
        <w:t>Fig 1</w:t>
      </w:r>
      <w:proofErr w:type="gramStart"/>
      <w:r>
        <w:rPr>
          <w:rFonts w:asciiTheme="majorBidi" w:hAnsiTheme="majorBidi" w:cstheme="majorBidi"/>
          <w:b/>
          <w:bCs/>
          <w:sz w:val="24"/>
          <w:szCs w:val="24"/>
          <w:lang w:bidi="ar-IQ"/>
        </w:rPr>
        <w:t>B :</w:t>
      </w:r>
      <w:proofErr w:type="gramEnd"/>
      <w:r>
        <w:rPr>
          <w:rFonts w:asciiTheme="majorBidi" w:hAnsiTheme="majorBidi" w:cstheme="majorBidi"/>
          <w:b/>
          <w:bCs/>
          <w:sz w:val="24"/>
          <w:szCs w:val="24"/>
          <w:lang w:bidi="ar-IQ"/>
        </w:rPr>
        <w:t xml:space="preserve"> </w:t>
      </w:r>
      <w:r w:rsidR="008D74AE" w:rsidRPr="007C256D">
        <w:rPr>
          <w:rFonts w:asciiTheme="majorBidi" w:hAnsiTheme="majorBidi" w:cstheme="majorBidi"/>
          <w:b/>
          <w:bCs/>
          <w:sz w:val="24"/>
          <w:szCs w:val="24"/>
          <w:lang w:bidi="ar-IQ"/>
        </w:rPr>
        <w:t>Thymoquinone comparison curve</w:t>
      </w:r>
    </w:p>
    <w:p w14:paraId="56665CCD" w14:textId="77777777" w:rsidR="008D74AE" w:rsidRDefault="008D74AE" w:rsidP="00EB4DC9">
      <w:pPr>
        <w:jc w:val="both"/>
        <w:rPr>
          <w:rFonts w:asciiTheme="majorBidi" w:hAnsiTheme="majorBidi" w:cstheme="majorBidi"/>
          <w:sz w:val="24"/>
          <w:szCs w:val="24"/>
          <w:rtl/>
          <w:lang w:bidi="ar-IQ"/>
        </w:rPr>
      </w:pPr>
    </w:p>
    <w:p w14:paraId="30031684" w14:textId="77777777" w:rsidR="008D74AE" w:rsidRDefault="007C256D" w:rsidP="00EB4DC9">
      <w:pPr>
        <w:jc w:val="center"/>
        <w:rPr>
          <w:rFonts w:asciiTheme="majorBidi" w:hAnsiTheme="majorBidi" w:cstheme="majorBidi"/>
          <w:sz w:val="24"/>
          <w:szCs w:val="24"/>
          <w:rtl/>
          <w:lang w:bidi="ar-IQ"/>
        </w:rPr>
      </w:pPr>
      <w:r>
        <w:rPr>
          <w:rFonts w:ascii="Simplified Arabic" w:hAnsi="Simplified Arabic" w:cs="Simplified Arabic"/>
          <w:noProof/>
          <w:sz w:val="28"/>
          <w:szCs w:val="28"/>
          <w:rtl/>
        </w:rPr>
        <w:drawing>
          <wp:inline distT="0" distB="0" distL="0" distR="0" wp14:anchorId="4F1B43EB" wp14:editId="64097818">
            <wp:extent cx="4552950" cy="2946721"/>
            <wp:effectExtent l="0" t="0" r="0" b="6350"/>
            <wp:docPr id="3" name="صورة 3" descr="C:\Users\GHAZA\Desktop\MMM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GHAZA\Desktop\MMMM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9908" cy="2951224"/>
                    </a:xfrm>
                    <a:prstGeom prst="rect">
                      <a:avLst/>
                    </a:prstGeom>
                    <a:noFill/>
                    <a:ln>
                      <a:noFill/>
                    </a:ln>
                  </pic:spPr>
                </pic:pic>
              </a:graphicData>
            </a:graphic>
          </wp:inline>
        </w:drawing>
      </w:r>
    </w:p>
    <w:p w14:paraId="01838AF7" w14:textId="4E5AA84C" w:rsidR="008D74AE" w:rsidRDefault="00C97AFC" w:rsidP="00EB4DC9">
      <w:pPr>
        <w:jc w:val="both"/>
        <w:rPr>
          <w:rFonts w:asciiTheme="majorBidi" w:hAnsiTheme="majorBidi" w:cstheme="majorBidi"/>
          <w:b/>
          <w:bCs/>
          <w:sz w:val="24"/>
          <w:szCs w:val="24"/>
          <w:rtl/>
          <w:lang w:bidi="ar-IQ"/>
        </w:rPr>
      </w:pPr>
      <w:r>
        <w:rPr>
          <w:rFonts w:asciiTheme="majorBidi" w:hAnsiTheme="majorBidi" w:cstheme="majorBidi"/>
          <w:b/>
          <w:bCs/>
          <w:sz w:val="24"/>
          <w:szCs w:val="24"/>
          <w:lang w:val="en-IN" w:bidi="ar-IQ"/>
        </w:rPr>
        <w:t xml:space="preserve">Fig 1C: </w:t>
      </w:r>
      <w:proofErr w:type="spellStart"/>
      <w:r w:rsidR="007C256D" w:rsidRPr="007C256D">
        <w:rPr>
          <w:rFonts w:asciiTheme="majorBidi" w:hAnsiTheme="majorBidi" w:cstheme="majorBidi"/>
          <w:b/>
          <w:bCs/>
          <w:sz w:val="24"/>
          <w:szCs w:val="24"/>
          <w:lang w:bidi="ar-IQ"/>
        </w:rPr>
        <w:t>Thymoketone</w:t>
      </w:r>
      <w:proofErr w:type="spellEnd"/>
      <w:r w:rsidR="007C256D" w:rsidRPr="007C256D">
        <w:rPr>
          <w:rFonts w:asciiTheme="majorBidi" w:hAnsiTheme="majorBidi" w:cstheme="majorBidi"/>
          <w:b/>
          <w:bCs/>
          <w:sz w:val="24"/>
          <w:szCs w:val="24"/>
          <w:lang w:bidi="ar-IQ"/>
        </w:rPr>
        <w:t xml:space="preserve"> curve in MS medium supplemented with 0.2 mg/L beta-1-3 </w:t>
      </w:r>
      <w:proofErr w:type="spellStart"/>
      <w:r w:rsidR="007C256D" w:rsidRPr="007C256D">
        <w:rPr>
          <w:rFonts w:asciiTheme="majorBidi" w:hAnsiTheme="majorBidi" w:cstheme="majorBidi"/>
          <w:b/>
          <w:bCs/>
          <w:sz w:val="24"/>
          <w:szCs w:val="24"/>
          <w:lang w:bidi="ar-IQ"/>
        </w:rPr>
        <w:t>glucanase</w:t>
      </w:r>
      <w:proofErr w:type="spellEnd"/>
      <w:r w:rsidR="007C256D" w:rsidRPr="007C256D">
        <w:rPr>
          <w:rFonts w:asciiTheme="majorBidi" w:hAnsiTheme="majorBidi" w:cstheme="majorBidi"/>
          <w:b/>
          <w:bCs/>
          <w:sz w:val="24"/>
          <w:szCs w:val="24"/>
          <w:lang w:bidi="ar-IQ"/>
        </w:rPr>
        <w:t xml:space="preserve"> enzyme</w:t>
      </w:r>
    </w:p>
    <w:p w14:paraId="2E76E45F" w14:textId="77777777" w:rsidR="007C256D" w:rsidRDefault="007C256D" w:rsidP="00EB4DC9">
      <w:pPr>
        <w:jc w:val="both"/>
        <w:rPr>
          <w:rFonts w:asciiTheme="majorBidi" w:hAnsiTheme="majorBidi" w:cstheme="majorBidi"/>
          <w:b/>
          <w:bCs/>
          <w:sz w:val="24"/>
          <w:szCs w:val="24"/>
          <w:rtl/>
          <w:lang w:bidi="ar-IQ"/>
        </w:rPr>
      </w:pPr>
    </w:p>
    <w:p w14:paraId="2223E4A9" w14:textId="77777777" w:rsidR="007C256D" w:rsidRDefault="007C256D" w:rsidP="00EB4DC9">
      <w:pPr>
        <w:jc w:val="both"/>
        <w:rPr>
          <w:rFonts w:asciiTheme="majorBidi" w:hAnsiTheme="majorBidi" w:cstheme="majorBidi"/>
          <w:b/>
          <w:bCs/>
          <w:sz w:val="24"/>
          <w:szCs w:val="24"/>
          <w:rtl/>
          <w:lang w:bidi="ar-IQ"/>
        </w:rPr>
      </w:pPr>
    </w:p>
    <w:p w14:paraId="5607E5B2" w14:textId="77777777" w:rsidR="007C256D" w:rsidRDefault="007C256D" w:rsidP="00EB4DC9">
      <w:pPr>
        <w:jc w:val="center"/>
        <w:rPr>
          <w:rFonts w:asciiTheme="majorBidi" w:hAnsiTheme="majorBidi" w:cstheme="majorBidi"/>
          <w:b/>
          <w:bCs/>
          <w:sz w:val="24"/>
          <w:szCs w:val="24"/>
          <w:rtl/>
          <w:lang w:bidi="ar-IQ"/>
        </w:rPr>
      </w:pPr>
      <w:r>
        <w:rPr>
          <w:rFonts w:ascii="Simplified Arabic" w:hAnsi="Simplified Arabic" w:cs="Simplified Arabic"/>
          <w:b/>
          <w:bCs/>
          <w:noProof/>
          <w:sz w:val="28"/>
          <w:szCs w:val="28"/>
          <w:rtl/>
        </w:rPr>
        <w:lastRenderedPageBreak/>
        <w:drawing>
          <wp:inline distT="0" distB="0" distL="0" distR="0" wp14:anchorId="5A5115DF" wp14:editId="73C0EE17">
            <wp:extent cx="4991100" cy="3083677"/>
            <wp:effectExtent l="0" t="0" r="0" b="2540"/>
            <wp:docPr id="4" name="صورة 4" descr="C:\Users\GHAZA\Desktop\6666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GHAZA\Desktop\66666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8703" cy="3094552"/>
                    </a:xfrm>
                    <a:prstGeom prst="rect">
                      <a:avLst/>
                    </a:prstGeom>
                    <a:noFill/>
                    <a:ln>
                      <a:noFill/>
                    </a:ln>
                  </pic:spPr>
                </pic:pic>
              </a:graphicData>
            </a:graphic>
          </wp:inline>
        </w:drawing>
      </w:r>
    </w:p>
    <w:p w14:paraId="0803CC00" w14:textId="4B526BEA" w:rsidR="007C256D" w:rsidRPr="007C256D" w:rsidRDefault="00C97AFC" w:rsidP="00C97AFC">
      <w:pPr>
        <w:pStyle w:val="ListParagraph"/>
        <w:ind w:left="390"/>
        <w:jc w:val="both"/>
        <w:rPr>
          <w:rFonts w:asciiTheme="majorBidi" w:hAnsiTheme="majorBidi" w:cstheme="majorBidi"/>
          <w:b/>
          <w:bCs/>
          <w:sz w:val="24"/>
          <w:szCs w:val="24"/>
          <w:rtl/>
          <w:lang w:bidi="ar-IQ"/>
        </w:rPr>
      </w:pPr>
      <w:r>
        <w:rPr>
          <w:rFonts w:asciiTheme="majorBidi" w:hAnsiTheme="majorBidi" w:cstheme="majorBidi"/>
          <w:b/>
          <w:bCs/>
          <w:sz w:val="24"/>
          <w:szCs w:val="24"/>
          <w:lang w:bidi="ar-IQ"/>
        </w:rPr>
        <w:t>Fig 1</w:t>
      </w:r>
      <w:proofErr w:type="gramStart"/>
      <w:r>
        <w:rPr>
          <w:rFonts w:asciiTheme="majorBidi" w:hAnsiTheme="majorBidi" w:cstheme="majorBidi"/>
          <w:b/>
          <w:bCs/>
          <w:sz w:val="24"/>
          <w:szCs w:val="24"/>
          <w:lang w:bidi="ar-IQ"/>
        </w:rPr>
        <w:t>D :</w:t>
      </w:r>
      <w:proofErr w:type="gramEnd"/>
      <w:r>
        <w:rPr>
          <w:rFonts w:asciiTheme="majorBidi" w:hAnsiTheme="majorBidi" w:cstheme="majorBidi"/>
          <w:b/>
          <w:bCs/>
          <w:sz w:val="24"/>
          <w:szCs w:val="24"/>
          <w:lang w:bidi="ar-IQ"/>
        </w:rPr>
        <w:t xml:space="preserve"> </w:t>
      </w:r>
      <w:proofErr w:type="spellStart"/>
      <w:r w:rsidR="007C256D" w:rsidRPr="007C256D">
        <w:rPr>
          <w:rFonts w:asciiTheme="majorBidi" w:hAnsiTheme="majorBidi" w:cstheme="majorBidi"/>
          <w:b/>
          <w:bCs/>
          <w:sz w:val="24"/>
          <w:szCs w:val="24"/>
          <w:lang w:bidi="ar-IQ"/>
        </w:rPr>
        <w:t>Thymoketone</w:t>
      </w:r>
      <w:proofErr w:type="spellEnd"/>
      <w:r w:rsidR="007C256D" w:rsidRPr="007C256D">
        <w:rPr>
          <w:rFonts w:asciiTheme="majorBidi" w:hAnsiTheme="majorBidi" w:cstheme="majorBidi"/>
          <w:b/>
          <w:bCs/>
          <w:sz w:val="24"/>
          <w:szCs w:val="24"/>
          <w:lang w:bidi="ar-IQ"/>
        </w:rPr>
        <w:t xml:space="preserve"> curve in MS medium supplemented with 0.4 mg/L beta-1-3 </w:t>
      </w:r>
      <w:proofErr w:type="spellStart"/>
      <w:r w:rsidR="007C256D" w:rsidRPr="007C256D">
        <w:rPr>
          <w:rFonts w:asciiTheme="majorBidi" w:hAnsiTheme="majorBidi" w:cstheme="majorBidi"/>
          <w:b/>
          <w:bCs/>
          <w:sz w:val="24"/>
          <w:szCs w:val="24"/>
          <w:lang w:bidi="ar-IQ"/>
        </w:rPr>
        <w:t>glucanase</w:t>
      </w:r>
      <w:proofErr w:type="spellEnd"/>
      <w:r w:rsidR="007C256D" w:rsidRPr="007C256D">
        <w:rPr>
          <w:rFonts w:asciiTheme="majorBidi" w:hAnsiTheme="majorBidi" w:cstheme="majorBidi"/>
          <w:b/>
          <w:bCs/>
          <w:sz w:val="24"/>
          <w:szCs w:val="24"/>
          <w:lang w:bidi="ar-IQ"/>
        </w:rPr>
        <w:t xml:space="preserve"> enzyme</w:t>
      </w:r>
    </w:p>
    <w:p w14:paraId="14B5CE34" w14:textId="77777777" w:rsidR="007C256D" w:rsidRDefault="007C256D" w:rsidP="00EB4DC9">
      <w:pPr>
        <w:ind w:left="360"/>
        <w:jc w:val="both"/>
        <w:rPr>
          <w:rFonts w:asciiTheme="majorBidi" w:hAnsiTheme="majorBidi" w:cstheme="majorBidi"/>
          <w:b/>
          <w:bCs/>
          <w:sz w:val="24"/>
          <w:szCs w:val="24"/>
          <w:rtl/>
          <w:lang w:bidi="ar-IQ"/>
        </w:rPr>
      </w:pPr>
    </w:p>
    <w:p w14:paraId="1DB46F31" w14:textId="77777777" w:rsidR="007C256D" w:rsidRDefault="007C256D" w:rsidP="00EB4DC9">
      <w:pPr>
        <w:ind w:left="360"/>
        <w:jc w:val="center"/>
        <w:rPr>
          <w:rFonts w:asciiTheme="majorBidi" w:hAnsiTheme="majorBidi" w:cstheme="majorBidi"/>
          <w:b/>
          <w:bCs/>
          <w:sz w:val="24"/>
          <w:szCs w:val="24"/>
          <w:rtl/>
          <w:lang w:bidi="ar-IQ"/>
        </w:rPr>
      </w:pPr>
      <w:r>
        <w:rPr>
          <w:rFonts w:ascii="Simplified Arabic" w:hAnsi="Simplified Arabic" w:cs="Simplified Arabic"/>
          <w:noProof/>
          <w:sz w:val="28"/>
          <w:szCs w:val="28"/>
          <w:rtl/>
        </w:rPr>
        <w:drawing>
          <wp:inline distT="0" distB="0" distL="0" distR="0" wp14:anchorId="4B7ADFA4" wp14:editId="43E27703">
            <wp:extent cx="5200649" cy="3028950"/>
            <wp:effectExtent l="0" t="0" r="635" b="0"/>
            <wp:docPr id="5" name="صورة 5" descr="C:\Users\GHAZA\Desktop\44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GHAZA\Desktop\4444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5047" cy="3037335"/>
                    </a:xfrm>
                    <a:prstGeom prst="rect">
                      <a:avLst/>
                    </a:prstGeom>
                    <a:noFill/>
                    <a:ln>
                      <a:noFill/>
                    </a:ln>
                  </pic:spPr>
                </pic:pic>
              </a:graphicData>
            </a:graphic>
          </wp:inline>
        </w:drawing>
      </w:r>
    </w:p>
    <w:p w14:paraId="2E1A7D86" w14:textId="57B02279" w:rsidR="007C256D" w:rsidRPr="007C256D" w:rsidRDefault="00C97AFC" w:rsidP="00C97AFC">
      <w:pPr>
        <w:pStyle w:val="ListParagraph"/>
        <w:ind w:left="390"/>
        <w:jc w:val="both"/>
        <w:rPr>
          <w:rFonts w:asciiTheme="majorBidi" w:hAnsiTheme="majorBidi" w:cstheme="majorBidi"/>
          <w:b/>
          <w:bCs/>
          <w:sz w:val="24"/>
          <w:szCs w:val="24"/>
          <w:rtl/>
          <w:lang w:bidi="ar-IQ"/>
        </w:rPr>
      </w:pPr>
      <w:r>
        <w:rPr>
          <w:rFonts w:asciiTheme="majorBidi" w:hAnsiTheme="majorBidi" w:cstheme="majorBidi"/>
          <w:b/>
          <w:bCs/>
          <w:sz w:val="24"/>
          <w:szCs w:val="24"/>
          <w:lang w:bidi="ar-IQ"/>
        </w:rPr>
        <w:t>Fig 1</w:t>
      </w:r>
      <w:proofErr w:type="gramStart"/>
      <w:r>
        <w:rPr>
          <w:rFonts w:asciiTheme="majorBidi" w:hAnsiTheme="majorBidi" w:cstheme="majorBidi"/>
          <w:b/>
          <w:bCs/>
          <w:sz w:val="24"/>
          <w:szCs w:val="24"/>
          <w:lang w:bidi="ar-IQ"/>
        </w:rPr>
        <w:t>E :</w:t>
      </w:r>
      <w:proofErr w:type="gramEnd"/>
      <w:r>
        <w:rPr>
          <w:rFonts w:asciiTheme="majorBidi" w:hAnsiTheme="majorBidi" w:cstheme="majorBidi"/>
          <w:b/>
          <w:bCs/>
          <w:sz w:val="24"/>
          <w:szCs w:val="24"/>
          <w:lang w:bidi="ar-IQ"/>
        </w:rPr>
        <w:t xml:space="preserve"> </w:t>
      </w:r>
      <w:proofErr w:type="spellStart"/>
      <w:r w:rsidR="007C256D" w:rsidRPr="007C256D">
        <w:rPr>
          <w:rFonts w:asciiTheme="majorBidi" w:hAnsiTheme="majorBidi" w:cstheme="majorBidi"/>
          <w:b/>
          <w:bCs/>
          <w:sz w:val="24"/>
          <w:szCs w:val="24"/>
          <w:lang w:bidi="ar-IQ"/>
        </w:rPr>
        <w:t>Thymoketone</w:t>
      </w:r>
      <w:proofErr w:type="spellEnd"/>
      <w:r w:rsidR="007C256D" w:rsidRPr="007C256D">
        <w:rPr>
          <w:rFonts w:asciiTheme="majorBidi" w:hAnsiTheme="majorBidi" w:cstheme="majorBidi"/>
          <w:b/>
          <w:bCs/>
          <w:sz w:val="24"/>
          <w:szCs w:val="24"/>
          <w:lang w:bidi="ar-IQ"/>
        </w:rPr>
        <w:t xml:space="preserve"> curve in MS medium supplemented with 0.4 mg/L beta-1-3 </w:t>
      </w:r>
      <w:proofErr w:type="spellStart"/>
      <w:r w:rsidR="007C256D" w:rsidRPr="007C256D">
        <w:rPr>
          <w:rFonts w:asciiTheme="majorBidi" w:hAnsiTheme="majorBidi" w:cstheme="majorBidi"/>
          <w:b/>
          <w:bCs/>
          <w:sz w:val="24"/>
          <w:szCs w:val="24"/>
          <w:lang w:bidi="ar-IQ"/>
        </w:rPr>
        <w:t>glucanase</w:t>
      </w:r>
      <w:proofErr w:type="spellEnd"/>
      <w:r w:rsidR="007C256D" w:rsidRPr="007C256D">
        <w:rPr>
          <w:rFonts w:asciiTheme="majorBidi" w:hAnsiTheme="majorBidi" w:cstheme="majorBidi"/>
          <w:b/>
          <w:bCs/>
          <w:sz w:val="24"/>
          <w:szCs w:val="24"/>
          <w:lang w:bidi="ar-IQ"/>
        </w:rPr>
        <w:t xml:space="preserve"> enzyme</w:t>
      </w:r>
    </w:p>
    <w:p w14:paraId="494E4589" w14:textId="77777777" w:rsidR="007C256D" w:rsidRDefault="007C256D" w:rsidP="00EB4DC9">
      <w:pPr>
        <w:jc w:val="both"/>
        <w:rPr>
          <w:rFonts w:asciiTheme="majorBidi" w:hAnsiTheme="majorBidi" w:cstheme="majorBidi"/>
          <w:b/>
          <w:bCs/>
          <w:sz w:val="24"/>
          <w:szCs w:val="24"/>
          <w:rtl/>
          <w:lang w:bidi="ar-IQ"/>
        </w:rPr>
      </w:pPr>
    </w:p>
    <w:p w14:paraId="5ACE7A06" w14:textId="77777777" w:rsidR="007C256D" w:rsidRDefault="007C256D" w:rsidP="00EB4DC9">
      <w:pPr>
        <w:jc w:val="center"/>
        <w:rPr>
          <w:rFonts w:asciiTheme="majorBidi" w:hAnsiTheme="majorBidi" w:cstheme="majorBidi"/>
          <w:b/>
          <w:bCs/>
          <w:sz w:val="24"/>
          <w:szCs w:val="24"/>
          <w:rtl/>
          <w:lang w:bidi="ar-IQ"/>
        </w:rPr>
      </w:pPr>
      <w:r>
        <w:rPr>
          <w:rFonts w:ascii="Simplified Arabic" w:hAnsi="Simplified Arabic" w:cs="Simplified Arabic"/>
          <w:noProof/>
          <w:sz w:val="28"/>
          <w:szCs w:val="28"/>
          <w:rtl/>
        </w:rPr>
        <w:lastRenderedPageBreak/>
        <w:drawing>
          <wp:inline distT="0" distB="0" distL="0" distR="0" wp14:anchorId="61FC7F29" wp14:editId="2EA73644">
            <wp:extent cx="5200649" cy="3028950"/>
            <wp:effectExtent l="0" t="0" r="635" b="0"/>
            <wp:docPr id="6" name="صورة 6" descr="C:\Users\GHAZA\Desktop\44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GHAZA\Desktop\4444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5047" cy="3037335"/>
                    </a:xfrm>
                    <a:prstGeom prst="rect">
                      <a:avLst/>
                    </a:prstGeom>
                    <a:noFill/>
                    <a:ln>
                      <a:noFill/>
                    </a:ln>
                  </pic:spPr>
                </pic:pic>
              </a:graphicData>
            </a:graphic>
          </wp:inline>
        </w:drawing>
      </w:r>
    </w:p>
    <w:p w14:paraId="3E2C2F8A" w14:textId="3711F645" w:rsidR="007C256D" w:rsidRPr="007C256D" w:rsidRDefault="00C97AFC" w:rsidP="00C97AFC">
      <w:pPr>
        <w:pStyle w:val="ListParagraph"/>
        <w:ind w:left="390"/>
        <w:jc w:val="both"/>
        <w:rPr>
          <w:rFonts w:asciiTheme="majorBidi" w:hAnsiTheme="majorBidi" w:cstheme="majorBidi"/>
          <w:b/>
          <w:bCs/>
          <w:sz w:val="24"/>
          <w:szCs w:val="24"/>
          <w:rtl/>
          <w:lang w:bidi="ar-IQ"/>
        </w:rPr>
      </w:pPr>
      <w:r>
        <w:rPr>
          <w:rFonts w:asciiTheme="majorBidi" w:hAnsiTheme="majorBidi" w:cstheme="majorBidi"/>
          <w:b/>
          <w:bCs/>
          <w:sz w:val="24"/>
          <w:szCs w:val="24"/>
          <w:lang w:bidi="ar-IQ"/>
        </w:rPr>
        <w:t>Fig 1</w:t>
      </w:r>
      <w:proofErr w:type="gramStart"/>
      <w:r>
        <w:rPr>
          <w:rFonts w:asciiTheme="majorBidi" w:hAnsiTheme="majorBidi" w:cstheme="majorBidi"/>
          <w:b/>
          <w:bCs/>
          <w:sz w:val="24"/>
          <w:szCs w:val="24"/>
          <w:lang w:bidi="ar-IQ"/>
        </w:rPr>
        <w:t>F :</w:t>
      </w:r>
      <w:proofErr w:type="gramEnd"/>
      <w:r>
        <w:rPr>
          <w:rFonts w:asciiTheme="majorBidi" w:hAnsiTheme="majorBidi" w:cstheme="majorBidi"/>
          <w:b/>
          <w:bCs/>
          <w:sz w:val="24"/>
          <w:szCs w:val="24"/>
          <w:lang w:bidi="ar-IQ"/>
        </w:rPr>
        <w:t xml:space="preserve"> </w:t>
      </w:r>
      <w:proofErr w:type="spellStart"/>
      <w:r w:rsidR="007C256D" w:rsidRPr="007C256D">
        <w:rPr>
          <w:rFonts w:asciiTheme="majorBidi" w:hAnsiTheme="majorBidi" w:cstheme="majorBidi"/>
          <w:b/>
          <w:bCs/>
          <w:sz w:val="24"/>
          <w:szCs w:val="24"/>
          <w:lang w:bidi="ar-IQ"/>
        </w:rPr>
        <w:t>Thymoketone</w:t>
      </w:r>
      <w:proofErr w:type="spellEnd"/>
      <w:r w:rsidR="007C256D" w:rsidRPr="007C256D">
        <w:rPr>
          <w:rFonts w:asciiTheme="majorBidi" w:hAnsiTheme="majorBidi" w:cstheme="majorBidi"/>
          <w:b/>
          <w:bCs/>
          <w:sz w:val="24"/>
          <w:szCs w:val="24"/>
          <w:lang w:bidi="ar-IQ"/>
        </w:rPr>
        <w:t xml:space="preserve"> curve in MS medium supplemented with 0.6 mg/L beta-1-3 </w:t>
      </w:r>
      <w:proofErr w:type="spellStart"/>
      <w:r w:rsidR="007C256D" w:rsidRPr="007C256D">
        <w:rPr>
          <w:rFonts w:asciiTheme="majorBidi" w:hAnsiTheme="majorBidi" w:cstheme="majorBidi"/>
          <w:b/>
          <w:bCs/>
          <w:sz w:val="24"/>
          <w:szCs w:val="24"/>
          <w:lang w:bidi="ar-IQ"/>
        </w:rPr>
        <w:t>glucanase</w:t>
      </w:r>
      <w:proofErr w:type="spellEnd"/>
      <w:r w:rsidR="007C256D" w:rsidRPr="007C256D">
        <w:rPr>
          <w:rFonts w:asciiTheme="majorBidi" w:hAnsiTheme="majorBidi" w:cstheme="majorBidi"/>
          <w:b/>
          <w:bCs/>
          <w:sz w:val="24"/>
          <w:szCs w:val="24"/>
          <w:lang w:bidi="ar-IQ"/>
        </w:rPr>
        <w:t xml:space="preserve"> enzyme</w:t>
      </w:r>
    </w:p>
    <w:p w14:paraId="4028A889" w14:textId="6CE2D4FD" w:rsidR="007C256D" w:rsidRDefault="007C256D" w:rsidP="00EB4DC9">
      <w:pPr>
        <w:pStyle w:val="ListParagraph"/>
        <w:ind w:left="750"/>
        <w:jc w:val="both"/>
        <w:rPr>
          <w:rFonts w:asciiTheme="majorBidi" w:hAnsiTheme="majorBidi" w:cstheme="majorBidi"/>
          <w:b/>
          <w:bCs/>
          <w:sz w:val="24"/>
          <w:szCs w:val="24"/>
          <w:rtl/>
          <w:lang w:bidi="ar-IQ"/>
        </w:rPr>
      </w:pPr>
      <w:r w:rsidRPr="007C256D">
        <w:rPr>
          <w:rFonts w:asciiTheme="majorBidi" w:hAnsiTheme="majorBidi" w:cstheme="majorBidi"/>
          <w:b/>
          <w:bCs/>
          <w:sz w:val="24"/>
          <w:szCs w:val="24"/>
          <w:lang w:bidi="ar-IQ"/>
        </w:rPr>
        <w:t>Figure (</w:t>
      </w:r>
      <w:r>
        <w:rPr>
          <w:rFonts w:asciiTheme="majorBidi" w:hAnsiTheme="majorBidi" w:cstheme="majorBidi" w:hint="cs"/>
          <w:b/>
          <w:bCs/>
          <w:sz w:val="24"/>
          <w:szCs w:val="24"/>
          <w:rtl/>
          <w:lang w:bidi="ar-IQ"/>
        </w:rPr>
        <w:t>1</w:t>
      </w:r>
      <w:r w:rsidR="00C97AFC">
        <w:rPr>
          <w:rFonts w:asciiTheme="majorBidi" w:hAnsiTheme="majorBidi" w:cstheme="majorBidi"/>
          <w:b/>
          <w:bCs/>
          <w:sz w:val="24"/>
          <w:szCs w:val="24"/>
          <w:lang w:val="en-IN" w:bidi="ar-IQ"/>
        </w:rPr>
        <w:t>A-F</w:t>
      </w:r>
      <w:r w:rsidRPr="007C256D">
        <w:rPr>
          <w:rFonts w:asciiTheme="majorBidi" w:hAnsiTheme="majorBidi" w:cstheme="majorBidi"/>
          <w:b/>
          <w:bCs/>
          <w:sz w:val="24"/>
          <w:szCs w:val="24"/>
          <w:lang w:bidi="ar-IQ"/>
        </w:rPr>
        <w:t>) Thymoquinone curves extracted from black seed seedling leaves using HPLC chromatography technology</w:t>
      </w:r>
    </w:p>
    <w:p w14:paraId="72D65CB8" w14:textId="77777777" w:rsidR="007C256D" w:rsidRDefault="007C256D" w:rsidP="00EB4DC9">
      <w:pPr>
        <w:pStyle w:val="ListParagraph"/>
        <w:ind w:left="750"/>
        <w:jc w:val="both"/>
        <w:rPr>
          <w:rFonts w:asciiTheme="majorBidi" w:hAnsiTheme="majorBidi" w:cstheme="majorBidi"/>
          <w:b/>
          <w:bCs/>
          <w:sz w:val="24"/>
          <w:szCs w:val="24"/>
          <w:rtl/>
          <w:lang w:bidi="ar-IQ"/>
        </w:rPr>
      </w:pPr>
    </w:p>
    <w:p w14:paraId="24AFED97" w14:textId="77777777" w:rsidR="007C256D" w:rsidRDefault="007C256D" w:rsidP="00EB4DC9">
      <w:pPr>
        <w:pStyle w:val="ListParagraph"/>
        <w:ind w:left="750"/>
        <w:jc w:val="both"/>
        <w:rPr>
          <w:rFonts w:asciiTheme="majorBidi" w:hAnsiTheme="majorBidi" w:cstheme="majorBidi"/>
          <w:sz w:val="24"/>
          <w:szCs w:val="24"/>
          <w:rtl/>
          <w:lang w:bidi="ar-IQ"/>
        </w:rPr>
      </w:pPr>
      <w:r w:rsidRPr="007C256D">
        <w:rPr>
          <w:rFonts w:asciiTheme="majorBidi" w:hAnsiTheme="majorBidi" w:cstheme="majorBidi"/>
          <w:sz w:val="24"/>
          <w:szCs w:val="24"/>
          <w:lang w:bidi="ar-IQ"/>
        </w:rPr>
        <w:t>The difference in thymoquinone concentration between treatments is attributed to the varying intensity of the seedlings' physiological response to the beta-1,3-glucanase enzyme. Moderate concentrations activate metabolic pathways and stimulate the biosynthesis of secondary compounds, while high concentrations may cause excessive stress that inhibits enzymatic activity or reduces metabolic efficiency, negatively impacting thymoquinone accumulation (</w:t>
      </w:r>
      <w:proofErr w:type="spellStart"/>
      <w:r w:rsidRPr="007C256D">
        <w:rPr>
          <w:rFonts w:asciiTheme="majorBidi" w:hAnsiTheme="majorBidi" w:cstheme="majorBidi"/>
          <w:sz w:val="24"/>
          <w:szCs w:val="24"/>
          <w:lang w:bidi="ar-IQ"/>
        </w:rPr>
        <w:t>Namdeo</w:t>
      </w:r>
      <w:proofErr w:type="spellEnd"/>
      <w:r w:rsidRPr="007C256D">
        <w:rPr>
          <w:rFonts w:asciiTheme="majorBidi" w:hAnsiTheme="majorBidi" w:cstheme="majorBidi"/>
          <w:sz w:val="24"/>
          <w:szCs w:val="24"/>
          <w:lang w:bidi="ar-IQ"/>
        </w:rPr>
        <w:t xml:space="preserve">, 2007). The results showed a clear difference between treatments, with the concentration reaching </w:t>
      </w:r>
      <w:r w:rsidR="00212286">
        <w:rPr>
          <w:rFonts w:asciiTheme="majorBidi" w:hAnsiTheme="majorBidi" w:cstheme="majorBidi"/>
          <w:sz w:val="24"/>
          <w:szCs w:val="24"/>
          <w:lang w:bidi="ar-IQ"/>
        </w:rPr>
        <w:t>75.16</w:t>
      </w:r>
      <w:r w:rsidRPr="007C256D">
        <w:rPr>
          <w:rFonts w:asciiTheme="majorBidi" w:hAnsiTheme="majorBidi" w:cstheme="majorBidi"/>
          <w:sz w:val="24"/>
          <w:szCs w:val="24"/>
          <w:lang w:bidi="ar-IQ"/>
        </w:rPr>
        <w:t xml:space="preserve"> mg/L at the 0.4 mg/L treatment and </w:t>
      </w:r>
      <w:r w:rsidR="00212286">
        <w:rPr>
          <w:rFonts w:asciiTheme="majorBidi" w:hAnsiTheme="majorBidi" w:cstheme="majorBidi"/>
          <w:sz w:val="24"/>
          <w:szCs w:val="24"/>
          <w:lang w:bidi="ar-IQ"/>
        </w:rPr>
        <w:t>52.84</w:t>
      </w:r>
      <w:r w:rsidRPr="007C256D">
        <w:rPr>
          <w:rFonts w:asciiTheme="majorBidi" w:hAnsiTheme="majorBidi" w:cstheme="majorBidi"/>
          <w:sz w:val="24"/>
          <w:szCs w:val="24"/>
          <w:lang w:bidi="ar-IQ"/>
        </w:rPr>
        <w:t xml:space="preserve"> mg/L at the 0.2 mg/L treatment. This increase at this concentration indicates that this level of enzyme contributed to increased thymoquinone accumulation as a secondary compound with a protective role. This aligns with what </w:t>
      </w:r>
      <w:r w:rsidR="00212286">
        <w:rPr>
          <w:rFonts w:asciiTheme="majorBidi" w:hAnsiTheme="majorBidi" w:cstheme="majorBidi"/>
          <w:sz w:val="24"/>
          <w:szCs w:val="24"/>
          <w:lang w:bidi="ar-IQ"/>
        </w:rPr>
        <w:t>(</w:t>
      </w:r>
      <w:r w:rsidRPr="007C256D">
        <w:rPr>
          <w:rFonts w:asciiTheme="majorBidi" w:hAnsiTheme="majorBidi" w:cstheme="majorBidi"/>
          <w:sz w:val="24"/>
          <w:szCs w:val="24"/>
          <w:lang w:bidi="ar-IQ"/>
        </w:rPr>
        <w:t xml:space="preserve">Razzaq </w:t>
      </w:r>
      <w:r w:rsidRPr="00212286">
        <w:rPr>
          <w:rFonts w:asciiTheme="majorBidi" w:hAnsiTheme="majorBidi" w:cstheme="majorBidi"/>
          <w:i/>
          <w:iCs/>
          <w:sz w:val="24"/>
          <w:szCs w:val="24"/>
          <w:lang w:bidi="ar-IQ"/>
        </w:rPr>
        <w:t>et al</w:t>
      </w:r>
      <w:r w:rsidRPr="007C256D">
        <w:rPr>
          <w:rFonts w:asciiTheme="majorBidi" w:hAnsiTheme="majorBidi" w:cstheme="majorBidi"/>
          <w:sz w:val="24"/>
          <w:szCs w:val="24"/>
          <w:lang w:bidi="ar-IQ"/>
        </w:rPr>
        <w:t>.</w:t>
      </w:r>
      <w:r w:rsidR="00212286">
        <w:rPr>
          <w:rFonts w:asciiTheme="majorBidi" w:hAnsiTheme="majorBidi" w:cstheme="majorBidi"/>
          <w:sz w:val="24"/>
          <w:szCs w:val="24"/>
          <w:lang w:bidi="ar-IQ"/>
        </w:rPr>
        <w:t>,</w:t>
      </w:r>
      <w:r w:rsidRPr="007C256D">
        <w:rPr>
          <w:rFonts w:asciiTheme="majorBidi" w:hAnsiTheme="majorBidi" w:cstheme="majorBidi"/>
          <w:sz w:val="24"/>
          <w:szCs w:val="24"/>
          <w:lang w:bidi="ar-IQ"/>
        </w:rPr>
        <w:t xml:space="preserve"> 2023) indicated: that some secondary compounds accumulate more under the influence of </w:t>
      </w:r>
      <w:proofErr w:type="spellStart"/>
      <w:r w:rsidRPr="007C256D">
        <w:rPr>
          <w:rFonts w:asciiTheme="majorBidi" w:hAnsiTheme="majorBidi" w:cstheme="majorBidi"/>
          <w:sz w:val="24"/>
          <w:szCs w:val="24"/>
          <w:lang w:bidi="ar-IQ"/>
        </w:rPr>
        <w:t>biostimuli</w:t>
      </w:r>
      <w:proofErr w:type="spellEnd"/>
      <w:r w:rsidRPr="007C256D">
        <w:rPr>
          <w:rFonts w:asciiTheme="majorBidi" w:hAnsiTheme="majorBidi" w:cstheme="majorBidi"/>
          <w:sz w:val="24"/>
          <w:szCs w:val="24"/>
          <w:lang w:bidi="ar-IQ"/>
        </w:rPr>
        <w:t xml:space="preserve"> due to the activation of synthetic pathways associated with plant defense. In </w:t>
      </w:r>
      <w:r w:rsidR="00212286">
        <w:rPr>
          <w:rFonts w:asciiTheme="majorBidi" w:hAnsiTheme="majorBidi" w:cstheme="majorBidi"/>
          <w:sz w:val="24"/>
          <w:szCs w:val="24"/>
          <w:lang w:bidi="ar-IQ"/>
        </w:rPr>
        <w:t>(</w:t>
      </w:r>
      <w:r w:rsidRPr="007C256D">
        <w:rPr>
          <w:rFonts w:asciiTheme="majorBidi" w:hAnsiTheme="majorBidi" w:cstheme="majorBidi"/>
          <w:sz w:val="24"/>
          <w:szCs w:val="24"/>
          <w:lang w:bidi="ar-IQ"/>
        </w:rPr>
        <w:t>Isah's</w:t>
      </w:r>
      <w:r w:rsidR="00212286">
        <w:rPr>
          <w:rFonts w:asciiTheme="majorBidi" w:hAnsiTheme="majorBidi" w:cstheme="majorBidi"/>
          <w:sz w:val="24"/>
          <w:szCs w:val="24"/>
          <w:lang w:bidi="ar-IQ"/>
        </w:rPr>
        <w:t>,</w:t>
      </w:r>
      <w:r w:rsidRPr="007C256D">
        <w:rPr>
          <w:rFonts w:asciiTheme="majorBidi" w:hAnsiTheme="majorBidi" w:cstheme="majorBidi"/>
          <w:sz w:val="24"/>
          <w:szCs w:val="24"/>
          <w:lang w:bidi="ar-IQ"/>
        </w:rPr>
        <w:t xml:space="preserve"> 2019) study, a gradual increase in concentration leads to increased production of secondary compounds up to a certain point before the effect becomes inhibitory when the plant's physiological threshold is exceeded. Therefore, the high thymoquinone concentration of 0.4 mg/L in this study may reflect the seedlings remaining within the limits of positive stimulation, without reaching the level of excessive stress that inhibits it.</w:t>
      </w:r>
    </w:p>
    <w:p w14:paraId="0C3A7F51" w14:textId="77777777" w:rsidR="00996090" w:rsidRDefault="00996090" w:rsidP="00EB4DC9">
      <w:pPr>
        <w:pStyle w:val="ListParagraph"/>
        <w:ind w:left="750"/>
        <w:jc w:val="both"/>
        <w:rPr>
          <w:rFonts w:asciiTheme="majorBidi" w:hAnsiTheme="majorBidi" w:cstheme="majorBidi"/>
          <w:sz w:val="24"/>
          <w:szCs w:val="24"/>
          <w:rtl/>
          <w:lang w:bidi="ar-IQ"/>
        </w:rPr>
      </w:pPr>
    </w:p>
    <w:p w14:paraId="3B330883" w14:textId="77777777" w:rsidR="00996090" w:rsidRDefault="00996090" w:rsidP="00EB4DC9">
      <w:pPr>
        <w:pStyle w:val="ListParagraph"/>
        <w:ind w:left="750"/>
        <w:jc w:val="both"/>
        <w:rPr>
          <w:rFonts w:asciiTheme="majorBidi" w:hAnsiTheme="majorBidi" w:cstheme="majorBidi"/>
          <w:sz w:val="24"/>
          <w:szCs w:val="24"/>
          <w:rtl/>
          <w:lang w:bidi="ar-IQ"/>
        </w:rPr>
      </w:pPr>
    </w:p>
    <w:p w14:paraId="2FDA6B5F" w14:textId="77777777" w:rsidR="00996090" w:rsidRPr="00996090" w:rsidRDefault="00996090" w:rsidP="00EB4DC9">
      <w:pPr>
        <w:ind w:left="630" w:hanging="630"/>
        <w:jc w:val="both"/>
        <w:rPr>
          <w:rFonts w:asciiTheme="majorBidi" w:hAnsiTheme="majorBidi" w:cstheme="majorBidi"/>
          <w:b/>
          <w:bCs/>
          <w:sz w:val="28"/>
          <w:szCs w:val="28"/>
          <w:rtl/>
          <w:lang w:bidi="ar-IQ"/>
        </w:rPr>
      </w:pPr>
      <w:r w:rsidRPr="00996090">
        <w:rPr>
          <w:rFonts w:asciiTheme="majorBidi" w:hAnsiTheme="majorBidi" w:cstheme="majorBidi"/>
          <w:b/>
          <w:bCs/>
          <w:sz w:val="28"/>
          <w:szCs w:val="28"/>
          <w:lang w:bidi="ar-IQ"/>
        </w:rPr>
        <w:lastRenderedPageBreak/>
        <w:t>References</w:t>
      </w:r>
    </w:p>
    <w:p w14:paraId="6955F6EC" w14:textId="77777777" w:rsidR="00996090" w:rsidRDefault="00996090" w:rsidP="00EB4DC9">
      <w:pPr>
        <w:ind w:left="630" w:hanging="630"/>
        <w:jc w:val="both"/>
        <w:rPr>
          <w:rFonts w:asciiTheme="majorBidi" w:hAnsiTheme="majorBidi" w:cstheme="majorBidi"/>
          <w:sz w:val="28"/>
          <w:szCs w:val="28"/>
        </w:rPr>
      </w:pPr>
      <w:r w:rsidRPr="00C7449E">
        <w:rPr>
          <w:rFonts w:asciiTheme="majorBidi" w:hAnsiTheme="majorBidi" w:cstheme="majorBidi"/>
          <w:sz w:val="28"/>
          <w:szCs w:val="28"/>
          <w:lang w:bidi="ar-IQ"/>
        </w:rPr>
        <w:t xml:space="preserve">Abed, A. S., &amp; Taha, A. J. (2024). Biotic and Abiotic Elicitors Induce Biosynthesis and Accumulation of Some </w:t>
      </w:r>
      <w:proofErr w:type="spellStart"/>
      <w:r w:rsidRPr="00C7449E">
        <w:rPr>
          <w:rFonts w:asciiTheme="majorBidi" w:hAnsiTheme="majorBidi" w:cstheme="majorBidi"/>
          <w:sz w:val="28"/>
          <w:szCs w:val="28"/>
          <w:lang w:bidi="ar-IQ"/>
        </w:rPr>
        <w:t>Withanolide</w:t>
      </w:r>
      <w:proofErr w:type="spellEnd"/>
      <w:r w:rsidRPr="00C7449E">
        <w:rPr>
          <w:rFonts w:asciiTheme="majorBidi" w:hAnsiTheme="majorBidi" w:cstheme="majorBidi"/>
          <w:sz w:val="28"/>
          <w:szCs w:val="28"/>
          <w:lang w:bidi="ar-IQ"/>
        </w:rPr>
        <w:t xml:space="preserve"> Compounds in the Callus Culture of </w:t>
      </w:r>
      <w:proofErr w:type="spellStart"/>
      <w:r w:rsidRPr="00C7449E">
        <w:rPr>
          <w:rFonts w:asciiTheme="majorBidi" w:hAnsiTheme="majorBidi" w:cstheme="majorBidi"/>
          <w:sz w:val="28"/>
          <w:szCs w:val="28"/>
          <w:lang w:bidi="ar-IQ"/>
        </w:rPr>
        <w:t>Withania</w:t>
      </w:r>
      <w:proofErr w:type="spellEnd"/>
      <w:r w:rsidRPr="00C7449E">
        <w:rPr>
          <w:rFonts w:asciiTheme="majorBidi" w:hAnsiTheme="majorBidi" w:cstheme="majorBidi"/>
          <w:sz w:val="28"/>
          <w:szCs w:val="28"/>
          <w:lang w:bidi="ar-IQ"/>
        </w:rPr>
        <w:t xml:space="preserve"> </w:t>
      </w:r>
      <w:proofErr w:type="spellStart"/>
      <w:r w:rsidRPr="00C7449E">
        <w:rPr>
          <w:rFonts w:asciiTheme="majorBidi" w:hAnsiTheme="majorBidi" w:cstheme="majorBidi"/>
          <w:sz w:val="28"/>
          <w:szCs w:val="28"/>
          <w:lang w:bidi="ar-IQ"/>
        </w:rPr>
        <w:t>somnifera</w:t>
      </w:r>
      <w:proofErr w:type="spellEnd"/>
      <w:r w:rsidRPr="00C7449E">
        <w:rPr>
          <w:rFonts w:asciiTheme="majorBidi" w:hAnsiTheme="majorBidi" w:cstheme="majorBidi"/>
          <w:sz w:val="28"/>
          <w:szCs w:val="28"/>
          <w:lang w:bidi="ar-IQ"/>
        </w:rPr>
        <w:t xml:space="preserve"> L. </w:t>
      </w:r>
      <w:r w:rsidRPr="00C7449E">
        <w:rPr>
          <w:rFonts w:asciiTheme="majorBidi" w:hAnsiTheme="majorBidi" w:cstheme="majorBidi"/>
          <w:i/>
          <w:iCs/>
          <w:sz w:val="28"/>
          <w:szCs w:val="28"/>
          <w:lang w:bidi="ar-IQ"/>
        </w:rPr>
        <w:t>Egyptian Journal of Botany</w:t>
      </w:r>
      <w:r w:rsidRPr="00C7449E">
        <w:rPr>
          <w:rFonts w:asciiTheme="majorBidi" w:hAnsiTheme="majorBidi" w:cstheme="majorBidi"/>
          <w:sz w:val="28"/>
          <w:szCs w:val="28"/>
          <w:lang w:bidi="ar-IQ"/>
        </w:rPr>
        <w:t>, </w:t>
      </w:r>
      <w:r w:rsidRPr="00C7449E">
        <w:rPr>
          <w:rFonts w:asciiTheme="majorBidi" w:hAnsiTheme="majorBidi" w:cstheme="majorBidi"/>
          <w:i/>
          <w:iCs/>
          <w:sz w:val="28"/>
          <w:szCs w:val="28"/>
          <w:lang w:bidi="ar-IQ"/>
        </w:rPr>
        <w:t>64</w:t>
      </w:r>
      <w:r w:rsidRPr="00C7449E">
        <w:rPr>
          <w:rFonts w:asciiTheme="majorBidi" w:hAnsiTheme="majorBidi" w:cstheme="majorBidi"/>
          <w:sz w:val="28"/>
          <w:szCs w:val="28"/>
          <w:lang w:bidi="ar-IQ"/>
        </w:rPr>
        <w:t>(1), 245-256.</w:t>
      </w:r>
      <w:r w:rsidRPr="00C7449E">
        <w:rPr>
          <w:rFonts w:asciiTheme="majorBidi" w:hAnsiTheme="majorBidi" w:cstheme="majorBidi"/>
          <w:sz w:val="28"/>
          <w:szCs w:val="28"/>
          <w:rtl/>
        </w:rPr>
        <w:t>‏</w:t>
      </w:r>
    </w:p>
    <w:p w14:paraId="21EEACA7" w14:textId="77777777" w:rsidR="00996090" w:rsidRDefault="00996090" w:rsidP="00EB4DC9">
      <w:pPr>
        <w:ind w:left="630" w:hanging="630"/>
        <w:jc w:val="both"/>
        <w:rPr>
          <w:rFonts w:asciiTheme="majorBidi" w:hAnsiTheme="majorBidi" w:cstheme="majorBidi"/>
          <w:sz w:val="28"/>
          <w:szCs w:val="28"/>
        </w:rPr>
      </w:pPr>
      <w:proofErr w:type="spellStart"/>
      <w:r w:rsidRPr="00AC6DFE">
        <w:rPr>
          <w:rFonts w:asciiTheme="majorBidi" w:hAnsiTheme="majorBidi" w:cstheme="majorBidi"/>
          <w:sz w:val="28"/>
          <w:szCs w:val="28"/>
        </w:rPr>
        <w:t>Agale</w:t>
      </w:r>
      <w:proofErr w:type="spellEnd"/>
      <w:r w:rsidRPr="00AC6DFE">
        <w:rPr>
          <w:rFonts w:asciiTheme="majorBidi" w:hAnsiTheme="majorBidi" w:cstheme="majorBidi"/>
          <w:sz w:val="28"/>
          <w:szCs w:val="28"/>
        </w:rPr>
        <w:t xml:space="preserve">, P. J., Jadhav, V. A., &amp; </w:t>
      </w:r>
      <w:proofErr w:type="spellStart"/>
      <w:r w:rsidRPr="00AC6DFE">
        <w:rPr>
          <w:rFonts w:asciiTheme="majorBidi" w:hAnsiTheme="majorBidi" w:cstheme="majorBidi"/>
          <w:sz w:val="28"/>
          <w:szCs w:val="28"/>
        </w:rPr>
        <w:t>Wamane</w:t>
      </w:r>
      <w:proofErr w:type="spellEnd"/>
      <w:r w:rsidRPr="00AC6DFE">
        <w:rPr>
          <w:rFonts w:asciiTheme="majorBidi" w:hAnsiTheme="majorBidi" w:cstheme="majorBidi"/>
          <w:sz w:val="28"/>
          <w:szCs w:val="28"/>
        </w:rPr>
        <w:t xml:space="preserve">, V. B. (2022). PLANT TISSUE CULTURE: GENERAL TECHNIQUES. </w:t>
      </w:r>
      <w:r w:rsidRPr="00AC6DFE">
        <w:rPr>
          <w:rFonts w:asciiTheme="majorBidi" w:hAnsiTheme="majorBidi" w:cstheme="majorBidi"/>
          <w:i/>
          <w:iCs/>
          <w:sz w:val="28"/>
          <w:szCs w:val="28"/>
        </w:rPr>
        <w:t>International Journal of Scientific Development and Research.</w:t>
      </w:r>
      <w:r w:rsidRPr="00AC6DFE">
        <w:rPr>
          <w:rFonts w:asciiTheme="majorBidi" w:hAnsiTheme="majorBidi" w:cstheme="majorBidi"/>
          <w:sz w:val="28"/>
          <w:szCs w:val="28"/>
        </w:rPr>
        <w:t xml:space="preserve">, </w:t>
      </w:r>
      <w:r w:rsidRPr="00AC6DFE">
        <w:rPr>
          <w:rFonts w:asciiTheme="majorBidi" w:hAnsiTheme="majorBidi" w:cstheme="majorBidi"/>
          <w:i/>
          <w:iCs/>
          <w:sz w:val="28"/>
          <w:szCs w:val="28"/>
        </w:rPr>
        <w:t>7</w:t>
      </w:r>
      <w:r w:rsidRPr="00AC6DFE">
        <w:rPr>
          <w:rFonts w:asciiTheme="majorBidi" w:hAnsiTheme="majorBidi" w:cstheme="majorBidi"/>
          <w:sz w:val="28"/>
          <w:szCs w:val="28"/>
        </w:rPr>
        <w:t>(11), 909–921.</w:t>
      </w:r>
    </w:p>
    <w:p w14:paraId="5C62523E" w14:textId="77777777" w:rsidR="00996090" w:rsidRPr="00AC6DFE" w:rsidRDefault="00996090" w:rsidP="00EB4DC9">
      <w:pPr>
        <w:ind w:left="630" w:hanging="630"/>
        <w:jc w:val="both"/>
        <w:rPr>
          <w:rFonts w:asciiTheme="majorBidi" w:hAnsiTheme="majorBidi" w:cstheme="majorBidi"/>
          <w:sz w:val="28"/>
          <w:szCs w:val="28"/>
          <w:lang w:bidi="ar-IQ"/>
        </w:rPr>
      </w:pPr>
      <w:r w:rsidRPr="00AC6DFE">
        <w:rPr>
          <w:rFonts w:asciiTheme="majorBidi" w:hAnsiTheme="majorBidi" w:cstheme="majorBidi"/>
          <w:sz w:val="28"/>
          <w:szCs w:val="28"/>
          <w:lang w:bidi="ar-IQ"/>
        </w:rPr>
        <w:t>Cosgrove, D. J. (2005). Growth of the plant cell wall. </w:t>
      </w:r>
      <w:r w:rsidRPr="00AC6DFE">
        <w:rPr>
          <w:rFonts w:asciiTheme="majorBidi" w:hAnsiTheme="majorBidi" w:cstheme="majorBidi"/>
          <w:i/>
          <w:iCs/>
          <w:sz w:val="28"/>
          <w:szCs w:val="28"/>
          <w:lang w:bidi="ar-IQ"/>
        </w:rPr>
        <w:t>Nature reviews molecular cell biology</w:t>
      </w:r>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6</w:t>
      </w:r>
      <w:r w:rsidRPr="00AC6DFE">
        <w:rPr>
          <w:rFonts w:asciiTheme="majorBidi" w:hAnsiTheme="majorBidi" w:cstheme="majorBidi"/>
          <w:sz w:val="28"/>
          <w:szCs w:val="28"/>
          <w:lang w:bidi="ar-IQ"/>
        </w:rPr>
        <w:t>(11), 850-861.</w:t>
      </w:r>
      <w:r w:rsidRPr="00AC6DFE">
        <w:rPr>
          <w:rFonts w:asciiTheme="majorBidi" w:hAnsiTheme="majorBidi" w:cstheme="majorBidi"/>
          <w:sz w:val="28"/>
          <w:szCs w:val="28"/>
          <w:rtl/>
        </w:rPr>
        <w:t>‏</w:t>
      </w:r>
    </w:p>
    <w:p w14:paraId="42F9EA9E" w14:textId="77777777" w:rsidR="00996090" w:rsidRPr="00AC6DFE" w:rsidRDefault="00996090" w:rsidP="00EB4DC9">
      <w:pPr>
        <w:ind w:left="630" w:hanging="630"/>
        <w:jc w:val="both"/>
        <w:rPr>
          <w:rFonts w:asciiTheme="majorBidi" w:hAnsiTheme="majorBidi" w:cstheme="majorBidi"/>
          <w:sz w:val="28"/>
          <w:szCs w:val="28"/>
          <w:rtl/>
        </w:rPr>
      </w:pPr>
      <w:r w:rsidRPr="00AC6DFE">
        <w:rPr>
          <w:rFonts w:asciiTheme="majorBidi" w:hAnsiTheme="majorBidi" w:cstheme="majorBidi"/>
          <w:sz w:val="28"/>
          <w:szCs w:val="28"/>
          <w:lang w:bidi="ar-IQ"/>
        </w:rPr>
        <w:t>Hamann, T. (2012). Plant cell wall integrity maintenance as an essential component of biotic stress response mechanisms. </w:t>
      </w:r>
      <w:r w:rsidRPr="00AC6DFE">
        <w:rPr>
          <w:rFonts w:asciiTheme="majorBidi" w:hAnsiTheme="majorBidi" w:cstheme="majorBidi"/>
          <w:i/>
          <w:iCs/>
          <w:sz w:val="28"/>
          <w:szCs w:val="28"/>
          <w:lang w:bidi="ar-IQ"/>
        </w:rPr>
        <w:t>Frontiers in plant science</w:t>
      </w:r>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3</w:t>
      </w:r>
      <w:r w:rsidRPr="00AC6DFE">
        <w:rPr>
          <w:rFonts w:asciiTheme="majorBidi" w:hAnsiTheme="majorBidi" w:cstheme="majorBidi"/>
          <w:sz w:val="28"/>
          <w:szCs w:val="28"/>
          <w:lang w:bidi="ar-IQ"/>
        </w:rPr>
        <w:t>, 77.</w:t>
      </w:r>
      <w:r w:rsidRPr="00AC6DFE">
        <w:rPr>
          <w:rFonts w:asciiTheme="majorBidi" w:hAnsiTheme="majorBidi" w:cstheme="majorBidi"/>
          <w:sz w:val="28"/>
          <w:szCs w:val="28"/>
          <w:rtl/>
        </w:rPr>
        <w:t>‏</w:t>
      </w:r>
    </w:p>
    <w:p w14:paraId="08AA7DED" w14:textId="77777777" w:rsidR="00996090" w:rsidRPr="00AC6DFE" w:rsidRDefault="00996090" w:rsidP="00EB4DC9">
      <w:pPr>
        <w:ind w:left="630" w:hanging="630"/>
        <w:jc w:val="both"/>
        <w:rPr>
          <w:rFonts w:asciiTheme="majorBidi" w:hAnsiTheme="majorBidi" w:cstheme="majorBidi"/>
          <w:sz w:val="28"/>
          <w:szCs w:val="28"/>
          <w:rtl/>
        </w:rPr>
      </w:pPr>
      <w:r w:rsidRPr="00AC6DFE">
        <w:rPr>
          <w:rFonts w:asciiTheme="majorBidi" w:hAnsiTheme="majorBidi" w:cstheme="majorBidi"/>
          <w:sz w:val="28"/>
          <w:szCs w:val="28"/>
          <w:lang w:bidi="ar-IQ"/>
        </w:rPr>
        <w:t>Isah, T. (2019). Stress and defense responses in plant secondary metabolites production. </w:t>
      </w:r>
      <w:r w:rsidRPr="00AC6DFE">
        <w:rPr>
          <w:rFonts w:asciiTheme="majorBidi" w:hAnsiTheme="majorBidi" w:cstheme="majorBidi"/>
          <w:i/>
          <w:iCs/>
          <w:sz w:val="28"/>
          <w:szCs w:val="28"/>
          <w:lang w:bidi="ar-IQ"/>
        </w:rPr>
        <w:t>Biological research</w:t>
      </w:r>
      <w:r w:rsidRPr="00AC6DFE">
        <w:rPr>
          <w:rFonts w:asciiTheme="majorBidi" w:hAnsiTheme="majorBidi" w:cstheme="majorBidi"/>
          <w:sz w:val="28"/>
          <w:szCs w:val="28"/>
          <w:lang w:bidi="ar-IQ"/>
        </w:rPr>
        <w:t>, 52.</w:t>
      </w:r>
      <w:r w:rsidRPr="00AC6DFE">
        <w:rPr>
          <w:rFonts w:asciiTheme="majorBidi" w:hAnsiTheme="majorBidi" w:cstheme="majorBidi"/>
          <w:sz w:val="28"/>
          <w:szCs w:val="28"/>
          <w:rtl/>
        </w:rPr>
        <w:t>‏</w:t>
      </w:r>
    </w:p>
    <w:p w14:paraId="0FADAE5D" w14:textId="77777777" w:rsidR="00996090" w:rsidRPr="00AC6DFE" w:rsidRDefault="00996090" w:rsidP="00EB4DC9">
      <w:pPr>
        <w:ind w:left="630" w:hanging="630"/>
        <w:jc w:val="both"/>
        <w:rPr>
          <w:rFonts w:asciiTheme="majorBidi" w:hAnsiTheme="majorBidi" w:cstheme="majorBidi"/>
          <w:sz w:val="28"/>
          <w:szCs w:val="28"/>
          <w:rtl/>
        </w:rPr>
      </w:pPr>
      <w:r w:rsidRPr="00AC6DFE">
        <w:rPr>
          <w:rFonts w:asciiTheme="majorBidi" w:hAnsiTheme="majorBidi" w:cstheme="majorBidi"/>
          <w:sz w:val="28"/>
          <w:szCs w:val="28"/>
          <w:lang w:bidi="ar-IQ"/>
        </w:rPr>
        <w:t>Leubner-Metzger, G. (2003). Functions and regulation of β-1, 3-glucanases during seed germination, dormancy release and after-ripening. </w:t>
      </w:r>
      <w:r w:rsidRPr="00AC6DFE">
        <w:rPr>
          <w:rFonts w:asciiTheme="majorBidi" w:hAnsiTheme="majorBidi" w:cstheme="majorBidi"/>
          <w:i/>
          <w:iCs/>
          <w:sz w:val="28"/>
          <w:szCs w:val="28"/>
          <w:lang w:bidi="ar-IQ"/>
        </w:rPr>
        <w:t>Seed Science Research</w:t>
      </w:r>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13</w:t>
      </w:r>
      <w:r w:rsidRPr="00AC6DFE">
        <w:rPr>
          <w:rFonts w:asciiTheme="majorBidi" w:hAnsiTheme="majorBidi" w:cstheme="majorBidi"/>
          <w:sz w:val="28"/>
          <w:szCs w:val="28"/>
          <w:lang w:bidi="ar-IQ"/>
        </w:rPr>
        <w:t>(1), 17-34.</w:t>
      </w:r>
      <w:r w:rsidRPr="00AC6DFE">
        <w:rPr>
          <w:rFonts w:asciiTheme="majorBidi" w:hAnsiTheme="majorBidi" w:cstheme="majorBidi"/>
          <w:sz w:val="28"/>
          <w:szCs w:val="28"/>
          <w:rtl/>
        </w:rPr>
        <w:t>‏</w:t>
      </w:r>
    </w:p>
    <w:p w14:paraId="1506E148" w14:textId="77777777" w:rsidR="00996090" w:rsidRPr="00AC6DFE" w:rsidRDefault="00996090" w:rsidP="00EB4DC9">
      <w:pPr>
        <w:ind w:left="630" w:hanging="630"/>
        <w:jc w:val="both"/>
        <w:rPr>
          <w:rFonts w:asciiTheme="majorBidi" w:hAnsiTheme="majorBidi" w:cstheme="majorBidi"/>
          <w:sz w:val="28"/>
          <w:szCs w:val="28"/>
          <w:rtl/>
        </w:rPr>
      </w:pPr>
      <w:proofErr w:type="spellStart"/>
      <w:r w:rsidRPr="00AC6DFE">
        <w:rPr>
          <w:rFonts w:asciiTheme="majorBidi" w:hAnsiTheme="majorBidi" w:cstheme="majorBidi"/>
          <w:sz w:val="28"/>
          <w:szCs w:val="28"/>
          <w:lang w:bidi="ar-IQ"/>
        </w:rPr>
        <w:t>Lichtenthaler</w:t>
      </w:r>
      <w:proofErr w:type="spellEnd"/>
      <w:r w:rsidRPr="00AC6DFE">
        <w:rPr>
          <w:rFonts w:asciiTheme="majorBidi" w:hAnsiTheme="majorBidi" w:cstheme="majorBidi"/>
          <w:sz w:val="28"/>
          <w:szCs w:val="28"/>
          <w:lang w:bidi="ar-IQ"/>
        </w:rPr>
        <w:t xml:space="preserve">, </w:t>
      </w:r>
      <w:proofErr w:type="gramStart"/>
      <w:r w:rsidRPr="00AC6DFE">
        <w:rPr>
          <w:rFonts w:asciiTheme="majorBidi" w:hAnsiTheme="majorBidi" w:cstheme="majorBidi"/>
          <w:sz w:val="28"/>
          <w:szCs w:val="28"/>
          <w:lang w:bidi="ar-IQ"/>
        </w:rPr>
        <w:t>H.K.(</w:t>
      </w:r>
      <w:proofErr w:type="gramEnd"/>
      <w:r w:rsidRPr="00AC6DFE">
        <w:rPr>
          <w:rFonts w:asciiTheme="majorBidi" w:hAnsiTheme="majorBidi" w:cstheme="majorBidi"/>
          <w:sz w:val="28"/>
          <w:szCs w:val="28"/>
          <w:lang w:bidi="ar-IQ"/>
        </w:rPr>
        <w:t xml:space="preserve">1987). Chlorophyll and carotenoids pigment of photosynthetic </w:t>
      </w:r>
      <w:proofErr w:type="spellStart"/>
      <w:r w:rsidRPr="00AC6DFE">
        <w:rPr>
          <w:rFonts w:asciiTheme="majorBidi" w:hAnsiTheme="majorBidi" w:cstheme="majorBidi"/>
          <w:sz w:val="28"/>
          <w:szCs w:val="28"/>
          <w:lang w:bidi="ar-IQ"/>
        </w:rPr>
        <w:t>biomembrane</w:t>
      </w:r>
      <w:proofErr w:type="spellEnd"/>
      <w:r w:rsidRPr="00AC6DFE">
        <w:rPr>
          <w:rFonts w:asciiTheme="majorBidi" w:hAnsiTheme="majorBidi" w:cstheme="majorBidi"/>
          <w:sz w:val="28"/>
          <w:szCs w:val="28"/>
          <w:lang w:bidi="ar-IQ"/>
        </w:rPr>
        <w:t xml:space="preserve">. </w:t>
      </w:r>
      <w:r w:rsidRPr="00AC6DFE">
        <w:rPr>
          <w:rFonts w:asciiTheme="majorBidi" w:hAnsiTheme="majorBidi" w:cstheme="majorBidi"/>
          <w:i/>
          <w:iCs/>
          <w:sz w:val="28"/>
          <w:szCs w:val="28"/>
          <w:lang w:bidi="ar-IQ"/>
        </w:rPr>
        <w:t>Methods Enzymology</w:t>
      </w:r>
      <w:r w:rsidRPr="00AC6DFE">
        <w:rPr>
          <w:rFonts w:asciiTheme="majorBidi" w:hAnsiTheme="majorBidi" w:cstheme="majorBidi"/>
          <w:sz w:val="28"/>
          <w:szCs w:val="28"/>
          <w:lang w:bidi="ar-IQ"/>
        </w:rPr>
        <w:t xml:space="preserve"> ,148:350-382.</w:t>
      </w:r>
    </w:p>
    <w:p w14:paraId="43FD432D" w14:textId="77777777" w:rsidR="00996090" w:rsidRPr="00AC6DFE" w:rsidRDefault="00996090" w:rsidP="00EB4DC9">
      <w:pPr>
        <w:ind w:left="630" w:hanging="630"/>
        <w:jc w:val="both"/>
        <w:rPr>
          <w:rFonts w:asciiTheme="majorBidi" w:hAnsiTheme="majorBidi" w:cstheme="majorBidi"/>
          <w:sz w:val="28"/>
          <w:szCs w:val="28"/>
          <w:lang w:bidi="ar-IQ"/>
        </w:rPr>
      </w:pPr>
      <w:r w:rsidRPr="00AC6DFE">
        <w:rPr>
          <w:rFonts w:asciiTheme="majorBidi" w:hAnsiTheme="majorBidi" w:cstheme="majorBidi"/>
          <w:sz w:val="28"/>
          <w:szCs w:val="28"/>
          <w:lang w:bidi="ar-IQ"/>
        </w:rPr>
        <w:t>Murashige, T. and Skoog, F. (1962). A revised medium for rapid growth and bioassay with tobacco tissue culture. Physiol. Plant., 15: 473-479.</w:t>
      </w:r>
    </w:p>
    <w:p w14:paraId="6606DBC7" w14:textId="77777777" w:rsidR="00996090" w:rsidRPr="00AC6DFE" w:rsidRDefault="00996090" w:rsidP="00EB4DC9">
      <w:pPr>
        <w:ind w:left="630" w:hanging="630"/>
        <w:jc w:val="both"/>
        <w:rPr>
          <w:rFonts w:asciiTheme="majorBidi" w:hAnsiTheme="majorBidi" w:cstheme="majorBidi"/>
          <w:sz w:val="28"/>
          <w:szCs w:val="28"/>
          <w:lang w:bidi="ar-IQ"/>
        </w:rPr>
      </w:pPr>
      <w:proofErr w:type="spellStart"/>
      <w:r w:rsidRPr="00AC6DFE">
        <w:rPr>
          <w:rFonts w:asciiTheme="majorBidi" w:hAnsiTheme="majorBidi" w:cstheme="majorBidi"/>
          <w:sz w:val="28"/>
          <w:szCs w:val="28"/>
          <w:lang w:bidi="ar-IQ"/>
        </w:rPr>
        <w:t>Namdeo</w:t>
      </w:r>
      <w:proofErr w:type="spellEnd"/>
      <w:r w:rsidRPr="00AC6DFE">
        <w:rPr>
          <w:rFonts w:asciiTheme="majorBidi" w:hAnsiTheme="majorBidi" w:cstheme="majorBidi"/>
          <w:sz w:val="28"/>
          <w:szCs w:val="28"/>
          <w:lang w:bidi="ar-IQ"/>
        </w:rPr>
        <w:t>, A. G. (2007). Plant cell elicitation for production of secondary metabolites: a review. </w:t>
      </w:r>
      <w:proofErr w:type="spellStart"/>
      <w:r w:rsidRPr="00AC6DFE">
        <w:rPr>
          <w:rFonts w:asciiTheme="majorBidi" w:hAnsiTheme="majorBidi" w:cstheme="majorBidi"/>
          <w:i/>
          <w:iCs/>
          <w:sz w:val="28"/>
          <w:szCs w:val="28"/>
          <w:lang w:bidi="ar-IQ"/>
        </w:rPr>
        <w:t>Pharmacogn</w:t>
      </w:r>
      <w:proofErr w:type="spellEnd"/>
      <w:r w:rsidRPr="00AC6DFE">
        <w:rPr>
          <w:rFonts w:asciiTheme="majorBidi" w:hAnsiTheme="majorBidi" w:cstheme="majorBidi"/>
          <w:i/>
          <w:iCs/>
          <w:sz w:val="28"/>
          <w:szCs w:val="28"/>
          <w:lang w:bidi="ar-IQ"/>
        </w:rPr>
        <w:t xml:space="preserve"> Rev</w:t>
      </w:r>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1</w:t>
      </w:r>
      <w:r w:rsidRPr="00AC6DFE">
        <w:rPr>
          <w:rFonts w:asciiTheme="majorBidi" w:hAnsiTheme="majorBidi" w:cstheme="majorBidi"/>
          <w:sz w:val="28"/>
          <w:szCs w:val="28"/>
          <w:lang w:bidi="ar-IQ"/>
        </w:rPr>
        <w:t>(1), 69-79.</w:t>
      </w:r>
      <w:r w:rsidRPr="00AC6DFE">
        <w:rPr>
          <w:rFonts w:asciiTheme="majorBidi" w:hAnsiTheme="majorBidi" w:cstheme="majorBidi"/>
          <w:sz w:val="28"/>
          <w:szCs w:val="28"/>
          <w:rtl/>
        </w:rPr>
        <w:t>‏</w:t>
      </w:r>
    </w:p>
    <w:p w14:paraId="302A579B" w14:textId="77777777" w:rsidR="00996090" w:rsidRPr="00AC6DFE" w:rsidRDefault="00996090" w:rsidP="00EB4DC9">
      <w:pPr>
        <w:ind w:left="630" w:hanging="630"/>
        <w:jc w:val="both"/>
        <w:rPr>
          <w:rFonts w:asciiTheme="majorBidi" w:hAnsiTheme="majorBidi" w:cstheme="majorBidi"/>
          <w:sz w:val="28"/>
          <w:szCs w:val="28"/>
          <w:lang w:bidi="ar-IQ"/>
        </w:rPr>
      </w:pPr>
      <w:r w:rsidRPr="00AC6DFE">
        <w:rPr>
          <w:rFonts w:asciiTheme="majorBidi" w:hAnsiTheme="majorBidi" w:cstheme="majorBidi"/>
          <w:sz w:val="28"/>
          <w:szCs w:val="28"/>
          <w:lang w:bidi="ar-IQ"/>
        </w:rPr>
        <w:t>Perrot, T., Pauly, M., &amp; Ramírez, V. (2022). Emerging roles of β-</w:t>
      </w:r>
      <w:proofErr w:type="spellStart"/>
      <w:r w:rsidRPr="00AC6DFE">
        <w:rPr>
          <w:rFonts w:asciiTheme="majorBidi" w:hAnsiTheme="majorBidi" w:cstheme="majorBidi"/>
          <w:sz w:val="28"/>
          <w:szCs w:val="28"/>
          <w:lang w:bidi="ar-IQ"/>
        </w:rPr>
        <w:t>glucanases</w:t>
      </w:r>
      <w:proofErr w:type="spellEnd"/>
      <w:r w:rsidRPr="00AC6DFE">
        <w:rPr>
          <w:rFonts w:asciiTheme="majorBidi" w:hAnsiTheme="majorBidi" w:cstheme="majorBidi"/>
          <w:sz w:val="28"/>
          <w:szCs w:val="28"/>
          <w:lang w:bidi="ar-IQ"/>
        </w:rPr>
        <w:t xml:space="preserve"> in plant development and adaptative responses. </w:t>
      </w:r>
      <w:r w:rsidRPr="00AC6DFE">
        <w:rPr>
          <w:rFonts w:asciiTheme="majorBidi" w:hAnsiTheme="majorBidi" w:cstheme="majorBidi"/>
          <w:i/>
          <w:iCs/>
          <w:sz w:val="28"/>
          <w:szCs w:val="28"/>
          <w:lang w:bidi="ar-IQ"/>
        </w:rPr>
        <w:t>Plants</w:t>
      </w:r>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11</w:t>
      </w:r>
      <w:r w:rsidRPr="00AC6DFE">
        <w:rPr>
          <w:rFonts w:asciiTheme="majorBidi" w:hAnsiTheme="majorBidi" w:cstheme="majorBidi"/>
          <w:sz w:val="28"/>
          <w:szCs w:val="28"/>
          <w:lang w:bidi="ar-IQ"/>
        </w:rPr>
        <w:t>(9), 1119.</w:t>
      </w:r>
      <w:r w:rsidRPr="00AC6DFE">
        <w:rPr>
          <w:rFonts w:asciiTheme="majorBidi" w:hAnsiTheme="majorBidi" w:cstheme="majorBidi"/>
          <w:sz w:val="28"/>
          <w:szCs w:val="28"/>
          <w:rtl/>
        </w:rPr>
        <w:t>‏</w:t>
      </w:r>
    </w:p>
    <w:p w14:paraId="636FA7E1" w14:textId="77777777" w:rsidR="00996090" w:rsidRPr="00AC6DFE" w:rsidRDefault="00996090" w:rsidP="00EB4DC9">
      <w:pPr>
        <w:ind w:left="630" w:hanging="630"/>
        <w:jc w:val="both"/>
        <w:rPr>
          <w:rFonts w:asciiTheme="majorBidi" w:hAnsiTheme="majorBidi" w:cstheme="majorBidi"/>
          <w:sz w:val="28"/>
          <w:szCs w:val="28"/>
          <w:rtl/>
        </w:rPr>
      </w:pPr>
      <w:r w:rsidRPr="00AC6DFE">
        <w:rPr>
          <w:rFonts w:asciiTheme="majorBidi" w:hAnsiTheme="majorBidi" w:cstheme="majorBidi"/>
          <w:sz w:val="28"/>
          <w:szCs w:val="28"/>
          <w:lang w:bidi="ar-IQ"/>
        </w:rPr>
        <w:t>Razzaq, A., Zafar, M. M., Ali, A., Ihsan, L., Qadir, F., Khan, M. N., ... &amp; Qiao, F. (2025). Elicitor-mediated enhancement of secondary metabolites in plant species: a review. </w:t>
      </w:r>
      <w:r w:rsidRPr="00AC6DFE">
        <w:rPr>
          <w:rFonts w:asciiTheme="majorBidi" w:hAnsiTheme="majorBidi" w:cstheme="majorBidi"/>
          <w:i/>
          <w:iCs/>
          <w:sz w:val="28"/>
          <w:szCs w:val="28"/>
          <w:lang w:bidi="ar-IQ"/>
        </w:rPr>
        <w:t>Frontiers in Plant Science</w:t>
      </w:r>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16</w:t>
      </w:r>
      <w:r w:rsidRPr="00AC6DFE">
        <w:rPr>
          <w:rFonts w:asciiTheme="majorBidi" w:hAnsiTheme="majorBidi" w:cstheme="majorBidi"/>
          <w:sz w:val="28"/>
          <w:szCs w:val="28"/>
          <w:lang w:bidi="ar-IQ"/>
        </w:rPr>
        <w:t>, 1706600.</w:t>
      </w:r>
      <w:r w:rsidRPr="00AC6DFE">
        <w:rPr>
          <w:rFonts w:asciiTheme="majorBidi" w:hAnsiTheme="majorBidi" w:cstheme="majorBidi"/>
          <w:sz w:val="28"/>
          <w:szCs w:val="28"/>
          <w:rtl/>
        </w:rPr>
        <w:t>‏</w:t>
      </w:r>
    </w:p>
    <w:p w14:paraId="4D884305" w14:textId="77777777" w:rsidR="00996090" w:rsidRPr="00AC6DFE" w:rsidRDefault="00996090" w:rsidP="00EB4DC9">
      <w:pPr>
        <w:ind w:left="630" w:hanging="630"/>
        <w:jc w:val="both"/>
        <w:rPr>
          <w:rFonts w:asciiTheme="majorBidi" w:hAnsiTheme="majorBidi" w:cstheme="majorBidi"/>
          <w:sz w:val="28"/>
          <w:szCs w:val="28"/>
          <w:lang w:bidi="ar-IQ"/>
        </w:rPr>
      </w:pPr>
      <w:r w:rsidRPr="00AC6DFE">
        <w:rPr>
          <w:rFonts w:asciiTheme="majorBidi" w:hAnsiTheme="majorBidi" w:cstheme="majorBidi"/>
          <w:sz w:val="28"/>
          <w:szCs w:val="28"/>
          <w:lang w:bidi="ar-IQ"/>
        </w:rPr>
        <w:lastRenderedPageBreak/>
        <w:t xml:space="preserve">Shanmugaratnam, S., Mikunthan, G., &amp; </w:t>
      </w:r>
      <w:proofErr w:type="spellStart"/>
      <w:r w:rsidRPr="00AC6DFE">
        <w:rPr>
          <w:rFonts w:asciiTheme="majorBidi" w:hAnsiTheme="majorBidi" w:cstheme="majorBidi"/>
          <w:sz w:val="28"/>
          <w:szCs w:val="28"/>
          <w:lang w:bidi="ar-IQ"/>
        </w:rPr>
        <w:t>Thurairatnam</w:t>
      </w:r>
      <w:proofErr w:type="spellEnd"/>
      <w:r w:rsidRPr="00AC6DFE">
        <w:rPr>
          <w:rFonts w:asciiTheme="majorBidi" w:hAnsiTheme="majorBidi" w:cstheme="majorBidi"/>
          <w:sz w:val="28"/>
          <w:szCs w:val="28"/>
          <w:lang w:bidi="ar-IQ"/>
        </w:rPr>
        <w:t xml:space="preserve">, S. (2013). Potential of </w:t>
      </w:r>
      <w:proofErr w:type="spellStart"/>
      <w:r w:rsidRPr="00AC6DFE">
        <w:rPr>
          <w:rFonts w:asciiTheme="majorBidi" w:hAnsiTheme="majorBidi" w:cstheme="majorBidi"/>
          <w:sz w:val="28"/>
          <w:szCs w:val="28"/>
          <w:lang w:bidi="ar-IQ"/>
        </w:rPr>
        <w:t>Withania</w:t>
      </w:r>
      <w:proofErr w:type="spellEnd"/>
      <w:r w:rsidRPr="00AC6DFE">
        <w:rPr>
          <w:rFonts w:asciiTheme="majorBidi" w:hAnsiTheme="majorBidi" w:cstheme="majorBidi"/>
          <w:sz w:val="28"/>
          <w:szCs w:val="28"/>
          <w:lang w:bidi="ar-IQ"/>
        </w:rPr>
        <w:t xml:space="preserve"> </w:t>
      </w:r>
      <w:proofErr w:type="spellStart"/>
      <w:r w:rsidRPr="00AC6DFE">
        <w:rPr>
          <w:rFonts w:asciiTheme="majorBidi" w:hAnsiTheme="majorBidi" w:cstheme="majorBidi"/>
          <w:sz w:val="28"/>
          <w:szCs w:val="28"/>
          <w:lang w:bidi="ar-IQ"/>
        </w:rPr>
        <w:t>somnifera</w:t>
      </w:r>
      <w:proofErr w:type="spellEnd"/>
      <w:r w:rsidRPr="00AC6DFE">
        <w:rPr>
          <w:rFonts w:asciiTheme="majorBidi" w:hAnsiTheme="majorBidi" w:cstheme="majorBidi"/>
          <w:sz w:val="28"/>
          <w:szCs w:val="28"/>
          <w:lang w:bidi="ar-IQ"/>
        </w:rPr>
        <w:t xml:space="preserve"> </w:t>
      </w:r>
      <w:proofErr w:type="spellStart"/>
      <w:r w:rsidRPr="00AC6DFE">
        <w:rPr>
          <w:rFonts w:asciiTheme="majorBidi" w:hAnsiTheme="majorBidi" w:cstheme="majorBidi"/>
          <w:sz w:val="28"/>
          <w:szCs w:val="28"/>
          <w:lang w:bidi="ar-IQ"/>
        </w:rPr>
        <w:t>Dunal</w:t>
      </w:r>
      <w:proofErr w:type="spellEnd"/>
      <w:r w:rsidRPr="00AC6DFE">
        <w:rPr>
          <w:rFonts w:asciiTheme="majorBidi" w:hAnsiTheme="majorBidi" w:cstheme="majorBidi"/>
          <w:sz w:val="28"/>
          <w:szCs w:val="28"/>
          <w:lang w:bidi="ar-IQ"/>
        </w:rPr>
        <w:t xml:space="preserve"> cultivation as a medicinal crop in Jaffna district. </w:t>
      </w:r>
      <w:r w:rsidRPr="00AC6DFE">
        <w:rPr>
          <w:rFonts w:asciiTheme="majorBidi" w:hAnsiTheme="majorBidi" w:cstheme="majorBidi"/>
          <w:i/>
          <w:iCs/>
          <w:sz w:val="28"/>
          <w:szCs w:val="28"/>
          <w:lang w:bidi="ar-IQ"/>
        </w:rPr>
        <w:t>American-Eurasian Journal Agriculture and Environment Science</w:t>
      </w:r>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13</w:t>
      </w:r>
      <w:r w:rsidRPr="00AC6DFE">
        <w:rPr>
          <w:rFonts w:asciiTheme="majorBidi" w:hAnsiTheme="majorBidi" w:cstheme="majorBidi"/>
          <w:sz w:val="28"/>
          <w:szCs w:val="28"/>
          <w:lang w:bidi="ar-IQ"/>
        </w:rPr>
        <w:t>(3), 357-361.</w:t>
      </w:r>
      <w:r w:rsidRPr="00AC6DFE">
        <w:rPr>
          <w:rFonts w:asciiTheme="majorBidi" w:hAnsiTheme="majorBidi" w:cstheme="majorBidi"/>
          <w:sz w:val="28"/>
          <w:szCs w:val="28"/>
          <w:rtl/>
        </w:rPr>
        <w:t>‏</w:t>
      </w:r>
    </w:p>
    <w:p w14:paraId="7F800050" w14:textId="77777777" w:rsidR="00996090" w:rsidRPr="00AC6DFE" w:rsidRDefault="00996090" w:rsidP="00EB4DC9">
      <w:pPr>
        <w:ind w:left="630" w:hanging="630"/>
        <w:jc w:val="both"/>
        <w:rPr>
          <w:rFonts w:asciiTheme="majorBidi" w:hAnsiTheme="majorBidi" w:cstheme="majorBidi"/>
          <w:sz w:val="28"/>
          <w:szCs w:val="28"/>
          <w:rtl/>
        </w:rPr>
      </w:pPr>
      <w:r w:rsidRPr="00AC6DFE">
        <w:rPr>
          <w:rFonts w:asciiTheme="majorBidi" w:hAnsiTheme="majorBidi" w:cstheme="majorBidi"/>
          <w:sz w:val="28"/>
          <w:szCs w:val="28"/>
          <w:lang w:bidi="ar-IQ"/>
        </w:rPr>
        <w:t xml:space="preserve">Soliman, R. M., Salam, R. A. A., Eid, B. G., Khayyat, A., </w:t>
      </w:r>
      <w:proofErr w:type="spellStart"/>
      <w:r w:rsidRPr="00AC6DFE">
        <w:rPr>
          <w:rFonts w:asciiTheme="majorBidi" w:hAnsiTheme="majorBidi" w:cstheme="majorBidi"/>
          <w:sz w:val="28"/>
          <w:szCs w:val="28"/>
          <w:lang w:bidi="ar-IQ"/>
        </w:rPr>
        <w:t>Neamatallah</w:t>
      </w:r>
      <w:proofErr w:type="spellEnd"/>
      <w:r w:rsidRPr="00AC6DFE">
        <w:rPr>
          <w:rFonts w:asciiTheme="majorBidi" w:hAnsiTheme="majorBidi" w:cstheme="majorBidi"/>
          <w:sz w:val="28"/>
          <w:szCs w:val="28"/>
          <w:lang w:bidi="ar-IQ"/>
        </w:rPr>
        <w:t>, T., Mesbah, M. K., &amp; Hadad, G. M. (2020). Stability study of thymoquinone, carvacrol and thymol using HPLC-UV and LC-ESI-MS. </w:t>
      </w:r>
      <w:r w:rsidRPr="00AC6DFE">
        <w:rPr>
          <w:rFonts w:asciiTheme="majorBidi" w:hAnsiTheme="majorBidi" w:cstheme="majorBidi"/>
          <w:i/>
          <w:iCs/>
          <w:sz w:val="28"/>
          <w:szCs w:val="28"/>
          <w:lang w:bidi="ar-IQ"/>
        </w:rPr>
        <w:t>Acta Pharmaceutica</w:t>
      </w:r>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70</w:t>
      </w:r>
      <w:r w:rsidRPr="00AC6DFE">
        <w:rPr>
          <w:rFonts w:asciiTheme="majorBidi" w:hAnsiTheme="majorBidi" w:cstheme="majorBidi"/>
          <w:sz w:val="28"/>
          <w:szCs w:val="28"/>
          <w:lang w:bidi="ar-IQ"/>
        </w:rPr>
        <w:t>(3), 325-342.</w:t>
      </w:r>
      <w:r w:rsidRPr="00AC6DFE">
        <w:rPr>
          <w:rFonts w:asciiTheme="majorBidi" w:hAnsiTheme="majorBidi" w:cstheme="majorBidi"/>
          <w:sz w:val="28"/>
          <w:szCs w:val="28"/>
          <w:rtl/>
        </w:rPr>
        <w:t>‏</w:t>
      </w:r>
    </w:p>
    <w:p w14:paraId="6C98F3AC" w14:textId="77777777" w:rsidR="00996090" w:rsidRPr="00AC6DFE" w:rsidRDefault="00996090" w:rsidP="00EB4DC9">
      <w:pPr>
        <w:ind w:left="630" w:hanging="630"/>
        <w:jc w:val="both"/>
        <w:rPr>
          <w:rFonts w:asciiTheme="majorBidi" w:hAnsiTheme="majorBidi" w:cstheme="majorBidi"/>
          <w:sz w:val="28"/>
          <w:szCs w:val="28"/>
          <w:rtl/>
          <w:lang w:bidi="ar-IQ"/>
        </w:rPr>
      </w:pPr>
      <w:r w:rsidRPr="00AC6DFE">
        <w:rPr>
          <w:rFonts w:asciiTheme="majorBidi" w:hAnsiTheme="majorBidi" w:cstheme="majorBidi"/>
          <w:sz w:val="28"/>
          <w:szCs w:val="28"/>
          <w:lang w:bidi="ar-IQ"/>
        </w:rPr>
        <w:t>Taiz, L., Zeiger, E., Møller, I. M., &amp; Murphy, A. (2017). </w:t>
      </w:r>
      <w:proofErr w:type="spellStart"/>
      <w:r w:rsidRPr="00AC6DFE">
        <w:rPr>
          <w:rFonts w:asciiTheme="majorBidi" w:hAnsiTheme="majorBidi" w:cstheme="majorBidi"/>
          <w:i/>
          <w:iCs/>
          <w:sz w:val="28"/>
          <w:szCs w:val="28"/>
          <w:lang w:bidi="ar-IQ"/>
        </w:rPr>
        <w:t>Fisiologia</w:t>
      </w:r>
      <w:proofErr w:type="spellEnd"/>
      <w:r w:rsidRPr="00AC6DFE">
        <w:rPr>
          <w:rFonts w:asciiTheme="majorBidi" w:hAnsiTheme="majorBidi" w:cstheme="majorBidi"/>
          <w:i/>
          <w:iCs/>
          <w:sz w:val="28"/>
          <w:szCs w:val="28"/>
          <w:lang w:bidi="ar-IQ"/>
        </w:rPr>
        <w:t xml:space="preserve"> e </w:t>
      </w:r>
      <w:proofErr w:type="spellStart"/>
      <w:r w:rsidRPr="00AC6DFE">
        <w:rPr>
          <w:rFonts w:asciiTheme="majorBidi" w:hAnsiTheme="majorBidi" w:cstheme="majorBidi"/>
          <w:i/>
          <w:iCs/>
          <w:sz w:val="28"/>
          <w:szCs w:val="28"/>
          <w:lang w:bidi="ar-IQ"/>
        </w:rPr>
        <w:t>desenvolvimento</w:t>
      </w:r>
      <w:proofErr w:type="spellEnd"/>
      <w:r w:rsidRPr="00AC6DFE">
        <w:rPr>
          <w:rFonts w:asciiTheme="majorBidi" w:hAnsiTheme="majorBidi" w:cstheme="majorBidi"/>
          <w:i/>
          <w:iCs/>
          <w:sz w:val="28"/>
          <w:szCs w:val="28"/>
          <w:lang w:bidi="ar-IQ"/>
        </w:rPr>
        <w:t xml:space="preserve"> vegetal</w:t>
      </w:r>
      <w:r w:rsidRPr="00AC6DFE">
        <w:rPr>
          <w:rFonts w:asciiTheme="majorBidi" w:hAnsiTheme="majorBidi" w:cstheme="majorBidi"/>
          <w:sz w:val="28"/>
          <w:szCs w:val="28"/>
          <w:lang w:bidi="ar-IQ"/>
        </w:rPr>
        <w:t xml:space="preserve">. </w:t>
      </w:r>
      <w:proofErr w:type="spellStart"/>
      <w:r w:rsidRPr="00AC6DFE">
        <w:rPr>
          <w:rFonts w:asciiTheme="majorBidi" w:hAnsiTheme="majorBidi" w:cstheme="majorBidi"/>
          <w:sz w:val="28"/>
          <w:szCs w:val="28"/>
          <w:lang w:bidi="ar-IQ"/>
        </w:rPr>
        <w:t>Artmed</w:t>
      </w:r>
      <w:proofErr w:type="spellEnd"/>
      <w:r w:rsidRPr="00AC6DFE">
        <w:rPr>
          <w:rFonts w:asciiTheme="majorBidi" w:hAnsiTheme="majorBidi" w:cstheme="majorBidi"/>
          <w:sz w:val="28"/>
          <w:szCs w:val="28"/>
          <w:lang w:bidi="ar-IQ"/>
        </w:rPr>
        <w:t xml:space="preserve"> </w:t>
      </w:r>
      <w:proofErr w:type="spellStart"/>
      <w:r w:rsidRPr="00AC6DFE">
        <w:rPr>
          <w:rFonts w:asciiTheme="majorBidi" w:hAnsiTheme="majorBidi" w:cstheme="majorBidi"/>
          <w:sz w:val="28"/>
          <w:szCs w:val="28"/>
          <w:lang w:bidi="ar-IQ"/>
        </w:rPr>
        <w:t>Editora</w:t>
      </w:r>
      <w:proofErr w:type="spellEnd"/>
      <w:r w:rsidRPr="00AC6DFE">
        <w:rPr>
          <w:rFonts w:asciiTheme="majorBidi" w:hAnsiTheme="majorBidi" w:cstheme="majorBidi"/>
          <w:sz w:val="28"/>
          <w:szCs w:val="28"/>
          <w:lang w:bidi="ar-IQ"/>
        </w:rPr>
        <w:t>.</w:t>
      </w:r>
      <w:r w:rsidRPr="00AC6DFE">
        <w:rPr>
          <w:rFonts w:asciiTheme="majorBidi" w:hAnsiTheme="majorBidi" w:cstheme="majorBidi"/>
          <w:sz w:val="28"/>
          <w:szCs w:val="28"/>
          <w:rtl/>
        </w:rPr>
        <w:t>‏</w:t>
      </w:r>
    </w:p>
    <w:p w14:paraId="42C8FC01" w14:textId="77777777" w:rsidR="00996090" w:rsidRPr="00AC6DFE" w:rsidRDefault="00996090" w:rsidP="00EB4DC9">
      <w:pPr>
        <w:ind w:left="630" w:hanging="630"/>
        <w:jc w:val="both"/>
        <w:rPr>
          <w:rFonts w:asciiTheme="majorBidi" w:hAnsiTheme="majorBidi" w:cstheme="majorBidi"/>
          <w:sz w:val="28"/>
          <w:szCs w:val="28"/>
          <w:lang w:bidi="ar-IQ"/>
        </w:rPr>
      </w:pPr>
      <w:r w:rsidRPr="00AC6DFE">
        <w:rPr>
          <w:rFonts w:asciiTheme="majorBidi" w:hAnsiTheme="majorBidi" w:cstheme="majorBidi"/>
          <w:sz w:val="28"/>
          <w:szCs w:val="28"/>
          <w:lang w:bidi="ar-IQ"/>
        </w:rPr>
        <w:t xml:space="preserve">Taiz, L., Zieger, E., Moller, I. M., &amp; Murphy, A. (2015). Plant Physiology and Development 6th ed. Sinauer </w:t>
      </w:r>
      <w:proofErr w:type="spellStart"/>
      <w:r w:rsidRPr="00AC6DFE">
        <w:rPr>
          <w:rFonts w:asciiTheme="majorBidi" w:hAnsiTheme="majorBidi" w:cstheme="majorBidi"/>
          <w:sz w:val="28"/>
          <w:szCs w:val="28"/>
          <w:lang w:bidi="ar-IQ"/>
        </w:rPr>
        <w:t>Assosiates</w:t>
      </w:r>
      <w:proofErr w:type="spellEnd"/>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Inc. Pub. USA</w:t>
      </w:r>
      <w:r w:rsidRPr="00AC6DFE">
        <w:rPr>
          <w:rFonts w:asciiTheme="majorBidi" w:hAnsiTheme="majorBidi" w:cstheme="majorBidi"/>
          <w:sz w:val="28"/>
          <w:szCs w:val="28"/>
          <w:lang w:bidi="ar-IQ"/>
        </w:rPr>
        <w:t>.</w:t>
      </w:r>
      <w:r w:rsidRPr="00AC6DFE">
        <w:rPr>
          <w:rFonts w:asciiTheme="majorBidi" w:hAnsiTheme="majorBidi" w:cstheme="majorBidi"/>
          <w:sz w:val="28"/>
          <w:szCs w:val="28"/>
          <w:rtl/>
        </w:rPr>
        <w:t>‏</w:t>
      </w:r>
    </w:p>
    <w:p w14:paraId="33788935" w14:textId="77777777" w:rsidR="00996090" w:rsidRPr="00AC6DFE" w:rsidRDefault="00996090" w:rsidP="00EB4DC9">
      <w:pPr>
        <w:ind w:left="630" w:hanging="630"/>
        <w:jc w:val="both"/>
        <w:rPr>
          <w:rFonts w:asciiTheme="majorBidi" w:hAnsiTheme="majorBidi" w:cstheme="majorBidi"/>
          <w:sz w:val="28"/>
          <w:szCs w:val="28"/>
          <w:rtl/>
        </w:rPr>
      </w:pPr>
      <w:r w:rsidRPr="00AC6DFE">
        <w:rPr>
          <w:rFonts w:asciiTheme="majorBidi" w:hAnsiTheme="majorBidi" w:cstheme="majorBidi"/>
          <w:sz w:val="28"/>
          <w:szCs w:val="28"/>
          <w:lang w:bidi="ar-IQ"/>
        </w:rPr>
        <w:t xml:space="preserve">Thomas, B. R., </w:t>
      </w:r>
      <w:proofErr w:type="spellStart"/>
      <w:r w:rsidRPr="00AC6DFE">
        <w:rPr>
          <w:rFonts w:asciiTheme="majorBidi" w:hAnsiTheme="majorBidi" w:cstheme="majorBidi"/>
          <w:sz w:val="28"/>
          <w:szCs w:val="28"/>
          <w:lang w:bidi="ar-IQ"/>
        </w:rPr>
        <w:t>Inouhe</w:t>
      </w:r>
      <w:proofErr w:type="spellEnd"/>
      <w:r w:rsidRPr="00AC6DFE">
        <w:rPr>
          <w:rFonts w:asciiTheme="majorBidi" w:hAnsiTheme="majorBidi" w:cstheme="majorBidi"/>
          <w:sz w:val="28"/>
          <w:szCs w:val="28"/>
          <w:lang w:bidi="ar-IQ"/>
        </w:rPr>
        <w:t>, M., Simmons, C. R., &amp; Nevins, D. J. (2000). Endo-1, 3; 1, 4-β-</w:t>
      </w:r>
      <w:proofErr w:type="spellStart"/>
      <w:r w:rsidRPr="00AC6DFE">
        <w:rPr>
          <w:rFonts w:asciiTheme="majorBidi" w:hAnsiTheme="majorBidi" w:cstheme="majorBidi"/>
          <w:sz w:val="28"/>
          <w:szCs w:val="28"/>
          <w:lang w:bidi="ar-IQ"/>
        </w:rPr>
        <w:t>glucanase</w:t>
      </w:r>
      <w:proofErr w:type="spellEnd"/>
      <w:r w:rsidRPr="00AC6DFE">
        <w:rPr>
          <w:rFonts w:asciiTheme="majorBidi" w:hAnsiTheme="majorBidi" w:cstheme="majorBidi"/>
          <w:sz w:val="28"/>
          <w:szCs w:val="28"/>
          <w:lang w:bidi="ar-IQ"/>
        </w:rPr>
        <w:t xml:space="preserve"> from coleoptiles of rice and maize: role in the regulation of plant growth. </w:t>
      </w:r>
      <w:r w:rsidRPr="00AC6DFE">
        <w:rPr>
          <w:rFonts w:asciiTheme="majorBidi" w:hAnsiTheme="majorBidi" w:cstheme="majorBidi"/>
          <w:i/>
          <w:iCs/>
          <w:sz w:val="28"/>
          <w:szCs w:val="28"/>
          <w:lang w:bidi="ar-IQ"/>
        </w:rPr>
        <w:t>International Journal of Biological Macromolecules</w:t>
      </w:r>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27</w:t>
      </w:r>
      <w:r w:rsidRPr="00AC6DFE">
        <w:rPr>
          <w:rFonts w:asciiTheme="majorBidi" w:hAnsiTheme="majorBidi" w:cstheme="majorBidi"/>
          <w:sz w:val="28"/>
          <w:szCs w:val="28"/>
          <w:lang w:bidi="ar-IQ"/>
        </w:rPr>
        <w:t>(2), 145-149.</w:t>
      </w:r>
      <w:r w:rsidRPr="00AC6DFE">
        <w:rPr>
          <w:rFonts w:asciiTheme="majorBidi" w:hAnsiTheme="majorBidi" w:cstheme="majorBidi"/>
          <w:sz w:val="28"/>
          <w:szCs w:val="28"/>
          <w:rtl/>
        </w:rPr>
        <w:t>‏</w:t>
      </w:r>
    </w:p>
    <w:p w14:paraId="32347DBD" w14:textId="77777777" w:rsidR="00996090" w:rsidRPr="007C256D" w:rsidRDefault="00996090" w:rsidP="00EB4DC9">
      <w:pPr>
        <w:pStyle w:val="ListParagraph"/>
        <w:ind w:left="750"/>
        <w:jc w:val="both"/>
        <w:rPr>
          <w:rFonts w:asciiTheme="majorBidi" w:hAnsiTheme="majorBidi" w:cstheme="majorBidi"/>
          <w:sz w:val="24"/>
          <w:szCs w:val="24"/>
          <w:rtl/>
          <w:lang w:bidi="ar-IQ"/>
        </w:rPr>
      </w:pPr>
    </w:p>
    <w:sectPr w:rsidR="00996090" w:rsidRPr="007C256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0B834" w14:textId="77777777" w:rsidR="001902A6" w:rsidRDefault="001902A6" w:rsidP="00230E2F">
      <w:pPr>
        <w:spacing w:after="0" w:line="240" w:lineRule="auto"/>
      </w:pPr>
      <w:r>
        <w:separator/>
      </w:r>
    </w:p>
  </w:endnote>
  <w:endnote w:type="continuationSeparator" w:id="0">
    <w:p w14:paraId="5AF8C8A6" w14:textId="77777777" w:rsidR="001902A6" w:rsidRDefault="001902A6" w:rsidP="0023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3C561" w14:textId="77777777" w:rsidR="00230E2F" w:rsidRDefault="00230E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A806F" w14:textId="77777777" w:rsidR="00230E2F" w:rsidRDefault="00230E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DB788" w14:textId="77777777" w:rsidR="00230E2F" w:rsidRDefault="00230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4E55F" w14:textId="77777777" w:rsidR="001902A6" w:rsidRDefault="001902A6" w:rsidP="00230E2F">
      <w:pPr>
        <w:spacing w:after="0" w:line="240" w:lineRule="auto"/>
      </w:pPr>
      <w:r>
        <w:separator/>
      </w:r>
    </w:p>
  </w:footnote>
  <w:footnote w:type="continuationSeparator" w:id="0">
    <w:p w14:paraId="7C4C1357" w14:textId="77777777" w:rsidR="001902A6" w:rsidRDefault="001902A6" w:rsidP="00230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81985" w14:textId="397D9C72" w:rsidR="00230E2F" w:rsidRDefault="00230E2F">
    <w:pPr>
      <w:pStyle w:val="Header"/>
    </w:pPr>
    <w:r>
      <w:rPr>
        <w:noProof/>
      </w:rPr>
      <w:pict w14:anchorId="2FFDD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702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BA113" w14:textId="18FAE8F9" w:rsidR="00230E2F" w:rsidRDefault="00230E2F">
    <w:pPr>
      <w:pStyle w:val="Header"/>
    </w:pPr>
    <w:r>
      <w:rPr>
        <w:noProof/>
      </w:rPr>
      <w:pict w14:anchorId="45E5B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702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7D250" w14:textId="18B7DE0D" w:rsidR="00230E2F" w:rsidRDefault="00230E2F">
    <w:pPr>
      <w:pStyle w:val="Header"/>
    </w:pPr>
    <w:r>
      <w:rPr>
        <w:noProof/>
      </w:rPr>
      <w:pict w14:anchorId="3E929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702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0D67E6"/>
    <w:multiLevelType w:val="hybridMultilevel"/>
    <w:tmpl w:val="0698794E"/>
    <w:lvl w:ilvl="0" w:tplc="9A7068EE">
      <w:start w:val="1"/>
      <w:numFmt w:val="upperLetter"/>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0B9"/>
    <w:rsid w:val="001902A6"/>
    <w:rsid w:val="001F3D46"/>
    <w:rsid w:val="00212286"/>
    <w:rsid w:val="00230E2F"/>
    <w:rsid w:val="0024002A"/>
    <w:rsid w:val="00305F21"/>
    <w:rsid w:val="00785CAC"/>
    <w:rsid w:val="007C256D"/>
    <w:rsid w:val="008D74AE"/>
    <w:rsid w:val="009464BB"/>
    <w:rsid w:val="00996090"/>
    <w:rsid w:val="00AC713D"/>
    <w:rsid w:val="00C97AFC"/>
    <w:rsid w:val="00CC6BA5"/>
    <w:rsid w:val="00D4316E"/>
    <w:rsid w:val="00D7662F"/>
    <w:rsid w:val="00EB4DC9"/>
    <w:rsid w:val="00F06D80"/>
    <w:rsid w:val="00F13A94"/>
    <w:rsid w:val="00F55C77"/>
    <w:rsid w:val="00F750B9"/>
    <w:rsid w:val="00F82DCD"/>
    <w:rsid w:val="00FD48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497CE4"/>
  <w15:docId w15:val="{559A4E81-C0DD-4487-95E5-75FB3E76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2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7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4AE"/>
    <w:rPr>
      <w:rFonts w:ascii="Tahoma" w:hAnsi="Tahoma" w:cs="Tahoma"/>
      <w:sz w:val="16"/>
      <w:szCs w:val="16"/>
    </w:rPr>
  </w:style>
  <w:style w:type="paragraph" w:styleId="ListParagraph">
    <w:name w:val="List Paragraph"/>
    <w:basedOn w:val="Normal"/>
    <w:uiPriority w:val="34"/>
    <w:qFormat/>
    <w:rsid w:val="008D74AE"/>
    <w:pPr>
      <w:ind w:left="720"/>
      <w:contextualSpacing/>
    </w:pPr>
  </w:style>
  <w:style w:type="paragraph" w:styleId="Header">
    <w:name w:val="header"/>
    <w:basedOn w:val="Normal"/>
    <w:link w:val="HeaderChar"/>
    <w:uiPriority w:val="99"/>
    <w:unhideWhenUsed/>
    <w:rsid w:val="00230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E2F"/>
  </w:style>
  <w:style w:type="paragraph" w:styleId="Footer">
    <w:name w:val="footer"/>
    <w:basedOn w:val="Normal"/>
    <w:link w:val="FooterChar"/>
    <w:uiPriority w:val="99"/>
    <w:unhideWhenUsed/>
    <w:rsid w:val="00230E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541548">
      <w:bodyDiv w:val="1"/>
      <w:marLeft w:val="0"/>
      <w:marRight w:val="0"/>
      <w:marTop w:val="0"/>
      <w:marBottom w:val="0"/>
      <w:divBdr>
        <w:top w:val="none" w:sz="0" w:space="0" w:color="auto"/>
        <w:left w:val="none" w:sz="0" w:space="0" w:color="auto"/>
        <w:bottom w:val="none" w:sz="0" w:space="0" w:color="auto"/>
        <w:right w:val="none" w:sz="0" w:space="0" w:color="auto"/>
      </w:divBdr>
    </w:div>
    <w:div w:id="2066682824">
      <w:bodyDiv w:val="1"/>
      <w:marLeft w:val="0"/>
      <w:marRight w:val="0"/>
      <w:marTop w:val="0"/>
      <w:marBottom w:val="0"/>
      <w:divBdr>
        <w:top w:val="none" w:sz="0" w:space="0" w:color="auto"/>
        <w:left w:val="none" w:sz="0" w:space="0" w:color="auto"/>
        <w:bottom w:val="none" w:sz="0" w:space="0" w:color="auto"/>
        <w:right w:val="none" w:sz="0" w:space="0" w:color="auto"/>
      </w:divBdr>
    </w:div>
    <w:div w:id="207115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13</Pages>
  <Words>2868</Words>
  <Characters>16354</Characters>
  <Application>Microsoft Office Word</Application>
  <DocSecurity>0</DocSecurity>
  <Lines>136</Lines>
  <Paragraphs>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1166</cp:lastModifiedBy>
  <cp:revision>14</cp:revision>
  <dcterms:created xsi:type="dcterms:W3CDTF">2026-03-27T16:39:00Z</dcterms:created>
  <dcterms:modified xsi:type="dcterms:W3CDTF">2026-04-08T07:34:00Z</dcterms:modified>
</cp:coreProperties>
</file>